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易方达平稳增长证券投资基金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易方达平稳增长混合</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110001</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110001</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2002年8月23日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700,928,354.05</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追求资本在低风险水平下的平稳增长。</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通过在股票和债券之间相对平衡的资产配置实现降低风险、稳定收益的目标。正常情况下，本基金资产配置的比例范围是：股票资产30%－65%；债券资产30%－65%；现金资产不低于5％。其中，投资于具有持续发展能力的上市公司的资产比例不低于本基金股票投资总资产的80%。</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上证A股指数</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混合型基金，理论上其风险收益水平低于股票型基金，高于债券型基金及货币市场基金。正常情况下，本基金将控制基金资产净值波动的标准差不超过上证A股指数波动的标准差的65%（置信度为90％）；在此前提下，通过合理配置股票和债券资产比重，并将股票投资集中于具有持续发展能力的上市公司，努力实现股票市场上涨期间基金资产净值涨幅不低于上证A股指数涨幅的60％，股票市场下跌期间基金资产净值下跌幅度不超过上证A股指数跌幅的50％。</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22,980,974.19</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570,936,193.74</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0.8206</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2,880,265,551.32</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4.109</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24.93%</w:t>
            </w:r>
          </w:p>
        </w:tc>
        <w:tc>
          <w:tcPr>
            <w:vAlign w:val="center"/>
          </w:tcPr>
          <w:p>
            <w:pPr>
              <w:jc w:val="center"/>
            </w:pPr>
            <w:r>
              <w:rPr>
                <w:color w:val="000000"/>
                <w:kern w:val="0"/>
                <w:sz w:val="24"/>
                <w:szCs w:val="24"/>
              </w:rPr>
              <w:t>0.88%</w:t>
            </w:r>
          </w:p>
        </w:tc>
        <w:tc>
          <w:tcPr>
            <w:vAlign w:val="center"/>
          </w:tcPr>
          <w:p>
            <w:pPr>
              <w:jc w:val="center"/>
            </w:pPr>
            <w:r>
              <w:rPr>
                <w:color w:val="000000"/>
                <w:kern w:val="0"/>
                <w:sz w:val="24"/>
                <w:szCs w:val="24"/>
              </w:rPr>
              <w:t>8.54%</w:t>
            </w:r>
          </w:p>
        </w:tc>
        <w:tc>
          <w:tcPr>
            <w:vAlign w:val="center"/>
          </w:tcPr>
          <w:p>
            <w:pPr>
              <w:jc w:val="center"/>
            </w:pPr>
            <w:r>
              <w:rPr>
                <w:color w:val="000000"/>
                <w:kern w:val="0"/>
                <w:sz w:val="24"/>
                <w:szCs w:val="24"/>
              </w:rPr>
              <w:t>0.79%</w:t>
            </w:r>
          </w:p>
        </w:tc>
        <w:tc>
          <w:tcPr>
            <w:vAlign w:val="center"/>
          </w:tcPr>
          <w:p>
            <w:pPr>
              <w:jc w:val="center"/>
            </w:pPr>
            <w:r>
              <w:rPr>
                <w:color w:val="000000"/>
                <w:kern w:val="0"/>
                <w:sz w:val="24"/>
                <w:szCs w:val="24"/>
              </w:rPr>
              <w:t>16.39%</w:t>
            </w:r>
          </w:p>
        </w:tc>
        <w:tc>
          <w:tcPr>
            <w:vAlign w:val="center"/>
          </w:tcPr>
          <w:p>
            <w:pPr>
              <w:jc w:val="center"/>
            </w:pPr>
            <w:r>
              <w:rPr>
                <w:color w:val="000000"/>
                <w:kern w:val="0"/>
                <w:sz w:val="24"/>
                <w:szCs w:val="24"/>
              </w:rPr>
              <w:t>0.09%</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27.83%</w:t>
            </w:r>
          </w:p>
        </w:tc>
        <w:tc>
          <w:tcPr>
            <w:vAlign w:val="center"/>
          </w:tcPr>
          <w:p>
            <w:pPr>
              <w:jc w:val="center"/>
            </w:pPr>
            <w:r>
              <w:rPr>
                <w:color w:val="000000"/>
                <w:kern w:val="0"/>
                <w:sz w:val="24"/>
                <w:szCs w:val="24"/>
              </w:rPr>
              <w:t>1.32%</w:t>
            </w:r>
          </w:p>
        </w:tc>
        <w:tc>
          <w:tcPr>
            <w:vAlign w:val="center"/>
          </w:tcPr>
          <w:p>
            <w:pPr>
              <w:jc w:val="center"/>
            </w:pPr>
            <w:r>
              <w:rPr>
                <w:color w:val="000000"/>
                <w:kern w:val="0"/>
                <w:sz w:val="24"/>
                <w:szCs w:val="24"/>
              </w:rPr>
              <w:t>-2.11%</w:t>
            </w:r>
          </w:p>
        </w:tc>
        <w:tc>
          <w:tcPr>
            <w:vAlign w:val="center"/>
          </w:tcPr>
          <w:p>
            <w:pPr>
              <w:jc w:val="center"/>
            </w:pPr>
            <w:r>
              <w:rPr>
                <w:color w:val="000000"/>
                <w:kern w:val="0"/>
                <w:sz w:val="24"/>
                <w:szCs w:val="24"/>
              </w:rPr>
              <w:t>1.37%</w:t>
            </w:r>
          </w:p>
        </w:tc>
        <w:tc>
          <w:tcPr>
            <w:vAlign w:val="center"/>
          </w:tcPr>
          <w:p>
            <w:pPr>
              <w:jc w:val="center"/>
            </w:pPr>
            <w:r>
              <w:rPr>
                <w:color w:val="000000"/>
                <w:kern w:val="0"/>
                <w:sz w:val="24"/>
                <w:szCs w:val="24"/>
              </w:rPr>
              <w:t>29.94%</w:t>
            </w:r>
          </w:p>
        </w:tc>
        <w:tc>
          <w:tcPr>
            <w:vAlign w:val="center"/>
          </w:tcPr>
          <w:p>
            <w:pPr>
              <w:jc w:val="center"/>
            </w:pPr>
            <w:r>
              <w:rPr>
                <w:color w:val="000000"/>
                <w:kern w:val="0"/>
                <w:sz w:val="24"/>
                <w:szCs w:val="24"/>
              </w:rPr>
              <w:t>-0.05%</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54.99%</w:t>
            </w:r>
          </w:p>
        </w:tc>
        <w:tc>
          <w:tcPr>
            <w:vAlign w:val="center"/>
          </w:tcPr>
          <w:p>
            <w:pPr>
              <w:jc w:val="center"/>
            </w:pPr>
            <w:r>
              <w:rPr>
                <w:color w:val="000000"/>
                <w:kern w:val="0"/>
                <w:sz w:val="24"/>
                <w:szCs w:val="24"/>
              </w:rPr>
              <w:t>1.14%</w:t>
            </w:r>
          </w:p>
        </w:tc>
        <w:tc>
          <w:tcPr>
            <w:vAlign w:val="center"/>
          </w:tcPr>
          <w:p>
            <w:pPr>
              <w:jc w:val="center"/>
            </w:pPr>
            <w:r>
              <w:rPr>
                <w:color w:val="000000"/>
                <w:kern w:val="0"/>
                <w:sz w:val="24"/>
                <w:szCs w:val="24"/>
              </w:rPr>
              <w:t>0.27%</w:t>
            </w:r>
          </w:p>
        </w:tc>
        <w:tc>
          <w:tcPr>
            <w:vAlign w:val="center"/>
          </w:tcPr>
          <w:p>
            <w:pPr>
              <w:jc w:val="center"/>
            </w:pPr>
            <w:r>
              <w:rPr>
                <w:color w:val="000000"/>
                <w:kern w:val="0"/>
                <w:sz w:val="24"/>
                <w:szCs w:val="24"/>
              </w:rPr>
              <w:t>1.11%</w:t>
            </w:r>
          </w:p>
        </w:tc>
        <w:tc>
          <w:tcPr>
            <w:vAlign w:val="center"/>
          </w:tcPr>
          <w:p>
            <w:pPr>
              <w:jc w:val="center"/>
            </w:pPr>
            <w:r>
              <w:rPr>
                <w:color w:val="000000"/>
                <w:kern w:val="0"/>
                <w:sz w:val="24"/>
                <w:szCs w:val="24"/>
              </w:rPr>
              <w:t>54.72%</w:t>
            </w:r>
          </w:p>
        </w:tc>
        <w:tc>
          <w:tcPr>
            <w:vAlign w:val="center"/>
          </w:tcPr>
          <w:p>
            <w:pPr>
              <w:jc w:val="center"/>
            </w:pPr>
            <w:r>
              <w:rPr>
                <w:color w:val="000000"/>
                <w:kern w:val="0"/>
                <w:sz w:val="24"/>
                <w:szCs w:val="24"/>
              </w:rPr>
              <w:t>0.03%</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60.74%</w:t>
            </w:r>
          </w:p>
        </w:tc>
        <w:tc>
          <w:tcPr>
            <w:vAlign w:val="center"/>
          </w:tcPr>
          <w:p>
            <w:pPr>
              <w:jc w:val="center"/>
            </w:pPr>
            <w:r>
              <w:rPr>
                <w:color w:val="000000"/>
                <w:kern w:val="0"/>
                <w:sz w:val="24"/>
                <w:szCs w:val="24"/>
              </w:rPr>
              <w:t>1.13%</w:t>
            </w:r>
          </w:p>
        </w:tc>
        <w:tc>
          <w:tcPr>
            <w:vAlign w:val="center"/>
          </w:tcPr>
          <w:p>
            <w:pPr>
              <w:jc w:val="center"/>
            </w:pPr>
            <w:r>
              <w:rPr>
                <w:color w:val="000000"/>
                <w:kern w:val="0"/>
                <w:sz w:val="24"/>
                <w:szCs w:val="24"/>
              </w:rPr>
              <w:t>-6.43%</w:t>
            </w:r>
          </w:p>
        </w:tc>
        <w:tc>
          <w:tcPr>
            <w:vAlign w:val="center"/>
          </w:tcPr>
          <w:p>
            <w:pPr>
              <w:jc w:val="center"/>
            </w:pPr>
            <w:r>
              <w:rPr>
                <w:color w:val="000000"/>
                <w:kern w:val="0"/>
                <w:sz w:val="24"/>
                <w:szCs w:val="24"/>
              </w:rPr>
              <w:t>1.14%</w:t>
            </w:r>
          </w:p>
        </w:tc>
        <w:tc>
          <w:tcPr>
            <w:vAlign w:val="center"/>
          </w:tcPr>
          <w:p>
            <w:pPr>
              <w:jc w:val="center"/>
            </w:pPr>
            <w:r>
              <w:rPr>
                <w:color w:val="000000"/>
                <w:kern w:val="0"/>
                <w:sz w:val="24"/>
                <w:szCs w:val="24"/>
              </w:rPr>
              <w:t>67.17%</w:t>
            </w:r>
          </w:p>
        </w:tc>
        <w:tc>
          <w:tcPr>
            <w:vAlign w:val="center"/>
          </w:tcPr>
          <w:p>
            <w:pPr>
              <w:jc w:val="center"/>
            </w:pPr>
            <w:r>
              <w:rPr>
                <w:color w:val="000000"/>
                <w:kern w:val="0"/>
                <w:sz w:val="24"/>
                <w:szCs w:val="24"/>
              </w:rPr>
              <w:t>-0.01%</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62.64%</w:t>
            </w:r>
          </w:p>
        </w:tc>
        <w:tc>
          <w:tcPr>
            <w:vAlign w:val="center"/>
          </w:tcPr>
          <w:p>
            <w:pPr>
              <w:jc w:val="center"/>
            </w:pPr>
            <w:r>
              <w:rPr>
                <w:color w:val="000000"/>
                <w:kern w:val="0"/>
                <w:sz w:val="24"/>
                <w:szCs w:val="24"/>
              </w:rPr>
              <w:t>1.28%</w:t>
            </w:r>
          </w:p>
        </w:tc>
        <w:tc>
          <w:tcPr>
            <w:vAlign w:val="center"/>
          </w:tcPr>
          <w:p>
            <w:pPr>
              <w:jc w:val="center"/>
            </w:pPr>
            <w:r>
              <w:rPr>
                <w:color w:val="000000"/>
                <w:kern w:val="0"/>
                <w:sz w:val="24"/>
                <w:szCs w:val="24"/>
              </w:rPr>
              <w:t>-30.17%</w:t>
            </w:r>
          </w:p>
        </w:tc>
        <w:tc>
          <w:tcPr>
            <w:vAlign w:val="center"/>
          </w:tcPr>
          <w:p>
            <w:pPr>
              <w:jc w:val="center"/>
            </w:pPr>
            <w:r>
              <w:rPr>
                <w:color w:val="000000"/>
                <w:kern w:val="0"/>
                <w:sz w:val="24"/>
                <w:szCs w:val="24"/>
              </w:rPr>
              <w:t>1.38%</w:t>
            </w:r>
          </w:p>
        </w:tc>
        <w:tc>
          <w:tcPr>
            <w:vAlign w:val="center"/>
          </w:tcPr>
          <w:p>
            <w:pPr>
              <w:jc w:val="center"/>
            </w:pPr>
            <w:r>
              <w:rPr>
                <w:color w:val="000000"/>
                <w:kern w:val="0"/>
                <w:sz w:val="24"/>
                <w:szCs w:val="24"/>
              </w:rPr>
              <w:t>92.81%</w:t>
            </w:r>
          </w:p>
        </w:tc>
        <w:tc>
          <w:tcPr>
            <w:vAlign w:val="center"/>
          </w:tcPr>
          <w:p>
            <w:pPr>
              <w:jc w:val="center"/>
            </w:pPr>
            <w:r>
              <w:rPr>
                <w:color w:val="000000"/>
                <w:kern w:val="0"/>
                <w:sz w:val="24"/>
                <w:szCs w:val="24"/>
              </w:rPr>
              <w:t>-0.10%</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962.74%</w:t>
            </w:r>
          </w:p>
        </w:tc>
        <w:tc>
          <w:tcPr>
            <w:vAlign w:val="center"/>
          </w:tcPr>
          <w:p>
            <w:pPr>
              <w:jc w:val="center"/>
            </w:pPr>
            <w:r>
              <w:rPr>
                <w:color w:val="000000"/>
                <w:kern w:val="0"/>
                <w:sz w:val="24"/>
                <w:szCs w:val="24"/>
              </w:rPr>
              <w:t>1.14%</w:t>
            </w:r>
          </w:p>
        </w:tc>
        <w:tc>
          <w:tcPr>
            <w:vAlign w:val="center"/>
          </w:tcPr>
          <w:p>
            <w:pPr>
              <w:jc w:val="center"/>
            </w:pPr>
            <w:r>
              <w:rPr>
                <w:color w:val="000000"/>
                <w:kern w:val="0"/>
                <w:sz w:val="24"/>
                <w:szCs w:val="24"/>
              </w:rPr>
              <w:t>77.76%</w:t>
            </w:r>
          </w:p>
        </w:tc>
        <w:tc>
          <w:tcPr>
            <w:vAlign w:val="center"/>
          </w:tcPr>
          <w:p>
            <w:pPr>
              <w:jc w:val="center"/>
            </w:pPr>
            <w:r>
              <w:rPr>
                <w:color w:val="000000"/>
                <w:kern w:val="0"/>
                <w:sz w:val="24"/>
                <w:szCs w:val="24"/>
              </w:rPr>
              <w:t>1.56%</w:t>
            </w:r>
          </w:p>
        </w:tc>
        <w:tc>
          <w:tcPr>
            <w:vAlign w:val="center"/>
          </w:tcPr>
          <w:p>
            <w:pPr>
              <w:jc w:val="center"/>
            </w:pPr>
            <w:r>
              <w:rPr>
                <w:color w:val="000000"/>
                <w:kern w:val="0"/>
                <w:sz w:val="24"/>
                <w:szCs w:val="24"/>
              </w:rPr>
              <w:t>884.98%</w:t>
            </w:r>
          </w:p>
        </w:tc>
        <w:tc>
          <w:tcPr>
            <w:vAlign w:val="center"/>
          </w:tcPr>
          <w:p>
            <w:pPr>
              <w:jc w:val="center"/>
            </w:pPr>
            <w:r>
              <w:rPr>
                <w:color w:val="000000"/>
                <w:kern w:val="0"/>
                <w:sz w:val="24"/>
                <w:szCs w:val="24"/>
              </w:rPr>
              <w:t>-0.42%</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易方达平稳增长证券投资基金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2002年8月23日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注：自基金合同生效至报告期末，基金份额净值增长率为962.74%，同期业绩比较基准收益率为77.76%。</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陈皓</w:t>
            </w:r>
          </w:p>
        </w:tc>
        <w:tc>
          <w:tcPr>
            <w:vAlign w:val="center"/>
          </w:tcPr>
          <w:p>
            <w:pPr>
              <w:jc w:val="left"/>
            </w:pPr>
            <w:r>
              <w:rPr>
                <w:color w:val="000000"/>
                <w:sz w:val="24"/>
              </w:rPr>
              <w:t>本基金的基金经理、易方达科翔混合型证券投资基金的基金经理、易方达新经济灵活配置混合型证券投资基金的基金经理、易方达国防军工混合型证券投资基金的基金经理（自2015年06月19日至2020年06月05日）、易方达科讯混合型证券投资基金的基金经理、易方达科融混合型证券投资基金的基金经理、易方达均衡成长股票型证券投资基金的基金经理、投资一部总经理</w:t>
            </w:r>
          </w:p>
        </w:tc>
        <w:tc>
          <w:tcPr>
            <w:vAlign w:val="center"/>
          </w:tcPr>
          <w:p>
            <w:pPr>
              <w:jc w:val="center"/>
            </w:pPr>
            <w:r>
              <w:rPr>
                <w:color w:val="000000"/>
                <w:sz w:val="24"/>
              </w:rPr>
              <w:t>2012-09-28</w:t>
            </w:r>
          </w:p>
        </w:tc>
        <w:tc>
          <w:tcPr>
            <w:vAlign w:val="center"/>
          </w:tcPr>
          <w:p>
            <w:pPr>
              <w:jc w:val="center"/>
            </w:pPr>
            <w:r>
              <w:rPr>
                <w:color w:val="000000"/>
                <w:sz w:val="24"/>
              </w:rPr>
              <w:t>-</w:t>
            </w:r>
          </w:p>
        </w:tc>
        <w:tc>
          <w:tcPr>
            <w:vAlign w:val="center"/>
          </w:tcPr>
          <w:p>
            <w:pPr>
              <w:jc w:val="center"/>
            </w:pPr>
            <w:r>
              <w:rPr>
                <w:color w:val="000000"/>
                <w:sz w:val="24"/>
              </w:rPr>
              <w:t>13年</w:t>
            </w:r>
          </w:p>
        </w:tc>
        <w:tc>
          <w:tcPr>
            <w:vAlign w:val="center"/>
          </w:tcPr>
          <w:p>
            <w:pPr>
              <w:jc w:val="both"/>
            </w:pPr>
            <w:r>
              <w:rPr>
                <w:color w:val="000000"/>
                <w:sz w:val="24"/>
              </w:rPr>
              <w:t>硕士研究生，具有基金从业资格。曾任易方达基金管理有限公司行业研究员、基金经理助理、基金投资部基金经理助理、投资一部总经理助理、投资一部副总经理、投资经理、易方达价值精选混合型证券投资基金基金经理、易方达供给改革灵活配置混合型证券投资基金基金经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二季度上证综指上涨8.52%，创业板指数上涨30.25%，中证500指数上涨16.32%，市场整体涨幅较大，成长板块表现显著强于大盘蓝筹板块。新兴成长板块经过3月份的大幅调整下跌幅度较大，电子、新能源、计算机等领域的优质个股经过调整后投资风险收益比提升。二季度，疫情恐慌过后，新兴成长板块开始反弹，高新电子、云计算、新能源等代表未来成长方向的板块涨幅较大；同期医药生物板块涨幅也较大。</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本基金二季度维持了稳健的投资策略，将股票仓位维持在了相对中性的水平，在成长板块经历较大幅调整后加大了对其的配置比例，取得了较好的超额收益。</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截至报告期末，本基金份额净值为4.109元，本报告期份额净值增长率为24.93%，同期业绩比较基准收益率为8.54%。</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1,859,117,693.33</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63.84</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1,859,117,693.33</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63.84</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860,175,317.15</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29.54</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860,175,317.15</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29.54</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163,052,703.57</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5.60</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29,667,358.56</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2,912,013,072.61</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1,290,430,153.97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44.80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12,766.32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67,399,632.00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2.34</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21,902,851.50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0.76</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353,857,659.97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12.29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41,740,910.17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1.45</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67,492,391.40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2.34</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16,281,328.00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0.57</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1,859,117,693.33</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64.55</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300476</w:t>
            </w:r>
          </w:p>
        </w:tc>
        <w:tc>
          <w:tcPr>
            <w:vAlign w:val="center"/>
          </w:tcPr>
          <w:p>
            <w:pPr>
              <w:jc w:val="center"/>
            </w:pPr>
            <w:r>
              <w:rPr>
                <w:color w:val="000000"/>
                <w:kern w:val="0"/>
                <w:sz w:val="24"/>
                <w:szCs w:val="24"/>
              </w:rPr>
              <w:t>胜宏科技</w:t>
            </w:r>
          </w:p>
        </w:tc>
        <w:tc>
          <w:tcPr>
            <w:vAlign w:val="center"/>
          </w:tcPr>
          <w:p>
            <w:pPr>
              <w:jc w:val="right"/>
            </w:pPr>
            <w:r>
              <w:rPr>
                <w:color w:val="000000"/>
                <w:kern w:val="0"/>
                <w:sz w:val="24"/>
                <w:szCs w:val="24"/>
              </w:rPr>
              <w:t>9,946,831</w:t>
            </w:r>
          </w:p>
        </w:tc>
        <w:tc>
          <w:tcPr>
            <w:vAlign w:val="center"/>
          </w:tcPr>
          <w:p>
            <w:pPr>
              <w:jc w:val="right"/>
            </w:pPr>
            <w:r>
              <w:rPr>
                <w:color w:val="000000"/>
                <w:kern w:val="0"/>
                <w:sz w:val="24"/>
                <w:szCs w:val="24"/>
              </w:rPr>
              <w:t>238,969,285.55</w:t>
            </w:r>
          </w:p>
        </w:tc>
        <w:tc>
          <w:tcPr>
            <w:vAlign w:val="center"/>
          </w:tcPr>
          <w:p>
            <w:pPr>
              <w:jc w:val="right"/>
            </w:pPr>
            <w:r>
              <w:rPr>
                <w:color w:val="000000"/>
                <w:kern w:val="0"/>
                <w:sz w:val="24"/>
                <w:szCs w:val="24"/>
              </w:rPr>
              <w:t>8.30</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600570</w:t>
            </w:r>
          </w:p>
        </w:tc>
        <w:tc>
          <w:tcPr>
            <w:vAlign w:val="center"/>
          </w:tcPr>
          <w:p>
            <w:pPr>
              <w:jc w:val="center"/>
            </w:pPr>
            <w:r>
              <w:rPr>
                <w:color w:val="000000"/>
                <w:kern w:val="0"/>
                <w:sz w:val="24"/>
                <w:szCs w:val="24"/>
              </w:rPr>
              <w:t>恒生电子</w:t>
            </w:r>
          </w:p>
        </w:tc>
        <w:tc>
          <w:tcPr>
            <w:vAlign w:val="center"/>
          </w:tcPr>
          <w:p>
            <w:pPr>
              <w:jc w:val="right"/>
            </w:pPr>
            <w:r>
              <w:rPr>
                <w:color w:val="000000"/>
                <w:kern w:val="0"/>
                <w:sz w:val="24"/>
                <w:szCs w:val="24"/>
              </w:rPr>
              <w:t>1,089,986</w:t>
            </w:r>
          </w:p>
        </w:tc>
        <w:tc>
          <w:tcPr>
            <w:vAlign w:val="center"/>
          </w:tcPr>
          <w:p>
            <w:pPr>
              <w:jc w:val="right"/>
            </w:pPr>
            <w:r>
              <w:rPr>
                <w:color w:val="000000"/>
                <w:kern w:val="0"/>
                <w:sz w:val="24"/>
                <w:szCs w:val="24"/>
              </w:rPr>
              <w:t>117,391,492.20</w:t>
            </w:r>
          </w:p>
        </w:tc>
        <w:tc>
          <w:tcPr>
            <w:vAlign w:val="center"/>
          </w:tcPr>
          <w:p>
            <w:pPr>
              <w:jc w:val="right"/>
            </w:pPr>
            <w:r>
              <w:rPr>
                <w:color w:val="000000"/>
                <w:kern w:val="0"/>
                <w:sz w:val="24"/>
                <w:szCs w:val="24"/>
              </w:rPr>
              <w:t>4.08</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000403</w:t>
            </w:r>
          </w:p>
        </w:tc>
        <w:tc>
          <w:tcPr>
            <w:vAlign w:val="center"/>
          </w:tcPr>
          <w:p>
            <w:pPr>
              <w:jc w:val="center"/>
            </w:pPr>
            <w:r>
              <w:rPr>
                <w:color w:val="000000"/>
                <w:kern w:val="0"/>
                <w:sz w:val="24"/>
                <w:szCs w:val="24"/>
              </w:rPr>
              <w:t>双林生物</w:t>
            </w:r>
          </w:p>
        </w:tc>
        <w:tc>
          <w:tcPr>
            <w:vAlign w:val="center"/>
          </w:tcPr>
          <w:p>
            <w:pPr>
              <w:jc w:val="right"/>
            </w:pPr>
            <w:r>
              <w:rPr>
                <w:color w:val="000000"/>
                <w:kern w:val="0"/>
                <w:sz w:val="24"/>
                <w:szCs w:val="24"/>
              </w:rPr>
              <w:t>1,354,017</w:t>
            </w:r>
          </w:p>
        </w:tc>
        <w:tc>
          <w:tcPr>
            <w:vAlign w:val="center"/>
          </w:tcPr>
          <w:p>
            <w:pPr>
              <w:jc w:val="right"/>
            </w:pPr>
            <w:r>
              <w:rPr>
                <w:color w:val="000000"/>
                <w:kern w:val="0"/>
                <w:sz w:val="24"/>
                <w:szCs w:val="24"/>
              </w:rPr>
              <w:t>100,373,280.21</w:t>
            </w:r>
          </w:p>
        </w:tc>
        <w:tc>
          <w:tcPr>
            <w:vAlign w:val="center"/>
          </w:tcPr>
          <w:p>
            <w:pPr>
              <w:jc w:val="right"/>
            </w:pPr>
            <w:r>
              <w:rPr>
                <w:color w:val="000000"/>
                <w:kern w:val="0"/>
                <w:sz w:val="24"/>
                <w:szCs w:val="24"/>
              </w:rPr>
              <w:t>3.48</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603520</w:t>
            </w:r>
          </w:p>
        </w:tc>
        <w:tc>
          <w:tcPr>
            <w:vAlign w:val="center"/>
          </w:tcPr>
          <w:p>
            <w:pPr>
              <w:jc w:val="center"/>
            </w:pPr>
            <w:r>
              <w:rPr>
                <w:color w:val="000000"/>
                <w:kern w:val="0"/>
                <w:sz w:val="24"/>
                <w:szCs w:val="24"/>
              </w:rPr>
              <w:t>司太立</w:t>
            </w:r>
          </w:p>
        </w:tc>
        <w:tc>
          <w:tcPr>
            <w:vAlign w:val="center"/>
          </w:tcPr>
          <w:p>
            <w:pPr>
              <w:jc w:val="right"/>
            </w:pPr>
            <w:r>
              <w:rPr>
                <w:color w:val="000000"/>
                <w:kern w:val="0"/>
                <w:sz w:val="24"/>
                <w:szCs w:val="24"/>
              </w:rPr>
              <w:t>1,068,900</w:t>
            </w:r>
          </w:p>
        </w:tc>
        <w:tc>
          <w:tcPr>
            <w:vAlign w:val="center"/>
          </w:tcPr>
          <w:p>
            <w:pPr>
              <w:jc w:val="right"/>
            </w:pPr>
            <w:r>
              <w:rPr>
                <w:color w:val="000000"/>
                <w:kern w:val="0"/>
                <w:sz w:val="24"/>
                <w:szCs w:val="24"/>
              </w:rPr>
              <w:t>89,851,734.00</w:t>
            </w:r>
          </w:p>
        </w:tc>
        <w:tc>
          <w:tcPr>
            <w:vAlign w:val="center"/>
          </w:tcPr>
          <w:p>
            <w:pPr>
              <w:jc w:val="right"/>
            </w:pPr>
            <w:r>
              <w:rPr>
                <w:color w:val="000000"/>
                <w:kern w:val="0"/>
                <w:sz w:val="24"/>
                <w:szCs w:val="24"/>
              </w:rPr>
              <w:t>3.12</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300014</w:t>
            </w:r>
          </w:p>
        </w:tc>
        <w:tc>
          <w:tcPr>
            <w:vAlign w:val="center"/>
          </w:tcPr>
          <w:p>
            <w:pPr>
              <w:jc w:val="center"/>
            </w:pPr>
            <w:r>
              <w:rPr>
                <w:color w:val="000000"/>
                <w:kern w:val="0"/>
                <w:sz w:val="24"/>
                <w:szCs w:val="24"/>
              </w:rPr>
              <w:t>亿纬锂能</w:t>
            </w:r>
          </w:p>
        </w:tc>
        <w:tc>
          <w:tcPr>
            <w:vAlign w:val="center"/>
          </w:tcPr>
          <w:p>
            <w:pPr>
              <w:jc w:val="right"/>
            </w:pPr>
            <w:r>
              <w:rPr>
                <w:color w:val="000000"/>
                <w:kern w:val="0"/>
                <w:sz w:val="24"/>
                <w:szCs w:val="24"/>
              </w:rPr>
              <w:t>1,870,489</w:t>
            </w:r>
          </w:p>
        </w:tc>
        <w:tc>
          <w:tcPr>
            <w:vAlign w:val="center"/>
          </w:tcPr>
          <w:p>
            <w:pPr>
              <w:jc w:val="right"/>
            </w:pPr>
            <w:r>
              <w:rPr>
                <w:color w:val="000000"/>
                <w:kern w:val="0"/>
                <w:sz w:val="24"/>
                <w:szCs w:val="24"/>
              </w:rPr>
              <w:t>89,502,898.65</w:t>
            </w:r>
          </w:p>
        </w:tc>
        <w:tc>
          <w:tcPr>
            <w:vAlign w:val="center"/>
          </w:tcPr>
          <w:p>
            <w:pPr>
              <w:jc w:val="right"/>
            </w:pPr>
            <w:r>
              <w:rPr>
                <w:color w:val="000000"/>
                <w:kern w:val="0"/>
                <w:sz w:val="24"/>
                <w:szCs w:val="24"/>
              </w:rPr>
              <w:t>3.11</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000858</w:t>
            </w:r>
          </w:p>
        </w:tc>
        <w:tc>
          <w:tcPr>
            <w:vAlign w:val="center"/>
          </w:tcPr>
          <w:p>
            <w:pPr>
              <w:jc w:val="center"/>
            </w:pPr>
            <w:r>
              <w:rPr>
                <w:color w:val="000000"/>
                <w:kern w:val="0"/>
                <w:sz w:val="24"/>
                <w:szCs w:val="24"/>
              </w:rPr>
              <w:t>五粮液</w:t>
            </w:r>
          </w:p>
        </w:tc>
        <w:tc>
          <w:tcPr>
            <w:vAlign w:val="center"/>
          </w:tcPr>
          <w:p>
            <w:pPr>
              <w:jc w:val="right"/>
            </w:pPr>
            <w:r>
              <w:rPr>
                <w:color w:val="000000"/>
                <w:kern w:val="0"/>
                <w:sz w:val="24"/>
                <w:szCs w:val="24"/>
              </w:rPr>
              <w:t>439,100</w:t>
            </w:r>
          </w:p>
        </w:tc>
        <w:tc>
          <w:tcPr>
            <w:vAlign w:val="center"/>
          </w:tcPr>
          <w:p>
            <w:pPr>
              <w:jc w:val="right"/>
            </w:pPr>
            <w:r>
              <w:rPr>
                <w:color w:val="000000"/>
                <w:kern w:val="0"/>
                <w:sz w:val="24"/>
                <w:szCs w:val="24"/>
              </w:rPr>
              <w:t>75,138,792.00</w:t>
            </w:r>
          </w:p>
        </w:tc>
        <w:tc>
          <w:tcPr>
            <w:vAlign w:val="center"/>
          </w:tcPr>
          <w:p>
            <w:pPr>
              <w:jc w:val="right"/>
            </w:pPr>
            <w:r>
              <w:rPr>
                <w:color w:val="000000"/>
                <w:kern w:val="0"/>
                <w:sz w:val="24"/>
                <w:szCs w:val="24"/>
              </w:rPr>
              <w:t>2.61</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603890</w:t>
            </w:r>
          </w:p>
        </w:tc>
        <w:tc>
          <w:tcPr>
            <w:vAlign w:val="center"/>
          </w:tcPr>
          <w:p>
            <w:pPr>
              <w:jc w:val="center"/>
            </w:pPr>
            <w:r>
              <w:rPr>
                <w:color w:val="000000"/>
                <w:kern w:val="0"/>
                <w:sz w:val="24"/>
                <w:szCs w:val="24"/>
              </w:rPr>
              <w:t>春秋电子</w:t>
            </w:r>
          </w:p>
        </w:tc>
        <w:tc>
          <w:tcPr>
            <w:vAlign w:val="center"/>
          </w:tcPr>
          <w:p>
            <w:pPr>
              <w:jc w:val="right"/>
            </w:pPr>
            <w:r>
              <w:rPr>
                <w:color w:val="000000"/>
                <w:kern w:val="0"/>
                <w:sz w:val="24"/>
                <w:szCs w:val="24"/>
              </w:rPr>
              <w:t>3,905,153</w:t>
            </w:r>
          </w:p>
        </w:tc>
        <w:tc>
          <w:tcPr>
            <w:vAlign w:val="center"/>
          </w:tcPr>
          <w:p>
            <w:pPr>
              <w:jc w:val="right"/>
            </w:pPr>
            <w:r>
              <w:rPr>
                <w:color w:val="000000"/>
                <w:kern w:val="0"/>
                <w:sz w:val="24"/>
                <w:szCs w:val="24"/>
              </w:rPr>
              <w:t>70,175,599.41</w:t>
            </w:r>
          </w:p>
        </w:tc>
        <w:tc>
          <w:tcPr>
            <w:vAlign w:val="center"/>
          </w:tcPr>
          <w:p>
            <w:pPr>
              <w:jc w:val="right"/>
            </w:pPr>
            <w:r>
              <w:rPr>
                <w:color w:val="000000"/>
                <w:kern w:val="0"/>
                <w:sz w:val="24"/>
                <w:szCs w:val="24"/>
              </w:rPr>
              <w:t>2.44</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603259</w:t>
            </w:r>
          </w:p>
        </w:tc>
        <w:tc>
          <w:tcPr>
            <w:vAlign w:val="center"/>
          </w:tcPr>
          <w:p>
            <w:pPr>
              <w:jc w:val="center"/>
            </w:pPr>
            <w:r>
              <w:rPr>
                <w:color w:val="000000"/>
                <w:kern w:val="0"/>
                <w:sz w:val="24"/>
                <w:szCs w:val="24"/>
              </w:rPr>
              <w:t>药明康德</w:t>
            </w:r>
          </w:p>
        </w:tc>
        <w:tc>
          <w:tcPr>
            <w:vAlign w:val="center"/>
          </w:tcPr>
          <w:p>
            <w:pPr>
              <w:jc w:val="right"/>
            </w:pPr>
            <w:r>
              <w:rPr>
                <w:color w:val="000000"/>
                <w:kern w:val="0"/>
                <w:sz w:val="24"/>
                <w:szCs w:val="24"/>
              </w:rPr>
              <w:t>698,679</w:t>
            </w:r>
          </w:p>
        </w:tc>
        <w:tc>
          <w:tcPr>
            <w:vAlign w:val="center"/>
          </w:tcPr>
          <w:p>
            <w:pPr>
              <w:jc w:val="right"/>
            </w:pPr>
            <w:r>
              <w:rPr>
                <w:color w:val="000000"/>
                <w:kern w:val="0"/>
                <w:sz w:val="24"/>
                <w:szCs w:val="24"/>
              </w:rPr>
              <w:t>67,492,391.40</w:t>
            </w:r>
          </w:p>
        </w:tc>
        <w:tc>
          <w:tcPr>
            <w:vAlign w:val="center"/>
          </w:tcPr>
          <w:p>
            <w:pPr>
              <w:jc w:val="right"/>
            </w:pPr>
            <w:r>
              <w:rPr>
                <w:color w:val="000000"/>
                <w:kern w:val="0"/>
                <w:sz w:val="24"/>
                <w:szCs w:val="24"/>
              </w:rPr>
              <w:t>2.34</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603887</w:t>
            </w:r>
          </w:p>
        </w:tc>
        <w:tc>
          <w:tcPr>
            <w:vAlign w:val="center"/>
          </w:tcPr>
          <w:p>
            <w:pPr>
              <w:jc w:val="center"/>
            </w:pPr>
            <w:r>
              <w:rPr>
                <w:color w:val="000000"/>
                <w:kern w:val="0"/>
                <w:sz w:val="24"/>
                <w:szCs w:val="24"/>
              </w:rPr>
              <w:t>城地股份</w:t>
            </w:r>
          </w:p>
        </w:tc>
        <w:tc>
          <w:tcPr>
            <w:vAlign w:val="center"/>
          </w:tcPr>
          <w:p>
            <w:pPr>
              <w:jc w:val="right"/>
            </w:pPr>
            <w:r>
              <w:rPr>
                <w:color w:val="000000"/>
                <w:kern w:val="0"/>
                <w:sz w:val="24"/>
                <w:szCs w:val="24"/>
              </w:rPr>
              <w:t>2,762,280</w:t>
            </w:r>
          </w:p>
        </w:tc>
        <w:tc>
          <w:tcPr>
            <w:vAlign w:val="center"/>
          </w:tcPr>
          <w:p>
            <w:pPr>
              <w:jc w:val="right"/>
            </w:pPr>
            <w:r>
              <w:rPr>
                <w:color w:val="000000"/>
                <w:kern w:val="0"/>
                <w:sz w:val="24"/>
                <w:szCs w:val="24"/>
              </w:rPr>
              <w:t>67,399,632.00</w:t>
            </w:r>
          </w:p>
        </w:tc>
        <w:tc>
          <w:tcPr>
            <w:vAlign w:val="center"/>
          </w:tcPr>
          <w:p>
            <w:pPr>
              <w:jc w:val="right"/>
            </w:pPr>
            <w:r>
              <w:rPr>
                <w:color w:val="000000"/>
                <w:kern w:val="0"/>
                <w:sz w:val="24"/>
                <w:szCs w:val="24"/>
              </w:rPr>
              <w:t>2.34</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300033</w:t>
            </w:r>
          </w:p>
        </w:tc>
        <w:tc>
          <w:tcPr>
            <w:vAlign w:val="center"/>
          </w:tcPr>
          <w:p>
            <w:pPr>
              <w:jc w:val="center"/>
            </w:pPr>
            <w:r>
              <w:rPr>
                <w:color w:val="000000"/>
                <w:kern w:val="0"/>
                <w:sz w:val="24"/>
                <w:szCs w:val="24"/>
              </w:rPr>
              <w:t>同花顺</w:t>
            </w:r>
          </w:p>
        </w:tc>
        <w:tc>
          <w:tcPr>
            <w:vAlign w:val="center"/>
          </w:tcPr>
          <w:p>
            <w:pPr>
              <w:jc w:val="right"/>
            </w:pPr>
            <w:r>
              <w:rPr>
                <w:color w:val="000000"/>
                <w:kern w:val="0"/>
                <w:sz w:val="24"/>
                <w:szCs w:val="24"/>
              </w:rPr>
              <w:t>462,379</w:t>
            </w:r>
          </w:p>
        </w:tc>
        <w:tc>
          <w:tcPr>
            <w:vAlign w:val="center"/>
          </w:tcPr>
          <w:p>
            <w:pPr>
              <w:jc w:val="right"/>
            </w:pPr>
            <w:r>
              <w:rPr>
                <w:color w:val="000000"/>
                <w:kern w:val="0"/>
                <w:sz w:val="24"/>
                <w:szCs w:val="24"/>
              </w:rPr>
              <w:t>61,533,397.32</w:t>
            </w:r>
          </w:p>
        </w:tc>
        <w:tc>
          <w:tcPr>
            <w:vAlign w:val="center"/>
          </w:tcPr>
          <w:p>
            <w:pPr>
              <w:jc w:val="right"/>
            </w:pPr>
            <w:r>
              <w:rPr>
                <w:color w:val="000000"/>
                <w:kern w:val="0"/>
                <w:sz w:val="24"/>
                <w:szCs w:val="24"/>
              </w:rPr>
              <w:t>2.14</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757,510,000.00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26.30</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757,510,000.00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26.30</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102,665,317.15</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3.56</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860,175,317.15</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29.86</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180313</w:t>
            </w:r>
          </w:p>
        </w:tc>
        <w:tc>
          <w:tcPr>
            <w:vAlign w:val="center"/>
          </w:tcPr>
          <w:p>
            <w:pPr>
              <w:jc w:val="center"/>
            </w:pPr>
            <w:r>
              <w:rPr>
                <w:color w:val="000000"/>
                <w:kern w:val="0"/>
                <w:sz w:val="24"/>
                <w:szCs w:val="24"/>
              </w:rPr>
              <w:t>18进出13</w:t>
            </w:r>
          </w:p>
        </w:tc>
        <w:tc>
          <w:tcPr>
            <w:vAlign w:val="center"/>
          </w:tcPr>
          <w:p>
            <w:pPr>
              <w:jc w:val="right"/>
            </w:pPr>
            <w:r>
              <w:rPr>
                <w:color w:val="000000"/>
                <w:kern w:val="0"/>
                <w:sz w:val="24"/>
                <w:szCs w:val="24"/>
              </w:rPr>
              <w:t>1,400,000</w:t>
            </w:r>
          </w:p>
        </w:tc>
        <w:tc>
          <w:tcPr>
            <w:vAlign w:val="center"/>
          </w:tcPr>
          <w:p>
            <w:pPr>
              <w:jc w:val="right"/>
            </w:pPr>
            <w:r>
              <w:rPr>
                <w:color w:val="000000"/>
                <w:kern w:val="0"/>
                <w:sz w:val="24"/>
                <w:szCs w:val="24"/>
              </w:rPr>
              <w:t>142,324,000.00</w:t>
            </w:r>
          </w:p>
        </w:tc>
        <w:tc>
          <w:tcPr>
            <w:vAlign w:val="center"/>
          </w:tcPr>
          <w:p>
            <w:pPr>
              <w:jc w:val="right"/>
            </w:pPr>
            <w:r>
              <w:rPr>
                <w:color w:val="000000"/>
                <w:kern w:val="0"/>
                <w:sz w:val="24"/>
                <w:szCs w:val="24"/>
              </w:rPr>
              <w:t>4.94</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180208</w:t>
            </w:r>
          </w:p>
        </w:tc>
        <w:tc>
          <w:tcPr>
            <w:vAlign w:val="center"/>
          </w:tcPr>
          <w:p>
            <w:pPr>
              <w:jc w:val="center"/>
            </w:pPr>
            <w:r>
              <w:rPr>
                <w:color w:val="000000"/>
                <w:kern w:val="0"/>
                <w:sz w:val="24"/>
                <w:szCs w:val="24"/>
              </w:rPr>
              <w:t>18国开08</w:t>
            </w:r>
          </w:p>
        </w:tc>
        <w:tc>
          <w:tcPr>
            <w:vAlign w:val="center"/>
          </w:tcPr>
          <w:p>
            <w:pPr>
              <w:jc w:val="right"/>
            </w:pPr>
            <w:r>
              <w:rPr>
                <w:color w:val="000000"/>
                <w:kern w:val="0"/>
                <w:sz w:val="24"/>
                <w:szCs w:val="24"/>
              </w:rPr>
              <w:t>1,300,000</w:t>
            </w:r>
          </w:p>
        </w:tc>
        <w:tc>
          <w:tcPr>
            <w:vAlign w:val="center"/>
          </w:tcPr>
          <w:p>
            <w:pPr>
              <w:jc w:val="right"/>
            </w:pPr>
            <w:r>
              <w:rPr>
                <w:color w:val="000000"/>
                <w:kern w:val="0"/>
                <w:sz w:val="24"/>
                <w:szCs w:val="24"/>
              </w:rPr>
              <w:t>131,963,000.00</w:t>
            </w:r>
          </w:p>
        </w:tc>
        <w:tc>
          <w:tcPr>
            <w:vAlign w:val="center"/>
          </w:tcPr>
          <w:p>
            <w:pPr>
              <w:jc w:val="right"/>
            </w:pPr>
            <w:r>
              <w:rPr>
                <w:color w:val="000000"/>
                <w:kern w:val="0"/>
                <w:sz w:val="24"/>
                <w:szCs w:val="24"/>
              </w:rPr>
              <w:t>4.58</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190214</w:t>
            </w:r>
          </w:p>
        </w:tc>
        <w:tc>
          <w:tcPr>
            <w:vAlign w:val="center"/>
          </w:tcPr>
          <w:p>
            <w:pPr>
              <w:jc w:val="center"/>
            </w:pPr>
            <w:r>
              <w:rPr>
                <w:color w:val="000000"/>
                <w:kern w:val="0"/>
                <w:sz w:val="24"/>
                <w:szCs w:val="24"/>
              </w:rPr>
              <w:t>19国开14</w:t>
            </w:r>
          </w:p>
        </w:tc>
        <w:tc>
          <w:tcPr>
            <w:vAlign w:val="center"/>
          </w:tcPr>
          <w:p>
            <w:pPr>
              <w:jc w:val="right"/>
            </w:pPr>
            <w:r>
              <w:rPr>
                <w:color w:val="000000"/>
                <w:kern w:val="0"/>
                <w:sz w:val="24"/>
                <w:szCs w:val="24"/>
              </w:rPr>
              <w:t>1,300,000</w:t>
            </w:r>
          </w:p>
        </w:tc>
        <w:tc>
          <w:tcPr>
            <w:vAlign w:val="center"/>
          </w:tcPr>
          <w:p>
            <w:pPr>
              <w:jc w:val="right"/>
            </w:pPr>
            <w:r>
              <w:rPr>
                <w:color w:val="000000"/>
                <w:kern w:val="0"/>
                <w:sz w:val="24"/>
                <w:szCs w:val="24"/>
              </w:rPr>
              <w:t>130,936,000.00</w:t>
            </w:r>
          </w:p>
        </w:tc>
        <w:tc>
          <w:tcPr>
            <w:vAlign w:val="center"/>
          </w:tcPr>
          <w:p>
            <w:pPr>
              <w:jc w:val="right"/>
            </w:pPr>
            <w:r>
              <w:rPr>
                <w:color w:val="000000"/>
                <w:kern w:val="0"/>
                <w:sz w:val="24"/>
                <w:szCs w:val="24"/>
              </w:rPr>
              <w:t>4.55</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190212</w:t>
            </w:r>
          </w:p>
        </w:tc>
        <w:tc>
          <w:tcPr>
            <w:vAlign w:val="center"/>
          </w:tcPr>
          <w:p>
            <w:pPr>
              <w:jc w:val="center"/>
            </w:pPr>
            <w:r>
              <w:rPr>
                <w:color w:val="000000"/>
                <w:kern w:val="0"/>
                <w:sz w:val="24"/>
                <w:szCs w:val="24"/>
              </w:rPr>
              <w:t>19国开12</w:t>
            </w:r>
          </w:p>
        </w:tc>
        <w:tc>
          <w:tcPr>
            <w:vAlign w:val="center"/>
          </w:tcPr>
          <w:p>
            <w:pPr>
              <w:jc w:val="right"/>
            </w:pPr>
            <w:r>
              <w:rPr>
                <w:color w:val="000000"/>
                <w:kern w:val="0"/>
                <w:sz w:val="24"/>
                <w:szCs w:val="24"/>
              </w:rPr>
              <w:t>1,000,000</w:t>
            </w:r>
          </w:p>
        </w:tc>
        <w:tc>
          <w:tcPr>
            <w:vAlign w:val="center"/>
          </w:tcPr>
          <w:p>
            <w:pPr>
              <w:jc w:val="right"/>
            </w:pPr>
            <w:r>
              <w:rPr>
                <w:color w:val="000000"/>
                <w:kern w:val="0"/>
                <w:sz w:val="24"/>
                <w:szCs w:val="24"/>
              </w:rPr>
              <w:t>100,570,000.00</w:t>
            </w:r>
          </w:p>
        </w:tc>
        <w:tc>
          <w:tcPr>
            <w:vAlign w:val="center"/>
          </w:tcPr>
          <w:p>
            <w:pPr>
              <w:jc w:val="right"/>
            </w:pPr>
            <w:r>
              <w:rPr>
                <w:color w:val="000000"/>
                <w:kern w:val="0"/>
                <w:sz w:val="24"/>
                <w:szCs w:val="24"/>
              </w:rPr>
              <w:t>3.49</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180203</w:t>
            </w:r>
          </w:p>
        </w:tc>
        <w:tc>
          <w:tcPr>
            <w:vAlign w:val="center"/>
          </w:tcPr>
          <w:p>
            <w:pPr>
              <w:jc w:val="center"/>
            </w:pPr>
            <w:r>
              <w:rPr>
                <w:color w:val="000000"/>
                <w:kern w:val="0"/>
                <w:sz w:val="24"/>
                <w:szCs w:val="24"/>
              </w:rPr>
              <w:t>18国开03</w:t>
            </w:r>
          </w:p>
        </w:tc>
        <w:tc>
          <w:tcPr>
            <w:vAlign w:val="center"/>
          </w:tcPr>
          <w:p>
            <w:pPr>
              <w:jc w:val="right"/>
            </w:pPr>
            <w:r>
              <w:rPr>
                <w:color w:val="000000"/>
                <w:kern w:val="0"/>
                <w:sz w:val="24"/>
                <w:szCs w:val="24"/>
              </w:rPr>
              <w:t>700,000</w:t>
            </w:r>
          </w:p>
        </w:tc>
        <w:tc>
          <w:tcPr>
            <w:vAlign w:val="center"/>
          </w:tcPr>
          <w:p>
            <w:pPr>
              <w:jc w:val="right"/>
            </w:pPr>
            <w:r>
              <w:rPr>
                <w:color w:val="000000"/>
                <w:kern w:val="0"/>
                <w:sz w:val="24"/>
                <w:szCs w:val="24"/>
              </w:rPr>
              <w:t>71,148,000.00</w:t>
            </w:r>
          </w:p>
        </w:tc>
        <w:tc>
          <w:tcPr>
            <w:vAlign w:val="center"/>
          </w:tcPr>
          <w:p>
            <w:pPr>
              <w:jc w:val="right"/>
            </w:pPr>
            <w:r>
              <w:rPr>
                <w:color w:val="000000"/>
                <w:kern w:val="0"/>
                <w:sz w:val="24"/>
                <w:szCs w:val="24"/>
              </w:rPr>
              <w:t>2.47</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346,806.23</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14,979,399.44</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14,341,152.89</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29,667,358.56</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808"/>
        <w:gridCol w:w="1729"/>
        <w:gridCol w:w="1658"/>
        <w:gridCol w:w="1697"/>
        <w:gridCol w:w="1621"/>
      </w:tblGrid>
      <w:tr w:rsidR="00750D48" w:rsidRPr="00264E55" w:rsidTr="00B05049">
        <w:tc>
          <w:tcPr>
            <w:tcW w:type="dxa" w:w="1808"/>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序号</w:t>
            </w:r>
          </w:p>
        </w:tc>
        <w:tc>
          <w:tcPr>
            <w:tcW w:type="dxa" w:w="1729"/>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债券代码</w:t>
            </w:r>
          </w:p>
        </w:tc>
        <w:tc>
          <w:tcPr>
            <w:tcW w:type="dxa" w:w="1658"/>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债券名称</w:t>
            </w:r>
          </w:p>
        </w:tc>
        <w:tc>
          <w:tcPr>
            <w:tcW w:type="dxa" w:w="1697"/>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公允价值</w:t>
            </w:r>
            <w:r w:rsidR="005F7917" w:rsidRPr="00B227EA">
              <w:rPr>
                <w:color w:val="000000"/>
                <w:kern w:val="0"/>
                <w:sz w:val="24"/>
                <w:szCs w:val="24"/>
              </w:rPr>
              <w:t>（元）</w:t>
            </w:r>
          </w:p>
        </w:tc>
        <w:tc>
          <w:tcPr>
            <w:tcW w:type="dxa" w:w="1621"/>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占基金资产净值比例</w:t>
            </w:r>
            <w:r w:rsidR="005F7917" w:rsidRPr="00B227EA">
              <w:rPr>
                <w:color w:val="000000"/>
                <w:kern w:val="0"/>
                <w:sz w:val="24"/>
                <w:szCs w:val="24"/>
              </w:rPr>
              <w:t>（</w:t>
            </w:r>
            <w:r w:rsidR="005F7917" w:rsidRPr="00B227EA">
              <w:rPr>
                <w:color w:val="000000"/>
                <w:kern w:val="0"/>
                <w:sz w:val="24"/>
                <w:szCs w:val="24"/>
              </w:rPr>
              <w:t>%</w:t>
            </w:r>
            <w:r w:rsidR="005F7917" w:rsidRPr="00B227EA">
              <w:rPr>
                <w:color w:val="000000"/>
                <w:kern w:val="0"/>
                <w:sz w:val="24"/>
                <w:szCs w:val="24"/>
              </w:rPr>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128045</w:t>
            </w:r>
          </w:p>
        </w:tc>
        <w:tc>
          <w:tcPr>
            <w:vAlign w:val="center"/>
          </w:tcPr>
          <w:p>
            <w:pPr>
              <w:jc w:val="center"/>
            </w:pPr>
            <w:r>
              <w:rPr>
                <w:color w:val="000000"/>
                <w:kern w:val="0"/>
                <w:sz w:val="24"/>
                <w:szCs w:val="24"/>
              </w:rPr>
              <w:t>机电转债</w:t>
            </w:r>
          </w:p>
        </w:tc>
        <w:tc>
          <w:tcPr>
            <w:vAlign w:val="center"/>
          </w:tcPr>
          <w:p>
            <w:pPr>
              <w:jc w:val="right"/>
            </w:pPr>
            <w:r>
              <w:rPr>
                <w:color w:val="000000"/>
                <w:kern w:val="0"/>
                <w:sz w:val="24"/>
                <w:szCs w:val="24"/>
              </w:rPr>
              <w:t>27,894,811.44</w:t>
            </w:r>
          </w:p>
        </w:tc>
        <w:tc>
          <w:tcPr>
            <w:vAlign w:val="center"/>
          </w:tcPr>
          <w:p>
            <w:pPr>
              <w:jc w:val="right"/>
            </w:pPr>
            <w:r>
              <w:rPr>
                <w:color w:val="000000"/>
                <w:kern w:val="0"/>
                <w:sz w:val="24"/>
                <w:szCs w:val="24"/>
              </w:rPr>
              <w:t>0.97</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113021</w:t>
            </w:r>
          </w:p>
        </w:tc>
        <w:tc>
          <w:tcPr>
            <w:vAlign w:val="center"/>
          </w:tcPr>
          <w:p>
            <w:pPr>
              <w:jc w:val="center"/>
            </w:pPr>
            <w:r>
              <w:rPr>
                <w:color w:val="000000"/>
                <w:kern w:val="0"/>
                <w:sz w:val="24"/>
                <w:szCs w:val="24"/>
              </w:rPr>
              <w:t>中信转债</w:t>
            </w:r>
          </w:p>
        </w:tc>
        <w:tc>
          <w:tcPr>
            <w:vAlign w:val="center"/>
          </w:tcPr>
          <w:p>
            <w:pPr>
              <w:jc w:val="right"/>
            </w:pPr>
            <w:r>
              <w:rPr>
                <w:color w:val="000000"/>
                <w:kern w:val="0"/>
                <w:sz w:val="24"/>
                <w:szCs w:val="24"/>
              </w:rPr>
              <w:t>27,219,400.00</w:t>
            </w:r>
          </w:p>
        </w:tc>
        <w:tc>
          <w:tcPr>
            <w:vAlign w:val="center"/>
          </w:tcPr>
          <w:p>
            <w:pPr>
              <w:jc w:val="right"/>
            </w:pPr>
            <w:r>
              <w:rPr>
                <w:color w:val="000000"/>
                <w:kern w:val="0"/>
                <w:sz w:val="24"/>
                <w:szCs w:val="24"/>
              </w:rPr>
              <w:t>0.95</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128035</w:t>
            </w:r>
          </w:p>
        </w:tc>
        <w:tc>
          <w:tcPr>
            <w:vAlign w:val="center"/>
          </w:tcPr>
          <w:p>
            <w:pPr>
              <w:jc w:val="center"/>
            </w:pPr>
            <w:r>
              <w:rPr>
                <w:color w:val="000000"/>
                <w:kern w:val="0"/>
                <w:sz w:val="24"/>
                <w:szCs w:val="24"/>
              </w:rPr>
              <w:t>大族转债</w:t>
            </w:r>
          </w:p>
        </w:tc>
        <w:tc>
          <w:tcPr>
            <w:vAlign w:val="center"/>
          </w:tcPr>
          <w:p>
            <w:pPr>
              <w:jc w:val="right"/>
            </w:pPr>
            <w:r>
              <w:rPr>
                <w:color w:val="000000"/>
                <w:kern w:val="0"/>
                <w:sz w:val="24"/>
                <w:szCs w:val="24"/>
              </w:rPr>
              <w:t>13,917,800.00</w:t>
            </w:r>
          </w:p>
        </w:tc>
        <w:tc>
          <w:tcPr>
            <w:vAlign w:val="center"/>
          </w:tcPr>
          <w:p>
            <w:pPr>
              <w:jc w:val="right"/>
            </w:pPr>
            <w:r>
              <w:rPr>
                <w:color w:val="000000"/>
                <w:kern w:val="0"/>
                <w:sz w:val="24"/>
                <w:szCs w:val="24"/>
              </w:rPr>
              <w:t>0.48</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128083</w:t>
            </w:r>
          </w:p>
        </w:tc>
        <w:tc>
          <w:tcPr>
            <w:vAlign w:val="center"/>
          </w:tcPr>
          <w:p>
            <w:pPr>
              <w:jc w:val="center"/>
            </w:pPr>
            <w:r>
              <w:rPr>
                <w:color w:val="000000"/>
                <w:kern w:val="0"/>
                <w:sz w:val="24"/>
                <w:szCs w:val="24"/>
              </w:rPr>
              <w:t>新北转债</w:t>
            </w:r>
          </w:p>
        </w:tc>
        <w:tc>
          <w:tcPr>
            <w:vAlign w:val="center"/>
          </w:tcPr>
          <w:p>
            <w:pPr>
              <w:jc w:val="right"/>
            </w:pPr>
            <w:r>
              <w:rPr>
                <w:color w:val="000000"/>
                <w:kern w:val="0"/>
                <w:sz w:val="24"/>
                <w:szCs w:val="24"/>
              </w:rPr>
              <w:t>6,985,003.20</w:t>
            </w:r>
          </w:p>
        </w:tc>
        <w:tc>
          <w:tcPr>
            <w:vAlign w:val="center"/>
          </w:tcPr>
          <w:p>
            <w:pPr>
              <w:jc w:val="right"/>
            </w:pPr>
            <w:r>
              <w:rPr>
                <w:color w:val="000000"/>
                <w:kern w:val="0"/>
                <w:sz w:val="24"/>
                <w:szCs w:val="24"/>
              </w:rPr>
              <w:t>0.24</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110031</w:t>
            </w:r>
          </w:p>
        </w:tc>
        <w:tc>
          <w:tcPr>
            <w:vAlign w:val="center"/>
          </w:tcPr>
          <w:p>
            <w:pPr>
              <w:jc w:val="center"/>
            </w:pPr>
            <w:r>
              <w:rPr>
                <w:color w:val="000000"/>
                <w:kern w:val="0"/>
                <w:sz w:val="24"/>
                <w:szCs w:val="24"/>
              </w:rPr>
              <w:t>航信转债</w:t>
            </w:r>
          </w:p>
        </w:tc>
        <w:tc>
          <w:tcPr>
            <w:vAlign w:val="center"/>
          </w:tcPr>
          <w:p>
            <w:pPr>
              <w:jc w:val="right"/>
            </w:pPr>
            <w:r>
              <w:rPr>
                <w:color w:val="000000"/>
                <w:kern w:val="0"/>
                <w:sz w:val="24"/>
                <w:szCs w:val="24"/>
              </w:rPr>
              <w:t>2,157,400.00</w:t>
            </w:r>
          </w:p>
        </w:tc>
        <w:tc>
          <w:tcPr>
            <w:vAlign w:val="center"/>
          </w:tcPr>
          <w:p>
            <w:pPr>
              <w:jc w:val="right"/>
            </w:pPr>
            <w:r>
              <w:rPr>
                <w:color w:val="000000"/>
                <w:kern w:val="0"/>
                <w:sz w:val="24"/>
                <w:szCs w:val="24"/>
              </w:rPr>
              <w:t>0.07</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128057</w:t>
            </w:r>
          </w:p>
        </w:tc>
        <w:tc>
          <w:tcPr>
            <w:vAlign w:val="center"/>
          </w:tcPr>
          <w:p>
            <w:pPr>
              <w:jc w:val="center"/>
            </w:pPr>
            <w:r>
              <w:rPr>
                <w:color w:val="000000"/>
                <w:kern w:val="0"/>
                <w:sz w:val="24"/>
                <w:szCs w:val="24"/>
              </w:rPr>
              <w:t>博彦转债</w:t>
            </w:r>
          </w:p>
        </w:tc>
        <w:tc>
          <w:tcPr>
            <w:vAlign w:val="center"/>
          </w:tcPr>
          <w:p>
            <w:pPr>
              <w:jc w:val="right"/>
            </w:pPr>
            <w:r>
              <w:rPr>
                <w:color w:val="000000"/>
                <w:kern w:val="0"/>
                <w:sz w:val="24"/>
                <w:szCs w:val="24"/>
              </w:rPr>
              <w:t>16,392.66</w:t>
            </w:r>
          </w:p>
        </w:tc>
        <w:tc>
          <w:tcPr>
            <w:vAlign w:val="center"/>
          </w:tcPr>
          <w:p>
            <w:pPr>
              <w:jc w:val="right"/>
            </w:pPr>
            <w:r>
              <w:rPr>
                <w:color w:val="000000"/>
                <w:kern w:val="0"/>
                <w:sz w:val="24"/>
                <w:szCs w:val="24"/>
              </w:rPr>
              <w:t>0.00</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083"/>
        <w:gridCol w:w="1302"/>
        <w:gridCol w:w="1301"/>
        <w:gridCol w:w="1805"/>
        <w:gridCol w:w="1655"/>
        <w:gridCol w:w="1367"/>
      </w:tblGrid>
      <w:tr w:rsidR="00750D48" w:rsidRPr="00264E55" w:rsidTr="00B05049">
        <w:tc>
          <w:tcPr>
            <w:tcW w:type="dxa" w:w="1083"/>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序号</w:t>
            </w:r>
          </w:p>
        </w:tc>
        <w:tc>
          <w:tcPr>
            <w:tcW w:type="dxa" w:w="1302"/>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股票代码</w:t>
            </w:r>
          </w:p>
        </w:tc>
        <w:tc>
          <w:tcPr>
            <w:tcW w:type="dxa" w:w="1301"/>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股票名称</w:t>
            </w:r>
          </w:p>
        </w:tc>
        <w:tc>
          <w:tcPr>
            <w:tcW w:type="dxa" w:w="1805"/>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流通受限部分的公允价值</w:t>
            </w:r>
            <w:r w:rsidR="005F7917" w:rsidRPr="00B227EA">
              <w:rPr>
                <w:color w:val="000000"/>
                <w:kern w:val="0"/>
                <w:sz w:val="24"/>
                <w:szCs w:val="24"/>
              </w:rPr>
              <w:t>（元）</w:t>
            </w:r>
          </w:p>
        </w:tc>
        <w:tc>
          <w:tcPr>
            <w:tcW w:type="dxa" w:w="1655"/>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占基金资产净值比例</w:t>
            </w:r>
            <w:r w:rsidR="005F7917" w:rsidRPr="00B227EA">
              <w:rPr>
                <w:color w:val="000000"/>
                <w:kern w:val="0"/>
                <w:sz w:val="24"/>
                <w:szCs w:val="24"/>
              </w:rPr>
              <w:t>（</w:t>
            </w:r>
            <w:r w:rsidR="005F7917" w:rsidRPr="00B227EA">
              <w:rPr>
                <w:color w:val="000000"/>
                <w:kern w:val="0"/>
                <w:sz w:val="24"/>
                <w:szCs w:val="24"/>
              </w:rPr>
              <w:t>%</w:t>
            </w:r>
            <w:r w:rsidR="005F7917" w:rsidRPr="00B227EA">
              <w:rPr>
                <w:color w:val="000000"/>
                <w:kern w:val="0"/>
                <w:sz w:val="24"/>
                <w:szCs w:val="24"/>
              </w:rPr>
              <w:t>）</w:t>
            </w:r>
          </w:p>
        </w:tc>
        <w:tc>
          <w:tcPr>
            <w:tcW w:type="dxa" w:w="1367"/>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流通受限情况说明</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300476</w:t>
            </w:r>
          </w:p>
        </w:tc>
        <w:tc>
          <w:tcPr>
            <w:vAlign w:val="center"/>
          </w:tcPr>
          <w:p>
            <w:pPr>
              <w:jc w:val="center"/>
            </w:pPr>
            <w:r>
              <w:rPr>
                <w:color w:val="000000"/>
                <w:kern w:val="0"/>
                <w:sz w:val="24"/>
                <w:szCs w:val="24"/>
              </w:rPr>
              <w:t>胜宏科技</w:t>
            </w:r>
          </w:p>
        </w:tc>
        <w:tc>
          <w:tcPr>
            <w:vAlign w:val="center"/>
          </w:tcPr>
          <w:p>
            <w:pPr>
              <w:jc w:val="right"/>
            </w:pPr>
            <w:r>
              <w:rPr>
                <w:color w:val="000000"/>
                <w:kern w:val="0"/>
                <w:sz w:val="24"/>
                <w:szCs w:val="24"/>
              </w:rPr>
              <w:t>14,178,000.00</w:t>
            </w:r>
          </w:p>
        </w:tc>
        <w:tc>
          <w:tcPr>
            <w:vAlign w:val="center"/>
          </w:tcPr>
          <w:p>
            <w:pPr>
              <w:jc w:val="right"/>
            </w:pPr>
            <w:r>
              <w:rPr>
                <w:color w:val="000000"/>
                <w:kern w:val="0"/>
                <w:sz w:val="24"/>
                <w:szCs w:val="24"/>
              </w:rPr>
              <w:t>0.49</w:t>
            </w:r>
          </w:p>
        </w:tc>
        <w:tc>
          <w:tcPr>
            <w:vAlign w:val="center"/>
          </w:tcPr>
          <w:p>
            <w:pPr>
              <w:jc w:val="right"/>
            </w:pPr>
            <w:r>
              <w:rPr>
                <w:color w:val="000000"/>
                <w:kern w:val="0"/>
                <w:sz w:val="24"/>
                <w:szCs w:val="24"/>
              </w:rPr>
              <w:t>大宗交易流通受限</w:t>
            </w:r>
          </w:p>
        </w:tc>
      </w:tr>
    </w:tbl>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注：根据《深圳/上海证券交易所上市公司股东及董事、监事、高级管理人员减持股份实施细则》，大股东减持或者特定股东减持，采取大宗交易方式的，在任意连续90日内，减持股份的总数不得超过公司股份总数的2%；前款交易的受让方在受让后6个月内，不得转让所受让的股份。</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694,346,024.23</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54,025,897.70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47,443,567.88</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700,928,354.05</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 中国证监会批准易方达平稳增长证券投资基金设立的文件；</w:t>
      </w:r>
    </w:p>
    <w:p>
      <w:pPr>
        <w:spacing w:line="360" w:lineRule="auto"/>
        <w:ind w:firstLine="480" w:firstLineChars="200"/>
        <w:rPr>
          <w:color w:val="000000"/>
          <w:sz w:val="24"/>
          <w:szCs w:val="24"/>
        </w:rPr>
      </w:pPr>
      <w:r>
        <w:rPr>
          <w:color w:val="000000"/>
          <w:sz w:val="24"/>
          <w:szCs w:val="24"/>
        </w:rPr>
        <w:t>2.《易方达平稳增长证券投资基金基金合同》；</w:t>
      </w:r>
    </w:p>
    <w:p>
      <w:pPr>
        <w:spacing w:line="360" w:lineRule="auto"/>
        <w:ind w:firstLine="480" w:firstLineChars="200"/>
        <w:rPr>
          <w:color w:val="000000"/>
          <w:sz w:val="24"/>
          <w:szCs w:val="24"/>
        </w:rPr>
      </w:pPr>
      <w:r>
        <w:rPr>
          <w:color w:val="000000"/>
          <w:sz w:val="24"/>
          <w:szCs w:val="24"/>
        </w:rPr>
        <w:t>3.《易方达平稳增长证券投资基金托管协议》；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 基金管理人业务资格批件和营业执照。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易方达平稳增长证券投资基金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