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易方达消费精选股票型证券投资基金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中国建设银行股份有限公司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本报告期自2020年4月13日起至6月30日止。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易方达消费精选股票</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009265</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009265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2020年4月13日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8,306,370,972.68</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本基金主要投资消费行业证券，在控制风险的前提下，追求超越业绩比较基准的投资回报。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将综合考虑宏观与微观经济、市场与政策等因素，确定组合中股票、债券、货币市场工具及其他金融工具的比例。在股票投资方面，本基金专注于消费行业的投资，包括食品与主要用品零售行业，家庭与个人用品行业，食品、饮料与烟草行业，汽车与汽车零部件行业，耐用消费品与服装行业，消费者服务行业，传媒行业，零售业等；本基金通过综合分析公司的市场前景、管理团队、研发能力、核心竞优势、营销能力、运营效率、成长潜力、盈利能力、现金流情况、财务结构等因素的综合分析，精选具有高质量增长能力的公司进行投资。在债券投资方面，本基金将主要通过类属配置与券种选择两个层次进行投资管理。</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中证内地消费主题指数收益率×50%+中证香港300消费指数收益率×35%+中债总指数收益率×15%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本基金为股票基金，理论上其预期风险与预期收益高于混合基金、债券基金和货币市场基金。 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中国建设银行股份有限公司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2020年4月13日（基金合同生效日）-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19,469,726.87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391,942,070.80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0.0481</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8,699,169,711.93</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1.0473</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pPr>
        <w:spacing w:line="360" w:lineRule="auto"/>
        <w:ind w:firstLine="480" w:firstLineChars="200"/>
        <w:rPr>
          <w:color w:val="000000"/>
          <w:sz w:val="24"/>
          <w:szCs w:val="24"/>
        </w:rPr>
      </w:pPr>
      <w:r>
        <w:rPr>
          <w:color w:val="000000"/>
          <w:sz w:val="24"/>
        </w:rPr>
        <w:t>2.本期已实现收益指基金本期利息收入、投资收益、其他收入(不含公允价值变动收益)扣除相关费用后的余额,本期利润为本期已实现收益加上本期公允价值变动收益。</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3.本基金合同于2020年4月13日生效,合同生效当期的相关数据和指标按实际存续期计算。</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4.73%</w:t>
            </w:r>
          </w:p>
        </w:tc>
        <w:tc>
          <w:tcPr>
            <w:vAlign w:val="center"/>
          </w:tcPr>
          <w:p>
            <w:pPr>
              <w:jc w:val="center"/>
            </w:pPr>
            <w:r>
              <w:rPr>
                <w:color w:val="000000"/>
                <w:kern w:val="0"/>
                <w:sz w:val="24"/>
                <w:szCs w:val="24"/>
              </w:rPr>
              <w:t>0.54%</w:t>
            </w:r>
          </w:p>
        </w:tc>
        <w:tc>
          <w:tcPr>
            <w:vAlign w:val="center"/>
          </w:tcPr>
          <w:p>
            <w:pPr>
              <w:jc w:val="center"/>
            </w:pPr>
            <w:r>
              <w:rPr>
                <w:color w:val="000000"/>
                <w:kern w:val="0"/>
                <w:sz w:val="24"/>
                <w:szCs w:val="24"/>
              </w:rPr>
              <w:t>16.52%</w:t>
            </w:r>
          </w:p>
        </w:tc>
        <w:tc>
          <w:tcPr>
            <w:vAlign w:val="center"/>
          </w:tcPr>
          <w:p>
            <w:pPr>
              <w:jc w:val="center"/>
            </w:pPr>
            <w:r>
              <w:rPr>
                <w:color w:val="000000"/>
                <w:kern w:val="0"/>
                <w:sz w:val="24"/>
                <w:szCs w:val="24"/>
              </w:rPr>
              <w:t>1.02%</w:t>
            </w:r>
          </w:p>
        </w:tc>
        <w:tc>
          <w:tcPr>
            <w:vAlign w:val="center"/>
          </w:tcPr>
          <w:p>
            <w:pPr>
              <w:jc w:val="center"/>
            </w:pPr>
            <w:r>
              <w:rPr>
                <w:color w:val="000000"/>
                <w:kern w:val="0"/>
                <w:sz w:val="24"/>
                <w:szCs w:val="24"/>
              </w:rPr>
              <w:t>-11.79%</w:t>
            </w:r>
          </w:p>
        </w:tc>
        <w:tc>
          <w:tcPr>
            <w:vAlign w:val="center"/>
          </w:tcPr>
          <w:p>
            <w:pPr>
              <w:jc w:val="center"/>
            </w:pPr>
            <w:r>
              <w:rPr>
                <w:color w:val="000000"/>
                <w:kern w:val="0"/>
                <w:sz w:val="24"/>
                <w:szCs w:val="24"/>
              </w:rPr>
              <w:t>-0.48%</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易方达消费精选股票型证券投资基金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2020年4月13日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注：1.本基金合同于2020年4月13日生效,截至报告期末本基金合同生效未满一年。</w:t>
      </w:r>
    </w:p>
    <w:p>
      <w:pPr>
        <w:spacing w:line="360" w:lineRule="auto"/>
        <w:ind w:firstLine="480" w:firstLineChars="200"/>
        <w:rPr>
          <w:color w:val="000000"/>
          <w:sz w:val="24"/>
          <w:szCs w:val="24"/>
        </w:rPr>
      </w:pPr>
      <w:r>
        <w:rPr>
          <w:color w:val="000000"/>
          <w:sz w:val="24"/>
          <w:szCs w:val="24"/>
        </w:rPr>
        <w:t>2.按基金合同和招募说明书的约定,自基金合同生效之日起六个月内使基金的投资组合比例符合本基金合同(第十二部分二、投资范围,三、投资策略和四、投资限制)的有关约定。本报告期本基金处于建仓期内。</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3.自基金合同生效至报告期末,基金份额净值增长率为4.73%,同期业绩比较基准收益率为16.52%。</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萧楠</w:t>
            </w:r>
          </w:p>
        </w:tc>
        <w:tc>
          <w:tcPr>
            <w:vAlign w:val="center"/>
          </w:tcPr>
          <w:p>
            <w:pPr>
              <w:jc w:val="left"/>
            </w:pPr>
            <w:r>
              <w:rPr>
                <w:color w:val="000000"/>
                <w:sz w:val="24"/>
              </w:rPr>
              <w:t>本基金的基金经理、易方达消费行业股票型证券投资基金的基金经理、易方达大健康主题灵活配置混合型证券投资基金的基金经理、易方达现代服务业灵活配置混合型证券投资基金的基金经理（自2017年11月22日至2020年06月05日）、易方达瑞恒灵活配置混合型证券投资基金的基金经理、易方达科顺定期开放灵活配置混合型证券投资基金的基金经理、投资三部总经理、研究部副总经理</w:t>
            </w:r>
          </w:p>
        </w:tc>
        <w:tc>
          <w:tcPr>
            <w:vAlign w:val="center"/>
          </w:tcPr>
          <w:p>
            <w:pPr>
              <w:jc w:val="center"/>
            </w:pPr>
            <w:r>
              <w:rPr>
                <w:color w:val="000000"/>
                <w:sz w:val="24"/>
              </w:rPr>
              <w:t>2020-04-13</w:t>
            </w:r>
          </w:p>
        </w:tc>
        <w:tc>
          <w:tcPr>
            <w:vAlign w:val="center"/>
          </w:tcPr>
          <w:p>
            <w:pPr>
              <w:jc w:val="center"/>
            </w:pPr>
            <w:r>
              <w:rPr>
                <w:color w:val="000000"/>
                <w:sz w:val="24"/>
              </w:rPr>
              <w:t>-</w:t>
            </w:r>
          </w:p>
        </w:tc>
        <w:tc>
          <w:tcPr>
            <w:vAlign w:val="center"/>
          </w:tcPr>
          <w:p>
            <w:pPr>
              <w:jc w:val="center"/>
            </w:pPr>
            <w:r>
              <w:rPr>
                <w:color w:val="000000"/>
                <w:sz w:val="24"/>
              </w:rPr>
              <w:t>14年</w:t>
            </w:r>
          </w:p>
        </w:tc>
        <w:tc>
          <w:tcPr>
            <w:vAlign w:val="center"/>
          </w:tcPr>
          <w:p>
            <w:pPr>
              <w:jc w:val="both"/>
            </w:pPr>
            <w:r>
              <w:rPr>
                <w:color w:val="000000"/>
                <w:sz w:val="24"/>
              </w:rPr>
              <w:t>硕士研究生，具有基金从业资格。曾任易方达基金管理有限公司研究部行业研究员、基金投资部基金经理助理、投资经理、易方达裕如灵活配置混合型证券投资基金基金经理、易方达新享灵活配置混合型证券投资基金基金经理、易方达瑞和灵活配置混合型证券投资基金基金经理、易方达价值成长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流动性持续推升股市，市场风险偏好有较明显的提升。二季度，上证综指上涨8.52%，上证50指数上涨9.40%，创业板指数上涨30.25%。医药、科技板块继续成为市场主线，而随着疫情得到控制，消费板块也明显受益，中证内地消费指数上涨20.73%，中证香港300消费指数上涨30.49%。</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二季度本基金仍位于建仓期，同期A股处于流动性推高估值的阶段，而港股则刚刚从疫情的影响中恢复，仍有大量低估的机会。因此，我们在A股主要配置了估值水平相对较低、商业模式过硬的企业，而在港股则重点配置了新消费方向的代表性个股，以及受疫情影响、估值处于低位，但长期竞争力得到增强的纺织服装板块内优质个股。</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截至报告期末，本基金份额净值为1.0473元，本报告期份额净值增长率为4.73%，同期业绩比较基准收益率为16.52%。</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4,699,079,230.67</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52.38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4,699,079,230.67</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52.38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3,000,000,000.00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33.44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1,188,069,773.63</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13.24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84,212,681.46</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0.94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8,971,361,685.76</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注：本基金本报告期末通过港股通交易机制投资的港股市值为2,251,637,282.04元,占净值比例25.88%。</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2,447,238,450.54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28.13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190,731.77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2,447,441,948.63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28.13</w:t>
            </w:r>
          </w:p>
        </w:tc>
      </w:tr>
    </w:tbl>
    <w:p w:rsidP="008C2A4F" w:rsidR="008C2A4F" w:rsidRDefault="008C2A4F" w:rsidRPr="008C2A4F">
      <w:pPr>
        <w:jc w:val="left"/>
        <w:rPr>
          <w:rFonts w:eastAsiaTheme="minorEastAsia"/>
          <w:b/>
          <w:bCs/>
          <w:color w:themeColor="text1" w:val="000000"/>
          <w:kern w:val="0"/>
          <w:sz w:val="24"/>
          <w:szCs w:val="24"/>
        </w:rPr>
      </w:pPr>
      <w:r w:rsidRPr="008C2A4F">
        <w:rPr>
          <w:rFonts w:eastAsiaTheme="minorEastAsia"/>
          <w:b/>
          <w:bCs/>
          <w:color w:themeColor="text1" w:val="000000"/>
          <w:kern w:val="0"/>
          <w:sz w:val="24"/>
          <w:szCs w:val="24"/>
        </w:rPr>
        <w:t xml:space="preserve"> </w:t>
      </w:r>
      <w:proofErr w:type="spellStart"/>
      <w:r w:rsidRPr="008C2A4F">
        <w:rPr>
          <w:rFonts w:eastAsiaTheme="minorEastAsia"/>
          <w:b/>
          <w:bCs/>
          <w:color w:themeColor="text1" w:val="000000"/>
          <w:kern w:val="0"/>
          <w:sz w:val="24"/>
          <w:szCs w:val="24"/>
        </w:rPr>
        <w:t/>
      </w:r>
      <w:proofErr w:type="spellEnd"/>
      <w:r w:rsidRPr="008C2A4F">
        <w:rPr>
          <w:rFonts w:eastAsiaTheme="minorEastAsia"/>
          <w:b/>
          <w:bCs/>
          <w:color w:themeColor="text1" w:val="000000"/>
          <w:kern w:val="0"/>
          <w:sz w:val="24"/>
          <w:szCs w:val="24"/>
        </w:rPr>
        <w:t>5.2.2</w:t>
      </w:r>
      <w:r w:rsidR="00B912D0">
        <w:rPr>
          <w:rFonts w:eastAsiaTheme="minorEastAsia"/>
          <w:b/>
          <w:bCs/>
          <w:color w:themeColor="text1" w:val="000000"/>
          <w:kern w:val="0"/>
          <w:sz w:val="24"/>
          <w:szCs w:val="24"/>
        </w:rPr>
        <w:t>报告期末按行业分类的</w:t>
      </w:r>
      <w:r w:rsidR="00B912D0">
        <w:rPr>
          <w:rFonts w:eastAsiaTheme="minorEastAsia" w:hint="eastAsia"/>
          <w:b/>
          <w:bCs/>
          <w:color w:themeColor="text1" w:val="000000"/>
          <w:kern w:val="0"/>
          <w:sz w:val="24"/>
          <w:szCs w:val="24"/>
        </w:rPr>
        <w:t>港股通</w:t>
      </w:r>
      <w:r w:rsidRPr="008C2A4F">
        <w:rPr>
          <w:rFonts w:eastAsiaTheme="minorEastAsia"/>
          <w:b/>
          <w:bCs/>
          <w:color w:themeColor="text1" w:val="000000"/>
          <w:kern w:val="0"/>
          <w:sz w:val="24"/>
          <w:szCs w:val="24"/>
        </w:rPr>
        <w:t>投资股票投资组合</w:t>
      </w:r>
    </w:p>
    <w:tbl>
      <w:tblPr>
        <w:tblW w:type="dxa" w:w="863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2397"/>
        <w:gridCol w:w="3119"/>
        <w:gridCol w:w="3118"/>
      </w:tblGrid>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119"/>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公允价值（人民币）</w:t>
            </w:r>
          </w:p>
        </w:tc>
        <w:tc>
          <w:tcPr>
            <w:tcW w:type="dxa" w:w="3118"/>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r w:rsidRPr="008C2A4F">
              <w:rPr>
                <w:rFonts w:eastAsiaTheme="minorEastAsia"/>
                <w:color w:themeColor="text1" w:val="000000"/>
                <w:kern w:val="0"/>
                <w:sz w:val="24"/>
                <w:szCs w:val="24"/>
              </w:rPr>
              <w:t>%</w:t>
            </w:r>
            <w:r w:rsidRPr="008C2A4F">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能源</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材料</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工业</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非必需消费品</w:t>
            </w:r>
          </w:p>
        </w:tc>
        <w:tc>
          <w:tcPr>
            <w:vAlign w:val="center"/>
          </w:tcPr>
          <w:p>
            <w:pPr>
              <w:jc w:val="center"/>
            </w:pPr>
            <w:r>
              <w:rPr>
                <w:rFonts w:eastAsiaTheme="minorEastAsia"/>
                <w:color w:themeColor="text1" w:val="000000"/>
                <w:kern w:val="0"/>
                <w:sz w:val="24"/>
                <w:szCs w:val="24"/>
              </w:rPr>
              <w:t>1,377,748,539.82</w:t>
            </w:r>
          </w:p>
        </w:tc>
        <w:tc>
          <w:tcPr>
            <w:vAlign w:val="center"/>
          </w:tcPr>
          <w:p>
            <w:pPr>
              <w:jc w:val="center"/>
            </w:pPr>
            <w:r>
              <w:rPr>
                <w:rFonts w:eastAsiaTheme="minorEastAsia"/>
                <w:color w:themeColor="text1" w:val="000000"/>
                <w:kern w:val="0"/>
                <w:sz w:val="24"/>
                <w:szCs w:val="24"/>
              </w:rPr>
              <w:t>15.84</w:t>
            </w:r>
          </w:p>
        </w:tc>
      </w:tr>
      <w:tr>
        <w:tc>
          <w:tcPr>
            <w:vAlign w:val="center"/>
          </w:tcPr>
          <w:p>
            <w:pPr>
              <w:jc w:val="center"/>
            </w:pPr>
            <w:r>
              <w:rPr>
                <w:rFonts w:eastAsiaTheme="minorEastAsia"/>
                <w:color w:themeColor="text1" w:val="000000"/>
                <w:kern w:val="0"/>
                <w:sz w:val="24"/>
                <w:szCs w:val="24"/>
              </w:rPr>
              <w:t>必需消费品</w:t>
            </w:r>
          </w:p>
        </w:tc>
        <w:tc>
          <w:tcPr>
            <w:vAlign w:val="center"/>
          </w:tcPr>
          <w:p>
            <w:pPr>
              <w:jc w:val="center"/>
            </w:pPr>
            <w:r>
              <w:rPr>
                <w:rFonts w:eastAsiaTheme="minorEastAsia"/>
                <w:color w:themeColor="text1" w:val="000000"/>
                <w:kern w:val="0"/>
                <w:sz w:val="24"/>
                <w:szCs w:val="24"/>
              </w:rPr>
              <w:t>873,888,742.22</w:t>
            </w:r>
          </w:p>
        </w:tc>
        <w:tc>
          <w:tcPr>
            <w:vAlign w:val="center"/>
          </w:tcPr>
          <w:p>
            <w:pPr>
              <w:jc w:val="center"/>
            </w:pPr>
            <w:r>
              <w:rPr>
                <w:rFonts w:eastAsiaTheme="minorEastAsia"/>
                <w:color w:themeColor="text1" w:val="000000"/>
                <w:kern w:val="0"/>
                <w:sz w:val="24"/>
                <w:szCs w:val="24"/>
              </w:rPr>
              <w:t>10.05</w:t>
            </w:r>
          </w:p>
        </w:tc>
      </w:tr>
      <w:tr>
        <w:tc>
          <w:tcPr>
            <w:vAlign w:val="center"/>
          </w:tcPr>
          <w:p>
            <w:pPr>
              <w:jc w:val="center"/>
            </w:pPr>
            <w:r>
              <w:rPr>
                <w:rFonts w:eastAsiaTheme="minorEastAsia"/>
                <w:color w:themeColor="text1" w:val="000000"/>
                <w:kern w:val="0"/>
                <w:sz w:val="24"/>
                <w:szCs w:val="24"/>
              </w:rPr>
              <w:t>保健</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金融</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信息技术</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电信服务</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公用事业</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房地产</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311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2,251,637,282.04</w:t>
            </w:r>
          </w:p>
        </w:tc>
        <w:tc>
          <w:tcPr>
            <w:tcW w:type="dxa" w:w="3118"/>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25.88</w:t>
            </w:r>
          </w:p>
        </w:tc>
      </w:tr>
    </w:tbl>
    <w:p w:rsidP="008C2A4F" w:rsidR="00750D48" w:rsidRDefault="008C2A4F" w:rsidRPr="008C2A4F">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注：以上分类采用全球行业分类标准（GICS）。</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 xml:space="preserve">03690 </w:t>
            </w:r>
          </w:p>
        </w:tc>
        <w:tc>
          <w:tcPr>
            <w:vAlign w:val="center"/>
          </w:tcPr>
          <w:p>
            <w:pPr>
              <w:jc w:val="center"/>
            </w:pPr>
            <w:r>
              <w:rPr>
                <w:color w:val="000000"/>
                <w:kern w:val="0"/>
                <w:sz w:val="24"/>
                <w:szCs w:val="24"/>
              </w:rPr>
              <w:t>美团点评－Ｗ</w:t>
            </w:r>
          </w:p>
        </w:tc>
        <w:tc>
          <w:tcPr>
            <w:vAlign w:val="center"/>
          </w:tcPr>
          <w:p>
            <w:pPr>
              <w:jc w:val="right"/>
            </w:pPr>
            <w:r>
              <w:rPr>
                <w:color w:val="000000"/>
                <w:kern w:val="0"/>
                <w:sz w:val="24"/>
                <w:szCs w:val="24"/>
              </w:rPr>
              <w:t>4,882,500</w:t>
            </w:r>
          </w:p>
        </w:tc>
        <w:tc>
          <w:tcPr>
            <w:vAlign w:val="center"/>
          </w:tcPr>
          <w:p>
            <w:pPr>
              <w:jc w:val="right"/>
            </w:pPr>
            <w:r>
              <w:rPr>
                <w:color w:val="000000"/>
                <w:kern w:val="0"/>
                <w:sz w:val="24"/>
                <w:szCs w:val="24"/>
              </w:rPr>
              <w:t>766,651,790.52</w:t>
            </w:r>
          </w:p>
        </w:tc>
        <w:tc>
          <w:tcPr>
            <w:vAlign w:val="center"/>
          </w:tcPr>
          <w:p>
            <w:pPr>
              <w:jc w:val="right"/>
            </w:pPr>
            <w:r>
              <w:rPr>
                <w:color w:val="000000"/>
                <w:kern w:val="0"/>
                <w:sz w:val="24"/>
                <w:szCs w:val="24"/>
              </w:rPr>
              <w:t>8.81</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000333</w:t>
            </w:r>
          </w:p>
        </w:tc>
        <w:tc>
          <w:tcPr>
            <w:vAlign w:val="center"/>
          </w:tcPr>
          <w:p>
            <w:pPr>
              <w:jc w:val="center"/>
            </w:pPr>
            <w:r>
              <w:rPr>
                <w:color w:val="000000"/>
                <w:kern w:val="0"/>
                <w:sz w:val="24"/>
                <w:szCs w:val="24"/>
              </w:rPr>
              <w:t>美的集团</w:t>
            </w:r>
          </w:p>
        </w:tc>
        <w:tc>
          <w:tcPr>
            <w:vAlign w:val="center"/>
          </w:tcPr>
          <w:p>
            <w:pPr>
              <w:jc w:val="right"/>
            </w:pPr>
            <w:r>
              <w:rPr>
                <w:color w:val="000000"/>
                <w:kern w:val="0"/>
                <w:sz w:val="24"/>
                <w:szCs w:val="24"/>
              </w:rPr>
              <w:t>7,725,766</w:t>
            </w:r>
          </w:p>
        </w:tc>
        <w:tc>
          <w:tcPr>
            <w:vAlign w:val="center"/>
          </w:tcPr>
          <w:p>
            <w:pPr>
              <w:jc w:val="right"/>
            </w:pPr>
            <w:r>
              <w:rPr>
                <w:color w:val="000000"/>
                <w:kern w:val="0"/>
                <w:sz w:val="24"/>
                <w:szCs w:val="24"/>
              </w:rPr>
              <w:t>461,923,549.14</w:t>
            </w:r>
          </w:p>
        </w:tc>
        <w:tc>
          <w:tcPr>
            <w:vAlign w:val="center"/>
          </w:tcPr>
          <w:p>
            <w:pPr>
              <w:jc w:val="right"/>
            </w:pPr>
            <w:r>
              <w:rPr>
                <w:color w:val="000000"/>
                <w:kern w:val="0"/>
                <w:sz w:val="24"/>
                <w:szCs w:val="24"/>
              </w:rPr>
              <w:t>5.31</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000423</w:t>
            </w:r>
          </w:p>
        </w:tc>
        <w:tc>
          <w:tcPr>
            <w:vAlign w:val="center"/>
          </w:tcPr>
          <w:p>
            <w:pPr>
              <w:jc w:val="center"/>
            </w:pPr>
            <w:r>
              <w:rPr>
                <w:color w:val="000000"/>
                <w:kern w:val="0"/>
                <w:sz w:val="24"/>
                <w:szCs w:val="24"/>
              </w:rPr>
              <w:t>东阿阿胶</w:t>
            </w:r>
          </w:p>
        </w:tc>
        <w:tc>
          <w:tcPr>
            <w:vAlign w:val="center"/>
          </w:tcPr>
          <w:p>
            <w:pPr>
              <w:jc w:val="right"/>
            </w:pPr>
            <w:r>
              <w:rPr>
                <w:color w:val="000000"/>
                <w:kern w:val="0"/>
                <w:sz w:val="24"/>
                <w:szCs w:val="24"/>
              </w:rPr>
              <w:t>11,005,549</w:t>
            </w:r>
          </w:p>
        </w:tc>
        <w:tc>
          <w:tcPr>
            <w:vAlign w:val="center"/>
          </w:tcPr>
          <w:p>
            <w:pPr>
              <w:jc w:val="right"/>
            </w:pPr>
            <w:r>
              <w:rPr>
                <w:color w:val="000000"/>
                <w:kern w:val="0"/>
                <w:sz w:val="24"/>
                <w:szCs w:val="24"/>
              </w:rPr>
              <w:t>394,108,709.69</w:t>
            </w:r>
          </w:p>
        </w:tc>
        <w:tc>
          <w:tcPr>
            <w:vAlign w:val="center"/>
          </w:tcPr>
          <w:p>
            <w:pPr>
              <w:jc w:val="right"/>
            </w:pPr>
            <w:r>
              <w:rPr>
                <w:color w:val="000000"/>
                <w:kern w:val="0"/>
                <w:sz w:val="24"/>
                <w:szCs w:val="24"/>
              </w:rPr>
              <w:t>4.53</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 xml:space="preserve">02313 </w:t>
            </w:r>
          </w:p>
        </w:tc>
        <w:tc>
          <w:tcPr>
            <w:vAlign w:val="center"/>
          </w:tcPr>
          <w:p>
            <w:pPr>
              <w:jc w:val="center"/>
            </w:pPr>
            <w:r>
              <w:rPr>
                <w:color w:val="000000"/>
                <w:kern w:val="0"/>
                <w:sz w:val="24"/>
                <w:szCs w:val="24"/>
              </w:rPr>
              <w:t>申洲国际</w:t>
            </w:r>
          </w:p>
        </w:tc>
        <w:tc>
          <w:tcPr>
            <w:vAlign w:val="center"/>
          </w:tcPr>
          <w:p>
            <w:pPr>
              <w:jc w:val="right"/>
            </w:pPr>
            <w:r>
              <w:rPr>
                <w:color w:val="000000"/>
                <w:kern w:val="0"/>
                <w:sz w:val="24"/>
                <w:szCs w:val="24"/>
              </w:rPr>
              <w:t>4,406,000</w:t>
            </w:r>
          </w:p>
        </w:tc>
        <w:tc>
          <w:tcPr>
            <w:vAlign w:val="center"/>
          </w:tcPr>
          <w:p>
            <w:pPr>
              <w:jc w:val="right"/>
            </w:pPr>
            <w:r>
              <w:rPr>
                <w:color w:val="000000"/>
                <w:kern w:val="0"/>
                <w:sz w:val="24"/>
                <w:szCs w:val="24"/>
              </w:rPr>
              <w:t>375,899,194.18</w:t>
            </w:r>
          </w:p>
        </w:tc>
        <w:tc>
          <w:tcPr>
            <w:vAlign w:val="center"/>
          </w:tcPr>
          <w:p>
            <w:pPr>
              <w:jc w:val="right"/>
            </w:pPr>
            <w:r>
              <w:rPr>
                <w:color w:val="000000"/>
                <w:kern w:val="0"/>
                <w:sz w:val="24"/>
                <w:szCs w:val="24"/>
              </w:rPr>
              <w:t>4.32</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244,636</w:t>
            </w:r>
          </w:p>
        </w:tc>
        <w:tc>
          <w:tcPr>
            <w:vAlign w:val="center"/>
          </w:tcPr>
          <w:p>
            <w:pPr>
              <w:jc w:val="right"/>
            </w:pPr>
            <w:r>
              <w:rPr>
                <w:color w:val="000000"/>
                <w:kern w:val="0"/>
                <w:sz w:val="24"/>
                <w:szCs w:val="24"/>
              </w:rPr>
              <w:t>357,873,111.68</w:t>
            </w:r>
          </w:p>
        </w:tc>
        <w:tc>
          <w:tcPr>
            <w:vAlign w:val="center"/>
          </w:tcPr>
          <w:p>
            <w:pPr>
              <w:jc w:val="right"/>
            </w:pPr>
            <w:r>
              <w:rPr>
                <w:color w:val="000000"/>
                <w:kern w:val="0"/>
                <w:sz w:val="24"/>
                <w:szCs w:val="24"/>
              </w:rPr>
              <w:t>4.11</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 xml:space="preserve">06186 </w:t>
            </w:r>
          </w:p>
        </w:tc>
        <w:tc>
          <w:tcPr>
            <w:vAlign w:val="center"/>
          </w:tcPr>
          <w:p>
            <w:pPr>
              <w:jc w:val="center"/>
            </w:pPr>
            <w:r>
              <w:rPr>
                <w:color w:val="000000"/>
                <w:kern w:val="0"/>
                <w:sz w:val="24"/>
                <w:szCs w:val="24"/>
              </w:rPr>
              <w:t>中国飞鹤</w:t>
            </w:r>
          </w:p>
        </w:tc>
        <w:tc>
          <w:tcPr>
            <w:vAlign w:val="center"/>
          </w:tcPr>
          <w:p>
            <w:pPr>
              <w:jc w:val="right"/>
            </w:pPr>
            <w:r>
              <w:rPr>
                <w:color w:val="000000"/>
                <w:kern w:val="0"/>
                <w:sz w:val="24"/>
                <w:szCs w:val="24"/>
              </w:rPr>
              <w:t>24,993,000</w:t>
            </w:r>
          </w:p>
        </w:tc>
        <w:tc>
          <w:tcPr>
            <w:vAlign w:val="center"/>
          </w:tcPr>
          <w:p>
            <w:pPr>
              <w:jc w:val="right"/>
            </w:pPr>
            <w:r>
              <w:rPr>
                <w:color w:val="000000"/>
                <w:kern w:val="0"/>
                <w:sz w:val="24"/>
                <w:szCs w:val="24"/>
              </w:rPr>
              <w:t>354,315,483.88</w:t>
            </w:r>
          </w:p>
        </w:tc>
        <w:tc>
          <w:tcPr>
            <w:vAlign w:val="center"/>
          </w:tcPr>
          <w:p>
            <w:pPr>
              <w:jc w:val="right"/>
            </w:pPr>
            <w:r>
              <w:rPr>
                <w:color w:val="000000"/>
                <w:kern w:val="0"/>
                <w:sz w:val="24"/>
                <w:szCs w:val="24"/>
              </w:rPr>
              <w:t>4.07</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000596</w:t>
            </w:r>
          </w:p>
        </w:tc>
        <w:tc>
          <w:tcPr>
            <w:vAlign w:val="center"/>
          </w:tcPr>
          <w:p>
            <w:pPr>
              <w:jc w:val="center"/>
            </w:pPr>
            <w:r>
              <w:rPr>
                <w:color w:val="000000"/>
                <w:kern w:val="0"/>
                <w:sz w:val="24"/>
                <w:szCs w:val="24"/>
              </w:rPr>
              <w:t>古井贡酒</w:t>
            </w:r>
          </w:p>
        </w:tc>
        <w:tc>
          <w:tcPr>
            <w:vAlign w:val="center"/>
          </w:tcPr>
          <w:p>
            <w:pPr>
              <w:jc w:val="right"/>
            </w:pPr>
            <w:r>
              <w:rPr>
                <w:color w:val="000000"/>
                <w:kern w:val="0"/>
                <w:sz w:val="24"/>
                <w:szCs w:val="24"/>
              </w:rPr>
              <w:t>1,986,656</w:t>
            </w:r>
          </w:p>
        </w:tc>
        <w:tc>
          <w:tcPr>
            <w:vAlign w:val="center"/>
          </w:tcPr>
          <w:p>
            <w:pPr>
              <w:jc w:val="right"/>
            </w:pPr>
            <w:r>
              <w:rPr>
                <w:color w:val="000000"/>
                <w:kern w:val="0"/>
                <w:sz w:val="24"/>
                <w:szCs w:val="24"/>
              </w:rPr>
              <w:t>298,475,197.44</w:t>
            </w:r>
          </w:p>
        </w:tc>
        <w:tc>
          <w:tcPr>
            <w:vAlign w:val="center"/>
          </w:tcPr>
          <w:p>
            <w:pPr>
              <w:jc w:val="right"/>
            </w:pPr>
            <w:r>
              <w:rPr>
                <w:color w:val="000000"/>
                <w:kern w:val="0"/>
                <w:sz w:val="24"/>
                <w:szCs w:val="24"/>
              </w:rPr>
              <w:t>3.43</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1,623,518</w:t>
            </w:r>
          </w:p>
        </w:tc>
        <w:tc>
          <w:tcPr>
            <w:vAlign w:val="center"/>
          </w:tcPr>
          <w:p>
            <w:pPr>
              <w:jc w:val="right"/>
            </w:pPr>
            <w:r>
              <w:rPr>
                <w:color w:val="000000"/>
                <w:kern w:val="0"/>
                <w:sz w:val="24"/>
                <w:szCs w:val="24"/>
              </w:rPr>
              <w:t>277,816,400.16</w:t>
            </w:r>
          </w:p>
        </w:tc>
        <w:tc>
          <w:tcPr>
            <w:vAlign w:val="center"/>
          </w:tcPr>
          <w:p>
            <w:pPr>
              <w:jc w:val="right"/>
            </w:pPr>
            <w:r>
              <w:rPr>
                <w:color w:val="000000"/>
                <w:kern w:val="0"/>
                <w:sz w:val="24"/>
                <w:szCs w:val="24"/>
              </w:rPr>
              <w:t>3.19</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 xml:space="preserve">00168 </w:t>
            </w:r>
          </w:p>
        </w:tc>
        <w:tc>
          <w:tcPr>
            <w:vAlign w:val="center"/>
          </w:tcPr>
          <w:p>
            <w:pPr>
              <w:jc w:val="center"/>
            </w:pPr>
            <w:r>
              <w:rPr>
                <w:color w:val="000000"/>
                <w:kern w:val="0"/>
                <w:sz w:val="24"/>
                <w:szCs w:val="24"/>
              </w:rPr>
              <w:t>青岛啤酒股份</w:t>
            </w:r>
          </w:p>
        </w:tc>
        <w:tc>
          <w:tcPr>
            <w:vAlign w:val="center"/>
          </w:tcPr>
          <w:p>
            <w:pPr>
              <w:jc w:val="right"/>
            </w:pPr>
            <w:r>
              <w:rPr>
                <w:color w:val="000000"/>
                <w:kern w:val="0"/>
                <w:sz w:val="24"/>
                <w:szCs w:val="24"/>
              </w:rPr>
              <w:t>5,090,000</w:t>
            </w:r>
          </w:p>
        </w:tc>
        <w:tc>
          <w:tcPr>
            <w:vAlign w:val="center"/>
          </w:tcPr>
          <w:p>
            <w:pPr>
              <w:jc w:val="right"/>
            </w:pPr>
            <w:r>
              <w:rPr>
                <w:color w:val="000000"/>
                <w:kern w:val="0"/>
                <w:sz w:val="24"/>
                <w:szCs w:val="24"/>
              </w:rPr>
              <w:t>267,341,052.00</w:t>
            </w:r>
          </w:p>
        </w:tc>
        <w:tc>
          <w:tcPr>
            <w:vAlign w:val="center"/>
          </w:tcPr>
          <w:p>
            <w:pPr>
              <w:jc w:val="right"/>
            </w:pPr>
            <w:r>
              <w:rPr>
                <w:color w:val="000000"/>
                <w:kern w:val="0"/>
                <w:sz w:val="24"/>
                <w:szCs w:val="24"/>
              </w:rPr>
              <w:t>3.07</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000860</w:t>
            </w:r>
          </w:p>
        </w:tc>
        <w:tc>
          <w:tcPr>
            <w:vAlign w:val="center"/>
          </w:tcPr>
          <w:p>
            <w:pPr>
              <w:jc w:val="center"/>
            </w:pPr>
            <w:r>
              <w:rPr>
                <w:color w:val="000000"/>
                <w:kern w:val="0"/>
                <w:sz w:val="24"/>
                <w:szCs w:val="24"/>
              </w:rPr>
              <w:t>顺鑫农业</w:t>
            </w:r>
          </w:p>
        </w:tc>
        <w:tc>
          <w:tcPr>
            <w:vAlign w:val="center"/>
          </w:tcPr>
          <w:p>
            <w:pPr>
              <w:jc w:val="right"/>
            </w:pPr>
            <w:r>
              <w:rPr>
                <w:color w:val="000000"/>
                <w:kern w:val="0"/>
                <w:sz w:val="24"/>
                <w:szCs w:val="24"/>
              </w:rPr>
              <w:t>4,588,175</w:t>
            </w:r>
          </w:p>
        </w:tc>
        <w:tc>
          <w:tcPr>
            <w:vAlign w:val="center"/>
          </w:tcPr>
          <w:p>
            <w:pPr>
              <w:jc w:val="right"/>
            </w:pPr>
            <w:r>
              <w:rPr>
                <w:color w:val="000000"/>
                <w:kern w:val="0"/>
                <w:sz w:val="24"/>
                <w:szCs w:val="24"/>
              </w:rPr>
              <w:t>261,434,211.50</w:t>
            </w:r>
          </w:p>
        </w:tc>
        <w:tc>
          <w:tcPr>
            <w:vAlign w:val="center"/>
          </w:tcPr>
          <w:p>
            <w:pPr>
              <w:jc w:val="right"/>
            </w:pPr>
            <w:r>
              <w:rPr>
                <w:color w:val="000000"/>
                <w:kern w:val="0"/>
                <w:sz w:val="24"/>
                <w:szCs w:val="24"/>
              </w:rPr>
              <w:t>3.01</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21,348,131.78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505,857.38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4,901,837.14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286,479.67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57,170,375.49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84,212,681.46</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基金合同生效日基金份额总额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7,914,745,729.77</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基金合同生效日起至报告期期末</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1,247,086,354.06</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基金合同生效日起至报告期期末</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855,461,111.15</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基金合同生效日起至报告期期末</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8,306,370,972.68</w:t>
            </w:r>
          </w:p>
        </w:tc>
      </w:tr>
    </w:tbl>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注：本基金合同生效日为2020年04月13日。</w:t>
      </w:r>
    </w:p>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xml:space="preserve">本报告期内基金管理人未持有本基金份额。 </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本报告期内基金管理人未运用固有资金申购、赎回、买卖本基金份额。 </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1.中国证监会准予易方达消费精选股票型证券投资基金注册的文件；</w:t>
      </w:r>
    </w:p>
    <w:p>
      <w:pPr>
        <w:spacing w:line="360" w:lineRule="auto"/>
        <w:ind w:firstLine="480" w:firstLineChars="200"/>
        <w:rPr>
          <w:color w:val="000000"/>
          <w:sz w:val="24"/>
          <w:szCs w:val="24"/>
        </w:rPr>
      </w:pPr>
      <w:r>
        <w:rPr>
          <w:color w:val="000000"/>
          <w:sz w:val="24"/>
          <w:szCs w:val="24"/>
        </w:rPr>
        <w:t>2.《易方达消费精选股票型证券投资基金基金合同》；</w:t>
      </w:r>
    </w:p>
    <w:p>
      <w:pPr>
        <w:spacing w:line="360" w:lineRule="auto"/>
        <w:ind w:firstLine="480" w:firstLineChars="200"/>
        <w:rPr>
          <w:color w:val="000000"/>
          <w:sz w:val="24"/>
          <w:szCs w:val="24"/>
        </w:rPr>
      </w:pPr>
      <w:r>
        <w:rPr>
          <w:color w:val="000000"/>
          <w:sz w:val="24"/>
          <w:szCs w:val="24"/>
        </w:rPr>
        <w:t>3.《易方达消费精选股票型证券投资基金托管协议》；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易方达消费精选股票型证券投资基金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