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易方达恒裕一年定期开放债券型发起式证券投资基金</w:t>
      </w: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2020年第2季度报告</w:t>
      </w:r>
    </w:p>
    <w:p w:rsidR="00750D48" w:rsidRPr="00093704" w:rsidRDefault="00750D48" w:rsidP="00542546">
      <w:pPr>
        <w:spacing w:line="360" w:lineRule="auto"/>
        <w:jc w:val="center"/>
        <w:rPr>
          <w:rFonts w:ascii="宋体" w:hAnsi="宋体"/>
          <w:b/>
          <w:sz w:val="24"/>
          <w:szCs w:val="24"/>
        </w:rPr>
      </w:pPr>
      <w:r w:rsidRPr="00093704">
        <w:rPr>
          <w:rFonts w:ascii="宋体" w:hAnsi="宋体"/>
          <w:b/>
          <w:sz w:val="24"/>
          <w:szCs w:val="24"/>
        </w:rPr>
        <w:t>2020年6月30日</w:t>
      </w: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rPr>
          <w:rFonts w:ascii="宋体"/>
          <w:b/>
          <w:bCs/>
          <w:color w:val="000000"/>
          <w:sz w:val="24"/>
          <w:szCs w:val="24"/>
        </w:rPr>
      </w:pP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hAnsi="宋体"/>
          <w:b/>
          <w:color w:val="000000"/>
          <w:sz w:val="24"/>
          <w:szCs w:val="24"/>
        </w:rPr>
        <w:t>易方达基金管理有限公司</w:t>
      </w: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hAnsi="宋体"/>
          <w:b/>
          <w:color w:val="000000"/>
          <w:sz w:val="24"/>
          <w:szCs w:val="24"/>
        </w:rPr>
        <w:t>中国建设银行股份有限公司</w:t>
      </w:r>
    </w:p>
    <w:p w:rsidR="00750D48" w:rsidRPr="00264E55" w:rsidRDefault="00750D48" w:rsidP="00EB572F">
      <w:pPr>
        <w:spacing w:line="360" w:lineRule="auto"/>
        <w:ind w:firstLineChars="900" w:firstLine="2168"/>
        <w:rPr>
          <w:rFonts w:ascii="宋体" w:hAnsi="宋体"/>
          <w:b/>
          <w:color w:val="000000"/>
          <w:sz w:val="24"/>
          <w:szCs w:val="24"/>
        </w:rPr>
        <w:sectPr w:rsidR="00750D48" w:rsidRPr="00264E55" w:rsidSect="00304A12">
          <w:headerReference w:type="default" r:id="rId8"/>
          <w:footerReference w:type="default" r:id="rId9"/>
          <w:pgSz w:w="11926" w:h="15840"/>
          <w:pgMar w:top="1418" w:right="1418" w:bottom="851" w:left="1418" w:header="851" w:footer="992" w:gutter="0"/>
          <w:cols w:space="720"/>
          <w:noEndnote/>
        </w:sectPr>
      </w:pPr>
      <w:r w:rsidRPr="00264E55">
        <w:rPr>
          <w:rFonts w:ascii="宋体" w:hAnsi="宋体" w:hint="eastAsia"/>
          <w:b/>
          <w:color w:val="000000"/>
          <w:sz w:val="24"/>
          <w:szCs w:val="24"/>
        </w:rPr>
        <w:t>报告送出日期：</w:t>
      </w:r>
      <w:r w:rsidRPr="00264E55">
        <w:rPr>
          <w:rFonts w:ascii="宋体" w:hAnsi="宋体"/>
          <w:b/>
          <w:color w:val="000000"/>
          <w:sz w:val="24"/>
          <w:szCs w:val="24"/>
        </w:rPr>
        <w:t>二〇二〇年七月二十一日</w:t>
      </w:r>
    </w:p>
    <w:p w:rsidR="00750D48" w:rsidRPr="00264E55" w:rsidRDefault="00750D48" w:rsidP="004D28A3">
      <w:pPr>
        <w:pStyle w:val="1"/>
        <w:spacing w:beforeLines="100" w:before="312" w:afterLines="100" w:after="312"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rsidR="00C002D1" w:rsidRDefault="00415888">
      <w:pPr>
        <w:spacing w:line="360" w:lineRule="auto"/>
        <w:ind w:firstLineChars="200" w:firstLine="480"/>
        <w:rPr>
          <w:color w:val="000000"/>
          <w:sz w:val="24"/>
          <w:szCs w:val="24"/>
        </w:rPr>
      </w:pPr>
      <w:r>
        <w:rPr>
          <w:color w:val="000000"/>
          <w:sz w:val="24"/>
          <w:szCs w:val="24"/>
        </w:rPr>
        <w:t>基金管理人的董事会及董事保证本报告所载资料不存在虚假记载、误导性陈述或重大遗漏，并对其内容的真实性、准确性和完整性承担个别及连带责任。</w:t>
      </w:r>
      <w:r>
        <w:rPr>
          <w:color w:val="000000"/>
          <w:sz w:val="24"/>
          <w:szCs w:val="24"/>
        </w:rPr>
        <w:t xml:space="preserve"> </w:t>
      </w:r>
    </w:p>
    <w:p w:rsidR="00C002D1" w:rsidRDefault="00415888">
      <w:pPr>
        <w:spacing w:line="360" w:lineRule="auto"/>
        <w:ind w:firstLineChars="200" w:firstLine="480"/>
        <w:rPr>
          <w:color w:val="000000"/>
          <w:sz w:val="24"/>
          <w:szCs w:val="24"/>
        </w:rPr>
      </w:pPr>
      <w:r>
        <w:rPr>
          <w:color w:val="000000"/>
          <w:sz w:val="24"/>
          <w:szCs w:val="24"/>
        </w:rPr>
        <w:t>基金托管人中国建设银行股份有限公司根据本基金合同规定，于</w:t>
      </w:r>
      <w:r>
        <w:rPr>
          <w:color w:val="000000"/>
          <w:sz w:val="24"/>
          <w:szCs w:val="24"/>
        </w:rPr>
        <w:t>2020</w:t>
      </w:r>
      <w:r>
        <w:rPr>
          <w:color w:val="000000"/>
          <w:sz w:val="24"/>
          <w:szCs w:val="24"/>
        </w:rPr>
        <w:t>年</w:t>
      </w:r>
      <w:r>
        <w:rPr>
          <w:color w:val="000000"/>
          <w:sz w:val="24"/>
          <w:szCs w:val="24"/>
        </w:rPr>
        <w:t>7</w:t>
      </w:r>
      <w:r>
        <w:rPr>
          <w:color w:val="000000"/>
          <w:sz w:val="24"/>
          <w:szCs w:val="24"/>
        </w:rPr>
        <w:t>月</w:t>
      </w:r>
      <w:r>
        <w:rPr>
          <w:color w:val="000000"/>
          <w:sz w:val="24"/>
          <w:szCs w:val="24"/>
        </w:rPr>
        <w:t>17</w:t>
      </w:r>
      <w:r>
        <w:rPr>
          <w:color w:val="000000"/>
          <w:sz w:val="24"/>
          <w:szCs w:val="24"/>
        </w:rPr>
        <w:t>日复核了本报告中的财务指标、净值表现和投资组合报告等内容，保证复核内容不存在虚假记载、误导性陈述或者重大遗漏。</w:t>
      </w:r>
      <w:r>
        <w:rPr>
          <w:color w:val="000000"/>
          <w:sz w:val="24"/>
          <w:szCs w:val="24"/>
        </w:rPr>
        <w:t xml:space="preserve"> </w:t>
      </w:r>
    </w:p>
    <w:p w:rsidR="00C002D1" w:rsidRDefault="00415888">
      <w:pPr>
        <w:spacing w:line="360" w:lineRule="auto"/>
        <w:ind w:firstLineChars="200" w:firstLine="480"/>
        <w:rPr>
          <w:color w:val="000000"/>
          <w:sz w:val="24"/>
          <w:szCs w:val="24"/>
        </w:rPr>
      </w:pPr>
      <w:r>
        <w:rPr>
          <w:color w:val="000000"/>
          <w:sz w:val="24"/>
          <w:szCs w:val="24"/>
        </w:rPr>
        <w:t>基金管理人承诺以诚实信用、勤勉尽责的原则管理和运用基金资产，但不保证基金一定盈利。</w:t>
      </w:r>
      <w:r>
        <w:rPr>
          <w:color w:val="000000"/>
          <w:sz w:val="24"/>
          <w:szCs w:val="24"/>
        </w:rPr>
        <w:t xml:space="preserve"> </w:t>
      </w:r>
    </w:p>
    <w:p w:rsidR="00C002D1" w:rsidRDefault="00415888">
      <w:pPr>
        <w:spacing w:line="360" w:lineRule="auto"/>
        <w:ind w:firstLineChars="200" w:firstLine="480"/>
        <w:rPr>
          <w:color w:val="000000"/>
          <w:sz w:val="24"/>
          <w:szCs w:val="24"/>
        </w:rPr>
      </w:pPr>
      <w:r>
        <w:rPr>
          <w:color w:val="000000"/>
          <w:sz w:val="24"/>
          <w:szCs w:val="24"/>
        </w:rPr>
        <w:t>基金的过往业绩并不代表其未来表现。投资有风险，投资者在作出投资决策前应仔细阅读本基金的招募说明书。</w:t>
      </w:r>
      <w:r>
        <w:rPr>
          <w:color w:val="000000"/>
          <w:sz w:val="24"/>
          <w:szCs w:val="24"/>
        </w:rPr>
        <w:t xml:space="preserve"> </w:t>
      </w:r>
    </w:p>
    <w:p w:rsidR="00C002D1" w:rsidRDefault="00415888">
      <w:pPr>
        <w:spacing w:line="360" w:lineRule="auto"/>
        <w:ind w:firstLineChars="200" w:firstLine="480"/>
        <w:rPr>
          <w:color w:val="000000"/>
          <w:sz w:val="24"/>
          <w:szCs w:val="24"/>
        </w:rPr>
      </w:pPr>
      <w:r>
        <w:rPr>
          <w:color w:val="000000"/>
          <w:sz w:val="24"/>
          <w:szCs w:val="24"/>
        </w:rPr>
        <w:t>本报告中财务资料未经审计。</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本报告期自</w:t>
      </w:r>
      <w:r w:rsidRPr="006C56AA">
        <w:rPr>
          <w:color w:val="000000"/>
          <w:sz w:val="24"/>
          <w:szCs w:val="24"/>
        </w:rPr>
        <w:t>2020</w:t>
      </w:r>
      <w:r w:rsidRPr="006C56AA">
        <w:rPr>
          <w:color w:val="000000"/>
          <w:sz w:val="24"/>
          <w:szCs w:val="24"/>
        </w:rPr>
        <w:t>年</w:t>
      </w:r>
      <w:r w:rsidRPr="006C56AA">
        <w:rPr>
          <w:color w:val="000000"/>
          <w:sz w:val="24"/>
          <w:szCs w:val="24"/>
        </w:rPr>
        <w:t>4</w:t>
      </w:r>
      <w:r w:rsidRPr="006C56AA">
        <w:rPr>
          <w:color w:val="000000"/>
          <w:sz w:val="24"/>
          <w:szCs w:val="24"/>
        </w:rPr>
        <w:t>月</w:t>
      </w:r>
      <w:r w:rsidRPr="006C56AA">
        <w:rPr>
          <w:color w:val="000000"/>
          <w:sz w:val="24"/>
          <w:szCs w:val="24"/>
        </w:rPr>
        <w:t>1</w:t>
      </w:r>
      <w:r w:rsidRPr="006C56AA">
        <w:rPr>
          <w:color w:val="000000"/>
          <w:sz w:val="24"/>
          <w:szCs w:val="24"/>
        </w:rPr>
        <w:t>日起至</w:t>
      </w:r>
      <w:r w:rsidRPr="006C56AA">
        <w:rPr>
          <w:color w:val="000000"/>
          <w:sz w:val="24"/>
          <w:szCs w:val="24"/>
        </w:rPr>
        <w:t>6</w:t>
      </w:r>
      <w:r w:rsidRPr="006C56AA">
        <w:rPr>
          <w:color w:val="000000"/>
          <w:sz w:val="24"/>
          <w:szCs w:val="24"/>
        </w:rPr>
        <w:t>月</w:t>
      </w:r>
      <w:r w:rsidRPr="006C56AA">
        <w:rPr>
          <w:color w:val="000000"/>
          <w:sz w:val="24"/>
          <w:szCs w:val="24"/>
        </w:rPr>
        <w:t>30</w:t>
      </w:r>
      <w:r w:rsidRPr="006C56AA">
        <w:rPr>
          <w:color w:val="000000"/>
          <w:sz w:val="24"/>
          <w:szCs w:val="24"/>
        </w:rPr>
        <w:t>日止。</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479"/>
      </w:tblGrid>
      <w:tr w:rsidR="00750D48" w:rsidRPr="00264E55" w:rsidTr="00500A03">
        <w:tc>
          <w:tcPr>
            <w:tcW w:w="2835" w:type="dxa"/>
          </w:tcPr>
          <w:p w:rsidR="00750D48" w:rsidRPr="00232B03" w:rsidRDefault="00750D48" w:rsidP="007B5AFB">
            <w:pPr>
              <w:adjustRightInd w:val="0"/>
              <w:spacing w:before="29" w:line="360" w:lineRule="auto"/>
              <w:ind w:left="17"/>
              <w:jc w:val="left"/>
              <w:rPr>
                <w:kern w:val="0"/>
                <w:sz w:val="24"/>
                <w:szCs w:val="24"/>
              </w:rPr>
            </w:pPr>
            <w:r w:rsidRPr="00232B03">
              <w:rPr>
                <w:kern w:val="0"/>
                <w:sz w:val="24"/>
                <w:szCs w:val="24"/>
              </w:rPr>
              <w:t>基金简称</w:t>
            </w:r>
          </w:p>
        </w:tc>
        <w:tc>
          <w:tcPr>
            <w:tcW w:w="5479" w:type="dxa"/>
          </w:tcPr>
          <w:p w:rsidR="00750D48" w:rsidRPr="00232B03" w:rsidRDefault="00750D48" w:rsidP="007B5AFB">
            <w:pPr>
              <w:adjustRightInd w:val="0"/>
              <w:spacing w:before="29" w:line="360" w:lineRule="auto"/>
              <w:ind w:left="17"/>
              <w:jc w:val="left"/>
              <w:rPr>
                <w:color w:val="000000"/>
                <w:kern w:val="0"/>
                <w:sz w:val="24"/>
                <w:szCs w:val="24"/>
              </w:rPr>
            </w:pPr>
            <w:r w:rsidRPr="00232B03">
              <w:rPr>
                <w:color w:val="000000"/>
                <w:kern w:val="0"/>
                <w:sz w:val="24"/>
                <w:szCs w:val="24"/>
              </w:rPr>
              <w:t>易方达恒裕一年定开债券发起式</w:t>
            </w:r>
          </w:p>
        </w:tc>
      </w:tr>
      <w:tr w:rsidR="00750D48" w:rsidRPr="00264E55" w:rsidTr="00D94B8D">
        <w:tc>
          <w:tcPr>
            <w:tcW w:w="2835" w:type="dxa"/>
          </w:tcPr>
          <w:p w:rsidR="00750D48" w:rsidRPr="00232B03" w:rsidRDefault="00750D48">
            <w:pPr>
              <w:adjustRightInd w:val="0"/>
              <w:spacing w:before="29" w:line="360" w:lineRule="auto"/>
              <w:ind w:left="17"/>
              <w:jc w:val="left"/>
              <w:rPr>
                <w:kern w:val="0"/>
                <w:sz w:val="24"/>
                <w:szCs w:val="24"/>
              </w:rPr>
            </w:pPr>
            <w:r w:rsidRPr="00232B03">
              <w:rPr>
                <w:kern w:val="0"/>
                <w:sz w:val="24"/>
                <w:szCs w:val="24"/>
              </w:rPr>
              <w:t>基金主代码</w:t>
            </w:r>
          </w:p>
        </w:tc>
        <w:tc>
          <w:tcPr>
            <w:tcW w:w="5479" w:type="dxa"/>
          </w:tcPr>
          <w:p w:rsidR="00750D48" w:rsidRPr="00232B03" w:rsidRDefault="00750D48">
            <w:pPr>
              <w:adjustRightInd w:val="0"/>
              <w:spacing w:before="29" w:line="360" w:lineRule="auto"/>
              <w:ind w:left="17"/>
              <w:jc w:val="left"/>
              <w:rPr>
                <w:color w:val="000000"/>
                <w:kern w:val="0"/>
                <w:sz w:val="24"/>
                <w:szCs w:val="24"/>
              </w:rPr>
            </w:pPr>
            <w:r w:rsidRPr="00232B03">
              <w:rPr>
                <w:color w:val="000000"/>
                <w:kern w:val="0"/>
                <w:sz w:val="24"/>
                <w:szCs w:val="24"/>
              </w:rPr>
              <w:t>009050</w:t>
            </w:r>
          </w:p>
        </w:tc>
      </w:tr>
      <w:tr w:rsidR="00750D48" w:rsidRPr="00264E55" w:rsidTr="00D94B8D">
        <w:tc>
          <w:tcPr>
            <w:tcW w:w="2835" w:type="dxa"/>
          </w:tcPr>
          <w:p w:rsidR="00750D48" w:rsidRPr="00232B03" w:rsidRDefault="00750D48" w:rsidP="00895A8A">
            <w:pPr>
              <w:adjustRightInd w:val="0"/>
              <w:spacing w:before="29" w:line="360" w:lineRule="auto"/>
              <w:ind w:left="17"/>
              <w:jc w:val="left"/>
              <w:rPr>
                <w:kern w:val="0"/>
                <w:sz w:val="24"/>
                <w:szCs w:val="24"/>
              </w:rPr>
            </w:pPr>
            <w:r w:rsidRPr="00232B03">
              <w:rPr>
                <w:kern w:val="0"/>
                <w:sz w:val="24"/>
                <w:szCs w:val="24"/>
              </w:rPr>
              <w:t>交易代码</w:t>
            </w:r>
          </w:p>
        </w:tc>
        <w:tc>
          <w:tcPr>
            <w:tcW w:w="5479" w:type="dxa"/>
          </w:tcPr>
          <w:p w:rsidR="00750D48" w:rsidRPr="00232B03" w:rsidRDefault="00750D48" w:rsidP="00895A8A">
            <w:pPr>
              <w:adjustRightInd w:val="0"/>
              <w:spacing w:before="29" w:line="360" w:lineRule="auto"/>
              <w:ind w:left="17"/>
              <w:jc w:val="left"/>
              <w:rPr>
                <w:color w:val="000000"/>
                <w:kern w:val="0"/>
                <w:sz w:val="24"/>
                <w:szCs w:val="24"/>
              </w:rPr>
            </w:pPr>
            <w:r w:rsidRPr="00232B03">
              <w:rPr>
                <w:kern w:val="0"/>
                <w:sz w:val="24"/>
              </w:rPr>
              <w:t>009050</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基金运作方式</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契约型开放式</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基金合同生效日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2020</w:t>
            </w:r>
            <w:r w:rsidRPr="00232B03">
              <w:rPr>
                <w:color w:val="000000"/>
                <w:kern w:val="0"/>
                <w:sz w:val="24"/>
                <w:szCs w:val="24"/>
              </w:rPr>
              <w:t>年</w:t>
            </w:r>
            <w:r w:rsidRPr="00232B03">
              <w:rPr>
                <w:color w:val="000000"/>
                <w:kern w:val="0"/>
                <w:sz w:val="24"/>
                <w:szCs w:val="24"/>
              </w:rPr>
              <w:t>3</w:t>
            </w:r>
            <w:r w:rsidRPr="00232B03">
              <w:rPr>
                <w:color w:val="000000"/>
                <w:kern w:val="0"/>
                <w:sz w:val="24"/>
                <w:szCs w:val="24"/>
              </w:rPr>
              <w:t>月</w:t>
            </w:r>
            <w:r w:rsidRPr="00232B03">
              <w:rPr>
                <w:color w:val="000000"/>
                <w:kern w:val="0"/>
                <w:sz w:val="24"/>
                <w:szCs w:val="24"/>
              </w:rPr>
              <w:t>12</w:t>
            </w:r>
            <w:r w:rsidRPr="00232B03">
              <w:rPr>
                <w:color w:val="000000"/>
                <w:kern w:val="0"/>
                <w:sz w:val="24"/>
                <w:szCs w:val="24"/>
              </w:rPr>
              <w:t>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报告期末基金份额总额</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999,995,000.00</w:t>
            </w:r>
            <w:r w:rsidRPr="00232B03">
              <w:rPr>
                <w:color w:val="000000"/>
                <w:kern w:val="0"/>
                <w:sz w:val="24"/>
                <w:szCs w:val="24"/>
              </w:rPr>
              <w:t>份</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投资目标</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本基金为纯债基金，管理人主要通过分析影响债券市场的各类要素，对债券组合的平均久期、期限结构、类属品种进行有效配置，力争为投资人提供长期稳定的投资回报。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投资策略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封闭运作期内，本基金在债券投资上主要通过久期配置、类属配置、期限结构配置和个券选择四个层次进行投资管理。久期配置方面，在投资组合平均</w:t>
            </w:r>
            <w:r w:rsidRPr="00232B03">
              <w:rPr>
                <w:color w:val="000000"/>
                <w:kern w:val="0"/>
                <w:sz w:val="24"/>
                <w:szCs w:val="24"/>
              </w:rPr>
              <w:lastRenderedPageBreak/>
              <w:t>久期与封闭运作期适当匹配的基础上，本基金将对宏观经济走势、经济周期所处阶段和宏观经济政策动向等进行研究，</w:t>
            </w:r>
            <w:r w:rsidRPr="00232B03">
              <w:rPr>
                <w:color w:val="000000"/>
                <w:kern w:val="0"/>
                <w:sz w:val="24"/>
                <w:szCs w:val="24"/>
              </w:rPr>
              <w:t xml:space="preserve"> </w:t>
            </w:r>
            <w:r w:rsidRPr="00232B03">
              <w:rPr>
                <w:color w:val="000000"/>
                <w:kern w:val="0"/>
                <w:sz w:val="24"/>
                <w:szCs w:val="24"/>
              </w:rPr>
              <w:t>预测未来收益率曲线变动趋势，并据此积极调整债券组合的平均久期。类属配置上，在对宏观经济周期、市场利率走势、资金供求</w:t>
            </w:r>
            <w:r w:rsidRPr="00232B03">
              <w:rPr>
                <w:color w:val="000000"/>
                <w:kern w:val="0"/>
                <w:sz w:val="24"/>
                <w:szCs w:val="24"/>
              </w:rPr>
              <w:t xml:space="preserve"> </w:t>
            </w:r>
            <w:r w:rsidRPr="00232B03">
              <w:rPr>
                <w:color w:val="000000"/>
                <w:kern w:val="0"/>
                <w:sz w:val="24"/>
                <w:szCs w:val="24"/>
              </w:rPr>
              <w:t>变化，以及信用债券的信用风险等因素进行分析的基础上，根据各债券类属的风险收益特征，定期对债券类属资产进行优化配置和调整。期限结构方面，对市场收益率曲线变动情况进行研判，</w:t>
            </w:r>
            <w:r w:rsidRPr="00232B03">
              <w:rPr>
                <w:color w:val="000000"/>
                <w:kern w:val="0"/>
                <w:sz w:val="24"/>
                <w:szCs w:val="24"/>
              </w:rPr>
              <w:t xml:space="preserve"> </w:t>
            </w:r>
            <w:r w:rsidRPr="00232B03">
              <w:rPr>
                <w:color w:val="000000"/>
                <w:kern w:val="0"/>
                <w:sz w:val="24"/>
                <w:szCs w:val="24"/>
              </w:rPr>
              <w:t>在长期、中期和短期债券之间进行配置，适时采用子弹型、哑铃型或梯型策略构建投资组合。个券选择方面，将根据发行人的公司背景、行业特性、盈利能力、偿债能力、流动性等因素，对信用债进行信用风</w:t>
            </w:r>
            <w:r w:rsidRPr="00232B03">
              <w:rPr>
                <w:color w:val="000000"/>
                <w:kern w:val="0"/>
                <w:sz w:val="24"/>
                <w:szCs w:val="24"/>
              </w:rPr>
              <w:t xml:space="preserve"> </w:t>
            </w:r>
            <w:r w:rsidRPr="00232B03">
              <w:rPr>
                <w:color w:val="000000"/>
                <w:kern w:val="0"/>
                <w:sz w:val="24"/>
                <w:szCs w:val="24"/>
              </w:rPr>
              <w:t>险评估，积极发掘信用利差具有相对投资机会的个券进行投资，并采取分散化投资策略。另外本基金还将对资金面进行综合分析，比较债券收益率和融资成本，判断利差空间，力争通过杠杆操作提高组合收益。同时，本基金将根据风险管理的原则，主要选择流动性好、交易活跃的国债期货合约进行交易</w:t>
            </w:r>
            <w:r w:rsidRPr="00232B03">
              <w:rPr>
                <w:color w:val="000000"/>
                <w:kern w:val="0"/>
                <w:sz w:val="24"/>
                <w:szCs w:val="24"/>
              </w:rPr>
              <w:t>,</w:t>
            </w:r>
            <w:r w:rsidRPr="00232B03">
              <w:rPr>
                <w:color w:val="000000"/>
                <w:kern w:val="0"/>
                <w:sz w:val="24"/>
                <w:szCs w:val="24"/>
              </w:rPr>
              <w:t>以对冲投资组合的系统性风险、有效管理现金流量或降低建仓或调仓过程中的冲击成本等。开放运作期内，本基金为保持较高的组合流动性，方便投资人安排投资，在遵守本基金有关投资限制与投资比例的前提下，将主要投资于高流动性的投资品种，减小基金净值的波动。</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lastRenderedPageBreak/>
              <w:t>业绩比较基准</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中债综合财富（总值）指数收益率</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风险收益特征</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lastRenderedPageBreak/>
              <w:t>基金管理人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易方达基金管理有限公司</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基金托管人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中国建设银行股份有限公司</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R="00392044" w:rsidRPr="006506EF" w:rsidRDefault="00392044" w:rsidP="00392044">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962"/>
      </w:tblGrid>
      <w:tr w:rsidR="006D5089" w:rsidRPr="006506EF" w:rsidTr="006D5089">
        <w:tc>
          <w:tcPr>
            <w:tcW w:w="3402" w:type="dxa"/>
            <w:vAlign w:val="center"/>
          </w:tcPr>
          <w:p w:rsidR="00392044" w:rsidRPr="006506EF" w:rsidRDefault="00392044" w:rsidP="00C3442A">
            <w:pPr>
              <w:adjustRightInd w:val="0"/>
              <w:spacing w:before="29" w:line="360" w:lineRule="auto"/>
              <w:ind w:left="17"/>
              <w:jc w:val="center"/>
              <w:rPr>
                <w:kern w:val="0"/>
                <w:sz w:val="24"/>
              </w:rPr>
            </w:pPr>
            <w:r w:rsidRPr="006506EF">
              <w:rPr>
                <w:kern w:val="0"/>
                <w:sz w:val="24"/>
              </w:rPr>
              <w:t>主要财务指标</w:t>
            </w:r>
          </w:p>
        </w:tc>
        <w:tc>
          <w:tcPr>
            <w:tcW w:w="4962" w:type="dxa"/>
            <w:vAlign w:val="center"/>
          </w:tcPr>
          <w:p w:rsidR="00392044" w:rsidRPr="006506EF" w:rsidRDefault="00392044" w:rsidP="00C3442A">
            <w:pPr>
              <w:adjustRightInd w:val="0"/>
              <w:spacing w:before="29" w:line="360" w:lineRule="auto"/>
              <w:ind w:left="17"/>
              <w:jc w:val="center"/>
              <w:rPr>
                <w:color w:val="000000"/>
                <w:sz w:val="24"/>
              </w:rPr>
            </w:pPr>
            <w:r w:rsidRPr="006506EF">
              <w:rPr>
                <w:color w:val="000000"/>
                <w:sz w:val="24"/>
              </w:rPr>
              <w:t>报告期</w:t>
            </w:r>
          </w:p>
          <w:p w:rsidR="00392044" w:rsidRPr="006506EF" w:rsidRDefault="00392044" w:rsidP="00C3442A">
            <w:pPr>
              <w:adjustRightInd w:val="0"/>
              <w:spacing w:before="29" w:line="360" w:lineRule="auto"/>
              <w:ind w:left="17"/>
              <w:jc w:val="center"/>
              <w:rPr>
                <w:color w:val="000000"/>
                <w:sz w:val="24"/>
              </w:rPr>
            </w:pP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1</w:t>
            </w:r>
            <w:r w:rsidRPr="006506EF">
              <w:rPr>
                <w:color w:val="000000"/>
                <w:sz w:val="24"/>
              </w:rPr>
              <w:t>日</w:t>
            </w:r>
            <w:r w:rsidRPr="006506EF">
              <w:rPr>
                <w:color w:val="000000"/>
                <w:sz w:val="24"/>
              </w:rPr>
              <w:t>-2020</w:t>
            </w:r>
            <w:r w:rsidRPr="006506EF">
              <w:rPr>
                <w:color w:val="000000"/>
                <w:sz w:val="24"/>
              </w:rPr>
              <w:t>年</w:t>
            </w:r>
            <w:r w:rsidRPr="006506EF">
              <w:rPr>
                <w:color w:val="000000"/>
                <w:sz w:val="24"/>
              </w:rPr>
              <w:t>6</w:t>
            </w:r>
            <w:r w:rsidRPr="006506EF">
              <w:rPr>
                <w:color w:val="000000"/>
                <w:sz w:val="24"/>
              </w:rPr>
              <w:t>月</w:t>
            </w:r>
            <w:r w:rsidRPr="006506EF">
              <w:rPr>
                <w:color w:val="000000"/>
                <w:sz w:val="24"/>
              </w:rPr>
              <w:t>30</w:t>
            </w:r>
            <w:r w:rsidRPr="006506EF">
              <w:rPr>
                <w:color w:val="000000"/>
                <w:sz w:val="24"/>
              </w:rPr>
              <w:t>日</w:t>
            </w:r>
            <w:r w:rsidRPr="006506EF">
              <w:rPr>
                <w:color w:val="000000"/>
                <w:sz w:val="24"/>
              </w:rPr>
              <w:t>)</w:t>
            </w:r>
          </w:p>
        </w:tc>
      </w:tr>
      <w:tr w:rsidR="006D5089" w:rsidRPr="006506EF" w:rsidTr="006D5089">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19,170,522.84</w:t>
            </w:r>
          </w:p>
        </w:tc>
      </w:tr>
      <w:tr w:rsidR="006D5089" w:rsidRPr="006506EF" w:rsidTr="006D5089">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2.</w:t>
            </w:r>
            <w:r w:rsidRPr="006506EF">
              <w:rPr>
                <w:kern w:val="0"/>
                <w:sz w:val="24"/>
              </w:rPr>
              <w:t>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7,937,340.80</w:t>
            </w:r>
          </w:p>
        </w:tc>
      </w:tr>
      <w:tr w:rsidR="006D5089" w:rsidRPr="006506EF" w:rsidTr="006D5089">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0.0079</w:t>
            </w:r>
          </w:p>
        </w:tc>
      </w:tr>
      <w:tr w:rsidR="006D5089" w:rsidRPr="006506EF" w:rsidTr="006D5089">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1,006,861,116.02</w:t>
            </w:r>
          </w:p>
        </w:tc>
      </w:tr>
      <w:tr w:rsidR="006D5089" w:rsidRPr="006506EF" w:rsidTr="006D5089">
        <w:trPr>
          <w:trHeight w:val="158"/>
        </w:trPr>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1.0069</w:t>
            </w:r>
          </w:p>
        </w:tc>
      </w:tr>
    </w:tbl>
    <w:p w:rsidR="00C002D1" w:rsidRDefault="00415888">
      <w:pPr>
        <w:spacing w:line="360" w:lineRule="auto"/>
        <w:ind w:firstLineChars="200" w:firstLine="480"/>
        <w:rPr>
          <w:color w:val="000000"/>
          <w:sz w:val="24"/>
          <w:szCs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750D48" w:rsidRPr="00232B03" w:rsidRDefault="00392044" w:rsidP="00232B03">
      <w:pPr>
        <w:spacing w:line="360" w:lineRule="auto"/>
        <w:ind w:firstLineChars="200" w:firstLine="480"/>
        <w:rPr>
          <w:color w:val="000000"/>
          <w:sz w:val="24"/>
          <w:szCs w:val="24"/>
        </w:rPr>
      </w:pPr>
      <w:r w:rsidRPr="006506EF">
        <w:rPr>
          <w:color w:val="000000"/>
          <w:sz w:val="24"/>
        </w:rPr>
        <w:t>2.</w:t>
      </w:r>
      <w:r w:rsidRPr="006506EF">
        <w:rPr>
          <w:color w:val="000000"/>
          <w:sz w:val="24"/>
        </w:rPr>
        <w:t>本期已实现收益指基金本期利息收入、投资收益、其他收入（不含公允价值变动收益）扣除相关费用后的余额，本期利润为本期已实现收益加上本期公允价值变动收益。</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R="00750D48" w:rsidRPr="00264E55" w:rsidRDefault="00750D48" w:rsidP="009E7C6A">
      <w:pPr>
        <w:autoSpaceDE w:val="0"/>
        <w:autoSpaceDN w:val="0"/>
        <w:adjustRightInd w:val="0"/>
        <w:spacing w:line="360" w:lineRule="auto"/>
        <w:jc w:val="left"/>
        <w:rPr>
          <w:rFonts w:ascii="宋体" w:cs="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hAnsi="宋体" w:cs="宋体" w:hint="eastAsia"/>
          <w:b/>
          <w:bCs/>
          <w:color w:val="000000"/>
          <w:kern w:val="0"/>
          <w:sz w:val="24"/>
          <w:szCs w:val="24"/>
        </w:rPr>
        <w:t>本报告期基金份额净值增长率及其与同期业绩比较基准收益率的比较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1092"/>
        <w:gridCol w:w="1161"/>
        <w:gridCol w:w="1181"/>
        <w:gridCol w:w="1188"/>
        <w:gridCol w:w="1199"/>
        <w:gridCol w:w="1204"/>
      </w:tblGrid>
      <w:tr w:rsidR="00750D48" w:rsidRPr="00264E55" w:rsidTr="00B05049">
        <w:tc>
          <w:tcPr>
            <w:tcW w:w="1395"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p>
        </w:tc>
        <w:tc>
          <w:tcPr>
            <w:tcW w:w="1092"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hAnsi="宋体" w:cs="宋体" w:hint="eastAsia"/>
                <w:color w:val="000000"/>
                <w:kern w:val="0"/>
                <w:sz w:val="24"/>
                <w:szCs w:val="24"/>
              </w:rPr>
              <w:t>①</w:t>
            </w:r>
          </w:p>
        </w:tc>
        <w:tc>
          <w:tcPr>
            <w:tcW w:w="116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hAnsi="宋体" w:cs="宋体" w:hint="eastAsia"/>
                <w:color w:val="000000"/>
                <w:kern w:val="0"/>
                <w:sz w:val="24"/>
                <w:szCs w:val="24"/>
              </w:rPr>
              <w:t>②</w:t>
            </w:r>
          </w:p>
        </w:tc>
        <w:tc>
          <w:tcPr>
            <w:tcW w:w="118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hAnsi="宋体" w:cs="宋体" w:hint="eastAsia"/>
                <w:color w:val="000000"/>
                <w:kern w:val="0"/>
                <w:sz w:val="24"/>
                <w:szCs w:val="24"/>
              </w:rPr>
              <w:t>③</w:t>
            </w:r>
          </w:p>
        </w:tc>
        <w:tc>
          <w:tcPr>
            <w:tcW w:w="1188"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业绩比较基准收益率标准差</w:t>
            </w:r>
            <w:r w:rsidRPr="00232B03">
              <w:rPr>
                <w:rFonts w:ascii="宋体" w:hAnsi="宋体" w:cs="宋体" w:hint="eastAsia"/>
                <w:color w:val="000000"/>
                <w:kern w:val="0"/>
                <w:sz w:val="24"/>
                <w:szCs w:val="24"/>
              </w:rPr>
              <w:t>④</w:t>
            </w:r>
          </w:p>
        </w:tc>
        <w:tc>
          <w:tcPr>
            <w:tcW w:w="1199"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①</w:t>
            </w:r>
            <w:r w:rsidRPr="00232B03">
              <w:rPr>
                <w:color w:val="000000"/>
                <w:kern w:val="0"/>
                <w:sz w:val="24"/>
                <w:szCs w:val="24"/>
              </w:rPr>
              <w:t>-</w:t>
            </w:r>
            <w:r w:rsidRPr="00232B03">
              <w:rPr>
                <w:rFonts w:ascii="宋体" w:hAnsi="宋体" w:cs="宋体" w:hint="eastAsia"/>
                <w:color w:val="000000"/>
                <w:kern w:val="0"/>
                <w:sz w:val="24"/>
                <w:szCs w:val="24"/>
              </w:rPr>
              <w:t>③</w:t>
            </w:r>
          </w:p>
        </w:tc>
        <w:tc>
          <w:tcPr>
            <w:tcW w:w="1204"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②</w:t>
            </w:r>
            <w:r w:rsidRPr="00232B03">
              <w:rPr>
                <w:color w:val="000000"/>
                <w:kern w:val="0"/>
                <w:sz w:val="24"/>
                <w:szCs w:val="24"/>
              </w:rPr>
              <w:t>-</w:t>
            </w:r>
            <w:r w:rsidRPr="00232B03">
              <w:rPr>
                <w:rFonts w:ascii="宋体" w:hAnsi="宋体" w:cs="宋体" w:hint="eastAsia"/>
                <w:color w:val="000000"/>
                <w:kern w:val="0"/>
                <w:sz w:val="24"/>
                <w:szCs w:val="24"/>
              </w:rPr>
              <w:t>④</w:t>
            </w:r>
          </w:p>
        </w:tc>
      </w:tr>
      <w:tr w:rsidR="00C002D1">
        <w:tc>
          <w:tcPr>
            <w:tcW w:w="1395" w:type="dxa"/>
            <w:vAlign w:val="center"/>
          </w:tcPr>
          <w:p w:rsidR="00C002D1" w:rsidRDefault="00415888">
            <w:pPr>
              <w:jc w:val="left"/>
            </w:pPr>
            <w:r>
              <w:rPr>
                <w:color w:val="000000"/>
                <w:kern w:val="0"/>
                <w:sz w:val="24"/>
                <w:szCs w:val="24"/>
              </w:rPr>
              <w:t>过去三个月</w:t>
            </w:r>
          </w:p>
        </w:tc>
        <w:tc>
          <w:tcPr>
            <w:tcW w:w="1092" w:type="dxa"/>
            <w:vAlign w:val="center"/>
          </w:tcPr>
          <w:p w:rsidR="00C002D1" w:rsidRDefault="00415888">
            <w:pPr>
              <w:jc w:val="center"/>
            </w:pPr>
            <w:r>
              <w:rPr>
                <w:color w:val="000000"/>
                <w:kern w:val="0"/>
                <w:sz w:val="24"/>
                <w:szCs w:val="24"/>
              </w:rPr>
              <w:t>0.80%</w:t>
            </w:r>
          </w:p>
        </w:tc>
        <w:tc>
          <w:tcPr>
            <w:tcW w:w="1161" w:type="dxa"/>
            <w:vAlign w:val="center"/>
          </w:tcPr>
          <w:p w:rsidR="00C002D1" w:rsidRDefault="00415888">
            <w:pPr>
              <w:jc w:val="center"/>
            </w:pPr>
            <w:r>
              <w:rPr>
                <w:color w:val="000000"/>
                <w:kern w:val="0"/>
                <w:sz w:val="24"/>
                <w:szCs w:val="24"/>
              </w:rPr>
              <w:t>0.12%</w:t>
            </w:r>
          </w:p>
        </w:tc>
        <w:tc>
          <w:tcPr>
            <w:tcW w:w="1181" w:type="dxa"/>
            <w:vAlign w:val="center"/>
          </w:tcPr>
          <w:p w:rsidR="00C002D1" w:rsidRDefault="00415888">
            <w:pPr>
              <w:jc w:val="center"/>
            </w:pPr>
            <w:r>
              <w:rPr>
                <w:color w:val="000000"/>
                <w:kern w:val="0"/>
                <w:sz w:val="24"/>
                <w:szCs w:val="24"/>
              </w:rPr>
              <w:t>-0.22%</w:t>
            </w:r>
          </w:p>
        </w:tc>
        <w:tc>
          <w:tcPr>
            <w:tcW w:w="1188" w:type="dxa"/>
            <w:vAlign w:val="center"/>
          </w:tcPr>
          <w:p w:rsidR="00C002D1" w:rsidRDefault="00415888">
            <w:pPr>
              <w:jc w:val="center"/>
            </w:pPr>
            <w:r>
              <w:rPr>
                <w:color w:val="000000"/>
                <w:kern w:val="0"/>
                <w:sz w:val="24"/>
                <w:szCs w:val="24"/>
              </w:rPr>
              <w:t>0.12%</w:t>
            </w:r>
          </w:p>
        </w:tc>
        <w:tc>
          <w:tcPr>
            <w:tcW w:w="1199" w:type="dxa"/>
            <w:vAlign w:val="center"/>
          </w:tcPr>
          <w:p w:rsidR="00C002D1" w:rsidRDefault="00415888">
            <w:pPr>
              <w:jc w:val="center"/>
            </w:pPr>
            <w:r>
              <w:rPr>
                <w:color w:val="000000"/>
                <w:kern w:val="0"/>
                <w:sz w:val="24"/>
                <w:szCs w:val="24"/>
              </w:rPr>
              <w:t>1.02%</w:t>
            </w:r>
          </w:p>
        </w:tc>
        <w:tc>
          <w:tcPr>
            <w:tcW w:w="1204" w:type="dxa"/>
            <w:vAlign w:val="center"/>
          </w:tcPr>
          <w:p w:rsidR="00C002D1" w:rsidRDefault="00415888">
            <w:pPr>
              <w:jc w:val="center"/>
            </w:pPr>
            <w:r>
              <w:rPr>
                <w:color w:val="000000"/>
                <w:kern w:val="0"/>
                <w:sz w:val="24"/>
                <w:szCs w:val="24"/>
              </w:rPr>
              <w:t>0.00%</w:t>
            </w:r>
          </w:p>
        </w:tc>
      </w:tr>
      <w:tr w:rsidR="00C002D1">
        <w:tc>
          <w:tcPr>
            <w:tcW w:w="1395" w:type="dxa"/>
            <w:vAlign w:val="center"/>
          </w:tcPr>
          <w:p w:rsidR="00C002D1" w:rsidRDefault="00415888">
            <w:pPr>
              <w:jc w:val="left"/>
            </w:pPr>
            <w:r>
              <w:rPr>
                <w:color w:val="000000"/>
                <w:kern w:val="0"/>
                <w:sz w:val="24"/>
                <w:szCs w:val="24"/>
              </w:rPr>
              <w:t>过去六个月</w:t>
            </w:r>
          </w:p>
        </w:tc>
        <w:tc>
          <w:tcPr>
            <w:tcW w:w="1092" w:type="dxa"/>
            <w:vAlign w:val="center"/>
          </w:tcPr>
          <w:p w:rsidR="00C002D1" w:rsidRDefault="00415888">
            <w:pPr>
              <w:jc w:val="center"/>
            </w:pPr>
            <w:r>
              <w:rPr>
                <w:color w:val="000000"/>
                <w:kern w:val="0"/>
                <w:sz w:val="24"/>
                <w:szCs w:val="24"/>
              </w:rPr>
              <w:t>-</w:t>
            </w:r>
          </w:p>
        </w:tc>
        <w:tc>
          <w:tcPr>
            <w:tcW w:w="1161" w:type="dxa"/>
            <w:vAlign w:val="center"/>
          </w:tcPr>
          <w:p w:rsidR="00C002D1" w:rsidRDefault="00415888">
            <w:pPr>
              <w:jc w:val="center"/>
            </w:pPr>
            <w:r>
              <w:rPr>
                <w:color w:val="000000"/>
                <w:kern w:val="0"/>
                <w:sz w:val="24"/>
                <w:szCs w:val="24"/>
              </w:rPr>
              <w:t>-</w:t>
            </w:r>
          </w:p>
        </w:tc>
        <w:tc>
          <w:tcPr>
            <w:tcW w:w="1181" w:type="dxa"/>
            <w:vAlign w:val="center"/>
          </w:tcPr>
          <w:p w:rsidR="00C002D1" w:rsidRDefault="00415888">
            <w:pPr>
              <w:jc w:val="center"/>
            </w:pPr>
            <w:r>
              <w:rPr>
                <w:color w:val="000000"/>
                <w:kern w:val="0"/>
                <w:sz w:val="24"/>
                <w:szCs w:val="24"/>
              </w:rPr>
              <w:t>-</w:t>
            </w:r>
          </w:p>
        </w:tc>
        <w:tc>
          <w:tcPr>
            <w:tcW w:w="1188" w:type="dxa"/>
            <w:vAlign w:val="center"/>
          </w:tcPr>
          <w:p w:rsidR="00C002D1" w:rsidRDefault="00415888">
            <w:pPr>
              <w:jc w:val="center"/>
            </w:pPr>
            <w:r>
              <w:rPr>
                <w:color w:val="000000"/>
                <w:kern w:val="0"/>
                <w:sz w:val="24"/>
                <w:szCs w:val="24"/>
              </w:rPr>
              <w:t>-</w:t>
            </w:r>
          </w:p>
        </w:tc>
        <w:tc>
          <w:tcPr>
            <w:tcW w:w="1199" w:type="dxa"/>
            <w:vAlign w:val="center"/>
          </w:tcPr>
          <w:p w:rsidR="00C002D1" w:rsidRDefault="00415888">
            <w:pPr>
              <w:jc w:val="center"/>
            </w:pPr>
            <w:r>
              <w:rPr>
                <w:color w:val="000000"/>
                <w:kern w:val="0"/>
                <w:sz w:val="24"/>
                <w:szCs w:val="24"/>
              </w:rPr>
              <w:t>-</w:t>
            </w:r>
          </w:p>
        </w:tc>
        <w:tc>
          <w:tcPr>
            <w:tcW w:w="1204" w:type="dxa"/>
            <w:vAlign w:val="center"/>
          </w:tcPr>
          <w:p w:rsidR="00C002D1" w:rsidRDefault="00415888">
            <w:pPr>
              <w:jc w:val="center"/>
            </w:pPr>
            <w:r>
              <w:rPr>
                <w:color w:val="000000"/>
                <w:kern w:val="0"/>
                <w:sz w:val="24"/>
                <w:szCs w:val="24"/>
              </w:rPr>
              <w:t>-</w:t>
            </w:r>
          </w:p>
        </w:tc>
      </w:tr>
      <w:tr w:rsidR="00C002D1">
        <w:tc>
          <w:tcPr>
            <w:tcW w:w="1395" w:type="dxa"/>
            <w:vAlign w:val="center"/>
          </w:tcPr>
          <w:p w:rsidR="00C002D1" w:rsidRDefault="00415888">
            <w:pPr>
              <w:jc w:val="left"/>
            </w:pPr>
            <w:r>
              <w:rPr>
                <w:color w:val="000000"/>
                <w:kern w:val="0"/>
                <w:sz w:val="24"/>
                <w:szCs w:val="24"/>
              </w:rPr>
              <w:t>过去一年</w:t>
            </w:r>
          </w:p>
        </w:tc>
        <w:tc>
          <w:tcPr>
            <w:tcW w:w="1092" w:type="dxa"/>
            <w:vAlign w:val="center"/>
          </w:tcPr>
          <w:p w:rsidR="00C002D1" w:rsidRDefault="00415888">
            <w:pPr>
              <w:jc w:val="center"/>
            </w:pPr>
            <w:r>
              <w:rPr>
                <w:color w:val="000000"/>
                <w:kern w:val="0"/>
                <w:sz w:val="24"/>
                <w:szCs w:val="24"/>
              </w:rPr>
              <w:t>-</w:t>
            </w:r>
          </w:p>
        </w:tc>
        <w:tc>
          <w:tcPr>
            <w:tcW w:w="1161" w:type="dxa"/>
            <w:vAlign w:val="center"/>
          </w:tcPr>
          <w:p w:rsidR="00C002D1" w:rsidRDefault="00415888">
            <w:pPr>
              <w:jc w:val="center"/>
            </w:pPr>
            <w:r>
              <w:rPr>
                <w:color w:val="000000"/>
                <w:kern w:val="0"/>
                <w:sz w:val="24"/>
                <w:szCs w:val="24"/>
              </w:rPr>
              <w:t>-</w:t>
            </w:r>
          </w:p>
        </w:tc>
        <w:tc>
          <w:tcPr>
            <w:tcW w:w="1181" w:type="dxa"/>
            <w:vAlign w:val="center"/>
          </w:tcPr>
          <w:p w:rsidR="00C002D1" w:rsidRDefault="00415888">
            <w:pPr>
              <w:jc w:val="center"/>
            </w:pPr>
            <w:r>
              <w:rPr>
                <w:color w:val="000000"/>
                <w:kern w:val="0"/>
                <w:sz w:val="24"/>
                <w:szCs w:val="24"/>
              </w:rPr>
              <w:t>-</w:t>
            </w:r>
          </w:p>
        </w:tc>
        <w:tc>
          <w:tcPr>
            <w:tcW w:w="1188" w:type="dxa"/>
            <w:vAlign w:val="center"/>
          </w:tcPr>
          <w:p w:rsidR="00C002D1" w:rsidRDefault="00415888">
            <w:pPr>
              <w:jc w:val="center"/>
            </w:pPr>
            <w:r>
              <w:rPr>
                <w:color w:val="000000"/>
                <w:kern w:val="0"/>
                <w:sz w:val="24"/>
                <w:szCs w:val="24"/>
              </w:rPr>
              <w:t>-</w:t>
            </w:r>
          </w:p>
        </w:tc>
        <w:tc>
          <w:tcPr>
            <w:tcW w:w="1199" w:type="dxa"/>
            <w:vAlign w:val="center"/>
          </w:tcPr>
          <w:p w:rsidR="00C002D1" w:rsidRDefault="00415888">
            <w:pPr>
              <w:jc w:val="center"/>
            </w:pPr>
            <w:r>
              <w:rPr>
                <w:color w:val="000000"/>
                <w:kern w:val="0"/>
                <w:sz w:val="24"/>
                <w:szCs w:val="24"/>
              </w:rPr>
              <w:t>-</w:t>
            </w:r>
          </w:p>
        </w:tc>
        <w:tc>
          <w:tcPr>
            <w:tcW w:w="1204" w:type="dxa"/>
            <w:vAlign w:val="center"/>
          </w:tcPr>
          <w:p w:rsidR="00C002D1" w:rsidRDefault="00415888">
            <w:pPr>
              <w:jc w:val="center"/>
            </w:pPr>
            <w:r>
              <w:rPr>
                <w:color w:val="000000"/>
                <w:kern w:val="0"/>
                <w:sz w:val="24"/>
                <w:szCs w:val="24"/>
              </w:rPr>
              <w:t>-</w:t>
            </w:r>
          </w:p>
        </w:tc>
      </w:tr>
      <w:tr w:rsidR="00C002D1">
        <w:tc>
          <w:tcPr>
            <w:tcW w:w="1395" w:type="dxa"/>
            <w:vAlign w:val="center"/>
          </w:tcPr>
          <w:p w:rsidR="00C002D1" w:rsidRDefault="00415888">
            <w:pPr>
              <w:jc w:val="left"/>
            </w:pPr>
            <w:r>
              <w:rPr>
                <w:color w:val="000000"/>
                <w:kern w:val="0"/>
                <w:sz w:val="24"/>
                <w:szCs w:val="24"/>
              </w:rPr>
              <w:lastRenderedPageBreak/>
              <w:t>过去三年</w:t>
            </w:r>
          </w:p>
        </w:tc>
        <w:tc>
          <w:tcPr>
            <w:tcW w:w="1092" w:type="dxa"/>
            <w:vAlign w:val="center"/>
          </w:tcPr>
          <w:p w:rsidR="00C002D1" w:rsidRDefault="00415888">
            <w:pPr>
              <w:jc w:val="center"/>
            </w:pPr>
            <w:r>
              <w:rPr>
                <w:color w:val="000000"/>
                <w:kern w:val="0"/>
                <w:sz w:val="24"/>
                <w:szCs w:val="24"/>
              </w:rPr>
              <w:t>-</w:t>
            </w:r>
          </w:p>
        </w:tc>
        <w:tc>
          <w:tcPr>
            <w:tcW w:w="1161" w:type="dxa"/>
            <w:vAlign w:val="center"/>
          </w:tcPr>
          <w:p w:rsidR="00C002D1" w:rsidRDefault="00415888">
            <w:pPr>
              <w:jc w:val="center"/>
            </w:pPr>
            <w:r>
              <w:rPr>
                <w:color w:val="000000"/>
                <w:kern w:val="0"/>
                <w:sz w:val="24"/>
                <w:szCs w:val="24"/>
              </w:rPr>
              <w:t>-</w:t>
            </w:r>
          </w:p>
        </w:tc>
        <w:tc>
          <w:tcPr>
            <w:tcW w:w="1181" w:type="dxa"/>
            <w:vAlign w:val="center"/>
          </w:tcPr>
          <w:p w:rsidR="00C002D1" w:rsidRDefault="00415888">
            <w:pPr>
              <w:jc w:val="center"/>
            </w:pPr>
            <w:r>
              <w:rPr>
                <w:color w:val="000000"/>
                <w:kern w:val="0"/>
                <w:sz w:val="24"/>
                <w:szCs w:val="24"/>
              </w:rPr>
              <w:t>-</w:t>
            </w:r>
          </w:p>
        </w:tc>
        <w:tc>
          <w:tcPr>
            <w:tcW w:w="1188" w:type="dxa"/>
            <w:vAlign w:val="center"/>
          </w:tcPr>
          <w:p w:rsidR="00C002D1" w:rsidRDefault="00415888">
            <w:pPr>
              <w:jc w:val="center"/>
            </w:pPr>
            <w:r>
              <w:rPr>
                <w:color w:val="000000"/>
                <w:kern w:val="0"/>
                <w:sz w:val="24"/>
                <w:szCs w:val="24"/>
              </w:rPr>
              <w:t>-</w:t>
            </w:r>
          </w:p>
        </w:tc>
        <w:tc>
          <w:tcPr>
            <w:tcW w:w="1199" w:type="dxa"/>
            <w:vAlign w:val="center"/>
          </w:tcPr>
          <w:p w:rsidR="00C002D1" w:rsidRDefault="00415888">
            <w:pPr>
              <w:jc w:val="center"/>
            </w:pPr>
            <w:r>
              <w:rPr>
                <w:color w:val="000000"/>
                <w:kern w:val="0"/>
                <w:sz w:val="24"/>
                <w:szCs w:val="24"/>
              </w:rPr>
              <w:t>-</w:t>
            </w:r>
          </w:p>
        </w:tc>
        <w:tc>
          <w:tcPr>
            <w:tcW w:w="1204" w:type="dxa"/>
            <w:vAlign w:val="center"/>
          </w:tcPr>
          <w:p w:rsidR="00C002D1" w:rsidRDefault="00415888">
            <w:pPr>
              <w:jc w:val="center"/>
            </w:pPr>
            <w:r>
              <w:rPr>
                <w:color w:val="000000"/>
                <w:kern w:val="0"/>
                <w:sz w:val="24"/>
                <w:szCs w:val="24"/>
              </w:rPr>
              <w:t>-</w:t>
            </w:r>
          </w:p>
        </w:tc>
      </w:tr>
      <w:tr w:rsidR="00C002D1">
        <w:tc>
          <w:tcPr>
            <w:tcW w:w="1395" w:type="dxa"/>
            <w:vAlign w:val="center"/>
          </w:tcPr>
          <w:p w:rsidR="00C002D1" w:rsidRDefault="00415888">
            <w:pPr>
              <w:jc w:val="left"/>
            </w:pPr>
            <w:r>
              <w:rPr>
                <w:color w:val="000000"/>
                <w:kern w:val="0"/>
                <w:sz w:val="24"/>
                <w:szCs w:val="24"/>
              </w:rPr>
              <w:t>过去五年</w:t>
            </w:r>
          </w:p>
        </w:tc>
        <w:tc>
          <w:tcPr>
            <w:tcW w:w="1092" w:type="dxa"/>
            <w:vAlign w:val="center"/>
          </w:tcPr>
          <w:p w:rsidR="00C002D1" w:rsidRDefault="00415888">
            <w:pPr>
              <w:jc w:val="center"/>
            </w:pPr>
            <w:r>
              <w:rPr>
                <w:color w:val="000000"/>
                <w:kern w:val="0"/>
                <w:sz w:val="24"/>
                <w:szCs w:val="24"/>
              </w:rPr>
              <w:t>-</w:t>
            </w:r>
          </w:p>
        </w:tc>
        <w:tc>
          <w:tcPr>
            <w:tcW w:w="1161" w:type="dxa"/>
            <w:vAlign w:val="center"/>
          </w:tcPr>
          <w:p w:rsidR="00C002D1" w:rsidRDefault="00415888">
            <w:pPr>
              <w:jc w:val="center"/>
            </w:pPr>
            <w:r>
              <w:rPr>
                <w:color w:val="000000"/>
                <w:kern w:val="0"/>
                <w:sz w:val="24"/>
                <w:szCs w:val="24"/>
              </w:rPr>
              <w:t>-</w:t>
            </w:r>
          </w:p>
        </w:tc>
        <w:tc>
          <w:tcPr>
            <w:tcW w:w="1181" w:type="dxa"/>
            <w:vAlign w:val="center"/>
          </w:tcPr>
          <w:p w:rsidR="00C002D1" w:rsidRDefault="00415888">
            <w:pPr>
              <w:jc w:val="center"/>
            </w:pPr>
            <w:r>
              <w:rPr>
                <w:color w:val="000000"/>
                <w:kern w:val="0"/>
                <w:sz w:val="24"/>
                <w:szCs w:val="24"/>
              </w:rPr>
              <w:t>-</w:t>
            </w:r>
          </w:p>
        </w:tc>
        <w:tc>
          <w:tcPr>
            <w:tcW w:w="1188" w:type="dxa"/>
            <w:vAlign w:val="center"/>
          </w:tcPr>
          <w:p w:rsidR="00C002D1" w:rsidRDefault="00415888">
            <w:pPr>
              <w:jc w:val="center"/>
            </w:pPr>
            <w:r>
              <w:rPr>
                <w:color w:val="000000"/>
                <w:kern w:val="0"/>
                <w:sz w:val="24"/>
                <w:szCs w:val="24"/>
              </w:rPr>
              <w:t>-</w:t>
            </w:r>
          </w:p>
        </w:tc>
        <w:tc>
          <w:tcPr>
            <w:tcW w:w="1199" w:type="dxa"/>
            <w:vAlign w:val="center"/>
          </w:tcPr>
          <w:p w:rsidR="00C002D1" w:rsidRDefault="00415888">
            <w:pPr>
              <w:jc w:val="center"/>
            </w:pPr>
            <w:r>
              <w:rPr>
                <w:color w:val="000000"/>
                <w:kern w:val="0"/>
                <w:sz w:val="24"/>
                <w:szCs w:val="24"/>
              </w:rPr>
              <w:t>-</w:t>
            </w:r>
          </w:p>
        </w:tc>
        <w:tc>
          <w:tcPr>
            <w:tcW w:w="1204" w:type="dxa"/>
            <w:vAlign w:val="center"/>
          </w:tcPr>
          <w:p w:rsidR="00C002D1" w:rsidRDefault="00415888">
            <w:pPr>
              <w:jc w:val="center"/>
            </w:pPr>
            <w:r>
              <w:rPr>
                <w:color w:val="000000"/>
                <w:kern w:val="0"/>
                <w:sz w:val="24"/>
                <w:szCs w:val="24"/>
              </w:rPr>
              <w:t>-</w:t>
            </w:r>
          </w:p>
        </w:tc>
      </w:tr>
      <w:tr w:rsidR="00C002D1">
        <w:tc>
          <w:tcPr>
            <w:tcW w:w="1395" w:type="dxa"/>
            <w:vAlign w:val="center"/>
          </w:tcPr>
          <w:p w:rsidR="00C002D1" w:rsidRDefault="00415888">
            <w:pPr>
              <w:jc w:val="left"/>
            </w:pPr>
            <w:r>
              <w:rPr>
                <w:color w:val="000000"/>
                <w:kern w:val="0"/>
                <w:sz w:val="24"/>
                <w:szCs w:val="24"/>
              </w:rPr>
              <w:t>自基金合同生效起至今</w:t>
            </w:r>
          </w:p>
        </w:tc>
        <w:tc>
          <w:tcPr>
            <w:tcW w:w="1092" w:type="dxa"/>
            <w:vAlign w:val="center"/>
          </w:tcPr>
          <w:p w:rsidR="00C002D1" w:rsidRDefault="00415888">
            <w:pPr>
              <w:jc w:val="center"/>
            </w:pPr>
            <w:r>
              <w:rPr>
                <w:color w:val="000000"/>
                <w:kern w:val="0"/>
                <w:sz w:val="24"/>
                <w:szCs w:val="24"/>
              </w:rPr>
              <w:t>0.69%</w:t>
            </w:r>
          </w:p>
        </w:tc>
        <w:tc>
          <w:tcPr>
            <w:tcW w:w="1161" w:type="dxa"/>
            <w:vAlign w:val="center"/>
          </w:tcPr>
          <w:p w:rsidR="00C002D1" w:rsidRDefault="00415888">
            <w:pPr>
              <w:jc w:val="center"/>
            </w:pPr>
            <w:r>
              <w:rPr>
                <w:color w:val="000000"/>
                <w:kern w:val="0"/>
                <w:sz w:val="24"/>
                <w:szCs w:val="24"/>
              </w:rPr>
              <w:t>0.11%</w:t>
            </w:r>
          </w:p>
        </w:tc>
        <w:tc>
          <w:tcPr>
            <w:tcW w:w="1181" w:type="dxa"/>
            <w:vAlign w:val="center"/>
          </w:tcPr>
          <w:p w:rsidR="00C002D1" w:rsidRDefault="00415888">
            <w:pPr>
              <w:jc w:val="center"/>
            </w:pPr>
            <w:r>
              <w:rPr>
                <w:color w:val="000000"/>
                <w:kern w:val="0"/>
                <w:sz w:val="24"/>
                <w:szCs w:val="24"/>
              </w:rPr>
              <w:t>0.05%</w:t>
            </w:r>
          </w:p>
        </w:tc>
        <w:tc>
          <w:tcPr>
            <w:tcW w:w="1188" w:type="dxa"/>
            <w:vAlign w:val="center"/>
          </w:tcPr>
          <w:p w:rsidR="00C002D1" w:rsidRDefault="00415888">
            <w:pPr>
              <w:jc w:val="center"/>
            </w:pPr>
            <w:r>
              <w:rPr>
                <w:color w:val="000000"/>
                <w:kern w:val="0"/>
                <w:sz w:val="24"/>
                <w:szCs w:val="24"/>
              </w:rPr>
              <w:t>0.11%</w:t>
            </w:r>
          </w:p>
        </w:tc>
        <w:tc>
          <w:tcPr>
            <w:tcW w:w="1199" w:type="dxa"/>
            <w:vAlign w:val="center"/>
          </w:tcPr>
          <w:p w:rsidR="00C002D1" w:rsidRDefault="00415888">
            <w:pPr>
              <w:jc w:val="center"/>
            </w:pPr>
            <w:r>
              <w:rPr>
                <w:color w:val="000000"/>
                <w:kern w:val="0"/>
                <w:sz w:val="24"/>
                <w:szCs w:val="24"/>
              </w:rPr>
              <w:t>0.64%</w:t>
            </w:r>
          </w:p>
        </w:tc>
        <w:tc>
          <w:tcPr>
            <w:tcW w:w="1204" w:type="dxa"/>
            <w:vAlign w:val="center"/>
          </w:tcPr>
          <w:p w:rsidR="00C002D1" w:rsidRDefault="00415888">
            <w:pPr>
              <w:jc w:val="center"/>
            </w:pPr>
            <w:r>
              <w:rPr>
                <w:color w:val="000000"/>
                <w:kern w:val="0"/>
                <w:sz w:val="24"/>
                <w:szCs w:val="24"/>
              </w:rPr>
              <w:t>0.00%</w:t>
            </w:r>
          </w:p>
        </w:tc>
      </w:tr>
    </w:tbl>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val="clear" w:color="auto" w:fill="FFFFFF"/>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R="00750D48" w:rsidRPr="0074694E" w:rsidRDefault="00750D48" w:rsidP="009E7C6A">
      <w:pPr>
        <w:spacing w:line="360" w:lineRule="auto"/>
        <w:jc w:val="center"/>
        <w:rPr>
          <w:color w:val="000000"/>
          <w:sz w:val="24"/>
          <w:szCs w:val="24"/>
        </w:rPr>
      </w:pPr>
      <w:r w:rsidRPr="0074694E">
        <w:rPr>
          <w:color w:val="000000"/>
          <w:sz w:val="24"/>
          <w:szCs w:val="24"/>
        </w:rPr>
        <w:t>易方达恒裕一年定期开放债券型发起式证券投资基金</w:t>
      </w:r>
    </w:p>
    <w:p w:rsidR="00750D48" w:rsidRPr="0074694E" w:rsidRDefault="00750D48" w:rsidP="009E7C6A">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R="00750D48" w:rsidRPr="0074694E" w:rsidRDefault="005F7917" w:rsidP="009E7C6A">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2020</w:t>
      </w:r>
      <w:r w:rsidRPr="0074694E">
        <w:rPr>
          <w:rFonts w:ascii="Times New Roman" w:hAnsi="Times New Roman"/>
          <w:sz w:val="24"/>
          <w:szCs w:val="24"/>
        </w:rPr>
        <w:t>年</w:t>
      </w:r>
      <w:r w:rsidRPr="0074694E">
        <w:rPr>
          <w:rFonts w:ascii="Times New Roman" w:hAnsi="Times New Roman"/>
          <w:sz w:val="24"/>
          <w:szCs w:val="24"/>
        </w:rPr>
        <w:t>3</w:t>
      </w:r>
      <w:r w:rsidRPr="0074694E">
        <w:rPr>
          <w:rFonts w:ascii="Times New Roman" w:hAnsi="Times New Roman"/>
          <w:sz w:val="24"/>
          <w:szCs w:val="24"/>
        </w:rPr>
        <w:t>月</w:t>
      </w:r>
      <w:r w:rsidRPr="0074694E">
        <w:rPr>
          <w:rFonts w:ascii="Times New Roman" w:hAnsi="Times New Roman"/>
          <w:sz w:val="24"/>
          <w:szCs w:val="24"/>
        </w:rPr>
        <w:t>12</w:t>
      </w:r>
      <w:r w:rsidRPr="0074694E">
        <w:rPr>
          <w:rFonts w:ascii="Times New Roman" w:hAnsi="Times New Roman"/>
          <w:sz w:val="24"/>
          <w:szCs w:val="24"/>
        </w:rPr>
        <w:t>日至</w:t>
      </w:r>
      <w:r w:rsidRPr="0074694E">
        <w:rPr>
          <w:rFonts w:ascii="Times New Roman" w:hAnsi="Times New Roman"/>
          <w:sz w:val="24"/>
          <w:szCs w:val="24"/>
        </w:rPr>
        <w:t>2020</w:t>
      </w:r>
      <w:r w:rsidRPr="0074694E">
        <w:rPr>
          <w:rFonts w:ascii="Times New Roman" w:hAnsi="Times New Roman"/>
          <w:sz w:val="24"/>
          <w:szCs w:val="24"/>
        </w:rPr>
        <w:t>年</w:t>
      </w:r>
      <w:r w:rsidRPr="0074694E">
        <w:rPr>
          <w:rFonts w:ascii="Times New Roman" w:hAnsi="Times New Roman"/>
          <w:sz w:val="24"/>
          <w:szCs w:val="24"/>
        </w:rPr>
        <w:t>6</w:t>
      </w:r>
      <w:r w:rsidRPr="0074694E">
        <w:rPr>
          <w:rFonts w:ascii="Times New Roman" w:hAnsi="Times New Roman"/>
          <w:sz w:val="24"/>
          <w:szCs w:val="24"/>
        </w:rPr>
        <w:t>月</w:t>
      </w:r>
      <w:r w:rsidRPr="0074694E">
        <w:rPr>
          <w:rFonts w:ascii="Times New Roman" w:hAnsi="Times New Roman"/>
          <w:sz w:val="24"/>
          <w:szCs w:val="24"/>
        </w:rPr>
        <w:t>30</w:t>
      </w:r>
      <w:r w:rsidRPr="0074694E">
        <w:rPr>
          <w:rFonts w:ascii="Times New Roman" w:hAnsi="Times New Roman"/>
          <w:sz w:val="24"/>
          <w:szCs w:val="24"/>
        </w:rPr>
        <w:t>日）</w:t>
      </w:r>
    </w:p>
    <w:p w:rsidR="00750D48" w:rsidRPr="00264E55" w:rsidRDefault="001B7167" w:rsidP="004061AC">
      <w:pPr>
        <w:pStyle w:val="a5"/>
        <w:snapToGrid w:val="0"/>
        <w:spacing w:before="120" w:line="360" w:lineRule="auto"/>
        <w:jc w:val="center"/>
        <w:rPr>
          <w:rFonts w:hAnsi="宋体"/>
          <w:color w:val="000000"/>
          <w:sz w:val="24"/>
          <w:szCs w:val="24"/>
        </w:rPr>
      </w:pPr>
      <w:r>
        <w:rPr>
          <w:rFonts w:hAnsi="宋体"/>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2.6pt;height:241.05pt;visibility:visible">
            <v:imagedata r:id="rId10" o:title=""/>
          </v:shape>
        </w:pict>
      </w:r>
    </w:p>
    <w:p w:rsidR="00C002D1" w:rsidRDefault="00415888">
      <w:pPr>
        <w:spacing w:line="360" w:lineRule="auto"/>
        <w:ind w:firstLineChars="200" w:firstLine="480"/>
        <w:rPr>
          <w:color w:val="000000"/>
          <w:sz w:val="24"/>
          <w:szCs w:val="24"/>
        </w:rPr>
      </w:pPr>
      <w:r>
        <w:rPr>
          <w:color w:val="000000"/>
          <w:sz w:val="24"/>
          <w:szCs w:val="24"/>
        </w:rPr>
        <w:t>注：</w:t>
      </w:r>
      <w:r>
        <w:rPr>
          <w:color w:val="000000"/>
          <w:sz w:val="24"/>
          <w:szCs w:val="24"/>
        </w:rPr>
        <w:t>1.</w:t>
      </w:r>
      <w:r>
        <w:rPr>
          <w:color w:val="000000"/>
          <w:sz w:val="24"/>
          <w:szCs w:val="24"/>
        </w:rPr>
        <w:t>本基金合同于</w:t>
      </w:r>
      <w:r>
        <w:rPr>
          <w:color w:val="000000"/>
          <w:sz w:val="24"/>
          <w:szCs w:val="24"/>
        </w:rPr>
        <w:t>2020</w:t>
      </w:r>
      <w:r>
        <w:rPr>
          <w:color w:val="000000"/>
          <w:sz w:val="24"/>
          <w:szCs w:val="24"/>
        </w:rPr>
        <w:t>年</w:t>
      </w:r>
      <w:r>
        <w:rPr>
          <w:color w:val="000000"/>
          <w:sz w:val="24"/>
          <w:szCs w:val="24"/>
        </w:rPr>
        <w:t>3</w:t>
      </w:r>
      <w:r>
        <w:rPr>
          <w:color w:val="000000"/>
          <w:sz w:val="24"/>
          <w:szCs w:val="24"/>
        </w:rPr>
        <w:t>月</w:t>
      </w:r>
      <w:r>
        <w:rPr>
          <w:color w:val="000000"/>
          <w:sz w:val="24"/>
          <w:szCs w:val="24"/>
        </w:rPr>
        <w:t>12</w:t>
      </w:r>
      <w:r>
        <w:rPr>
          <w:color w:val="000000"/>
          <w:sz w:val="24"/>
          <w:szCs w:val="24"/>
        </w:rPr>
        <w:t>日生效，截至报告期末本基金合同生效未满一年。</w:t>
      </w:r>
    </w:p>
    <w:p w:rsidR="00C002D1" w:rsidRDefault="00415888">
      <w:pPr>
        <w:spacing w:line="360" w:lineRule="auto"/>
        <w:ind w:firstLineChars="200" w:firstLine="480"/>
        <w:rPr>
          <w:color w:val="000000"/>
          <w:sz w:val="24"/>
          <w:szCs w:val="24"/>
        </w:rPr>
      </w:pPr>
      <w:r>
        <w:rPr>
          <w:color w:val="000000"/>
          <w:sz w:val="24"/>
          <w:szCs w:val="24"/>
        </w:rPr>
        <w:t>2.</w:t>
      </w:r>
      <w:r>
        <w:rPr>
          <w:color w:val="000000"/>
          <w:sz w:val="24"/>
          <w:szCs w:val="24"/>
        </w:rPr>
        <w:t>按基金合同和招募说明书的约定，自基金合同生效之日起六个月内使基金的投资组合比例符合本基金合同（第十二部分二、投资范围，三、投资策略和四、投资限制）的有关约定。本报告期本基金处于建仓期内。</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3.</w:t>
      </w:r>
      <w:r w:rsidRPr="006C56AA">
        <w:rPr>
          <w:color w:val="000000"/>
          <w:sz w:val="24"/>
          <w:szCs w:val="24"/>
        </w:rPr>
        <w:t>自基金合同生效至报告期末，基金份额净值增长率为</w:t>
      </w:r>
      <w:r w:rsidRPr="006C56AA">
        <w:rPr>
          <w:color w:val="000000"/>
          <w:sz w:val="24"/>
          <w:szCs w:val="24"/>
        </w:rPr>
        <w:t>0.69%</w:t>
      </w:r>
      <w:r w:rsidRPr="006C56AA">
        <w:rPr>
          <w:color w:val="000000"/>
          <w:sz w:val="24"/>
          <w:szCs w:val="24"/>
        </w:rPr>
        <w:t>，同期业绩比较基准收益率为</w:t>
      </w:r>
      <w:r w:rsidRPr="006C56AA">
        <w:rPr>
          <w:color w:val="000000"/>
          <w:sz w:val="24"/>
          <w:szCs w:val="24"/>
        </w:rPr>
        <w:t>0.05%</w:t>
      </w:r>
      <w:r w:rsidRPr="006C56AA">
        <w:rPr>
          <w:color w:val="000000"/>
          <w:sz w:val="24"/>
          <w:szCs w:val="24"/>
        </w:rPr>
        <w:t>。</w:t>
      </w:r>
    </w:p>
    <w:p w:rsidR="00750D48" w:rsidRPr="00232B03" w:rsidRDefault="00750D48" w:rsidP="00693843">
      <w:pPr>
        <w:tabs>
          <w:tab w:val="left" w:pos="1800"/>
        </w:tabs>
        <w:spacing w:line="288" w:lineRule="auto"/>
        <w:rPr>
          <w:color w:val="000000"/>
          <w:sz w:val="24"/>
          <w:szCs w:val="24"/>
        </w:rPr>
      </w:pP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R="004D28A3" w:rsidRPr="0078105B" w:rsidRDefault="00750D48" w:rsidP="004D28A3">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4D28A3" w:rsidRPr="0078105B" w:rsidTr="003328D9">
        <w:trPr>
          <w:cantSplit/>
        </w:trPr>
        <w:tc>
          <w:tcPr>
            <w:tcW w:w="56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w="56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835" w:type="dxa"/>
            <w:vMerge/>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851"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97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r>
      <w:tr w:rsidR="00C002D1">
        <w:tc>
          <w:tcPr>
            <w:tcW w:w="567" w:type="dxa"/>
            <w:vAlign w:val="center"/>
          </w:tcPr>
          <w:p w:rsidR="00C002D1" w:rsidRDefault="00415888">
            <w:pPr>
              <w:jc w:val="center"/>
            </w:pPr>
            <w:r>
              <w:rPr>
                <w:color w:val="000000"/>
                <w:sz w:val="24"/>
              </w:rPr>
              <w:t>纪玲云</w:t>
            </w:r>
          </w:p>
        </w:tc>
        <w:tc>
          <w:tcPr>
            <w:tcW w:w="2835" w:type="dxa"/>
            <w:vAlign w:val="center"/>
          </w:tcPr>
          <w:p w:rsidR="00C002D1" w:rsidRDefault="00415888">
            <w:pPr>
              <w:jc w:val="left"/>
            </w:pPr>
            <w:r>
              <w:rPr>
                <w:color w:val="000000"/>
                <w:sz w:val="24"/>
              </w:rPr>
              <w:t>本基金的基金经理、易方达信用债债券型证券投资基金的基金经理、易方达</w:t>
            </w:r>
            <w:r>
              <w:rPr>
                <w:color w:val="000000"/>
                <w:sz w:val="24"/>
              </w:rPr>
              <w:t>3</w:t>
            </w:r>
            <w:r>
              <w:rPr>
                <w:color w:val="000000"/>
                <w:sz w:val="24"/>
              </w:rPr>
              <w:t>年封闭运作战略配售灵活配置混合型证券投资基金（</w:t>
            </w:r>
            <w:r>
              <w:rPr>
                <w:color w:val="000000"/>
                <w:sz w:val="24"/>
              </w:rPr>
              <w:t>LOF</w:t>
            </w:r>
            <w:r>
              <w:rPr>
                <w:color w:val="000000"/>
                <w:sz w:val="24"/>
              </w:rPr>
              <w:t>）的基金经理、易方达瑞财灵活配置混合型证券投资基金的基金经理、易方达恒利</w:t>
            </w:r>
            <w:r>
              <w:rPr>
                <w:color w:val="000000"/>
                <w:sz w:val="24"/>
              </w:rPr>
              <w:t>3</w:t>
            </w:r>
            <w:r>
              <w:rPr>
                <w:color w:val="000000"/>
                <w:sz w:val="24"/>
              </w:rPr>
              <w:t>个月定期开放债券型发起式证券投资基金的基金经理、易方达恒盛</w:t>
            </w:r>
            <w:r>
              <w:rPr>
                <w:color w:val="000000"/>
                <w:sz w:val="24"/>
              </w:rPr>
              <w:t>3</w:t>
            </w:r>
            <w:r>
              <w:rPr>
                <w:color w:val="000000"/>
                <w:sz w:val="24"/>
              </w:rPr>
              <w:t>个月定期开放混合型发起式证券投资基金的基金经理、易方达稳健收益债券型证券投资基金的基金经理助理、易方达丰惠混合型证券投资基金的基金经理助理（自</w:t>
            </w:r>
            <w:r>
              <w:rPr>
                <w:color w:val="000000"/>
                <w:sz w:val="24"/>
              </w:rPr>
              <w:t>2019</w:t>
            </w:r>
            <w:r>
              <w:rPr>
                <w:color w:val="000000"/>
                <w:sz w:val="24"/>
              </w:rPr>
              <w:t>年</w:t>
            </w:r>
            <w:r>
              <w:rPr>
                <w:color w:val="000000"/>
                <w:sz w:val="24"/>
              </w:rPr>
              <w:t>01</w:t>
            </w:r>
            <w:r>
              <w:rPr>
                <w:color w:val="000000"/>
                <w:sz w:val="24"/>
              </w:rPr>
              <w:t>月</w:t>
            </w:r>
            <w:r>
              <w:rPr>
                <w:color w:val="000000"/>
                <w:sz w:val="24"/>
              </w:rPr>
              <w:t>18</w:t>
            </w:r>
            <w:r>
              <w:rPr>
                <w:color w:val="000000"/>
                <w:sz w:val="24"/>
              </w:rPr>
              <w:t>日至</w:t>
            </w:r>
            <w:r>
              <w:rPr>
                <w:color w:val="000000"/>
                <w:sz w:val="24"/>
              </w:rPr>
              <w:t>2020</w:t>
            </w:r>
            <w:r>
              <w:rPr>
                <w:color w:val="000000"/>
                <w:sz w:val="24"/>
              </w:rPr>
              <w:t>年</w:t>
            </w:r>
            <w:r>
              <w:rPr>
                <w:color w:val="000000"/>
                <w:sz w:val="24"/>
              </w:rPr>
              <w:t>06</w:t>
            </w:r>
            <w:r>
              <w:rPr>
                <w:color w:val="000000"/>
                <w:sz w:val="24"/>
              </w:rPr>
              <w:t>月</w:t>
            </w:r>
            <w:r>
              <w:rPr>
                <w:color w:val="000000"/>
                <w:sz w:val="24"/>
              </w:rPr>
              <w:t>09</w:t>
            </w:r>
            <w:r>
              <w:rPr>
                <w:color w:val="000000"/>
                <w:sz w:val="24"/>
              </w:rPr>
              <w:t>日）、固定收益研究部总经理助理、投资经理</w:t>
            </w:r>
          </w:p>
        </w:tc>
        <w:tc>
          <w:tcPr>
            <w:tcW w:w="851" w:type="dxa"/>
            <w:vAlign w:val="center"/>
          </w:tcPr>
          <w:p w:rsidR="00C002D1" w:rsidRDefault="00415888">
            <w:pPr>
              <w:jc w:val="center"/>
            </w:pPr>
            <w:r>
              <w:rPr>
                <w:color w:val="000000"/>
                <w:sz w:val="24"/>
              </w:rPr>
              <w:t>2020-03-12</w:t>
            </w:r>
          </w:p>
        </w:tc>
        <w:tc>
          <w:tcPr>
            <w:tcW w:w="850" w:type="dxa"/>
            <w:vAlign w:val="center"/>
          </w:tcPr>
          <w:p w:rsidR="00C002D1" w:rsidRDefault="00415888">
            <w:pPr>
              <w:jc w:val="center"/>
            </w:pPr>
            <w:r>
              <w:rPr>
                <w:color w:val="000000"/>
                <w:sz w:val="24"/>
              </w:rPr>
              <w:t>-</w:t>
            </w:r>
          </w:p>
        </w:tc>
        <w:tc>
          <w:tcPr>
            <w:tcW w:w="851" w:type="dxa"/>
            <w:vAlign w:val="center"/>
          </w:tcPr>
          <w:p w:rsidR="00C002D1" w:rsidRDefault="00415888">
            <w:pPr>
              <w:jc w:val="center"/>
            </w:pPr>
            <w:r>
              <w:rPr>
                <w:color w:val="000000"/>
                <w:sz w:val="24"/>
              </w:rPr>
              <w:t>11</w:t>
            </w:r>
            <w:r>
              <w:rPr>
                <w:color w:val="000000"/>
                <w:sz w:val="24"/>
              </w:rPr>
              <w:t>年</w:t>
            </w:r>
          </w:p>
        </w:tc>
        <w:tc>
          <w:tcPr>
            <w:tcW w:w="2977" w:type="dxa"/>
            <w:vAlign w:val="center"/>
          </w:tcPr>
          <w:p w:rsidR="00C002D1" w:rsidRDefault="00415888">
            <w:r>
              <w:rPr>
                <w:color w:val="000000"/>
                <w:sz w:val="24"/>
              </w:rPr>
              <w:t>硕士研究生，具有基金从业资格。曾任易方达基金管理有限公司固定收益研究员、投资经理助理。</w:t>
            </w:r>
          </w:p>
        </w:tc>
      </w:tr>
    </w:tbl>
    <w:p w:rsidR="00750D48" w:rsidRPr="00232B03" w:rsidRDefault="001B7167" w:rsidP="006D5089">
      <w:pPr>
        <w:spacing w:line="360" w:lineRule="auto"/>
        <w:rPr>
          <w:color w:val="000000"/>
          <w:sz w:val="24"/>
          <w:szCs w:val="24"/>
        </w:rPr>
      </w:pPr>
      <w:bookmarkStart w:id="0" w:name="_GoBack"/>
      <w:r w:rsidRPr="001B7167">
        <w:rPr>
          <w:noProof/>
          <w:color w:val="000000"/>
          <w:sz w:val="24"/>
          <w:szCs w:val="24"/>
        </w:rPr>
        <w:lastRenderedPageBreak/>
        <w:drawing>
          <wp:inline distT="0" distB="0" distL="0" distR="0">
            <wp:extent cx="5278120" cy="3356947"/>
            <wp:effectExtent l="0" t="0" r="0" b="0"/>
            <wp:docPr id="2" name="图片 2" descr="d:\Users\wenxueqian\Desktop\20200716-截图更新\纪玲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wenxueqian\Desktop\20200716-截图更新\纪玲云.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8120" cy="3356947"/>
                    </a:xfrm>
                    <a:prstGeom prst="rect">
                      <a:avLst/>
                    </a:prstGeom>
                    <a:noFill/>
                    <a:ln>
                      <a:noFill/>
                    </a:ln>
                  </pic:spPr>
                </pic:pic>
              </a:graphicData>
            </a:graphic>
          </wp:inline>
        </w:drawing>
      </w:r>
      <w:bookmarkEnd w:id="0"/>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6C56AA">
        <w:rPr>
          <w:color w:val="000000"/>
          <w:sz w:val="24"/>
          <w:szCs w:val="24"/>
        </w:rPr>
        <w:t>“</w:t>
      </w:r>
      <w:r w:rsidRPr="006C56AA">
        <w:rPr>
          <w:color w:val="000000"/>
          <w:sz w:val="24"/>
          <w:szCs w:val="24"/>
        </w:rPr>
        <w:t>时间优先、价格优先</w:t>
      </w:r>
      <w:r w:rsidRPr="006C56AA">
        <w:rPr>
          <w:color w:val="000000"/>
          <w:sz w:val="24"/>
          <w:szCs w:val="24"/>
        </w:rPr>
        <w:t>”</w:t>
      </w:r>
      <w:r w:rsidRPr="006C56AA">
        <w:rPr>
          <w:color w:val="000000"/>
          <w:sz w:val="24"/>
          <w:szCs w:val="24"/>
        </w:rPr>
        <w:t>作为执行指令的基本原则，通过投资交易系统中的公平交易模块，以尽可能确保公平对待各投资组合。本报告期内，公平交易制度总体执行情况良好。</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rsidR="00C002D1" w:rsidRDefault="00415888">
      <w:pPr>
        <w:spacing w:line="360" w:lineRule="auto"/>
        <w:ind w:firstLineChars="200" w:firstLine="48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w:t>
      </w:r>
      <w:r>
        <w:rPr>
          <w:color w:val="000000"/>
          <w:sz w:val="24"/>
          <w:szCs w:val="24"/>
        </w:rPr>
        <w:t>5%</w:t>
      </w:r>
      <w:r>
        <w:rPr>
          <w:color w:val="000000"/>
          <w:sz w:val="24"/>
          <w:szCs w:val="24"/>
        </w:rPr>
        <w:t>的交易共</w:t>
      </w:r>
      <w:r>
        <w:rPr>
          <w:color w:val="000000"/>
          <w:sz w:val="24"/>
          <w:szCs w:val="24"/>
        </w:rPr>
        <w:t>42</w:t>
      </w:r>
      <w:r>
        <w:rPr>
          <w:color w:val="000000"/>
          <w:sz w:val="24"/>
          <w:szCs w:val="24"/>
        </w:rPr>
        <w:t>次，均为指数量化投资组合因投资策略需要和其他组合发生的反向交易。</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lastRenderedPageBreak/>
        <w:t>本报告期内，未发现本基金有可能导致不公平交易和利益输送的异常交易。</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4.4.1</w:t>
        </w:r>
      </w:smartTag>
      <w:r w:rsidRPr="00264E55">
        <w:rPr>
          <w:rFonts w:ascii="宋体" w:hAnsi="宋体" w:cs="宋体" w:hint="eastAsia"/>
          <w:sz w:val="24"/>
          <w:szCs w:val="24"/>
        </w:rPr>
        <w:t>报告期内基金投资策略和运作分析</w:t>
      </w:r>
    </w:p>
    <w:p w:rsidR="00C002D1" w:rsidRDefault="00415888">
      <w:pPr>
        <w:spacing w:line="360" w:lineRule="auto"/>
        <w:ind w:firstLineChars="200" w:firstLine="480"/>
        <w:rPr>
          <w:color w:val="000000"/>
          <w:sz w:val="24"/>
          <w:szCs w:val="24"/>
        </w:rPr>
      </w:pPr>
      <w:r>
        <w:rPr>
          <w:color w:val="000000"/>
          <w:sz w:val="24"/>
          <w:szCs w:val="24"/>
        </w:rPr>
        <w:t>2020</w:t>
      </w:r>
      <w:r>
        <w:rPr>
          <w:color w:val="000000"/>
          <w:sz w:val="24"/>
          <w:szCs w:val="24"/>
        </w:rPr>
        <w:t>年二季度经济基本面进入疫情后的回升阶段。</w:t>
      </w:r>
      <w:r>
        <w:rPr>
          <w:color w:val="000000"/>
          <w:sz w:val="24"/>
          <w:szCs w:val="24"/>
        </w:rPr>
        <w:t>4</w:t>
      </w:r>
      <w:r>
        <w:rPr>
          <w:color w:val="000000"/>
          <w:sz w:val="24"/>
          <w:szCs w:val="24"/>
        </w:rPr>
        <w:t>月份经济增长出现较为快速的回升，结构上表现为工业增速好于投资增速、投资增速好于需求增速的特点。进入</w:t>
      </w:r>
      <w:r>
        <w:rPr>
          <w:color w:val="000000"/>
          <w:sz w:val="24"/>
          <w:szCs w:val="24"/>
        </w:rPr>
        <w:t>5</w:t>
      </w:r>
      <w:r>
        <w:rPr>
          <w:color w:val="000000"/>
          <w:sz w:val="24"/>
          <w:szCs w:val="24"/>
        </w:rPr>
        <w:t>月份之后经济回升速度有所放缓，但是下游需求恢复有所加快。从细分情况来看，基建投资和房地产投资恢复较快，房地产和汽车等非必须消费品销售恢复较快；制造业投资恢复较慢，截至</w:t>
      </w:r>
      <w:r>
        <w:rPr>
          <w:color w:val="000000"/>
          <w:sz w:val="24"/>
          <w:szCs w:val="24"/>
        </w:rPr>
        <w:t>5</w:t>
      </w:r>
      <w:r>
        <w:rPr>
          <w:color w:val="000000"/>
          <w:sz w:val="24"/>
          <w:szCs w:val="24"/>
        </w:rPr>
        <w:t>月份较疫情前仍有</w:t>
      </w:r>
      <w:r>
        <w:rPr>
          <w:color w:val="000000"/>
          <w:sz w:val="24"/>
          <w:szCs w:val="24"/>
        </w:rPr>
        <w:t>15%</w:t>
      </w:r>
      <w:r>
        <w:rPr>
          <w:color w:val="000000"/>
          <w:sz w:val="24"/>
          <w:szCs w:val="24"/>
        </w:rPr>
        <w:t>左右的降幅，零售中的餐饮恢复也相对较慢，截至</w:t>
      </w:r>
      <w:r>
        <w:rPr>
          <w:color w:val="000000"/>
          <w:sz w:val="24"/>
          <w:szCs w:val="24"/>
        </w:rPr>
        <w:t>5</w:t>
      </w:r>
      <w:r>
        <w:rPr>
          <w:color w:val="000000"/>
          <w:sz w:val="24"/>
          <w:szCs w:val="24"/>
        </w:rPr>
        <w:t>月份较疫情前仍有</w:t>
      </w:r>
      <w:r>
        <w:rPr>
          <w:color w:val="000000"/>
          <w:sz w:val="24"/>
          <w:szCs w:val="24"/>
        </w:rPr>
        <w:t>23%</w:t>
      </w:r>
      <w:r>
        <w:rPr>
          <w:color w:val="000000"/>
          <w:sz w:val="24"/>
          <w:szCs w:val="24"/>
        </w:rPr>
        <w:t>的降幅。</w:t>
      </w:r>
    </w:p>
    <w:p w:rsidR="00C002D1" w:rsidRDefault="00415888">
      <w:pPr>
        <w:spacing w:line="360" w:lineRule="auto"/>
        <w:ind w:firstLineChars="200" w:firstLine="480"/>
        <w:rPr>
          <w:color w:val="000000"/>
          <w:sz w:val="24"/>
          <w:szCs w:val="24"/>
        </w:rPr>
      </w:pPr>
      <w:r>
        <w:rPr>
          <w:color w:val="000000"/>
          <w:sz w:val="24"/>
          <w:szCs w:val="24"/>
        </w:rPr>
        <w:t>政策对冲在二季度有所加码，财政方面通过增加发行特别国债、增加专项债额度和提高赤字率等方式在短期内快速提升基建投资力度。货币政策则通过增加银行信贷额度、增加专项再贷款额度等方式侧重进行结构性宽松，并探索开发直达实体经济的货币宽松工具。总量货币政策在</w:t>
      </w:r>
      <w:r>
        <w:rPr>
          <w:color w:val="000000"/>
          <w:sz w:val="24"/>
          <w:szCs w:val="24"/>
        </w:rPr>
        <w:t>3</w:t>
      </w:r>
      <w:r>
        <w:rPr>
          <w:color w:val="000000"/>
          <w:sz w:val="24"/>
          <w:szCs w:val="24"/>
        </w:rPr>
        <w:t>、</w:t>
      </w:r>
      <w:r>
        <w:rPr>
          <w:color w:val="000000"/>
          <w:sz w:val="24"/>
          <w:szCs w:val="24"/>
        </w:rPr>
        <w:t>4</w:t>
      </w:r>
      <w:r>
        <w:rPr>
          <w:color w:val="000000"/>
          <w:sz w:val="24"/>
          <w:szCs w:val="24"/>
        </w:rPr>
        <w:t>月份宽松后，随即在</w:t>
      </w:r>
      <w:r>
        <w:rPr>
          <w:color w:val="000000"/>
          <w:sz w:val="24"/>
          <w:szCs w:val="24"/>
        </w:rPr>
        <w:t>5</w:t>
      </w:r>
      <w:r>
        <w:rPr>
          <w:color w:val="000000"/>
          <w:sz w:val="24"/>
          <w:szCs w:val="24"/>
        </w:rPr>
        <w:t>月份快速边际收紧，银行间融资成本从最低的</w:t>
      </w:r>
      <w:r>
        <w:rPr>
          <w:color w:val="000000"/>
          <w:sz w:val="24"/>
          <w:szCs w:val="24"/>
        </w:rPr>
        <w:t>1%</w:t>
      </w:r>
      <w:r>
        <w:rPr>
          <w:color w:val="000000"/>
          <w:sz w:val="24"/>
          <w:szCs w:val="24"/>
        </w:rPr>
        <w:t>以下的水平回升至</w:t>
      </w:r>
      <w:r>
        <w:rPr>
          <w:color w:val="000000"/>
          <w:sz w:val="24"/>
          <w:szCs w:val="24"/>
        </w:rPr>
        <w:t>2.2%</w:t>
      </w:r>
      <w:r>
        <w:rPr>
          <w:color w:val="000000"/>
          <w:sz w:val="24"/>
          <w:szCs w:val="24"/>
        </w:rPr>
        <w:t>附近。</w:t>
      </w:r>
    </w:p>
    <w:p w:rsidR="00C002D1" w:rsidRDefault="00415888">
      <w:pPr>
        <w:spacing w:line="360" w:lineRule="auto"/>
        <w:ind w:firstLineChars="200" w:firstLine="480"/>
        <w:rPr>
          <w:color w:val="000000"/>
          <w:sz w:val="24"/>
          <w:szCs w:val="24"/>
        </w:rPr>
      </w:pPr>
      <w:r>
        <w:rPr>
          <w:color w:val="000000"/>
          <w:sz w:val="24"/>
          <w:szCs w:val="24"/>
        </w:rPr>
        <w:t>债券市场收益率中枢和期限利差水平受货币政策变化影响，出现较为明显的波动。收益率曲线先陡峭化下行，</w:t>
      </w:r>
      <w:r>
        <w:rPr>
          <w:color w:val="000000"/>
          <w:sz w:val="24"/>
          <w:szCs w:val="24"/>
        </w:rPr>
        <w:t>5</w:t>
      </w:r>
      <w:r>
        <w:rPr>
          <w:color w:val="000000"/>
          <w:sz w:val="24"/>
          <w:szCs w:val="24"/>
        </w:rPr>
        <w:t>月之后出现快速的熊平走势，至</w:t>
      </w:r>
      <w:r>
        <w:rPr>
          <w:color w:val="000000"/>
          <w:sz w:val="24"/>
          <w:szCs w:val="24"/>
        </w:rPr>
        <w:t>6</w:t>
      </w:r>
      <w:r>
        <w:rPr>
          <w:color w:val="000000"/>
          <w:sz w:val="24"/>
          <w:szCs w:val="24"/>
        </w:rPr>
        <w:t>月底收益率水平基本达到疫情之后第一个工作日的水平。单看二季度的情况，</w:t>
      </w:r>
      <w:r>
        <w:rPr>
          <w:color w:val="000000"/>
          <w:sz w:val="24"/>
          <w:szCs w:val="24"/>
        </w:rPr>
        <w:t>10</w:t>
      </w:r>
      <w:r>
        <w:rPr>
          <w:color w:val="000000"/>
          <w:sz w:val="24"/>
          <w:szCs w:val="24"/>
        </w:rPr>
        <w:t>年金融债收益率上行</w:t>
      </w:r>
      <w:r>
        <w:rPr>
          <w:color w:val="000000"/>
          <w:sz w:val="24"/>
          <w:szCs w:val="24"/>
        </w:rPr>
        <w:t>15BP</w:t>
      </w:r>
      <w:r>
        <w:rPr>
          <w:color w:val="000000"/>
          <w:sz w:val="24"/>
          <w:szCs w:val="24"/>
        </w:rPr>
        <w:t>，</w:t>
      </w:r>
      <w:r>
        <w:rPr>
          <w:color w:val="000000"/>
          <w:sz w:val="24"/>
          <w:szCs w:val="24"/>
        </w:rPr>
        <w:t>3-5</w:t>
      </w:r>
      <w:r>
        <w:rPr>
          <w:color w:val="000000"/>
          <w:sz w:val="24"/>
          <w:szCs w:val="24"/>
        </w:rPr>
        <w:t>年金融债收益率上行</w:t>
      </w:r>
      <w:r>
        <w:rPr>
          <w:color w:val="000000"/>
          <w:sz w:val="24"/>
          <w:szCs w:val="24"/>
        </w:rPr>
        <w:t>30-40BP</w:t>
      </w:r>
      <w:r>
        <w:rPr>
          <w:color w:val="000000"/>
          <w:sz w:val="24"/>
          <w:szCs w:val="24"/>
        </w:rPr>
        <w:t>。信用债券的利差同样出现先走扩后收缩的走势，高等级利差波动达到</w:t>
      </w:r>
      <w:r>
        <w:rPr>
          <w:color w:val="000000"/>
          <w:sz w:val="24"/>
          <w:szCs w:val="24"/>
        </w:rPr>
        <w:t>20-30BP</w:t>
      </w:r>
      <w:r>
        <w:rPr>
          <w:color w:val="000000"/>
          <w:sz w:val="24"/>
          <w:szCs w:val="24"/>
        </w:rPr>
        <w:t>。</w:t>
      </w:r>
      <w:r>
        <w:rPr>
          <w:color w:val="000000"/>
          <w:sz w:val="24"/>
          <w:szCs w:val="24"/>
        </w:rPr>
        <w:t>3</w:t>
      </w:r>
      <w:r>
        <w:rPr>
          <w:color w:val="000000"/>
          <w:sz w:val="24"/>
          <w:szCs w:val="24"/>
        </w:rPr>
        <w:t>、</w:t>
      </w:r>
      <w:r>
        <w:rPr>
          <w:color w:val="000000"/>
          <w:sz w:val="24"/>
          <w:szCs w:val="24"/>
        </w:rPr>
        <w:t>4</w:t>
      </w:r>
      <w:r>
        <w:rPr>
          <w:color w:val="000000"/>
          <w:sz w:val="24"/>
          <w:szCs w:val="24"/>
        </w:rPr>
        <w:t>月份基于货币政策宽松带来的期限利差和信用利差的拉升体现出市场更多是将疫情的影响视为短期负面冲击。</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操作上，组合自</w:t>
      </w:r>
      <w:r w:rsidRPr="006C56AA">
        <w:rPr>
          <w:color w:val="000000"/>
          <w:sz w:val="24"/>
          <w:szCs w:val="24"/>
        </w:rPr>
        <w:t>5</w:t>
      </w:r>
      <w:r w:rsidRPr="006C56AA">
        <w:rPr>
          <w:color w:val="000000"/>
          <w:sz w:val="24"/>
          <w:szCs w:val="24"/>
        </w:rPr>
        <w:t>月上旬开始积极利用国债期货降低久期并调整期限结构，降低</w:t>
      </w:r>
      <w:r w:rsidRPr="006C56AA">
        <w:rPr>
          <w:color w:val="000000"/>
          <w:sz w:val="24"/>
          <w:szCs w:val="24"/>
        </w:rPr>
        <w:t>0-5</w:t>
      </w:r>
      <w:r w:rsidRPr="006C56AA">
        <w:rPr>
          <w:color w:val="000000"/>
          <w:sz w:val="24"/>
          <w:szCs w:val="24"/>
        </w:rPr>
        <w:t>年期限段资产的风险暴露，在后续曲线平坦化上行的过程中降低了净值的负面冲击。</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4.4.2</w:t>
        </w:r>
      </w:smartTag>
      <w:r w:rsidRPr="00264E55">
        <w:rPr>
          <w:rFonts w:ascii="宋体" w:hAnsi="宋体" w:cs="宋体" w:hint="eastAsia"/>
          <w:sz w:val="24"/>
          <w:szCs w:val="24"/>
        </w:rPr>
        <w:t>报告期内基金的业绩表现</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截至报告期末，本基金份额净值为</w:t>
      </w:r>
      <w:r w:rsidRPr="006C56AA">
        <w:rPr>
          <w:color w:val="000000"/>
          <w:sz w:val="24"/>
          <w:szCs w:val="24"/>
        </w:rPr>
        <w:t>1.0069</w:t>
      </w:r>
      <w:r w:rsidRPr="006C56AA">
        <w:rPr>
          <w:color w:val="000000"/>
          <w:sz w:val="24"/>
          <w:szCs w:val="24"/>
        </w:rPr>
        <w:t>元，本报告期份额净值增长率为</w:t>
      </w:r>
      <w:r w:rsidRPr="006C56AA">
        <w:rPr>
          <w:color w:val="000000"/>
          <w:sz w:val="24"/>
          <w:szCs w:val="24"/>
        </w:rPr>
        <w:t>0.80%</w:t>
      </w:r>
      <w:r w:rsidRPr="006C56AA">
        <w:rPr>
          <w:color w:val="000000"/>
          <w:sz w:val="24"/>
          <w:szCs w:val="24"/>
        </w:rPr>
        <w:t>，同期业绩比较基准收益率为</w:t>
      </w:r>
      <w:r w:rsidRPr="006C56AA">
        <w:rPr>
          <w:color w:val="000000"/>
          <w:sz w:val="24"/>
          <w:szCs w:val="24"/>
        </w:rPr>
        <w:t>-0.22%</w:t>
      </w:r>
      <w:r w:rsidRPr="006C56AA">
        <w:rPr>
          <w:color w:val="000000"/>
          <w:sz w:val="24"/>
          <w:szCs w:val="24"/>
        </w:rPr>
        <w:t>。</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3357"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项目</w:t>
            </w:r>
          </w:p>
        </w:tc>
        <w:tc>
          <w:tcPr>
            <w:tcW w:w="2977"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w="1843"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1</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权益投资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其中：股票</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2</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固定收益投资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1,161,967,000.00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95.99</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其中：债券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1,161,967,000.00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95.99</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3</w:t>
            </w:r>
          </w:p>
        </w:tc>
        <w:tc>
          <w:tcPr>
            <w:tcW w:w="3357" w:type="dxa"/>
          </w:tcPr>
          <w:p w:rsidR="00750D48" w:rsidRPr="00232B03" w:rsidRDefault="00750D48" w:rsidP="00EB572F">
            <w:pPr>
              <w:spacing w:before="29" w:line="360" w:lineRule="auto"/>
              <w:ind w:leftChars="50" w:left="105"/>
              <w:rPr>
                <w:color w:val="000000"/>
                <w:kern w:val="0"/>
                <w:sz w:val="24"/>
                <w:szCs w:val="24"/>
              </w:rPr>
            </w:pPr>
            <w:r w:rsidRPr="00232B03">
              <w:rPr>
                <w:color w:val="000000"/>
                <w:kern w:val="0"/>
                <w:sz w:val="24"/>
                <w:szCs w:val="24"/>
              </w:rPr>
              <w:t>贵金属投资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4</w:t>
            </w:r>
          </w:p>
        </w:tc>
        <w:tc>
          <w:tcPr>
            <w:tcW w:w="3357" w:type="dxa"/>
            <w:vAlign w:val="center"/>
          </w:tcPr>
          <w:p w:rsidR="00750D48" w:rsidRPr="00232B03" w:rsidRDefault="00750D48" w:rsidP="00B05049">
            <w:pPr>
              <w:spacing w:before="29" w:line="360" w:lineRule="auto"/>
              <w:ind w:left="17"/>
              <w:jc w:val="left"/>
              <w:rPr>
                <w:color w:val="000000"/>
                <w:kern w:val="0"/>
                <w:sz w:val="24"/>
                <w:szCs w:val="24"/>
              </w:rPr>
            </w:pPr>
            <w:r w:rsidRPr="00232B03">
              <w:rPr>
                <w:color w:val="000000"/>
                <w:kern w:val="0"/>
                <w:sz w:val="24"/>
                <w:szCs w:val="24"/>
              </w:rPr>
              <w:t>金融衍生品投资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5</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6</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银行存款和结算备付金合计</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32,458,417.13</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2.68</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7</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其他资产</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16,040,765.75</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1.33</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8</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合计</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1,210,466,182.88</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100.00</w:t>
            </w:r>
          </w:p>
        </w:tc>
      </w:tr>
    </w:tbl>
    <w:p w:rsidR="008C2A4F" w:rsidRPr="00220C32" w:rsidRDefault="008C2A4F" w:rsidP="008C2A4F">
      <w:pPr>
        <w:autoSpaceDE w:val="0"/>
        <w:autoSpaceDN w:val="0"/>
        <w:adjustRightInd w:val="0"/>
        <w:spacing w:line="360" w:lineRule="auto"/>
        <w:jc w:val="left"/>
        <w:rPr>
          <w:rFonts w:asciiTheme="minorEastAsia" w:eastAsiaTheme="minorEastAsia" w:hAnsiTheme="minorEastAsia"/>
          <w:b/>
          <w:bCs/>
          <w:color w:val="000000" w:themeColor="text1"/>
          <w:kern w:val="0"/>
          <w:sz w:val="24"/>
          <w:szCs w:val="24"/>
        </w:rPr>
      </w:pPr>
      <w:r w:rsidRPr="00220C32">
        <w:rPr>
          <w:rFonts w:asciiTheme="minorEastAsia" w:eastAsiaTheme="minorEastAsia" w:hAnsiTheme="minorEastAsia"/>
          <w:b/>
          <w:bCs/>
          <w:color w:val="000000" w:themeColor="text1"/>
          <w:kern w:val="0"/>
          <w:sz w:val="24"/>
          <w:szCs w:val="24"/>
        </w:rPr>
        <w:t xml:space="preserve">5.2 </w:t>
      </w:r>
      <w:r w:rsidRPr="00220C32">
        <w:rPr>
          <w:rFonts w:asciiTheme="minorEastAsia" w:eastAsiaTheme="minorEastAsia" w:hAnsiTheme="minorEastAsia" w:hint="eastAsia"/>
          <w:b/>
          <w:bCs/>
          <w:color w:val="000000" w:themeColor="text1"/>
          <w:kern w:val="0"/>
          <w:sz w:val="24"/>
          <w:szCs w:val="24"/>
        </w:rPr>
        <w:t>报告期末按行业分类的股票投资组合</w:t>
      </w:r>
    </w:p>
    <w:p w:rsidR="008C2A4F" w:rsidRPr="000D7474" w:rsidRDefault="008C2A4F" w:rsidP="008C2A4F">
      <w:pPr>
        <w:rPr>
          <w:rFonts w:asciiTheme="minorEastAsia" w:eastAsiaTheme="minorEastAsia" w:hAnsiTheme="minorEastAsia"/>
          <w:b/>
          <w:bCs/>
          <w:color w:val="000000" w:themeColor="text1"/>
          <w:kern w:val="0"/>
          <w:sz w:val="24"/>
          <w:szCs w:val="24"/>
        </w:rPr>
      </w:pPr>
      <w:r w:rsidRPr="000D7474">
        <w:rPr>
          <w:rFonts w:asciiTheme="minorEastAsia" w:eastAsiaTheme="minorEastAsia" w:hAnsiTheme="minorEastAsia" w:hint="eastAsia"/>
          <w:b/>
          <w:bCs/>
          <w:color w:val="000000" w:themeColor="text1"/>
          <w:kern w:val="0"/>
          <w:sz w:val="24"/>
          <w:szCs w:val="24"/>
        </w:rPr>
        <w:t>5.2.1报告期末按行业分类的境内股票投资组合</w:t>
      </w:r>
    </w:p>
    <w:p w:rsidR="008C2A4F" w:rsidRPr="00403A06" w:rsidRDefault="008C2A4F" w:rsidP="00403A06">
      <w:pPr>
        <w:spacing w:line="360" w:lineRule="auto"/>
        <w:ind w:firstLineChars="200" w:firstLine="480"/>
        <w:rPr>
          <w:color w:val="000000"/>
          <w:sz w:val="24"/>
          <w:szCs w:val="24"/>
        </w:rPr>
      </w:pPr>
      <w:r w:rsidRPr="00403A06">
        <w:rPr>
          <w:color w:val="000000"/>
          <w:sz w:val="24"/>
          <w:szCs w:val="24"/>
        </w:rPr>
        <w:t>本基金本报告期末未持有境内股票。</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本基金本报告期末未持有股票。</w:t>
      </w:r>
    </w:p>
    <w:p w:rsidR="00CA4677" w:rsidRPr="00283CAD" w:rsidRDefault="00750D48" w:rsidP="00CA4677">
      <w:pPr>
        <w:autoSpaceDE w:val="0"/>
        <w:autoSpaceDN w:val="0"/>
        <w:adjustRightInd w:val="0"/>
        <w:spacing w:line="360" w:lineRule="auto"/>
        <w:jc w:val="left"/>
        <w:rPr>
          <w:rFonts w:eastAsiaTheme="minorEastAsia"/>
          <w:b/>
          <w:bCs/>
          <w:color w:val="000000" w:themeColor="text1"/>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w="8755" w:type="dxa"/>
        <w:jc w:val="center"/>
        <w:tblLayout w:type="fixed"/>
        <w:tblLook w:val="04A0" w:firstRow="1" w:lastRow="0" w:firstColumn="1" w:lastColumn="0" w:noHBand="0" w:noVBand="1"/>
      </w:tblPr>
      <w:tblGrid>
        <w:gridCol w:w="817"/>
        <w:gridCol w:w="3260"/>
        <w:gridCol w:w="2949"/>
        <w:gridCol w:w="1729"/>
      </w:tblGrid>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序号</w:t>
            </w:r>
          </w:p>
        </w:tc>
        <w:tc>
          <w:tcPr>
            <w:tcW w:w="3260"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债券品种</w:t>
            </w:r>
          </w:p>
        </w:tc>
        <w:tc>
          <w:tcPr>
            <w:tcW w:w="294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公允价值</w:t>
            </w:r>
            <w:r w:rsidRPr="00283CAD">
              <w:rPr>
                <w:rFonts w:eastAsiaTheme="minorEastAsia"/>
                <w:color w:val="000000" w:themeColor="text1"/>
                <w:sz w:val="24"/>
                <w:szCs w:val="24"/>
              </w:rPr>
              <w:t>(</w:t>
            </w:r>
            <w:r w:rsidRPr="00283CAD">
              <w:rPr>
                <w:rFonts w:eastAsiaTheme="minorEastAsia"/>
                <w:color w:val="000000" w:themeColor="text1"/>
                <w:sz w:val="24"/>
                <w:szCs w:val="24"/>
              </w:rPr>
              <w:t>元</w:t>
            </w: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占基金资产净值比例</w:t>
            </w:r>
            <w:r w:rsidRPr="00283CAD">
              <w:rPr>
                <w:rFonts w:eastAsiaTheme="minorEastAsia"/>
                <w:color w:val="000000" w:themeColor="text1"/>
                <w:sz w:val="24"/>
                <w:szCs w:val="24"/>
              </w:rPr>
              <w:t>(</w:t>
            </w:r>
            <w:r w:rsidRPr="00283CAD">
              <w:rPr>
                <w:rFonts w:eastAsiaTheme="minorEastAsia"/>
                <w:color w:val="000000" w:themeColor="text1"/>
                <w:sz w:val="24"/>
                <w:szCs w:val="24"/>
              </w:rPr>
              <w:t>％</w:t>
            </w: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国家债券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38,792,000.00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3.85</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2</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央行票据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3</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金融债券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其中：政策性金融债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4</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628,059,000.00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62.38</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5</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企业短期融资券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6</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中期票据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446,001,000.00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44.30</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7</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可转债</w:t>
            </w:r>
            <w:r w:rsidR="004B5343" w:rsidRPr="004B5343">
              <w:rPr>
                <w:rFonts w:eastAsiaTheme="minorEastAsia" w:hint="eastAsia"/>
                <w:color w:val="000000" w:themeColor="text1"/>
                <w:sz w:val="24"/>
                <w:szCs w:val="24"/>
              </w:rPr>
              <w:t>（可交换债）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8</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同业存单</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49,115,000.00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4.88</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9</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其他</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10</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合计</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1,161,967,000.00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115.40</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560"/>
        <w:gridCol w:w="1984"/>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债券名称</w:t>
            </w:r>
          </w:p>
        </w:tc>
        <w:tc>
          <w:tcPr>
            <w:tcW w:w="1560"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w="198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C002D1">
        <w:tc>
          <w:tcPr>
            <w:tcW w:w="959" w:type="dxa"/>
            <w:vAlign w:val="center"/>
          </w:tcPr>
          <w:p w:rsidR="00C002D1" w:rsidRDefault="00415888">
            <w:pPr>
              <w:jc w:val="center"/>
            </w:pPr>
            <w:r>
              <w:rPr>
                <w:color w:val="000000"/>
                <w:kern w:val="0"/>
                <w:sz w:val="24"/>
                <w:szCs w:val="24"/>
              </w:rPr>
              <w:t>1</w:t>
            </w:r>
          </w:p>
        </w:tc>
        <w:tc>
          <w:tcPr>
            <w:tcW w:w="1276" w:type="dxa"/>
            <w:vAlign w:val="center"/>
          </w:tcPr>
          <w:p w:rsidR="00C002D1" w:rsidRDefault="00415888">
            <w:pPr>
              <w:jc w:val="center"/>
            </w:pPr>
            <w:r>
              <w:rPr>
                <w:color w:val="000000"/>
                <w:kern w:val="0"/>
                <w:sz w:val="24"/>
                <w:szCs w:val="24"/>
              </w:rPr>
              <w:t>155252</w:t>
            </w:r>
          </w:p>
        </w:tc>
        <w:tc>
          <w:tcPr>
            <w:tcW w:w="1275" w:type="dxa"/>
            <w:vAlign w:val="center"/>
          </w:tcPr>
          <w:p w:rsidR="00C002D1" w:rsidRDefault="00415888">
            <w:pPr>
              <w:jc w:val="center"/>
            </w:pPr>
            <w:r>
              <w:rPr>
                <w:color w:val="000000"/>
                <w:kern w:val="0"/>
                <w:sz w:val="24"/>
                <w:szCs w:val="24"/>
              </w:rPr>
              <w:t>19</w:t>
            </w:r>
            <w:r>
              <w:rPr>
                <w:color w:val="000000"/>
                <w:kern w:val="0"/>
                <w:sz w:val="24"/>
                <w:szCs w:val="24"/>
              </w:rPr>
              <w:t>中铁</w:t>
            </w:r>
            <w:r>
              <w:rPr>
                <w:color w:val="000000"/>
                <w:kern w:val="0"/>
                <w:sz w:val="24"/>
                <w:szCs w:val="24"/>
              </w:rPr>
              <w:t>04</w:t>
            </w:r>
          </w:p>
        </w:tc>
        <w:tc>
          <w:tcPr>
            <w:tcW w:w="1560" w:type="dxa"/>
            <w:vAlign w:val="center"/>
          </w:tcPr>
          <w:p w:rsidR="00C002D1" w:rsidRDefault="00415888">
            <w:pPr>
              <w:jc w:val="right"/>
            </w:pPr>
            <w:r>
              <w:rPr>
                <w:color w:val="000000"/>
                <w:kern w:val="0"/>
                <w:sz w:val="24"/>
                <w:szCs w:val="24"/>
              </w:rPr>
              <w:t>500,000</w:t>
            </w:r>
          </w:p>
        </w:tc>
        <w:tc>
          <w:tcPr>
            <w:tcW w:w="1984" w:type="dxa"/>
            <w:vAlign w:val="center"/>
          </w:tcPr>
          <w:p w:rsidR="00C002D1" w:rsidRDefault="00415888">
            <w:pPr>
              <w:jc w:val="right"/>
            </w:pPr>
            <w:r>
              <w:rPr>
                <w:color w:val="000000"/>
                <w:kern w:val="0"/>
                <w:sz w:val="24"/>
                <w:szCs w:val="24"/>
              </w:rPr>
              <w:t>50,940,000.00</w:t>
            </w:r>
          </w:p>
        </w:tc>
        <w:tc>
          <w:tcPr>
            <w:tcW w:w="1474" w:type="dxa"/>
            <w:vAlign w:val="center"/>
          </w:tcPr>
          <w:p w:rsidR="00C002D1" w:rsidRDefault="00415888">
            <w:pPr>
              <w:jc w:val="right"/>
            </w:pPr>
            <w:r>
              <w:rPr>
                <w:color w:val="000000"/>
                <w:kern w:val="0"/>
                <w:sz w:val="24"/>
                <w:szCs w:val="24"/>
              </w:rPr>
              <w:t>5.06</w:t>
            </w:r>
          </w:p>
        </w:tc>
      </w:tr>
      <w:tr w:rsidR="00C002D1">
        <w:tc>
          <w:tcPr>
            <w:tcW w:w="959" w:type="dxa"/>
            <w:vAlign w:val="center"/>
          </w:tcPr>
          <w:p w:rsidR="00C002D1" w:rsidRDefault="00415888">
            <w:pPr>
              <w:jc w:val="center"/>
            </w:pPr>
            <w:r>
              <w:rPr>
                <w:color w:val="000000"/>
                <w:kern w:val="0"/>
                <w:sz w:val="24"/>
                <w:szCs w:val="24"/>
              </w:rPr>
              <w:t>2</w:t>
            </w:r>
          </w:p>
        </w:tc>
        <w:tc>
          <w:tcPr>
            <w:tcW w:w="1276" w:type="dxa"/>
            <w:vAlign w:val="center"/>
          </w:tcPr>
          <w:p w:rsidR="00C002D1" w:rsidRDefault="00415888">
            <w:pPr>
              <w:jc w:val="center"/>
            </w:pPr>
            <w:r>
              <w:rPr>
                <w:color w:val="000000"/>
                <w:kern w:val="0"/>
                <w:sz w:val="24"/>
                <w:szCs w:val="24"/>
              </w:rPr>
              <w:t>112009214</w:t>
            </w:r>
          </w:p>
        </w:tc>
        <w:tc>
          <w:tcPr>
            <w:tcW w:w="1275" w:type="dxa"/>
            <w:vAlign w:val="center"/>
          </w:tcPr>
          <w:p w:rsidR="00C002D1" w:rsidRDefault="00415888">
            <w:pPr>
              <w:jc w:val="center"/>
            </w:pPr>
            <w:r>
              <w:rPr>
                <w:color w:val="000000"/>
                <w:kern w:val="0"/>
                <w:sz w:val="24"/>
                <w:szCs w:val="24"/>
              </w:rPr>
              <w:t>20</w:t>
            </w:r>
            <w:r>
              <w:rPr>
                <w:color w:val="000000"/>
                <w:kern w:val="0"/>
                <w:sz w:val="24"/>
                <w:szCs w:val="24"/>
              </w:rPr>
              <w:t>浦发银行</w:t>
            </w:r>
            <w:r>
              <w:rPr>
                <w:color w:val="000000"/>
                <w:kern w:val="0"/>
                <w:sz w:val="24"/>
                <w:szCs w:val="24"/>
              </w:rPr>
              <w:t>CD214</w:t>
            </w:r>
          </w:p>
        </w:tc>
        <w:tc>
          <w:tcPr>
            <w:tcW w:w="1560" w:type="dxa"/>
            <w:vAlign w:val="center"/>
          </w:tcPr>
          <w:p w:rsidR="00C002D1" w:rsidRDefault="00415888">
            <w:pPr>
              <w:jc w:val="right"/>
            </w:pPr>
            <w:r>
              <w:rPr>
                <w:color w:val="000000"/>
                <w:kern w:val="0"/>
                <w:sz w:val="24"/>
                <w:szCs w:val="24"/>
              </w:rPr>
              <w:t>500,000</w:t>
            </w:r>
          </w:p>
        </w:tc>
        <w:tc>
          <w:tcPr>
            <w:tcW w:w="1984" w:type="dxa"/>
            <w:vAlign w:val="center"/>
          </w:tcPr>
          <w:p w:rsidR="00C002D1" w:rsidRDefault="00415888">
            <w:pPr>
              <w:jc w:val="right"/>
            </w:pPr>
            <w:r>
              <w:rPr>
                <w:color w:val="000000"/>
                <w:kern w:val="0"/>
                <w:sz w:val="24"/>
                <w:szCs w:val="24"/>
              </w:rPr>
              <w:t>49,115,000.00</w:t>
            </w:r>
          </w:p>
        </w:tc>
        <w:tc>
          <w:tcPr>
            <w:tcW w:w="1474" w:type="dxa"/>
            <w:vAlign w:val="center"/>
          </w:tcPr>
          <w:p w:rsidR="00C002D1" w:rsidRDefault="00415888">
            <w:pPr>
              <w:jc w:val="right"/>
            </w:pPr>
            <w:r>
              <w:rPr>
                <w:color w:val="000000"/>
                <w:kern w:val="0"/>
                <w:sz w:val="24"/>
                <w:szCs w:val="24"/>
              </w:rPr>
              <w:t>4.88</w:t>
            </w:r>
          </w:p>
        </w:tc>
      </w:tr>
      <w:tr w:rsidR="00C002D1">
        <w:tc>
          <w:tcPr>
            <w:tcW w:w="959" w:type="dxa"/>
            <w:vAlign w:val="center"/>
          </w:tcPr>
          <w:p w:rsidR="00C002D1" w:rsidRDefault="00415888">
            <w:pPr>
              <w:jc w:val="center"/>
            </w:pPr>
            <w:r>
              <w:rPr>
                <w:color w:val="000000"/>
                <w:kern w:val="0"/>
                <w:sz w:val="24"/>
                <w:szCs w:val="24"/>
              </w:rPr>
              <w:t>3</w:t>
            </w:r>
          </w:p>
        </w:tc>
        <w:tc>
          <w:tcPr>
            <w:tcW w:w="1276" w:type="dxa"/>
            <w:vAlign w:val="center"/>
          </w:tcPr>
          <w:p w:rsidR="00C002D1" w:rsidRDefault="00415888">
            <w:pPr>
              <w:jc w:val="center"/>
            </w:pPr>
            <w:r>
              <w:rPr>
                <w:color w:val="000000"/>
                <w:kern w:val="0"/>
                <w:sz w:val="24"/>
                <w:szCs w:val="24"/>
              </w:rPr>
              <w:t>200004</w:t>
            </w:r>
          </w:p>
        </w:tc>
        <w:tc>
          <w:tcPr>
            <w:tcW w:w="1275" w:type="dxa"/>
            <w:vAlign w:val="center"/>
          </w:tcPr>
          <w:p w:rsidR="00C002D1" w:rsidRDefault="00415888">
            <w:pPr>
              <w:jc w:val="center"/>
            </w:pPr>
            <w:r>
              <w:rPr>
                <w:color w:val="000000"/>
                <w:kern w:val="0"/>
                <w:sz w:val="24"/>
                <w:szCs w:val="24"/>
              </w:rPr>
              <w:t>20</w:t>
            </w:r>
            <w:r>
              <w:rPr>
                <w:color w:val="000000"/>
                <w:kern w:val="0"/>
                <w:sz w:val="24"/>
                <w:szCs w:val="24"/>
              </w:rPr>
              <w:t>附息国债</w:t>
            </w:r>
            <w:r>
              <w:rPr>
                <w:color w:val="000000"/>
                <w:kern w:val="0"/>
                <w:sz w:val="24"/>
                <w:szCs w:val="24"/>
              </w:rPr>
              <w:t>04</w:t>
            </w:r>
          </w:p>
        </w:tc>
        <w:tc>
          <w:tcPr>
            <w:tcW w:w="1560" w:type="dxa"/>
            <w:vAlign w:val="center"/>
          </w:tcPr>
          <w:p w:rsidR="00C002D1" w:rsidRDefault="00415888">
            <w:pPr>
              <w:jc w:val="right"/>
            </w:pPr>
            <w:r>
              <w:rPr>
                <w:color w:val="000000"/>
                <w:kern w:val="0"/>
                <w:sz w:val="24"/>
                <w:szCs w:val="24"/>
              </w:rPr>
              <w:t>400,000</w:t>
            </w:r>
          </w:p>
        </w:tc>
        <w:tc>
          <w:tcPr>
            <w:tcW w:w="1984" w:type="dxa"/>
            <w:vAlign w:val="center"/>
          </w:tcPr>
          <w:p w:rsidR="00C002D1" w:rsidRDefault="00415888">
            <w:pPr>
              <w:jc w:val="right"/>
            </w:pPr>
            <w:r>
              <w:rPr>
                <w:color w:val="000000"/>
                <w:kern w:val="0"/>
                <w:sz w:val="24"/>
                <w:szCs w:val="24"/>
              </w:rPr>
              <w:t>38,792,000.00</w:t>
            </w:r>
          </w:p>
        </w:tc>
        <w:tc>
          <w:tcPr>
            <w:tcW w:w="1474" w:type="dxa"/>
            <w:vAlign w:val="center"/>
          </w:tcPr>
          <w:p w:rsidR="00C002D1" w:rsidRDefault="00415888">
            <w:pPr>
              <w:jc w:val="right"/>
            </w:pPr>
            <w:r>
              <w:rPr>
                <w:color w:val="000000"/>
                <w:kern w:val="0"/>
                <w:sz w:val="24"/>
                <w:szCs w:val="24"/>
              </w:rPr>
              <w:t>3.85</w:t>
            </w:r>
          </w:p>
        </w:tc>
      </w:tr>
      <w:tr w:rsidR="00C002D1">
        <w:tc>
          <w:tcPr>
            <w:tcW w:w="959" w:type="dxa"/>
            <w:vAlign w:val="center"/>
          </w:tcPr>
          <w:p w:rsidR="00C002D1" w:rsidRDefault="00415888">
            <w:pPr>
              <w:jc w:val="center"/>
            </w:pPr>
            <w:r>
              <w:rPr>
                <w:color w:val="000000"/>
                <w:kern w:val="0"/>
                <w:sz w:val="24"/>
                <w:szCs w:val="24"/>
              </w:rPr>
              <w:t>4</w:t>
            </w:r>
          </w:p>
        </w:tc>
        <w:tc>
          <w:tcPr>
            <w:tcW w:w="1276" w:type="dxa"/>
            <w:vAlign w:val="center"/>
          </w:tcPr>
          <w:p w:rsidR="00C002D1" w:rsidRDefault="00415888">
            <w:pPr>
              <w:jc w:val="center"/>
            </w:pPr>
            <w:r>
              <w:rPr>
                <w:color w:val="000000"/>
                <w:kern w:val="0"/>
                <w:sz w:val="24"/>
                <w:szCs w:val="24"/>
              </w:rPr>
              <w:t>1680002</w:t>
            </w:r>
          </w:p>
        </w:tc>
        <w:tc>
          <w:tcPr>
            <w:tcW w:w="1275" w:type="dxa"/>
            <w:vAlign w:val="center"/>
          </w:tcPr>
          <w:p w:rsidR="00C002D1" w:rsidRDefault="00415888">
            <w:pPr>
              <w:jc w:val="center"/>
            </w:pPr>
            <w:r>
              <w:rPr>
                <w:color w:val="000000"/>
                <w:kern w:val="0"/>
                <w:sz w:val="24"/>
                <w:szCs w:val="24"/>
              </w:rPr>
              <w:t>16</w:t>
            </w:r>
            <w:r>
              <w:rPr>
                <w:color w:val="000000"/>
                <w:kern w:val="0"/>
                <w:sz w:val="24"/>
                <w:szCs w:val="24"/>
              </w:rPr>
              <w:t>常德城投债</w:t>
            </w:r>
          </w:p>
        </w:tc>
        <w:tc>
          <w:tcPr>
            <w:tcW w:w="1560" w:type="dxa"/>
            <w:vAlign w:val="center"/>
          </w:tcPr>
          <w:p w:rsidR="00C002D1" w:rsidRDefault="00415888">
            <w:pPr>
              <w:jc w:val="right"/>
            </w:pPr>
            <w:r>
              <w:rPr>
                <w:color w:val="000000"/>
                <w:kern w:val="0"/>
                <w:sz w:val="24"/>
                <w:szCs w:val="24"/>
              </w:rPr>
              <w:t>600,000</w:t>
            </w:r>
          </w:p>
        </w:tc>
        <w:tc>
          <w:tcPr>
            <w:tcW w:w="1984" w:type="dxa"/>
            <w:vAlign w:val="center"/>
          </w:tcPr>
          <w:p w:rsidR="00C002D1" w:rsidRDefault="00415888">
            <w:pPr>
              <w:jc w:val="right"/>
            </w:pPr>
            <w:r>
              <w:rPr>
                <w:color w:val="000000"/>
                <w:kern w:val="0"/>
                <w:sz w:val="24"/>
                <w:szCs w:val="24"/>
              </w:rPr>
              <w:t>36,252,000.00</w:t>
            </w:r>
          </w:p>
        </w:tc>
        <w:tc>
          <w:tcPr>
            <w:tcW w:w="1474" w:type="dxa"/>
            <w:vAlign w:val="center"/>
          </w:tcPr>
          <w:p w:rsidR="00C002D1" w:rsidRDefault="00415888">
            <w:pPr>
              <w:jc w:val="right"/>
            </w:pPr>
            <w:r>
              <w:rPr>
                <w:color w:val="000000"/>
                <w:kern w:val="0"/>
                <w:sz w:val="24"/>
                <w:szCs w:val="24"/>
              </w:rPr>
              <w:t>3.60</w:t>
            </w:r>
          </w:p>
        </w:tc>
      </w:tr>
      <w:tr w:rsidR="00C002D1">
        <w:tc>
          <w:tcPr>
            <w:tcW w:w="959" w:type="dxa"/>
            <w:vAlign w:val="center"/>
          </w:tcPr>
          <w:p w:rsidR="00C002D1" w:rsidRDefault="00415888">
            <w:pPr>
              <w:jc w:val="center"/>
            </w:pPr>
            <w:r>
              <w:rPr>
                <w:color w:val="000000"/>
                <w:kern w:val="0"/>
                <w:sz w:val="24"/>
                <w:szCs w:val="24"/>
              </w:rPr>
              <w:t>5</w:t>
            </w:r>
          </w:p>
        </w:tc>
        <w:tc>
          <w:tcPr>
            <w:tcW w:w="1276" w:type="dxa"/>
            <w:vAlign w:val="center"/>
          </w:tcPr>
          <w:p w:rsidR="00C002D1" w:rsidRDefault="00415888">
            <w:pPr>
              <w:jc w:val="center"/>
            </w:pPr>
            <w:r>
              <w:rPr>
                <w:color w:val="000000"/>
                <w:kern w:val="0"/>
                <w:sz w:val="24"/>
                <w:szCs w:val="24"/>
              </w:rPr>
              <w:t>143707</w:t>
            </w:r>
          </w:p>
        </w:tc>
        <w:tc>
          <w:tcPr>
            <w:tcW w:w="1275" w:type="dxa"/>
            <w:vAlign w:val="center"/>
          </w:tcPr>
          <w:p w:rsidR="00C002D1" w:rsidRDefault="00415888">
            <w:pPr>
              <w:jc w:val="center"/>
            </w:pPr>
            <w:r>
              <w:rPr>
                <w:color w:val="000000"/>
                <w:kern w:val="0"/>
                <w:sz w:val="24"/>
                <w:szCs w:val="24"/>
              </w:rPr>
              <w:t>18</w:t>
            </w:r>
            <w:r>
              <w:rPr>
                <w:color w:val="000000"/>
                <w:kern w:val="0"/>
                <w:sz w:val="24"/>
                <w:szCs w:val="24"/>
              </w:rPr>
              <w:t>中煤</w:t>
            </w:r>
            <w:r>
              <w:rPr>
                <w:color w:val="000000"/>
                <w:kern w:val="0"/>
                <w:sz w:val="24"/>
                <w:szCs w:val="24"/>
              </w:rPr>
              <w:t>06</w:t>
            </w:r>
          </w:p>
        </w:tc>
        <w:tc>
          <w:tcPr>
            <w:tcW w:w="1560" w:type="dxa"/>
            <w:vAlign w:val="center"/>
          </w:tcPr>
          <w:p w:rsidR="00C002D1" w:rsidRDefault="00415888">
            <w:pPr>
              <w:jc w:val="right"/>
            </w:pPr>
            <w:r>
              <w:rPr>
                <w:color w:val="000000"/>
                <w:kern w:val="0"/>
                <w:sz w:val="24"/>
                <w:szCs w:val="24"/>
              </w:rPr>
              <w:t>300,000</w:t>
            </w:r>
          </w:p>
        </w:tc>
        <w:tc>
          <w:tcPr>
            <w:tcW w:w="1984" w:type="dxa"/>
            <w:vAlign w:val="center"/>
          </w:tcPr>
          <w:p w:rsidR="00C002D1" w:rsidRDefault="00415888">
            <w:pPr>
              <w:jc w:val="right"/>
            </w:pPr>
            <w:r>
              <w:rPr>
                <w:color w:val="000000"/>
                <w:kern w:val="0"/>
                <w:sz w:val="24"/>
                <w:szCs w:val="24"/>
              </w:rPr>
              <w:t>31,317,000.00</w:t>
            </w:r>
          </w:p>
        </w:tc>
        <w:tc>
          <w:tcPr>
            <w:tcW w:w="1474" w:type="dxa"/>
            <w:vAlign w:val="center"/>
          </w:tcPr>
          <w:p w:rsidR="00C002D1" w:rsidRDefault="00415888">
            <w:pPr>
              <w:jc w:val="right"/>
            </w:pPr>
            <w:r>
              <w:rPr>
                <w:color w:val="000000"/>
                <w:kern w:val="0"/>
                <w:sz w:val="24"/>
                <w:szCs w:val="24"/>
              </w:rPr>
              <w:t>3.11</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本基金本报告期末未持有资产支持证券。</w:t>
      </w:r>
    </w:p>
    <w:p w:rsidR="00750D48" w:rsidRPr="001D63BB" w:rsidRDefault="00750D48" w:rsidP="001D63BB">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本基金本报告期末未持有贵金属。</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5.8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本基金本报告期末未持有权证。</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Pr>
          <w:rFonts w:ascii="宋体"/>
          <w:b/>
          <w:bCs/>
          <w:color w:val="000000"/>
          <w:kern w:val="0"/>
          <w:sz w:val="24"/>
          <w:szCs w:val="24"/>
        </w:rPr>
        <w:t>.</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R="00277FAE" w:rsidRDefault="00277FAE" w:rsidP="00277FAE">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R="00750D48" w:rsidRPr="001C7E00" w:rsidRDefault="00750D48" w:rsidP="001B0A62">
      <w:pPr>
        <w:autoSpaceDE w:val="0"/>
        <w:autoSpaceDN w:val="0"/>
        <w:adjustRightInd w:val="0"/>
        <w:spacing w:line="360" w:lineRule="auto"/>
        <w:jc w:val="left"/>
        <w:rPr>
          <w:rFonts w:ascii="宋体" w:hAnsi="宋体"/>
          <w:bCs/>
          <w:color w:val="000000"/>
          <w:kern w:val="0"/>
          <w:sz w:val="24"/>
          <w:szCs w:val="24"/>
        </w:rPr>
      </w:pPr>
      <w:r w:rsidRPr="001C7E00">
        <w:rPr>
          <w:rFonts w:ascii="宋体" w:hAnsi="宋体"/>
          <w:bCs/>
          <w:color w:val="000000"/>
          <w:kern w:val="0"/>
          <w:sz w:val="24"/>
          <w:szCs w:val="24"/>
        </w:rPr>
        <w:lastRenderedPageBreak/>
        <w:t xml:space="preserve">5.10.1 </w:t>
      </w:r>
      <w:r w:rsidRPr="001C7E00">
        <w:rPr>
          <w:rFonts w:ascii="宋体" w:hAnsi="宋体" w:hint="eastAsia"/>
          <w:bCs/>
          <w:color w:val="000000"/>
          <w:kern w:val="0"/>
          <w:sz w:val="24"/>
          <w:szCs w:val="24"/>
        </w:rPr>
        <w:t>本期国债期货投资政策</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本基金根据风险管理的原则，主要选择流动性好的国债期货合约进行交易，以对冲投资组合的利率风险。</w:t>
      </w:r>
    </w:p>
    <w:p w:rsidR="00277FAE" w:rsidRDefault="00750D48" w:rsidP="00277FAE">
      <w:pPr>
        <w:autoSpaceDE w:val="0"/>
        <w:autoSpaceDN w:val="0"/>
        <w:adjustRightInd w:val="0"/>
        <w:spacing w:line="360" w:lineRule="auto"/>
        <w:jc w:val="left"/>
        <w:rPr>
          <w:rFonts w:ascii="宋体" w:hAnsi="宋体"/>
          <w:bCs/>
          <w:color w:val="000000"/>
          <w:kern w:val="0"/>
          <w:sz w:val="24"/>
        </w:rPr>
      </w:pPr>
      <w:r w:rsidRPr="001C7E00">
        <w:rPr>
          <w:rFonts w:ascii="宋体" w:hAnsi="宋体"/>
          <w:bCs/>
          <w:color w:val="000000"/>
          <w:kern w:val="0"/>
          <w:sz w:val="24"/>
          <w:szCs w:val="24"/>
        </w:rPr>
        <w:t xml:space="preserve">5.10.2 </w:t>
      </w:r>
      <w:r w:rsidRPr="001C7E00">
        <w:rPr>
          <w:rFonts w:ascii="宋体" w:hAnsi="宋体" w:hint="eastAsia"/>
          <w:bCs/>
          <w:color w:val="000000"/>
          <w:kern w:val="0"/>
          <w:sz w:val="24"/>
          <w:szCs w:val="24"/>
        </w:rPr>
        <w:t>报告期末本基金投资的国债期货持仓和损益明细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1331"/>
        <w:gridCol w:w="1220"/>
        <w:gridCol w:w="1418"/>
        <w:gridCol w:w="1701"/>
        <w:gridCol w:w="1984"/>
      </w:tblGrid>
      <w:tr w:rsidR="00277FAE" w:rsidTr="003B5535">
        <w:trPr>
          <w:jc w:val="center"/>
        </w:trPr>
        <w:tc>
          <w:tcPr>
            <w:tcW w:w="1101" w:type="dxa"/>
            <w:hideMark/>
          </w:tcPr>
          <w:p w:rsidR="00277FAE" w:rsidRDefault="00277FAE">
            <w:pPr>
              <w:pStyle w:val="Default"/>
              <w:jc w:val="center"/>
              <w:rPr>
                <w:rFonts w:ascii="Times New Roman" w:hAnsi="Times New Roman" w:cs="Times New Roman"/>
              </w:rPr>
            </w:pPr>
            <w:r>
              <w:rPr>
                <w:rFonts w:ascii="Times New Roman" w:hAnsi="Times New Roman" w:cs="Times New Roman" w:hint="eastAsia"/>
              </w:rPr>
              <w:t>代码</w:t>
            </w:r>
            <w:r>
              <w:t xml:space="preserve"> </w:t>
            </w:r>
          </w:p>
        </w:tc>
        <w:tc>
          <w:tcPr>
            <w:tcW w:w="1331" w:type="dxa"/>
            <w:hideMark/>
          </w:tcPr>
          <w:p w:rsidR="00277FAE" w:rsidRDefault="00277FAE">
            <w:pPr>
              <w:pStyle w:val="Default"/>
              <w:jc w:val="center"/>
              <w:rPr>
                <w:rFonts w:ascii="Times New Roman" w:hAnsi="Times New Roman" w:cs="Times New Roman"/>
              </w:rPr>
            </w:pPr>
            <w:r>
              <w:rPr>
                <w:rFonts w:ascii="Times New Roman" w:hAnsi="Times New Roman" w:cs="Times New Roman" w:hint="eastAsia"/>
              </w:rPr>
              <w:t>名称</w:t>
            </w:r>
          </w:p>
        </w:tc>
        <w:tc>
          <w:tcPr>
            <w:tcW w:w="1220" w:type="dxa"/>
            <w:hideMark/>
          </w:tcPr>
          <w:p w:rsidR="00277FAE" w:rsidRDefault="00277FAE">
            <w:pPr>
              <w:pStyle w:val="Default"/>
              <w:jc w:val="center"/>
              <w:rPr>
                <w:rFonts w:ascii="Times New Roman" w:hAnsi="Times New Roman" w:cs="Times New Roman"/>
              </w:rPr>
            </w:pPr>
            <w:r>
              <w:rPr>
                <w:rFonts w:ascii="Times New Roman" w:hAnsi="Times New Roman" w:cs="Times New Roman" w:hint="eastAsia"/>
              </w:rPr>
              <w:t>持仓量</w:t>
            </w:r>
          </w:p>
          <w:p w:rsidR="00277FAE" w:rsidRDefault="00277FAE">
            <w:pPr>
              <w:pStyle w:val="Default"/>
              <w:jc w:val="center"/>
              <w:rPr>
                <w:rFonts w:ascii="Times New Roman" w:hAnsi="Times New Roman" w:cs="Times New Roman"/>
              </w:rPr>
            </w:pPr>
            <w:r>
              <w:rPr>
                <w:rFonts w:ascii="Times New Roman" w:hAnsi="Times New Roman" w:cs="Times New Roman" w:hint="eastAsia"/>
              </w:rPr>
              <w:t>（买</w:t>
            </w:r>
            <w:r>
              <w:rPr>
                <w:rFonts w:ascii="Times New Roman" w:hAnsi="Times New Roman" w:cs="Times New Roman"/>
              </w:rPr>
              <w:t>/</w:t>
            </w:r>
            <w:r>
              <w:rPr>
                <w:rFonts w:ascii="Times New Roman" w:hAnsi="Times New Roman" w:cs="Times New Roman" w:hint="eastAsia"/>
              </w:rPr>
              <w:t>卖）</w:t>
            </w:r>
          </w:p>
        </w:tc>
        <w:tc>
          <w:tcPr>
            <w:tcW w:w="1418" w:type="dxa"/>
            <w:hideMark/>
          </w:tcPr>
          <w:p w:rsidR="00277FAE" w:rsidRDefault="00277FAE">
            <w:pPr>
              <w:pStyle w:val="Default"/>
              <w:jc w:val="center"/>
              <w:rPr>
                <w:rFonts w:ascii="Times New Roman" w:hAnsi="Times New Roman" w:cs="Times New Roman"/>
              </w:rPr>
            </w:pPr>
            <w:r>
              <w:rPr>
                <w:rFonts w:ascii="Times New Roman" w:hAnsi="Times New Roman" w:cs="Times New Roman" w:hint="eastAsia"/>
              </w:rPr>
              <w:t>合约市值</w:t>
            </w:r>
          </w:p>
          <w:p w:rsidR="00277FAE" w:rsidRDefault="00277FAE">
            <w:pPr>
              <w:pStyle w:val="Default"/>
              <w:jc w:val="center"/>
              <w:rPr>
                <w:rFonts w:ascii="Times New Roman" w:hAnsi="Times New Roman" w:cs="Times New Roman"/>
              </w:rPr>
            </w:pPr>
            <w:r>
              <w:rPr>
                <w:rFonts w:ascii="Times New Roman" w:hAnsi="Times New Roman" w:cs="Times New Roman" w:hint="eastAsia"/>
              </w:rPr>
              <w:t>（元）</w:t>
            </w:r>
          </w:p>
        </w:tc>
        <w:tc>
          <w:tcPr>
            <w:tcW w:w="1701" w:type="dxa"/>
            <w:hideMark/>
          </w:tcPr>
          <w:p w:rsidR="00277FAE" w:rsidRDefault="00277FAE">
            <w:pPr>
              <w:pStyle w:val="Default"/>
              <w:jc w:val="center"/>
              <w:rPr>
                <w:rFonts w:ascii="Times New Roman" w:hAnsi="Times New Roman" w:cs="Times New Roman"/>
              </w:rPr>
            </w:pPr>
            <w:r>
              <w:rPr>
                <w:rFonts w:ascii="Times New Roman" w:hAnsi="Times New Roman" w:cs="Times New Roman" w:hint="eastAsia"/>
              </w:rPr>
              <w:t>公允价值变动（元）</w:t>
            </w:r>
          </w:p>
        </w:tc>
        <w:tc>
          <w:tcPr>
            <w:tcW w:w="1984" w:type="dxa"/>
            <w:hideMark/>
          </w:tcPr>
          <w:p w:rsidR="00277FAE" w:rsidRDefault="00277FAE">
            <w:pPr>
              <w:pStyle w:val="Default"/>
              <w:jc w:val="center"/>
              <w:rPr>
                <w:rFonts w:ascii="Times New Roman" w:hAnsi="Times New Roman" w:cs="Times New Roman"/>
              </w:rPr>
            </w:pPr>
            <w:r>
              <w:rPr>
                <w:rFonts w:ascii="Times New Roman" w:hAnsi="Times New Roman" w:cs="Times New Roman" w:hint="eastAsia"/>
              </w:rPr>
              <w:t>风险指标说明</w:t>
            </w:r>
          </w:p>
        </w:tc>
      </w:tr>
      <w:tr w:rsidR="00C002D1">
        <w:trPr>
          <w:jc w:val="center"/>
        </w:trPr>
        <w:tc>
          <w:tcPr>
            <w:tcW w:w="1101" w:type="dxa"/>
            <w:vAlign w:val="center"/>
          </w:tcPr>
          <w:p w:rsidR="00C002D1" w:rsidRDefault="00415888">
            <w:pPr>
              <w:jc w:val="center"/>
            </w:pPr>
            <w:r>
              <w:rPr>
                <w:color w:val="000000"/>
                <w:sz w:val="24"/>
              </w:rPr>
              <w:t>T2009</w:t>
            </w:r>
          </w:p>
        </w:tc>
        <w:tc>
          <w:tcPr>
            <w:tcW w:w="1331" w:type="dxa"/>
            <w:vAlign w:val="center"/>
          </w:tcPr>
          <w:p w:rsidR="00C002D1" w:rsidRDefault="00415888">
            <w:pPr>
              <w:jc w:val="center"/>
            </w:pPr>
            <w:r>
              <w:rPr>
                <w:color w:val="000000"/>
                <w:sz w:val="24"/>
              </w:rPr>
              <w:t>T2009</w:t>
            </w:r>
          </w:p>
        </w:tc>
        <w:tc>
          <w:tcPr>
            <w:tcW w:w="1220" w:type="dxa"/>
            <w:vAlign w:val="center"/>
          </w:tcPr>
          <w:p w:rsidR="00C002D1" w:rsidRDefault="00415888">
            <w:pPr>
              <w:jc w:val="center"/>
            </w:pPr>
            <w:r>
              <w:rPr>
                <w:color w:val="000000"/>
                <w:sz w:val="24"/>
              </w:rPr>
              <w:t>-50</w:t>
            </w:r>
          </w:p>
        </w:tc>
        <w:tc>
          <w:tcPr>
            <w:tcW w:w="1418" w:type="dxa"/>
            <w:vAlign w:val="center"/>
          </w:tcPr>
          <w:p w:rsidR="00C002D1" w:rsidRDefault="00415888">
            <w:pPr>
              <w:jc w:val="right"/>
            </w:pPr>
            <w:r>
              <w:rPr>
                <w:color w:val="000000"/>
                <w:sz w:val="24"/>
              </w:rPr>
              <w:t>-50,137,500.00</w:t>
            </w:r>
          </w:p>
        </w:tc>
        <w:tc>
          <w:tcPr>
            <w:tcW w:w="1701" w:type="dxa"/>
            <w:vAlign w:val="center"/>
          </w:tcPr>
          <w:p w:rsidR="00C002D1" w:rsidRDefault="00415888">
            <w:pPr>
              <w:jc w:val="right"/>
            </w:pPr>
            <w:r>
              <w:rPr>
                <w:color w:val="000000"/>
                <w:sz w:val="24"/>
              </w:rPr>
              <w:t>-34,555.56</w:t>
            </w:r>
          </w:p>
        </w:tc>
        <w:tc>
          <w:tcPr>
            <w:tcW w:w="1984" w:type="dxa"/>
            <w:vAlign w:val="center"/>
          </w:tcPr>
          <w:p w:rsidR="00C002D1" w:rsidRDefault="00415888">
            <w:pPr>
              <w:jc w:val="left"/>
            </w:pPr>
            <w:r>
              <w:rPr>
                <w:color w:val="000000"/>
                <w:sz w:val="24"/>
              </w:rPr>
              <w:t>本交易期内组合利用国债期货空头交易降低组合有效久期，对冲利率上行风险</w:t>
            </w:r>
          </w:p>
        </w:tc>
      </w:tr>
      <w:tr w:rsidR="00C002D1">
        <w:trPr>
          <w:jc w:val="center"/>
        </w:trPr>
        <w:tc>
          <w:tcPr>
            <w:tcW w:w="1101" w:type="dxa"/>
            <w:vAlign w:val="center"/>
          </w:tcPr>
          <w:p w:rsidR="00C002D1" w:rsidRDefault="00415888">
            <w:pPr>
              <w:jc w:val="center"/>
            </w:pPr>
            <w:r>
              <w:rPr>
                <w:color w:val="000000"/>
                <w:sz w:val="24"/>
              </w:rPr>
              <w:t>TF2009</w:t>
            </w:r>
          </w:p>
        </w:tc>
        <w:tc>
          <w:tcPr>
            <w:tcW w:w="1331" w:type="dxa"/>
            <w:vAlign w:val="center"/>
          </w:tcPr>
          <w:p w:rsidR="00C002D1" w:rsidRDefault="00415888">
            <w:pPr>
              <w:jc w:val="center"/>
            </w:pPr>
            <w:r>
              <w:rPr>
                <w:color w:val="000000"/>
                <w:sz w:val="24"/>
              </w:rPr>
              <w:t>TF2009</w:t>
            </w:r>
          </w:p>
        </w:tc>
        <w:tc>
          <w:tcPr>
            <w:tcW w:w="1220" w:type="dxa"/>
            <w:vAlign w:val="center"/>
          </w:tcPr>
          <w:p w:rsidR="00C002D1" w:rsidRDefault="00415888">
            <w:pPr>
              <w:jc w:val="center"/>
            </w:pPr>
            <w:r>
              <w:rPr>
                <w:color w:val="000000"/>
                <w:sz w:val="24"/>
              </w:rPr>
              <w:t>-80</w:t>
            </w:r>
          </w:p>
        </w:tc>
        <w:tc>
          <w:tcPr>
            <w:tcW w:w="1418" w:type="dxa"/>
            <w:vAlign w:val="center"/>
          </w:tcPr>
          <w:p w:rsidR="00C002D1" w:rsidRDefault="00415888">
            <w:pPr>
              <w:jc w:val="right"/>
            </w:pPr>
            <w:r>
              <w:rPr>
                <w:color w:val="000000"/>
                <w:sz w:val="24"/>
              </w:rPr>
              <w:t>-81,324,000.00</w:t>
            </w:r>
          </w:p>
        </w:tc>
        <w:tc>
          <w:tcPr>
            <w:tcW w:w="1701" w:type="dxa"/>
            <w:vAlign w:val="center"/>
          </w:tcPr>
          <w:p w:rsidR="00C002D1" w:rsidRDefault="00415888">
            <w:pPr>
              <w:jc w:val="right"/>
            </w:pPr>
            <w:r>
              <w:rPr>
                <w:color w:val="000000"/>
                <w:sz w:val="24"/>
              </w:rPr>
              <w:t>329,000.00</w:t>
            </w:r>
          </w:p>
        </w:tc>
        <w:tc>
          <w:tcPr>
            <w:tcW w:w="1984" w:type="dxa"/>
            <w:vAlign w:val="center"/>
          </w:tcPr>
          <w:p w:rsidR="00C002D1" w:rsidRDefault="00415888">
            <w:pPr>
              <w:jc w:val="left"/>
            </w:pPr>
            <w:r>
              <w:rPr>
                <w:color w:val="000000"/>
                <w:sz w:val="24"/>
              </w:rPr>
              <w:t>本交易期内组合利用国债期货空头交易降低组合有效久期，对冲利率上行风险</w:t>
            </w:r>
          </w:p>
        </w:tc>
      </w:tr>
      <w:tr w:rsidR="00C002D1">
        <w:trPr>
          <w:jc w:val="center"/>
        </w:trPr>
        <w:tc>
          <w:tcPr>
            <w:tcW w:w="1101" w:type="dxa"/>
            <w:vAlign w:val="center"/>
          </w:tcPr>
          <w:p w:rsidR="00C002D1" w:rsidRDefault="00415888">
            <w:pPr>
              <w:jc w:val="center"/>
            </w:pPr>
            <w:r>
              <w:rPr>
                <w:color w:val="000000"/>
                <w:sz w:val="24"/>
              </w:rPr>
              <w:t>TS2009</w:t>
            </w:r>
          </w:p>
        </w:tc>
        <w:tc>
          <w:tcPr>
            <w:tcW w:w="1331" w:type="dxa"/>
            <w:vAlign w:val="center"/>
          </w:tcPr>
          <w:p w:rsidR="00C002D1" w:rsidRDefault="00415888">
            <w:pPr>
              <w:jc w:val="center"/>
            </w:pPr>
            <w:r>
              <w:rPr>
                <w:color w:val="000000"/>
                <w:sz w:val="24"/>
              </w:rPr>
              <w:t>TS2009</w:t>
            </w:r>
          </w:p>
        </w:tc>
        <w:tc>
          <w:tcPr>
            <w:tcW w:w="1220" w:type="dxa"/>
            <w:vAlign w:val="center"/>
          </w:tcPr>
          <w:p w:rsidR="00C002D1" w:rsidRDefault="00415888">
            <w:pPr>
              <w:jc w:val="center"/>
            </w:pPr>
            <w:r>
              <w:rPr>
                <w:color w:val="000000"/>
                <w:sz w:val="24"/>
              </w:rPr>
              <w:t>-50</w:t>
            </w:r>
          </w:p>
        </w:tc>
        <w:tc>
          <w:tcPr>
            <w:tcW w:w="1418" w:type="dxa"/>
            <w:vAlign w:val="center"/>
          </w:tcPr>
          <w:p w:rsidR="00C002D1" w:rsidRDefault="00415888">
            <w:pPr>
              <w:jc w:val="right"/>
            </w:pPr>
            <w:r>
              <w:rPr>
                <w:color w:val="000000"/>
                <w:sz w:val="24"/>
              </w:rPr>
              <w:t>-101,215,000.00</w:t>
            </w:r>
          </w:p>
        </w:tc>
        <w:tc>
          <w:tcPr>
            <w:tcW w:w="1701" w:type="dxa"/>
            <w:vAlign w:val="center"/>
          </w:tcPr>
          <w:p w:rsidR="00C002D1" w:rsidRDefault="00415888">
            <w:pPr>
              <w:jc w:val="right"/>
            </w:pPr>
            <w:r>
              <w:rPr>
                <w:color w:val="000000"/>
                <w:sz w:val="24"/>
              </w:rPr>
              <w:t>-198,000.00</w:t>
            </w:r>
          </w:p>
        </w:tc>
        <w:tc>
          <w:tcPr>
            <w:tcW w:w="1984" w:type="dxa"/>
            <w:vAlign w:val="center"/>
          </w:tcPr>
          <w:p w:rsidR="00C002D1" w:rsidRDefault="00415888">
            <w:pPr>
              <w:jc w:val="left"/>
            </w:pPr>
            <w:r>
              <w:rPr>
                <w:color w:val="000000"/>
                <w:sz w:val="24"/>
              </w:rPr>
              <w:t>本交易期内组合利用国债期货空头交易降低组合有效久期，对冲利率上行风险</w:t>
            </w:r>
          </w:p>
        </w:tc>
      </w:tr>
      <w:tr w:rsidR="00277FAE" w:rsidTr="003B5535">
        <w:trPr>
          <w:jc w:val="center"/>
        </w:trPr>
        <w:tc>
          <w:tcPr>
            <w:tcW w:w="6771" w:type="dxa"/>
            <w:gridSpan w:val="5"/>
            <w:hideMark/>
          </w:tcPr>
          <w:p w:rsidR="00277FAE" w:rsidRDefault="00277FAE">
            <w:pPr>
              <w:pStyle w:val="Default"/>
              <w:jc w:val="both"/>
              <w:rPr>
                <w:rFonts w:ascii="Times New Roman" w:hAnsi="Times New Roman" w:cs="Times New Roman"/>
              </w:rPr>
            </w:pPr>
            <w:r>
              <w:rPr>
                <w:rFonts w:ascii="Times New Roman" w:hAnsi="Times New Roman" w:cs="Times New Roman" w:hint="eastAsia"/>
              </w:rPr>
              <w:t>公允价值变动总额合计（元）</w:t>
            </w:r>
          </w:p>
        </w:tc>
        <w:tc>
          <w:tcPr>
            <w:tcW w:w="1984" w:type="dxa"/>
            <w:hideMark/>
          </w:tcPr>
          <w:p w:rsidR="00277FAE" w:rsidRDefault="00277FAE">
            <w:pPr>
              <w:adjustRightInd w:val="0"/>
              <w:snapToGrid w:val="0"/>
              <w:spacing w:line="380" w:lineRule="exact"/>
              <w:jc w:val="right"/>
              <w:rPr>
                <w:color w:val="000000"/>
                <w:sz w:val="24"/>
                <w:szCs w:val="24"/>
              </w:rPr>
            </w:pPr>
            <w:r>
              <w:rPr>
                <w:color w:val="000000"/>
                <w:sz w:val="24"/>
              </w:rPr>
              <w:t>96,444.44</w:t>
            </w:r>
          </w:p>
        </w:tc>
      </w:tr>
      <w:tr w:rsidR="00277FAE" w:rsidTr="003B5535">
        <w:trPr>
          <w:jc w:val="center"/>
        </w:trPr>
        <w:tc>
          <w:tcPr>
            <w:tcW w:w="6771" w:type="dxa"/>
            <w:gridSpan w:val="5"/>
            <w:hideMark/>
          </w:tcPr>
          <w:p w:rsidR="00277FAE" w:rsidRDefault="00277FAE">
            <w:pPr>
              <w:pStyle w:val="Default"/>
              <w:jc w:val="both"/>
              <w:rPr>
                <w:rFonts w:ascii="Times New Roman" w:hAnsi="Times New Roman" w:cs="Times New Roman"/>
              </w:rPr>
            </w:pPr>
            <w:r>
              <w:rPr>
                <w:rFonts w:ascii="Times New Roman" w:hAnsi="Times New Roman" w:cs="Times New Roman" w:hint="eastAsia"/>
              </w:rPr>
              <w:t>国债期货投资本期收益（元）</w:t>
            </w:r>
          </w:p>
        </w:tc>
        <w:tc>
          <w:tcPr>
            <w:tcW w:w="1984" w:type="dxa"/>
            <w:hideMark/>
          </w:tcPr>
          <w:p w:rsidR="00277FAE" w:rsidRDefault="00277FAE">
            <w:pPr>
              <w:adjustRightInd w:val="0"/>
              <w:snapToGrid w:val="0"/>
              <w:spacing w:line="380" w:lineRule="exact"/>
              <w:jc w:val="right"/>
              <w:rPr>
                <w:color w:val="000000"/>
                <w:sz w:val="24"/>
                <w:szCs w:val="24"/>
              </w:rPr>
            </w:pPr>
            <w:r>
              <w:rPr>
                <w:color w:val="000000"/>
                <w:sz w:val="24"/>
              </w:rPr>
              <w:t>2,906,170.44</w:t>
            </w:r>
          </w:p>
        </w:tc>
      </w:tr>
      <w:tr w:rsidR="00277FAE" w:rsidTr="003B5535">
        <w:trPr>
          <w:jc w:val="center"/>
        </w:trPr>
        <w:tc>
          <w:tcPr>
            <w:tcW w:w="6771" w:type="dxa"/>
            <w:gridSpan w:val="5"/>
            <w:hideMark/>
          </w:tcPr>
          <w:p w:rsidR="00277FAE" w:rsidRDefault="00277FAE">
            <w:pPr>
              <w:pStyle w:val="Default"/>
              <w:jc w:val="both"/>
              <w:rPr>
                <w:rFonts w:ascii="Times New Roman" w:hAnsi="Times New Roman" w:cs="Times New Roman"/>
              </w:rPr>
            </w:pPr>
            <w:r>
              <w:rPr>
                <w:rFonts w:ascii="Times New Roman" w:hAnsi="Times New Roman" w:cs="Times New Roman" w:hint="eastAsia"/>
              </w:rPr>
              <w:t>国债期货投资本期公允价值变动（元）</w:t>
            </w:r>
          </w:p>
        </w:tc>
        <w:tc>
          <w:tcPr>
            <w:tcW w:w="1984" w:type="dxa"/>
            <w:hideMark/>
          </w:tcPr>
          <w:p w:rsidR="00277FAE" w:rsidRDefault="00277FAE">
            <w:pPr>
              <w:adjustRightInd w:val="0"/>
              <w:snapToGrid w:val="0"/>
              <w:spacing w:line="380" w:lineRule="exact"/>
              <w:jc w:val="right"/>
              <w:rPr>
                <w:color w:val="000000"/>
                <w:sz w:val="24"/>
                <w:szCs w:val="24"/>
              </w:rPr>
            </w:pPr>
            <w:r>
              <w:rPr>
                <w:color w:val="000000"/>
                <w:sz w:val="24"/>
              </w:rPr>
              <w:t>96,444.44</w:t>
            </w:r>
          </w:p>
        </w:tc>
      </w:tr>
    </w:tbl>
    <w:p w:rsidR="00750D48" w:rsidRPr="001C7E00" w:rsidRDefault="00750D48" w:rsidP="00277FAE">
      <w:pPr>
        <w:autoSpaceDE w:val="0"/>
        <w:autoSpaceDN w:val="0"/>
        <w:adjustRightInd w:val="0"/>
        <w:spacing w:line="360" w:lineRule="auto"/>
        <w:jc w:val="left"/>
        <w:rPr>
          <w:rFonts w:ascii="宋体" w:hAnsi="宋体"/>
          <w:bCs/>
          <w:color w:val="000000"/>
          <w:kern w:val="0"/>
          <w:sz w:val="24"/>
          <w:szCs w:val="24"/>
        </w:rPr>
      </w:pPr>
      <w:r w:rsidRPr="001C7E00">
        <w:rPr>
          <w:rFonts w:ascii="宋体" w:hAnsi="宋体"/>
          <w:bCs/>
          <w:color w:val="000000"/>
          <w:kern w:val="0"/>
          <w:sz w:val="24"/>
          <w:szCs w:val="24"/>
        </w:rPr>
        <w:t xml:space="preserve">5.10.3 </w:t>
      </w:r>
      <w:r w:rsidRPr="001C7E00">
        <w:rPr>
          <w:rFonts w:ascii="宋体" w:hAnsi="宋体" w:hint="eastAsia"/>
          <w:bCs/>
          <w:color w:val="000000"/>
          <w:kern w:val="0"/>
          <w:sz w:val="24"/>
          <w:szCs w:val="24"/>
        </w:rPr>
        <w:t>本期国债期货投资评价</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投资国债期货根据风险管理的原则，以套期保值为目的，选择流动性好、交易活跃的期货合约进行交易。本基金力争通过国债期货的交易，降低组合债券持仓调整的交易成本，增加组合的灵活性，对冲潜在风险。本报告期内，本基金投资国债期货符合既定的投资政策和投资目的。</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5.11.1</w:t>
      </w:r>
      <w:r w:rsidR="00065E3C">
        <w:rPr>
          <w:rFonts w:ascii="宋体" w:hAnsi="宋体" w:hint="eastAsia"/>
          <w:color w:val="000000"/>
          <w:sz w:val="24"/>
          <w:szCs w:val="24"/>
        </w:rPr>
        <w:t xml:space="preserve"> </w:t>
      </w:r>
      <w:r w:rsidRPr="00264E55">
        <w:rPr>
          <w:rFonts w:ascii="宋体" w:hAnsi="宋体"/>
          <w:color w:val="000000"/>
          <w:sz w:val="24"/>
          <w:szCs w:val="24"/>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w:t>
      </w:r>
      <w:r w:rsidRPr="00264E55">
        <w:rPr>
          <w:rFonts w:ascii="宋体" w:hAnsi="宋体"/>
          <w:color w:val="000000"/>
          <w:sz w:val="24"/>
          <w:szCs w:val="24"/>
        </w:rPr>
        <w:lastRenderedPageBreak/>
        <w:t>“责令改正，并处罚款50万元”的行政处罚决定。</w:t>
      </w:r>
    </w:p>
    <w:p w:rsidR="00C002D1" w:rsidRDefault="00415888">
      <w:pPr>
        <w:spacing w:line="360" w:lineRule="auto"/>
        <w:rPr>
          <w:rFonts w:ascii="宋体" w:hAnsi="宋体"/>
          <w:color w:val="000000"/>
          <w:sz w:val="24"/>
          <w:szCs w:val="24"/>
        </w:rPr>
      </w:pPr>
      <w:r>
        <w:rPr>
          <w:rFonts w:ascii="宋体" w:hAnsi="宋体"/>
          <w:color w:val="000000"/>
          <w:sz w:val="24"/>
          <w:szCs w:val="24"/>
        </w:rPr>
        <w:t>2019年8月7日，江西省交通建设工程质量监督管理局对中国建筑股份有限公司违反交通法规的行为罚款五万元。2019年9月18日，深圳市住房和建设局对中国建筑股份有限公司违反《中华人民共和国安全生产法》第三十八条第一款“生产经营单位应当建立健全生产安全事故隐患排查治理制度，采取技术、管理措施，及时发现并消除事故隐患，事故隐患排查治理情况应当如实记录，并向从业人员通报”的行为罚款50000元。2019年11月4日，国家税务总局北京市海淀区税务局对中国建筑股份有限公司未依法履行职责的行为进行罚款。2020年3月19日，西安市人力资源和社会保障局依据《西安市农民工工资保障办法》第二十三条第一项，对中国建筑股份有限公司“未按本办法规定预存农民工工资支付保证金”的行为罚款10000元。2020年5月7日，江西省交通建设工程质量监督管理局对中国建筑股份有限公司 “中国建筑股份有限公司井冈山航电枢纽工程项目A1合同段从事电焊作业的陈子高未按照国家有关规定经专门的安全作业培训取得相应特种作业资格”的行为罚款2万元。</w:t>
      </w:r>
    </w:p>
    <w:p w:rsidR="00C002D1" w:rsidRDefault="00415888">
      <w:pPr>
        <w:spacing w:line="360" w:lineRule="auto"/>
        <w:rPr>
          <w:rFonts w:ascii="宋体" w:hAnsi="宋体"/>
          <w:color w:val="000000"/>
          <w:sz w:val="24"/>
          <w:szCs w:val="24"/>
        </w:rPr>
      </w:pPr>
      <w:r>
        <w:rPr>
          <w:rFonts w:ascii="宋体" w:hAnsi="宋体"/>
          <w:color w:val="000000"/>
          <w:sz w:val="24"/>
          <w:szCs w:val="24"/>
        </w:rPr>
        <w:t>本基金投资20浦发银行CD214、20中建MTN003的投资决策程序符合公司投资制度的规定。</w:t>
      </w:r>
    </w:p>
    <w:p w:rsidR="00C002D1" w:rsidRDefault="00415888">
      <w:pPr>
        <w:spacing w:line="360" w:lineRule="auto"/>
        <w:rPr>
          <w:rFonts w:ascii="宋体" w:hAnsi="宋体"/>
          <w:color w:val="000000"/>
          <w:sz w:val="24"/>
          <w:szCs w:val="24"/>
        </w:rPr>
      </w:pPr>
      <w:r>
        <w:rPr>
          <w:rFonts w:ascii="宋体" w:hAnsi="宋体"/>
          <w:color w:val="000000"/>
          <w:sz w:val="24"/>
          <w:szCs w:val="24"/>
        </w:rPr>
        <w:t>除20浦发银行CD214、20中建MTN003外，本基金投资的前十名证券的发行主体本期没有出现被监管部门立案调查，或在报告编制日前一年内受到公开谴责、处罚的情形。</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5.11.2</w:t>
      </w:r>
      <w:r w:rsidR="00065E3C">
        <w:rPr>
          <w:rFonts w:ascii="宋体" w:hAnsi="宋体" w:hint="eastAsia"/>
          <w:color w:val="000000"/>
          <w:sz w:val="24"/>
          <w:szCs w:val="24"/>
        </w:rPr>
        <w:t xml:space="preserve"> </w:t>
      </w:r>
      <w:r w:rsidRPr="00264E55">
        <w:rPr>
          <w:rFonts w:ascii="宋体" w:hAnsi="宋体"/>
          <w:color w:val="000000"/>
          <w:sz w:val="24"/>
          <w:szCs w:val="24"/>
        </w:rPr>
        <w:t>本基金本报告期没有投资股票，因此不存在投资的前十名股票超出基金合同规定的备选股票库情况。</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r w:rsidRPr="001C7E00">
        <w:rPr>
          <w:rFonts w:ascii="宋体" w:hAnsi="宋体" w:hint="eastAsia"/>
          <w:bCs/>
          <w:color w:val="000000"/>
          <w:kern w:val="0"/>
          <w:sz w:val="24"/>
          <w:szCs w:val="24"/>
        </w:rPr>
        <w:t>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5"/>
        <w:gridCol w:w="2470"/>
        <w:gridCol w:w="4808"/>
      </w:tblGrid>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w="2470"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w="4808" w:type="dxa"/>
            <w:vAlign w:val="center"/>
          </w:tcPr>
          <w:p w:rsidR="00750D48" w:rsidRPr="00B227EA" w:rsidRDefault="00750D48" w:rsidP="005F7917">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2,608,573.36</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138,006.68</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13,294,185.71</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7</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16,040,765.75</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本基金本报告期末未持有处于转股期的可转换债券。</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本基金本报告期末未持有股票。</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R="00750D48" w:rsidRPr="00264E55" w:rsidRDefault="00750D48" w:rsidP="004061AC">
      <w:pPr>
        <w:autoSpaceDE w:val="0"/>
        <w:autoSpaceDN w:val="0"/>
        <w:adjustRightInd w:val="0"/>
        <w:spacing w:before="29" w:line="360" w:lineRule="auto"/>
        <w:ind w:left="15"/>
        <w:jc w:val="right"/>
        <w:rPr>
          <w:rFonts w:ascii="宋体"/>
          <w:color w:val="000000"/>
          <w:kern w:val="0"/>
          <w:sz w:val="24"/>
          <w:szCs w:val="24"/>
        </w:rPr>
      </w:pPr>
      <w:r w:rsidRPr="00264E55">
        <w:rPr>
          <w:rFonts w:ascii="宋体" w:hAnsi="宋体" w:cs="宋体" w:hint="eastAsia"/>
          <w:color w:val="000000"/>
          <w:kern w:val="0"/>
          <w:sz w:val="24"/>
          <w:szCs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9"/>
        <w:gridCol w:w="4025"/>
      </w:tblGrid>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999,995,000.00</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报告期基金总申购份额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减：报告期基金总赎回份额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w="4025" w:type="dxa"/>
            <w:vAlign w:val="center"/>
          </w:tcPr>
          <w:p w:rsidR="00750D48" w:rsidRPr="00B227EA" w:rsidRDefault="00750D48" w:rsidP="000A2B53">
            <w:pPr>
              <w:autoSpaceDE w:val="0"/>
              <w:autoSpaceDN w:val="0"/>
              <w:adjustRightInd w:val="0"/>
              <w:spacing w:before="29" w:line="360" w:lineRule="auto"/>
              <w:ind w:left="17"/>
              <w:jc w:val="right"/>
              <w:rPr>
                <w:color w:val="000000"/>
                <w:sz w:val="24"/>
                <w:szCs w:val="24"/>
              </w:rPr>
            </w:pPr>
            <w:r w:rsidRPr="00B227EA">
              <w:rPr>
                <w:color w:val="000000"/>
                <w:sz w:val="24"/>
                <w:szCs w:val="24"/>
              </w:rPr>
              <w:t>999,995,000.00</w:t>
            </w:r>
          </w:p>
        </w:tc>
      </w:tr>
    </w:tbl>
    <w:p w:rsidR="00750D48" w:rsidRDefault="00750D48" w:rsidP="004D28A3">
      <w:pPr>
        <w:pStyle w:val="1"/>
        <w:tabs>
          <w:tab w:val="center" w:pos="4156"/>
          <w:tab w:val="right" w:pos="8312"/>
        </w:tabs>
        <w:spacing w:beforeLines="100" w:before="312" w:afterLines="100" w:after="312" w:line="360" w:lineRule="auto"/>
        <w:jc w:val="center"/>
        <w:rPr>
          <w:rFonts w:ascii="方正仿宋简体"/>
          <w:sz w:val="24"/>
          <w:szCs w:val="24"/>
        </w:rPr>
      </w:pPr>
      <w:r>
        <w:rPr>
          <w:rFonts w:ascii="宋体" w:hAnsi="宋体" w:cs="Arial" w:hint="eastAsia"/>
          <w:color w:val="000000"/>
          <w:kern w:val="0"/>
          <w:sz w:val="24"/>
          <w:szCs w:val="24"/>
        </w:rPr>
        <w:t>§</w:t>
      </w:r>
      <w:r>
        <w:rPr>
          <w:rFonts w:ascii="宋体" w:hAnsi="宋体" w:cs="Arial"/>
          <w:color w:val="000000"/>
          <w:kern w:val="0"/>
          <w:sz w:val="24"/>
          <w:szCs w:val="24"/>
        </w:rPr>
        <w:t xml:space="preserve">7  </w:t>
      </w:r>
      <w:r>
        <w:rPr>
          <w:rFonts w:ascii="方正仿宋简体" w:hint="eastAsia"/>
          <w:sz w:val="24"/>
          <w:szCs w:val="24"/>
        </w:rPr>
        <w:t>基金管理人运用固有资金投资本基金情况</w:t>
      </w:r>
    </w:p>
    <w:p w:rsidR="00750D48" w:rsidRDefault="00750D48" w:rsidP="00EB374A">
      <w:pPr>
        <w:spacing w:line="360" w:lineRule="auto"/>
        <w:jc w:val="left"/>
        <w:rPr>
          <w:sz w:val="24"/>
          <w:szCs w:val="24"/>
        </w:rPr>
      </w:pPr>
      <w:r>
        <w:rPr>
          <w:b/>
          <w:sz w:val="24"/>
        </w:rPr>
        <w:t xml:space="preserve">7.1 </w:t>
      </w:r>
      <w:r>
        <w:rPr>
          <w:rFonts w:hint="eastAsia"/>
          <w:b/>
          <w:sz w:val="24"/>
        </w:rPr>
        <w:t>基金管理人持有本基金份额变动情况</w:t>
      </w:r>
    </w:p>
    <w:p w:rsidR="00AC11B0" w:rsidRPr="005A564A" w:rsidRDefault="00AC11B0" w:rsidP="00AC11B0">
      <w:pPr>
        <w:autoSpaceDE w:val="0"/>
        <w:autoSpaceDN w:val="0"/>
        <w:adjustRightInd w:val="0"/>
        <w:spacing w:before="29" w:line="360" w:lineRule="auto"/>
        <w:ind w:left="15"/>
        <w:jc w:val="right"/>
        <w:rPr>
          <w:sz w:val="24"/>
        </w:rPr>
      </w:pPr>
      <w:r w:rsidRPr="005A564A">
        <w:rPr>
          <w:sz w:val="24"/>
        </w:rPr>
        <w:t>单位：份</w:t>
      </w:r>
    </w:p>
    <w:tbl>
      <w:tblPr>
        <w:tblW w:w="8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7"/>
        <w:gridCol w:w="3378"/>
      </w:tblGrid>
      <w:tr w:rsidR="00AC11B0" w:rsidRPr="003B42FF" w:rsidTr="003B5535">
        <w:tc>
          <w:tcPr>
            <w:tcW w:w="5037" w:type="dxa"/>
            <w:vAlign w:val="center"/>
            <w:hideMark/>
          </w:tcPr>
          <w:p w:rsidR="00AC11B0" w:rsidRPr="003B42FF" w:rsidRDefault="00AC11B0" w:rsidP="003328D9">
            <w:pPr>
              <w:pStyle w:val="ad"/>
              <w:adjustRightInd w:val="0"/>
              <w:snapToGrid w:val="0"/>
              <w:spacing w:line="360" w:lineRule="exact"/>
              <w:rPr>
                <w:rFonts w:eastAsiaTheme="minorEastAsia"/>
                <w:color w:val="000000" w:themeColor="text1"/>
              </w:rPr>
            </w:pPr>
            <w:r w:rsidRPr="003B42FF">
              <w:rPr>
                <w:rFonts w:eastAsiaTheme="minorEastAsia"/>
                <w:color w:val="000000" w:themeColor="text1"/>
              </w:rPr>
              <w:t>报告期期初管理人持有的本基金份额</w:t>
            </w:r>
          </w:p>
        </w:tc>
        <w:tc>
          <w:tcPr>
            <w:tcW w:w="3378" w:type="dxa"/>
            <w:vAlign w:val="center"/>
            <w:hideMark/>
          </w:tcPr>
          <w:p w:rsidR="00AC11B0" w:rsidRPr="003B42FF" w:rsidRDefault="00AC11B0" w:rsidP="003328D9">
            <w:pPr>
              <w:jc w:val="right"/>
              <w:rPr>
                <w:rFonts w:eastAsiaTheme="minorEastAsia"/>
                <w:color w:val="000000" w:themeColor="text1"/>
                <w:sz w:val="24"/>
                <w:szCs w:val="24"/>
              </w:rPr>
            </w:pPr>
            <w:r w:rsidRPr="003B42FF">
              <w:rPr>
                <w:rFonts w:eastAsiaTheme="minorEastAsia"/>
                <w:color w:val="000000" w:themeColor="text1"/>
                <w:sz w:val="24"/>
                <w:szCs w:val="24"/>
              </w:rPr>
              <w:t>10,000,000.00</w:t>
            </w:r>
          </w:p>
        </w:tc>
      </w:tr>
      <w:tr w:rsidR="00AC11B0" w:rsidRPr="003B42FF" w:rsidTr="003B5535">
        <w:tc>
          <w:tcPr>
            <w:tcW w:w="5037" w:type="dxa"/>
            <w:vAlign w:val="center"/>
            <w:hideMark/>
          </w:tcPr>
          <w:p w:rsidR="00AC11B0" w:rsidRPr="003B42FF" w:rsidRDefault="00AC11B0" w:rsidP="003328D9">
            <w:pPr>
              <w:adjustRightInd w:val="0"/>
              <w:snapToGrid w:val="0"/>
              <w:spacing w:line="360" w:lineRule="exact"/>
              <w:rPr>
                <w:rFonts w:eastAsiaTheme="minorEastAsia"/>
                <w:color w:val="000000" w:themeColor="text1"/>
                <w:sz w:val="24"/>
                <w:szCs w:val="24"/>
              </w:rPr>
            </w:pPr>
            <w:r w:rsidRPr="003B42FF">
              <w:rPr>
                <w:rFonts w:eastAsiaTheme="minorEastAsia"/>
                <w:color w:val="000000" w:themeColor="text1"/>
                <w:kern w:val="0"/>
                <w:sz w:val="24"/>
                <w:szCs w:val="24"/>
              </w:rPr>
              <w:t>报告期</w:t>
            </w:r>
            <w:r w:rsidR="00B53067" w:rsidRPr="00B53067">
              <w:rPr>
                <w:rFonts w:eastAsiaTheme="minorEastAsia"/>
                <w:color w:val="000000" w:themeColor="text1"/>
                <w:sz w:val="24"/>
                <w:szCs w:val="24"/>
              </w:rPr>
              <w:t>期间</w:t>
            </w:r>
            <w:r w:rsidRPr="003B42FF">
              <w:rPr>
                <w:rFonts w:eastAsiaTheme="minorEastAsia"/>
                <w:color w:val="000000" w:themeColor="text1"/>
                <w:sz w:val="24"/>
                <w:szCs w:val="24"/>
              </w:rPr>
              <w:t>买入</w:t>
            </w:r>
            <w:r w:rsidRPr="003B42FF">
              <w:rPr>
                <w:rFonts w:eastAsiaTheme="minorEastAsia"/>
                <w:color w:val="000000" w:themeColor="text1"/>
                <w:sz w:val="24"/>
                <w:szCs w:val="24"/>
              </w:rPr>
              <w:t>/</w:t>
            </w:r>
            <w:r w:rsidRPr="003B42FF">
              <w:rPr>
                <w:rFonts w:eastAsiaTheme="minorEastAsia"/>
                <w:color w:val="000000" w:themeColor="text1"/>
                <w:sz w:val="24"/>
                <w:szCs w:val="24"/>
              </w:rPr>
              <w:t>申购总份额</w:t>
            </w:r>
          </w:p>
        </w:tc>
        <w:tc>
          <w:tcPr>
            <w:tcW w:w="3378" w:type="dxa"/>
            <w:vAlign w:val="center"/>
            <w:hideMark/>
          </w:tcPr>
          <w:p w:rsidR="00AC11B0" w:rsidRPr="003B42FF" w:rsidRDefault="00AC11B0" w:rsidP="003328D9">
            <w:pPr>
              <w:jc w:val="right"/>
              <w:rPr>
                <w:rFonts w:eastAsiaTheme="minorEastAsia"/>
                <w:color w:val="000000" w:themeColor="text1"/>
                <w:kern w:val="0"/>
                <w:sz w:val="24"/>
                <w:szCs w:val="24"/>
              </w:rPr>
            </w:pPr>
            <w:r w:rsidRPr="003B42FF">
              <w:rPr>
                <w:rFonts w:eastAsiaTheme="minorEastAsia"/>
                <w:color w:val="000000" w:themeColor="text1"/>
                <w:sz w:val="24"/>
                <w:szCs w:val="24"/>
              </w:rPr>
              <w:t>-</w:t>
            </w:r>
          </w:p>
        </w:tc>
      </w:tr>
      <w:tr w:rsidR="00AC11B0" w:rsidRPr="003B42FF" w:rsidTr="003B5535">
        <w:tc>
          <w:tcPr>
            <w:tcW w:w="5037" w:type="dxa"/>
            <w:vAlign w:val="center"/>
            <w:hideMark/>
          </w:tcPr>
          <w:p w:rsidR="00AC11B0" w:rsidRPr="003B42FF" w:rsidRDefault="00AC11B0" w:rsidP="003328D9">
            <w:pPr>
              <w:adjustRightInd w:val="0"/>
              <w:snapToGrid w:val="0"/>
              <w:spacing w:line="360" w:lineRule="exact"/>
              <w:rPr>
                <w:rFonts w:eastAsiaTheme="minorEastAsia"/>
                <w:color w:val="000000" w:themeColor="text1"/>
                <w:sz w:val="24"/>
                <w:szCs w:val="24"/>
              </w:rPr>
            </w:pPr>
            <w:r w:rsidRPr="003B42FF">
              <w:rPr>
                <w:rFonts w:eastAsiaTheme="minorEastAsia"/>
                <w:color w:val="000000" w:themeColor="text1"/>
                <w:kern w:val="0"/>
                <w:sz w:val="24"/>
                <w:szCs w:val="24"/>
              </w:rPr>
              <w:t>报告期</w:t>
            </w:r>
            <w:r w:rsidR="00B53067" w:rsidRPr="00B53067">
              <w:rPr>
                <w:rFonts w:eastAsiaTheme="minorEastAsia"/>
                <w:color w:val="000000" w:themeColor="text1"/>
                <w:sz w:val="24"/>
                <w:szCs w:val="24"/>
              </w:rPr>
              <w:t>期间</w:t>
            </w:r>
            <w:r w:rsidRPr="003B42FF">
              <w:rPr>
                <w:rFonts w:eastAsiaTheme="minorEastAsia"/>
                <w:color w:val="000000" w:themeColor="text1"/>
                <w:sz w:val="24"/>
                <w:szCs w:val="24"/>
              </w:rPr>
              <w:t>卖出</w:t>
            </w:r>
            <w:r w:rsidRPr="003B42FF">
              <w:rPr>
                <w:rFonts w:eastAsiaTheme="minorEastAsia"/>
                <w:color w:val="000000" w:themeColor="text1"/>
                <w:sz w:val="24"/>
                <w:szCs w:val="24"/>
              </w:rPr>
              <w:t>/</w:t>
            </w:r>
            <w:r w:rsidRPr="003B42FF">
              <w:rPr>
                <w:rFonts w:eastAsiaTheme="minorEastAsia"/>
                <w:color w:val="000000" w:themeColor="text1"/>
                <w:sz w:val="24"/>
                <w:szCs w:val="24"/>
              </w:rPr>
              <w:t>赎回总份额</w:t>
            </w:r>
          </w:p>
        </w:tc>
        <w:tc>
          <w:tcPr>
            <w:tcW w:w="3378" w:type="dxa"/>
            <w:vAlign w:val="center"/>
            <w:hideMark/>
          </w:tcPr>
          <w:p w:rsidR="00AC11B0" w:rsidRPr="003B42FF" w:rsidRDefault="00AC11B0" w:rsidP="003328D9">
            <w:pPr>
              <w:jc w:val="right"/>
              <w:rPr>
                <w:rFonts w:eastAsiaTheme="minorEastAsia"/>
                <w:color w:val="000000" w:themeColor="text1"/>
                <w:kern w:val="0"/>
                <w:sz w:val="24"/>
                <w:szCs w:val="24"/>
              </w:rPr>
            </w:pPr>
            <w:r w:rsidRPr="003B42FF">
              <w:rPr>
                <w:rFonts w:eastAsiaTheme="minorEastAsia"/>
                <w:color w:val="000000" w:themeColor="text1"/>
                <w:sz w:val="24"/>
                <w:szCs w:val="24"/>
              </w:rPr>
              <w:t>-</w:t>
            </w:r>
          </w:p>
        </w:tc>
      </w:tr>
      <w:tr w:rsidR="00AC11B0" w:rsidRPr="003B42FF" w:rsidTr="003B5535">
        <w:tc>
          <w:tcPr>
            <w:tcW w:w="5037" w:type="dxa"/>
            <w:vAlign w:val="center"/>
            <w:hideMark/>
          </w:tcPr>
          <w:p w:rsidR="00AC11B0" w:rsidRPr="003B42FF" w:rsidRDefault="00AC11B0" w:rsidP="003328D9">
            <w:pPr>
              <w:adjustRightInd w:val="0"/>
              <w:snapToGrid w:val="0"/>
              <w:spacing w:line="360" w:lineRule="exact"/>
              <w:rPr>
                <w:rFonts w:eastAsiaTheme="minorEastAsia"/>
                <w:color w:val="000000" w:themeColor="text1"/>
                <w:sz w:val="24"/>
                <w:szCs w:val="24"/>
              </w:rPr>
            </w:pPr>
            <w:r w:rsidRPr="003B42FF">
              <w:rPr>
                <w:rFonts w:eastAsiaTheme="minorEastAsia"/>
                <w:color w:val="000000" w:themeColor="text1"/>
                <w:sz w:val="24"/>
                <w:szCs w:val="24"/>
              </w:rPr>
              <w:t>报告期期末管理人持有的本基金份额</w:t>
            </w:r>
          </w:p>
        </w:tc>
        <w:tc>
          <w:tcPr>
            <w:tcW w:w="3378" w:type="dxa"/>
            <w:vAlign w:val="center"/>
            <w:hideMark/>
          </w:tcPr>
          <w:p w:rsidR="00AC11B0" w:rsidRPr="003B42FF" w:rsidRDefault="00AC11B0" w:rsidP="003328D9">
            <w:pPr>
              <w:jc w:val="right"/>
              <w:rPr>
                <w:rFonts w:eastAsiaTheme="minorEastAsia"/>
                <w:color w:val="000000" w:themeColor="text1"/>
                <w:sz w:val="24"/>
                <w:szCs w:val="24"/>
              </w:rPr>
            </w:pPr>
            <w:r w:rsidRPr="003B42FF">
              <w:rPr>
                <w:rFonts w:eastAsiaTheme="minorEastAsia"/>
                <w:color w:val="000000" w:themeColor="text1"/>
                <w:sz w:val="24"/>
                <w:szCs w:val="24"/>
              </w:rPr>
              <w:t>10,000,000.00</w:t>
            </w:r>
          </w:p>
        </w:tc>
      </w:tr>
      <w:tr w:rsidR="00AC11B0" w:rsidRPr="003B42FF" w:rsidTr="003B5535">
        <w:tc>
          <w:tcPr>
            <w:tcW w:w="5037" w:type="dxa"/>
            <w:vAlign w:val="center"/>
            <w:hideMark/>
          </w:tcPr>
          <w:p w:rsidR="00AC11B0" w:rsidRPr="003B42FF" w:rsidRDefault="00AC11B0" w:rsidP="003328D9">
            <w:pPr>
              <w:adjustRightInd w:val="0"/>
              <w:snapToGrid w:val="0"/>
              <w:spacing w:line="360" w:lineRule="exact"/>
              <w:rPr>
                <w:rFonts w:eastAsiaTheme="minorEastAsia"/>
                <w:color w:val="000000" w:themeColor="text1"/>
                <w:sz w:val="24"/>
                <w:szCs w:val="24"/>
              </w:rPr>
            </w:pPr>
            <w:r w:rsidRPr="003B42FF">
              <w:rPr>
                <w:rFonts w:eastAsiaTheme="minorEastAsia"/>
                <w:color w:val="000000" w:themeColor="text1"/>
                <w:sz w:val="24"/>
                <w:szCs w:val="24"/>
              </w:rPr>
              <w:t>报告期期末持有的本基金份额占基金总份额比例（</w:t>
            </w:r>
            <w:r w:rsidRPr="003B42FF">
              <w:rPr>
                <w:rFonts w:eastAsiaTheme="minorEastAsia"/>
                <w:color w:val="000000" w:themeColor="text1"/>
                <w:sz w:val="24"/>
                <w:szCs w:val="24"/>
              </w:rPr>
              <w:t>%</w:t>
            </w:r>
            <w:r w:rsidRPr="003B42FF">
              <w:rPr>
                <w:rFonts w:eastAsiaTheme="minorEastAsia"/>
                <w:color w:val="000000" w:themeColor="text1"/>
                <w:sz w:val="24"/>
                <w:szCs w:val="24"/>
              </w:rPr>
              <w:t>）</w:t>
            </w:r>
          </w:p>
        </w:tc>
        <w:tc>
          <w:tcPr>
            <w:tcW w:w="3378" w:type="dxa"/>
            <w:vAlign w:val="center"/>
            <w:hideMark/>
          </w:tcPr>
          <w:p w:rsidR="00AC11B0" w:rsidRPr="003B42FF" w:rsidRDefault="00AC11B0" w:rsidP="003328D9">
            <w:pPr>
              <w:jc w:val="right"/>
              <w:rPr>
                <w:rFonts w:eastAsiaTheme="minorEastAsia"/>
                <w:color w:val="000000" w:themeColor="text1"/>
                <w:kern w:val="0"/>
                <w:sz w:val="24"/>
                <w:szCs w:val="24"/>
              </w:rPr>
            </w:pPr>
            <w:r w:rsidRPr="003B42FF">
              <w:rPr>
                <w:rFonts w:eastAsiaTheme="minorEastAsia"/>
                <w:color w:val="000000" w:themeColor="text1"/>
                <w:sz w:val="24"/>
                <w:szCs w:val="24"/>
              </w:rPr>
              <w:t>1.0000</w:t>
            </w:r>
          </w:p>
        </w:tc>
      </w:tr>
    </w:tbl>
    <w:p w:rsidR="00750D48" w:rsidRDefault="00750D48" w:rsidP="00EB374A">
      <w:pPr>
        <w:spacing w:line="360" w:lineRule="auto"/>
        <w:jc w:val="left"/>
        <w:rPr>
          <w:sz w:val="24"/>
        </w:rPr>
      </w:pPr>
      <w:r>
        <w:rPr>
          <w:b/>
          <w:sz w:val="24"/>
        </w:rPr>
        <w:t xml:space="preserve">7.2 </w:t>
      </w:r>
      <w:r>
        <w:rPr>
          <w:rFonts w:hint="eastAsia"/>
          <w:b/>
          <w:sz w:val="24"/>
        </w:rPr>
        <w:t>基金管理人运用固有资金投资本基金交易明细</w:t>
      </w:r>
    </w:p>
    <w:p w:rsidR="00750D48" w:rsidRPr="006C56AA" w:rsidRDefault="00750D48" w:rsidP="006C56AA">
      <w:pPr>
        <w:spacing w:line="360" w:lineRule="auto"/>
        <w:ind w:firstLineChars="200" w:firstLine="480"/>
        <w:rPr>
          <w:color w:val="000000"/>
          <w:sz w:val="24"/>
          <w:szCs w:val="24"/>
        </w:rPr>
      </w:pPr>
      <w:r w:rsidRPr="006C56AA">
        <w:rPr>
          <w:color w:val="000000"/>
          <w:sz w:val="24"/>
          <w:szCs w:val="24"/>
        </w:rPr>
        <w:t>本报告期内基金管理人未运用固有资金申购、赎回、买卖本基金份额。</w:t>
      </w:r>
      <w:r w:rsidRPr="006C56AA">
        <w:rPr>
          <w:color w:val="000000"/>
          <w:sz w:val="24"/>
          <w:szCs w:val="24"/>
        </w:rPr>
        <w:t xml:space="preserve"> </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8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843"/>
        <w:gridCol w:w="1276"/>
        <w:gridCol w:w="1984"/>
        <w:gridCol w:w="1276"/>
        <w:gridCol w:w="941"/>
      </w:tblGrid>
      <w:tr w:rsidR="00750D48" w:rsidRPr="00264E55" w:rsidTr="00507F99">
        <w:trPr>
          <w:trHeight w:val="543"/>
          <w:jc w:val="center"/>
        </w:trPr>
        <w:tc>
          <w:tcPr>
            <w:tcW w:w="1560" w:type="dxa"/>
            <w:vAlign w:val="center"/>
          </w:tcPr>
          <w:p w:rsidR="00750D48" w:rsidRPr="00B227EA" w:rsidRDefault="00750D48" w:rsidP="00597E49">
            <w:pPr>
              <w:widowControl/>
              <w:jc w:val="left"/>
              <w:rPr>
                <w:color w:val="000000"/>
                <w:sz w:val="24"/>
                <w:szCs w:val="24"/>
              </w:rPr>
            </w:pPr>
            <w:r w:rsidRPr="00B227EA">
              <w:rPr>
                <w:color w:val="000000"/>
                <w:sz w:val="24"/>
                <w:szCs w:val="24"/>
              </w:rPr>
              <w:t>项目</w:t>
            </w:r>
          </w:p>
        </w:tc>
        <w:tc>
          <w:tcPr>
            <w:tcW w:w="1843"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持有份额总数</w:t>
            </w:r>
          </w:p>
        </w:tc>
        <w:tc>
          <w:tcPr>
            <w:tcW w:w="1276"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持有份额占基金总份额比例</w:t>
            </w:r>
          </w:p>
        </w:tc>
        <w:tc>
          <w:tcPr>
            <w:tcW w:w="1984"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发起份额总数</w:t>
            </w:r>
          </w:p>
        </w:tc>
        <w:tc>
          <w:tcPr>
            <w:tcW w:w="1276"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发起份额占基金总份额比例</w:t>
            </w:r>
          </w:p>
        </w:tc>
        <w:tc>
          <w:tcPr>
            <w:tcW w:w="941" w:type="dxa"/>
          </w:tcPr>
          <w:p w:rsidR="00750D48" w:rsidRPr="00B227EA" w:rsidRDefault="00750D48" w:rsidP="00597E49">
            <w:pPr>
              <w:widowControl/>
              <w:jc w:val="left"/>
              <w:rPr>
                <w:color w:val="000000"/>
                <w:sz w:val="24"/>
                <w:szCs w:val="24"/>
              </w:rPr>
            </w:pPr>
            <w:r w:rsidRPr="00B227EA">
              <w:rPr>
                <w:color w:val="000000"/>
                <w:sz w:val="24"/>
                <w:szCs w:val="24"/>
              </w:rPr>
              <w:t>发起份额承诺持有期限</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基金管理人固有资金</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10,000,000.00</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10,000,000.00</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不少于</w:t>
            </w:r>
            <w:r w:rsidRPr="00B227EA">
              <w:rPr>
                <w:kern w:val="0"/>
                <w:sz w:val="24"/>
                <w:szCs w:val="24"/>
              </w:rPr>
              <w:t>3</w:t>
            </w:r>
            <w:r w:rsidRPr="00B227EA">
              <w:rPr>
                <w:kern w:val="0"/>
                <w:sz w:val="24"/>
                <w:szCs w:val="24"/>
              </w:rPr>
              <w:t>年</w:t>
            </w:r>
          </w:p>
        </w:tc>
      </w:tr>
      <w:tr w:rsidR="00750D48" w:rsidRPr="00264E55" w:rsidTr="00507F99">
        <w:trPr>
          <w:trHeight w:val="790"/>
          <w:jc w:val="center"/>
        </w:trPr>
        <w:tc>
          <w:tcPr>
            <w:tcW w:w="1560"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基金管理人高级管理人员</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jc w:val="left"/>
              <w:rPr>
                <w:color w:val="000000"/>
                <w:sz w:val="24"/>
                <w:szCs w:val="24"/>
              </w:rPr>
            </w:pPr>
            <w:r w:rsidRPr="00B227EA">
              <w:rPr>
                <w:color w:val="000000"/>
                <w:sz w:val="24"/>
                <w:szCs w:val="24"/>
              </w:rPr>
              <w:t>基金经理等人员</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jc w:val="left"/>
              <w:rPr>
                <w:color w:val="000000"/>
                <w:sz w:val="24"/>
                <w:szCs w:val="24"/>
              </w:rPr>
            </w:pPr>
            <w:r w:rsidRPr="00B227EA">
              <w:rPr>
                <w:color w:val="000000"/>
                <w:sz w:val="24"/>
                <w:szCs w:val="24"/>
              </w:rPr>
              <w:t>基金管理人股东</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jc w:val="left"/>
              <w:rPr>
                <w:color w:val="000000"/>
                <w:sz w:val="24"/>
                <w:szCs w:val="24"/>
              </w:rPr>
            </w:pPr>
            <w:r w:rsidRPr="00B227EA">
              <w:rPr>
                <w:color w:val="000000"/>
                <w:sz w:val="24"/>
                <w:szCs w:val="24"/>
              </w:rPr>
              <w:t>其他</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jc w:val="left"/>
              <w:rPr>
                <w:color w:val="000000"/>
                <w:sz w:val="24"/>
                <w:szCs w:val="24"/>
              </w:rPr>
            </w:pPr>
            <w:r w:rsidRPr="00B227EA">
              <w:rPr>
                <w:color w:val="000000"/>
                <w:sz w:val="24"/>
                <w:szCs w:val="24"/>
              </w:rPr>
              <w:t>合计</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10,000,000.00</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10,000,000.00</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bl>
    <w:p w:rsidR="004B7A92" w:rsidRPr="004B7A92" w:rsidRDefault="00013E6E" w:rsidP="004B7A92">
      <w:pPr>
        <w:pStyle w:val="1"/>
        <w:spacing w:beforeLines="100" w:before="312" w:afterLines="100" w:after="312" w:line="360" w:lineRule="auto"/>
        <w:jc w:val="center"/>
        <w:rPr>
          <w:rFonts w:ascii="宋体" w:hAnsi="宋体"/>
          <w:color w:val="000000"/>
          <w:kern w:val="0"/>
          <w:sz w:val="24"/>
          <w:szCs w:val="24"/>
        </w:rPr>
      </w:pPr>
      <w:r w:rsidRPr="00264E55">
        <w:rPr>
          <w:rFonts w:ascii="宋体" w:hAnsi="宋体" w:hint="eastAsia"/>
          <w:color w:val="000000"/>
          <w:kern w:val="0"/>
          <w:sz w:val="24"/>
          <w:szCs w:val="24"/>
        </w:rPr>
        <w:t>§</w:t>
      </w:r>
      <w:r w:rsidR="004B7A92"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004B7A92" w:rsidRPr="004B7A92">
        <w:rPr>
          <w:rFonts w:ascii="宋体" w:hAnsi="宋体"/>
          <w:color w:val="000000"/>
          <w:kern w:val="0"/>
          <w:sz w:val="24"/>
          <w:szCs w:val="24"/>
        </w:rPr>
        <w:t>影响投资者决策的其他重要信息</w:t>
      </w:r>
    </w:p>
    <w:p w:rsidR="001F5F5D" w:rsidRPr="001F5F5D" w:rsidRDefault="001F5F5D" w:rsidP="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9.1 报告期内单一投资者持有基金份额比例达到或超过20%的情况</w:t>
      </w:r>
    </w:p>
    <w:tbl>
      <w:tblPr>
        <w:tblStyle w:val="af7"/>
        <w:tblW w:w="9640" w:type="dxa"/>
        <w:jc w:val="center"/>
        <w:tblLayout w:type="fixed"/>
        <w:tblLook w:val="04A0" w:firstRow="1" w:lastRow="0" w:firstColumn="1" w:lastColumn="0" w:noHBand="0" w:noVBand="1"/>
      </w:tblPr>
      <w:tblGrid>
        <w:gridCol w:w="1798"/>
        <w:gridCol w:w="709"/>
        <w:gridCol w:w="1985"/>
        <w:gridCol w:w="1134"/>
        <w:gridCol w:w="992"/>
        <w:gridCol w:w="1134"/>
        <w:gridCol w:w="1037"/>
        <w:gridCol w:w="851"/>
      </w:tblGrid>
      <w:tr w:rsidR="001F5F5D" w:rsidRPr="00FC0759" w:rsidTr="007125DB">
        <w:trPr>
          <w:jc w:val="center"/>
        </w:trPr>
        <w:tc>
          <w:tcPr>
            <w:tcW w:w="1798" w:type="dxa"/>
            <w:vMerge w:val="restart"/>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投资者类别</w:t>
            </w:r>
          </w:p>
        </w:tc>
        <w:tc>
          <w:tcPr>
            <w:tcW w:w="5954" w:type="dxa"/>
            <w:gridSpan w:val="5"/>
            <w:vAlign w:val="center"/>
          </w:tcPr>
          <w:p w:rsidR="001F5F5D" w:rsidRPr="00FC0759" w:rsidRDefault="001F5F5D" w:rsidP="00D9482C">
            <w:pPr>
              <w:autoSpaceDE w:val="0"/>
              <w:autoSpaceDN w:val="0"/>
              <w:adjustRightInd w:val="0"/>
              <w:ind w:firstLine="1126"/>
              <w:jc w:val="center"/>
              <w:rPr>
                <w:rFonts w:eastAsiaTheme="minorEastAsia"/>
                <w:b/>
                <w:bCs/>
                <w:color w:val="000000" w:themeColor="text1"/>
                <w:sz w:val="24"/>
                <w:szCs w:val="24"/>
              </w:rPr>
            </w:pPr>
            <w:r w:rsidRPr="00FC0759">
              <w:rPr>
                <w:color w:val="000000"/>
                <w:sz w:val="24"/>
                <w:szCs w:val="24"/>
              </w:rPr>
              <w:t>报告期内持有基金份额变化情况</w:t>
            </w:r>
          </w:p>
        </w:tc>
        <w:tc>
          <w:tcPr>
            <w:tcW w:w="1888" w:type="dxa"/>
            <w:gridSpan w:val="2"/>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报告期末持有基金情况</w:t>
            </w:r>
          </w:p>
        </w:tc>
      </w:tr>
      <w:tr w:rsidR="001F5F5D" w:rsidRPr="00FC0759" w:rsidTr="007125DB">
        <w:trPr>
          <w:jc w:val="center"/>
        </w:trPr>
        <w:tc>
          <w:tcPr>
            <w:tcW w:w="1798" w:type="dxa"/>
            <w:vMerge/>
            <w:vAlign w:val="center"/>
          </w:tcPr>
          <w:p w:rsidR="001F5F5D" w:rsidRPr="00FC0759" w:rsidRDefault="001F5F5D" w:rsidP="00D9482C">
            <w:pPr>
              <w:autoSpaceDE w:val="0"/>
              <w:autoSpaceDN w:val="0"/>
              <w:adjustRightInd w:val="0"/>
              <w:ind w:firstLine="1234"/>
              <w:jc w:val="center"/>
              <w:rPr>
                <w:rFonts w:eastAsiaTheme="minorEastAsia"/>
                <w:b/>
                <w:bCs/>
                <w:color w:val="000000" w:themeColor="text1"/>
                <w:sz w:val="24"/>
                <w:szCs w:val="24"/>
              </w:rPr>
            </w:pPr>
          </w:p>
        </w:tc>
        <w:tc>
          <w:tcPr>
            <w:tcW w:w="709"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序号</w:t>
            </w:r>
          </w:p>
        </w:tc>
        <w:tc>
          <w:tcPr>
            <w:tcW w:w="1985"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w="1134"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期初份额</w:t>
            </w:r>
          </w:p>
        </w:tc>
        <w:tc>
          <w:tcPr>
            <w:tcW w:w="992"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申购份额</w:t>
            </w:r>
          </w:p>
        </w:tc>
        <w:tc>
          <w:tcPr>
            <w:tcW w:w="1134"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赎回份额</w:t>
            </w:r>
          </w:p>
        </w:tc>
        <w:tc>
          <w:tcPr>
            <w:tcW w:w="1037"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持有份额</w:t>
            </w:r>
          </w:p>
        </w:tc>
        <w:tc>
          <w:tcPr>
            <w:tcW w:w="851"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份额占比</w:t>
            </w:r>
          </w:p>
        </w:tc>
      </w:tr>
      <w:tr w:rsidR="00C002D1">
        <w:trPr>
          <w:jc w:val="center"/>
        </w:trPr>
        <w:tc>
          <w:tcPr>
            <w:tcW w:w="1798" w:type="dxa"/>
            <w:vMerge w:val="restart"/>
            <w:vAlign w:val="center"/>
          </w:tcPr>
          <w:p w:rsidR="00C002D1" w:rsidRDefault="00415888">
            <w:r>
              <w:rPr>
                <w:rFonts w:eastAsiaTheme="minorEastAsia"/>
                <w:bCs/>
                <w:color w:val="000000" w:themeColor="text1"/>
                <w:sz w:val="24"/>
                <w:szCs w:val="24"/>
              </w:rPr>
              <w:t>机构</w:t>
            </w:r>
          </w:p>
        </w:tc>
        <w:tc>
          <w:tcPr>
            <w:tcW w:w="709" w:type="dxa"/>
            <w:vAlign w:val="center"/>
          </w:tcPr>
          <w:p w:rsidR="00C002D1" w:rsidRDefault="00415888">
            <w:pPr>
              <w:jc w:val="center"/>
            </w:pPr>
            <w:r>
              <w:rPr>
                <w:sz w:val="24"/>
                <w:szCs w:val="24"/>
              </w:rPr>
              <w:t>1</w:t>
            </w:r>
          </w:p>
        </w:tc>
        <w:tc>
          <w:tcPr>
            <w:tcW w:w="1985" w:type="dxa"/>
            <w:vAlign w:val="center"/>
          </w:tcPr>
          <w:p w:rsidR="00C002D1" w:rsidRDefault="00415888">
            <w:pPr>
              <w:jc w:val="center"/>
            </w:pPr>
            <w:r>
              <w:rPr>
                <w:sz w:val="24"/>
                <w:szCs w:val="24"/>
              </w:rPr>
              <w:t>2020</w:t>
            </w:r>
            <w:r>
              <w:rPr>
                <w:sz w:val="24"/>
                <w:szCs w:val="24"/>
              </w:rPr>
              <w:t>年</w:t>
            </w:r>
            <w:r>
              <w:rPr>
                <w:sz w:val="24"/>
                <w:szCs w:val="24"/>
              </w:rPr>
              <w:t>04</w:t>
            </w:r>
            <w:r>
              <w:rPr>
                <w:sz w:val="24"/>
                <w:szCs w:val="24"/>
              </w:rPr>
              <w:t>月</w:t>
            </w:r>
            <w:r>
              <w:rPr>
                <w:sz w:val="24"/>
                <w:szCs w:val="24"/>
              </w:rPr>
              <w:t>01</w:t>
            </w:r>
            <w:r>
              <w:rPr>
                <w:sz w:val="24"/>
                <w:szCs w:val="24"/>
              </w:rPr>
              <w:t>日</w:t>
            </w:r>
            <w:r>
              <w:rPr>
                <w:sz w:val="24"/>
                <w:szCs w:val="24"/>
              </w:rPr>
              <w:t>~2020</w:t>
            </w:r>
            <w:r>
              <w:rPr>
                <w:sz w:val="24"/>
                <w:szCs w:val="24"/>
              </w:rPr>
              <w:t>年</w:t>
            </w:r>
            <w:r>
              <w:rPr>
                <w:sz w:val="24"/>
                <w:szCs w:val="24"/>
              </w:rPr>
              <w:t>06</w:t>
            </w:r>
            <w:r>
              <w:rPr>
                <w:sz w:val="24"/>
                <w:szCs w:val="24"/>
              </w:rPr>
              <w:t>月</w:t>
            </w:r>
            <w:r>
              <w:rPr>
                <w:sz w:val="24"/>
                <w:szCs w:val="24"/>
              </w:rPr>
              <w:t>30</w:t>
            </w:r>
            <w:r>
              <w:rPr>
                <w:sz w:val="24"/>
                <w:szCs w:val="24"/>
              </w:rPr>
              <w:t>日</w:t>
            </w:r>
          </w:p>
        </w:tc>
        <w:tc>
          <w:tcPr>
            <w:tcW w:w="1134" w:type="dxa"/>
            <w:vAlign w:val="center"/>
          </w:tcPr>
          <w:p w:rsidR="00C002D1" w:rsidRDefault="00415888">
            <w:pPr>
              <w:jc w:val="center"/>
            </w:pPr>
            <w:r>
              <w:rPr>
                <w:sz w:val="24"/>
                <w:szCs w:val="24"/>
              </w:rPr>
              <w:t>489,998,000.00</w:t>
            </w:r>
          </w:p>
        </w:tc>
        <w:tc>
          <w:tcPr>
            <w:tcW w:w="992" w:type="dxa"/>
            <w:vAlign w:val="center"/>
          </w:tcPr>
          <w:p w:rsidR="00C002D1" w:rsidRDefault="00415888">
            <w:pPr>
              <w:jc w:val="center"/>
            </w:pPr>
            <w:r>
              <w:rPr>
                <w:sz w:val="24"/>
                <w:szCs w:val="24"/>
              </w:rPr>
              <w:t>-</w:t>
            </w:r>
          </w:p>
        </w:tc>
        <w:tc>
          <w:tcPr>
            <w:tcW w:w="1134" w:type="dxa"/>
            <w:vAlign w:val="center"/>
          </w:tcPr>
          <w:p w:rsidR="00C002D1" w:rsidRDefault="00415888">
            <w:pPr>
              <w:jc w:val="center"/>
            </w:pPr>
            <w:r>
              <w:rPr>
                <w:sz w:val="24"/>
                <w:szCs w:val="24"/>
              </w:rPr>
              <w:t>-</w:t>
            </w:r>
          </w:p>
        </w:tc>
        <w:tc>
          <w:tcPr>
            <w:tcW w:w="1037" w:type="dxa"/>
            <w:vAlign w:val="center"/>
          </w:tcPr>
          <w:p w:rsidR="00C002D1" w:rsidRDefault="00415888">
            <w:pPr>
              <w:jc w:val="center"/>
            </w:pPr>
            <w:r>
              <w:rPr>
                <w:sz w:val="24"/>
                <w:szCs w:val="24"/>
              </w:rPr>
              <w:t>489,998,000.00</w:t>
            </w:r>
          </w:p>
        </w:tc>
        <w:tc>
          <w:tcPr>
            <w:tcW w:w="851" w:type="dxa"/>
            <w:vAlign w:val="center"/>
          </w:tcPr>
          <w:p w:rsidR="00C002D1" w:rsidRDefault="00415888">
            <w:pPr>
              <w:jc w:val="center"/>
            </w:pPr>
            <w:r>
              <w:rPr>
                <w:sz w:val="24"/>
                <w:szCs w:val="24"/>
              </w:rPr>
              <w:t>49.00%</w:t>
            </w:r>
          </w:p>
        </w:tc>
      </w:tr>
      <w:tr w:rsidR="00C002D1">
        <w:trPr>
          <w:jc w:val="center"/>
        </w:trPr>
        <w:tc>
          <w:tcPr>
            <w:tcW w:w="1798" w:type="dxa"/>
            <w:vMerge/>
          </w:tcPr>
          <w:p w:rsidR="00C002D1" w:rsidRDefault="00C002D1"/>
        </w:tc>
        <w:tc>
          <w:tcPr>
            <w:tcW w:w="709" w:type="dxa"/>
            <w:vAlign w:val="center"/>
          </w:tcPr>
          <w:p w:rsidR="00C002D1" w:rsidRDefault="00415888">
            <w:pPr>
              <w:jc w:val="center"/>
            </w:pPr>
            <w:r>
              <w:rPr>
                <w:sz w:val="24"/>
                <w:szCs w:val="24"/>
              </w:rPr>
              <w:t>2</w:t>
            </w:r>
          </w:p>
        </w:tc>
        <w:tc>
          <w:tcPr>
            <w:tcW w:w="1985" w:type="dxa"/>
            <w:vAlign w:val="center"/>
          </w:tcPr>
          <w:p w:rsidR="00C002D1" w:rsidRDefault="00415888">
            <w:pPr>
              <w:jc w:val="center"/>
            </w:pPr>
            <w:r>
              <w:rPr>
                <w:sz w:val="24"/>
                <w:szCs w:val="24"/>
              </w:rPr>
              <w:t>2020</w:t>
            </w:r>
            <w:r>
              <w:rPr>
                <w:sz w:val="24"/>
                <w:szCs w:val="24"/>
              </w:rPr>
              <w:t>年</w:t>
            </w:r>
            <w:r>
              <w:rPr>
                <w:sz w:val="24"/>
                <w:szCs w:val="24"/>
              </w:rPr>
              <w:t>04</w:t>
            </w:r>
            <w:r>
              <w:rPr>
                <w:sz w:val="24"/>
                <w:szCs w:val="24"/>
              </w:rPr>
              <w:t>月</w:t>
            </w:r>
            <w:r>
              <w:rPr>
                <w:sz w:val="24"/>
                <w:szCs w:val="24"/>
              </w:rPr>
              <w:t>01</w:t>
            </w:r>
            <w:r>
              <w:rPr>
                <w:sz w:val="24"/>
                <w:szCs w:val="24"/>
              </w:rPr>
              <w:t>日</w:t>
            </w:r>
            <w:r>
              <w:rPr>
                <w:sz w:val="24"/>
                <w:szCs w:val="24"/>
              </w:rPr>
              <w:t>~2020</w:t>
            </w:r>
            <w:r>
              <w:rPr>
                <w:sz w:val="24"/>
                <w:szCs w:val="24"/>
              </w:rPr>
              <w:t>年</w:t>
            </w:r>
            <w:r>
              <w:rPr>
                <w:sz w:val="24"/>
                <w:szCs w:val="24"/>
              </w:rPr>
              <w:t>06</w:t>
            </w:r>
            <w:r>
              <w:rPr>
                <w:sz w:val="24"/>
                <w:szCs w:val="24"/>
              </w:rPr>
              <w:t>月</w:t>
            </w:r>
            <w:r>
              <w:rPr>
                <w:sz w:val="24"/>
                <w:szCs w:val="24"/>
              </w:rPr>
              <w:t>30</w:t>
            </w:r>
            <w:r>
              <w:rPr>
                <w:sz w:val="24"/>
                <w:szCs w:val="24"/>
              </w:rPr>
              <w:t>日</w:t>
            </w:r>
          </w:p>
        </w:tc>
        <w:tc>
          <w:tcPr>
            <w:tcW w:w="1134" w:type="dxa"/>
            <w:vAlign w:val="center"/>
          </w:tcPr>
          <w:p w:rsidR="00C002D1" w:rsidRDefault="00415888">
            <w:pPr>
              <w:jc w:val="center"/>
            </w:pPr>
            <w:r>
              <w:rPr>
                <w:sz w:val="24"/>
                <w:szCs w:val="24"/>
              </w:rPr>
              <w:t>299,999,000.00</w:t>
            </w:r>
          </w:p>
        </w:tc>
        <w:tc>
          <w:tcPr>
            <w:tcW w:w="992" w:type="dxa"/>
            <w:vAlign w:val="center"/>
          </w:tcPr>
          <w:p w:rsidR="00C002D1" w:rsidRDefault="00415888">
            <w:pPr>
              <w:jc w:val="center"/>
            </w:pPr>
            <w:r>
              <w:rPr>
                <w:sz w:val="24"/>
                <w:szCs w:val="24"/>
              </w:rPr>
              <w:t>-</w:t>
            </w:r>
          </w:p>
        </w:tc>
        <w:tc>
          <w:tcPr>
            <w:tcW w:w="1134" w:type="dxa"/>
            <w:vAlign w:val="center"/>
          </w:tcPr>
          <w:p w:rsidR="00C002D1" w:rsidRDefault="00415888">
            <w:pPr>
              <w:jc w:val="center"/>
            </w:pPr>
            <w:r>
              <w:rPr>
                <w:sz w:val="24"/>
                <w:szCs w:val="24"/>
              </w:rPr>
              <w:t>-</w:t>
            </w:r>
          </w:p>
        </w:tc>
        <w:tc>
          <w:tcPr>
            <w:tcW w:w="1037" w:type="dxa"/>
            <w:vAlign w:val="center"/>
          </w:tcPr>
          <w:p w:rsidR="00C002D1" w:rsidRDefault="00415888">
            <w:pPr>
              <w:jc w:val="center"/>
            </w:pPr>
            <w:r>
              <w:rPr>
                <w:sz w:val="24"/>
                <w:szCs w:val="24"/>
              </w:rPr>
              <w:t>299,999,000.00</w:t>
            </w:r>
          </w:p>
        </w:tc>
        <w:tc>
          <w:tcPr>
            <w:tcW w:w="851" w:type="dxa"/>
            <w:vAlign w:val="center"/>
          </w:tcPr>
          <w:p w:rsidR="00C002D1" w:rsidRDefault="00415888">
            <w:pPr>
              <w:jc w:val="center"/>
            </w:pPr>
            <w:r>
              <w:rPr>
                <w:sz w:val="24"/>
                <w:szCs w:val="24"/>
              </w:rPr>
              <w:t>30.00%</w:t>
            </w:r>
          </w:p>
        </w:tc>
      </w:tr>
      <w:tr w:rsidR="001F5F5D" w:rsidRPr="00FC0759" w:rsidTr="00D9482C">
        <w:trPr>
          <w:jc w:val="center"/>
        </w:trPr>
        <w:tc>
          <w:tcPr>
            <w:tcW w:w="9637" w:type="dxa"/>
            <w:gridSpan w:val="8"/>
            <w:vAlign w:val="center"/>
          </w:tcPr>
          <w:p w:rsidR="001F5F5D" w:rsidRPr="00FC0759" w:rsidRDefault="001F5F5D" w:rsidP="003350A8">
            <w:pPr>
              <w:autoSpaceDE w:val="0"/>
              <w:autoSpaceDN w:val="0"/>
              <w:adjustRightInd w:val="0"/>
              <w:jc w:val="center"/>
              <w:rPr>
                <w:sz w:val="24"/>
                <w:szCs w:val="24"/>
              </w:rPr>
            </w:pPr>
            <w:r w:rsidRPr="00FC0759">
              <w:rPr>
                <w:color w:val="000000"/>
                <w:sz w:val="24"/>
                <w:szCs w:val="24"/>
              </w:rPr>
              <w:t>产品特有风险</w:t>
            </w:r>
          </w:p>
        </w:tc>
      </w:tr>
      <w:tr w:rsidR="001F5F5D" w:rsidRPr="00FC0759" w:rsidTr="00D9482C">
        <w:trPr>
          <w:jc w:val="center"/>
        </w:trPr>
        <w:tc>
          <w:tcPr>
            <w:tcW w:w="9637" w:type="dxa"/>
            <w:gridSpan w:val="8"/>
            <w:vAlign w:val="center"/>
          </w:tcPr>
          <w:p w:rsidR="001F5F5D" w:rsidRPr="00FC0759" w:rsidRDefault="001F5F5D" w:rsidP="00D9482C">
            <w:pPr>
              <w:autoSpaceDE w:val="0"/>
              <w:autoSpaceDN w:val="0"/>
              <w:adjustRightInd w:val="0"/>
              <w:jc w:val="left"/>
              <w:rPr>
                <w:sz w:val="24"/>
                <w:szCs w:val="24"/>
              </w:rPr>
            </w:pPr>
            <w:r w:rsidRPr="00FC0759">
              <w:rPr>
                <w:sz w:val="24"/>
                <w:szCs w:val="24"/>
              </w:rPr>
              <w:t>报告期内，本基金存在单一投资者持有份额比例达到或超过</w:t>
            </w:r>
            <w:r w:rsidRPr="00FC0759">
              <w:rPr>
                <w:sz w:val="24"/>
                <w:szCs w:val="24"/>
              </w:rPr>
              <w:t>20%</w:t>
            </w:r>
            <w:r w:rsidRPr="00FC0759">
              <w:rPr>
                <w:sz w:val="24"/>
                <w:szCs w:val="24"/>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FC0759">
              <w:rPr>
                <w:sz w:val="24"/>
                <w:szCs w:val="24"/>
              </w:rPr>
              <w:t>5000</w:t>
            </w:r>
            <w:r w:rsidRPr="00FC0759">
              <w:rPr>
                <w:sz w:val="24"/>
                <w:szCs w:val="24"/>
              </w:rPr>
              <w:t>万元，基金还可能面临转换运作方式、与其他基金合并或者终止基金合同等情形；持有基金份额占比较高的</w:t>
            </w:r>
            <w:r w:rsidRPr="00FC0759">
              <w:rPr>
                <w:sz w:val="24"/>
                <w:szCs w:val="24"/>
              </w:rPr>
              <w:lastRenderedPageBreak/>
              <w:t>投资者在召开持有人大会并对审议事项进行投票表决时可能拥有较大话语权。</w:t>
            </w:r>
          </w:p>
        </w:tc>
      </w:tr>
    </w:tbl>
    <w:p w:rsidR="001F5F5D" w:rsidRPr="001F5F5D" w:rsidRDefault="001F5F5D" w:rsidP="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lastRenderedPageBreak/>
        <w:t>9.2 影响投资者决策的其他重要信息</w:t>
      </w:r>
    </w:p>
    <w:p w:rsidR="00C002D1" w:rsidRDefault="00415888">
      <w:pPr>
        <w:spacing w:line="360" w:lineRule="auto"/>
        <w:ind w:firstLineChars="200" w:firstLine="480"/>
        <w:rPr>
          <w:color w:val="000000"/>
          <w:sz w:val="24"/>
          <w:szCs w:val="24"/>
        </w:rPr>
      </w:pPr>
      <w:r>
        <w:rPr>
          <w:rFonts w:eastAsiaTheme="minorEastAsia"/>
          <w:color w:val="000000" w:themeColor="text1"/>
          <w:sz w:val="24"/>
          <w:szCs w:val="24"/>
        </w:rPr>
        <w:t>1</w:t>
      </w:r>
      <w:r>
        <w:rPr>
          <w:rFonts w:eastAsiaTheme="minorEastAsia"/>
          <w:color w:val="000000" w:themeColor="text1"/>
          <w:sz w:val="24"/>
          <w:szCs w:val="24"/>
        </w:rPr>
        <w:t>、定期开放运作的风险</w:t>
      </w:r>
    </w:p>
    <w:p w:rsidR="00C002D1" w:rsidRDefault="00415888">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1</w:t>
      </w:r>
      <w:r>
        <w:rPr>
          <w:rFonts w:eastAsiaTheme="minorEastAsia"/>
          <w:color w:val="000000" w:themeColor="text1"/>
          <w:sz w:val="24"/>
          <w:szCs w:val="24"/>
        </w:rPr>
        <w:t>）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rsidR="00C002D1" w:rsidRDefault="00415888">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2</w:t>
      </w:r>
      <w:r>
        <w:rPr>
          <w:rFonts w:eastAsiaTheme="minorEastAsia"/>
          <w:color w:val="000000" w:themeColor="text1"/>
          <w:sz w:val="24"/>
          <w:szCs w:val="24"/>
        </w:rPr>
        <w:t>）基金合同生效后的首个运作期为封闭运作期，自基金合同生效日至基金管理人规定的时间，首个封闭运作期可能少于或者超过一年，投资者应仔细阅读相关法律文件及公告，并及时行使相关权利。</w:t>
      </w:r>
    </w:p>
    <w:p w:rsidR="00C002D1" w:rsidRDefault="00415888">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）除首个运作期封闭运作外，本基金的运作期包含</w:t>
      </w:r>
      <w:r>
        <w:rPr>
          <w:rFonts w:eastAsiaTheme="minorEastAsia"/>
          <w:color w:val="000000" w:themeColor="text1"/>
          <w:sz w:val="24"/>
          <w:szCs w:val="24"/>
        </w:rPr>
        <w:t>“</w:t>
      </w:r>
      <w:r>
        <w:rPr>
          <w:rFonts w:eastAsiaTheme="minorEastAsia"/>
          <w:color w:val="000000" w:themeColor="text1"/>
          <w:sz w:val="24"/>
          <w:szCs w:val="24"/>
        </w:rPr>
        <w:t>封闭运作期</w:t>
      </w:r>
      <w:r>
        <w:rPr>
          <w:rFonts w:eastAsiaTheme="minorEastAsia"/>
          <w:color w:val="000000" w:themeColor="text1"/>
          <w:sz w:val="24"/>
          <w:szCs w:val="24"/>
        </w:rPr>
        <w:t>”</w:t>
      </w:r>
      <w:r>
        <w:rPr>
          <w:rFonts w:eastAsiaTheme="minorEastAsia"/>
          <w:color w:val="000000" w:themeColor="text1"/>
          <w:sz w:val="24"/>
          <w:szCs w:val="24"/>
        </w:rPr>
        <w:t>和</w:t>
      </w:r>
      <w:r>
        <w:rPr>
          <w:rFonts w:eastAsiaTheme="minorEastAsia"/>
          <w:color w:val="000000" w:themeColor="text1"/>
          <w:sz w:val="24"/>
          <w:szCs w:val="24"/>
        </w:rPr>
        <w:t>“</w:t>
      </w:r>
      <w:r>
        <w:rPr>
          <w:rFonts w:eastAsiaTheme="minorEastAsia"/>
          <w:color w:val="000000" w:themeColor="text1"/>
          <w:sz w:val="24"/>
          <w:szCs w:val="24"/>
        </w:rPr>
        <w:t>开放运作期</w:t>
      </w:r>
      <w:r>
        <w:rPr>
          <w:rFonts w:eastAsiaTheme="minorEastAsia"/>
          <w:color w:val="000000" w:themeColor="text1"/>
          <w:sz w:val="24"/>
          <w:szCs w:val="24"/>
        </w:rPr>
        <w:t>”</w:t>
      </w:r>
      <w:r>
        <w:rPr>
          <w:rFonts w:eastAsiaTheme="minorEastAsia"/>
          <w:color w:val="000000" w:themeColor="text1"/>
          <w:sz w:val="24"/>
          <w:szCs w:val="24"/>
        </w:rPr>
        <w:t>，运作期期限一年，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w:t>
      </w:r>
      <w:r>
        <w:rPr>
          <w:rFonts w:eastAsiaTheme="minorEastAsia"/>
          <w:color w:val="000000" w:themeColor="text1"/>
          <w:sz w:val="24"/>
          <w:szCs w:val="24"/>
        </w:rPr>
        <w:t>/</w:t>
      </w:r>
      <w:r>
        <w:rPr>
          <w:rFonts w:eastAsiaTheme="minorEastAsia"/>
          <w:color w:val="000000" w:themeColor="text1"/>
          <w:sz w:val="24"/>
          <w:szCs w:val="24"/>
        </w:rPr>
        <w:t>赎回基金份额的风险。</w:t>
      </w:r>
    </w:p>
    <w:p w:rsidR="00C002D1" w:rsidRDefault="00415888">
      <w:pPr>
        <w:spacing w:line="360" w:lineRule="auto"/>
        <w:ind w:firstLineChars="200" w:firstLine="480"/>
        <w:rPr>
          <w:color w:val="000000"/>
          <w:sz w:val="24"/>
          <w:szCs w:val="24"/>
        </w:rPr>
      </w:pPr>
      <w:r>
        <w:rPr>
          <w:rFonts w:eastAsiaTheme="minorEastAsia"/>
          <w:color w:val="000000" w:themeColor="text1"/>
          <w:sz w:val="24"/>
          <w:szCs w:val="24"/>
        </w:rPr>
        <w:t>2</w:t>
      </w:r>
      <w:r>
        <w:rPr>
          <w:rFonts w:eastAsiaTheme="minorEastAsia"/>
          <w:color w:val="000000" w:themeColor="text1"/>
          <w:sz w:val="24"/>
          <w:szCs w:val="24"/>
        </w:rPr>
        <w:t>、单一投资者或者构成一致行动人的多个投资者持有基金份额可达到或者超过</w:t>
      </w:r>
      <w:r>
        <w:rPr>
          <w:rFonts w:eastAsiaTheme="minorEastAsia"/>
          <w:color w:val="000000" w:themeColor="text1"/>
          <w:sz w:val="24"/>
          <w:szCs w:val="24"/>
        </w:rPr>
        <w:t>50%</w:t>
      </w:r>
      <w:r>
        <w:rPr>
          <w:rFonts w:eastAsiaTheme="minorEastAsia"/>
          <w:color w:val="000000" w:themeColor="text1"/>
          <w:sz w:val="24"/>
          <w:szCs w:val="24"/>
        </w:rPr>
        <w:t>的风险</w:t>
      </w:r>
    </w:p>
    <w:p w:rsidR="00C002D1" w:rsidRDefault="00415888">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1</w:t>
      </w:r>
      <w:r>
        <w:rPr>
          <w:rFonts w:eastAsiaTheme="minorEastAsia"/>
          <w:color w:val="000000" w:themeColor="text1"/>
          <w:sz w:val="24"/>
          <w:szCs w:val="24"/>
        </w:rPr>
        <w:t>）本基金单一投资者或者构成一致行动人的多个投资者持有基金份额可达到或者超过</w:t>
      </w:r>
      <w:r>
        <w:rPr>
          <w:rFonts w:eastAsiaTheme="minorEastAsia"/>
          <w:color w:val="000000" w:themeColor="text1"/>
          <w:sz w:val="24"/>
          <w:szCs w:val="24"/>
        </w:rPr>
        <w:t>50%</w:t>
      </w:r>
      <w:r>
        <w:rPr>
          <w:rFonts w:eastAsiaTheme="minorEastAsia"/>
          <w:color w:val="000000" w:themeColor="text1"/>
          <w:sz w:val="24"/>
          <w:szCs w:val="24"/>
        </w:rPr>
        <w:t>，单一投资者或者构成一致行动人的多个投资者大额赎回时，可能会对本基金资产运作及净值表现产生较大影响。</w:t>
      </w:r>
    </w:p>
    <w:p w:rsidR="00C002D1" w:rsidRDefault="00415888">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2</w:t>
      </w:r>
      <w:r>
        <w:rPr>
          <w:rFonts w:eastAsiaTheme="minorEastAsia"/>
          <w:color w:val="000000" w:themeColor="text1"/>
          <w:sz w:val="24"/>
          <w:szCs w:val="24"/>
        </w:rPr>
        <w:t>）巨额赎回的风险</w:t>
      </w:r>
    </w:p>
    <w:p w:rsidR="00C002D1" w:rsidRDefault="00415888">
      <w:pPr>
        <w:spacing w:line="360" w:lineRule="auto"/>
        <w:ind w:firstLineChars="200" w:firstLine="480"/>
        <w:rPr>
          <w:color w:val="000000"/>
          <w:sz w:val="24"/>
          <w:szCs w:val="24"/>
        </w:rPr>
      </w:pPr>
      <w:r>
        <w:rPr>
          <w:rFonts w:eastAsiaTheme="minorEastAsia"/>
          <w:color w:val="000000" w:themeColor="text1"/>
          <w:sz w:val="24"/>
          <w:szCs w:val="24"/>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rsidR="00C002D1" w:rsidRDefault="00415888">
      <w:pPr>
        <w:spacing w:line="360" w:lineRule="auto"/>
        <w:ind w:firstLineChars="200" w:firstLine="480"/>
        <w:rPr>
          <w:color w:val="000000"/>
          <w:sz w:val="24"/>
          <w:szCs w:val="24"/>
        </w:rPr>
      </w:pPr>
      <w:r>
        <w:rPr>
          <w:rFonts w:eastAsiaTheme="minorEastAsia"/>
          <w:color w:val="000000" w:themeColor="text1"/>
          <w:sz w:val="24"/>
          <w:szCs w:val="24"/>
        </w:rPr>
        <w:t>3</w:t>
      </w:r>
      <w:r>
        <w:rPr>
          <w:rFonts w:eastAsiaTheme="minorEastAsia"/>
          <w:color w:val="000000" w:themeColor="text1"/>
          <w:sz w:val="24"/>
          <w:szCs w:val="24"/>
        </w:rPr>
        <w:t>、转换运作方式、与其他基金合并或者终止基金合同的风险</w:t>
      </w:r>
    </w:p>
    <w:p w:rsidR="00C002D1" w:rsidRDefault="00415888">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1</w:t>
      </w:r>
      <w:r>
        <w:rPr>
          <w:rFonts w:eastAsiaTheme="minorEastAsia"/>
          <w:color w:val="000000" w:themeColor="text1"/>
          <w:sz w:val="24"/>
          <w:szCs w:val="24"/>
        </w:rPr>
        <w:t>）本基金的销售对象主要为机构投资者，不向个人投资者公开发售，基金募集规模及持续营销可能受到影响，若《基金合同》生效之日起三年后的对应日基金资产净值低于</w:t>
      </w:r>
      <w:r>
        <w:rPr>
          <w:rFonts w:eastAsiaTheme="minorEastAsia"/>
          <w:color w:val="000000" w:themeColor="text1"/>
          <w:sz w:val="24"/>
          <w:szCs w:val="24"/>
        </w:rPr>
        <w:t>2</w:t>
      </w:r>
      <w:r>
        <w:rPr>
          <w:rFonts w:eastAsiaTheme="minorEastAsia"/>
          <w:color w:val="000000" w:themeColor="text1"/>
          <w:sz w:val="24"/>
          <w:szCs w:val="24"/>
        </w:rPr>
        <w:t>亿元，基金合同自动终止且不得通过召开基金份额持有人大会延续。投资者面临基金合同直接终止的风险。</w:t>
      </w:r>
    </w:p>
    <w:p w:rsidR="00750D48" w:rsidRPr="004B7A92" w:rsidRDefault="001F5F5D" w:rsidP="001F5F5D">
      <w:pPr>
        <w:spacing w:line="360" w:lineRule="auto"/>
        <w:ind w:firstLineChars="200" w:firstLine="480"/>
        <w:rPr>
          <w:color w:val="000000"/>
          <w:sz w:val="24"/>
          <w:szCs w:val="24"/>
        </w:rPr>
      </w:pPr>
      <w:r w:rsidRPr="00FC0759">
        <w:rPr>
          <w:rFonts w:eastAsiaTheme="minorEastAsia"/>
          <w:color w:val="000000" w:themeColor="text1"/>
          <w:sz w:val="24"/>
          <w:szCs w:val="24"/>
        </w:rPr>
        <w:lastRenderedPageBreak/>
        <w:t>（</w:t>
      </w:r>
      <w:r w:rsidRPr="00FC0759">
        <w:rPr>
          <w:rFonts w:eastAsiaTheme="minorEastAsia"/>
          <w:color w:val="000000" w:themeColor="text1"/>
          <w:sz w:val="24"/>
          <w:szCs w:val="24"/>
        </w:rPr>
        <w:t>2</w:t>
      </w:r>
      <w:r w:rsidRPr="00FC0759">
        <w:rPr>
          <w:rFonts w:eastAsiaTheme="minorEastAsia"/>
          <w:color w:val="000000" w:themeColor="text1"/>
          <w:sz w:val="24"/>
          <w:szCs w:val="24"/>
        </w:rPr>
        <w:t>）本基金基金合同生效满三年后继续存续的，若连续</w:t>
      </w:r>
      <w:r w:rsidRPr="00FC0759">
        <w:rPr>
          <w:rFonts w:eastAsiaTheme="minorEastAsia"/>
          <w:color w:val="000000" w:themeColor="text1"/>
          <w:sz w:val="24"/>
          <w:szCs w:val="24"/>
        </w:rPr>
        <w:t>60</w:t>
      </w:r>
      <w:r w:rsidRPr="00FC0759">
        <w:rPr>
          <w:rFonts w:eastAsiaTheme="minorEastAsia"/>
          <w:color w:val="000000" w:themeColor="text1"/>
          <w:sz w:val="24"/>
          <w:szCs w:val="24"/>
        </w:rPr>
        <w:t>个工作日出现基金份额持有人数量不满二百人或者基金资产净值低于</w:t>
      </w:r>
      <w:r w:rsidRPr="00FC0759">
        <w:rPr>
          <w:rFonts w:eastAsiaTheme="minorEastAsia"/>
          <w:color w:val="000000" w:themeColor="text1"/>
          <w:sz w:val="24"/>
          <w:szCs w:val="24"/>
        </w:rPr>
        <w:t>5000</w:t>
      </w:r>
      <w:r w:rsidRPr="00FC0759">
        <w:rPr>
          <w:rFonts w:eastAsiaTheme="minorEastAsia"/>
          <w:color w:val="000000" w:themeColor="text1"/>
          <w:sz w:val="24"/>
          <w:szCs w:val="24"/>
        </w:rPr>
        <w:t>万元情形，基金管理人应当在</w:t>
      </w:r>
      <w:r w:rsidRPr="00FC0759">
        <w:rPr>
          <w:rFonts w:eastAsiaTheme="minorEastAsia"/>
          <w:color w:val="000000" w:themeColor="text1"/>
          <w:sz w:val="24"/>
          <w:szCs w:val="24"/>
        </w:rPr>
        <w:t>10</w:t>
      </w:r>
      <w:r w:rsidRPr="00FC0759">
        <w:rPr>
          <w:rFonts w:eastAsiaTheme="minorEastAsia"/>
          <w:color w:val="000000" w:themeColor="text1"/>
          <w:sz w:val="24"/>
          <w:szCs w:val="24"/>
        </w:rPr>
        <w:t>个工作日内向中国证监会报告并提出解决方案，如持续营销、转换运作方式、与其他基金合并或者终止基金合同等，并在</w:t>
      </w:r>
      <w:r w:rsidRPr="00FC0759">
        <w:rPr>
          <w:rFonts w:eastAsiaTheme="minorEastAsia"/>
          <w:color w:val="000000" w:themeColor="text1"/>
          <w:sz w:val="24"/>
          <w:szCs w:val="24"/>
        </w:rPr>
        <w:t>6</w:t>
      </w:r>
      <w:r w:rsidRPr="00FC0759">
        <w:rPr>
          <w:rFonts w:eastAsiaTheme="minorEastAsia"/>
          <w:color w:val="000000" w:themeColor="text1"/>
          <w:sz w:val="24"/>
          <w:szCs w:val="24"/>
        </w:rPr>
        <w:t>个月内召开基金份额持有人大会进行表决。投资者面临转换基金运作方式、与其他基金合并或终止基金合同的风险。</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rsidR="00C002D1" w:rsidRDefault="00415888">
      <w:pPr>
        <w:spacing w:line="360" w:lineRule="auto"/>
        <w:ind w:firstLineChars="200" w:firstLine="480"/>
        <w:rPr>
          <w:color w:val="000000"/>
          <w:sz w:val="24"/>
          <w:szCs w:val="24"/>
        </w:rPr>
      </w:pPr>
      <w:r>
        <w:rPr>
          <w:color w:val="000000"/>
          <w:sz w:val="24"/>
          <w:szCs w:val="24"/>
        </w:rPr>
        <w:t>1.</w:t>
      </w:r>
      <w:r>
        <w:rPr>
          <w:color w:val="000000"/>
          <w:sz w:val="24"/>
          <w:szCs w:val="24"/>
        </w:rPr>
        <w:t>中国证监会准予易方达恒裕一年定期开放债券型发起式证券投资基金注册的文件；</w:t>
      </w:r>
    </w:p>
    <w:p w:rsidR="00C002D1" w:rsidRDefault="00415888">
      <w:pPr>
        <w:spacing w:line="360" w:lineRule="auto"/>
        <w:ind w:firstLineChars="200" w:firstLine="480"/>
        <w:rPr>
          <w:color w:val="000000"/>
          <w:sz w:val="24"/>
          <w:szCs w:val="24"/>
        </w:rPr>
      </w:pPr>
      <w:r>
        <w:rPr>
          <w:color w:val="000000"/>
          <w:sz w:val="24"/>
          <w:szCs w:val="24"/>
        </w:rPr>
        <w:t>2.</w:t>
      </w:r>
      <w:r>
        <w:rPr>
          <w:color w:val="000000"/>
          <w:sz w:val="24"/>
          <w:szCs w:val="24"/>
        </w:rPr>
        <w:t>《易方达恒裕一年定期开放债券型发起式证券投资基金基金合同》；</w:t>
      </w:r>
    </w:p>
    <w:p w:rsidR="00C002D1" w:rsidRDefault="00415888">
      <w:pPr>
        <w:spacing w:line="360" w:lineRule="auto"/>
        <w:ind w:firstLineChars="200" w:firstLine="480"/>
        <w:rPr>
          <w:color w:val="000000"/>
          <w:sz w:val="24"/>
          <w:szCs w:val="24"/>
        </w:rPr>
      </w:pPr>
      <w:r>
        <w:rPr>
          <w:color w:val="000000"/>
          <w:sz w:val="24"/>
          <w:szCs w:val="24"/>
        </w:rPr>
        <w:t>3.</w:t>
      </w:r>
      <w:r>
        <w:rPr>
          <w:color w:val="000000"/>
          <w:sz w:val="24"/>
          <w:szCs w:val="24"/>
        </w:rPr>
        <w:t>《易方达恒裕一年定期开放债券型发起式证券投资基金托管协议》；</w:t>
      </w:r>
    </w:p>
    <w:p w:rsidR="00C002D1" w:rsidRDefault="00415888">
      <w:pPr>
        <w:spacing w:line="360" w:lineRule="auto"/>
        <w:ind w:firstLineChars="200" w:firstLine="480"/>
        <w:rPr>
          <w:color w:val="000000"/>
          <w:sz w:val="24"/>
          <w:szCs w:val="24"/>
        </w:rPr>
      </w:pPr>
      <w:r>
        <w:rPr>
          <w:color w:val="000000"/>
          <w:sz w:val="24"/>
          <w:szCs w:val="24"/>
        </w:rPr>
        <w:t>4.</w:t>
      </w:r>
      <w:r>
        <w:rPr>
          <w:color w:val="000000"/>
          <w:sz w:val="24"/>
          <w:szCs w:val="24"/>
        </w:rPr>
        <w:t>《易方达基金管理有限公司开放式基金业务规则》；</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5.</w:t>
      </w:r>
      <w:r w:rsidRPr="006C56AA">
        <w:rPr>
          <w:color w:val="000000"/>
          <w:sz w:val="24"/>
          <w:szCs w:val="24"/>
        </w:rPr>
        <w:t>基金管理人业务资格批件、营业执照。</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广州市天河区珠江新城珠江东路</w:t>
      </w:r>
      <w:r w:rsidRPr="006C56AA">
        <w:rPr>
          <w:color w:val="000000"/>
          <w:sz w:val="24"/>
          <w:szCs w:val="24"/>
        </w:rPr>
        <w:t>30</w:t>
      </w:r>
      <w:r w:rsidRPr="006C56AA">
        <w:rPr>
          <w:color w:val="000000"/>
          <w:sz w:val="24"/>
          <w:szCs w:val="24"/>
        </w:rPr>
        <w:t>号广州银行大厦</w:t>
      </w:r>
      <w:r w:rsidRPr="006C56AA">
        <w:rPr>
          <w:color w:val="000000"/>
          <w:sz w:val="24"/>
          <w:szCs w:val="24"/>
        </w:rPr>
        <w:t>40-43</w:t>
      </w:r>
      <w:r w:rsidRPr="006C56AA">
        <w:rPr>
          <w:color w:val="000000"/>
          <w:sz w:val="24"/>
          <w:szCs w:val="24"/>
        </w:rPr>
        <w:t>楼。</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投资者可在营业时间免费查阅，也可按工本费购买复印件。</w:t>
      </w: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C71497">
      <w:pPr>
        <w:spacing w:line="360" w:lineRule="auto"/>
        <w:jc w:val="right"/>
        <w:rPr>
          <w:rFonts w:ascii="宋体" w:hAnsi="宋体"/>
          <w:b/>
          <w:bCs/>
          <w:sz w:val="24"/>
          <w:szCs w:val="24"/>
        </w:rPr>
      </w:pPr>
      <w:r w:rsidRPr="00264E55">
        <w:rPr>
          <w:rFonts w:ascii="宋体" w:hAnsi="宋体"/>
          <w:b/>
          <w:bCs/>
          <w:sz w:val="24"/>
          <w:szCs w:val="24"/>
        </w:rPr>
        <w:t>易方达基金管理有限公司</w:t>
      </w:r>
    </w:p>
    <w:p w:rsidR="00750D48" w:rsidRPr="00191817" w:rsidRDefault="00750D48" w:rsidP="00191817">
      <w:pPr>
        <w:spacing w:line="360" w:lineRule="auto"/>
        <w:jc w:val="right"/>
        <w:rPr>
          <w:rFonts w:ascii="宋体" w:hAnsi="宋体"/>
          <w:b/>
          <w:bCs/>
          <w:sz w:val="24"/>
          <w:szCs w:val="24"/>
        </w:rPr>
      </w:pPr>
      <w:r w:rsidRPr="00264E55">
        <w:rPr>
          <w:rFonts w:ascii="宋体" w:hAnsi="宋体"/>
          <w:b/>
          <w:bCs/>
          <w:sz w:val="24"/>
          <w:szCs w:val="24"/>
        </w:rPr>
        <w:t>二〇二〇年七月二十一日</w:t>
      </w:r>
    </w:p>
    <w:sectPr w:rsidR="00750D48" w:rsidRPr="00191817" w:rsidSect="00304A12">
      <w:footerReference w:type="default" r:id="rId12"/>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387" w:rsidRDefault="006A5387" w:rsidP="00876D65">
      <w:r>
        <w:separator/>
      </w:r>
    </w:p>
  </w:endnote>
  <w:endnote w:type="continuationSeparator" w:id="0">
    <w:p w:rsidR="006A5387" w:rsidRDefault="006A5387"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rsidP="00EF56B5">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1B7167">
      <w:rPr>
        <w:rStyle w:val="a7"/>
        <w:noProof/>
      </w:rPr>
      <w:t>1</w:t>
    </w:r>
    <w:r>
      <w:rPr>
        <w:rStyle w:val="a7"/>
      </w:rPr>
      <w:fldChar w:fldCharType="end"/>
    </w:r>
    <w:r>
      <w:rPr>
        <w:rStyle w:val="a7"/>
        <w:rFonts w:hint="eastAsia"/>
      </w:rPr>
      <w:t>页共</w:t>
    </w:r>
    <w:r w:rsidR="006A5387">
      <w:fldChar w:fldCharType="begin"/>
    </w:r>
    <w:r w:rsidR="006A5387">
      <w:instrText xml:space="preserve"> NUMPAGES  \* Arabic  \* MERGEFORMAT </w:instrText>
    </w:r>
    <w:r w:rsidR="006A5387">
      <w:fldChar w:fldCharType="separate"/>
    </w:r>
    <w:r w:rsidR="001B7167" w:rsidRPr="001B7167">
      <w:rPr>
        <w:rStyle w:val="a7"/>
        <w:noProof/>
      </w:rPr>
      <w:t>16</w:t>
    </w:r>
    <w:r w:rsidR="006A5387">
      <w:rPr>
        <w:rStyle w:val="a7"/>
        <w:noProof/>
      </w:rPr>
      <w:fldChar w:fldCharType="end"/>
    </w:r>
    <w:r>
      <w:rPr>
        <w:rStyle w:val="a7"/>
        <w:rFonts w:hint="eastAsia"/>
      </w:rPr>
      <w:t>页</w:t>
    </w:r>
  </w:p>
  <w:p w:rsidR="003328D9" w:rsidRPr="00EF56B5" w:rsidRDefault="003328D9" w:rsidP="00EF56B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1B7167">
      <w:rPr>
        <w:rStyle w:val="a7"/>
        <w:noProof/>
      </w:rPr>
      <w:t>6</w:t>
    </w:r>
    <w:r>
      <w:rPr>
        <w:rStyle w:val="a7"/>
      </w:rPr>
      <w:fldChar w:fldCharType="end"/>
    </w:r>
    <w:r>
      <w:rPr>
        <w:rStyle w:val="a7"/>
        <w:rFonts w:hint="eastAsia"/>
      </w:rPr>
      <w:t>页共</w:t>
    </w:r>
    <w:fldSimple w:instr=" NUMPAGES  \* Arabic  \* MERGEFORMAT ">
      <w:r w:rsidR="001B7167" w:rsidRPr="001B7167">
        <w:rPr>
          <w:rStyle w:val="a7"/>
          <w:noProof/>
        </w:rPr>
        <w:t>16</w:t>
      </w:r>
    </w:fldSimple>
    <w:r>
      <w:rPr>
        <w:rStyle w:val="a7"/>
        <w:rFonts w:hint="eastAsia"/>
      </w:rPr>
      <w:t>页</w:t>
    </w:r>
  </w:p>
  <w:p w:rsidR="003328D9" w:rsidRDefault="003328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387" w:rsidRDefault="006A5387" w:rsidP="00876D65">
      <w:r>
        <w:separator/>
      </w:r>
    </w:p>
  </w:footnote>
  <w:footnote w:type="continuationSeparator" w:id="0">
    <w:p w:rsidR="006A5387" w:rsidRDefault="006A5387" w:rsidP="00876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Pr="00093704" w:rsidRDefault="003328D9" w:rsidP="00090A26">
    <w:pPr>
      <w:pStyle w:val="a9"/>
      <w:pBdr>
        <w:bottom w:val="single" w:sz="6" w:space="0" w:color="auto"/>
      </w:pBdr>
      <w:jc w:val="right"/>
    </w:pPr>
    <w:r w:rsidRPr="00093704">
      <w:t>易方达恒裕一年定期开放债券型发起式证券投资基金</w:t>
    </w:r>
    <w:r w:rsidRPr="00093704">
      <w:t>2020</w:t>
    </w:r>
    <w:r w:rsidRPr="00093704">
      <w:t>年第</w:t>
    </w:r>
    <w:r w:rsidRPr="00093704">
      <w:t>2</w:t>
    </w:r>
    <w:r w:rsidRPr="00093704">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start w:val="1"/>
      <w:numFmt w:val="bullet"/>
      <w:lvlText w:val=""/>
      <w:lvlJc w:val="left"/>
      <w:pPr>
        <w:tabs>
          <w:tab w:val="num" w:pos="2520"/>
        </w:tabs>
        <w:ind w:left="2520" w:hanging="420"/>
      </w:pPr>
      <w:rPr>
        <w:rFonts w:ascii="Wingdings" w:hAnsi="Wingdings" w:hint="default"/>
      </w:rPr>
    </w:lvl>
    <w:lvl w:ilvl="5" w:tplc="04090005">
      <w:start w:val="1"/>
      <w:numFmt w:val="bullet"/>
      <w:lvlText w:val=""/>
      <w:lvlJc w:val="left"/>
      <w:pPr>
        <w:tabs>
          <w:tab w:val="num" w:pos="2940"/>
        </w:tabs>
        <w:ind w:left="2940" w:hanging="420"/>
      </w:pPr>
      <w:rPr>
        <w:rFonts w:ascii="Wingdings" w:hAnsi="Wingdings" w:hint="default"/>
      </w:rPr>
    </w:lvl>
    <w:lvl w:ilvl="6" w:tplc="04090001">
      <w:start w:val="1"/>
      <w:numFmt w:val="bullet"/>
      <w:lvlText w:val=""/>
      <w:lvlJc w:val="left"/>
      <w:pPr>
        <w:tabs>
          <w:tab w:val="num" w:pos="3360"/>
        </w:tabs>
        <w:ind w:left="3360" w:hanging="420"/>
      </w:pPr>
      <w:rPr>
        <w:rFonts w:ascii="Wingdings" w:hAnsi="Wingdings" w:hint="default"/>
      </w:rPr>
    </w:lvl>
    <w:lvl w:ilvl="7" w:tplc="04090003">
      <w:start w:val="1"/>
      <w:numFmt w:val="bullet"/>
      <w:lvlText w:val=""/>
      <w:lvlJc w:val="left"/>
      <w:pPr>
        <w:tabs>
          <w:tab w:val="num" w:pos="3780"/>
        </w:tabs>
        <w:ind w:left="3780" w:hanging="420"/>
      </w:pPr>
      <w:rPr>
        <w:rFonts w:ascii="Wingdings" w:hAnsi="Wingdings" w:hint="default"/>
      </w:rPr>
    </w:lvl>
    <w:lvl w:ilvl="8" w:tplc="04090005">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szCs w:val="24"/>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B7167"/>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888"/>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5387"/>
    <w:rsid w:val="006A67F8"/>
    <w:rsid w:val="006A7AF1"/>
    <w:rsid w:val="006B11BB"/>
    <w:rsid w:val="006B4C11"/>
    <w:rsid w:val="006C12B8"/>
    <w:rsid w:val="006C37FC"/>
    <w:rsid w:val="006C56AA"/>
    <w:rsid w:val="006C7EA3"/>
    <w:rsid w:val="006D07F3"/>
    <w:rsid w:val="006D39E9"/>
    <w:rsid w:val="006D3BE3"/>
    <w:rsid w:val="006D5089"/>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002D1"/>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89EB621F-1A5D-4DAB-909E-CA9A7BDDE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1AC"/>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4061AC"/>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4061AC"/>
    <w:pPr>
      <w:keepNext/>
      <w:keepLines/>
      <w:spacing w:before="260" w:after="260" w:line="360" w:lineRule="auto"/>
      <w:outlineLvl w:val="1"/>
    </w:pPr>
    <w:rPr>
      <w:rFonts w:ascii="Arial" w:hAnsi="Arial"/>
      <w:b/>
      <w:bCs/>
      <w:kern w:val="0"/>
      <w:sz w:val="24"/>
      <w:szCs w:val="24"/>
    </w:rPr>
  </w:style>
  <w:style w:type="paragraph" w:styleId="3">
    <w:name w:val="heading 3"/>
    <w:basedOn w:val="a"/>
    <w:next w:val="a"/>
    <w:link w:val="3Char"/>
    <w:uiPriority w:val="99"/>
    <w:qFormat/>
    <w:rsid w:val="004061AC"/>
    <w:pPr>
      <w:keepNext/>
      <w:keepLines/>
      <w:spacing w:before="260" w:after="260" w:line="416" w:lineRule="auto"/>
      <w:outlineLvl w:val="2"/>
    </w:pPr>
    <w:rPr>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4061AC"/>
    <w:rPr>
      <w:rFonts w:ascii="Times New Roman" w:eastAsia="宋体" w:hAnsi="Times New Roman" w:cs="Times New Roman"/>
      <w:b/>
      <w:bCs/>
      <w:kern w:val="44"/>
      <w:sz w:val="44"/>
      <w:szCs w:val="44"/>
    </w:rPr>
  </w:style>
  <w:style w:type="character" w:customStyle="1" w:styleId="2Char">
    <w:name w:val="标题 2 Char"/>
    <w:link w:val="2"/>
    <w:uiPriority w:val="99"/>
    <w:locked/>
    <w:rsid w:val="004061AC"/>
    <w:rPr>
      <w:rFonts w:ascii="Arial" w:eastAsia="宋体" w:hAnsi="Arial" w:cs="Arial"/>
      <w:b/>
      <w:bCs/>
      <w:sz w:val="24"/>
      <w:szCs w:val="24"/>
    </w:rPr>
  </w:style>
  <w:style w:type="character" w:customStyle="1" w:styleId="3Char">
    <w:name w:val="标题 3 Char"/>
    <w:link w:val="3"/>
    <w:uiPriority w:val="99"/>
    <w:locked/>
    <w:rsid w:val="004061AC"/>
    <w:rPr>
      <w:rFonts w:ascii="Times New Roman" w:eastAsia="宋体" w:hAnsi="Times New Roman" w:cs="Times New Roman"/>
      <w:b/>
      <w:bCs/>
      <w:sz w:val="32"/>
      <w:szCs w:val="32"/>
    </w:rPr>
  </w:style>
  <w:style w:type="paragraph" w:styleId="a0">
    <w:name w:val="Normal Indent"/>
    <w:basedOn w:val="a"/>
    <w:uiPriority w:val="99"/>
    <w:rsid w:val="004061AC"/>
    <w:pPr>
      <w:ind w:firstLineChars="200" w:firstLine="420"/>
    </w:pPr>
  </w:style>
  <w:style w:type="paragraph" w:styleId="a4">
    <w:name w:val="Body Text Indent"/>
    <w:basedOn w:val="a"/>
    <w:link w:val="Char"/>
    <w:uiPriority w:val="99"/>
    <w:rsid w:val="004061AC"/>
    <w:pPr>
      <w:widowControl/>
      <w:spacing w:before="100" w:beforeAutospacing="1" w:after="100" w:afterAutospacing="1"/>
      <w:jc w:val="left"/>
    </w:pPr>
    <w:rPr>
      <w:rFonts w:ascii="Arial Unicode MS" w:eastAsia="Arial Unicode MS" w:hAnsi="Arial Unicode MS"/>
      <w:kern w:val="0"/>
      <w:sz w:val="24"/>
      <w:szCs w:val="24"/>
    </w:rPr>
  </w:style>
  <w:style w:type="character" w:customStyle="1" w:styleId="Char">
    <w:name w:val="正文文本缩进 Char"/>
    <w:link w:val="a4"/>
    <w:uiPriority w:val="99"/>
    <w:locked/>
    <w:rsid w:val="004061AC"/>
    <w:rPr>
      <w:rFonts w:ascii="Arial Unicode MS" w:eastAsia="Arial Unicode MS" w:hAnsi="Arial Unicode MS" w:cs="Arial Unicode MS"/>
      <w:kern w:val="0"/>
      <w:sz w:val="24"/>
      <w:szCs w:val="24"/>
    </w:rPr>
  </w:style>
  <w:style w:type="paragraph" w:styleId="a5">
    <w:name w:val="Plain Text"/>
    <w:basedOn w:val="a"/>
    <w:link w:val="Char0"/>
    <w:uiPriority w:val="99"/>
    <w:rsid w:val="004061AC"/>
    <w:rPr>
      <w:rFonts w:ascii="宋体" w:hAnsi="Courier New"/>
      <w:kern w:val="0"/>
    </w:rPr>
  </w:style>
  <w:style w:type="character" w:customStyle="1" w:styleId="Char0">
    <w:name w:val="纯文本 Char"/>
    <w:link w:val="a5"/>
    <w:uiPriority w:val="99"/>
    <w:locked/>
    <w:rsid w:val="004061AC"/>
    <w:rPr>
      <w:rFonts w:ascii="宋体" w:eastAsia="宋体" w:hAnsi="Courier New" w:cs="宋体"/>
      <w:sz w:val="21"/>
      <w:szCs w:val="21"/>
    </w:rPr>
  </w:style>
  <w:style w:type="paragraph" w:styleId="20">
    <w:name w:val="Body Text Indent 2"/>
    <w:basedOn w:val="a"/>
    <w:link w:val="2Char0"/>
    <w:uiPriority w:val="99"/>
    <w:rsid w:val="004061AC"/>
    <w:pPr>
      <w:spacing w:line="560" w:lineRule="exact"/>
      <w:ind w:firstLineChars="200" w:firstLine="480"/>
    </w:pPr>
    <w:rPr>
      <w:rFonts w:ascii="宋体" w:hAnsi="宋体"/>
      <w:color w:val="FF0000"/>
      <w:kern w:val="0"/>
      <w:sz w:val="24"/>
      <w:szCs w:val="24"/>
    </w:rPr>
  </w:style>
  <w:style w:type="character" w:customStyle="1" w:styleId="2Char0">
    <w:name w:val="正文文本缩进 2 Char"/>
    <w:link w:val="20"/>
    <w:uiPriority w:val="99"/>
    <w:locked/>
    <w:rsid w:val="004061AC"/>
    <w:rPr>
      <w:rFonts w:ascii="宋体" w:eastAsia="宋体" w:hAnsi="宋体" w:cs="宋体"/>
      <w:color w:val="FF0000"/>
      <w:sz w:val="24"/>
      <w:szCs w:val="24"/>
    </w:rPr>
  </w:style>
  <w:style w:type="paragraph" w:styleId="a6">
    <w:name w:val="footer"/>
    <w:basedOn w:val="a"/>
    <w:link w:val="Char1"/>
    <w:uiPriority w:val="99"/>
    <w:rsid w:val="004061AC"/>
    <w:pPr>
      <w:tabs>
        <w:tab w:val="center" w:pos="4153"/>
        <w:tab w:val="right" w:pos="8306"/>
      </w:tabs>
      <w:snapToGrid w:val="0"/>
      <w:jc w:val="left"/>
    </w:pPr>
    <w:rPr>
      <w:kern w:val="0"/>
      <w:sz w:val="18"/>
      <w:szCs w:val="18"/>
    </w:rPr>
  </w:style>
  <w:style w:type="character" w:customStyle="1" w:styleId="Char1">
    <w:name w:val="页脚 Char"/>
    <w:link w:val="a6"/>
    <w:uiPriority w:val="99"/>
    <w:locked/>
    <w:rsid w:val="004061AC"/>
    <w:rPr>
      <w:rFonts w:ascii="Times New Roman" w:eastAsia="宋体" w:hAnsi="Times New Roman" w:cs="Times New Roman"/>
      <w:sz w:val="18"/>
      <w:szCs w:val="18"/>
    </w:rPr>
  </w:style>
  <w:style w:type="character" w:styleId="a7">
    <w:name w:val="page number"/>
    <w:uiPriority w:val="99"/>
    <w:rsid w:val="004061AC"/>
    <w:rPr>
      <w:rFonts w:cs="Times New Roman"/>
    </w:rPr>
  </w:style>
  <w:style w:type="character" w:styleId="a8">
    <w:name w:val="Hyperlink"/>
    <w:uiPriority w:val="99"/>
    <w:rsid w:val="004061AC"/>
    <w:rPr>
      <w:rFonts w:cs="Times New Roman"/>
      <w:color w:val="0000FF"/>
      <w:u w:val="single"/>
    </w:rPr>
  </w:style>
  <w:style w:type="paragraph" w:styleId="30">
    <w:name w:val="Body Text Indent 3"/>
    <w:basedOn w:val="a"/>
    <w:link w:val="3Char0"/>
    <w:uiPriority w:val="99"/>
    <w:rsid w:val="004061AC"/>
    <w:pPr>
      <w:spacing w:line="560" w:lineRule="exact"/>
      <w:ind w:firstLineChars="200" w:firstLine="420"/>
    </w:pPr>
    <w:rPr>
      <w:rFonts w:ascii="Arial" w:hAnsi="Arial"/>
      <w:color w:val="FF0000"/>
      <w:kern w:val="0"/>
    </w:rPr>
  </w:style>
  <w:style w:type="character" w:customStyle="1" w:styleId="3Char0">
    <w:name w:val="正文文本缩进 3 Char"/>
    <w:link w:val="30"/>
    <w:uiPriority w:val="99"/>
    <w:locked/>
    <w:rsid w:val="004061AC"/>
    <w:rPr>
      <w:rFonts w:ascii="Arial" w:eastAsia="宋体" w:hAnsi="Arial" w:cs="Arial"/>
      <w:color w:val="FF0000"/>
      <w:sz w:val="21"/>
      <w:szCs w:val="21"/>
    </w:rPr>
  </w:style>
  <w:style w:type="paragraph" w:styleId="a9">
    <w:name w:val="header"/>
    <w:basedOn w:val="a"/>
    <w:link w:val="Char2"/>
    <w:uiPriority w:val="99"/>
    <w:rsid w:val="004061AC"/>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9"/>
    <w:uiPriority w:val="99"/>
    <w:locked/>
    <w:rsid w:val="004061AC"/>
    <w:rPr>
      <w:rFonts w:ascii="Times New Roman" w:eastAsia="宋体" w:hAnsi="Times New Roman" w:cs="Times New Roman"/>
      <w:sz w:val="18"/>
      <w:szCs w:val="18"/>
    </w:rPr>
  </w:style>
  <w:style w:type="character" w:styleId="aa">
    <w:name w:val="FollowedHyperlink"/>
    <w:uiPriority w:val="99"/>
    <w:rsid w:val="004061AC"/>
    <w:rPr>
      <w:rFonts w:cs="Times New Roman"/>
      <w:color w:val="800080"/>
      <w:u w:val="single"/>
    </w:rPr>
  </w:style>
  <w:style w:type="paragraph" w:styleId="ab">
    <w:name w:val="List"/>
    <w:basedOn w:val="ac"/>
    <w:uiPriority w:val="99"/>
    <w:rsid w:val="004061AC"/>
    <w:pPr>
      <w:spacing w:after="220" w:line="220" w:lineRule="atLeast"/>
      <w:ind w:left="1440" w:hanging="360"/>
    </w:pPr>
  </w:style>
  <w:style w:type="paragraph" w:styleId="ac">
    <w:name w:val="Body Text"/>
    <w:basedOn w:val="a"/>
    <w:link w:val="Char3"/>
    <w:uiPriority w:val="99"/>
    <w:rsid w:val="004061AC"/>
    <w:pPr>
      <w:spacing w:after="120"/>
    </w:pPr>
    <w:rPr>
      <w:kern w:val="0"/>
    </w:rPr>
  </w:style>
  <w:style w:type="character" w:customStyle="1" w:styleId="Char3">
    <w:name w:val="正文文本 Char"/>
    <w:link w:val="ac"/>
    <w:uiPriority w:val="99"/>
    <w:locked/>
    <w:rsid w:val="004061AC"/>
    <w:rPr>
      <w:rFonts w:ascii="Times New Roman" w:eastAsia="宋体" w:hAnsi="Times New Roman" w:cs="Times New Roman"/>
      <w:sz w:val="21"/>
      <w:szCs w:val="21"/>
    </w:rPr>
  </w:style>
  <w:style w:type="paragraph" w:styleId="ad">
    <w:name w:val="Date"/>
    <w:basedOn w:val="a"/>
    <w:next w:val="a"/>
    <w:link w:val="Char4"/>
    <w:uiPriority w:val="99"/>
    <w:rsid w:val="004061AC"/>
    <w:rPr>
      <w:kern w:val="0"/>
      <w:sz w:val="24"/>
      <w:szCs w:val="24"/>
    </w:rPr>
  </w:style>
  <w:style w:type="character" w:customStyle="1" w:styleId="Char4">
    <w:name w:val="日期 Char"/>
    <w:link w:val="ad"/>
    <w:uiPriority w:val="99"/>
    <w:locked/>
    <w:rsid w:val="004061AC"/>
    <w:rPr>
      <w:rFonts w:ascii="Times New Roman" w:eastAsia="宋体" w:hAnsi="Times New Roman" w:cs="Times New Roman"/>
      <w:sz w:val="24"/>
      <w:szCs w:val="24"/>
    </w:rPr>
  </w:style>
  <w:style w:type="character" w:customStyle="1" w:styleId="c1">
    <w:name w:val="c1"/>
    <w:uiPriority w:val="99"/>
    <w:rsid w:val="004061AC"/>
    <w:rPr>
      <w:rFonts w:cs="Times New Roman"/>
      <w:color w:val="000000"/>
      <w:sz w:val="18"/>
      <w:szCs w:val="18"/>
    </w:rPr>
  </w:style>
  <w:style w:type="paragraph" w:styleId="10">
    <w:name w:val="index 1"/>
    <w:basedOn w:val="a"/>
    <w:next w:val="a"/>
    <w:autoRedefine/>
    <w:uiPriority w:val="99"/>
    <w:semiHidden/>
    <w:rsid w:val="004061AC"/>
    <w:pPr>
      <w:jc w:val="right"/>
    </w:pPr>
    <w:rPr>
      <w:color w:val="008000"/>
    </w:rPr>
  </w:style>
  <w:style w:type="paragraph" w:customStyle="1" w:styleId="font5">
    <w:name w:val="font5"/>
    <w:basedOn w:val="a"/>
    <w:uiPriority w:val="99"/>
    <w:rsid w:val="004061AC"/>
    <w:pPr>
      <w:widowControl/>
      <w:spacing w:before="100" w:beforeAutospacing="1" w:after="100" w:afterAutospacing="1"/>
      <w:jc w:val="left"/>
    </w:pPr>
    <w:rPr>
      <w:rFonts w:ascii="宋体" w:hAnsi="宋体" w:cs="宋体"/>
      <w:kern w:val="0"/>
      <w:sz w:val="18"/>
      <w:szCs w:val="18"/>
    </w:rPr>
  </w:style>
  <w:style w:type="paragraph" w:customStyle="1" w:styleId="xl24">
    <w:name w:val="xl24"/>
    <w:basedOn w:val="a"/>
    <w:uiPriority w:val="99"/>
    <w:rsid w:val="004061AC"/>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szCs w:val="24"/>
    </w:rPr>
  </w:style>
  <w:style w:type="paragraph" w:customStyle="1" w:styleId="xl26">
    <w:name w:val="xl2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7">
    <w:name w:val="xl2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9">
    <w:name w:val="xl29"/>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0">
    <w:name w:val="xl30"/>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1">
    <w:name w:val="xl31"/>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link w:val="Char5"/>
    <w:uiPriority w:val="99"/>
    <w:semiHidden/>
    <w:rsid w:val="004061AC"/>
    <w:rPr>
      <w:kern w:val="0"/>
      <w:sz w:val="18"/>
      <w:szCs w:val="18"/>
    </w:rPr>
  </w:style>
  <w:style w:type="character" w:customStyle="1" w:styleId="Char5">
    <w:name w:val="批注框文本 Char"/>
    <w:link w:val="ae"/>
    <w:uiPriority w:val="99"/>
    <w:semiHidden/>
    <w:locked/>
    <w:rsid w:val="004061AC"/>
    <w:rPr>
      <w:rFonts w:ascii="Times New Roman" w:eastAsia="宋体" w:hAnsi="Times New Roman" w:cs="Times New Roman"/>
      <w:sz w:val="18"/>
      <w:szCs w:val="18"/>
    </w:rPr>
  </w:style>
  <w:style w:type="character" w:styleId="af">
    <w:name w:val="annotation reference"/>
    <w:uiPriority w:val="99"/>
    <w:semiHidden/>
    <w:rsid w:val="004061AC"/>
    <w:rPr>
      <w:rFonts w:cs="Times New Roman"/>
      <w:sz w:val="21"/>
      <w:szCs w:val="21"/>
    </w:rPr>
  </w:style>
  <w:style w:type="paragraph" w:styleId="af0">
    <w:name w:val="annotation text"/>
    <w:basedOn w:val="a"/>
    <w:link w:val="Char6"/>
    <w:uiPriority w:val="99"/>
    <w:semiHidden/>
    <w:rsid w:val="004061AC"/>
    <w:pPr>
      <w:jc w:val="left"/>
    </w:pPr>
    <w:rPr>
      <w:kern w:val="0"/>
    </w:rPr>
  </w:style>
  <w:style w:type="character" w:customStyle="1" w:styleId="Char6">
    <w:name w:val="批注文字 Char"/>
    <w:link w:val="af0"/>
    <w:uiPriority w:val="99"/>
    <w:semiHidden/>
    <w:locked/>
    <w:rsid w:val="004061AC"/>
    <w:rPr>
      <w:rFonts w:ascii="Times New Roman" w:eastAsia="宋体" w:hAnsi="Times New Roman" w:cs="Times New Roman"/>
      <w:sz w:val="21"/>
      <w:szCs w:val="21"/>
    </w:rPr>
  </w:style>
  <w:style w:type="paragraph" w:styleId="af1">
    <w:name w:val="annotation subject"/>
    <w:basedOn w:val="af0"/>
    <w:next w:val="af0"/>
    <w:link w:val="Char7"/>
    <w:uiPriority w:val="99"/>
    <w:semiHidden/>
    <w:rsid w:val="004061AC"/>
    <w:rPr>
      <w:b/>
      <w:bCs/>
    </w:rPr>
  </w:style>
  <w:style w:type="character" w:customStyle="1" w:styleId="Char7">
    <w:name w:val="批注主题 Char"/>
    <w:link w:val="af1"/>
    <w:uiPriority w:val="99"/>
    <w:semiHidden/>
    <w:locked/>
    <w:rsid w:val="004061AC"/>
    <w:rPr>
      <w:rFonts w:ascii="Times New Roman" w:eastAsia="宋体" w:hAnsi="Times New Roman" w:cs="Times New Roman"/>
      <w:b/>
      <w:bCs/>
      <w:sz w:val="21"/>
      <w:szCs w:val="21"/>
    </w:rPr>
  </w:style>
  <w:style w:type="paragraph" w:customStyle="1" w:styleId="Char8">
    <w:name w:val="Char"/>
    <w:basedOn w:val="a"/>
    <w:uiPriority w:val="99"/>
    <w:rsid w:val="004061AC"/>
  </w:style>
  <w:style w:type="paragraph" w:styleId="af2">
    <w:name w:val="Document Map"/>
    <w:basedOn w:val="a"/>
    <w:link w:val="Char9"/>
    <w:uiPriority w:val="99"/>
    <w:semiHidden/>
    <w:rsid w:val="004061AC"/>
    <w:pPr>
      <w:shd w:val="clear" w:color="auto" w:fill="000080"/>
    </w:pPr>
    <w:rPr>
      <w:kern w:val="0"/>
    </w:rPr>
  </w:style>
  <w:style w:type="character" w:customStyle="1" w:styleId="Char9">
    <w:name w:val="文档结构图 Char"/>
    <w:link w:val="af2"/>
    <w:uiPriority w:val="99"/>
    <w:semiHidden/>
    <w:locked/>
    <w:rsid w:val="004061AC"/>
    <w:rPr>
      <w:rFonts w:ascii="Times New Roman" w:eastAsia="宋体" w:hAnsi="Times New Roman" w:cs="Times New Roman"/>
      <w:sz w:val="21"/>
      <w:szCs w:val="21"/>
      <w:shd w:val="clear" w:color="auto" w:fill="000080"/>
    </w:rPr>
  </w:style>
  <w:style w:type="paragraph" w:customStyle="1" w:styleId="af3">
    <w:name w:val="正文 + (符号) 宋体"/>
    <w:aliases w:val="小四,紧缩量  0.2 磅"/>
    <w:basedOn w:val="a"/>
    <w:uiPriority w:val="99"/>
    <w:rsid w:val="004061AC"/>
    <w:pPr>
      <w:autoSpaceDE w:val="0"/>
      <w:autoSpaceDN w:val="0"/>
      <w:adjustRightInd w:val="0"/>
      <w:ind w:rightChars="671" w:right="1409" w:firstLineChars="512" w:firstLine="1229"/>
      <w:jc w:val="distribute"/>
    </w:pPr>
    <w:rPr>
      <w:sz w:val="24"/>
      <w:szCs w:val="24"/>
    </w:rPr>
  </w:style>
  <w:style w:type="paragraph" w:styleId="af4">
    <w:name w:val="footnote text"/>
    <w:basedOn w:val="a"/>
    <w:link w:val="Chara"/>
    <w:uiPriority w:val="99"/>
    <w:rsid w:val="004061AC"/>
    <w:pPr>
      <w:snapToGrid w:val="0"/>
      <w:jc w:val="left"/>
    </w:pPr>
    <w:rPr>
      <w:kern w:val="0"/>
      <w:sz w:val="18"/>
      <w:szCs w:val="18"/>
    </w:rPr>
  </w:style>
  <w:style w:type="character" w:customStyle="1" w:styleId="Chara">
    <w:name w:val="脚注文本 Char"/>
    <w:link w:val="af4"/>
    <w:uiPriority w:val="99"/>
    <w:locked/>
    <w:rsid w:val="004061AC"/>
    <w:rPr>
      <w:rFonts w:ascii="Times New Roman" w:eastAsia="宋体" w:hAnsi="Times New Roman" w:cs="Times New Roman"/>
      <w:sz w:val="18"/>
      <w:szCs w:val="18"/>
    </w:rPr>
  </w:style>
  <w:style w:type="character" w:styleId="af5">
    <w:name w:val="footnote reference"/>
    <w:uiPriority w:val="99"/>
    <w:rsid w:val="004061AC"/>
    <w:rPr>
      <w:rFonts w:cs="Times New Roman"/>
      <w:vertAlign w:val="superscript"/>
    </w:rPr>
  </w:style>
  <w:style w:type="paragraph" w:styleId="af6">
    <w:name w:val="Normal (Web)"/>
    <w:basedOn w:val="a"/>
    <w:uiPriority w:val="99"/>
    <w:rsid w:val="004061AC"/>
    <w:pPr>
      <w:widowControl/>
      <w:spacing w:before="100" w:beforeAutospacing="1" w:after="100" w:afterAutospacing="1"/>
      <w:jc w:val="left"/>
    </w:pPr>
    <w:rPr>
      <w:rFonts w:ascii="宋体" w:hAnsi="宋体" w:cs="宋体"/>
      <w:kern w:val="0"/>
      <w:sz w:val="24"/>
      <w:szCs w:val="24"/>
    </w:rPr>
  </w:style>
  <w:style w:type="table" w:styleId="af7">
    <w:name w:val="Table Grid"/>
    <w:basedOn w:val="a2"/>
    <w:qFormat/>
    <w:rsid w:val="004061A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4061AC"/>
  </w:style>
  <w:style w:type="paragraph" w:customStyle="1" w:styleId="CharCharCharCharCharChar1CharCharChar">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type="paragraph" w:customStyle="1" w:styleId="CharCharCharCharCharChar1CharCharChar2">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8">
    <w:name w:val="Title"/>
    <w:basedOn w:val="a"/>
    <w:next w:val="a"/>
    <w:link w:val="Charb"/>
    <w:uiPriority w:val="99"/>
    <w:qFormat/>
    <w:rsid w:val="004061AC"/>
    <w:pPr>
      <w:spacing w:before="240" w:after="60"/>
      <w:jc w:val="center"/>
      <w:outlineLvl w:val="0"/>
    </w:pPr>
    <w:rPr>
      <w:rFonts w:ascii="Cambria" w:hAnsi="Cambria"/>
      <w:b/>
      <w:bCs/>
      <w:kern w:val="0"/>
      <w:sz w:val="32"/>
      <w:szCs w:val="32"/>
    </w:rPr>
  </w:style>
  <w:style w:type="character" w:customStyle="1" w:styleId="Charb">
    <w:name w:val="标题 Char"/>
    <w:link w:val="af8"/>
    <w:uiPriority w:val="99"/>
    <w:locked/>
    <w:rsid w:val="004061AC"/>
    <w:rPr>
      <w:rFonts w:ascii="Cambria" w:eastAsia="宋体" w:hAnsi="Cambria" w:cs="Cambria"/>
      <w:b/>
      <w:bCs/>
      <w:sz w:val="32"/>
      <w:szCs w:val="32"/>
    </w:rPr>
  </w:style>
  <w:style w:type="paragraph" w:customStyle="1" w:styleId="CharCharCharCharCharChar1CharCharChar1">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9">
    <w:name w:val="No Spacing"/>
    <w:link w:val="Charc"/>
    <w:uiPriority w:val="99"/>
    <w:qFormat/>
    <w:rsid w:val="004061AC"/>
    <w:rPr>
      <w:rFonts w:cs="Calibri"/>
      <w:sz w:val="22"/>
      <w:szCs w:val="22"/>
    </w:rPr>
  </w:style>
  <w:style w:type="character" w:customStyle="1" w:styleId="Charc">
    <w:name w:val="无间隔 Char"/>
    <w:link w:val="af9"/>
    <w:uiPriority w:val="99"/>
    <w:locked/>
    <w:rsid w:val="004061AC"/>
    <w:rPr>
      <w:rFonts w:cs="Calibri"/>
      <w:sz w:val="22"/>
      <w:szCs w:val="22"/>
      <w:lang w:val="en-US" w:eastAsia="zh-CN" w:bidi="ar-SA"/>
    </w:rPr>
  </w:style>
  <w:style w:type="character" w:customStyle="1" w:styleId="t1">
    <w:name w:val="t1"/>
    <w:uiPriority w:val="99"/>
    <w:rsid w:val="004061AC"/>
    <w:rPr>
      <w:rFonts w:cs="Times New Roman"/>
      <w:color w:val="auto"/>
    </w:rPr>
  </w:style>
  <w:style w:type="paragraph" w:styleId="afa">
    <w:name w:val="List Paragraph"/>
    <w:basedOn w:val="a"/>
    <w:uiPriority w:val="99"/>
    <w:qFormat/>
    <w:rsid w:val="00154BE1"/>
    <w:pPr>
      <w:ind w:firstLineChars="200" w:firstLine="420"/>
    </w:pPr>
  </w:style>
  <w:style w:type="paragraph" w:customStyle="1" w:styleId="Default">
    <w:name w:val="Default"/>
    <w:uiPriority w:val="99"/>
    <w:rsid w:val="00275745"/>
    <w:pPr>
      <w:widowControl w:val="0"/>
      <w:autoSpaceDE w:val="0"/>
      <w:autoSpaceDN w:val="0"/>
      <w:adjustRightInd w:val="0"/>
    </w:pPr>
    <w:rPr>
      <w:rFonts w:ascii="FangSong" w:hAnsi="FangSong" w:cs="FangSong"/>
      <w:color w:val="000000"/>
      <w:sz w:val="24"/>
      <w:szCs w:val="24"/>
    </w:rPr>
  </w:style>
  <w:style w:type="character" w:styleId="afb">
    <w:name w:val="Strong"/>
    <w:uiPriority w:val="22"/>
    <w:qFormat/>
    <w:locked/>
    <w:rsid w:val="00D87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D5797-BC86-484B-A6CD-C0EA4B339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16</Pages>
  <Words>1428</Words>
  <Characters>8144</Characters>
  <Application>Microsoft Office Word</Application>
  <DocSecurity>0</DocSecurity>
  <Lines>67</Lines>
  <Paragraphs>19</Paragraphs>
  <ScaleCrop>false</ScaleCrop>
  <Company/>
  <LinksUpToDate>false</LinksUpToDate>
  <CharactersWithSpaces>9553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温学谦</cp:lastModifiedBy>
  <cp:revision>346</cp:revision>
  <dcterms:created xsi:type="dcterms:W3CDTF">2012-10-16T06:07:00Z</dcterms:created>
  <dcterms:modified xsi:type="dcterms:W3CDTF">2020-07-16T10:49:00Z</dcterms:modified>
</cp:coreProperties>
</file>