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易方达高端制造混合型发起式证券投资基金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交通银行股份有限公司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基金托管人交通银行股份有限公司根据本基金合同规定，于2020年7月17日复核了本报告中的财务指标、净值表现和投资组合报告等内容，保证复核内容不存在虚假记载、误导性陈述或者重大遗漏。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易方达高端制造混合发起式</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009049</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009049</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2020年3月16日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4,491,262,519.28</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本基金主要投资高端制造主题相关公司，在控制风险的前提下，追求超越业绩比较基准的投资回报。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将综合考虑宏观与微观经济、市场与政策等因素，确定组合中股票、债券、货币市场工具及其他金融工具的比例。在股票投资方面，本基金专注于高端制造主题的投资，涉及的行业包括机械行业、电子行业、新能源行业、汽车行业、家电行业、军工行业、新材料行业、精细化工行业等行业；本基金在行业配置的基础上，主要通过综合分析公司的研发能力、销售能力、生产管理能力、运营效率、成长潜力、盈利能力、财务结构、估值水平等因素对公司的投资价值进行评估，精选相关行业中具有较强竞争优势的公司进行投资。在债券投资方面，本基金将主要通过类属配置与券种选择两个层次进行投资管理。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中证高端装备制造指数收益率×85%+中债总指数收益率×15%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本基金为混合基金，理论上其预期风险与预期收益水平低于股票基金，高于债券基金和货币市场基金。 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68,510,578.53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450,880,606.68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0.0830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4,886,374,912.24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1.0880</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 xml:space="preserve">2.本期已实现收益指基金本期利息收入、投资收益、其他收入(不含公允价值变动收益)扣除相关费用后的余额，本期利润为本期已实现收益加上本期公允价值变动收益。 </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8.63%</w:t>
            </w:r>
          </w:p>
        </w:tc>
        <w:tc>
          <w:tcPr>
            <w:vAlign w:val="center"/>
          </w:tcPr>
          <w:p>
            <w:pPr>
              <w:jc w:val="center"/>
            </w:pPr>
            <w:r>
              <w:rPr>
                <w:color w:val="000000"/>
                <w:kern w:val="0"/>
                <w:sz w:val="24"/>
                <w:szCs w:val="24"/>
              </w:rPr>
              <w:t>0.48%</w:t>
            </w:r>
          </w:p>
        </w:tc>
        <w:tc>
          <w:tcPr>
            <w:vAlign w:val="center"/>
          </w:tcPr>
          <w:p>
            <w:pPr>
              <w:jc w:val="center"/>
            </w:pPr>
            <w:r>
              <w:rPr>
                <w:color w:val="000000"/>
                <w:kern w:val="0"/>
                <w:sz w:val="24"/>
                <w:szCs w:val="24"/>
              </w:rPr>
              <w:t>18.88%</w:t>
            </w:r>
          </w:p>
        </w:tc>
        <w:tc>
          <w:tcPr>
            <w:vAlign w:val="center"/>
          </w:tcPr>
          <w:p>
            <w:pPr>
              <w:jc w:val="center"/>
            </w:pPr>
            <w:r>
              <w:rPr>
                <w:color w:val="000000"/>
                <w:kern w:val="0"/>
                <w:sz w:val="24"/>
                <w:szCs w:val="24"/>
              </w:rPr>
              <w:t>1.28%</w:t>
            </w:r>
          </w:p>
        </w:tc>
        <w:tc>
          <w:tcPr>
            <w:vAlign w:val="center"/>
          </w:tcPr>
          <w:p>
            <w:pPr>
              <w:jc w:val="center"/>
            </w:pPr>
            <w:r>
              <w:rPr>
                <w:color w:val="000000"/>
                <w:kern w:val="0"/>
                <w:sz w:val="24"/>
                <w:szCs w:val="24"/>
              </w:rPr>
              <w:t>-10.25%</w:t>
            </w:r>
          </w:p>
        </w:tc>
        <w:tc>
          <w:tcPr>
            <w:vAlign w:val="center"/>
          </w:tcPr>
          <w:p>
            <w:pPr>
              <w:jc w:val="center"/>
            </w:pPr>
            <w:r>
              <w:rPr>
                <w:color w:val="000000"/>
                <w:kern w:val="0"/>
                <w:sz w:val="24"/>
                <w:szCs w:val="24"/>
              </w:rPr>
              <w:t>-0.80%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8.80%</w:t>
            </w:r>
          </w:p>
        </w:tc>
        <w:tc>
          <w:tcPr>
            <w:vAlign w:val="center"/>
          </w:tcPr>
          <w:p>
            <w:pPr>
              <w:jc w:val="center"/>
            </w:pPr>
            <w:r>
              <w:rPr>
                <w:color w:val="000000"/>
                <w:kern w:val="0"/>
                <w:sz w:val="24"/>
                <w:szCs w:val="24"/>
              </w:rPr>
              <w:t>0.45%</w:t>
            </w:r>
          </w:p>
        </w:tc>
        <w:tc>
          <w:tcPr>
            <w:vAlign w:val="center"/>
          </w:tcPr>
          <w:p>
            <w:pPr>
              <w:jc w:val="center"/>
            </w:pPr>
            <w:r>
              <w:rPr>
                <w:color w:val="000000"/>
                <w:kern w:val="0"/>
                <w:sz w:val="24"/>
                <w:szCs w:val="24"/>
              </w:rPr>
              <w:t>5.83%</w:t>
            </w:r>
          </w:p>
        </w:tc>
        <w:tc>
          <w:tcPr>
            <w:vAlign w:val="center"/>
          </w:tcPr>
          <w:p>
            <w:pPr>
              <w:jc w:val="center"/>
            </w:pPr>
            <w:r>
              <w:rPr>
                <w:color w:val="000000"/>
                <w:kern w:val="0"/>
                <w:sz w:val="24"/>
                <w:szCs w:val="24"/>
              </w:rPr>
              <w:t>1.58%</w:t>
            </w:r>
          </w:p>
        </w:tc>
        <w:tc>
          <w:tcPr>
            <w:vAlign w:val="center"/>
          </w:tcPr>
          <w:p>
            <w:pPr>
              <w:jc w:val="center"/>
            </w:pPr>
            <w:r>
              <w:rPr>
                <w:color w:val="000000"/>
                <w:kern w:val="0"/>
                <w:sz w:val="24"/>
                <w:szCs w:val="24"/>
              </w:rPr>
              <w:t>2.97%</w:t>
            </w:r>
          </w:p>
        </w:tc>
        <w:tc>
          <w:tcPr>
            <w:vAlign w:val="center"/>
          </w:tcPr>
          <w:p>
            <w:pPr>
              <w:jc w:val="center"/>
            </w:pPr>
            <w:r>
              <w:rPr>
                <w:color w:val="000000"/>
                <w:kern w:val="0"/>
                <w:sz w:val="24"/>
                <w:szCs w:val="24"/>
              </w:rPr>
              <w:t>-1.13%</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易方达高端制造混合型发起式证券投资基金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2020年3月16日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注：1.本基金合同于2020年3月16日生效，截至报告期末本基金合同生效未满一年。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2.按基金合同和招募说明书的约定，自基金合同生效之日起六个月内使基金的投资组合比例符合本基金合同(第十二部分二、投资范围,三、投资策略和四、投资限制)的有关约定。本报告期本基金处于建仓期内。</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3.自基金合同生效至报告期末，基金份额净值增长率为8.80%，同期业绩比较基准收益率为5.83%。</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祁禾</w:t>
            </w:r>
          </w:p>
        </w:tc>
        <w:tc>
          <w:tcPr>
            <w:vAlign w:val="center"/>
          </w:tcPr>
          <w:p>
            <w:pPr>
              <w:jc w:val="left"/>
            </w:pPr>
            <w:r>
              <w:rPr>
                <w:color w:val="000000"/>
                <w:sz w:val="24"/>
              </w:rPr>
              <w:t>本基金的基金经理、易方达环保主题灵活配置混合型证券投资基金的基金经理、易方达创新驱动灵活配置混合型证券投资基金的基金经理、易方达新丝路灵活配置混合型证券投资基金的基金经理、行业研究员</w:t>
            </w:r>
          </w:p>
        </w:tc>
        <w:tc>
          <w:tcPr>
            <w:vAlign w:val="center"/>
          </w:tcPr>
          <w:p>
            <w:pPr>
              <w:jc w:val="center"/>
            </w:pPr>
            <w:r>
              <w:rPr>
                <w:color w:val="000000"/>
                <w:sz w:val="24"/>
              </w:rPr>
              <w:t>2020-03-16</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华泰联合证券有限责任公司研究所研究员，博时基金管理有限公司研究部研究员、易方达基金管理有限公司易方达科汇灵活配置混合型证券投资基金基金经理、易方达环保主题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2020年二季度沪深300指数上涨12.96%，同期创业板指数上涨30.25%。疫情后的流动性宽松环境和优势企业在该背景下扩张份额的利好，驱动市场出现结构性行情。</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仍处在建仓期，资产配置方面，精选竞争力突出、具备创新能力的制造业企业作为主要配置，并重点关注以下领域的投资机会：一是代表中国高端制造前进方向、竞争力强的公司，比如新能源、家电、通信、消费电子、半导体等行业内优质标的；二是具有国际竞争优势和创新能力的传统行业企业，比如化工、建材等行业内优质标的。</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截至报告期末，本基金份额净值为1.0880元，本报告期份额净值增长率为8.63%，同期业绩比较基准收益率为18.88%。</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2,961,033,361.40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59.66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2,961,033,361.40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59.66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1,400,000,000.00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28.21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585,656,103.28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11.80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16,865,880.65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0.34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4,963,555,345.33</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注：本基金本报告期末通过港股通交易机制投资的港股市值为180,003,217.16元，占净值比例3.68%。</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2,647,743,300.77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54.19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98,658,509.15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34,615,568.00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0.71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2,781,030,144.24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56.91</w:t>
            </w:r>
          </w:p>
        </w:tc>
      </w:tr>
    </w:tbl>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180,003,217.16</w:t>
            </w:r>
          </w:p>
        </w:tc>
        <w:tc>
          <w:tcPr>
            <w:vAlign w:val="center"/>
          </w:tcPr>
          <w:p>
            <w:pPr>
              <w:jc w:val="center"/>
            </w:pPr>
            <w:r>
              <w:rPr>
                <w:rFonts w:eastAsiaTheme="minorEastAsia"/>
                <w:color w:themeColor="text1" w:val="000000"/>
                <w:kern w:val="0"/>
                <w:sz w:val="24"/>
                <w:szCs w:val="24"/>
              </w:rPr>
              <w:t>3.68</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180,003,217.16</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3.68</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600031</w:t>
            </w:r>
          </w:p>
        </w:tc>
        <w:tc>
          <w:tcPr>
            <w:vAlign w:val="center"/>
          </w:tcPr>
          <w:p>
            <w:pPr>
              <w:jc w:val="center"/>
            </w:pPr>
            <w:r>
              <w:rPr>
                <w:color w:val="000000"/>
                <w:kern w:val="0"/>
                <w:sz w:val="24"/>
                <w:szCs w:val="24"/>
              </w:rPr>
              <w:t>三一重工</w:t>
            </w:r>
          </w:p>
        </w:tc>
        <w:tc>
          <w:tcPr>
            <w:vAlign w:val="center"/>
          </w:tcPr>
          <w:p>
            <w:pPr>
              <w:jc w:val="right"/>
            </w:pPr>
            <w:r>
              <w:rPr>
                <w:color w:val="000000"/>
                <w:kern w:val="0"/>
                <w:sz w:val="24"/>
                <w:szCs w:val="24"/>
              </w:rPr>
              <w:t>15,153,034</w:t>
            </w:r>
          </w:p>
        </w:tc>
        <w:tc>
          <w:tcPr>
            <w:vAlign w:val="center"/>
          </w:tcPr>
          <w:p>
            <w:pPr>
              <w:jc w:val="right"/>
            </w:pPr>
            <w:r>
              <w:rPr>
                <w:color w:val="000000"/>
                <w:kern w:val="0"/>
                <w:sz w:val="24"/>
                <w:szCs w:val="24"/>
              </w:rPr>
              <w:t>284,270,917.84</w:t>
            </w:r>
          </w:p>
        </w:tc>
        <w:tc>
          <w:tcPr>
            <w:vAlign w:val="center"/>
          </w:tcPr>
          <w:p>
            <w:pPr>
              <w:jc w:val="right"/>
            </w:pPr>
            <w:r>
              <w:rPr>
                <w:color w:val="000000"/>
                <w:kern w:val="0"/>
                <w:sz w:val="24"/>
                <w:szCs w:val="24"/>
              </w:rPr>
              <w:t>5.82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002938</w:t>
            </w:r>
          </w:p>
        </w:tc>
        <w:tc>
          <w:tcPr>
            <w:vAlign w:val="center"/>
          </w:tcPr>
          <w:p>
            <w:pPr>
              <w:jc w:val="center"/>
            </w:pPr>
            <w:r>
              <w:rPr>
                <w:color w:val="000000"/>
                <w:kern w:val="0"/>
                <w:sz w:val="24"/>
                <w:szCs w:val="24"/>
              </w:rPr>
              <w:t>鹏鼎控股</w:t>
            </w:r>
          </w:p>
        </w:tc>
        <w:tc>
          <w:tcPr>
            <w:vAlign w:val="center"/>
          </w:tcPr>
          <w:p>
            <w:pPr>
              <w:jc w:val="right"/>
            </w:pPr>
            <w:r>
              <w:rPr>
                <w:color w:val="000000"/>
                <w:kern w:val="0"/>
                <w:sz w:val="24"/>
                <w:szCs w:val="24"/>
              </w:rPr>
              <w:t>5,215,965</w:t>
            </w:r>
          </w:p>
        </w:tc>
        <w:tc>
          <w:tcPr>
            <w:vAlign w:val="center"/>
          </w:tcPr>
          <w:p>
            <w:pPr>
              <w:jc w:val="right"/>
            </w:pPr>
            <w:r>
              <w:rPr>
                <w:color w:val="000000"/>
                <w:kern w:val="0"/>
                <w:sz w:val="24"/>
                <w:szCs w:val="24"/>
              </w:rPr>
              <w:t>261,111,207.90</w:t>
            </w:r>
          </w:p>
        </w:tc>
        <w:tc>
          <w:tcPr>
            <w:vAlign w:val="center"/>
          </w:tcPr>
          <w:p>
            <w:pPr>
              <w:jc w:val="right"/>
            </w:pPr>
            <w:r>
              <w:rPr>
                <w:color w:val="000000"/>
                <w:kern w:val="0"/>
                <w:sz w:val="24"/>
                <w:szCs w:val="24"/>
              </w:rPr>
              <w:t>5.34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300628</w:t>
            </w:r>
          </w:p>
        </w:tc>
        <w:tc>
          <w:tcPr>
            <w:vAlign w:val="center"/>
          </w:tcPr>
          <w:p>
            <w:pPr>
              <w:jc w:val="center"/>
            </w:pPr>
            <w:r>
              <w:rPr>
                <w:color w:val="000000"/>
                <w:kern w:val="0"/>
                <w:sz w:val="24"/>
                <w:szCs w:val="24"/>
              </w:rPr>
              <w:t>亿联网络</w:t>
            </w:r>
          </w:p>
        </w:tc>
        <w:tc>
          <w:tcPr>
            <w:vAlign w:val="center"/>
          </w:tcPr>
          <w:p>
            <w:pPr>
              <w:jc w:val="right"/>
            </w:pPr>
            <w:r>
              <w:rPr>
                <w:color w:val="000000"/>
                <w:kern w:val="0"/>
                <w:sz w:val="24"/>
                <w:szCs w:val="24"/>
              </w:rPr>
              <w:t>3,187,035</w:t>
            </w:r>
          </w:p>
        </w:tc>
        <w:tc>
          <w:tcPr>
            <w:vAlign w:val="center"/>
          </w:tcPr>
          <w:p>
            <w:pPr>
              <w:jc w:val="right"/>
            </w:pPr>
            <w:r>
              <w:rPr>
                <w:color w:val="000000"/>
                <w:kern w:val="0"/>
                <w:sz w:val="24"/>
                <w:szCs w:val="24"/>
              </w:rPr>
              <w:t>217,547,009.10</w:t>
            </w:r>
          </w:p>
        </w:tc>
        <w:tc>
          <w:tcPr>
            <w:vAlign w:val="center"/>
          </w:tcPr>
          <w:p>
            <w:pPr>
              <w:jc w:val="right"/>
            </w:pPr>
            <w:r>
              <w:rPr>
                <w:color w:val="000000"/>
                <w:kern w:val="0"/>
                <w:sz w:val="24"/>
                <w:szCs w:val="24"/>
              </w:rPr>
              <w:t>4.45</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000100</w:t>
            </w:r>
          </w:p>
        </w:tc>
        <w:tc>
          <w:tcPr>
            <w:vAlign w:val="center"/>
          </w:tcPr>
          <w:p>
            <w:pPr>
              <w:jc w:val="center"/>
            </w:pPr>
            <w:r>
              <w:rPr>
                <w:color w:val="000000"/>
                <w:kern w:val="0"/>
                <w:sz w:val="24"/>
                <w:szCs w:val="24"/>
              </w:rPr>
              <w:t>TCL科技</w:t>
            </w:r>
          </w:p>
        </w:tc>
        <w:tc>
          <w:tcPr>
            <w:vAlign w:val="center"/>
          </w:tcPr>
          <w:p>
            <w:pPr>
              <w:jc w:val="right"/>
            </w:pPr>
            <w:r>
              <w:rPr>
                <w:color w:val="000000"/>
                <w:kern w:val="0"/>
                <w:sz w:val="24"/>
                <w:szCs w:val="24"/>
              </w:rPr>
              <w:t>33,027,793</w:t>
            </w:r>
          </w:p>
        </w:tc>
        <w:tc>
          <w:tcPr>
            <w:vAlign w:val="center"/>
          </w:tcPr>
          <w:p>
            <w:pPr>
              <w:jc w:val="right"/>
            </w:pPr>
            <w:r>
              <w:rPr>
                <w:color w:val="000000"/>
                <w:kern w:val="0"/>
                <w:sz w:val="24"/>
                <w:szCs w:val="24"/>
              </w:rPr>
              <w:t>204,772,316.60</w:t>
            </w:r>
          </w:p>
        </w:tc>
        <w:tc>
          <w:tcPr>
            <w:vAlign w:val="center"/>
          </w:tcPr>
          <w:p>
            <w:pPr>
              <w:jc w:val="right"/>
            </w:pPr>
            <w:r>
              <w:rPr>
                <w:color w:val="000000"/>
                <w:kern w:val="0"/>
                <w:sz w:val="24"/>
                <w:szCs w:val="24"/>
              </w:rPr>
              <w:t>4.19</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002179</w:t>
            </w:r>
          </w:p>
        </w:tc>
        <w:tc>
          <w:tcPr>
            <w:vAlign w:val="center"/>
          </w:tcPr>
          <w:p>
            <w:pPr>
              <w:jc w:val="center"/>
            </w:pPr>
            <w:r>
              <w:rPr>
                <w:color w:val="000000"/>
                <w:kern w:val="0"/>
                <w:sz w:val="24"/>
                <w:szCs w:val="24"/>
              </w:rPr>
              <w:t>中航光电</w:t>
            </w:r>
          </w:p>
        </w:tc>
        <w:tc>
          <w:tcPr>
            <w:vAlign w:val="center"/>
          </w:tcPr>
          <w:p>
            <w:pPr>
              <w:jc w:val="right"/>
            </w:pPr>
            <w:r>
              <w:rPr>
                <w:color w:val="000000"/>
                <w:kern w:val="0"/>
                <w:sz w:val="24"/>
                <w:szCs w:val="24"/>
              </w:rPr>
              <w:t>4,943,898</w:t>
            </w:r>
          </w:p>
        </w:tc>
        <w:tc>
          <w:tcPr>
            <w:vAlign w:val="center"/>
          </w:tcPr>
          <w:p>
            <w:pPr>
              <w:jc w:val="right"/>
            </w:pPr>
            <w:r>
              <w:rPr>
                <w:color w:val="000000"/>
                <w:kern w:val="0"/>
                <w:sz w:val="24"/>
                <w:szCs w:val="24"/>
              </w:rPr>
              <w:t>202,749,256.98</w:t>
            </w:r>
          </w:p>
        </w:tc>
        <w:tc>
          <w:tcPr>
            <w:vAlign w:val="center"/>
          </w:tcPr>
          <w:p>
            <w:pPr>
              <w:jc w:val="right"/>
            </w:pPr>
            <w:r>
              <w:rPr>
                <w:color w:val="000000"/>
                <w:kern w:val="0"/>
                <w:sz w:val="24"/>
                <w:szCs w:val="24"/>
              </w:rPr>
              <w:t>4.15</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3,338,279</w:t>
            </w:r>
          </w:p>
        </w:tc>
        <w:tc>
          <w:tcPr>
            <w:vAlign w:val="center"/>
          </w:tcPr>
          <w:p>
            <w:pPr>
              <w:jc w:val="right"/>
            </w:pPr>
            <w:r>
              <w:rPr>
                <w:color w:val="000000"/>
                <w:kern w:val="0"/>
                <w:sz w:val="24"/>
                <w:szCs w:val="24"/>
              </w:rPr>
              <w:t>199,595,701.41</w:t>
            </w:r>
          </w:p>
        </w:tc>
        <w:tc>
          <w:tcPr>
            <w:vAlign w:val="center"/>
          </w:tcPr>
          <w:p>
            <w:pPr>
              <w:jc w:val="right"/>
            </w:pPr>
            <w:r>
              <w:rPr>
                <w:color w:val="000000"/>
                <w:kern w:val="0"/>
                <w:sz w:val="24"/>
                <w:szCs w:val="24"/>
              </w:rPr>
              <w:t>4.08</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02382</w:t>
            </w:r>
          </w:p>
        </w:tc>
        <w:tc>
          <w:tcPr>
            <w:vAlign w:val="center"/>
          </w:tcPr>
          <w:p>
            <w:pPr>
              <w:jc w:val="center"/>
            </w:pPr>
            <w:r>
              <w:rPr>
                <w:color w:val="000000"/>
                <w:kern w:val="0"/>
                <w:sz w:val="24"/>
                <w:szCs w:val="24"/>
              </w:rPr>
              <w:t>舜宇光学科技</w:t>
            </w:r>
          </w:p>
        </w:tc>
        <w:tc>
          <w:tcPr>
            <w:vAlign w:val="center"/>
          </w:tcPr>
          <w:p>
            <w:pPr>
              <w:jc w:val="right"/>
            </w:pPr>
            <w:r>
              <w:rPr>
                <w:color w:val="000000"/>
                <w:kern w:val="0"/>
                <w:sz w:val="24"/>
                <w:szCs w:val="24"/>
              </w:rPr>
              <w:t>1,589,200</w:t>
            </w:r>
          </w:p>
        </w:tc>
        <w:tc>
          <w:tcPr>
            <w:vAlign w:val="center"/>
          </w:tcPr>
          <w:p>
            <w:pPr>
              <w:jc w:val="right"/>
            </w:pPr>
            <w:r>
              <w:rPr>
                <w:color w:val="000000"/>
                <w:kern w:val="0"/>
                <w:sz w:val="24"/>
                <w:szCs w:val="24"/>
              </w:rPr>
              <w:t>180,003,217.16</w:t>
            </w:r>
          </w:p>
        </w:tc>
        <w:tc>
          <w:tcPr>
            <w:vAlign w:val="center"/>
          </w:tcPr>
          <w:p>
            <w:pPr>
              <w:jc w:val="right"/>
            </w:pPr>
            <w:r>
              <w:rPr>
                <w:color w:val="000000"/>
                <w:kern w:val="0"/>
                <w:sz w:val="24"/>
                <w:szCs w:val="24"/>
              </w:rPr>
              <w:t>3.68</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002064</w:t>
            </w:r>
          </w:p>
        </w:tc>
        <w:tc>
          <w:tcPr>
            <w:vAlign w:val="center"/>
          </w:tcPr>
          <w:p>
            <w:pPr>
              <w:jc w:val="center"/>
            </w:pPr>
            <w:r>
              <w:rPr>
                <w:color w:val="000000"/>
                <w:kern w:val="0"/>
                <w:sz w:val="24"/>
                <w:szCs w:val="24"/>
              </w:rPr>
              <w:t>华峰氨纶</w:t>
            </w:r>
          </w:p>
        </w:tc>
        <w:tc>
          <w:tcPr>
            <w:vAlign w:val="center"/>
          </w:tcPr>
          <w:p>
            <w:pPr>
              <w:jc w:val="right"/>
            </w:pPr>
            <w:r>
              <w:rPr>
                <w:color w:val="000000"/>
                <w:kern w:val="0"/>
                <w:sz w:val="24"/>
                <w:szCs w:val="24"/>
              </w:rPr>
              <w:t>34,768,790</w:t>
            </w:r>
          </w:p>
        </w:tc>
        <w:tc>
          <w:tcPr>
            <w:vAlign w:val="center"/>
          </w:tcPr>
          <w:p>
            <w:pPr>
              <w:jc w:val="right"/>
            </w:pPr>
            <w:r>
              <w:rPr>
                <w:color w:val="000000"/>
                <w:kern w:val="0"/>
                <w:sz w:val="24"/>
                <w:szCs w:val="24"/>
              </w:rPr>
              <w:t>176,277,765.30</w:t>
            </w:r>
          </w:p>
        </w:tc>
        <w:tc>
          <w:tcPr>
            <w:vAlign w:val="center"/>
          </w:tcPr>
          <w:p>
            <w:pPr>
              <w:jc w:val="right"/>
            </w:pPr>
            <w:r>
              <w:rPr>
                <w:color w:val="000000"/>
                <w:kern w:val="0"/>
                <w:sz w:val="24"/>
                <w:szCs w:val="24"/>
              </w:rPr>
              <w:t>3.61</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600426</w:t>
            </w:r>
          </w:p>
        </w:tc>
        <w:tc>
          <w:tcPr>
            <w:vAlign w:val="center"/>
          </w:tcPr>
          <w:p>
            <w:pPr>
              <w:jc w:val="center"/>
            </w:pPr>
            <w:r>
              <w:rPr>
                <w:color w:val="000000"/>
                <w:kern w:val="0"/>
                <w:sz w:val="24"/>
                <w:szCs w:val="24"/>
              </w:rPr>
              <w:t>华鲁恒升</w:t>
            </w:r>
          </w:p>
        </w:tc>
        <w:tc>
          <w:tcPr>
            <w:vAlign w:val="center"/>
          </w:tcPr>
          <w:p>
            <w:pPr>
              <w:jc w:val="right"/>
            </w:pPr>
            <w:r>
              <w:rPr>
                <w:color w:val="000000"/>
                <w:kern w:val="0"/>
                <w:sz w:val="24"/>
                <w:szCs w:val="24"/>
              </w:rPr>
              <w:t>9,249,446</w:t>
            </w:r>
          </w:p>
        </w:tc>
        <w:tc>
          <w:tcPr>
            <w:vAlign w:val="center"/>
          </w:tcPr>
          <w:p>
            <w:pPr>
              <w:jc w:val="right"/>
            </w:pPr>
            <w:r>
              <w:rPr>
                <w:color w:val="000000"/>
                <w:kern w:val="0"/>
                <w:sz w:val="24"/>
                <w:szCs w:val="24"/>
              </w:rPr>
              <w:t>163,530,205.28</w:t>
            </w:r>
          </w:p>
        </w:tc>
        <w:tc>
          <w:tcPr>
            <w:vAlign w:val="center"/>
          </w:tcPr>
          <w:p>
            <w:pPr>
              <w:jc w:val="right"/>
            </w:pPr>
            <w:r>
              <w:rPr>
                <w:color w:val="000000"/>
                <w:kern w:val="0"/>
                <w:sz w:val="24"/>
                <w:szCs w:val="24"/>
              </w:rPr>
              <w:t>3.35</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601012</w:t>
            </w:r>
          </w:p>
        </w:tc>
        <w:tc>
          <w:tcPr>
            <w:vAlign w:val="center"/>
          </w:tcPr>
          <w:p>
            <w:pPr>
              <w:jc w:val="center"/>
            </w:pPr>
            <w:r>
              <w:rPr>
                <w:color w:val="000000"/>
                <w:kern w:val="0"/>
                <w:sz w:val="24"/>
                <w:szCs w:val="24"/>
              </w:rPr>
              <w:t>隆基股份</w:t>
            </w:r>
          </w:p>
        </w:tc>
        <w:tc>
          <w:tcPr>
            <w:vAlign w:val="center"/>
          </w:tcPr>
          <w:p>
            <w:pPr>
              <w:jc w:val="right"/>
            </w:pPr>
            <w:r>
              <w:rPr>
                <w:color w:val="000000"/>
                <w:kern w:val="0"/>
                <w:sz w:val="24"/>
                <w:szCs w:val="24"/>
              </w:rPr>
              <w:t>2,892,840</w:t>
            </w:r>
          </w:p>
        </w:tc>
        <w:tc>
          <w:tcPr>
            <w:vAlign w:val="center"/>
          </w:tcPr>
          <w:p>
            <w:pPr>
              <w:jc w:val="right"/>
            </w:pPr>
            <w:r>
              <w:rPr>
                <w:color w:val="000000"/>
                <w:kern w:val="0"/>
                <w:sz w:val="24"/>
                <w:szCs w:val="24"/>
              </w:rPr>
              <w:t>117,825,373.20</w:t>
            </w:r>
          </w:p>
        </w:tc>
        <w:tc>
          <w:tcPr>
            <w:vAlign w:val="center"/>
          </w:tcPr>
          <w:p>
            <w:pPr>
              <w:jc w:val="right"/>
            </w:pPr>
            <w:r>
              <w:rPr>
                <w:color w:val="000000"/>
                <w:kern w:val="0"/>
                <w:sz w:val="24"/>
                <w:szCs w:val="24"/>
              </w:rPr>
              <w:t>2.41</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2019年9月26日，美国国际贸易委员会(ITC)根据美国Global Foundries公司提出的申请，决定对包括TCL集团（现已更名为“TCL科技”）在内的多家公司提起337调查，指控包括该公司在内的一系列企业对美出口、在美进口和在美销售的相关产品侵犯其专利权。2019年10月29日，上述337调查的芯片制程工艺方与Global Foundries公司联合宣布已就双方现有及未来十年将申请的半导体技术专利达成全球专利交互授权协议，并撤销双方之间及与各自客户相关的所有法律诉讼。</w:t>
      </w:r>
    </w:p>
    <w:p>
      <w:pPr>
        <w:spacing w:line="360" w:lineRule="auto"/>
        <w:rPr>
          <w:rFonts w:ascii="宋体" w:hAnsi="宋体"/>
          <w:color w:val="000000"/>
          <w:sz w:val="24"/>
          <w:szCs w:val="24"/>
        </w:rPr>
      </w:pPr>
      <w:r>
        <w:rPr>
          <w:rFonts w:ascii="宋体" w:hAnsi="宋体"/>
          <w:color w:val="000000"/>
          <w:sz w:val="24"/>
          <w:szCs w:val="24"/>
        </w:rPr>
        <w:t>本基金投资TCL科技的投资决策程序符合公司投资制度的规定。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除TCL科技外，本基金投资的前十名证券的发行主体本期没有出现被监管部门立案调查，或在报告编制日前一年内受到公开谴责、处罚的情形。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525,950.77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2,607,366.81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1,835,724.80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137,477.80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11,759,360.47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16,865,880.65</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5,953,087,354.38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236,389,041.52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1,698,213,876.62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4,491,262,519.28</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0.2227</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0.2227%</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0.2227%</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不少于3年</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0.2227%</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0.2227%</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1.中国证监会准予易方达高端制造混合型发起式证券投资基金注册的文件；</w:t>
      </w:r>
    </w:p>
    <w:p>
      <w:pPr>
        <w:spacing w:line="360" w:lineRule="auto"/>
        <w:ind w:firstLine="480" w:firstLineChars="200"/>
        <w:rPr>
          <w:color w:val="000000"/>
          <w:sz w:val="24"/>
          <w:szCs w:val="24"/>
        </w:rPr>
      </w:pPr>
      <w:r>
        <w:rPr>
          <w:color w:val="000000"/>
          <w:sz w:val="24"/>
          <w:szCs w:val="24"/>
        </w:rPr>
        <w:t>2.《易方达高端制造混合型发起式证券投资基金基金合同》；</w:t>
      </w:r>
    </w:p>
    <w:p>
      <w:pPr>
        <w:spacing w:line="360" w:lineRule="auto"/>
        <w:ind w:firstLine="480" w:firstLineChars="200"/>
        <w:rPr>
          <w:color w:val="000000"/>
          <w:sz w:val="24"/>
          <w:szCs w:val="24"/>
        </w:rPr>
      </w:pPr>
      <w:r>
        <w:rPr>
          <w:color w:val="000000"/>
          <w:sz w:val="24"/>
          <w:szCs w:val="24"/>
        </w:rPr>
        <w:t>3.《易方达高端制造混合型发起式证券投资基金托管协议》；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易方达高端制造混合型发起式证券投资基金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