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易方达裕富债券型证券投资基金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易方达裕富债券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008556</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2020年3月26日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983,611,872.53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本基金在控制风险的基础上，力求实现基金资产的长期稳健增值。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配置比例。债券投资方面，主要通过久期配置、类属配置、期限结构配置和个券选择四个层次进行投资管理。股票投资方面，主要采取“自下而上”的投资策略，精选优质企业进行投资，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沪深300指数收益率×10%+中债新综合指数（财富）收益率×90%</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本基金为债券型基金，其长期平均风险和预期收益率理论上低于股票型基金、混合型基金，高于货币市场基金。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易方达裕富债券A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易方达裕富债券C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008556</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008557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961,390,129.10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22,221,743.43</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易方达裕富债券A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易方达裕富债券C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6,998,318.99</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74,083.70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3,919,360.31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-716.19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0.0042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0.0000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970,488,911.30</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22,408,244.17</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1.0095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1.0084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易方达裕富债券A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1.11%</w:t>
            </w:r>
          </w:p>
        </w:tc>
        <w:tc>
          <w:tcPr>
            <w:vAlign w:val="center"/>
          </w:tcPr>
          <w:p>
            <w:pPr>
              <w:jc w:val="center"/>
            </w:pPr>
            <w:r>
              <w:rPr>
                <w:color w:val="000000"/>
                <w:sz w:val="24"/>
              </w:rPr>
              <w:t>0.13%</w:t>
            </w:r>
          </w:p>
        </w:tc>
        <w:tc>
          <w:tcPr>
            <w:vAlign w:val="center"/>
          </w:tcPr>
          <w:p>
            <w:pPr>
              <w:jc w:val="center"/>
            </w:pPr>
            <w:r>
              <w:rPr>
                <w:color w:val="000000"/>
                <w:sz w:val="24"/>
              </w:rPr>
              <w:t>1.09%</w:t>
            </w:r>
          </w:p>
        </w:tc>
        <w:tc>
          <w:tcPr>
            <w:vAlign w:val="center"/>
          </w:tcPr>
          <w:p>
            <w:pPr>
              <w:jc w:val="center"/>
            </w:pPr>
            <w:r>
              <w:rPr>
                <w:color w:val="000000"/>
                <w:sz w:val="24"/>
              </w:rPr>
              <w:t>0.14%</w:t>
            </w:r>
          </w:p>
        </w:tc>
        <w:tc>
          <w:tcPr>
            <w:vAlign w:val="center"/>
          </w:tcPr>
          <w:p>
            <w:pPr>
              <w:jc w:val="center"/>
            </w:pPr>
            <w:r>
              <w:rPr>
                <w:color w:val="000000"/>
                <w:sz w:val="24"/>
              </w:rPr>
              <w:t>0.02%</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0.95%</w:t>
            </w:r>
          </w:p>
        </w:tc>
        <w:tc>
          <w:tcPr>
            <w:vAlign w:val="center"/>
          </w:tcPr>
          <w:p>
            <w:pPr>
              <w:jc w:val="center"/>
            </w:pPr>
            <w:r>
              <w:rPr>
                <w:color w:val="000000"/>
                <w:sz w:val="24"/>
              </w:rPr>
              <w:t>0.13%</w:t>
            </w:r>
          </w:p>
        </w:tc>
        <w:tc>
          <w:tcPr>
            <w:vAlign w:val="center"/>
          </w:tcPr>
          <w:p>
            <w:pPr>
              <w:jc w:val="center"/>
            </w:pPr>
            <w:r>
              <w:rPr>
                <w:color w:val="000000"/>
                <w:sz w:val="24"/>
              </w:rPr>
              <w:t>1.19%</w:t>
            </w:r>
          </w:p>
        </w:tc>
        <w:tc>
          <w:tcPr>
            <w:vAlign w:val="center"/>
          </w:tcPr>
          <w:p>
            <w:pPr>
              <w:jc w:val="center"/>
            </w:pPr>
            <w:r>
              <w:rPr>
                <w:color w:val="000000"/>
                <w:sz w:val="24"/>
              </w:rPr>
              <w:t>0.14%</w:t>
            </w:r>
          </w:p>
        </w:tc>
        <w:tc>
          <w:tcPr>
            <w:vAlign w:val="center"/>
          </w:tcPr>
          <w:p>
            <w:pPr>
              <w:jc w:val="center"/>
            </w:pPr>
            <w:r>
              <w:rPr>
                <w:color w:val="000000"/>
                <w:sz w:val="24"/>
              </w:rPr>
              <w:t>-0.24%</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易方达裕富债券C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1.01%</w:t>
            </w:r>
          </w:p>
        </w:tc>
        <w:tc>
          <w:tcPr>
            <w:vAlign w:val="center"/>
          </w:tcPr>
          <w:p>
            <w:pPr>
              <w:jc w:val="center"/>
            </w:pPr>
            <w:r>
              <w:rPr>
                <w:color w:val="000000"/>
                <w:sz w:val="24"/>
              </w:rPr>
              <w:t>0.13%</w:t>
            </w:r>
          </w:p>
        </w:tc>
        <w:tc>
          <w:tcPr>
            <w:vAlign w:val="center"/>
          </w:tcPr>
          <w:p>
            <w:pPr>
              <w:jc w:val="center"/>
            </w:pPr>
            <w:r>
              <w:rPr>
                <w:color w:val="000000"/>
                <w:sz w:val="24"/>
              </w:rPr>
              <w:t>1.09%</w:t>
            </w:r>
          </w:p>
        </w:tc>
        <w:tc>
          <w:tcPr>
            <w:vAlign w:val="center"/>
          </w:tcPr>
          <w:p>
            <w:pPr>
              <w:jc w:val="center"/>
            </w:pPr>
            <w:r>
              <w:rPr>
                <w:color w:val="000000"/>
                <w:sz w:val="24"/>
              </w:rPr>
              <w:t>0.14%</w:t>
            </w:r>
          </w:p>
        </w:tc>
        <w:tc>
          <w:tcPr>
            <w:vAlign w:val="center"/>
          </w:tcPr>
          <w:p>
            <w:pPr>
              <w:jc w:val="center"/>
            </w:pPr>
            <w:r>
              <w:rPr>
                <w:color w:val="000000"/>
                <w:sz w:val="24"/>
              </w:rPr>
              <w:t>-0.08%</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0.84%</w:t>
            </w:r>
          </w:p>
        </w:tc>
        <w:tc>
          <w:tcPr>
            <w:vAlign w:val="center"/>
          </w:tcPr>
          <w:p>
            <w:pPr>
              <w:jc w:val="center"/>
            </w:pPr>
            <w:r>
              <w:rPr>
                <w:color w:val="000000"/>
                <w:sz w:val="24"/>
              </w:rPr>
              <w:t>0.13%</w:t>
            </w:r>
          </w:p>
        </w:tc>
        <w:tc>
          <w:tcPr>
            <w:vAlign w:val="center"/>
          </w:tcPr>
          <w:p>
            <w:pPr>
              <w:jc w:val="center"/>
            </w:pPr>
            <w:r>
              <w:rPr>
                <w:color w:val="000000"/>
                <w:sz w:val="24"/>
              </w:rPr>
              <w:t>1.19%</w:t>
            </w:r>
          </w:p>
        </w:tc>
        <w:tc>
          <w:tcPr>
            <w:vAlign w:val="center"/>
          </w:tcPr>
          <w:p>
            <w:pPr>
              <w:jc w:val="center"/>
            </w:pPr>
            <w:r>
              <w:rPr>
                <w:color w:val="000000"/>
                <w:sz w:val="24"/>
              </w:rPr>
              <w:t>0.14%</w:t>
            </w:r>
          </w:p>
        </w:tc>
        <w:tc>
          <w:tcPr>
            <w:vAlign w:val="center"/>
          </w:tcPr>
          <w:p>
            <w:pPr>
              <w:jc w:val="center"/>
            </w:pPr>
            <w:r>
              <w:rPr>
                <w:color w:val="000000"/>
                <w:sz w:val="24"/>
              </w:rPr>
              <w:t>-0.35%</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易方达裕富债券型证券投资基金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（2020年3月26日至2020年6月30日）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易方达裕富债券A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易方达裕富债券C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注：1.本基金合同于2020年3月26日生效，截至报告期末本基金合同生效未满一年。</w:t>
      </w:r>
    </w:p>
    <w:p>
      <w:pPr>
        <w:spacing w:line="360" w:lineRule="auto"/>
        <w:ind w:firstLine="480" w:firstLineChars="200"/>
        <w:rPr>
          <w:color w:val="000000"/>
          <w:sz w:val="24"/>
        </w:rPr>
      </w:pPr>
      <w:r>
        <w:rPr>
          <w:color w:val="000000"/>
          <w:sz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3.自基金合同生效至报告期末，A类基金份额净值增长率为0.95%，C类基金份额净值增长率为0.84%，同期业绩比较基准收益率为1.19%。</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张雅君</w:t>
            </w:r>
          </w:p>
        </w:tc>
        <w:tc>
          <w:tcPr>
            <w:vAlign w:val="center"/>
          </w:tcPr>
          <w:p>
            <w:pPr>
              <w:jc w:val="left"/>
            </w:pPr>
            <w:r>
              <w:rPr>
                <w:color w:val="000000"/>
                <w:sz w:val="24"/>
              </w:rPr>
              <w:t>本基金的基金经理、易方达增强回报债券型证券投资基金的基金经理（自2014年07月19日至2020年05月26日）、易方达纯债债券型证券投资基金的基金经理、易方达裕丰回报债券型证券投资基金的基金经理、易方达富财纯债债券型证券投资基金的基金经理、易方达恒兴3个月定期开放债券型发起式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1年定期开放债券型证券投资基金的基金经理助理（自2019年04月04日至2020年05月21日）、混合资产投资部总经理助理</w:t>
            </w:r>
          </w:p>
        </w:tc>
        <w:tc>
          <w:tcPr>
            <w:vAlign w:val="center"/>
          </w:tcPr>
          <w:p>
            <w:pPr>
              <w:jc w:val="center"/>
            </w:pPr>
            <w:r>
              <w:rPr>
                <w:color w:val="000000"/>
                <w:sz w:val="24"/>
              </w:rPr>
              <w:t>2020-03-26</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中债3-5年期国债指数证券投资基金基金经理、易方达中债7-10年期国开行债券指数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报告期内，组合仍处于建仓期，规模大幅增长。组合随申购增加逐步加仓权益资产，行业配置较为均衡。组合债券仓位和久期保持中性水平，信用债以票息收益为主，并适度参与利率债波段操作。</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1.0095元，本报告期份额净值增长率为1.11%，同期业绩比较基准收益率为1.09%；C类基金份额净值为1.0084元，本报告期份额净值增长率为1.01%，同期业绩比较基准收益率为1.09%。</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111,572,145.49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111,572,145.49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930,993,175.32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84.93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930,993,175.32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84.93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20,046,491.87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1.83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33,593,653.24</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1,096,205,465.92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90,491,348.29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9.11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6,890,100.00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7,970,176.20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0.80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6,220,521.00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111,572,145.49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11.24</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294,600</w:t>
            </w:r>
          </w:p>
        </w:tc>
        <w:tc>
          <w:tcPr>
            <w:vAlign w:val="center"/>
          </w:tcPr>
          <w:p>
            <w:pPr>
              <w:jc w:val="right"/>
            </w:pPr>
            <w:r>
              <w:rPr>
                <w:color w:val="000000"/>
                <w:sz w:val="24"/>
              </w:rPr>
              <w:t>11,999,058.00</w:t>
            </w:r>
          </w:p>
        </w:tc>
        <w:tc>
          <w:tcPr>
            <w:vAlign w:val="center"/>
          </w:tcPr>
          <w:p>
            <w:pPr>
              <w:jc w:val="right"/>
            </w:pPr>
            <w:r>
              <w:rPr>
                <w:color w:val="000000"/>
                <w:sz w:val="24"/>
              </w:rPr>
              <w:t>1.21</w:t>
            </w:r>
          </w:p>
        </w:tc>
      </w:tr>
      <w:tr>
        <w:tc>
          <w:tcPr>
            <w:vAlign w:val="center"/>
          </w:tcPr>
          <w:p>
            <w:pPr>
              <w:jc w:val="center"/>
            </w:pPr>
            <w:r>
              <w:rPr>
                <w:color w:val="000000"/>
                <w:sz w:val="24"/>
              </w:rPr>
              <w:t>2</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236,079</w:t>
            </w:r>
          </w:p>
        </w:tc>
        <w:tc>
          <w:tcPr>
            <w:vAlign w:val="center"/>
          </w:tcPr>
          <w:p>
            <w:pPr>
              <w:jc w:val="right"/>
            </w:pPr>
            <w:r>
              <w:rPr>
                <w:color w:val="000000"/>
                <w:sz w:val="24"/>
              </w:rPr>
              <w:t>11,782,702.89</w:t>
            </w:r>
          </w:p>
        </w:tc>
        <w:tc>
          <w:tcPr>
            <w:vAlign w:val="center"/>
          </w:tcPr>
          <w:p>
            <w:pPr>
              <w:jc w:val="right"/>
            </w:pPr>
            <w:r>
              <w:rPr>
                <w:color w:val="000000"/>
                <w:sz w:val="24"/>
              </w:rPr>
              <w:t>1.19</w:t>
            </w:r>
          </w:p>
        </w:tc>
      </w:tr>
      <w:tr>
        <w:tc>
          <w:tcPr>
            <w:vAlign w:val="center"/>
          </w:tcPr>
          <w:p>
            <w:pPr>
              <w:jc w:val="center"/>
            </w:pPr>
            <w:r>
              <w:rPr>
                <w:color w:val="000000"/>
                <w:sz w:val="24"/>
              </w:rPr>
              <w:t>3</w:t>
            </w:r>
          </w:p>
        </w:tc>
        <w:tc>
          <w:tcPr>
            <w:vAlign w:val="center"/>
          </w:tcPr>
          <w:p>
            <w:pPr>
              <w:jc w:val="center"/>
            </w:pPr>
            <w:r>
              <w:rPr>
                <w:color w:val="000000"/>
                <w:sz w:val="24"/>
              </w:rPr>
              <w:t>000860</w:t>
            </w:r>
          </w:p>
        </w:tc>
        <w:tc>
          <w:tcPr>
            <w:vAlign w:val="center"/>
          </w:tcPr>
          <w:p>
            <w:pPr>
              <w:jc w:val="center"/>
            </w:pPr>
            <w:r>
              <w:rPr>
                <w:color w:val="000000"/>
                <w:sz w:val="24"/>
              </w:rPr>
              <w:t>顺鑫农业</w:t>
            </w:r>
          </w:p>
        </w:tc>
        <w:tc>
          <w:tcPr>
            <w:vAlign w:val="center"/>
          </w:tcPr>
          <w:p>
            <w:pPr>
              <w:jc w:val="right"/>
            </w:pPr>
            <w:r>
              <w:rPr>
                <w:color w:val="000000"/>
                <w:sz w:val="24"/>
              </w:rPr>
              <w:t>173,900</w:t>
            </w:r>
          </w:p>
        </w:tc>
        <w:tc>
          <w:tcPr>
            <w:vAlign w:val="center"/>
          </w:tcPr>
          <w:p>
            <w:pPr>
              <w:jc w:val="right"/>
            </w:pPr>
            <w:r>
              <w:rPr>
                <w:color w:val="000000"/>
                <w:sz w:val="24"/>
              </w:rPr>
              <w:t>9,908,822.00</w:t>
            </w:r>
          </w:p>
        </w:tc>
        <w:tc>
          <w:tcPr>
            <w:vAlign w:val="center"/>
          </w:tcPr>
          <w:p>
            <w:pPr>
              <w:jc w:val="right"/>
            </w:pPr>
            <w:r>
              <w:rPr>
                <w:color w:val="000000"/>
                <w:sz w:val="24"/>
              </w:rPr>
              <w:t>1.00</w:t>
            </w:r>
          </w:p>
        </w:tc>
      </w:tr>
      <w:tr>
        <w:tc>
          <w:tcPr>
            <w:vAlign w:val="center"/>
          </w:tcPr>
          <w:p>
            <w:pPr>
              <w:jc w:val="center"/>
            </w:pPr>
            <w:r>
              <w:rPr>
                <w:color w:val="000000"/>
                <w:sz w:val="24"/>
              </w:rPr>
              <w:t>4</w:t>
            </w:r>
          </w:p>
        </w:tc>
        <w:tc>
          <w:tcPr>
            <w:vAlign w:val="center"/>
          </w:tcPr>
          <w:p>
            <w:pPr>
              <w:jc w:val="center"/>
            </w:pPr>
            <w:r>
              <w:rPr>
                <w:color w:val="000000"/>
                <w:sz w:val="24"/>
              </w:rPr>
              <w:t>600066</w:t>
            </w:r>
          </w:p>
        </w:tc>
        <w:tc>
          <w:tcPr>
            <w:vAlign w:val="center"/>
          </w:tcPr>
          <w:p>
            <w:pPr>
              <w:jc w:val="center"/>
            </w:pPr>
            <w:r>
              <w:rPr>
                <w:color w:val="000000"/>
                <w:sz w:val="24"/>
              </w:rPr>
              <w:t>宇通客车</w:t>
            </w:r>
          </w:p>
        </w:tc>
        <w:tc>
          <w:tcPr>
            <w:vAlign w:val="center"/>
          </w:tcPr>
          <w:p>
            <w:pPr>
              <w:jc w:val="right"/>
            </w:pPr>
            <w:r>
              <w:rPr>
                <w:color w:val="000000"/>
                <w:sz w:val="24"/>
              </w:rPr>
              <w:t>790,900</w:t>
            </w:r>
          </w:p>
        </w:tc>
        <w:tc>
          <w:tcPr>
            <w:vAlign w:val="center"/>
          </w:tcPr>
          <w:p>
            <w:pPr>
              <w:jc w:val="right"/>
            </w:pPr>
            <w:r>
              <w:rPr>
                <w:color w:val="000000"/>
                <w:sz w:val="24"/>
              </w:rPr>
              <w:t>9,648,980.00</w:t>
            </w:r>
          </w:p>
        </w:tc>
        <w:tc>
          <w:tcPr>
            <w:vAlign w:val="center"/>
          </w:tcPr>
          <w:p>
            <w:pPr>
              <w:jc w:val="right"/>
            </w:pPr>
            <w:r>
              <w:rPr>
                <w:color w:val="000000"/>
                <w:sz w:val="24"/>
              </w:rPr>
              <w:t>0.97</w:t>
            </w:r>
          </w:p>
        </w:tc>
      </w:tr>
      <w:tr>
        <w:tc>
          <w:tcPr>
            <w:vAlign w:val="center"/>
          </w:tcPr>
          <w:p>
            <w:pPr>
              <w:jc w:val="center"/>
            </w:pPr>
            <w:r>
              <w:rPr>
                <w:color w:val="000000"/>
                <w:sz w:val="24"/>
              </w:rPr>
              <w:t>5</w:t>
            </w:r>
          </w:p>
        </w:tc>
        <w:tc>
          <w:tcPr>
            <w:vAlign w:val="center"/>
          </w:tcPr>
          <w:p>
            <w:pPr>
              <w:jc w:val="center"/>
            </w:pPr>
            <w:r>
              <w:rPr>
                <w:color w:val="000000"/>
                <w:sz w:val="24"/>
              </w:rPr>
              <w:t>000333</w:t>
            </w:r>
          </w:p>
        </w:tc>
        <w:tc>
          <w:tcPr>
            <w:vAlign w:val="center"/>
          </w:tcPr>
          <w:p>
            <w:pPr>
              <w:jc w:val="center"/>
            </w:pPr>
            <w:r>
              <w:rPr>
                <w:color w:val="000000"/>
                <w:sz w:val="24"/>
              </w:rPr>
              <w:t>美的集团</w:t>
            </w:r>
          </w:p>
        </w:tc>
        <w:tc>
          <w:tcPr>
            <w:vAlign w:val="center"/>
          </w:tcPr>
          <w:p>
            <w:pPr>
              <w:jc w:val="right"/>
            </w:pPr>
            <w:r>
              <w:rPr>
                <w:color w:val="000000"/>
                <w:sz w:val="24"/>
              </w:rPr>
              <w:t>134,700</w:t>
            </w:r>
          </w:p>
        </w:tc>
        <w:tc>
          <w:tcPr>
            <w:vAlign w:val="center"/>
          </w:tcPr>
          <w:p>
            <w:pPr>
              <w:jc w:val="right"/>
            </w:pPr>
            <w:r>
              <w:rPr>
                <w:color w:val="000000"/>
                <w:sz w:val="24"/>
              </w:rPr>
              <w:t>8,053,713.00</w:t>
            </w:r>
          </w:p>
        </w:tc>
        <w:tc>
          <w:tcPr>
            <w:vAlign w:val="center"/>
          </w:tcPr>
          <w:p>
            <w:pPr>
              <w:jc w:val="right"/>
            </w:pPr>
            <w:r>
              <w:rPr>
                <w:color w:val="000000"/>
                <w:sz w:val="24"/>
              </w:rPr>
              <w:t>0.81</w:t>
            </w:r>
          </w:p>
        </w:tc>
      </w:tr>
      <w:tr>
        <w:tc>
          <w:tcPr>
            <w:vAlign w:val="center"/>
          </w:tcPr>
          <w:p>
            <w:pPr>
              <w:jc w:val="center"/>
            </w:pPr>
            <w:r>
              <w:rPr>
                <w:color w:val="000000"/>
                <w:sz w:val="24"/>
              </w:rPr>
              <w:t>6</w:t>
            </w:r>
          </w:p>
        </w:tc>
        <w:tc>
          <w:tcPr>
            <w:vAlign w:val="center"/>
          </w:tcPr>
          <w:p>
            <w:pPr>
              <w:jc w:val="center"/>
            </w:pPr>
            <w:r>
              <w:rPr>
                <w:color w:val="000000"/>
                <w:sz w:val="24"/>
              </w:rPr>
              <w:t>603259</w:t>
            </w:r>
          </w:p>
        </w:tc>
        <w:tc>
          <w:tcPr>
            <w:vAlign w:val="center"/>
          </w:tcPr>
          <w:p>
            <w:pPr>
              <w:jc w:val="center"/>
            </w:pPr>
            <w:r>
              <w:rPr>
                <w:color w:val="000000"/>
                <w:sz w:val="24"/>
              </w:rPr>
              <w:t>药明康德</w:t>
            </w:r>
          </w:p>
        </w:tc>
        <w:tc>
          <w:tcPr>
            <w:vAlign w:val="center"/>
          </w:tcPr>
          <w:p>
            <w:pPr>
              <w:jc w:val="right"/>
            </w:pPr>
            <w:r>
              <w:rPr>
                <w:color w:val="000000"/>
                <w:sz w:val="24"/>
              </w:rPr>
              <w:t>82,507</w:t>
            </w:r>
          </w:p>
        </w:tc>
        <w:tc>
          <w:tcPr>
            <w:vAlign w:val="center"/>
          </w:tcPr>
          <w:p>
            <w:pPr>
              <w:jc w:val="right"/>
            </w:pPr>
            <w:r>
              <w:rPr>
                <w:color w:val="000000"/>
                <w:sz w:val="24"/>
              </w:rPr>
              <w:t>7,970,176.20</w:t>
            </w:r>
          </w:p>
        </w:tc>
        <w:tc>
          <w:tcPr>
            <w:vAlign w:val="center"/>
          </w:tcPr>
          <w:p>
            <w:pPr>
              <w:jc w:val="right"/>
            </w:pPr>
            <w:r>
              <w:rPr>
                <w:color w:val="000000"/>
                <w:sz w:val="24"/>
              </w:rPr>
              <w:t>0.80</w:t>
            </w:r>
          </w:p>
        </w:tc>
      </w:tr>
      <w:tr>
        <w:tc>
          <w:tcPr>
            <w:vAlign w:val="center"/>
          </w:tcPr>
          <w:p>
            <w:pPr>
              <w:jc w:val="center"/>
            </w:pPr>
            <w:r>
              <w:rPr>
                <w:color w:val="000000"/>
                <w:sz w:val="24"/>
              </w:rPr>
              <w:t>7</w:t>
            </w:r>
          </w:p>
        </w:tc>
        <w:tc>
          <w:tcPr>
            <w:vAlign w:val="center"/>
          </w:tcPr>
          <w:p>
            <w:pPr>
              <w:jc w:val="center"/>
            </w:pPr>
            <w:r>
              <w:rPr>
                <w:color w:val="000000"/>
                <w:sz w:val="24"/>
              </w:rPr>
              <w:t>601318</w:t>
            </w:r>
          </w:p>
        </w:tc>
        <w:tc>
          <w:tcPr>
            <w:vAlign w:val="center"/>
          </w:tcPr>
          <w:p>
            <w:pPr>
              <w:jc w:val="center"/>
            </w:pPr>
            <w:r>
              <w:rPr>
                <w:color w:val="000000"/>
                <w:sz w:val="24"/>
              </w:rPr>
              <w:t>中国平安</w:t>
            </w:r>
          </w:p>
        </w:tc>
        <w:tc>
          <w:tcPr>
            <w:vAlign w:val="center"/>
          </w:tcPr>
          <w:p>
            <w:pPr>
              <w:jc w:val="right"/>
            </w:pPr>
            <w:r>
              <w:rPr>
                <w:color w:val="000000"/>
                <w:sz w:val="24"/>
              </w:rPr>
              <w:t>96,500</w:t>
            </w:r>
          </w:p>
        </w:tc>
        <w:tc>
          <w:tcPr>
            <w:vAlign w:val="center"/>
          </w:tcPr>
          <w:p>
            <w:pPr>
              <w:jc w:val="right"/>
            </w:pPr>
            <w:r>
              <w:rPr>
                <w:color w:val="000000"/>
                <w:sz w:val="24"/>
              </w:rPr>
              <w:t>6,890,100.00</w:t>
            </w:r>
          </w:p>
        </w:tc>
        <w:tc>
          <w:tcPr>
            <w:vAlign w:val="center"/>
          </w:tcPr>
          <w:p>
            <w:pPr>
              <w:jc w:val="right"/>
            </w:pPr>
            <w:r>
              <w:rPr>
                <w:color w:val="000000"/>
                <w:sz w:val="24"/>
              </w:rPr>
              <w:t>0.69</w:t>
            </w:r>
          </w:p>
        </w:tc>
      </w:tr>
      <w:tr>
        <w:tc>
          <w:tcPr>
            <w:vAlign w:val="center"/>
          </w:tcPr>
          <w:p>
            <w:pPr>
              <w:jc w:val="center"/>
            </w:pPr>
            <w:r>
              <w:rPr>
                <w:color w:val="000000"/>
                <w:sz w:val="24"/>
              </w:rPr>
              <w:t>8</w:t>
            </w:r>
          </w:p>
        </w:tc>
        <w:tc>
          <w:tcPr>
            <w:vAlign w:val="center"/>
          </w:tcPr>
          <w:p>
            <w:pPr>
              <w:jc w:val="center"/>
            </w:pPr>
            <w:r>
              <w:rPr>
                <w:color w:val="000000"/>
                <w:sz w:val="24"/>
              </w:rPr>
              <w:t>600600</w:t>
            </w:r>
          </w:p>
        </w:tc>
        <w:tc>
          <w:tcPr>
            <w:vAlign w:val="center"/>
          </w:tcPr>
          <w:p>
            <w:pPr>
              <w:jc w:val="center"/>
            </w:pPr>
            <w:r>
              <w:rPr>
                <w:color w:val="000000"/>
                <w:sz w:val="24"/>
              </w:rPr>
              <w:t>青岛啤酒</w:t>
            </w:r>
          </w:p>
        </w:tc>
        <w:tc>
          <w:tcPr>
            <w:vAlign w:val="center"/>
          </w:tcPr>
          <w:p>
            <w:pPr>
              <w:jc w:val="right"/>
            </w:pPr>
            <w:r>
              <w:rPr>
                <w:color w:val="000000"/>
                <w:sz w:val="24"/>
              </w:rPr>
              <w:t>82,500</w:t>
            </w:r>
          </w:p>
        </w:tc>
        <w:tc>
          <w:tcPr>
            <w:vAlign w:val="center"/>
          </w:tcPr>
          <w:p>
            <w:pPr>
              <w:jc w:val="right"/>
            </w:pPr>
            <w:r>
              <w:rPr>
                <w:color w:val="000000"/>
                <w:sz w:val="24"/>
              </w:rPr>
              <w:t>6,311,250.00</w:t>
            </w:r>
          </w:p>
        </w:tc>
        <w:tc>
          <w:tcPr>
            <w:vAlign w:val="center"/>
          </w:tcPr>
          <w:p>
            <w:pPr>
              <w:jc w:val="right"/>
            </w:pPr>
            <w:r>
              <w:rPr>
                <w:color w:val="000000"/>
                <w:sz w:val="24"/>
              </w:rPr>
              <w:t>0.64</w:t>
            </w:r>
          </w:p>
        </w:tc>
      </w:tr>
      <w:tr>
        <w:tc>
          <w:tcPr>
            <w:vAlign w:val="center"/>
          </w:tcPr>
          <w:p>
            <w:pPr>
              <w:jc w:val="center"/>
            </w:pPr>
            <w:r>
              <w:rPr>
                <w:color w:val="000000"/>
                <w:sz w:val="24"/>
              </w:rPr>
              <w:t>9</w:t>
            </w:r>
          </w:p>
        </w:tc>
        <w:tc>
          <w:tcPr>
            <w:vAlign w:val="center"/>
          </w:tcPr>
          <w:p>
            <w:pPr>
              <w:jc w:val="center"/>
            </w:pPr>
            <w:r>
              <w:rPr>
                <w:color w:val="000000"/>
                <w:sz w:val="24"/>
              </w:rPr>
              <w:t>600763</w:t>
            </w:r>
          </w:p>
        </w:tc>
        <w:tc>
          <w:tcPr>
            <w:vAlign w:val="center"/>
          </w:tcPr>
          <w:p>
            <w:pPr>
              <w:jc w:val="center"/>
            </w:pPr>
            <w:r>
              <w:rPr>
                <w:color w:val="000000"/>
                <w:sz w:val="24"/>
              </w:rPr>
              <w:t>通策医疗</w:t>
            </w:r>
          </w:p>
        </w:tc>
        <w:tc>
          <w:tcPr>
            <w:vAlign w:val="center"/>
          </w:tcPr>
          <w:p>
            <w:pPr>
              <w:jc w:val="right"/>
            </w:pPr>
            <w:r>
              <w:rPr>
                <w:color w:val="000000"/>
                <w:sz w:val="24"/>
              </w:rPr>
              <w:t>37,300</w:t>
            </w:r>
          </w:p>
        </w:tc>
        <w:tc>
          <w:tcPr>
            <w:vAlign w:val="center"/>
          </w:tcPr>
          <w:p>
            <w:pPr>
              <w:jc w:val="right"/>
            </w:pPr>
            <w:r>
              <w:rPr>
                <w:color w:val="000000"/>
                <w:sz w:val="24"/>
              </w:rPr>
              <w:t>6,220,521.00</w:t>
            </w:r>
          </w:p>
        </w:tc>
        <w:tc>
          <w:tcPr>
            <w:vAlign w:val="center"/>
          </w:tcPr>
          <w:p>
            <w:pPr>
              <w:jc w:val="right"/>
            </w:pPr>
            <w:r>
              <w:rPr>
                <w:color w:val="000000"/>
                <w:sz w:val="24"/>
              </w:rPr>
              <w:t>0.63</w:t>
            </w:r>
          </w:p>
        </w:tc>
      </w:tr>
      <w:tr>
        <w:tc>
          <w:tcPr>
            <w:vAlign w:val="center"/>
          </w:tcPr>
          <w:p>
            <w:pPr>
              <w:jc w:val="center"/>
            </w:pPr>
            <w:r>
              <w:rPr>
                <w:color w:val="000000"/>
                <w:sz w:val="24"/>
              </w:rPr>
              <w:t>10</w:t>
            </w:r>
          </w:p>
        </w:tc>
        <w:tc>
          <w:tcPr>
            <w:vAlign w:val="center"/>
          </w:tcPr>
          <w:p>
            <w:pPr>
              <w:jc w:val="center"/>
            </w:pPr>
            <w:r>
              <w:rPr>
                <w:color w:val="000000"/>
                <w:sz w:val="24"/>
              </w:rPr>
              <w:t>600161</w:t>
            </w:r>
          </w:p>
        </w:tc>
        <w:tc>
          <w:tcPr>
            <w:vAlign w:val="center"/>
          </w:tcPr>
          <w:p>
            <w:pPr>
              <w:jc w:val="center"/>
            </w:pPr>
            <w:r>
              <w:rPr>
                <w:color w:val="000000"/>
                <w:sz w:val="24"/>
              </w:rPr>
              <w:t>天坛生物</w:t>
            </w:r>
          </w:p>
        </w:tc>
        <w:tc>
          <w:tcPr>
            <w:vAlign w:val="center"/>
          </w:tcPr>
          <w:p>
            <w:pPr>
              <w:jc w:val="right"/>
            </w:pPr>
            <w:r>
              <w:rPr>
                <w:color w:val="000000"/>
                <w:sz w:val="24"/>
              </w:rPr>
              <w:t>129,000</w:t>
            </w:r>
          </w:p>
        </w:tc>
        <w:tc>
          <w:tcPr>
            <w:vAlign w:val="center"/>
          </w:tcPr>
          <w:p>
            <w:pPr>
              <w:jc w:val="right"/>
            </w:pPr>
            <w:r>
              <w:rPr>
                <w:color w:val="000000"/>
                <w:sz w:val="24"/>
              </w:rPr>
              <w:t>5,847,570.00</w:t>
            </w:r>
          </w:p>
        </w:tc>
        <w:tc>
          <w:tcPr>
            <w:vAlign w:val="center"/>
          </w:tcPr>
          <w:p>
            <w:pPr>
              <w:jc w:val="right"/>
            </w:pPr>
            <w:r>
              <w:rPr>
                <w:color w:val="000000"/>
                <w:sz w:val="24"/>
              </w:rPr>
              <w:t>0.59</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60,906,000.00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6.13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60,906,000.00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6.13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377,101,000.00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37.98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439,290,000.00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44.24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53,696,175.32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5.41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930,993,175.32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93.77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102000281</w:t>
            </w:r>
          </w:p>
        </w:tc>
        <w:tc>
          <w:tcPr>
            <w:vAlign w:val="center"/>
          </w:tcPr>
          <w:p>
            <w:pPr>
              <w:jc w:val="center"/>
            </w:pPr>
            <w:r>
              <w:rPr>
                <w:color w:val="000000"/>
                <w:sz w:val="24"/>
              </w:rPr>
              <w:t>20海淀国资MTN001</w:t>
            </w:r>
          </w:p>
        </w:tc>
        <w:tc>
          <w:tcPr>
            <w:vAlign w:val="center"/>
          </w:tcPr>
          <w:p>
            <w:pPr>
              <w:jc w:val="right"/>
            </w:pPr>
            <w:r>
              <w:rPr>
                <w:color w:val="000000"/>
                <w:sz w:val="24"/>
              </w:rPr>
              <w:t>800,000</w:t>
            </w:r>
          </w:p>
        </w:tc>
        <w:tc>
          <w:tcPr>
            <w:vAlign w:val="center"/>
          </w:tcPr>
          <w:p>
            <w:pPr>
              <w:jc w:val="right"/>
            </w:pPr>
            <w:r>
              <w:rPr>
                <w:color w:val="000000"/>
                <w:sz w:val="24"/>
              </w:rPr>
              <w:t>79,264,000.00</w:t>
            </w:r>
          </w:p>
        </w:tc>
        <w:tc>
          <w:tcPr>
            <w:vAlign w:val="center"/>
          </w:tcPr>
          <w:p>
            <w:pPr>
              <w:jc w:val="right"/>
            </w:pPr>
            <w:r>
              <w:rPr>
                <w:color w:val="000000"/>
                <w:sz w:val="24"/>
              </w:rPr>
              <w:t>7.98</w:t>
            </w:r>
          </w:p>
        </w:tc>
      </w:tr>
      <w:tr>
        <w:tc>
          <w:tcPr>
            <w:vAlign w:val="center"/>
          </w:tcPr>
          <w:p>
            <w:pPr>
              <w:jc w:val="center"/>
            </w:pPr>
            <w:r>
              <w:rPr>
                <w:color w:val="000000"/>
                <w:sz w:val="24"/>
              </w:rPr>
              <w:t>2</w:t>
            </w:r>
          </w:p>
        </w:tc>
        <w:tc>
          <w:tcPr>
            <w:vAlign w:val="center"/>
          </w:tcPr>
          <w:p>
            <w:pPr>
              <w:jc w:val="center"/>
            </w:pPr>
            <w:r>
              <w:rPr>
                <w:color w:val="000000"/>
                <w:sz w:val="24"/>
              </w:rPr>
              <w:t>102000939</w:t>
            </w:r>
          </w:p>
        </w:tc>
        <w:tc>
          <w:tcPr>
            <w:vAlign w:val="center"/>
          </w:tcPr>
          <w:p>
            <w:pPr>
              <w:jc w:val="center"/>
            </w:pPr>
            <w:r>
              <w:rPr>
                <w:color w:val="000000"/>
                <w:sz w:val="24"/>
              </w:rPr>
              <w:t>20华润控股MTN002A</w:t>
            </w:r>
          </w:p>
        </w:tc>
        <w:tc>
          <w:tcPr>
            <w:vAlign w:val="center"/>
          </w:tcPr>
          <w:p>
            <w:pPr>
              <w:jc w:val="right"/>
            </w:pPr>
            <w:r>
              <w:rPr>
                <w:color w:val="000000"/>
                <w:sz w:val="24"/>
              </w:rPr>
              <w:t>800,000</w:t>
            </w:r>
          </w:p>
        </w:tc>
        <w:tc>
          <w:tcPr>
            <w:vAlign w:val="center"/>
          </w:tcPr>
          <w:p>
            <w:pPr>
              <w:jc w:val="right"/>
            </w:pPr>
            <w:r>
              <w:rPr>
                <w:color w:val="000000"/>
                <w:sz w:val="24"/>
              </w:rPr>
              <w:t>78,248,000.00</w:t>
            </w:r>
          </w:p>
        </w:tc>
        <w:tc>
          <w:tcPr>
            <w:vAlign w:val="center"/>
          </w:tcPr>
          <w:p>
            <w:pPr>
              <w:jc w:val="right"/>
            </w:pPr>
            <w:r>
              <w:rPr>
                <w:color w:val="000000"/>
                <w:sz w:val="24"/>
              </w:rPr>
              <w:t>7.88</w:t>
            </w:r>
          </w:p>
        </w:tc>
      </w:tr>
      <w:tr>
        <w:tc>
          <w:tcPr>
            <w:vAlign w:val="center"/>
          </w:tcPr>
          <w:p>
            <w:pPr>
              <w:jc w:val="center"/>
            </w:pPr>
            <w:r>
              <w:rPr>
                <w:color w:val="000000"/>
                <w:sz w:val="24"/>
              </w:rPr>
              <w:t>3</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600,000</w:t>
            </w:r>
          </w:p>
        </w:tc>
        <w:tc>
          <w:tcPr>
            <w:vAlign w:val="center"/>
          </w:tcPr>
          <w:p>
            <w:pPr>
              <w:jc w:val="right"/>
            </w:pPr>
            <w:r>
              <w:rPr>
                <w:color w:val="000000"/>
                <w:sz w:val="24"/>
              </w:rPr>
              <w:t>60,906,000.00</w:t>
            </w:r>
          </w:p>
        </w:tc>
        <w:tc>
          <w:tcPr>
            <w:vAlign w:val="center"/>
          </w:tcPr>
          <w:p>
            <w:pPr>
              <w:jc w:val="right"/>
            </w:pPr>
            <w:r>
              <w:rPr>
                <w:color w:val="000000"/>
                <w:sz w:val="24"/>
              </w:rPr>
              <w:t>6.13</w:t>
            </w:r>
          </w:p>
        </w:tc>
      </w:tr>
      <w:tr>
        <w:tc>
          <w:tcPr>
            <w:vAlign w:val="center"/>
          </w:tcPr>
          <w:p>
            <w:pPr>
              <w:jc w:val="center"/>
            </w:pPr>
            <w:r>
              <w:rPr>
                <w:color w:val="000000"/>
                <w:sz w:val="24"/>
              </w:rPr>
              <w:t>4</w:t>
            </w:r>
          </w:p>
        </w:tc>
        <w:tc>
          <w:tcPr>
            <w:vAlign w:val="center"/>
          </w:tcPr>
          <w:p>
            <w:pPr>
              <w:jc w:val="center"/>
            </w:pPr>
            <w:r>
              <w:rPr>
                <w:color w:val="000000"/>
                <w:sz w:val="24"/>
              </w:rPr>
              <w:t>163530</w:t>
            </w:r>
          </w:p>
        </w:tc>
        <w:tc>
          <w:tcPr>
            <w:vAlign w:val="center"/>
          </w:tcPr>
          <w:p>
            <w:pPr>
              <w:jc w:val="center"/>
            </w:pPr>
            <w:r>
              <w:rPr>
                <w:color w:val="000000"/>
                <w:sz w:val="24"/>
              </w:rPr>
              <w:t>20诚通09</w:t>
            </w:r>
          </w:p>
        </w:tc>
        <w:tc>
          <w:tcPr>
            <w:vAlign w:val="center"/>
          </w:tcPr>
          <w:p>
            <w:pPr>
              <w:jc w:val="right"/>
            </w:pPr>
            <w:r>
              <w:rPr>
                <w:color w:val="000000"/>
                <w:sz w:val="24"/>
              </w:rPr>
              <w:t>600,000</w:t>
            </w:r>
          </w:p>
        </w:tc>
        <w:tc>
          <w:tcPr>
            <w:vAlign w:val="center"/>
          </w:tcPr>
          <w:p>
            <w:pPr>
              <w:jc w:val="right"/>
            </w:pPr>
            <w:r>
              <w:rPr>
                <w:color w:val="000000"/>
                <w:sz w:val="24"/>
              </w:rPr>
              <w:t>58,104,000.00</w:t>
            </w:r>
          </w:p>
        </w:tc>
        <w:tc>
          <w:tcPr>
            <w:vAlign w:val="center"/>
          </w:tcPr>
          <w:p>
            <w:pPr>
              <w:jc w:val="right"/>
            </w:pPr>
            <w:r>
              <w:rPr>
                <w:color w:val="000000"/>
                <w:sz w:val="24"/>
              </w:rPr>
              <w:t>5.85</w:t>
            </w:r>
          </w:p>
        </w:tc>
      </w:tr>
      <w:tr>
        <w:tc>
          <w:tcPr>
            <w:vAlign w:val="center"/>
          </w:tcPr>
          <w:p>
            <w:pPr>
              <w:jc w:val="center"/>
            </w:pPr>
            <w:r>
              <w:rPr>
                <w:color w:val="000000"/>
                <w:sz w:val="24"/>
              </w:rPr>
              <w:t>5</w:t>
            </w:r>
          </w:p>
        </w:tc>
        <w:tc>
          <w:tcPr>
            <w:vAlign w:val="center"/>
          </w:tcPr>
          <w:p>
            <w:pPr>
              <w:jc w:val="center"/>
            </w:pPr>
            <w:r>
              <w:rPr>
                <w:color w:val="000000"/>
                <w:sz w:val="24"/>
              </w:rPr>
              <w:t>112979</w:t>
            </w:r>
          </w:p>
        </w:tc>
        <w:tc>
          <w:tcPr>
            <w:vAlign w:val="center"/>
          </w:tcPr>
          <w:p>
            <w:pPr>
              <w:jc w:val="center"/>
            </w:pPr>
            <w:r>
              <w:rPr>
                <w:color w:val="000000"/>
                <w:sz w:val="24"/>
              </w:rPr>
              <w:t>19海集01</w:t>
            </w:r>
          </w:p>
        </w:tc>
        <w:tc>
          <w:tcPr>
            <w:vAlign w:val="center"/>
          </w:tcPr>
          <w:p>
            <w:pPr>
              <w:jc w:val="right"/>
            </w:pPr>
            <w:r>
              <w:rPr>
                <w:color w:val="000000"/>
                <w:sz w:val="24"/>
              </w:rPr>
              <w:t>400,000</w:t>
            </w:r>
          </w:p>
        </w:tc>
        <w:tc>
          <w:tcPr>
            <w:vAlign w:val="center"/>
          </w:tcPr>
          <w:p>
            <w:pPr>
              <w:jc w:val="right"/>
            </w:pPr>
            <w:r>
              <w:rPr>
                <w:color w:val="000000"/>
                <w:sz w:val="24"/>
              </w:rPr>
              <w:t>40,380,000.00</w:t>
            </w:r>
          </w:p>
        </w:tc>
        <w:tc>
          <w:tcPr>
            <w:vAlign w:val="center"/>
          </w:tcPr>
          <w:p>
            <w:pPr>
              <w:jc w:val="right"/>
            </w:pPr>
            <w:r>
              <w:rPr>
                <w:color w:val="000000"/>
                <w:sz w:val="24"/>
              </w:rPr>
              <w:t>4.07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1D5CD0" w:rsidR="00F016DD" w:rsidRDefault="00F016DD" w:rsidRPr="00E7356F">
      <w:pPr>
        <w:adjustRightInd w:val="0"/>
        <w:snapToGrid w:val="0"/>
        <w:spacing w:line="360" w:lineRule="auto"/>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5.10.1 </w:t>
      </w:r>
      <w:r w:rsidRPr="00E7356F">
        <w:rPr>
          <w:rFonts w:ascii="宋体" w:hAnsi="宋体" w:hint="eastAsia"/>
          <w:sz w:val="24"/>
        </w:rPr>
        <w:t>本期国债期货投资政策</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本基金根据风险管理的原则，主要选择流动性好的国债期货合约进行交易，以对冲投资组合的利率风险、有效管理现金流量、降低建仓或调仓过程中的冲击成本等。</w:t>
      </w:r>
    </w:p>
    <w:p w:rsidP="00B249C0" w:rsidR="00B249C0" w:rsidRDefault="00F016DD">
      <w:pPr>
        <w:autoSpaceDE w:val="0"/>
        <w:autoSpaceDN w:val="0"/>
        <w:adjustRightInd w:val="0"/>
        <w:spacing w:line="360" w:lineRule="auto"/>
        <w:jc w:val="left"/>
        <w:rPr>
          <w:rFonts w:ascii="宋体" w:hAnsi="宋体"/>
          <w:bCs/>
          <w:color w:val="000000"/>
          <w:kern w:val="0"/>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5.10.2 </w:t>
      </w:r>
      <w:r w:rsidRPr="00E7356F">
        <w:rPr>
          <w:rFonts w:ascii="宋体" w:hAnsi="宋体" w:hint="eastAsia"/>
          <w:sz w:val="24"/>
        </w:rPr>
        <w:t>报告期末本基金投资的国债期货持仓和损益明细</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r w:rsidR="00B06246" w:rsidRPr="00B06246">
        <w:rPr>
          <w:rFonts w:ascii="宋体" w:hAnsi="宋体"/>
          <w:bCs/>
          <w:color w:val="000000"/>
          <w:kern w:val="0"/>
          <w:sz w:val="24"/>
        </w:rPr>
        <w:t xml:space="preserve"> </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101"/>
        <w:gridCol w:w="1331"/>
        <w:gridCol w:w="1220"/>
        <w:gridCol w:w="1418"/>
        <w:gridCol w:w="1701"/>
        <w:gridCol w:w="1984"/>
      </w:tblGrid>
      <w:tr w:rsidR="00B249C0" w:rsidTr="0001612A">
        <w:trPr>
          <w:jc w:val="center"/>
        </w:trPr>
        <w:tc>
          <w:tcPr>
            <w:tcW w:type="dxa" w:w="11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t xml:space="preserve"> </w:t>
            </w:r>
            <w:r>
              <w:rPr>
                <w:rFonts w:ascii="Times New Roman" w:cs="Times New Roman" w:hAnsi="Times New Roman"/>
              </w:rPr>
              <w:t/>
            </w:r>
            <w:proofErr w:type="spellStart"/>
            <w:r>
              <w:rPr>
                <w:rFonts w:ascii="Times New Roman" w:cs="Times New Roman" w:hAnsi="Times New Roman"/>
              </w:rPr>
              <w:t/>
            </w:r>
            <w:proofErr w:type="spellEnd"/>
            <w:r>
              <w:rPr>
                <w:rFonts w:ascii="Times New Roman" w:cs="Times New Roman" w:hAnsi="Times New Roman"/>
              </w:rPr>
              <w:t/>
            </w:r>
          </w:p>
        </w:tc>
        <w:tc>
          <w:tcPr>
            <w:tcW w:type="dxa" w:w="133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名称</w:t>
            </w:r>
          </w:p>
        </w:tc>
        <w:tc>
          <w:tcPr>
            <w:tcW w:type="dxa" w:w="1220"/>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持仓量</w:t>
            </w:r>
          </w:p>
          <w:p w:rsidR="00B249C0" w:rsidRDefault="00B249C0">
            <w:pPr>
              <w:pStyle w:val="Default"/>
              <w:jc w:val="center"/>
              <w:rPr>
                <w:rFonts w:ascii="Times New Roman" w:cs="Times New Roman" w:hAnsi="Times New Roman"/>
              </w:rPr>
            </w:pPr>
            <w:r>
              <w:rPr>
                <w:rFonts w:ascii="Times New Roman" w:cs="Times New Roman" w:hAnsi="Times New Roman" w:hint="eastAsia"/>
              </w:rPr>
              <w:t>（买</w:t>
            </w:r>
            <w:r>
              <w:rPr>
                <w:rFonts w:ascii="Times New Roman" w:cs="Times New Roman" w:hAnsi="Times New Roman"/>
              </w:rPr>
              <w:t>/</w:t>
            </w:r>
            <w:r>
              <w:rPr>
                <w:rFonts w:ascii="Times New Roman" w:cs="Times New Roman" w:hAnsi="Times New Roman" w:hint="eastAsia"/>
              </w:rPr>
              <w:t>卖）</w:t>
            </w:r>
          </w:p>
        </w:tc>
        <w:tc>
          <w:tcPr>
            <w:tcW w:type="dxa" w:w="1418"/>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合约市值</w:t>
            </w:r>
          </w:p>
          <w:p w:rsidR="00B249C0" w:rsidRDefault="00B249C0">
            <w:pPr>
              <w:pStyle w:val="Default"/>
              <w:jc w:val="center"/>
              <w:rPr>
                <w:rFonts w:ascii="Times New Roman" w:cs="Times New Roman" w:hAnsi="Times New Roman"/>
              </w:rPr>
            </w:pPr>
            <w:r>
              <w:rPr>
                <w:rFonts w:ascii="Times New Roman" w:cs="Times New Roman" w:hAnsi="Times New Roman" w:hint="eastAsia"/>
              </w:rPr>
              <w:t>（元）</w:t>
            </w:r>
          </w:p>
        </w:tc>
        <w:tc>
          <w:tcPr>
            <w:tcW w:type="dxa" w:w="17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公允价值变动（元）</w:t>
            </w:r>
          </w:p>
        </w:tc>
        <w:tc>
          <w:tcPr>
            <w:tcW w:type="dxa" w:w="1984"/>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风险指标说明</w:t>
            </w:r>
          </w:p>
        </w:tc>
      </w:tr>
      <w:tr>
        <w:tc>
          <w:tcPr>
            <w:vAlign w:val="center"/>
          </w:tcPr>
          <w:p>
            <w:pPr>
              <w:jc w:val="center"/>
            </w:pPr>
            <w:r>
              <w:rPr>
                <w:color w:val="000000"/>
                <w:sz w:val="24"/>
              </w:rPr>
              <w:t>TF2009</w:t>
            </w:r>
          </w:p>
        </w:tc>
        <w:tc>
          <w:tcPr>
            <w:vAlign w:val="center"/>
          </w:tcPr>
          <w:p>
            <w:pPr>
              <w:jc w:val="center"/>
            </w:pPr>
            <w:r>
              <w:rPr>
                <w:color w:val="000000"/>
                <w:sz w:val="24"/>
              </w:rPr>
              <w:t>TF2009</w:t>
            </w:r>
          </w:p>
        </w:tc>
        <w:tc>
          <w:tcPr>
            <w:vAlign w:val="center"/>
          </w:tcPr>
          <w:p>
            <w:pPr>
              <w:jc w:val="center"/>
            </w:pPr>
            <w:r>
              <w:rPr>
                <w:color w:val="000000"/>
                <w:sz w:val="24"/>
              </w:rPr>
              <w:t>-150</w:t>
            </w:r>
          </w:p>
        </w:tc>
        <w:tc>
          <w:tcPr>
            <w:vAlign w:val="center"/>
          </w:tcPr>
          <w:p>
            <w:pPr>
              <w:jc w:val="right"/>
            </w:pPr>
            <w:r>
              <w:rPr>
                <w:color w:val="000000"/>
                <w:sz w:val="24"/>
              </w:rPr>
              <w:t>-152,482,500.00</w:t>
            </w:r>
          </w:p>
        </w:tc>
        <w:tc>
          <w:tcPr>
            <w:vAlign w:val="center"/>
          </w:tcPr>
          <w:p>
            <w:pPr>
              <w:jc w:val="right"/>
            </w:pPr>
            <w:r>
              <w:rPr>
                <w:color w:val="000000"/>
                <w:sz w:val="24"/>
              </w:rPr>
              <w:t>-199,500.00</w:t>
            </w:r>
          </w:p>
        </w:tc>
        <w:tc>
          <w:tcPr>
            <w:vAlign w:val="center"/>
          </w:tcPr>
          <w:p>
            <w:pPr>
              <w:jc w:val="left"/>
            </w:pPr>
            <w:r>
              <w:rPr>
                <w:color w:val="000000"/>
                <w:sz w:val="24"/>
              </w:rPr>
              <w:t>本交易期内组合利用国债期货进行了套保交易，调整组合的整体久期。</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公允价值变动总额合计（元）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-199,500.00</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国债期货投资本期收益（元）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424,126.21</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国债期货投资本期公允价值变动（元）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-199,500.00</w:t>
            </w:r>
          </w:p>
        </w:tc>
      </w:tr>
    </w:tbl>
    <w:p w:rsidP="00B249C0" w:rsidR="00F016DD" w:rsidRDefault="00F016DD" w:rsidRPr="00E7356F">
      <w:pPr>
        <w:autoSpaceDE w:val="0"/>
        <w:autoSpaceDN w:val="0"/>
        <w:adjustRightInd w:val="0"/>
        <w:spacing w:line="360" w:lineRule="auto"/>
        <w:jc w:val="left"/>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5.10.3 </w:t>
      </w:r>
      <w:r w:rsidRPr="00E7356F">
        <w:rPr>
          <w:rFonts w:ascii="宋体" w:hAnsi="宋体" w:hint="eastAsia"/>
          <w:sz w:val="24"/>
        </w:rPr>
        <w:t>本期国债期货投资评价</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EA6415" w:rsidR="00F016DD" w:rsidRDefault="00F016DD" w:rsidRPr="00EA6415">
      <w:pPr>
        <w:spacing w:line="360" w:lineRule="auto"/>
        <w:ind w:firstLine="480" w:firstLineChars="200"/>
        <w:rPr>
          <w:color w:val="000000"/>
          <w:sz w:val="24"/>
        </w:rPr>
      </w:pPr>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投资国债期货根据风险管理的原则，以套期保值为目的，主要选择流动性好、交易活跃的期货合约。本基金力争利用国债期货的杠杆作用，降低债券持仓调整的交易成本，以达到有效管理现金流量、降低建仓或调仓过程中的冲击成本的目的。本报告期内，本基金投资国债期货符合既 定的投资政策和投资目的。</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3,456,068.92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19,758,306.39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9,579,336.91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799,941.02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33,593,653.24</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113008</w:t>
            </w:r>
          </w:p>
        </w:tc>
        <w:tc>
          <w:tcPr>
            <w:vAlign w:val="center"/>
          </w:tcPr>
          <w:p>
            <w:pPr>
              <w:jc w:val="center"/>
            </w:pPr>
            <w:r>
              <w:rPr>
                <w:color w:val="000000"/>
                <w:sz w:val="24"/>
              </w:rPr>
              <w:t>电气转债</w:t>
            </w:r>
          </w:p>
        </w:tc>
        <w:tc>
          <w:tcPr>
            <w:vAlign w:val="center"/>
          </w:tcPr>
          <w:p>
            <w:pPr>
              <w:jc w:val="right"/>
            </w:pPr>
            <w:r>
              <w:rPr>
                <w:color w:val="000000"/>
                <w:sz w:val="24"/>
              </w:rPr>
              <w:t>11,522,770.40</w:t>
            </w:r>
          </w:p>
        </w:tc>
        <w:tc>
          <w:tcPr>
            <w:vAlign w:val="center"/>
          </w:tcPr>
          <w:p>
            <w:pPr>
              <w:jc w:val="right"/>
            </w:pPr>
            <w:r>
              <w:rPr>
                <w:color w:val="000000"/>
                <w:sz w:val="24"/>
              </w:rPr>
              <w:t>1.16</w:t>
            </w:r>
          </w:p>
        </w:tc>
      </w:tr>
      <w:tr>
        <w:tc>
          <w:tcPr>
            <w:vAlign w:val="center"/>
          </w:tcPr>
          <w:p>
            <w:pPr>
              <w:jc w:val="center"/>
            </w:pPr>
            <w:r>
              <w:rPr>
                <w:color w:val="000000"/>
                <w:sz w:val="24"/>
              </w:rPr>
              <w:t>2</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11,265,628.50</w:t>
            </w:r>
          </w:p>
        </w:tc>
        <w:tc>
          <w:tcPr>
            <w:vAlign w:val="center"/>
          </w:tcPr>
          <w:p>
            <w:pPr>
              <w:jc w:val="right"/>
            </w:pPr>
            <w:r>
              <w:rPr>
                <w:color w:val="000000"/>
                <w:sz w:val="24"/>
              </w:rPr>
              <w:t>1.13</w:t>
            </w:r>
          </w:p>
        </w:tc>
      </w:tr>
      <w:tr>
        <w:tc>
          <w:tcPr>
            <w:vAlign w:val="center"/>
          </w:tcPr>
          <w:p>
            <w:pPr>
              <w:jc w:val="center"/>
            </w:pPr>
            <w:r>
              <w:rPr>
                <w:color w:val="000000"/>
                <w:sz w:val="24"/>
              </w:rPr>
              <w:t>3</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6,955,378.80</w:t>
            </w:r>
          </w:p>
        </w:tc>
        <w:tc>
          <w:tcPr>
            <w:vAlign w:val="center"/>
          </w:tcPr>
          <w:p>
            <w:pPr>
              <w:jc w:val="right"/>
            </w:pPr>
            <w:r>
              <w:rPr>
                <w:color w:val="000000"/>
                <w:sz w:val="24"/>
              </w:rPr>
              <w:t>0.70</w:t>
            </w:r>
          </w:p>
        </w:tc>
      </w:tr>
      <w:tr>
        <w:tc>
          <w:tcPr>
            <w:vAlign w:val="center"/>
          </w:tcPr>
          <w:p>
            <w:pPr>
              <w:jc w:val="center"/>
            </w:pPr>
            <w:r>
              <w:rPr>
                <w:color w:val="000000"/>
                <w:sz w:val="24"/>
              </w:rPr>
              <w:t>4</w:t>
            </w:r>
          </w:p>
        </w:tc>
        <w:tc>
          <w:tcPr>
            <w:vAlign w:val="center"/>
          </w:tcPr>
          <w:p>
            <w:pPr>
              <w:jc w:val="center"/>
            </w:pPr>
            <w:r>
              <w:rPr>
                <w:color w:val="000000"/>
                <w:sz w:val="24"/>
              </w:rPr>
              <w:t>113558</w:t>
            </w:r>
          </w:p>
        </w:tc>
        <w:tc>
          <w:tcPr>
            <w:vAlign w:val="center"/>
          </w:tcPr>
          <w:p>
            <w:pPr>
              <w:jc w:val="center"/>
            </w:pPr>
            <w:r>
              <w:rPr>
                <w:color w:val="000000"/>
                <w:sz w:val="24"/>
              </w:rPr>
              <w:t>日月转债</w:t>
            </w:r>
          </w:p>
        </w:tc>
        <w:tc>
          <w:tcPr>
            <w:vAlign w:val="center"/>
          </w:tcPr>
          <w:p>
            <w:pPr>
              <w:jc w:val="right"/>
            </w:pPr>
            <w:r>
              <w:rPr>
                <w:color w:val="000000"/>
                <w:sz w:val="24"/>
              </w:rPr>
              <w:t>3,379,667.20</w:t>
            </w:r>
          </w:p>
        </w:tc>
        <w:tc>
          <w:tcPr>
            <w:vAlign w:val="center"/>
          </w:tcPr>
          <w:p>
            <w:pPr>
              <w:jc w:val="right"/>
            </w:pPr>
            <w:r>
              <w:rPr>
                <w:color w:val="000000"/>
                <w:sz w:val="24"/>
              </w:rPr>
              <w:t>0.34</w:t>
            </w:r>
          </w:p>
        </w:tc>
      </w:tr>
      <w:tr>
        <w:tc>
          <w:tcPr>
            <w:vAlign w:val="center"/>
          </w:tcPr>
          <w:p>
            <w:pPr>
              <w:jc w:val="center"/>
            </w:pPr>
            <w:r>
              <w:rPr>
                <w:color w:val="000000"/>
                <w:sz w:val="24"/>
              </w:rPr>
              <w:t>5</w:t>
            </w:r>
          </w:p>
        </w:tc>
        <w:tc>
          <w:tcPr>
            <w:vAlign w:val="center"/>
          </w:tcPr>
          <w:p>
            <w:pPr>
              <w:jc w:val="center"/>
            </w:pPr>
            <w:r>
              <w:rPr>
                <w:color w:val="000000"/>
                <w:sz w:val="24"/>
              </w:rPr>
              <w:t>128085</w:t>
            </w:r>
          </w:p>
        </w:tc>
        <w:tc>
          <w:tcPr>
            <w:vAlign w:val="center"/>
          </w:tcPr>
          <w:p>
            <w:pPr>
              <w:jc w:val="center"/>
            </w:pPr>
            <w:r>
              <w:rPr>
                <w:color w:val="000000"/>
                <w:sz w:val="24"/>
              </w:rPr>
              <w:t>鸿达转债</w:t>
            </w:r>
          </w:p>
        </w:tc>
        <w:tc>
          <w:tcPr>
            <w:vAlign w:val="center"/>
          </w:tcPr>
          <w:p>
            <w:pPr>
              <w:jc w:val="right"/>
            </w:pPr>
            <w:r>
              <w:rPr>
                <w:color w:val="000000"/>
                <w:sz w:val="24"/>
              </w:rPr>
              <w:t>3,128,752.37</w:t>
            </w:r>
          </w:p>
        </w:tc>
        <w:tc>
          <w:tcPr>
            <w:vAlign w:val="center"/>
          </w:tcPr>
          <w:p>
            <w:pPr>
              <w:jc w:val="right"/>
            </w:pPr>
            <w:r>
              <w:rPr>
                <w:color w:val="000000"/>
                <w:sz w:val="24"/>
              </w:rPr>
              <w:t>0.32</w:t>
            </w:r>
          </w:p>
        </w:tc>
      </w:tr>
      <w:tr>
        <w:tc>
          <w:tcPr>
            <w:vAlign w:val="center"/>
          </w:tcPr>
          <w:p>
            <w:pPr>
              <w:jc w:val="center"/>
            </w:pPr>
            <w:r>
              <w:rPr>
                <w:color w:val="000000"/>
                <w:sz w:val="24"/>
              </w:rPr>
              <w:t>6</w:t>
            </w:r>
          </w:p>
        </w:tc>
        <w:tc>
          <w:tcPr>
            <w:vAlign w:val="center"/>
          </w:tcPr>
          <w:p>
            <w:pPr>
              <w:jc w:val="center"/>
            </w:pPr>
            <w:r>
              <w:rPr>
                <w:color w:val="000000"/>
                <w:sz w:val="24"/>
              </w:rPr>
              <w:t>128084</w:t>
            </w:r>
          </w:p>
        </w:tc>
        <w:tc>
          <w:tcPr>
            <w:vAlign w:val="center"/>
          </w:tcPr>
          <w:p>
            <w:pPr>
              <w:jc w:val="center"/>
            </w:pPr>
            <w:r>
              <w:rPr>
                <w:color w:val="000000"/>
                <w:sz w:val="24"/>
              </w:rPr>
              <w:t>木森转债</w:t>
            </w:r>
          </w:p>
        </w:tc>
        <w:tc>
          <w:tcPr>
            <w:vAlign w:val="center"/>
          </w:tcPr>
          <w:p>
            <w:pPr>
              <w:jc w:val="right"/>
            </w:pPr>
            <w:r>
              <w:rPr>
                <w:color w:val="000000"/>
                <w:sz w:val="24"/>
              </w:rPr>
              <w:t>1,976,020.20</w:t>
            </w:r>
          </w:p>
        </w:tc>
        <w:tc>
          <w:tcPr>
            <w:vAlign w:val="center"/>
          </w:tcPr>
          <w:p>
            <w:pPr>
              <w:jc w:val="right"/>
            </w:pPr>
            <w:r>
              <w:rPr>
                <w:color w:val="000000"/>
                <w:sz w:val="24"/>
              </w:rPr>
              <w:t>0.20</w:t>
            </w:r>
          </w:p>
        </w:tc>
      </w:tr>
      <w:tr>
        <w:tc>
          <w:tcPr>
            <w:vAlign w:val="center"/>
          </w:tcPr>
          <w:p>
            <w:pPr>
              <w:jc w:val="center"/>
            </w:pPr>
            <w:r>
              <w:rPr>
                <w:color w:val="000000"/>
                <w:sz w:val="24"/>
              </w:rPr>
              <w:t>7</w:t>
            </w:r>
          </w:p>
        </w:tc>
        <w:tc>
          <w:tcPr>
            <w:vAlign w:val="center"/>
          </w:tcPr>
          <w:p>
            <w:pPr>
              <w:jc w:val="center"/>
            </w:pPr>
            <w:r>
              <w:rPr>
                <w:color w:val="000000"/>
                <w:sz w:val="24"/>
              </w:rPr>
              <w:t>110031</w:t>
            </w:r>
          </w:p>
        </w:tc>
        <w:tc>
          <w:tcPr>
            <w:vAlign w:val="center"/>
          </w:tcPr>
          <w:p>
            <w:pPr>
              <w:jc w:val="center"/>
            </w:pPr>
            <w:r>
              <w:rPr>
                <w:color w:val="000000"/>
                <w:sz w:val="24"/>
              </w:rPr>
              <w:t>航信转债</w:t>
            </w:r>
          </w:p>
        </w:tc>
        <w:tc>
          <w:tcPr>
            <w:vAlign w:val="center"/>
          </w:tcPr>
          <w:p>
            <w:pPr>
              <w:jc w:val="right"/>
            </w:pPr>
            <w:r>
              <w:rPr>
                <w:color w:val="000000"/>
                <w:sz w:val="24"/>
              </w:rPr>
              <w:t>1,838,104.80</w:t>
            </w:r>
          </w:p>
        </w:tc>
        <w:tc>
          <w:tcPr>
            <w:vAlign w:val="center"/>
          </w:tcPr>
          <w:p>
            <w:pPr>
              <w:jc w:val="right"/>
            </w:pPr>
            <w:r>
              <w:rPr>
                <w:color w:val="000000"/>
                <w:sz w:val="24"/>
              </w:rPr>
              <w:t>0.19</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易方达裕富债券A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易方达裕富债券C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720,406,855.04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10,900,054.29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587,437,851.43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18,942,246.80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346,454,577.37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7,620,557.66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961,390,129.10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22,221,743.43</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1.中国证监会准予易方达裕富债券型证券投资基金注册的文件；</w:t>
      </w:r>
    </w:p>
    <w:p>
      <w:pPr>
        <w:spacing w:line="360" w:lineRule="auto"/>
        <w:ind w:firstLine="480" w:firstLineChars="200"/>
        <w:rPr>
          <w:color w:val="000000"/>
          <w:sz w:val="24"/>
        </w:rPr>
      </w:pPr>
      <w:r>
        <w:rPr>
          <w:color w:val="000000"/>
          <w:sz w:val="24"/>
        </w:rPr>
        <w:t>2.《易方达裕富债券型证券投资基金基金合同》；</w:t>
      </w:r>
    </w:p>
    <w:p>
      <w:pPr>
        <w:spacing w:line="360" w:lineRule="auto"/>
        <w:ind w:firstLine="480" w:firstLineChars="200"/>
        <w:rPr>
          <w:color w:val="000000"/>
          <w:sz w:val="24"/>
        </w:rPr>
      </w:pPr>
      <w:r>
        <w:rPr>
          <w:color w:val="000000"/>
          <w:sz w:val="24"/>
        </w:rPr>
        <w:t>3.《易方达裕富债券型证券投资基金托管协议》；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易方达裕富债券型证券投资基金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