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易方达研究精选股票型证券投资基金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中国工商银行股份有限公司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易方达研究精选股票</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008286</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008286</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2020年2月21日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8,776,261,328.83</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本基金在控制风险的前提下，追求超越业绩比较基准的投资回报。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本基金基于宏观及市场分析，确定组合中股票、债券、货币市场工具及其他金融工具的比例。在股票投资方面，本基金坚持研究创造价值的理念，通过对上市公司深入、持续的研究，采取定性分析和定量分析相结合的方式，精选具有较强竞争优势的公司。在债券投资方面，本基金将主要通过类属配置与券种选择两个层次进行投资管理。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MSCI中国A股指数收益率×70%+中证港股通综合指数收益率×15%+中债总指数收益率×15%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pPr>
              <w:adjustRightInd w:val="0"/>
              <w:spacing w:before="29" w:line="360" w:lineRule="auto"/>
              <w:ind w:left="17"/>
              <w:jc w:val="left"/>
              <w:rPr>
                <w:color w:val="000000"/>
                <w:sz w:val="24"/>
                <w:szCs w:val="24"/>
              </w:rPr>
            </w:pPr>
            <w:r>
              <w:rPr>
                <w:color w:val="000000"/>
                <w:kern w:val="0"/>
                <w:sz w:val="24"/>
                <w:szCs w:val="24"/>
              </w:rPr>
              <w:t xml:space="preserve">本基金为股票基金，理论上其预期风险与预期收益高于混合基金、债券基金和货币市场基金。 </w:t>
            </w:r>
          </w:p>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中国工商银行股份有限公司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20,850,242.19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1,922,909,069.40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0.1445</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10,109,345,519.08</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1.1519</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 xml:space="preserve">2.本期已实现收益指基金本期利息收入、投资收益、其他收入(不含公允价值变动收益)扣除相关费用后的余额,本期利润为本期已实现收益加上本期公允价值变动收益。 </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15.93%</w:t>
            </w:r>
          </w:p>
        </w:tc>
        <w:tc>
          <w:tcPr>
            <w:vAlign w:val="center"/>
          </w:tcPr>
          <w:p>
            <w:pPr>
              <w:jc w:val="center"/>
            </w:pPr>
            <w:r>
              <w:rPr>
                <w:color w:val="000000"/>
                <w:kern w:val="0"/>
                <w:sz w:val="24"/>
                <w:szCs w:val="24"/>
              </w:rPr>
              <w:t>0.74%</w:t>
            </w:r>
          </w:p>
        </w:tc>
        <w:tc>
          <w:tcPr>
            <w:vAlign w:val="center"/>
          </w:tcPr>
          <w:p>
            <w:pPr>
              <w:jc w:val="center"/>
            </w:pPr>
            <w:r>
              <w:rPr>
                <w:color w:val="000000"/>
                <w:kern w:val="0"/>
                <w:sz w:val="24"/>
                <w:szCs w:val="24"/>
              </w:rPr>
              <w:t>11.44%</w:t>
            </w:r>
          </w:p>
        </w:tc>
        <w:tc>
          <w:tcPr>
            <w:vAlign w:val="center"/>
          </w:tcPr>
          <w:p>
            <w:pPr>
              <w:jc w:val="center"/>
            </w:pPr>
            <w:r>
              <w:rPr>
                <w:color w:val="000000"/>
                <w:kern w:val="0"/>
                <w:sz w:val="24"/>
                <w:szCs w:val="24"/>
              </w:rPr>
              <w:t>0.82%</w:t>
            </w:r>
          </w:p>
        </w:tc>
        <w:tc>
          <w:tcPr>
            <w:vAlign w:val="center"/>
          </w:tcPr>
          <w:p>
            <w:pPr>
              <w:jc w:val="center"/>
            </w:pPr>
            <w:r>
              <w:rPr>
                <w:color w:val="000000"/>
                <w:kern w:val="0"/>
                <w:sz w:val="24"/>
                <w:szCs w:val="24"/>
              </w:rPr>
              <w:t>4.49%</w:t>
            </w:r>
          </w:p>
        </w:tc>
        <w:tc>
          <w:tcPr>
            <w:vAlign w:val="center"/>
          </w:tcPr>
          <w:p>
            <w:pPr>
              <w:jc w:val="center"/>
            </w:pPr>
            <w:r>
              <w:rPr>
                <w:color w:val="000000"/>
                <w:kern w:val="0"/>
                <w:sz w:val="24"/>
                <w:szCs w:val="24"/>
              </w:rPr>
              <w:t>-0.08%</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15.19%</w:t>
            </w:r>
          </w:p>
        </w:tc>
        <w:tc>
          <w:tcPr>
            <w:vAlign w:val="center"/>
          </w:tcPr>
          <w:p>
            <w:pPr>
              <w:jc w:val="center"/>
            </w:pPr>
            <w:r>
              <w:rPr>
                <w:color w:val="000000"/>
                <w:kern w:val="0"/>
                <w:sz w:val="24"/>
                <w:szCs w:val="24"/>
              </w:rPr>
              <w:t>0.68%</w:t>
            </w:r>
          </w:p>
        </w:tc>
        <w:tc>
          <w:tcPr>
            <w:vAlign w:val="center"/>
          </w:tcPr>
          <w:p>
            <w:pPr>
              <w:jc w:val="center"/>
            </w:pPr>
            <w:r>
              <w:rPr>
                <w:color w:val="000000"/>
                <w:kern w:val="0"/>
                <w:sz w:val="24"/>
                <w:szCs w:val="24"/>
              </w:rPr>
              <w:t>0.39%</w:t>
            </w:r>
          </w:p>
        </w:tc>
        <w:tc>
          <w:tcPr>
            <w:vAlign w:val="center"/>
          </w:tcPr>
          <w:p>
            <w:pPr>
              <w:jc w:val="center"/>
            </w:pPr>
            <w:r>
              <w:rPr>
                <w:color w:val="000000"/>
                <w:kern w:val="0"/>
                <w:sz w:val="24"/>
                <w:szCs w:val="24"/>
              </w:rPr>
              <w:t>1.24%</w:t>
            </w:r>
          </w:p>
        </w:tc>
        <w:tc>
          <w:tcPr>
            <w:vAlign w:val="center"/>
          </w:tcPr>
          <w:p>
            <w:pPr>
              <w:jc w:val="center"/>
            </w:pPr>
            <w:r>
              <w:rPr>
                <w:color w:val="000000"/>
                <w:kern w:val="0"/>
                <w:sz w:val="24"/>
                <w:szCs w:val="24"/>
              </w:rPr>
              <w:t>14.80%</w:t>
            </w:r>
          </w:p>
        </w:tc>
        <w:tc>
          <w:tcPr>
            <w:vAlign w:val="center"/>
          </w:tcPr>
          <w:p>
            <w:pPr>
              <w:jc w:val="center"/>
            </w:pPr>
            <w:r>
              <w:rPr>
                <w:color w:val="000000"/>
                <w:kern w:val="0"/>
                <w:sz w:val="24"/>
                <w:szCs w:val="24"/>
              </w:rPr>
              <w:t>-0.56%</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易方达研究精选股票型证券投资基金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2020年2月21日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注：1.本基金合同于2020年2月21日生效,截至报告期末本基金合同生效未满一年。</w:t>
      </w:r>
    </w:p>
    <w:p>
      <w:pPr>
        <w:spacing w:line="360" w:lineRule="auto"/>
        <w:ind w:firstLine="480" w:firstLineChars="200"/>
        <w:rPr>
          <w:color w:val="000000"/>
          <w:sz w:val="24"/>
          <w:szCs w:val="24"/>
        </w:rPr>
      </w:pPr>
      <w:r>
        <w:rPr>
          <w:color w:val="000000"/>
          <w:sz w:val="24"/>
          <w:szCs w:val="24"/>
        </w:rPr>
        <w:t>2.按基金合同和招募说明书的约定，自基金合同生效之日起六个月内使基金的投资组合比例符合本基金合同（第十二部分二、投资范围，三、投资策略和四、投资限制）的有关约定。本报告期本基金处于建仓期内。</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3.自基金合同生效至报告期末，基金份额净值增长率为15.19%，同期业绩比较基准收益率为0.39%。</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冯波</w:t>
            </w:r>
          </w:p>
        </w:tc>
        <w:tc>
          <w:tcPr>
            <w:vAlign w:val="center"/>
          </w:tcPr>
          <w:p>
            <w:pPr>
              <w:jc w:val="left"/>
            </w:pPr>
            <w:r>
              <w:rPr>
                <w:color w:val="000000"/>
                <w:sz w:val="24"/>
              </w:rPr>
              <w:t>本基金的基金经理、易方达行业领先企业混合型证券投资基金的基金经理、易方达中盘成长混合型证券投资基金的基金经理、研究部总经理</w:t>
            </w:r>
          </w:p>
        </w:tc>
        <w:tc>
          <w:tcPr>
            <w:vAlign w:val="center"/>
          </w:tcPr>
          <w:p>
            <w:pPr>
              <w:jc w:val="center"/>
            </w:pPr>
            <w:r>
              <w:rPr>
                <w:color w:val="000000"/>
                <w:sz w:val="24"/>
              </w:rPr>
              <w:t>2020-02-21</w:t>
            </w:r>
          </w:p>
        </w:tc>
        <w:tc>
          <w:tcPr>
            <w:vAlign w:val="center"/>
          </w:tcPr>
          <w:p>
            <w:pPr>
              <w:jc w:val="center"/>
            </w:pPr>
            <w:r>
              <w:rPr>
                <w:color w:val="000000"/>
                <w:sz w:val="24"/>
              </w:rPr>
              <w:t>-</w:t>
            </w:r>
          </w:p>
        </w:tc>
        <w:tc>
          <w:tcPr>
            <w:vAlign w:val="center"/>
          </w:tcPr>
          <w:p>
            <w:pPr>
              <w:jc w:val="center"/>
            </w:pPr>
            <w:r>
              <w:rPr>
                <w:color w:val="000000"/>
                <w:sz w:val="24"/>
              </w:rPr>
              <w:t>19年</w:t>
            </w:r>
          </w:p>
        </w:tc>
        <w:tc>
          <w:tcPr>
            <w:vAlign w:val="center"/>
          </w:tcPr>
          <w:p>
            <w:pPr>
              <w:jc w:val="both"/>
            </w:pPr>
            <w:r>
              <w:rPr>
                <w:color w:val="000000"/>
                <w:sz w:val="24"/>
              </w:rPr>
              <w:t>硕士研究生，具有基金从业资格。曾任广东发展银行行员，易方达基金管理有限公司市场拓展部研究员、市场拓展部副经理、市场部大区销售经理、北京分公司副总经理、研究部行业研究员、基金经理助理、研究部总经理助理、研究部副总经理、易方达科汇灵活配置混合型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二季度，全球疫情度过了最困难的阶段。欧洲、亚洲大部分国家的疫情得到了有效控制，新增病例数、死亡数均从高点大幅回落；但美国的疫情仍维持在高位，南美、印度等国家情况也仍然严重。随着各国采取了大力度的货币、财政政策对冲疫情的影响，投资者的恐慌情绪得到缓解，全球市场从低位大幅反弹。随着中国疫情控制成功，政府各种经济刺激政策逐步见效，中国经济稳步回升。在上述背景下，A股市场大幅上扬，截至季末，上证指数收于2985点，涨幅8.52%。受益于流动性放松和风险偏好的持续提升，创业板指数大涨30.25%。行业上，医药、TMT、消费等行业表现较好，大幅战胜市场；而银行、采掘、纺织服装、建筑装饰等行业仍然受疫情影响较大，涨幅靠后。香港市场方面，随着全球股市反弹港股也持续反弹，互联网、医药等行业涨幅明显。</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二季度仍处于建仓期。基于国内外疫情和经济环境的变化，我们根据市场的情况稳步提升股票仓位，并于季末基本完成建仓工作。在行业配置上，主要配置了消费、科技、光伏、纺织服装等行业。在个股选择方面，主要从中期角度出发，买入核心竞争力突出、长期估值水平合理的个股，取得了较好效果。</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截至报告期末，本基金份额净值为1.1519元，本报告期份额净值增长率为15.93%，同期业绩比较基准收益率为11.44%。</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8,495,637,908.83</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81.73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8,495,637,908.83</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81.73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12,932,500.00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0.12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12,932,500.00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0.12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750,000,000.00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7.22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1,057,466,679.73</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10.17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78,263,564.14</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0.75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10,394,300,652.70</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注：本基金本报告期末通过港股通交易机制投资的港股市值为2,904,416,664.32元,占净值比例28.73%。 </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5,095,714,635.18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50.41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190,731.77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260,018,220.00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2.57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98,041,276.14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0.97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137,243,615.10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5,591,221,244.51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55.31</w:t>
            </w:r>
          </w:p>
        </w:tc>
      </w:tr>
    </w:tbl>
    <w:p w:rsidP="008C2A4F" w:rsidR="008C2A4F" w:rsidRDefault="008C2A4F" w:rsidRPr="008C2A4F">
      <w:pPr>
        <w:jc w:val="left"/>
        <w:rPr>
          <w:rFonts w:eastAsiaTheme="minorEastAsia"/>
          <w:b/>
          <w:bCs/>
          <w:color w:themeColor="text1" w:val="000000"/>
          <w:kern w:val="0"/>
          <w:sz w:val="24"/>
          <w:szCs w:val="24"/>
        </w:rPr>
      </w:pPr>
      <w:r w:rsidRPr="008C2A4F">
        <w:rPr>
          <w:rFonts w:eastAsiaTheme="minorEastAsia"/>
          <w:b/>
          <w:bCs/>
          <w:color w:themeColor="text1" w:val="000000"/>
          <w:kern w:val="0"/>
          <w:sz w:val="24"/>
          <w:szCs w:val="24"/>
        </w:rPr>
        <w:t xml:space="preserve"> </w:t>
      </w:r>
      <w:proofErr w:type="spellStart"/>
      <w:r w:rsidRPr="008C2A4F">
        <w:rPr>
          <w:rFonts w:eastAsiaTheme="minorEastAsia"/>
          <w:b/>
          <w:bCs/>
          <w:color w:themeColor="text1" w:val="000000"/>
          <w:kern w:val="0"/>
          <w:sz w:val="24"/>
          <w:szCs w:val="24"/>
        </w:rPr>
        <w:t/>
      </w:r>
      <w:proofErr w:type="spellEnd"/>
      <w:r w:rsidRPr="008C2A4F">
        <w:rPr>
          <w:rFonts w:eastAsiaTheme="minorEastAsia"/>
          <w:b/>
          <w:bCs/>
          <w:color w:themeColor="text1" w:val="000000"/>
          <w:kern w:val="0"/>
          <w:sz w:val="24"/>
          <w:szCs w:val="24"/>
        </w:rPr>
        <w:t>5.2.2</w:t>
      </w:r>
      <w:r w:rsidR="00B912D0">
        <w:rPr>
          <w:rFonts w:eastAsiaTheme="minorEastAsia"/>
          <w:b/>
          <w:bCs/>
          <w:color w:themeColor="text1" w:val="000000"/>
          <w:kern w:val="0"/>
          <w:sz w:val="24"/>
          <w:szCs w:val="24"/>
        </w:rPr>
        <w:t>报告期末按行业分类的</w:t>
      </w:r>
      <w:r w:rsidR="00B912D0">
        <w:rPr>
          <w:rFonts w:eastAsiaTheme="minorEastAsia" w:hint="eastAsia"/>
          <w:b/>
          <w:bCs/>
          <w:color w:themeColor="text1" w:val="000000"/>
          <w:kern w:val="0"/>
          <w:sz w:val="24"/>
          <w:szCs w:val="24"/>
        </w:rPr>
        <w:t>港股通</w:t>
      </w:r>
      <w:r w:rsidRPr="008C2A4F">
        <w:rPr>
          <w:rFonts w:eastAsiaTheme="minorEastAsia"/>
          <w:b/>
          <w:bCs/>
          <w:color w:themeColor="text1" w:val="000000"/>
          <w:kern w:val="0"/>
          <w:sz w:val="24"/>
          <w:szCs w:val="24"/>
        </w:rPr>
        <w:t>投资股票投资组合</w:t>
      </w:r>
    </w:p>
    <w:tbl>
      <w:tblPr>
        <w:tblW w:type="dxa" w:w="863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2397"/>
        <w:gridCol w:w="3119"/>
        <w:gridCol w:w="3118"/>
      </w:tblGrid>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119"/>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公允价值（人民币）</w:t>
            </w:r>
          </w:p>
        </w:tc>
        <w:tc>
          <w:tcPr>
            <w:tcW w:type="dxa" w:w="3118"/>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r w:rsidRPr="008C2A4F">
              <w:rPr>
                <w:rFonts w:eastAsiaTheme="minorEastAsia"/>
                <w:color w:themeColor="text1" w:val="000000"/>
                <w:kern w:val="0"/>
                <w:sz w:val="24"/>
                <w:szCs w:val="24"/>
              </w:rPr>
              <w:t>%</w:t>
            </w:r>
            <w:r w:rsidRPr="008C2A4F">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能源</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材料</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工业</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非必需消费品</w:t>
            </w:r>
          </w:p>
        </w:tc>
        <w:tc>
          <w:tcPr>
            <w:vAlign w:val="center"/>
          </w:tcPr>
          <w:p>
            <w:pPr>
              <w:jc w:val="center"/>
            </w:pPr>
            <w:r>
              <w:rPr>
                <w:rFonts w:eastAsiaTheme="minorEastAsia"/>
                <w:color w:themeColor="text1" w:val="000000"/>
                <w:kern w:val="0"/>
                <w:sz w:val="24"/>
                <w:szCs w:val="24"/>
              </w:rPr>
              <w:t>1,095,886,596.07</w:t>
            </w:r>
          </w:p>
        </w:tc>
        <w:tc>
          <w:tcPr>
            <w:vAlign w:val="center"/>
          </w:tcPr>
          <w:p>
            <w:pPr>
              <w:jc w:val="center"/>
            </w:pPr>
            <w:r>
              <w:rPr>
                <w:rFonts w:eastAsiaTheme="minorEastAsia"/>
                <w:color w:themeColor="text1" w:val="000000"/>
                <w:kern w:val="0"/>
                <w:sz w:val="24"/>
                <w:szCs w:val="24"/>
              </w:rPr>
              <w:t>10.84</w:t>
            </w:r>
          </w:p>
        </w:tc>
      </w:tr>
      <w:tr>
        <w:tc>
          <w:tcPr>
            <w:vAlign w:val="center"/>
          </w:tcPr>
          <w:p>
            <w:pPr>
              <w:jc w:val="center"/>
            </w:pPr>
            <w:r>
              <w:rPr>
                <w:rFonts w:eastAsiaTheme="minorEastAsia"/>
                <w:color w:themeColor="text1" w:val="000000"/>
                <w:kern w:val="0"/>
                <w:sz w:val="24"/>
                <w:szCs w:val="24"/>
              </w:rPr>
              <w:t>必需消费品</w:t>
            </w:r>
          </w:p>
        </w:tc>
        <w:tc>
          <w:tcPr>
            <w:vAlign w:val="center"/>
          </w:tcPr>
          <w:p>
            <w:pPr>
              <w:jc w:val="center"/>
            </w:pPr>
            <w:r>
              <w:rPr>
                <w:rFonts w:eastAsiaTheme="minorEastAsia"/>
                <w:color w:themeColor="text1" w:val="000000"/>
                <w:kern w:val="0"/>
                <w:sz w:val="24"/>
                <w:szCs w:val="24"/>
              </w:rPr>
              <w:t>740,632,790.09</w:t>
            </w:r>
          </w:p>
        </w:tc>
        <w:tc>
          <w:tcPr>
            <w:vAlign w:val="center"/>
          </w:tcPr>
          <w:p>
            <w:pPr>
              <w:jc w:val="center"/>
            </w:pPr>
            <w:r>
              <w:rPr>
                <w:rFonts w:eastAsiaTheme="minorEastAsia"/>
                <w:color w:themeColor="text1" w:val="000000"/>
                <w:kern w:val="0"/>
                <w:sz w:val="24"/>
                <w:szCs w:val="24"/>
              </w:rPr>
              <w:t>7.33</w:t>
            </w:r>
          </w:p>
        </w:tc>
      </w:tr>
      <w:tr>
        <w:tc>
          <w:tcPr>
            <w:vAlign w:val="center"/>
          </w:tcPr>
          <w:p>
            <w:pPr>
              <w:jc w:val="center"/>
            </w:pPr>
            <w:r>
              <w:rPr>
                <w:rFonts w:eastAsiaTheme="minorEastAsia"/>
                <w:color w:themeColor="text1" w:val="000000"/>
                <w:kern w:val="0"/>
                <w:sz w:val="24"/>
                <w:szCs w:val="24"/>
              </w:rPr>
              <w:t>保健</w:t>
            </w:r>
          </w:p>
        </w:tc>
        <w:tc>
          <w:tcPr>
            <w:vAlign w:val="center"/>
          </w:tcPr>
          <w:p>
            <w:pPr>
              <w:jc w:val="center"/>
            </w:pPr>
            <w:r>
              <w:rPr>
                <w:rFonts w:eastAsiaTheme="minorEastAsia"/>
                <w:color w:themeColor="text1" w:val="000000"/>
                <w:kern w:val="0"/>
                <w:sz w:val="24"/>
                <w:szCs w:val="24"/>
              </w:rPr>
              <w:t>55,756,651.63</w:t>
            </w:r>
          </w:p>
        </w:tc>
        <w:tc>
          <w:tcPr>
            <w:vAlign w:val="center"/>
          </w:tcPr>
          <w:p>
            <w:pPr>
              <w:jc w:val="center"/>
            </w:pPr>
            <w:r>
              <w:rPr>
                <w:rFonts w:eastAsiaTheme="minorEastAsia"/>
                <w:color w:themeColor="text1" w:val="000000"/>
                <w:kern w:val="0"/>
                <w:sz w:val="24"/>
                <w:szCs w:val="24"/>
              </w:rPr>
              <w:t>0.55</w:t>
            </w:r>
          </w:p>
        </w:tc>
      </w:tr>
      <w:tr>
        <w:tc>
          <w:tcPr>
            <w:vAlign w:val="center"/>
          </w:tcPr>
          <w:p>
            <w:pPr>
              <w:jc w:val="center"/>
            </w:pPr>
            <w:r>
              <w:rPr>
                <w:rFonts w:eastAsiaTheme="minorEastAsia"/>
                <w:color w:themeColor="text1" w:val="000000"/>
                <w:kern w:val="0"/>
                <w:sz w:val="24"/>
                <w:szCs w:val="24"/>
              </w:rPr>
              <w:t>金融</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信息技术</w:t>
            </w:r>
          </w:p>
        </w:tc>
        <w:tc>
          <w:tcPr>
            <w:vAlign w:val="center"/>
          </w:tcPr>
          <w:p>
            <w:pPr>
              <w:jc w:val="center"/>
            </w:pPr>
            <w:r>
              <w:rPr>
                <w:rFonts w:eastAsiaTheme="minorEastAsia"/>
                <w:color w:themeColor="text1" w:val="000000"/>
                <w:kern w:val="0"/>
                <w:sz w:val="24"/>
                <w:szCs w:val="24"/>
              </w:rPr>
              <w:t>529,555,147.96</w:t>
            </w:r>
          </w:p>
        </w:tc>
        <w:tc>
          <w:tcPr>
            <w:vAlign w:val="center"/>
          </w:tcPr>
          <w:p>
            <w:pPr>
              <w:jc w:val="center"/>
            </w:pPr>
            <w:r>
              <w:rPr>
                <w:rFonts w:eastAsiaTheme="minorEastAsia"/>
                <w:color w:themeColor="text1" w:val="000000"/>
                <w:kern w:val="0"/>
                <w:sz w:val="24"/>
                <w:szCs w:val="24"/>
              </w:rPr>
              <w:t>5.24</w:t>
            </w:r>
          </w:p>
        </w:tc>
      </w:tr>
      <w:tr>
        <w:tc>
          <w:tcPr>
            <w:vAlign w:val="center"/>
          </w:tcPr>
          <w:p>
            <w:pPr>
              <w:jc w:val="center"/>
            </w:pPr>
            <w:r>
              <w:rPr>
                <w:rFonts w:eastAsiaTheme="minorEastAsia"/>
                <w:color w:themeColor="text1" w:val="000000"/>
                <w:kern w:val="0"/>
                <w:sz w:val="24"/>
                <w:szCs w:val="24"/>
              </w:rPr>
              <w:t>电信服务</w:t>
            </w:r>
          </w:p>
        </w:tc>
        <w:tc>
          <w:tcPr>
            <w:vAlign w:val="center"/>
          </w:tcPr>
          <w:p>
            <w:pPr>
              <w:jc w:val="center"/>
            </w:pPr>
            <w:r>
              <w:rPr>
                <w:rFonts w:eastAsiaTheme="minorEastAsia"/>
                <w:color w:themeColor="text1" w:val="000000"/>
                <w:kern w:val="0"/>
                <w:sz w:val="24"/>
                <w:szCs w:val="24"/>
              </w:rPr>
              <w:t>482,585,478.57</w:t>
            </w:r>
          </w:p>
        </w:tc>
        <w:tc>
          <w:tcPr>
            <w:vAlign w:val="center"/>
          </w:tcPr>
          <w:p>
            <w:pPr>
              <w:jc w:val="center"/>
            </w:pPr>
            <w:r>
              <w:rPr>
                <w:rFonts w:eastAsiaTheme="minorEastAsia"/>
                <w:color w:themeColor="text1" w:val="000000"/>
                <w:kern w:val="0"/>
                <w:sz w:val="24"/>
                <w:szCs w:val="24"/>
              </w:rPr>
              <w:t>4.77</w:t>
            </w:r>
          </w:p>
        </w:tc>
      </w:tr>
      <w:tr>
        <w:tc>
          <w:tcPr>
            <w:vAlign w:val="center"/>
          </w:tcPr>
          <w:p>
            <w:pPr>
              <w:jc w:val="center"/>
            </w:pPr>
            <w:r>
              <w:rPr>
                <w:rFonts w:eastAsiaTheme="minorEastAsia"/>
                <w:color w:themeColor="text1" w:val="000000"/>
                <w:kern w:val="0"/>
                <w:sz w:val="24"/>
                <w:szCs w:val="24"/>
              </w:rPr>
              <w:t>公用事业</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房地产</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311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2,904,416,664.32</w:t>
            </w:r>
          </w:p>
        </w:tc>
        <w:tc>
          <w:tcPr>
            <w:tcW w:type="dxa" w:w="3118"/>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28.73</w:t>
            </w:r>
          </w:p>
        </w:tc>
      </w:tr>
    </w:tbl>
    <w:p w:rsidP="008C2A4F" w:rsidR="00750D48" w:rsidRDefault="008C2A4F" w:rsidRPr="008C2A4F">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注：以上分类采用全球行业分类标准（GICS）。</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5,080,529</w:t>
            </w:r>
          </w:p>
        </w:tc>
        <w:tc>
          <w:tcPr>
            <w:vAlign w:val="center"/>
          </w:tcPr>
          <w:p>
            <w:pPr>
              <w:jc w:val="right"/>
            </w:pPr>
            <w:r>
              <w:rPr>
                <w:color w:val="000000"/>
                <w:kern w:val="0"/>
                <w:sz w:val="24"/>
                <w:szCs w:val="24"/>
              </w:rPr>
              <w:t>869,380,122.48</w:t>
            </w:r>
          </w:p>
        </w:tc>
        <w:tc>
          <w:tcPr>
            <w:vAlign w:val="center"/>
          </w:tcPr>
          <w:p>
            <w:pPr>
              <w:jc w:val="right"/>
            </w:pPr>
            <w:r>
              <w:rPr>
                <w:color w:val="000000"/>
                <w:kern w:val="0"/>
                <w:sz w:val="24"/>
                <w:szCs w:val="24"/>
              </w:rPr>
              <w:t>8.60</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521,131</w:t>
            </w:r>
          </w:p>
        </w:tc>
        <w:tc>
          <w:tcPr>
            <w:vAlign w:val="center"/>
          </w:tcPr>
          <w:p>
            <w:pPr>
              <w:jc w:val="right"/>
            </w:pPr>
            <w:r>
              <w:rPr>
                <w:color w:val="000000"/>
                <w:kern w:val="0"/>
                <w:sz w:val="24"/>
                <w:szCs w:val="24"/>
              </w:rPr>
              <w:t>762,352,117.28</w:t>
            </w:r>
          </w:p>
        </w:tc>
        <w:tc>
          <w:tcPr>
            <w:vAlign w:val="center"/>
          </w:tcPr>
          <w:p>
            <w:pPr>
              <w:jc w:val="right"/>
            </w:pPr>
            <w:r>
              <w:rPr>
                <w:color w:val="000000"/>
                <w:kern w:val="0"/>
                <w:sz w:val="24"/>
                <w:szCs w:val="24"/>
              </w:rPr>
              <w:t>7.54</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000100</w:t>
            </w:r>
          </w:p>
        </w:tc>
        <w:tc>
          <w:tcPr>
            <w:vAlign w:val="center"/>
          </w:tcPr>
          <w:p>
            <w:pPr>
              <w:jc w:val="center"/>
            </w:pPr>
            <w:r>
              <w:rPr>
                <w:color w:val="000000"/>
                <w:kern w:val="0"/>
                <w:sz w:val="24"/>
                <w:szCs w:val="24"/>
              </w:rPr>
              <w:t>TCL科技</w:t>
            </w:r>
          </w:p>
        </w:tc>
        <w:tc>
          <w:tcPr>
            <w:vAlign w:val="center"/>
          </w:tcPr>
          <w:p>
            <w:pPr>
              <w:jc w:val="right"/>
            </w:pPr>
            <w:r>
              <w:rPr>
                <w:color w:val="000000"/>
                <w:kern w:val="0"/>
                <w:sz w:val="24"/>
                <w:szCs w:val="24"/>
              </w:rPr>
              <w:t>99,184,547</w:t>
            </w:r>
          </w:p>
        </w:tc>
        <w:tc>
          <w:tcPr>
            <w:vAlign w:val="center"/>
          </w:tcPr>
          <w:p>
            <w:pPr>
              <w:jc w:val="right"/>
            </w:pPr>
            <w:r>
              <w:rPr>
                <w:color w:val="000000"/>
                <w:kern w:val="0"/>
                <w:sz w:val="24"/>
                <w:szCs w:val="24"/>
              </w:rPr>
              <w:t>614,944,191.40</w:t>
            </w:r>
          </w:p>
        </w:tc>
        <w:tc>
          <w:tcPr>
            <w:vAlign w:val="center"/>
          </w:tcPr>
          <w:p>
            <w:pPr>
              <w:jc w:val="right"/>
            </w:pPr>
            <w:r>
              <w:rPr>
                <w:color w:val="000000"/>
                <w:kern w:val="0"/>
                <w:sz w:val="24"/>
                <w:szCs w:val="24"/>
              </w:rPr>
              <w:t>6.08</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00291</w:t>
            </w:r>
          </w:p>
        </w:tc>
        <w:tc>
          <w:tcPr>
            <w:vAlign w:val="center"/>
          </w:tcPr>
          <w:p>
            <w:pPr>
              <w:jc w:val="center"/>
            </w:pPr>
            <w:r>
              <w:rPr>
                <w:color w:val="000000"/>
                <w:kern w:val="0"/>
                <w:sz w:val="24"/>
                <w:szCs w:val="24"/>
              </w:rPr>
              <w:t>华润啤酒</w:t>
            </w:r>
          </w:p>
        </w:tc>
        <w:tc>
          <w:tcPr>
            <w:vAlign w:val="center"/>
          </w:tcPr>
          <w:p>
            <w:pPr>
              <w:jc w:val="right"/>
            </w:pPr>
            <w:r>
              <w:rPr>
                <w:color w:val="000000"/>
                <w:kern w:val="0"/>
                <w:sz w:val="24"/>
                <w:szCs w:val="24"/>
              </w:rPr>
              <w:t>15,416,000</w:t>
            </w:r>
          </w:p>
        </w:tc>
        <w:tc>
          <w:tcPr>
            <w:vAlign w:val="center"/>
          </w:tcPr>
          <w:p>
            <w:pPr>
              <w:jc w:val="right"/>
            </w:pPr>
            <w:r>
              <w:rPr>
                <w:color w:val="000000"/>
                <w:kern w:val="0"/>
                <w:sz w:val="24"/>
                <w:szCs w:val="24"/>
              </w:rPr>
              <w:t>608,324,732.93</w:t>
            </w:r>
          </w:p>
        </w:tc>
        <w:tc>
          <w:tcPr>
            <w:vAlign w:val="center"/>
          </w:tcPr>
          <w:p>
            <w:pPr>
              <w:jc w:val="right"/>
            </w:pPr>
            <w:r>
              <w:rPr>
                <w:color w:val="000000"/>
                <w:kern w:val="0"/>
                <w:sz w:val="24"/>
                <w:szCs w:val="24"/>
              </w:rPr>
              <w:t>6.02</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601012</w:t>
            </w:r>
          </w:p>
        </w:tc>
        <w:tc>
          <w:tcPr>
            <w:vAlign w:val="center"/>
          </w:tcPr>
          <w:p>
            <w:pPr>
              <w:jc w:val="center"/>
            </w:pPr>
            <w:r>
              <w:rPr>
                <w:color w:val="000000"/>
                <w:kern w:val="0"/>
                <w:sz w:val="24"/>
                <w:szCs w:val="24"/>
              </w:rPr>
              <w:t>隆基股份</w:t>
            </w:r>
          </w:p>
        </w:tc>
        <w:tc>
          <w:tcPr>
            <w:vAlign w:val="center"/>
          </w:tcPr>
          <w:p>
            <w:pPr>
              <w:jc w:val="right"/>
            </w:pPr>
            <w:r>
              <w:rPr>
                <w:color w:val="000000"/>
                <w:kern w:val="0"/>
                <w:sz w:val="24"/>
                <w:szCs w:val="24"/>
              </w:rPr>
              <w:t>14,795,964</w:t>
            </w:r>
          </w:p>
        </w:tc>
        <w:tc>
          <w:tcPr>
            <w:vAlign w:val="center"/>
          </w:tcPr>
          <w:p>
            <w:pPr>
              <w:jc w:val="right"/>
            </w:pPr>
            <w:r>
              <w:rPr>
                <w:color w:val="000000"/>
                <w:kern w:val="0"/>
                <w:sz w:val="24"/>
                <w:szCs w:val="24"/>
              </w:rPr>
              <w:t>602,639,613.72</w:t>
            </w:r>
          </w:p>
        </w:tc>
        <w:tc>
          <w:tcPr>
            <w:vAlign w:val="center"/>
          </w:tcPr>
          <w:p>
            <w:pPr>
              <w:jc w:val="right"/>
            </w:pPr>
            <w:r>
              <w:rPr>
                <w:color w:val="000000"/>
                <w:kern w:val="0"/>
                <w:sz w:val="24"/>
                <w:szCs w:val="24"/>
              </w:rPr>
              <w:t>5.96</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02382</w:t>
            </w:r>
          </w:p>
        </w:tc>
        <w:tc>
          <w:tcPr>
            <w:vAlign w:val="center"/>
          </w:tcPr>
          <w:p>
            <w:pPr>
              <w:jc w:val="center"/>
            </w:pPr>
            <w:r>
              <w:rPr>
                <w:color w:val="000000"/>
                <w:kern w:val="0"/>
                <w:sz w:val="24"/>
                <w:szCs w:val="24"/>
              </w:rPr>
              <w:t>舜宇光学科技</w:t>
            </w:r>
          </w:p>
        </w:tc>
        <w:tc>
          <w:tcPr>
            <w:vAlign w:val="center"/>
          </w:tcPr>
          <w:p>
            <w:pPr>
              <w:jc w:val="right"/>
            </w:pPr>
            <w:r>
              <w:rPr>
                <w:color w:val="000000"/>
                <w:kern w:val="0"/>
                <w:sz w:val="24"/>
                <w:szCs w:val="24"/>
              </w:rPr>
              <w:t>4,675,300</w:t>
            </w:r>
          </w:p>
        </w:tc>
        <w:tc>
          <w:tcPr>
            <w:vAlign w:val="center"/>
          </w:tcPr>
          <w:p>
            <w:pPr>
              <w:jc w:val="right"/>
            </w:pPr>
            <w:r>
              <w:rPr>
                <w:color w:val="000000"/>
                <w:kern w:val="0"/>
                <w:sz w:val="24"/>
                <w:szCs w:val="24"/>
              </w:rPr>
              <w:t>529,555,147.96</w:t>
            </w:r>
          </w:p>
        </w:tc>
        <w:tc>
          <w:tcPr>
            <w:vAlign w:val="center"/>
          </w:tcPr>
          <w:p>
            <w:pPr>
              <w:jc w:val="right"/>
            </w:pPr>
            <w:r>
              <w:rPr>
                <w:color w:val="000000"/>
                <w:kern w:val="0"/>
                <w:sz w:val="24"/>
                <w:szCs w:val="24"/>
              </w:rPr>
              <w:t>5.24</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000568</w:t>
            </w:r>
          </w:p>
        </w:tc>
        <w:tc>
          <w:tcPr>
            <w:vAlign w:val="center"/>
          </w:tcPr>
          <w:p>
            <w:pPr>
              <w:jc w:val="center"/>
            </w:pPr>
            <w:r>
              <w:rPr>
                <w:color w:val="000000"/>
                <w:kern w:val="0"/>
                <w:sz w:val="24"/>
                <w:szCs w:val="24"/>
              </w:rPr>
              <w:t>泸州老窖</w:t>
            </w:r>
          </w:p>
        </w:tc>
        <w:tc>
          <w:tcPr>
            <w:vAlign w:val="center"/>
          </w:tcPr>
          <w:p>
            <w:pPr>
              <w:jc w:val="right"/>
            </w:pPr>
            <w:r>
              <w:rPr>
                <w:color w:val="000000"/>
                <w:kern w:val="0"/>
                <w:sz w:val="24"/>
                <w:szCs w:val="24"/>
              </w:rPr>
              <w:t>5,787,831</w:t>
            </w:r>
          </w:p>
        </w:tc>
        <w:tc>
          <w:tcPr>
            <w:vAlign w:val="center"/>
          </w:tcPr>
          <w:p>
            <w:pPr>
              <w:jc w:val="right"/>
            </w:pPr>
            <w:r>
              <w:rPr>
                <w:color w:val="000000"/>
                <w:kern w:val="0"/>
                <w:sz w:val="24"/>
                <w:szCs w:val="24"/>
              </w:rPr>
              <w:t>527,387,160.72</w:t>
            </w:r>
          </w:p>
        </w:tc>
        <w:tc>
          <w:tcPr>
            <w:vAlign w:val="center"/>
          </w:tcPr>
          <w:p>
            <w:pPr>
              <w:jc w:val="right"/>
            </w:pPr>
            <w:r>
              <w:rPr>
                <w:color w:val="000000"/>
                <w:kern w:val="0"/>
                <w:sz w:val="24"/>
                <w:szCs w:val="24"/>
              </w:rPr>
              <w:t>5.22</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02020</w:t>
            </w:r>
          </w:p>
        </w:tc>
        <w:tc>
          <w:tcPr>
            <w:vAlign w:val="center"/>
          </w:tcPr>
          <w:p>
            <w:pPr>
              <w:jc w:val="center"/>
            </w:pPr>
            <w:r>
              <w:rPr>
                <w:color w:val="000000"/>
                <w:kern w:val="0"/>
                <w:sz w:val="24"/>
                <w:szCs w:val="24"/>
              </w:rPr>
              <w:t>安踏体育</w:t>
            </w:r>
          </w:p>
        </w:tc>
        <w:tc>
          <w:tcPr>
            <w:vAlign w:val="center"/>
          </w:tcPr>
          <w:p>
            <w:pPr>
              <w:jc w:val="right"/>
            </w:pPr>
            <w:r>
              <w:rPr>
                <w:color w:val="000000"/>
                <w:kern w:val="0"/>
                <w:sz w:val="24"/>
                <w:szCs w:val="24"/>
              </w:rPr>
              <w:t>7,942,000</w:t>
            </w:r>
          </w:p>
        </w:tc>
        <w:tc>
          <w:tcPr>
            <w:vAlign w:val="center"/>
          </w:tcPr>
          <w:p>
            <w:pPr>
              <w:jc w:val="right"/>
            </w:pPr>
            <w:r>
              <w:rPr>
                <w:color w:val="000000"/>
                <w:kern w:val="0"/>
                <w:sz w:val="24"/>
                <w:szCs w:val="24"/>
              </w:rPr>
              <w:t>496,210,568.83</w:t>
            </w:r>
          </w:p>
        </w:tc>
        <w:tc>
          <w:tcPr>
            <w:vAlign w:val="center"/>
          </w:tcPr>
          <w:p>
            <w:pPr>
              <w:jc w:val="right"/>
            </w:pPr>
            <w:r>
              <w:rPr>
                <w:color w:val="000000"/>
                <w:kern w:val="0"/>
                <w:sz w:val="24"/>
                <w:szCs w:val="24"/>
              </w:rPr>
              <w:t>4.91</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00700</w:t>
            </w:r>
          </w:p>
        </w:tc>
        <w:tc>
          <w:tcPr>
            <w:vAlign w:val="center"/>
          </w:tcPr>
          <w:p>
            <w:pPr>
              <w:jc w:val="center"/>
            </w:pPr>
            <w:r>
              <w:rPr>
                <w:color w:val="000000"/>
                <w:kern w:val="0"/>
                <w:sz w:val="24"/>
                <w:szCs w:val="24"/>
              </w:rPr>
              <w:t>腾讯控股</w:t>
            </w:r>
          </w:p>
        </w:tc>
        <w:tc>
          <w:tcPr>
            <w:vAlign w:val="center"/>
          </w:tcPr>
          <w:p>
            <w:pPr>
              <w:jc w:val="right"/>
            </w:pPr>
            <w:r>
              <w:rPr>
                <w:color w:val="000000"/>
                <w:kern w:val="0"/>
                <w:sz w:val="24"/>
                <w:szCs w:val="24"/>
              </w:rPr>
              <w:t>1,059,600</w:t>
            </w:r>
          </w:p>
        </w:tc>
        <w:tc>
          <w:tcPr>
            <w:vAlign w:val="center"/>
          </w:tcPr>
          <w:p>
            <w:pPr>
              <w:jc w:val="right"/>
            </w:pPr>
            <w:r>
              <w:rPr>
                <w:color w:val="000000"/>
                <w:kern w:val="0"/>
                <w:sz w:val="24"/>
                <w:szCs w:val="24"/>
              </w:rPr>
              <w:t>482,585,478.57</w:t>
            </w:r>
          </w:p>
        </w:tc>
        <w:tc>
          <w:tcPr>
            <w:vAlign w:val="center"/>
          </w:tcPr>
          <w:p>
            <w:pPr>
              <w:jc w:val="right"/>
            </w:pPr>
            <w:r>
              <w:rPr>
                <w:color w:val="000000"/>
                <w:kern w:val="0"/>
                <w:sz w:val="24"/>
                <w:szCs w:val="24"/>
              </w:rPr>
              <w:t>4.77</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03690</w:t>
            </w:r>
          </w:p>
        </w:tc>
        <w:tc>
          <w:tcPr>
            <w:vAlign w:val="center"/>
          </w:tcPr>
          <w:p>
            <w:pPr>
              <w:jc w:val="center"/>
            </w:pPr>
            <w:r>
              <w:rPr>
                <w:color w:val="000000"/>
                <w:kern w:val="0"/>
                <w:sz w:val="24"/>
                <w:szCs w:val="24"/>
              </w:rPr>
              <w:t>美团点评－Ｗ</w:t>
            </w:r>
          </w:p>
        </w:tc>
        <w:tc>
          <w:tcPr>
            <w:vAlign w:val="center"/>
          </w:tcPr>
          <w:p>
            <w:pPr>
              <w:jc w:val="right"/>
            </w:pPr>
            <w:r>
              <w:rPr>
                <w:color w:val="000000"/>
                <w:kern w:val="0"/>
                <w:sz w:val="24"/>
                <w:szCs w:val="24"/>
              </w:rPr>
              <w:t>2,681,400</w:t>
            </w:r>
          </w:p>
        </w:tc>
        <w:tc>
          <w:tcPr>
            <w:vAlign w:val="center"/>
          </w:tcPr>
          <w:p>
            <w:pPr>
              <w:jc w:val="right"/>
            </w:pPr>
            <w:r>
              <w:rPr>
                <w:color w:val="000000"/>
                <w:kern w:val="0"/>
                <w:sz w:val="24"/>
                <w:szCs w:val="24"/>
              </w:rPr>
              <w:t>421,034,328.95</w:t>
            </w:r>
          </w:p>
        </w:tc>
        <w:tc>
          <w:tcPr>
            <w:vAlign w:val="center"/>
          </w:tcPr>
          <w:p>
            <w:pPr>
              <w:jc w:val="right"/>
            </w:pPr>
            <w:r>
              <w:rPr>
                <w:color w:val="000000"/>
                <w:kern w:val="0"/>
                <w:sz w:val="24"/>
                <w:szCs w:val="24"/>
              </w:rPr>
              <w:t>4.16</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12,932,500.00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0.13</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12,932,500.00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0.13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128112</w:t>
            </w:r>
          </w:p>
        </w:tc>
        <w:tc>
          <w:tcPr>
            <w:vAlign w:val="center"/>
          </w:tcPr>
          <w:p>
            <w:pPr>
              <w:jc w:val="center"/>
            </w:pPr>
            <w:r>
              <w:rPr>
                <w:color w:val="000000"/>
                <w:kern w:val="0"/>
                <w:sz w:val="24"/>
                <w:szCs w:val="24"/>
              </w:rPr>
              <w:t>歌尔转2</w:t>
            </w:r>
          </w:p>
        </w:tc>
        <w:tc>
          <w:tcPr>
            <w:vAlign w:val="center"/>
          </w:tcPr>
          <w:p>
            <w:pPr>
              <w:jc w:val="right"/>
            </w:pPr>
            <w:r>
              <w:rPr>
                <w:color w:val="000000"/>
                <w:kern w:val="0"/>
                <w:sz w:val="24"/>
                <w:szCs w:val="24"/>
              </w:rPr>
              <w:t>129,325</w:t>
            </w:r>
          </w:p>
        </w:tc>
        <w:tc>
          <w:tcPr>
            <w:vAlign w:val="center"/>
          </w:tcPr>
          <w:p>
            <w:pPr>
              <w:jc w:val="right"/>
            </w:pPr>
            <w:r>
              <w:rPr>
                <w:color w:val="000000"/>
                <w:kern w:val="0"/>
                <w:sz w:val="24"/>
                <w:szCs w:val="24"/>
              </w:rPr>
              <w:t>12,932,500.00</w:t>
            </w:r>
          </w:p>
        </w:tc>
        <w:tc>
          <w:tcPr>
            <w:vAlign w:val="center"/>
          </w:tcPr>
          <w:p>
            <w:pPr>
              <w:jc w:val="right"/>
            </w:pPr>
            <w:r>
              <w:rPr>
                <w:color w:val="000000"/>
                <w:kern w:val="0"/>
                <w:sz w:val="24"/>
                <w:szCs w:val="24"/>
              </w:rPr>
              <w:t>0.13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2019年9月26日，美国国际贸易委员会(ITC)根据美国Global Foundries公司提出的申请，决定对包括TCL集团（现已更名为“TCL科技”）在内的多家公司提起337调查，指控包括该公司在内的一系列企业对美出口、在美进口和在美销售的相关产品侵犯其专利权。2019年10月29日，上述337调查的芯片制程工艺方与Global Foundries公司联合宣布已就双方现有及未来十年将申请的半导体技术专利达成全球专利交互授权协议，并撤销双方之间及与各自客户相关的所有法律诉讼。</w:t>
      </w:r>
    </w:p>
    <w:p>
      <w:pPr>
        <w:spacing w:line="360" w:lineRule="auto"/>
        <w:rPr>
          <w:rFonts w:ascii="宋体" w:hAnsi="宋体"/>
          <w:color w:val="000000"/>
          <w:sz w:val="24"/>
          <w:szCs w:val="24"/>
        </w:rPr>
      </w:pPr>
      <w:r>
        <w:rPr>
          <w:rFonts w:ascii="宋体" w:hAnsi="宋体"/>
          <w:color w:val="000000"/>
          <w:sz w:val="24"/>
          <w:szCs w:val="24"/>
        </w:rPr>
        <w:t>本基金投资TCL科技的投资决策程序符合公司投资制度的规定。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除TCL科技外，本基金投资的前十名证券的发行主体本期没有出现被监管部门立案调查，或在报告编制日前一年内受到公开谴责、处罚的情形。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1,199,283.03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30,102,688.69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3,472,897.97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226,646.73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43,262,047.72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78,263,564.14</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16,212,876,610.48</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583,466,539.95</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8,020,081,821.60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8,776,261,328.83</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xml:space="preserve">本报告期内基金管理人未持有本基金份额。 </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本报告期内基金管理人未运用固有资金申购、赎回、买卖本基金份额。 </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1.中国证监会准予易方达研究精选股票型证券投资基金注册的文件；</w:t>
      </w:r>
    </w:p>
    <w:p>
      <w:pPr>
        <w:spacing w:line="360" w:lineRule="auto"/>
        <w:ind w:firstLine="480" w:firstLineChars="200"/>
        <w:rPr>
          <w:color w:val="000000"/>
          <w:sz w:val="24"/>
          <w:szCs w:val="24"/>
        </w:rPr>
      </w:pPr>
      <w:r>
        <w:rPr>
          <w:color w:val="000000"/>
          <w:sz w:val="24"/>
          <w:szCs w:val="24"/>
        </w:rPr>
        <w:t>2.《易方达研究精选股票型证券投资基金基金合同》；</w:t>
      </w:r>
    </w:p>
    <w:p>
      <w:pPr>
        <w:spacing w:line="360" w:lineRule="auto"/>
        <w:ind w:firstLine="480" w:firstLineChars="200"/>
        <w:rPr>
          <w:color w:val="000000"/>
          <w:sz w:val="24"/>
          <w:szCs w:val="24"/>
        </w:rPr>
      </w:pPr>
      <w:r>
        <w:rPr>
          <w:color w:val="000000"/>
          <w:sz w:val="24"/>
          <w:szCs w:val="24"/>
        </w:rPr>
        <w:t>3.《易方达研究精选股票型证券投资基金托管协议》；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易方达研究精选股票型证券投资基金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