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易方达年年恒秋纯债一年定期开放债券型发起式证券投资基金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招商银行股份有限公司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易方达年年恒秋纯债一年定开债券发起式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007997</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2019年10月31日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5,680,971,748.22</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本基金为纯债基金，管理人主要通过分析影响债券市场的各类要素，对债券组合的平均久期、期限结构、类属品种进行有效配置，力争为投资人提供长期稳定的投资回报。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封闭运作期内，本基金在债券投资上主要通过久期配置、类属配置、期限结构配置和个券选择四个层次进行投资管理。在久期配置方面，在投资组合平均久期与封闭运作期适当匹配的基础上，本基金将对宏观经济走势、经济周期所处阶段和宏观经济政策动向等进行研究，并据此积极调整债券组合的平均久期。在类属配置方面，本基金将对宏观经济周期、市场利率走势、资金供求变化，以及信用债券的信用风险等因素进行分析，根据各债券类属的风险收益特征，确定债券类属资产的最优权重。在期限结构配置方面，本基金将对市场收益率曲线变动情况进行研判，在长期、中期和短期债券之间进行配置，适时采用子弹型、哑铃型或梯型策略构建投资组合。在个券选择方面，对于国债、央行票据等非信用类债券，本基金将根据宏观经济变量和宏观经济政策的分析，预测未来收益率曲线的变动趋势，综合考虑组合流动性决定投资品种；对于信用类债券，本基金将根据发行人的公司背景、行业特性、盈利能力、偿债能力、流动性等因素，对信用债进行信用风险评估，积极发掘信用利差具有相对投资机会的个券进行投资，并采取分散化投资策略，严格控制组合整体的违约风险水平。本基金将在对资金面进行综合分析的基础上，比较债券收益率和融资成本，判断利差空间，力争通过息差策略提高组合收益。开放运作期内，本基金为保持较高的组合流动性，方便投资人安排投资，在遵守本基金有关投资限制与投资比例的前提下，将主要投资于高流动性的投资品种，减小基金净值的波动。</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中债信用债总财富（1年以下）指数收益率</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招商银行股份有限公司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易方达年年恒秋纯债一年定开债券发起式A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易方达年年恒秋纯债一年定开债券发起式C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007997</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007998</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4,632,501,537.33</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1,048,470,210.89</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易方达年年恒秋纯债一年定开债券发起式A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易方达年年恒秋纯债一年定开债券发起式C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53,794,511.55</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11,367,590.83</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5,637,166.88</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476,641.96</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0.0012</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0.0005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4,692,366,939.51</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1,060,924,452.27</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1.0129</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1.0119</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易方达年年恒秋纯债一年定开债券发起式A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0.11%</w:t>
            </w:r>
          </w:p>
        </w:tc>
        <w:tc>
          <w:tcPr>
            <w:vAlign w:val="center"/>
          </w:tcPr>
          <w:p>
            <w:pPr>
              <w:jc w:val="center"/>
            </w:pPr>
            <w:r>
              <w:rPr>
                <w:color w:val="000000"/>
                <w:sz w:val="24"/>
              </w:rPr>
              <w:t>0.11%</w:t>
            </w:r>
          </w:p>
        </w:tc>
        <w:tc>
          <w:tcPr>
            <w:vAlign w:val="center"/>
          </w:tcPr>
          <w:p>
            <w:pPr>
              <w:jc w:val="center"/>
            </w:pPr>
            <w:r>
              <w:rPr>
                <w:color w:val="000000"/>
                <w:sz w:val="24"/>
              </w:rPr>
              <w:t>0.44%</w:t>
            </w:r>
          </w:p>
        </w:tc>
        <w:tc>
          <w:tcPr>
            <w:vAlign w:val="center"/>
          </w:tcPr>
          <w:p>
            <w:pPr>
              <w:jc w:val="center"/>
            </w:pPr>
            <w:r>
              <w:rPr>
                <w:color w:val="000000"/>
                <w:sz w:val="24"/>
              </w:rPr>
              <w:t>0.02%</w:t>
            </w:r>
          </w:p>
        </w:tc>
        <w:tc>
          <w:tcPr>
            <w:vAlign w:val="center"/>
          </w:tcPr>
          <w:p>
            <w:pPr>
              <w:jc w:val="center"/>
            </w:pPr>
            <w:r>
              <w:rPr>
                <w:color w:val="000000"/>
                <w:sz w:val="24"/>
              </w:rPr>
              <w:t>-0.33%</w:t>
            </w:r>
          </w:p>
        </w:tc>
        <w:tc>
          <w:tcPr>
            <w:vAlign w:val="center"/>
          </w:tcPr>
          <w:p>
            <w:pPr>
              <w:jc w:val="center"/>
            </w:pPr>
            <w:r>
              <w:rPr>
                <w:color w:val="000000"/>
                <w:sz w:val="24"/>
              </w:rPr>
              <w:t>0.09%</w:t>
            </w:r>
          </w:p>
        </w:tc>
      </w:tr>
      <w:tr>
        <w:tc>
          <w:tcPr>
            <w:vAlign w:val="center"/>
          </w:tcPr>
          <w:p>
            <w:pPr>
              <w:jc w:val="left"/>
            </w:pPr>
            <w:r>
              <w:rPr>
                <w:color w:val="000000"/>
                <w:sz w:val="24"/>
              </w:rPr>
              <w:t>过去六个月</w:t>
            </w:r>
          </w:p>
        </w:tc>
        <w:tc>
          <w:tcPr>
            <w:vAlign w:val="center"/>
          </w:tcPr>
          <w:p>
            <w:pPr>
              <w:jc w:val="center"/>
            </w:pPr>
            <w:r>
              <w:rPr>
                <w:color w:val="000000"/>
                <w:sz w:val="24"/>
              </w:rPr>
              <w:t>2.13%</w:t>
            </w:r>
          </w:p>
        </w:tc>
        <w:tc>
          <w:tcPr>
            <w:vAlign w:val="center"/>
          </w:tcPr>
          <w:p>
            <w:pPr>
              <w:jc w:val="center"/>
            </w:pPr>
            <w:r>
              <w:rPr>
                <w:color w:val="000000"/>
                <w:sz w:val="24"/>
              </w:rPr>
              <w:t>0.09%</w:t>
            </w:r>
          </w:p>
        </w:tc>
        <w:tc>
          <w:tcPr>
            <w:vAlign w:val="center"/>
          </w:tcPr>
          <w:p>
            <w:pPr>
              <w:jc w:val="center"/>
            </w:pPr>
            <w:r>
              <w:rPr>
                <w:color w:val="000000"/>
                <w:sz w:val="24"/>
              </w:rPr>
              <w:t>1.46%</w:t>
            </w:r>
          </w:p>
        </w:tc>
        <w:tc>
          <w:tcPr>
            <w:vAlign w:val="center"/>
          </w:tcPr>
          <w:p>
            <w:pPr>
              <w:jc w:val="center"/>
            </w:pPr>
            <w:r>
              <w:rPr>
                <w:color w:val="000000"/>
                <w:sz w:val="24"/>
              </w:rPr>
              <w:t>0.02%</w:t>
            </w:r>
          </w:p>
        </w:tc>
        <w:tc>
          <w:tcPr>
            <w:vAlign w:val="center"/>
          </w:tcPr>
          <w:p>
            <w:pPr>
              <w:jc w:val="center"/>
            </w:pPr>
            <w:r>
              <w:rPr>
                <w:color w:val="000000"/>
                <w:sz w:val="24"/>
              </w:rPr>
              <w:t>0.67%</w:t>
            </w:r>
          </w:p>
        </w:tc>
        <w:tc>
          <w:tcPr>
            <w:vAlign w:val="center"/>
          </w:tcPr>
          <w:p>
            <w:pPr>
              <w:jc w:val="center"/>
            </w:pPr>
            <w:r>
              <w:rPr>
                <w:color w:val="000000"/>
                <w:sz w:val="24"/>
              </w:rPr>
              <w:t>0.07%</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2.78%</w:t>
            </w:r>
          </w:p>
        </w:tc>
        <w:tc>
          <w:tcPr>
            <w:vAlign w:val="center"/>
          </w:tcPr>
          <w:p>
            <w:pPr>
              <w:jc w:val="center"/>
            </w:pPr>
            <w:r>
              <w:rPr>
                <w:color w:val="000000"/>
                <w:sz w:val="24"/>
              </w:rPr>
              <w:t>0.08%</w:t>
            </w:r>
          </w:p>
        </w:tc>
        <w:tc>
          <w:tcPr>
            <w:vAlign w:val="center"/>
          </w:tcPr>
          <w:p>
            <w:pPr>
              <w:jc w:val="center"/>
            </w:pPr>
            <w:r>
              <w:rPr>
                <w:color w:val="000000"/>
                <w:sz w:val="24"/>
              </w:rPr>
              <w:t>2.13%</w:t>
            </w:r>
          </w:p>
        </w:tc>
        <w:tc>
          <w:tcPr>
            <w:vAlign w:val="center"/>
          </w:tcPr>
          <w:p>
            <w:pPr>
              <w:jc w:val="center"/>
            </w:pPr>
            <w:r>
              <w:rPr>
                <w:color w:val="000000"/>
                <w:sz w:val="24"/>
              </w:rPr>
              <w:t>0.02%</w:t>
            </w:r>
          </w:p>
        </w:tc>
        <w:tc>
          <w:tcPr>
            <w:vAlign w:val="center"/>
          </w:tcPr>
          <w:p>
            <w:pPr>
              <w:jc w:val="center"/>
            </w:pPr>
            <w:r>
              <w:rPr>
                <w:color w:val="000000"/>
                <w:sz w:val="24"/>
              </w:rPr>
              <w:t>0.65%</w:t>
            </w:r>
          </w:p>
        </w:tc>
        <w:tc>
          <w:tcPr>
            <w:vAlign w:val="center"/>
          </w:tcPr>
          <w:p>
            <w:pPr>
              <w:jc w:val="center"/>
            </w:pPr>
            <w:r>
              <w:rPr>
                <w:color w:val="000000"/>
                <w:sz w:val="24"/>
              </w:rPr>
              <w:t>0.06%</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易方达年年恒秋纯债一年定开债券发起式C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0.04%</w:t>
            </w:r>
          </w:p>
        </w:tc>
        <w:tc>
          <w:tcPr>
            <w:vAlign w:val="center"/>
          </w:tcPr>
          <w:p>
            <w:pPr>
              <w:jc w:val="center"/>
            </w:pPr>
            <w:r>
              <w:rPr>
                <w:color w:val="000000"/>
                <w:sz w:val="24"/>
              </w:rPr>
              <w:t>0.11%</w:t>
            </w:r>
          </w:p>
        </w:tc>
        <w:tc>
          <w:tcPr>
            <w:vAlign w:val="center"/>
          </w:tcPr>
          <w:p>
            <w:pPr>
              <w:jc w:val="center"/>
            </w:pPr>
            <w:r>
              <w:rPr>
                <w:color w:val="000000"/>
                <w:sz w:val="24"/>
              </w:rPr>
              <w:t>0.44%</w:t>
            </w:r>
          </w:p>
        </w:tc>
        <w:tc>
          <w:tcPr>
            <w:vAlign w:val="center"/>
          </w:tcPr>
          <w:p>
            <w:pPr>
              <w:jc w:val="center"/>
            </w:pPr>
            <w:r>
              <w:rPr>
                <w:color w:val="000000"/>
                <w:sz w:val="24"/>
              </w:rPr>
              <w:t>0.02%</w:t>
            </w:r>
          </w:p>
        </w:tc>
        <w:tc>
          <w:tcPr>
            <w:vAlign w:val="center"/>
          </w:tcPr>
          <w:p>
            <w:pPr>
              <w:jc w:val="center"/>
            </w:pPr>
            <w:r>
              <w:rPr>
                <w:color w:val="000000"/>
                <w:sz w:val="24"/>
              </w:rPr>
              <w:t>-0.40%</w:t>
            </w:r>
          </w:p>
        </w:tc>
        <w:tc>
          <w:tcPr>
            <w:vAlign w:val="center"/>
          </w:tcPr>
          <w:p>
            <w:pPr>
              <w:jc w:val="center"/>
            </w:pPr>
            <w:r>
              <w:rPr>
                <w:color w:val="000000"/>
                <w:sz w:val="24"/>
              </w:rPr>
              <w:t>0.09%</w:t>
            </w:r>
          </w:p>
        </w:tc>
      </w:tr>
      <w:tr>
        <w:tc>
          <w:tcPr>
            <w:vAlign w:val="center"/>
          </w:tcPr>
          <w:p>
            <w:pPr>
              <w:jc w:val="left"/>
            </w:pPr>
            <w:r>
              <w:rPr>
                <w:color w:val="000000"/>
                <w:sz w:val="24"/>
              </w:rPr>
              <w:t>过去六个月</w:t>
            </w:r>
          </w:p>
        </w:tc>
        <w:tc>
          <w:tcPr>
            <w:vAlign w:val="center"/>
          </w:tcPr>
          <w:p>
            <w:pPr>
              <w:jc w:val="center"/>
            </w:pPr>
            <w:r>
              <w:rPr>
                <w:color w:val="000000"/>
                <w:sz w:val="24"/>
              </w:rPr>
              <w:t>1.99%</w:t>
            </w:r>
          </w:p>
        </w:tc>
        <w:tc>
          <w:tcPr>
            <w:vAlign w:val="center"/>
          </w:tcPr>
          <w:p>
            <w:pPr>
              <w:jc w:val="center"/>
            </w:pPr>
            <w:r>
              <w:rPr>
                <w:color w:val="000000"/>
                <w:sz w:val="24"/>
              </w:rPr>
              <w:t>0.09%</w:t>
            </w:r>
          </w:p>
        </w:tc>
        <w:tc>
          <w:tcPr>
            <w:vAlign w:val="center"/>
          </w:tcPr>
          <w:p>
            <w:pPr>
              <w:jc w:val="center"/>
            </w:pPr>
            <w:r>
              <w:rPr>
                <w:color w:val="000000"/>
                <w:sz w:val="24"/>
              </w:rPr>
              <w:t>1.46%</w:t>
            </w:r>
          </w:p>
        </w:tc>
        <w:tc>
          <w:tcPr>
            <w:vAlign w:val="center"/>
          </w:tcPr>
          <w:p>
            <w:pPr>
              <w:jc w:val="center"/>
            </w:pPr>
            <w:r>
              <w:rPr>
                <w:color w:val="000000"/>
                <w:sz w:val="24"/>
              </w:rPr>
              <w:t>0.02%</w:t>
            </w:r>
          </w:p>
        </w:tc>
        <w:tc>
          <w:tcPr>
            <w:vAlign w:val="center"/>
          </w:tcPr>
          <w:p>
            <w:pPr>
              <w:jc w:val="center"/>
            </w:pPr>
            <w:r>
              <w:rPr>
                <w:color w:val="000000"/>
                <w:sz w:val="24"/>
              </w:rPr>
              <w:t>0.53%</w:t>
            </w:r>
          </w:p>
        </w:tc>
        <w:tc>
          <w:tcPr>
            <w:vAlign w:val="center"/>
          </w:tcPr>
          <w:p>
            <w:pPr>
              <w:jc w:val="center"/>
            </w:pPr>
            <w:r>
              <w:rPr>
                <w:color w:val="000000"/>
                <w:sz w:val="24"/>
              </w:rPr>
              <w:t>0.07%</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2.58%</w:t>
            </w:r>
          </w:p>
        </w:tc>
        <w:tc>
          <w:tcPr>
            <w:vAlign w:val="center"/>
          </w:tcPr>
          <w:p>
            <w:pPr>
              <w:jc w:val="center"/>
            </w:pPr>
            <w:r>
              <w:rPr>
                <w:color w:val="000000"/>
                <w:sz w:val="24"/>
              </w:rPr>
              <w:t>0.08%</w:t>
            </w:r>
          </w:p>
        </w:tc>
        <w:tc>
          <w:tcPr>
            <w:vAlign w:val="center"/>
          </w:tcPr>
          <w:p>
            <w:pPr>
              <w:jc w:val="center"/>
            </w:pPr>
            <w:r>
              <w:rPr>
                <w:color w:val="000000"/>
                <w:sz w:val="24"/>
              </w:rPr>
              <w:t>2.13%</w:t>
            </w:r>
          </w:p>
        </w:tc>
        <w:tc>
          <w:tcPr>
            <w:vAlign w:val="center"/>
          </w:tcPr>
          <w:p>
            <w:pPr>
              <w:jc w:val="center"/>
            </w:pPr>
            <w:r>
              <w:rPr>
                <w:color w:val="000000"/>
                <w:sz w:val="24"/>
              </w:rPr>
              <w:t>0.02%</w:t>
            </w:r>
          </w:p>
        </w:tc>
        <w:tc>
          <w:tcPr>
            <w:vAlign w:val="center"/>
          </w:tcPr>
          <w:p>
            <w:pPr>
              <w:jc w:val="center"/>
            </w:pPr>
            <w:r>
              <w:rPr>
                <w:color w:val="000000"/>
                <w:sz w:val="24"/>
              </w:rPr>
              <w:t>0.45%</w:t>
            </w:r>
          </w:p>
        </w:tc>
        <w:tc>
          <w:tcPr>
            <w:vAlign w:val="center"/>
          </w:tcPr>
          <w:p>
            <w:pPr>
              <w:jc w:val="center"/>
            </w:pPr>
            <w:r>
              <w:rPr>
                <w:color w:val="000000"/>
                <w:sz w:val="24"/>
              </w:rPr>
              <w:t>0.06%</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易方达年年恒秋纯债一年定期开放债券型发起式证券投资基金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（2019年10月31日至2020年6月30日）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易方达年年恒秋纯债一年定开债券发起式A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易方达年年恒秋纯债一年定开债券发起式C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pPr>
        <w:spacing w:line="360" w:lineRule="auto"/>
        <w:ind w:firstLine="480" w:firstLineChars="200"/>
        <w:rPr>
          <w:color w:val="000000"/>
          <w:sz w:val="24"/>
        </w:rPr>
      </w:pPr>
      <w:r>
        <w:rPr>
          <w:color w:val="000000"/>
          <w:sz w:val="24"/>
        </w:rPr>
        <w:t>注：1.本基金合同于2019年10月31日生效，截至报告期末本基金合同生效未满一年。</w:t>
      </w:r>
    </w:p>
    <w:p>
      <w:pPr>
        <w:spacing w:line="360" w:lineRule="auto"/>
        <w:ind w:firstLine="480" w:firstLineChars="200"/>
        <w:rPr>
          <w:color w:val="000000"/>
          <w:sz w:val="24"/>
        </w:rPr>
      </w:pPr>
      <w:r>
        <w:rPr>
          <w:color w:val="000000"/>
          <w:sz w:val="24"/>
        </w:rPr>
        <w:t>2.按基金合同和招募说明书的约定，本基金的建仓期为六个月，建仓期结束时各项资产配置比例符合基金合同（第十二部分二、投资范围，三、投资策略和四、投资限制）的有关约定。</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3.自基金合同生效至报告期末，A类基金份额净值增长率为2.78%，C类基金份额净值增长率为2.58%，同期业绩比较基准收益率为2.13%。</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李一硕</w:t>
            </w:r>
          </w:p>
        </w:tc>
        <w:tc>
          <w:tcPr>
            <w:vAlign w:val="center"/>
          </w:tcPr>
          <w:p>
            <w:pPr>
              <w:jc w:val="left"/>
            </w:pPr>
            <w:r>
              <w:rPr>
                <w:color w:val="000000"/>
                <w:sz w:val="24"/>
              </w:rPr>
              <w:t>本基金的基金经理、易方达永旭添利定期开放债券型证券投资基金的基金经理、易方达纯债1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春纯债一年定期开放债券型发起式证券投资基金的基金经理、易方达稳健收益债券型证券投资基金的基金经理助理、易方达中债新综合债券指数发起式证券投资基金（LOF）的基金经理助理、易方达信用债债券型证券投资基金的基金经理助理、易方达裕惠回报定期开放式混合型发起式证券投资基金的基金经理助理、易方达瑞富灵活配置混合型证券投资基金的基金经理助理、易方达恒兴3个月定期开放债券型发起式证券投资基金的基金经理助理、易方达富惠纯债债券型证券投资基金的基金经理助理、易方达丰惠混合型证券投资基金的基金经理助理（自2019年01月18日至2020年06月09日）、固定收益投资部总经理助理</w:t>
            </w:r>
          </w:p>
        </w:tc>
        <w:tc>
          <w:tcPr>
            <w:vAlign w:val="center"/>
          </w:tcPr>
          <w:p>
            <w:pPr>
              <w:jc w:val="center"/>
            </w:pPr>
            <w:r>
              <w:rPr>
                <w:color w:val="000000"/>
                <w:sz w:val="24"/>
              </w:rPr>
              <w:t>2019-10-31</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rPr>
      </w:pPr>
      <w:r>
        <w:rPr>
          <w:color w:val="000000"/>
          <w:sz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操作上，组合保持了偏高的杠杆水平。受到债券市场剧烈波动的影响，组合净值有所回撤。未来我们在维持久期匹配的整体策略下，将根据市场情况灵活调整组合的配置结构。</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1.0129元，本报告期份额净值增长率为0.11%，同期业绩比较基准收益率为0.44%；C类基金份额净值为1.0119元，本报告期份额净值增长率为0.04%，同期业绩比较基准收益率为0.44%。</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9,616,229,461.40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96.85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9,346,788,761.40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94.14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269,440,700.00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2.71</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139,439,920.60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1.40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173,131,697.89</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1.74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9,928,801,079.89</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101,420,000.00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1.76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5,526,086,761.40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96.05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491,953,000.00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8.55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3,227,329,000.00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56.10</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9,346,788,761.40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162.46</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155852</w:t>
            </w:r>
          </w:p>
        </w:tc>
        <w:tc>
          <w:tcPr>
            <w:vAlign w:val="center"/>
          </w:tcPr>
          <w:p>
            <w:pPr>
              <w:jc w:val="center"/>
            </w:pPr>
            <w:r>
              <w:rPr>
                <w:color w:val="000000"/>
                <w:sz w:val="24"/>
              </w:rPr>
              <w:t>19润药Y1</w:t>
            </w:r>
          </w:p>
        </w:tc>
        <w:tc>
          <w:tcPr>
            <w:vAlign w:val="center"/>
          </w:tcPr>
          <w:p>
            <w:pPr>
              <w:jc w:val="right"/>
            </w:pPr>
            <w:r>
              <w:rPr>
                <w:color w:val="000000"/>
                <w:sz w:val="24"/>
              </w:rPr>
              <w:t>2,000,000</w:t>
            </w:r>
          </w:p>
        </w:tc>
        <w:tc>
          <w:tcPr>
            <w:vAlign w:val="center"/>
          </w:tcPr>
          <w:p>
            <w:pPr>
              <w:jc w:val="right"/>
            </w:pPr>
            <w:r>
              <w:rPr>
                <w:color w:val="000000"/>
                <w:sz w:val="24"/>
              </w:rPr>
              <w:t>202,300,000.00</w:t>
            </w:r>
          </w:p>
        </w:tc>
        <w:tc>
          <w:tcPr>
            <w:vAlign w:val="center"/>
          </w:tcPr>
          <w:p>
            <w:pPr>
              <w:jc w:val="right"/>
            </w:pPr>
            <w:r>
              <w:rPr>
                <w:color w:val="000000"/>
                <w:sz w:val="24"/>
              </w:rPr>
              <w:t>3.52</w:t>
            </w:r>
          </w:p>
        </w:tc>
      </w:tr>
      <w:tr>
        <w:tc>
          <w:tcPr>
            <w:vAlign w:val="center"/>
          </w:tcPr>
          <w:p>
            <w:pPr>
              <w:jc w:val="center"/>
            </w:pPr>
            <w:r>
              <w:rPr>
                <w:color w:val="000000"/>
                <w:sz w:val="24"/>
              </w:rPr>
              <w:t>2</w:t>
            </w:r>
          </w:p>
        </w:tc>
        <w:tc>
          <w:tcPr>
            <w:vAlign w:val="center"/>
          </w:tcPr>
          <w:p>
            <w:pPr>
              <w:jc w:val="center"/>
            </w:pPr>
            <w:r>
              <w:rPr>
                <w:color w:val="000000"/>
                <w:sz w:val="24"/>
              </w:rPr>
              <w:t>101901565</w:t>
            </w:r>
          </w:p>
        </w:tc>
        <w:tc>
          <w:tcPr>
            <w:vAlign w:val="center"/>
          </w:tcPr>
          <w:p>
            <w:pPr>
              <w:jc w:val="center"/>
            </w:pPr>
            <w:r>
              <w:rPr>
                <w:color w:val="000000"/>
                <w:sz w:val="24"/>
              </w:rPr>
              <w:t>19沪电力MTN002</w:t>
            </w:r>
          </w:p>
        </w:tc>
        <w:tc>
          <w:tcPr>
            <w:vAlign w:val="center"/>
          </w:tcPr>
          <w:p>
            <w:pPr>
              <w:jc w:val="right"/>
            </w:pPr>
            <w:r>
              <w:rPr>
                <w:color w:val="000000"/>
                <w:sz w:val="24"/>
              </w:rPr>
              <w:t>1,600,000</w:t>
            </w:r>
          </w:p>
        </w:tc>
        <w:tc>
          <w:tcPr>
            <w:vAlign w:val="center"/>
          </w:tcPr>
          <w:p>
            <w:pPr>
              <w:jc w:val="right"/>
            </w:pPr>
            <w:r>
              <w:rPr>
                <w:color w:val="000000"/>
                <w:sz w:val="24"/>
              </w:rPr>
              <w:t>162,688,000.00</w:t>
            </w:r>
          </w:p>
        </w:tc>
        <w:tc>
          <w:tcPr>
            <w:vAlign w:val="center"/>
          </w:tcPr>
          <w:p>
            <w:pPr>
              <w:jc w:val="right"/>
            </w:pPr>
            <w:r>
              <w:rPr>
                <w:color w:val="000000"/>
                <w:sz w:val="24"/>
              </w:rPr>
              <w:t>2.83</w:t>
            </w:r>
          </w:p>
        </w:tc>
      </w:tr>
      <w:tr>
        <w:tc>
          <w:tcPr>
            <w:vAlign w:val="center"/>
          </w:tcPr>
          <w:p>
            <w:pPr>
              <w:jc w:val="center"/>
            </w:pPr>
            <w:r>
              <w:rPr>
                <w:color w:val="000000"/>
                <w:sz w:val="24"/>
              </w:rPr>
              <w:t>3</w:t>
            </w:r>
          </w:p>
        </w:tc>
        <w:tc>
          <w:tcPr>
            <w:vAlign w:val="center"/>
          </w:tcPr>
          <w:p>
            <w:pPr>
              <w:jc w:val="center"/>
            </w:pPr>
            <w:r>
              <w:rPr>
                <w:color w:val="000000"/>
                <w:sz w:val="24"/>
              </w:rPr>
              <w:t>136236</w:t>
            </w:r>
          </w:p>
        </w:tc>
        <w:tc>
          <w:tcPr>
            <w:vAlign w:val="center"/>
          </w:tcPr>
          <w:p>
            <w:pPr>
              <w:jc w:val="center"/>
            </w:pPr>
            <w:r>
              <w:rPr>
                <w:color w:val="000000"/>
                <w:sz w:val="24"/>
              </w:rPr>
              <w:t>16复药01</w:t>
            </w:r>
          </w:p>
        </w:tc>
        <w:tc>
          <w:tcPr>
            <w:vAlign w:val="center"/>
          </w:tcPr>
          <w:p>
            <w:pPr>
              <w:jc w:val="right"/>
            </w:pPr>
            <w:r>
              <w:rPr>
                <w:color w:val="000000"/>
                <w:sz w:val="24"/>
              </w:rPr>
              <w:t>1,600,000</w:t>
            </w:r>
          </w:p>
        </w:tc>
        <w:tc>
          <w:tcPr>
            <w:vAlign w:val="center"/>
          </w:tcPr>
          <w:p>
            <w:pPr>
              <w:jc w:val="right"/>
            </w:pPr>
            <w:r>
              <w:rPr>
                <w:color w:val="000000"/>
                <w:sz w:val="24"/>
              </w:rPr>
              <w:t>161,536,000.00</w:t>
            </w:r>
          </w:p>
        </w:tc>
        <w:tc>
          <w:tcPr>
            <w:vAlign w:val="center"/>
          </w:tcPr>
          <w:p>
            <w:pPr>
              <w:jc w:val="right"/>
            </w:pPr>
            <w:r>
              <w:rPr>
                <w:color w:val="000000"/>
                <w:sz w:val="24"/>
              </w:rPr>
              <w:t>2.81</w:t>
            </w:r>
          </w:p>
        </w:tc>
      </w:tr>
      <w:tr>
        <w:tc>
          <w:tcPr>
            <w:vAlign w:val="center"/>
          </w:tcPr>
          <w:p>
            <w:pPr>
              <w:jc w:val="center"/>
            </w:pPr>
            <w:r>
              <w:rPr>
                <w:color w:val="000000"/>
                <w:sz w:val="24"/>
              </w:rPr>
              <w:t>4</w:t>
            </w:r>
          </w:p>
        </w:tc>
        <w:tc>
          <w:tcPr>
            <w:vAlign w:val="center"/>
          </w:tcPr>
          <w:p>
            <w:pPr>
              <w:jc w:val="center"/>
            </w:pPr>
            <w:r>
              <w:rPr>
                <w:color w:val="000000"/>
                <w:sz w:val="24"/>
              </w:rPr>
              <w:t>155809</w:t>
            </w:r>
          </w:p>
        </w:tc>
        <w:tc>
          <w:tcPr>
            <w:vAlign w:val="center"/>
          </w:tcPr>
          <w:p>
            <w:pPr>
              <w:jc w:val="center"/>
            </w:pPr>
            <w:r>
              <w:rPr>
                <w:color w:val="000000"/>
                <w:sz w:val="24"/>
              </w:rPr>
              <w:t>19油气01</w:t>
            </w:r>
          </w:p>
        </w:tc>
        <w:tc>
          <w:tcPr>
            <w:vAlign w:val="center"/>
          </w:tcPr>
          <w:p>
            <w:pPr>
              <w:jc w:val="right"/>
            </w:pPr>
            <w:r>
              <w:rPr>
                <w:color w:val="000000"/>
                <w:sz w:val="24"/>
              </w:rPr>
              <w:t>1,500,000</w:t>
            </w:r>
          </w:p>
        </w:tc>
        <w:tc>
          <w:tcPr>
            <w:vAlign w:val="center"/>
          </w:tcPr>
          <w:p>
            <w:pPr>
              <w:jc w:val="right"/>
            </w:pPr>
            <w:r>
              <w:rPr>
                <w:color w:val="000000"/>
                <w:sz w:val="24"/>
              </w:rPr>
              <w:t>152,340,000.00</w:t>
            </w:r>
          </w:p>
        </w:tc>
        <w:tc>
          <w:tcPr>
            <w:vAlign w:val="center"/>
          </w:tcPr>
          <w:p>
            <w:pPr>
              <w:jc w:val="right"/>
            </w:pPr>
            <w:r>
              <w:rPr>
                <w:color w:val="000000"/>
                <w:sz w:val="24"/>
              </w:rPr>
              <w:t>2.65</w:t>
            </w:r>
          </w:p>
        </w:tc>
      </w:tr>
      <w:tr>
        <w:tc>
          <w:tcPr>
            <w:vAlign w:val="center"/>
          </w:tcPr>
          <w:p>
            <w:pPr>
              <w:jc w:val="center"/>
            </w:pPr>
            <w:r>
              <w:rPr>
                <w:color w:val="000000"/>
                <w:sz w:val="24"/>
              </w:rPr>
              <w:t>5</w:t>
            </w:r>
          </w:p>
        </w:tc>
        <w:tc>
          <w:tcPr>
            <w:vAlign w:val="center"/>
          </w:tcPr>
          <w:p>
            <w:pPr>
              <w:jc w:val="center"/>
            </w:pPr>
            <w:r>
              <w:rPr>
                <w:color w:val="000000"/>
                <w:sz w:val="24"/>
              </w:rPr>
              <w:t>102000581</w:t>
            </w:r>
          </w:p>
        </w:tc>
        <w:tc>
          <w:tcPr>
            <w:vAlign w:val="center"/>
          </w:tcPr>
          <w:p>
            <w:pPr>
              <w:jc w:val="center"/>
            </w:pPr>
            <w:r>
              <w:rPr>
                <w:color w:val="000000"/>
                <w:sz w:val="24"/>
              </w:rPr>
              <w:t>20中建MTN001</w:t>
            </w:r>
          </w:p>
        </w:tc>
        <w:tc>
          <w:tcPr>
            <w:vAlign w:val="center"/>
          </w:tcPr>
          <w:p>
            <w:pPr>
              <w:jc w:val="right"/>
            </w:pPr>
            <w:r>
              <w:rPr>
                <w:color w:val="000000"/>
                <w:sz w:val="24"/>
              </w:rPr>
              <w:t>1,400,000</w:t>
            </w:r>
          </w:p>
        </w:tc>
        <w:tc>
          <w:tcPr>
            <w:vAlign w:val="center"/>
          </w:tcPr>
          <w:p>
            <w:pPr>
              <w:jc w:val="right"/>
            </w:pPr>
            <w:r>
              <w:rPr>
                <w:color w:val="000000"/>
                <w:sz w:val="24"/>
              </w:rPr>
              <w:t>138,726,000.00</w:t>
            </w:r>
          </w:p>
        </w:tc>
        <w:tc>
          <w:tcPr>
            <w:vAlign w:val="center"/>
          </w:tcPr>
          <w:p>
            <w:pPr>
              <w:jc w:val="right"/>
            </w:pPr>
            <w:r>
              <w:rPr>
                <w:color w:val="000000"/>
                <w:sz w:val="24"/>
              </w:rPr>
              <w:t>2.41</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165272</w:t>
            </w:r>
          </w:p>
        </w:tc>
        <w:tc>
          <w:tcPr>
            <w:vAlign w:val="center"/>
          </w:tcPr>
          <w:p>
            <w:pPr>
              <w:jc w:val="center"/>
            </w:pPr>
            <w:r>
              <w:rPr>
                <w:color w:val="000000"/>
                <w:sz w:val="24"/>
              </w:rPr>
              <w:t>天信2A</w:t>
            </w:r>
          </w:p>
        </w:tc>
        <w:tc>
          <w:tcPr>
            <w:vAlign w:val="center"/>
          </w:tcPr>
          <w:p>
            <w:pPr>
              <w:jc w:val="right"/>
            </w:pPr>
            <w:r>
              <w:rPr>
                <w:color w:val="000000"/>
                <w:sz w:val="24"/>
              </w:rPr>
              <w:t>300,000</w:t>
            </w:r>
          </w:p>
        </w:tc>
        <w:tc>
          <w:tcPr>
            <w:vAlign w:val="center"/>
          </w:tcPr>
          <w:p>
            <w:pPr>
              <w:jc w:val="right"/>
            </w:pPr>
            <w:r>
              <w:rPr>
                <w:color w:val="000000"/>
                <w:sz w:val="24"/>
              </w:rPr>
              <w:t>30,084,000.00</w:t>
            </w:r>
          </w:p>
        </w:tc>
        <w:tc>
          <w:tcPr>
            <w:vAlign w:val="center"/>
          </w:tcPr>
          <w:p>
            <w:pPr>
              <w:jc w:val="right"/>
            </w:pPr>
            <w:r>
              <w:rPr>
                <w:color w:val="000000"/>
                <w:sz w:val="24"/>
              </w:rPr>
              <w:t>0.52</w:t>
            </w:r>
          </w:p>
        </w:tc>
      </w:tr>
      <w:tr>
        <w:tc>
          <w:tcPr>
            <w:vAlign w:val="center"/>
          </w:tcPr>
          <w:p>
            <w:pPr>
              <w:jc w:val="center"/>
            </w:pPr>
            <w:r>
              <w:rPr>
                <w:color w:val="000000"/>
                <w:sz w:val="24"/>
              </w:rPr>
              <w:t>2</w:t>
            </w:r>
          </w:p>
        </w:tc>
        <w:tc>
          <w:tcPr>
            <w:vAlign w:val="center"/>
          </w:tcPr>
          <w:p>
            <w:pPr>
              <w:jc w:val="center"/>
            </w:pPr>
            <w:r>
              <w:rPr>
                <w:color w:val="000000"/>
                <w:sz w:val="24"/>
              </w:rPr>
              <w:t>2089001</w:t>
            </w:r>
          </w:p>
        </w:tc>
        <w:tc>
          <w:tcPr>
            <w:vAlign w:val="center"/>
          </w:tcPr>
          <w:p>
            <w:pPr>
              <w:jc w:val="center"/>
            </w:pPr>
            <w:r>
              <w:rPr>
                <w:color w:val="000000"/>
                <w:sz w:val="24"/>
              </w:rPr>
              <w:t>20捷赢1A</w:t>
            </w:r>
          </w:p>
        </w:tc>
        <w:tc>
          <w:tcPr>
            <w:vAlign w:val="center"/>
          </w:tcPr>
          <w:p>
            <w:pPr>
              <w:jc w:val="right"/>
            </w:pPr>
            <w:r>
              <w:rPr>
                <w:color w:val="000000"/>
                <w:sz w:val="24"/>
              </w:rPr>
              <w:t>300,000</w:t>
            </w:r>
          </w:p>
        </w:tc>
        <w:tc>
          <w:tcPr>
            <w:vAlign w:val="center"/>
          </w:tcPr>
          <w:p>
            <w:pPr>
              <w:jc w:val="right"/>
            </w:pPr>
            <w:r>
              <w:rPr>
                <w:color w:val="000000"/>
                <w:sz w:val="24"/>
              </w:rPr>
              <w:t>30,048,000.00</w:t>
            </w:r>
          </w:p>
        </w:tc>
        <w:tc>
          <w:tcPr>
            <w:vAlign w:val="center"/>
          </w:tcPr>
          <w:p>
            <w:pPr>
              <w:jc w:val="right"/>
            </w:pPr>
            <w:r>
              <w:rPr>
                <w:color w:val="000000"/>
                <w:sz w:val="24"/>
              </w:rPr>
              <w:t>0.52</w:t>
            </w:r>
          </w:p>
        </w:tc>
      </w:tr>
      <w:tr>
        <w:tc>
          <w:tcPr>
            <w:vAlign w:val="center"/>
          </w:tcPr>
          <w:p>
            <w:pPr>
              <w:jc w:val="center"/>
            </w:pPr>
            <w:r>
              <w:rPr>
                <w:color w:val="000000"/>
                <w:sz w:val="24"/>
              </w:rPr>
              <w:t>3</w:t>
            </w:r>
          </w:p>
        </w:tc>
        <w:tc>
          <w:tcPr>
            <w:vAlign w:val="center"/>
          </w:tcPr>
          <w:p>
            <w:pPr>
              <w:jc w:val="center"/>
            </w:pPr>
            <w:r>
              <w:rPr>
                <w:color w:val="000000"/>
                <w:sz w:val="24"/>
              </w:rPr>
              <w:t>165172</w:t>
            </w:r>
          </w:p>
        </w:tc>
        <w:tc>
          <w:tcPr>
            <w:vAlign w:val="center"/>
          </w:tcPr>
          <w:p>
            <w:pPr>
              <w:jc w:val="center"/>
            </w:pPr>
            <w:r>
              <w:rPr>
                <w:color w:val="000000"/>
                <w:sz w:val="24"/>
              </w:rPr>
              <w:t>19绿城A2</w:t>
            </w:r>
          </w:p>
        </w:tc>
        <w:tc>
          <w:tcPr>
            <w:vAlign w:val="center"/>
          </w:tcPr>
          <w:p>
            <w:pPr>
              <w:jc w:val="right"/>
            </w:pPr>
            <w:r>
              <w:rPr>
                <w:color w:val="000000"/>
                <w:sz w:val="24"/>
              </w:rPr>
              <w:t>270,000</w:t>
            </w:r>
          </w:p>
        </w:tc>
        <w:tc>
          <w:tcPr>
            <w:vAlign w:val="center"/>
          </w:tcPr>
          <w:p>
            <w:pPr>
              <w:jc w:val="right"/>
            </w:pPr>
            <w:r>
              <w:rPr>
                <w:color w:val="000000"/>
                <w:sz w:val="24"/>
              </w:rPr>
              <w:t>27,059,400.00</w:t>
            </w:r>
          </w:p>
        </w:tc>
        <w:tc>
          <w:tcPr>
            <w:vAlign w:val="center"/>
          </w:tcPr>
          <w:p>
            <w:pPr>
              <w:jc w:val="right"/>
            </w:pPr>
            <w:r>
              <w:rPr>
                <w:color w:val="000000"/>
                <w:sz w:val="24"/>
              </w:rPr>
              <w:t>0.47</w:t>
            </w:r>
          </w:p>
        </w:tc>
      </w:tr>
      <w:tr>
        <w:tc>
          <w:tcPr>
            <w:vAlign w:val="center"/>
          </w:tcPr>
          <w:p>
            <w:pPr>
              <w:jc w:val="center"/>
            </w:pPr>
            <w:r>
              <w:rPr>
                <w:color w:val="000000"/>
                <w:sz w:val="24"/>
              </w:rPr>
              <w:t>4</w:t>
            </w:r>
          </w:p>
        </w:tc>
        <w:tc>
          <w:tcPr>
            <w:vAlign w:val="center"/>
          </w:tcPr>
          <w:p>
            <w:pPr>
              <w:jc w:val="center"/>
            </w:pPr>
            <w:r>
              <w:rPr>
                <w:color w:val="000000"/>
                <w:sz w:val="24"/>
              </w:rPr>
              <w:t>138221</w:t>
            </w:r>
          </w:p>
        </w:tc>
        <w:tc>
          <w:tcPr>
            <w:vAlign w:val="center"/>
          </w:tcPr>
          <w:p>
            <w:pPr>
              <w:jc w:val="center"/>
            </w:pPr>
            <w:r>
              <w:rPr>
                <w:color w:val="000000"/>
                <w:sz w:val="24"/>
              </w:rPr>
              <w:t>绿金6A1</w:t>
            </w:r>
          </w:p>
        </w:tc>
        <w:tc>
          <w:tcPr>
            <w:vAlign w:val="center"/>
          </w:tcPr>
          <w:p>
            <w:pPr>
              <w:jc w:val="right"/>
            </w:pPr>
            <w:r>
              <w:rPr>
                <w:color w:val="000000"/>
                <w:sz w:val="24"/>
              </w:rPr>
              <w:t>200,000</w:t>
            </w:r>
          </w:p>
        </w:tc>
        <w:tc>
          <w:tcPr>
            <w:vAlign w:val="center"/>
          </w:tcPr>
          <w:p>
            <w:pPr>
              <w:jc w:val="right"/>
            </w:pPr>
            <w:r>
              <w:rPr>
                <w:color w:val="000000"/>
                <w:sz w:val="24"/>
              </w:rPr>
              <w:t>20,126,000.00</w:t>
            </w:r>
          </w:p>
        </w:tc>
        <w:tc>
          <w:tcPr>
            <w:vAlign w:val="center"/>
          </w:tcPr>
          <w:p>
            <w:pPr>
              <w:jc w:val="right"/>
            </w:pPr>
            <w:r>
              <w:rPr>
                <w:color w:val="000000"/>
                <w:sz w:val="24"/>
              </w:rPr>
              <w:t>0.35</w:t>
            </w:r>
          </w:p>
        </w:tc>
      </w:tr>
      <w:tr>
        <w:tc>
          <w:tcPr>
            <w:vAlign w:val="center"/>
          </w:tcPr>
          <w:p>
            <w:pPr>
              <w:jc w:val="center"/>
            </w:pPr>
            <w:r>
              <w:rPr>
                <w:color w:val="000000"/>
                <w:sz w:val="24"/>
              </w:rPr>
              <w:t>5</w:t>
            </w:r>
          </w:p>
        </w:tc>
        <w:tc>
          <w:tcPr>
            <w:vAlign w:val="center"/>
          </w:tcPr>
          <w:p>
            <w:pPr>
              <w:jc w:val="center"/>
            </w:pPr>
            <w:r>
              <w:rPr>
                <w:color w:val="000000"/>
                <w:sz w:val="24"/>
              </w:rPr>
              <w:t>165717</w:t>
            </w:r>
          </w:p>
        </w:tc>
        <w:tc>
          <w:tcPr>
            <w:vAlign w:val="center"/>
          </w:tcPr>
          <w:p>
            <w:pPr>
              <w:jc w:val="center"/>
            </w:pPr>
            <w:r>
              <w:rPr>
                <w:color w:val="000000"/>
                <w:sz w:val="24"/>
              </w:rPr>
              <w:t>20六局2A</w:t>
            </w:r>
          </w:p>
        </w:tc>
        <w:tc>
          <w:tcPr>
            <w:vAlign w:val="center"/>
          </w:tcPr>
          <w:p>
            <w:pPr>
              <w:jc w:val="right"/>
            </w:pPr>
            <w:r>
              <w:rPr>
                <w:color w:val="000000"/>
                <w:sz w:val="24"/>
              </w:rPr>
              <w:t>200,000</w:t>
            </w:r>
          </w:p>
        </w:tc>
        <w:tc>
          <w:tcPr>
            <w:vAlign w:val="center"/>
          </w:tcPr>
          <w:p>
            <w:pPr>
              <w:jc w:val="right"/>
            </w:pPr>
            <w:r>
              <w:rPr>
                <w:color w:val="000000"/>
                <w:sz w:val="24"/>
              </w:rPr>
              <w:t>20,100,000.00</w:t>
            </w:r>
          </w:p>
        </w:tc>
        <w:tc>
          <w:tcPr>
            <w:vAlign w:val="center"/>
          </w:tcPr>
          <w:p>
            <w:pPr>
              <w:jc w:val="right"/>
            </w:pPr>
            <w:r>
              <w:rPr>
                <w:color w:val="000000"/>
                <w:sz w:val="24"/>
              </w:rPr>
              <w:t>0.35</w:t>
            </w:r>
          </w:p>
        </w:tc>
      </w:tr>
      <w:tr>
        <w:tc>
          <w:tcPr>
            <w:vAlign w:val="center"/>
          </w:tcPr>
          <w:p>
            <w:pPr>
              <w:jc w:val="center"/>
            </w:pPr>
            <w:r>
              <w:rPr>
                <w:color w:val="000000"/>
                <w:sz w:val="24"/>
              </w:rPr>
              <w:t>6</w:t>
            </w:r>
          </w:p>
        </w:tc>
        <w:tc>
          <w:tcPr>
            <w:vAlign w:val="center"/>
          </w:tcPr>
          <w:p>
            <w:pPr>
              <w:jc w:val="center"/>
            </w:pPr>
            <w:r>
              <w:rPr>
                <w:color w:val="000000"/>
                <w:sz w:val="24"/>
              </w:rPr>
              <w:t>138745</w:t>
            </w:r>
          </w:p>
        </w:tc>
        <w:tc>
          <w:tcPr>
            <w:vAlign w:val="center"/>
          </w:tcPr>
          <w:p>
            <w:pPr>
              <w:jc w:val="center"/>
            </w:pPr>
            <w:r>
              <w:rPr>
                <w:color w:val="000000"/>
                <w:sz w:val="24"/>
              </w:rPr>
              <w:t>厚德03A</w:t>
            </w:r>
          </w:p>
        </w:tc>
        <w:tc>
          <w:tcPr>
            <w:vAlign w:val="center"/>
          </w:tcPr>
          <w:p>
            <w:pPr>
              <w:jc w:val="right"/>
            </w:pPr>
            <w:r>
              <w:rPr>
                <w:color w:val="000000"/>
                <w:sz w:val="24"/>
              </w:rPr>
              <w:t>200,000</w:t>
            </w:r>
          </w:p>
        </w:tc>
        <w:tc>
          <w:tcPr>
            <w:vAlign w:val="center"/>
          </w:tcPr>
          <w:p>
            <w:pPr>
              <w:jc w:val="right"/>
            </w:pPr>
            <w:r>
              <w:rPr>
                <w:color w:val="000000"/>
                <w:sz w:val="24"/>
              </w:rPr>
              <w:t>19,884,000.00</w:t>
            </w:r>
          </w:p>
        </w:tc>
        <w:tc>
          <w:tcPr>
            <w:vAlign w:val="center"/>
          </w:tcPr>
          <w:p>
            <w:pPr>
              <w:jc w:val="right"/>
            </w:pPr>
            <w:r>
              <w:rPr>
                <w:color w:val="000000"/>
                <w:sz w:val="24"/>
              </w:rPr>
              <w:t>0.35</w:t>
            </w:r>
          </w:p>
        </w:tc>
      </w:tr>
      <w:tr>
        <w:tc>
          <w:tcPr>
            <w:vAlign w:val="center"/>
          </w:tcPr>
          <w:p>
            <w:pPr>
              <w:jc w:val="center"/>
            </w:pPr>
            <w:r>
              <w:rPr>
                <w:color w:val="000000"/>
                <w:sz w:val="24"/>
              </w:rPr>
              <w:t>7</w:t>
            </w:r>
          </w:p>
        </w:tc>
        <w:tc>
          <w:tcPr>
            <w:vAlign w:val="center"/>
          </w:tcPr>
          <w:p>
            <w:pPr>
              <w:jc w:val="center"/>
            </w:pPr>
            <w:r>
              <w:rPr>
                <w:color w:val="000000"/>
                <w:sz w:val="24"/>
              </w:rPr>
              <w:t>168481</w:t>
            </w:r>
          </w:p>
        </w:tc>
        <w:tc>
          <w:tcPr>
            <w:vAlign w:val="center"/>
          </w:tcPr>
          <w:p>
            <w:pPr>
              <w:jc w:val="center"/>
            </w:pPr>
            <w:r>
              <w:rPr>
                <w:color w:val="000000"/>
                <w:sz w:val="24"/>
              </w:rPr>
              <w:t>20致远优</w:t>
            </w:r>
          </w:p>
        </w:tc>
        <w:tc>
          <w:tcPr>
            <w:vAlign w:val="center"/>
          </w:tcPr>
          <w:p>
            <w:pPr>
              <w:jc w:val="right"/>
            </w:pPr>
            <w:r>
              <w:rPr>
                <w:color w:val="000000"/>
                <w:sz w:val="24"/>
              </w:rPr>
              <w:t>200,000</w:t>
            </w:r>
          </w:p>
        </w:tc>
        <w:tc>
          <w:tcPr>
            <w:vAlign w:val="center"/>
          </w:tcPr>
          <w:p>
            <w:pPr>
              <w:jc w:val="right"/>
            </w:pPr>
            <w:r>
              <w:rPr>
                <w:color w:val="000000"/>
                <w:sz w:val="24"/>
              </w:rPr>
              <w:t>19,810,000.00</w:t>
            </w:r>
          </w:p>
        </w:tc>
        <w:tc>
          <w:tcPr>
            <w:vAlign w:val="center"/>
          </w:tcPr>
          <w:p>
            <w:pPr>
              <w:jc w:val="right"/>
            </w:pPr>
            <w:r>
              <w:rPr>
                <w:color w:val="000000"/>
                <w:sz w:val="24"/>
              </w:rPr>
              <w:t>0.34</w:t>
            </w:r>
          </w:p>
        </w:tc>
      </w:tr>
      <w:tr>
        <w:tc>
          <w:tcPr>
            <w:vAlign w:val="center"/>
          </w:tcPr>
          <w:p>
            <w:pPr>
              <w:jc w:val="center"/>
            </w:pPr>
            <w:r>
              <w:rPr>
                <w:color w:val="000000"/>
                <w:sz w:val="24"/>
              </w:rPr>
              <w:t>8</w:t>
            </w:r>
          </w:p>
        </w:tc>
        <w:tc>
          <w:tcPr>
            <w:vAlign w:val="center"/>
          </w:tcPr>
          <w:p>
            <w:pPr>
              <w:jc w:val="center"/>
            </w:pPr>
            <w:r>
              <w:rPr>
                <w:color w:val="000000"/>
                <w:sz w:val="24"/>
              </w:rPr>
              <w:t>168447</w:t>
            </w:r>
          </w:p>
        </w:tc>
        <w:tc>
          <w:tcPr>
            <w:vAlign w:val="center"/>
          </w:tcPr>
          <w:p>
            <w:pPr>
              <w:jc w:val="center"/>
            </w:pPr>
            <w:r>
              <w:rPr>
                <w:color w:val="000000"/>
                <w:sz w:val="24"/>
              </w:rPr>
              <w:t>20领航21</w:t>
            </w:r>
          </w:p>
        </w:tc>
        <w:tc>
          <w:tcPr>
            <w:vAlign w:val="center"/>
          </w:tcPr>
          <w:p>
            <w:pPr>
              <w:jc w:val="right"/>
            </w:pPr>
            <w:r>
              <w:rPr>
                <w:color w:val="000000"/>
                <w:sz w:val="24"/>
              </w:rPr>
              <w:t>120,000</w:t>
            </w:r>
          </w:p>
        </w:tc>
        <w:tc>
          <w:tcPr>
            <w:vAlign w:val="center"/>
          </w:tcPr>
          <w:p>
            <w:pPr>
              <w:jc w:val="right"/>
            </w:pPr>
            <w:r>
              <w:rPr>
                <w:color w:val="000000"/>
                <w:sz w:val="24"/>
              </w:rPr>
              <w:t>11,899,200.00</w:t>
            </w:r>
          </w:p>
        </w:tc>
        <w:tc>
          <w:tcPr>
            <w:vAlign w:val="center"/>
          </w:tcPr>
          <w:p>
            <w:pPr>
              <w:jc w:val="right"/>
            </w:pPr>
            <w:r>
              <w:rPr>
                <w:color w:val="000000"/>
                <w:sz w:val="24"/>
              </w:rPr>
              <w:t>0.21</w:t>
            </w:r>
          </w:p>
        </w:tc>
      </w:tr>
      <w:tr>
        <w:tc>
          <w:tcPr>
            <w:vAlign w:val="center"/>
          </w:tcPr>
          <w:p>
            <w:pPr>
              <w:jc w:val="center"/>
            </w:pPr>
            <w:r>
              <w:rPr>
                <w:color w:val="000000"/>
                <w:sz w:val="24"/>
              </w:rPr>
              <w:t>9</w:t>
            </w:r>
          </w:p>
        </w:tc>
        <w:tc>
          <w:tcPr>
            <w:vAlign w:val="center"/>
          </w:tcPr>
          <w:p>
            <w:pPr>
              <w:jc w:val="center"/>
            </w:pPr>
            <w:r>
              <w:rPr>
                <w:color w:val="000000"/>
                <w:sz w:val="24"/>
              </w:rPr>
              <w:t>138332</w:t>
            </w:r>
          </w:p>
        </w:tc>
        <w:tc>
          <w:tcPr>
            <w:vAlign w:val="center"/>
          </w:tcPr>
          <w:p>
            <w:pPr>
              <w:jc w:val="center"/>
            </w:pPr>
            <w:r>
              <w:rPr>
                <w:color w:val="000000"/>
                <w:sz w:val="24"/>
              </w:rPr>
              <w:t>19桃源2A</w:t>
            </w:r>
          </w:p>
        </w:tc>
        <w:tc>
          <w:tcPr>
            <w:vAlign w:val="center"/>
          </w:tcPr>
          <w:p>
            <w:pPr>
              <w:jc w:val="right"/>
            </w:pPr>
            <w:r>
              <w:rPr>
                <w:color w:val="000000"/>
                <w:sz w:val="24"/>
              </w:rPr>
              <w:t>100,000</w:t>
            </w:r>
          </w:p>
        </w:tc>
        <w:tc>
          <w:tcPr>
            <w:vAlign w:val="center"/>
          </w:tcPr>
          <w:p>
            <w:pPr>
              <w:jc w:val="right"/>
            </w:pPr>
            <w:r>
              <w:rPr>
                <w:color w:val="000000"/>
                <w:sz w:val="24"/>
              </w:rPr>
              <w:t>10,058,000.00</w:t>
            </w:r>
          </w:p>
        </w:tc>
        <w:tc>
          <w:tcPr>
            <w:vAlign w:val="center"/>
          </w:tcPr>
          <w:p>
            <w:pPr>
              <w:jc w:val="right"/>
            </w:pPr>
            <w:r>
              <w:rPr>
                <w:color w:val="000000"/>
                <w:sz w:val="24"/>
              </w:rPr>
              <w:t>0.17</w:t>
            </w:r>
          </w:p>
        </w:tc>
      </w:tr>
      <w:tr>
        <w:tc>
          <w:tcPr>
            <w:vAlign w:val="center"/>
          </w:tcPr>
          <w:p>
            <w:pPr>
              <w:jc w:val="center"/>
            </w:pPr>
            <w:r>
              <w:rPr>
                <w:color w:val="000000"/>
                <w:sz w:val="24"/>
              </w:rPr>
              <w:t>10</w:t>
            </w:r>
          </w:p>
        </w:tc>
        <w:tc>
          <w:tcPr>
            <w:vAlign w:val="center"/>
          </w:tcPr>
          <w:p>
            <w:pPr>
              <w:jc w:val="center"/>
            </w:pPr>
            <w:r>
              <w:rPr>
                <w:color w:val="000000"/>
                <w:sz w:val="24"/>
              </w:rPr>
              <w:t>165226</w:t>
            </w:r>
          </w:p>
        </w:tc>
        <w:tc>
          <w:tcPr>
            <w:vAlign w:val="center"/>
          </w:tcPr>
          <w:p>
            <w:pPr>
              <w:jc w:val="center"/>
            </w:pPr>
            <w:r>
              <w:rPr>
                <w:color w:val="000000"/>
                <w:sz w:val="24"/>
              </w:rPr>
              <w:t>19信易07</w:t>
            </w:r>
          </w:p>
        </w:tc>
        <w:tc>
          <w:tcPr>
            <w:vAlign w:val="center"/>
          </w:tcPr>
          <w:p>
            <w:pPr>
              <w:jc w:val="right"/>
            </w:pPr>
            <w:r>
              <w:rPr>
                <w:color w:val="000000"/>
                <w:sz w:val="24"/>
              </w:rPr>
              <w:t>100,000</w:t>
            </w:r>
          </w:p>
        </w:tc>
        <w:tc>
          <w:tcPr>
            <w:vAlign w:val="center"/>
          </w:tcPr>
          <w:p>
            <w:pPr>
              <w:jc w:val="right"/>
            </w:pPr>
            <w:r>
              <w:rPr>
                <w:color w:val="000000"/>
                <w:sz w:val="24"/>
              </w:rPr>
              <w:t>10,024,000.00</w:t>
            </w:r>
          </w:p>
        </w:tc>
        <w:tc>
          <w:tcPr>
            <w:vAlign w:val="center"/>
          </w:tcPr>
          <w:p>
            <w:pPr>
              <w:jc w:val="right"/>
            </w:pPr>
            <w:r>
              <w:rPr>
                <w:color w:val="000000"/>
                <w:sz w:val="24"/>
              </w:rPr>
              <w:t>0.17</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1D5CD0" w:rsidR="00F016DD" w:rsidRDefault="00F016DD" w:rsidRPr="00E7356F">
      <w:pPr>
        <w:adjustRightInd w:val="0"/>
        <w:snapToGrid w:val="0"/>
        <w:spacing w:line="360" w:lineRule="auto"/>
        <w:rPr>
          <w:rFonts w:ascii="宋体" w:hAnsi="宋体"/>
          <w:sz w:val="24"/>
        </w:rPr>
      </w:pP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roofErr w:type="gramStart"/>
      <w:r w:rsidRPr="00E7356F">
        <w:rPr>
          <w:rFonts w:ascii="宋体" w:hAnsi="宋体"/>
          <w:sz w:val="24"/>
        </w:rPr>
        <w:t/>
      </w:r>
      <w:proofErr w:type="gramEnd"/>
      <w:r w:rsidRPr="00E7356F">
        <w:rPr>
          <w:rFonts w:ascii="宋体" w:hAnsi="宋体"/>
          <w:sz w:val="24"/>
        </w:rPr>
        <w:t xml:space="preserve">5.10.1 </w:t>
      </w:r>
      <w:r w:rsidRPr="00E7356F">
        <w:rPr>
          <w:rFonts w:ascii="宋体" w:hAnsi="宋体" w:hint="eastAsia"/>
          <w:sz w:val="24"/>
        </w:rPr>
        <w:t>本期国债期货投资政策</w:t>
      </w: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本基金根据风险管理的原则，主要选择流动性好的国债期货合约进行交易，以对冲投资组合的利率风险。</w:t>
      </w:r>
    </w:p>
    <w:p w:rsidP="00B249C0" w:rsidR="00B249C0" w:rsidRDefault="00F016DD">
      <w:pPr>
        <w:autoSpaceDE w:val="0"/>
        <w:autoSpaceDN w:val="0"/>
        <w:adjustRightInd w:val="0"/>
        <w:spacing w:line="360" w:lineRule="auto"/>
        <w:jc w:val="left"/>
        <w:rPr>
          <w:rFonts w:ascii="宋体" w:hAnsi="宋体"/>
          <w:bCs/>
          <w:color w:val="000000"/>
          <w:kern w:val="0"/>
          <w:sz w:val="24"/>
        </w:rPr>
      </w:pP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roofErr w:type="gramStart"/>
      <w:r w:rsidRPr="00E7356F">
        <w:rPr>
          <w:rFonts w:ascii="宋体" w:hAnsi="宋体"/>
          <w:sz w:val="24"/>
        </w:rPr>
        <w:t/>
      </w:r>
      <w:proofErr w:type="gramEnd"/>
      <w:r w:rsidRPr="00E7356F">
        <w:rPr>
          <w:rFonts w:ascii="宋体" w:hAnsi="宋体"/>
          <w:sz w:val="24"/>
        </w:rPr>
        <w:t xml:space="preserve">5.10.2 </w:t>
      </w:r>
      <w:r w:rsidRPr="00E7356F">
        <w:rPr>
          <w:rFonts w:ascii="宋体" w:hAnsi="宋体" w:hint="eastAsia"/>
          <w:sz w:val="24"/>
        </w:rPr>
        <w:t>报告期末本基金投资的国债期货持仓和损益明细</w:t>
      </w: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r w:rsidR="00B06246" w:rsidRPr="00B06246">
        <w:rPr>
          <w:rFonts w:ascii="宋体" w:hAnsi="宋体"/>
          <w:bCs/>
          <w:color w:val="000000"/>
          <w:kern w:val="0"/>
          <w:sz w:val="24"/>
        </w:rPr>
        <w:t xml:space="preserve"> </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101"/>
        <w:gridCol w:w="1331"/>
        <w:gridCol w:w="1220"/>
        <w:gridCol w:w="1418"/>
        <w:gridCol w:w="1701"/>
        <w:gridCol w:w="1984"/>
      </w:tblGrid>
      <w:tr w:rsidR="00B249C0" w:rsidTr="0001612A">
        <w:trPr>
          <w:jc w:val="center"/>
        </w:trPr>
        <w:tc>
          <w:tcPr>
            <w:tcW w:type="dxa" w:w="1101"/>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代码</w:t>
            </w:r>
            <w:r>
              <w:rPr>
                <w:rFonts w:ascii="Times New Roman" w:cs="Times New Roman" w:hAnsi="Times New Roman"/>
                <w:b/>
              </w:rPr>
              <w:t/>
            </w:r>
            <w:proofErr w:type="spellStart"/>
            <w:r>
              <w:rPr>
                <w:rFonts w:ascii="Times New Roman" w:cs="Times New Roman" w:hAnsi="Times New Roman"/>
                <w:b/>
              </w:rPr>
              <w:t/>
            </w:r>
            <w:proofErr w:type="spellEnd"/>
            <w:r>
              <w:rPr>
                <w:rFonts w:ascii="Times New Roman" w:cs="Times New Roman" w:hAnsi="Times New Roman"/>
              </w:rPr>
              <w:t/>
            </w:r>
            <w:r>
              <w:t xml:space="preserve"> </w:t>
            </w:r>
            <w:r>
              <w:rPr>
                <w:rFonts w:ascii="Times New Roman" w:cs="Times New Roman" w:hAnsi="Times New Roman"/>
              </w:rPr>
              <w:t/>
            </w:r>
            <w:proofErr w:type="spellStart"/>
            <w:r>
              <w:rPr>
                <w:rFonts w:ascii="Times New Roman" w:cs="Times New Roman" w:hAnsi="Times New Roman"/>
              </w:rPr>
              <w:t/>
            </w:r>
            <w:proofErr w:type="spellEnd"/>
            <w:r>
              <w:rPr>
                <w:rFonts w:ascii="Times New Roman" w:cs="Times New Roman" w:hAnsi="Times New Roman"/>
              </w:rPr>
              <w:t/>
            </w:r>
          </w:p>
        </w:tc>
        <w:tc>
          <w:tcPr>
            <w:tcW w:type="dxa" w:w="1331"/>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名称</w:t>
            </w:r>
          </w:p>
        </w:tc>
        <w:tc>
          <w:tcPr>
            <w:tcW w:type="dxa" w:w="1220"/>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持仓量</w:t>
            </w:r>
          </w:p>
          <w:p w:rsidR="00B249C0" w:rsidRDefault="00B249C0">
            <w:pPr>
              <w:pStyle w:val="Default"/>
              <w:jc w:val="center"/>
              <w:rPr>
                <w:rFonts w:ascii="Times New Roman" w:cs="Times New Roman" w:hAnsi="Times New Roman"/>
              </w:rPr>
            </w:pPr>
            <w:r>
              <w:rPr>
                <w:rFonts w:ascii="Times New Roman" w:cs="Times New Roman" w:hAnsi="Times New Roman" w:hint="eastAsia"/>
              </w:rPr>
              <w:t>（买</w:t>
            </w:r>
            <w:r>
              <w:rPr>
                <w:rFonts w:ascii="Times New Roman" w:cs="Times New Roman" w:hAnsi="Times New Roman"/>
              </w:rPr>
              <w:t>/</w:t>
            </w:r>
            <w:r>
              <w:rPr>
                <w:rFonts w:ascii="Times New Roman" w:cs="Times New Roman" w:hAnsi="Times New Roman" w:hint="eastAsia"/>
              </w:rPr>
              <w:t>卖）</w:t>
            </w:r>
          </w:p>
        </w:tc>
        <w:tc>
          <w:tcPr>
            <w:tcW w:type="dxa" w:w="1418"/>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合约市值</w:t>
            </w:r>
          </w:p>
          <w:p w:rsidR="00B249C0" w:rsidRDefault="00B249C0">
            <w:pPr>
              <w:pStyle w:val="Default"/>
              <w:jc w:val="center"/>
              <w:rPr>
                <w:rFonts w:ascii="Times New Roman" w:cs="Times New Roman" w:hAnsi="Times New Roman"/>
              </w:rPr>
            </w:pPr>
            <w:r>
              <w:rPr>
                <w:rFonts w:ascii="Times New Roman" w:cs="Times New Roman" w:hAnsi="Times New Roman" w:hint="eastAsia"/>
              </w:rPr>
              <w:t>（元）</w:t>
            </w:r>
          </w:p>
        </w:tc>
        <w:tc>
          <w:tcPr>
            <w:tcW w:type="dxa" w:w="1701"/>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公允价值变动（元）</w:t>
            </w:r>
          </w:p>
        </w:tc>
        <w:tc>
          <w:tcPr>
            <w:tcW w:type="dxa" w:w="1984"/>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风险指标说明</w:t>
            </w:r>
          </w:p>
        </w:tc>
      </w:tr>
      <w:tr>
        <w:tc>
          <w:tcPr>
            <w:vAlign w:val="center"/>
          </w:tcPr>
          <w:p>
            <w:pPr>
              <w:jc w:val="center"/>
            </w:pPr>
            <w:r>
              <w:rPr>
                <w:color w:val="000000"/>
                <w:sz w:val="24"/>
              </w:rPr>
              <w:t>T2009</w:t>
            </w:r>
          </w:p>
        </w:tc>
        <w:tc>
          <w:tcPr>
            <w:vAlign w:val="center"/>
          </w:tcPr>
          <w:p>
            <w:pPr>
              <w:jc w:val="center"/>
            </w:pPr>
            <w:r>
              <w:rPr>
                <w:color w:val="000000"/>
                <w:sz w:val="24"/>
              </w:rPr>
              <w:t>T2009</w:t>
            </w:r>
          </w:p>
        </w:tc>
        <w:tc>
          <w:tcPr>
            <w:vAlign w:val="center"/>
          </w:tcPr>
          <w:p>
            <w:pPr>
              <w:jc w:val="center"/>
            </w:pPr>
            <w:r>
              <w:rPr>
                <w:color w:val="000000"/>
                <w:sz w:val="24"/>
              </w:rPr>
              <w:t>-200</w:t>
            </w:r>
          </w:p>
        </w:tc>
        <w:tc>
          <w:tcPr>
            <w:vAlign w:val="center"/>
          </w:tcPr>
          <w:p>
            <w:pPr>
              <w:jc w:val="right"/>
            </w:pPr>
            <w:r>
              <w:rPr>
                <w:color w:val="000000"/>
                <w:sz w:val="24"/>
              </w:rPr>
              <w:t>-200,550,000.00</w:t>
            </w:r>
          </w:p>
        </w:tc>
        <w:tc>
          <w:tcPr>
            <w:vAlign w:val="center"/>
          </w:tcPr>
          <w:p>
            <w:pPr>
              <w:jc w:val="right"/>
            </w:pPr>
            <w:r>
              <w:rPr>
                <w:color w:val="000000"/>
                <w:sz w:val="24"/>
              </w:rPr>
              <w:t>1,022,550.00</w:t>
            </w:r>
          </w:p>
        </w:tc>
        <w:tc>
          <w:tcPr>
            <w:vAlign w:val="center"/>
          </w:tcPr>
          <w:p>
            <w:pPr>
              <w:jc w:val="left"/>
            </w:pPr>
            <w:r>
              <w:rPr>
                <w:color w:val="000000"/>
                <w:sz w:val="24"/>
              </w:rPr>
              <w:t>本交易期内通过国债期货进行套期保值，调整了组合久期水平。</w:t>
            </w:r>
          </w:p>
        </w:tc>
      </w:tr>
      <w:tr>
        <w:tc>
          <w:tcPr>
            <w:vAlign w:val="center"/>
          </w:tcPr>
          <w:p>
            <w:pPr>
              <w:jc w:val="center"/>
            </w:pPr>
            <w:r>
              <w:rPr>
                <w:color w:val="000000"/>
                <w:sz w:val="24"/>
              </w:rPr>
              <w:t>TF2009</w:t>
            </w:r>
          </w:p>
        </w:tc>
        <w:tc>
          <w:tcPr>
            <w:vAlign w:val="center"/>
          </w:tcPr>
          <w:p>
            <w:pPr>
              <w:jc w:val="center"/>
            </w:pPr>
            <w:r>
              <w:rPr>
                <w:color w:val="000000"/>
                <w:sz w:val="24"/>
              </w:rPr>
              <w:t>TF2009</w:t>
            </w:r>
          </w:p>
        </w:tc>
        <w:tc>
          <w:tcPr>
            <w:vAlign w:val="center"/>
          </w:tcPr>
          <w:p>
            <w:pPr>
              <w:jc w:val="center"/>
            </w:pPr>
            <w:r>
              <w:rPr>
                <w:color w:val="000000"/>
                <w:sz w:val="24"/>
              </w:rPr>
              <w:t>-300</w:t>
            </w:r>
          </w:p>
        </w:tc>
        <w:tc>
          <w:tcPr>
            <w:vAlign w:val="center"/>
          </w:tcPr>
          <w:p>
            <w:pPr>
              <w:jc w:val="right"/>
            </w:pPr>
            <w:r>
              <w:rPr>
                <w:color w:val="000000"/>
                <w:sz w:val="24"/>
              </w:rPr>
              <w:t>-304,965,000.00</w:t>
            </w:r>
          </w:p>
        </w:tc>
        <w:tc>
          <w:tcPr>
            <w:vAlign w:val="center"/>
          </w:tcPr>
          <w:p>
            <w:pPr>
              <w:jc w:val="right"/>
            </w:pPr>
            <w:r>
              <w:rPr>
                <w:color w:val="000000"/>
                <w:sz w:val="24"/>
              </w:rPr>
              <w:t>-1,031,700.00</w:t>
            </w:r>
          </w:p>
        </w:tc>
        <w:tc>
          <w:tcPr>
            <w:vAlign w:val="center"/>
          </w:tcPr>
          <w:p>
            <w:pPr>
              <w:jc w:val="left"/>
            </w:pPr>
            <w:r>
              <w:rPr>
                <w:color w:val="000000"/>
                <w:sz w:val="24"/>
              </w:rPr>
              <w:t>本交易期内通过国债期货进行套期保值，调整了组合久期水平。</w:t>
            </w:r>
          </w:p>
        </w:tc>
      </w:tr>
      <w:tr>
        <w:tc>
          <w:tcPr>
            <w:vAlign w:val="center"/>
          </w:tcPr>
          <w:p>
            <w:pPr>
              <w:jc w:val="center"/>
            </w:pPr>
            <w:r>
              <w:rPr>
                <w:color w:val="000000"/>
                <w:sz w:val="24"/>
              </w:rPr>
              <w:t>TS2009</w:t>
            </w:r>
          </w:p>
        </w:tc>
        <w:tc>
          <w:tcPr>
            <w:vAlign w:val="center"/>
          </w:tcPr>
          <w:p>
            <w:pPr>
              <w:jc w:val="center"/>
            </w:pPr>
            <w:r>
              <w:rPr>
                <w:color w:val="000000"/>
                <w:sz w:val="24"/>
              </w:rPr>
              <w:t>TS2009</w:t>
            </w:r>
          </w:p>
        </w:tc>
        <w:tc>
          <w:tcPr>
            <w:vAlign w:val="center"/>
          </w:tcPr>
          <w:p>
            <w:pPr>
              <w:jc w:val="center"/>
            </w:pPr>
            <w:r>
              <w:rPr>
                <w:color w:val="000000"/>
                <w:sz w:val="24"/>
              </w:rPr>
              <w:t>-270</w:t>
            </w:r>
          </w:p>
        </w:tc>
        <w:tc>
          <w:tcPr>
            <w:vAlign w:val="center"/>
          </w:tcPr>
          <w:p>
            <w:pPr>
              <w:jc w:val="right"/>
            </w:pPr>
            <w:r>
              <w:rPr>
                <w:color w:val="000000"/>
                <w:sz w:val="24"/>
              </w:rPr>
              <w:t>-546,561,000.00</w:t>
            </w:r>
          </w:p>
        </w:tc>
        <w:tc>
          <w:tcPr>
            <w:vAlign w:val="center"/>
          </w:tcPr>
          <w:p>
            <w:pPr>
              <w:jc w:val="right"/>
            </w:pPr>
            <w:r>
              <w:rPr>
                <w:color w:val="000000"/>
                <w:sz w:val="24"/>
              </w:rPr>
              <w:t>2,594,446.87</w:t>
            </w:r>
          </w:p>
        </w:tc>
        <w:tc>
          <w:tcPr>
            <w:vAlign w:val="center"/>
          </w:tcPr>
          <w:p>
            <w:pPr>
              <w:jc w:val="left"/>
            </w:pPr>
            <w:r>
              <w:rPr>
                <w:color w:val="000000"/>
                <w:sz w:val="24"/>
              </w:rPr>
              <w:t>本交易期内通过国债期货进行套期保值，调整了组合久期水平。</w:t>
            </w:r>
          </w:p>
        </w:tc>
      </w:tr>
      <w:tr w:rsidR="00B249C0" w:rsidTr="0001612A">
        <w:trPr>
          <w:jc w:val="center"/>
        </w:trPr>
        <w:tc>
          <w:tcPr>
            <w:tcW w:type="dxa" w:w="6771"/>
            <w:gridSpan w:val="5"/>
            <w:hideMark/>
          </w:tcPr>
          <w:p w:rsidR="00B249C0" w:rsidRDefault="00B249C0">
            <w:pPr>
              <w:pStyle w:val="Default"/>
              <w:jc w:val="both"/>
              <w:rPr>
                <w:rFonts w:ascii="Times New Roman" w:cs="Times New Roman" w:hAnsi="Times New Roman"/>
              </w:rPr>
            </w:pPr>
            <w:r>
              <w:rPr>
                <w:rFonts w:ascii="Times New Roman" w:cs="Times New Roman" w:hAnsi="Times New Roman" w:hint="eastAsia"/>
              </w:rPr>
              <w:t>公允价值变动总额合计（元）</w:t>
            </w:r>
          </w:p>
        </w:tc>
        <w:tc>
          <w:tcPr>
            <w:tcW w:type="dxa" w:w="1984"/>
            <w:hideMark/>
          </w:tcPr>
          <w:p w:rsidR="00B249C0" w:rsidRDefault="00B249C0">
            <w:pPr>
              <w:adjustRightInd w:val="0"/>
              <w:snapToGrid w:val="0"/>
              <w:spacing w:line="380" w:lineRule="exact"/>
              <w:jc w:val="right"/>
              <w:rPr>
                <w:color w:val="000000"/>
                <w:sz w:val="24"/>
              </w:rPr>
            </w:pPr>
            <w:r>
              <w:rPr>
                <w:color w:val="000000"/>
                <w:sz w:val="24"/>
              </w:rPr>
              <w:t/>
            </w:r>
            <w:proofErr w:type="spellStart"/>
            <w:r>
              <w:rPr>
                <w:color w:val="000000"/>
                <w:sz w:val="24"/>
              </w:rPr>
              <w:t/>
            </w:r>
            <w:proofErr w:type="spellEnd"/>
            <w:r>
              <w:rPr>
                <w:color w:val="000000"/>
                <w:sz w:val="24"/>
              </w:rPr>
              <w:t>2,585,296.87</w:t>
            </w:r>
          </w:p>
        </w:tc>
      </w:tr>
      <w:tr w:rsidR="00B249C0" w:rsidTr="0001612A">
        <w:trPr>
          <w:jc w:val="center"/>
        </w:trPr>
        <w:tc>
          <w:tcPr>
            <w:tcW w:type="dxa" w:w="6771"/>
            <w:gridSpan w:val="5"/>
            <w:hideMark/>
          </w:tcPr>
          <w:p w:rsidR="00B249C0" w:rsidRDefault="00B249C0">
            <w:pPr>
              <w:pStyle w:val="Default"/>
              <w:jc w:val="both"/>
              <w:rPr>
                <w:rFonts w:ascii="Times New Roman" w:cs="Times New Roman" w:hAnsi="Times New Roman"/>
              </w:rPr>
            </w:pPr>
            <w:r>
              <w:rPr>
                <w:rFonts w:ascii="Times New Roman" w:cs="Times New Roman" w:hAnsi="Times New Roman" w:hint="eastAsia"/>
              </w:rPr>
              <w:t>国债期货投资本期收益（元）</w:t>
            </w:r>
          </w:p>
        </w:tc>
        <w:tc>
          <w:tcPr>
            <w:tcW w:type="dxa" w:w="1984"/>
            <w:hideMark/>
          </w:tcPr>
          <w:p w:rsidR="00B249C0" w:rsidRDefault="00B249C0">
            <w:pPr>
              <w:adjustRightInd w:val="0"/>
              <w:snapToGrid w:val="0"/>
              <w:spacing w:line="380" w:lineRule="exact"/>
              <w:jc w:val="right"/>
              <w:rPr>
                <w:color w:val="000000"/>
                <w:sz w:val="24"/>
              </w:rPr>
            </w:pPr>
            <w:r>
              <w:rPr>
                <w:color w:val="000000"/>
                <w:sz w:val="24"/>
              </w:rPr>
              <w:t/>
            </w:r>
            <w:proofErr w:type="spellStart"/>
            <w:r>
              <w:rPr>
                <w:color w:val="000000"/>
                <w:sz w:val="24"/>
              </w:rPr>
              <w:t/>
            </w:r>
            <w:proofErr w:type="spellEnd"/>
            <w:r>
              <w:rPr>
                <w:color w:val="000000"/>
                <w:sz w:val="24"/>
              </w:rPr>
              <w:t>-2,675,596.87</w:t>
            </w:r>
          </w:p>
        </w:tc>
      </w:tr>
      <w:tr w:rsidR="00B249C0" w:rsidTr="0001612A">
        <w:trPr>
          <w:jc w:val="center"/>
        </w:trPr>
        <w:tc>
          <w:tcPr>
            <w:tcW w:type="dxa" w:w="6771"/>
            <w:gridSpan w:val="5"/>
            <w:hideMark/>
          </w:tcPr>
          <w:p w:rsidR="00B249C0" w:rsidRDefault="00B249C0">
            <w:pPr>
              <w:pStyle w:val="Default"/>
              <w:jc w:val="both"/>
              <w:rPr>
                <w:rFonts w:ascii="Times New Roman" w:cs="Times New Roman" w:hAnsi="Times New Roman"/>
              </w:rPr>
            </w:pPr>
            <w:r>
              <w:rPr>
                <w:rFonts w:ascii="Times New Roman" w:cs="Times New Roman" w:hAnsi="Times New Roman" w:hint="eastAsia"/>
              </w:rPr>
              <w:t>国债期货投资本期公允价值变动（元）</w:t>
            </w:r>
          </w:p>
        </w:tc>
        <w:tc>
          <w:tcPr>
            <w:tcW w:type="dxa" w:w="1984"/>
            <w:hideMark/>
          </w:tcPr>
          <w:p w:rsidR="00B249C0" w:rsidRDefault="00B249C0">
            <w:pPr>
              <w:adjustRightInd w:val="0"/>
              <w:snapToGrid w:val="0"/>
              <w:spacing w:line="380" w:lineRule="exact"/>
              <w:jc w:val="right"/>
              <w:rPr>
                <w:color w:val="000000"/>
                <w:sz w:val="24"/>
              </w:rPr>
            </w:pPr>
            <w:r>
              <w:rPr>
                <w:color w:val="000000"/>
                <w:sz w:val="24"/>
              </w:rPr>
              <w:t/>
            </w:r>
            <w:proofErr w:type="spellStart"/>
            <w:r>
              <w:rPr>
                <w:color w:val="000000"/>
                <w:sz w:val="24"/>
              </w:rPr>
              <w:t/>
            </w:r>
            <w:proofErr w:type="spellEnd"/>
            <w:r>
              <w:rPr>
                <w:color w:val="000000"/>
                <w:sz w:val="24"/>
              </w:rPr>
              <w:t>3,230,596.87</w:t>
            </w:r>
          </w:p>
        </w:tc>
      </w:tr>
    </w:tbl>
    <w:p w:rsidP="00B249C0" w:rsidR="00F016DD" w:rsidRDefault="00F016DD" w:rsidRPr="00E7356F">
      <w:pPr>
        <w:autoSpaceDE w:val="0"/>
        <w:autoSpaceDN w:val="0"/>
        <w:adjustRightInd w:val="0"/>
        <w:spacing w:line="360" w:lineRule="auto"/>
        <w:jc w:val="left"/>
        <w:rPr>
          <w:rFonts w:ascii="宋体" w:hAnsi="宋体"/>
          <w:sz w:val="24"/>
        </w:rPr>
      </w:pP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roofErr w:type="gramStart"/>
      <w:r w:rsidRPr="00E7356F">
        <w:rPr>
          <w:rFonts w:ascii="宋体" w:hAnsi="宋体"/>
          <w:sz w:val="24"/>
        </w:rPr>
        <w:t/>
      </w:r>
      <w:proofErr w:type="gramEnd"/>
      <w:r w:rsidRPr="00E7356F">
        <w:rPr>
          <w:rFonts w:ascii="宋体" w:hAnsi="宋体"/>
          <w:sz w:val="24"/>
        </w:rPr>
        <w:t xml:space="preserve">5.10.3 </w:t>
      </w:r>
      <w:r w:rsidRPr="00E7356F">
        <w:rPr>
          <w:rFonts w:ascii="宋体" w:hAnsi="宋体" w:hint="eastAsia"/>
          <w:sz w:val="24"/>
        </w:rPr>
        <w:t>本期国债期货投资评价</w:t>
      </w: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
    <w:p w:rsidP="00EA6415" w:rsidR="00F016DD" w:rsidRDefault="00F016DD" w:rsidRPr="00EA6415">
      <w:pPr>
        <w:spacing w:line="360" w:lineRule="auto"/>
        <w:ind w:firstLine="480" w:firstLineChars="200"/>
        <w:rPr>
          <w:color w:val="000000"/>
          <w:sz w:val="24"/>
        </w:rPr>
      </w:pPr>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本基金投资国债期货根据风险管理的原则，以套期保值策略为目的，调节组合的整体久期水平。本报告期内，本基金投资国债期货符合既定的投资政策和投资目的。</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8月7日，江西省交通建设工程质量监督管理局对中国建筑股份有限公司违反交通法规的行为罚款五万元。2019年9月18日，深圳市住房和建设局对中国建筑股份有限公司违反《中华人民共和国安全生产法》第三十八条第一款“生产经营单位应当建立健全生产安全事故隐患排查治理制度，采取技术、管理措施，及时发现并消除事故隐患，事故隐患排查治理情况应当如实记录，并向从业人员通报”的行为罚款50000元。2019年11月4日，国家税务总局北京市海淀区税务局对中国建筑股份有限公司未依法履行职责的行为进行罚款。2020年3月19日，西安市人力资源和社会保障局依据《西安市农民工工资保障办法》第二十三条第一项，对中国建筑股份有限公司“未按本办法规定预存农民工工资支付保证金”的行为罚款10000元。2020年5月7日，江西省交通建设工程质量监督管理局对中国建筑股份有限公司 “中国建筑股份有限公司井冈山航电枢纽工程项目A1合同段从事电焊作业的陈子高未按照国家有关规定经专门的安全作业培训取得相应特种作业资格”的行为罚款2万元。</w:t>
      </w:r>
    </w:p>
    <w:p>
      <w:pPr>
        <w:widowControl/>
        <w:spacing w:line="360" w:lineRule="auto"/>
        <w:rPr>
          <w:color w:val="000000"/>
          <w:sz w:val="24"/>
        </w:rPr>
      </w:pPr>
      <w:r>
        <w:rPr>
          <w:color w:val="000000"/>
          <w:sz w:val="24"/>
        </w:rPr>
        <w:t>本基金投资20中建MTN001的投资决策程序符合公司投资制度的规定。</w:t>
      </w:r>
    </w:p>
    <w:p>
      <w:pPr>
        <w:widowControl/>
        <w:spacing w:line="360" w:lineRule="auto"/>
        <w:rPr>
          <w:color w:val="000000"/>
          <w:sz w:val="24"/>
        </w:rPr>
      </w:pPr>
      <w:r>
        <w:rPr>
          <w:color w:val="000000"/>
          <w:sz w:val="24"/>
        </w:rPr>
        <w:t>除20中建MTN001外，本基金投资的前十名证券的发行主体本期没有出现被监管部门立案调查，或在报告编制日前一年内受到公开谴责、处罚的情形。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10,506,493.52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162,625,204.37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173,131,697.89</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易方达年年恒秋纯债一年定开债券发起式A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易方达年年恒秋纯债一年定开债券发起式C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4,630,698,395.01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1,048,370,439.96</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1,803,142.32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99,770.93</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4,632,501,537.33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1,048,470,210.89</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CC78C7" w:rsidR="00CC78C7" w:rsidRDefault="00CC78C7"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CC78C7" w:rsidRPr="00E90B39" w:rsidTr="0001612A">
        <w:trPr>
          <w:trHeight w:val="248"/>
        </w:trPr>
        <w:tc>
          <w:tcPr>
            <w:tcW w:type="dxa" w:w="3167"/>
            <w:vAlign w:val="center"/>
          </w:tcPr>
          <w:p w:rsidP="00964538" w:rsidR="00CC78C7" w:rsidRDefault="00CC78C7"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964538" w:rsidR="00CC78C7" w:rsidRDefault="00CC78C7"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易方达年年恒秋纯债一年定开债券发起式A</w:t>
            </w:r>
          </w:p>
        </w:tc>
        <w:tc>
          <w:tcPr>
            <w:tcW w:type="dxa" w:w="2631"/>
            <w:vAlign w:val="bottom"/>
          </w:tcPr>
          <w:p w:rsidP="00964538" w:rsidR="00CC78C7" w:rsidRDefault="00CC78C7" w:rsidRPr="00FA472B">
            <w:pPr>
              <w:jc w:val="center"/>
              <w:rPr>
                <w:sz w:val="24"/>
              </w:rPr>
            </w:pPr>
            <w:r w:rsidRPr="00FA472B">
              <w:rPr>
                <w:color w:val="000000"/>
                <w:kern w:val="0"/>
                <w:sz w:val="24"/>
              </w:rPr>
              <w:t/>
            </w:r>
            <w:r w:rsidRPr="00FA472B">
              <w:rPr>
                <w:sz w:val="24"/>
              </w:rPr>
              <w:t>易方达年年恒秋纯债一年定开债券发起式C</w:t>
            </w:r>
          </w:p>
        </w:tc>
      </w:tr>
      <w:tr w:rsidR="00CC78C7" w:rsidRPr="00E90B39" w:rsidTr="0001612A">
        <w:trPr>
          <w:trHeight w:val="247"/>
        </w:trPr>
        <w:tc>
          <w:tcPr>
            <w:tcW w:type="dxa" w:w="3167"/>
            <w:vAlign w:val="center"/>
          </w:tcPr>
          <w:p w:rsidP="00964538" w:rsidR="00CC78C7" w:rsidRDefault="00CC78C7" w:rsidRPr="00FA472B">
            <w:pPr>
              <w:pStyle w:val="ac"/>
              <w:adjustRightInd w:val="0"/>
              <w:snapToGrid w:val="0"/>
              <w:spacing w:line="360" w:lineRule="exact"/>
              <w:rPr>
                <w:color w:val="000000"/>
                <w:szCs w:val="24"/>
              </w:rPr>
            </w:pPr>
            <w:r w:rsidRPr="00FA472B">
              <w:rPr>
                <w:color w:val="000000"/>
                <w:szCs w:val="24"/>
              </w:rPr>
              <w:t>报告期期</w:t>
            </w:r>
            <w:proofErr w:type="gramStart"/>
            <w:r w:rsidRPr="00FA472B">
              <w:rPr>
                <w:color w:val="000000"/>
                <w:szCs w:val="24"/>
              </w:rPr>
              <w:t>初管理</w:t>
            </w:r>
            <w:proofErr w:type="gramEnd"/>
            <w:r w:rsidRPr="00FA472B">
              <w:rPr>
                <w:color w:val="000000"/>
                <w:szCs w:val="24"/>
              </w:rPr>
              <w:t>人持有的本基金份额</w:t>
            </w:r>
          </w:p>
        </w:tc>
        <w:tc>
          <w:tcPr>
            <w:tcW w:type="dxa" w:w="2616"/>
            <w:vAlign w:val="center"/>
          </w:tcPr>
          <w:p w:rsidP="00964538" w:rsidR="00CC78C7" w:rsidRDefault="00CC78C7" w:rsidRPr="00FA472B">
            <w:pPr>
              <w:jc w:val="right"/>
              <w:rPr>
                <w:sz w:val="24"/>
              </w:rPr>
            </w:pPr>
            <w:r w:rsidRPr="00FA472B">
              <w:rPr>
                <w:color w:val="000000"/>
                <w:sz w:val="24"/>
              </w:rPr>
              <w:t>10,000,000.00</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w:t>
            </w:r>
            <w:r w:rsidRPr="00FA472B">
              <w:rPr>
                <w:color w:val="000000"/>
                <w:sz w:val="24"/>
              </w:rPr>
              <w:lastRenderedPageBreak/>
              <w:t>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lastRenderedPageBreak/>
              <w:t/>
            </w:r>
            <w:proofErr w:type="spellStart"/>
            <w:r w:rsidRPr="00FA472B">
              <w:rPr>
                <w:color w:val="000000"/>
                <w:sz w:val="24"/>
              </w:rPr>
              <w:t/>
            </w:r>
            <w:r w:rsidRPr="00FA472B">
              <w:rPr>
                <w:color w:val="000000"/>
                <w:sz w:val="24"/>
              </w:rPr>
              <w:lastRenderedPageBreak/>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lastRenderedPageBreak/>
              <w:t/>
            </w:r>
            <w:r w:rsidRPr="00FA472B">
              <w:rPr>
                <w:color w:val="000000"/>
                <w:sz w:val="24"/>
              </w:rPr>
              <w:lastRenderedPageBreak/>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lastRenderedPageBreak/>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964538" w:rsidR="00CC78C7" w:rsidRDefault="00CC78C7"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10,000,000.00</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964538" w:rsidR="00CC78C7" w:rsidRDefault="00CC78C7" w:rsidRPr="00FA472B">
            <w:pPr>
              <w:jc w:val="right"/>
              <w:rPr>
                <w:color w:val="000000"/>
                <w:kern w:val="0"/>
                <w:sz w:val="24"/>
              </w:rPr>
            </w:pPr>
            <w:r w:rsidRPr="00FA472B">
              <w:rPr>
                <w:color w:val="000000"/>
                <w:sz w:val="24"/>
              </w:rPr>
              <w:t>0.2159</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bl>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 本报告期内基金管理人未运用固有资金申购、赎回、买卖本基金份额。 </w:t>
      </w:r>
    </w:p>
    <w:p w:rsidP="00B54884" w:rsidR="00F016DD" w:rsidRDefault="00F016DD" w:rsidRPr="0078105B">
      <w:pPr>
        <w:pStyle w:val="1"/>
        <w:spacing w:after="312" w:afterLines="100" w:before="312" w:beforeLines="100" w:line="360" w:lineRule="auto"/>
        <w:jc w:val="center"/>
        <w:rPr>
          <w:rFonts w:ascii="宋体"/>
          <w:b w:val="0"/>
          <w:color w:val="000000"/>
          <w:sz w:val="24"/>
        </w:rPr>
      </w:pPr>
      <w:r w:rsidRPr="0078105B">
        <w:rPr>
          <w:rFonts w:ascii="宋体" w:cs="Arial"/>
          <w:color w:val="000000"/>
          <w:kern w:val="0"/>
          <w:sz w:val="24"/>
          <w:szCs w:val="24"/>
        </w:rPr>
        <w:t/>
      </w:r>
      <w:proofErr w:type="spellStart"/>
      <w:r w:rsidRPr="0078105B">
        <w:rPr>
          <w:rFonts w:ascii="宋体" w:cs="Arial" w:hAnsi="宋体"/>
          <w:color w:val="000000"/>
          <w:kern w:val="0"/>
          <w:sz w:val="24"/>
          <w:szCs w:val="24"/>
        </w:rPr>
        <w:t/>
      </w:r>
      <w:proofErr w:type="spellEnd"/>
      <w:r w:rsidRPr="0078105B">
        <w:rPr>
          <w:rFonts w:ascii="宋体" w:cs="Arial" w:hAnsi="宋体"/>
          <w:color w:val="000000"/>
          <w:kern w:val="0"/>
          <w:sz w:val="24"/>
          <w:szCs w:val="24"/>
        </w:rPr>
        <w:t/>
      </w: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 xml:space="preserve">8  </w:t>
      </w:r>
      <w:r>
        <w:rPr>
          <w:rFonts w:ascii="宋体" w:cs="Arial" w:hAnsi="宋体" w:hint="eastAsia"/>
          <w:color w:val="000000"/>
          <w:kern w:val="0"/>
          <w:sz w:val="24"/>
          <w:szCs w:val="24"/>
        </w:rPr>
        <w:t>报告期末</w:t>
      </w:r>
      <w:r w:rsidRPr="0078105B">
        <w:rPr>
          <w:rFonts w:ascii="宋体" w:cs="Arial" w:hAnsi="宋体" w:hint="eastAsia"/>
          <w:color w:val="000000"/>
          <w:kern w:val="0"/>
          <w:sz w:val="24"/>
          <w:szCs w:val="24"/>
        </w:rPr>
        <w:t>发起</w:t>
      </w:r>
      <w:proofErr w:type="gramStart"/>
      <w:r w:rsidRPr="0078105B">
        <w:rPr>
          <w:rFonts w:ascii="宋体" w:cs="Arial" w:hAnsi="宋体" w:hint="eastAsia"/>
          <w:color w:val="000000"/>
          <w:kern w:val="0"/>
          <w:sz w:val="24"/>
          <w:szCs w:val="24"/>
        </w:rPr>
        <w:t>式基金</w:t>
      </w:r>
      <w:proofErr w:type="gramEnd"/>
      <w:r w:rsidRPr="0078105B">
        <w:rPr>
          <w:rFonts w:ascii="宋体" w:cs="Arial" w:hAnsi="宋体" w:hint="eastAsia"/>
          <w:color w:val="000000"/>
          <w:kern w:val="0"/>
          <w:sz w:val="24"/>
          <w:szCs w:val="24"/>
        </w:rPr>
        <w:t>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448"/>
        <w:gridCol w:w="1984"/>
        <w:gridCol w:w="1276"/>
        <w:gridCol w:w="1843"/>
        <w:gridCol w:w="1276"/>
        <w:gridCol w:w="1053"/>
      </w:tblGrid>
      <w:tr w:rsidR="00F016DD" w:rsidRPr="0078105B" w:rsidTr="009D0312">
        <w:trPr>
          <w:trHeight w:val="543"/>
          <w:jc w:val="center"/>
        </w:trPr>
        <w:tc>
          <w:tcPr>
            <w:tcW w:type="dxa" w:w="1448"/>
            <w:vAlign w:val="center"/>
          </w:tcPr>
          <w:p w:rsidP="00973B57" w:rsidR="00F016DD" w:rsidRDefault="00F016DD" w:rsidRPr="00FA472B">
            <w:pPr>
              <w:widowControl/>
              <w:jc w:val="left"/>
              <w:rPr>
                <w:color w:val="000000"/>
                <w:sz w:val="24"/>
              </w:rPr>
            </w:pPr>
            <w:r w:rsidRPr="00FA472B">
              <w:rPr>
                <w:color w:val="000000"/>
                <w:sz w:val="24"/>
              </w:rPr>
              <w:t>项目</w:t>
            </w:r>
            <w:r w:rsidRPr="00FA472B">
              <w:rPr>
                <w:color w:val="000000"/>
                <w:sz w:val="24"/>
              </w:rPr>
              <w:t/>
            </w:r>
            <w:proofErr w:type="spellStart"/>
            <w:r w:rsidRPr="00FA472B">
              <w:rPr>
                <w:color w:val="000000"/>
                <w:sz w:val="24"/>
              </w:rPr>
              <w:t/>
            </w:r>
            <w:proofErr w:type="spellEnd"/>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984"/>
          </w:tcPr>
          <w:p w:rsidP="00973B57" w:rsidR="00F016DD" w:rsidRDefault="00F016DD" w:rsidRPr="00FA472B">
            <w:pPr>
              <w:adjustRightInd w:val="0"/>
              <w:snapToGrid w:val="0"/>
              <w:spacing w:line="360" w:lineRule="exact"/>
              <w:rPr>
                <w:color w:val="000000"/>
                <w:sz w:val="24"/>
              </w:rPr>
            </w:pPr>
            <w:r w:rsidRPr="00FA472B">
              <w:rPr>
                <w:color w:val="000000"/>
                <w:sz w:val="24"/>
              </w:rPr>
              <w:t>持有份额总数</w:t>
            </w:r>
          </w:p>
        </w:tc>
        <w:tc>
          <w:tcPr>
            <w:tcW w:type="dxa" w:w="1276"/>
          </w:tcPr>
          <w:p w:rsidP="00973B57" w:rsidR="00F016DD" w:rsidRDefault="00F016DD" w:rsidRPr="00FA472B">
            <w:pPr>
              <w:adjustRightInd w:val="0"/>
              <w:snapToGrid w:val="0"/>
              <w:spacing w:line="360" w:lineRule="exact"/>
              <w:rPr>
                <w:color w:val="000000"/>
                <w:sz w:val="24"/>
              </w:rPr>
            </w:pPr>
            <w:r w:rsidRPr="00FA472B">
              <w:rPr>
                <w:color w:val="000000"/>
                <w:sz w:val="24"/>
              </w:rPr>
              <w:t>持有份额占基金总份额比例</w:t>
            </w:r>
          </w:p>
        </w:tc>
        <w:tc>
          <w:tcPr>
            <w:tcW w:type="dxa" w:w="1843"/>
          </w:tcPr>
          <w:p w:rsidP="00973B57" w:rsidR="00F016DD" w:rsidRDefault="00F016DD" w:rsidRPr="00FA472B">
            <w:pPr>
              <w:adjustRightInd w:val="0"/>
              <w:snapToGrid w:val="0"/>
              <w:spacing w:line="360" w:lineRule="exact"/>
              <w:rPr>
                <w:color w:val="000000"/>
                <w:sz w:val="24"/>
              </w:rPr>
            </w:pPr>
            <w:r w:rsidRPr="00FA472B">
              <w:rPr>
                <w:color w:val="000000"/>
                <w:sz w:val="24"/>
              </w:rPr>
              <w:t>发起份额总数</w:t>
            </w:r>
          </w:p>
        </w:tc>
        <w:tc>
          <w:tcPr>
            <w:tcW w:type="dxa" w:w="1276"/>
          </w:tcPr>
          <w:p w:rsidP="00973B57" w:rsidR="00F016DD" w:rsidRDefault="00F016DD" w:rsidRPr="00FA472B">
            <w:pPr>
              <w:adjustRightInd w:val="0"/>
              <w:snapToGrid w:val="0"/>
              <w:spacing w:line="360" w:lineRule="exact"/>
              <w:rPr>
                <w:color w:val="000000"/>
                <w:sz w:val="24"/>
              </w:rPr>
            </w:pPr>
            <w:r w:rsidRPr="00FA472B">
              <w:rPr>
                <w:color w:val="000000"/>
                <w:sz w:val="24"/>
              </w:rPr>
              <w:t>发起份额占基金总份额比例</w:t>
            </w:r>
          </w:p>
        </w:tc>
        <w:tc>
          <w:tcPr>
            <w:tcW w:type="dxa" w:w="1053"/>
          </w:tcPr>
          <w:p w:rsidP="00973B57" w:rsidR="00F016DD" w:rsidRDefault="00F016DD" w:rsidRPr="00FA472B">
            <w:pPr>
              <w:widowControl/>
              <w:jc w:val="left"/>
              <w:rPr>
                <w:color w:val="000000"/>
                <w:sz w:val="24"/>
              </w:rPr>
            </w:pPr>
            <w:r w:rsidRPr="00FA472B">
              <w:rPr>
                <w:color w:val="000000"/>
                <w:sz w:val="24"/>
              </w:rPr>
              <w:t>发起份额承诺持有期限</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rPr>
                <w:color w:val="000000"/>
                <w:sz w:val="24"/>
              </w:rPr>
            </w:pPr>
            <w:r w:rsidRPr="00FA472B">
              <w:rPr>
                <w:color w:val="000000"/>
                <w:sz w:val="24"/>
              </w:rPr>
              <w:t>基金管理人</w:t>
            </w:r>
            <w:proofErr w:type="gramStart"/>
            <w:r w:rsidRPr="00FA472B">
              <w:rPr>
                <w:color w:val="000000"/>
                <w:sz w:val="24"/>
              </w:rPr>
              <w:t>固有资金</w:t>
            </w:r>
            <w:proofErr w:type="gramEnd"/>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
            </w:r>
            <w:r w:rsidRPr="00FA472B">
              <w:rPr>
                <w:kern w:val="0"/>
                <w:sz w:val="24"/>
              </w:rPr>
              <w:lastRenderedPageBreak/>
              <w:t>10,000,000.00</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0.1760%</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10,000,000.00</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0.1760%</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不少于3年</w:t>
            </w:r>
          </w:p>
        </w:tc>
      </w:tr>
      <w:tr w:rsidR="00F016DD" w:rsidRPr="0078105B" w:rsidTr="009D0312">
        <w:trPr>
          <w:trHeight w:val="790"/>
          <w:jc w:val="center"/>
        </w:trPr>
        <w:tc>
          <w:tcPr>
            <w:tcW w:type="dxa" w:w="1448"/>
          </w:tcPr>
          <w:p w:rsidP="00973B57" w:rsidR="00F016DD" w:rsidRDefault="00F016DD" w:rsidRPr="00FA472B">
            <w:pPr>
              <w:adjustRightInd w:val="0"/>
              <w:snapToGrid w:val="0"/>
              <w:spacing w:line="360" w:lineRule="exact"/>
              <w:rPr>
                <w:color w:val="000000"/>
                <w:sz w:val="24"/>
              </w:rPr>
            </w:pPr>
            <w:r w:rsidRPr="00FA472B">
              <w:rPr>
                <w:color w:val="000000"/>
                <w:sz w:val="24"/>
              </w:rPr>
              <w:lastRenderedPageBreak/>
              <w:t>基金管理人高级管理人员</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t>基金经理等人员</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
            </w:r>
            <w:r w:rsidRPr="00FA472B">
              <w:rPr>
                <w:kern w:val="0"/>
                <w:sz w:val="24"/>
              </w:rPr>
              <w:lastRenderedPageBreak/>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lastRenderedPageBreak/>
              <w:t>基金管理</w:t>
            </w:r>
            <w:proofErr w:type="gramStart"/>
            <w:r w:rsidRPr="00FA472B">
              <w:rPr>
                <w:color w:val="000000"/>
                <w:sz w:val="24"/>
              </w:rPr>
              <w:t>人股东</w:t>
            </w:r>
            <w:proofErr w:type="gramEnd"/>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t>其他</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t>合计</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10,000,000.00</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0.1760%</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10,000,000.00</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0.1760%</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
            </w:r>
            <w:r w:rsidRPr="00FA472B">
              <w:rPr>
                <w:kern w:val="0"/>
                <w:sz w:val="24"/>
              </w:rPr>
              <w:lastRenderedPageBreak/>
              <w:t>-</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1.中国证监会准予易方达年年恒秋纯债一年定期开放债券型发起式证券投资基金注册的文件；</w:t>
      </w:r>
    </w:p>
    <w:p>
      <w:pPr>
        <w:spacing w:line="360" w:lineRule="auto"/>
        <w:ind w:firstLine="480" w:firstLineChars="200"/>
        <w:rPr>
          <w:color w:val="000000"/>
          <w:sz w:val="24"/>
        </w:rPr>
      </w:pPr>
      <w:r>
        <w:rPr>
          <w:color w:val="000000"/>
          <w:sz w:val="24"/>
        </w:rPr>
        <w:t>2.《易方达年年恒秋纯债一年定期开放债券型发起式证券投资基金基金合同》；</w:t>
      </w:r>
    </w:p>
    <w:p>
      <w:pPr>
        <w:spacing w:line="360" w:lineRule="auto"/>
        <w:ind w:firstLine="480" w:firstLineChars="200"/>
        <w:rPr>
          <w:color w:val="000000"/>
          <w:sz w:val="24"/>
        </w:rPr>
      </w:pPr>
      <w:r>
        <w:rPr>
          <w:color w:val="000000"/>
          <w:sz w:val="24"/>
        </w:rPr>
        <w:t>3.《易方达年年恒秋纯债一年定期开放债券型发起式证券投资基金托管协议》；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易方达年年恒秋纯债一年定期开放债券型发起式证券投资基金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