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易方达优选多资产三个月持有期混合型基金中基金（FOF）</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中国工商银行股份有限公司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本报告期自2020年4月9日起至6月30日止。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易方达优选多资产三个月持有混合（FOF）</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007896</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2020年4月9日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257,485,747.27</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在多类资产中进行资产配置，通过系统、深入的基金研究优选具有长期投资价值的投资标的，力争实现基金资产的长期稳健增值。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pPr>
              <w:adjustRightInd w:val="0"/>
              <w:spacing w:before="29" w:line="360" w:lineRule="auto"/>
              <w:ind w:left="17"/>
              <w:jc w:val="left"/>
              <w:rPr>
                <w:color w:val="000000"/>
                <w:sz w:val="24"/>
              </w:rPr>
            </w:pPr>
            <w:r>
              <w:rPr>
                <w:color w:val="000000"/>
                <w:kern w:val="0"/>
                <w:sz w:val="24"/>
              </w:rPr>
              <w:t>本基金将积极、主动的多资产配置与系统、深入的基金研究相结合，通过自上而下的资产配置策略与自下而上的基金优选策略构建投资组合，力争实现基金资产的长期稳健增值。</w:t>
            </w:r>
          </w:p>
          <w:p>
            <w:pPr>
              <w:adjustRightInd w:val="0"/>
              <w:spacing w:before="29" w:line="360" w:lineRule="auto"/>
              <w:ind w:left="17"/>
              <w:jc w:val="left"/>
              <w:rPr>
                <w:color w:val="000000"/>
                <w:sz w:val="24"/>
              </w:rPr>
            </w:pPr>
            <w:r>
              <w:rPr>
                <w:color w:val="000000"/>
                <w:kern w:val="0"/>
                <w:sz w:val="24"/>
              </w:rPr>
              <w:t>资产配置方面，本基金将采用风险预算方法确定各类资产长期配置的中性比例，在此基础上结合市场环境灵活运用多种投资策略，采用“核心+卫星”的方法进行战术资产配置，通过多种策略的组合分散风险。</w:t>
            </w:r>
          </w:p>
          <w:p>
            <w:pPr>
              <w:adjustRightInd w:val="0"/>
              <w:spacing w:before="29" w:line="360" w:lineRule="auto"/>
              <w:ind w:left="17"/>
              <w:jc w:val="left"/>
              <w:rPr>
                <w:color w:val="000000"/>
                <w:sz w:val="24"/>
              </w:rPr>
            </w:pPr>
            <w:r>
              <w:rPr>
                <w:color w:val="000000"/>
                <w:kern w:val="0"/>
                <w:sz w:val="24"/>
              </w:rPr>
              <w:t>在基金优选方面，本基金将通过定量评价体系从多个维度对基金进行定量评价，并结合多维度的定性评价筛选出优秀的基金品种。</w:t>
            </w:r>
          </w:p>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在通过资产配置策略获得目标资产配置比例、通过基金优选策略获得标的基金池后，本基金将通过组合构建策略完成具体的组合构建。</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沪深300指数收益率×50%+中证港股通综合指数收益率×10%+中债总指数收益率×40%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pPr>
              <w:adjustRightInd w:val="0"/>
              <w:spacing w:before="29" w:line="360" w:lineRule="auto"/>
              <w:ind w:left="17"/>
              <w:jc w:val="left"/>
              <w:rPr>
                <w:color w:val="000000"/>
                <w:sz w:val="24"/>
              </w:rPr>
            </w:pPr>
            <w:r>
              <w:rPr>
                <w:color w:val="000000"/>
                <w:kern w:val="0"/>
                <w:sz w:val="24"/>
              </w:rPr>
              <w:t xml:space="preserve">本基金为混合型基金中基金（FOF），理论上其预期风险与预期收益水平低于股票型基金、股票型基金中基金（FOF），高于债券型基金、债券型基金中基金（FOF）、货币市场基金和货币型基金中基金（FOF）。 </w:t>
            </w:r>
          </w:p>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中国工商银行股份有限公司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易方达优选多资产三个月持有混合（FOF）A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易方达优选多资产三个月持有混合（FOF）C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007896</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007897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206,178,504.10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51,307,243.17</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2020年4月9日（基金合同生效日）-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易方达优选多资产三个月持有混合（FOF）A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易方达优选多资产三个月持有混合（FOF）C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567,812.09</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92,655.98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11,897,311.22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2,887,024.50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0.0580</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0.0574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218,101,386.35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54,225,679.02</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1.0578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1.0569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 xml:space="preserve">3.本基金合同于2020年4月9日生效,合同生效当期的相关数据和指标按实际存续期计算。 </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易方达优选多资产三个月持有混合（FOF）A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过去六个月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5.78%</w:t>
            </w:r>
          </w:p>
        </w:tc>
        <w:tc>
          <w:tcPr>
            <w:vAlign w:val="center"/>
          </w:tcPr>
          <w:p>
            <w:pPr>
              <w:jc w:val="center"/>
            </w:pPr>
            <w:r>
              <w:rPr>
                <w:color w:val="000000"/>
                <w:sz w:val="24"/>
              </w:rPr>
              <w:t>0.31%</w:t>
            </w:r>
          </w:p>
        </w:tc>
        <w:tc>
          <w:tcPr>
            <w:vAlign w:val="center"/>
          </w:tcPr>
          <w:p>
            <w:pPr>
              <w:jc w:val="center"/>
            </w:pPr>
            <w:r>
              <w:rPr>
                <w:color w:val="000000"/>
                <w:sz w:val="24"/>
              </w:rPr>
              <w:t>4.71%</w:t>
            </w:r>
          </w:p>
        </w:tc>
        <w:tc>
          <w:tcPr>
            <w:vAlign w:val="center"/>
          </w:tcPr>
          <w:p>
            <w:pPr>
              <w:jc w:val="center"/>
            </w:pPr>
            <w:r>
              <w:rPr>
                <w:color w:val="000000"/>
                <w:sz w:val="24"/>
              </w:rPr>
              <w:t>0.52%</w:t>
            </w:r>
          </w:p>
        </w:tc>
        <w:tc>
          <w:tcPr>
            <w:vAlign w:val="center"/>
          </w:tcPr>
          <w:p>
            <w:pPr>
              <w:jc w:val="center"/>
            </w:pPr>
            <w:r>
              <w:rPr>
                <w:color w:val="000000"/>
                <w:sz w:val="24"/>
              </w:rPr>
              <w:t>1.07%</w:t>
            </w:r>
          </w:p>
        </w:tc>
        <w:tc>
          <w:tcPr>
            <w:vAlign w:val="center"/>
          </w:tcPr>
          <w:p>
            <w:pPr>
              <w:jc w:val="center"/>
            </w:pPr>
            <w:r>
              <w:rPr>
                <w:color w:val="000000"/>
                <w:sz w:val="24"/>
              </w:rPr>
              <w:t>-0.21%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易方达优选多资产三个月持有混合（FOF）C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过去六个月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5.69%</w:t>
            </w:r>
          </w:p>
        </w:tc>
        <w:tc>
          <w:tcPr>
            <w:vAlign w:val="center"/>
          </w:tcPr>
          <w:p>
            <w:pPr>
              <w:jc w:val="center"/>
            </w:pPr>
            <w:r>
              <w:rPr>
                <w:color w:val="000000"/>
                <w:sz w:val="24"/>
              </w:rPr>
              <w:t>0.31%</w:t>
            </w:r>
          </w:p>
        </w:tc>
        <w:tc>
          <w:tcPr>
            <w:vAlign w:val="center"/>
          </w:tcPr>
          <w:p>
            <w:pPr>
              <w:jc w:val="center"/>
            </w:pPr>
            <w:r>
              <w:rPr>
                <w:color w:val="000000"/>
                <w:sz w:val="24"/>
              </w:rPr>
              <w:t>4.71%</w:t>
            </w:r>
          </w:p>
        </w:tc>
        <w:tc>
          <w:tcPr>
            <w:vAlign w:val="center"/>
          </w:tcPr>
          <w:p>
            <w:pPr>
              <w:jc w:val="center"/>
            </w:pPr>
            <w:r>
              <w:rPr>
                <w:color w:val="000000"/>
                <w:sz w:val="24"/>
              </w:rPr>
              <w:t>0.52%</w:t>
            </w:r>
          </w:p>
        </w:tc>
        <w:tc>
          <w:tcPr>
            <w:vAlign w:val="center"/>
          </w:tcPr>
          <w:p>
            <w:pPr>
              <w:jc w:val="center"/>
            </w:pPr>
            <w:r>
              <w:rPr>
                <w:color w:val="000000"/>
                <w:sz w:val="24"/>
              </w:rPr>
              <w:t>0.98%</w:t>
            </w:r>
          </w:p>
        </w:tc>
        <w:tc>
          <w:tcPr>
            <w:vAlign w:val="center"/>
          </w:tcPr>
          <w:p>
            <w:pPr>
              <w:jc w:val="center"/>
            </w:pPr>
            <w:r>
              <w:rPr>
                <w:color w:val="000000"/>
                <w:sz w:val="24"/>
              </w:rPr>
              <w:t>-0.21%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易方达优选多资产三个月持有期混合型基金中基金（FOF）</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（2020年4月9日至2020年6月30日）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易方达优选多资产三个月持有混合（FOF）A</w:t>
      </w:r>
    </w:p>
    <w:p w:rsidP="00FC7F43" w:rsidR="00F016DD" w:rsidRDefault="00576FF5"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易方达优选多资产三个月持有混合（FOF）C</w:t>
      </w:r>
    </w:p>
    <w:p w:rsidP="00FC7F43" w:rsidR="00F016DD" w:rsidRDefault="00576FF5"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注：1.本基金合同于2020年4月9日生效,截至报告期末本基金合同生效未满一年。</w:t>
      </w:r>
    </w:p>
    <w:p>
      <w:pPr>
        <w:spacing w:line="360" w:lineRule="auto"/>
        <w:ind w:firstLine="480" w:firstLineChars="200"/>
        <w:rPr>
          <w:color w:val="000000"/>
          <w:sz w:val="24"/>
        </w:rPr>
      </w:pPr>
      <w:r>
        <w:rPr>
          <w:color w:val="000000"/>
          <w:sz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 xml:space="preserve">3.自基金合同生效至报告期末,A类基金份额净值增长率为5.78%,C类基金份额净值增长率为5.69%,同期业绩比较基准收益率为4.71%。 </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杨培鸿</w:t>
            </w:r>
          </w:p>
        </w:tc>
        <w:tc>
          <w:tcPr>
            <w:vAlign w:val="center"/>
          </w:tcPr>
          <w:p>
            <w:pPr>
              <w:jc w:val="left"/>
            </w:pPr>
            <w:r>
              <w:rPr>
                <w:color w:val="000000"/>
                <w:sz w:val="24"/>
              </w:rPr>
              <w:t>本基金的基金经理、易方达汇智稳健养老目标一年持有期混合型基金中基金（FOF）的基金经理</w:t>
            </w:r>
          </w:p>
        </w:tc>
        <w:tc>
          <w:tcPr>
            <w:vAlign w:val="center"/>
          </w:tcPr>
          <w:p>
            <w:pPr>
              <w:jc w:val="center"/>
            </w:pPr>
            <w:r>
              <w:rPr>
                <w:color w:val="000000"/>
                <w:sz w:val="24"/>
              </w:rPr>
              <w:t>2020-04-09</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天则经济研究所研究员，莫斯科管理学院新兴市场研究院助理研究员，全国社会保障基金理事会境外投资部主任科员，中国投资有限责任公司资产配置部经理，易方达基金管理有限公司多资产投资部资深研究员。</w:t>
            </w:r>
          </w:p>
        </w:tc>
      </w:tr>
      <w:tr>
        <w:tc>
          <w:tcPr>
            <w:vAlign w:val="center"/>
          </w:tcPr>
          <w:p>
            <w:pPr>
              <w:jc w:val="center"/>
            </w:pPr>
            <w:r>
              <w:rPr>
                <w:color w:val="000000"/>
                <w:sz w:val="24"/>
              </w:rPr>
              <w:t>张浩然</w:t>
            </w:r>
          </w:p>
        </w:tc>
        <w:tc>
          <w:tcPr>
            <w:vAlign w:val="center"/>
          </w:tcPr>
          <w:p>
            <w:pPr>
              <w:jc w:val="left"/>
            </w:pPr>
            <w:r>
              <w:rPr>
                <w:color w:val="000000"/>
                <w:sz w:val="24"/>
              </w:rPr>
              <w:t>本基金的基金经理、易方达汇诚养老目标日期2038三年持有期混合型发起式基金中基金（FOF）的基金经理助理</w:t>
            </w:r>
          </w:p>
        </w:tc>
        <w:tc>
          <w:tcPr>
            <w:vAlign w:val="center"/>
          </w:tcPr>
          <w:p>
            <w:pPr>
              <w:jc w:val="center"/>
            </w:pPr>
            <w:r>
              <w:rPr>
                <w:color w:val="000000"/>
                <w:sz w:val="24"/>
              </w:rPr>
              <w:t>2020-04-09</w:t>
            </w:r>
          </w:p>
        </w:tc>
        <w:tc>
          <w:tcPr>
            <w:vAlign w:val="center"/>
          </w:tcPr>
          <w:p>
            <w:pPr>
              <w:jc w:val="center"/>
            </w:pPr>
            <w:r>
              <w:rPr>
                <w:color w:val="000000"/>
                <w:sz w:val="24"/>
              </w:rPr>
              <w:t>-</w:t>
            </w:r>
          </w:p>
        </w:tc>
        <w:tc>
          <w:tcPr>
            <w:vAlign w:val="center"/>
          </w:tcPr>
          <w:p>
            <w:pPr>
              <w:jc w:val="center"/>
            </w:pPr>
            <w:r>
              <w:rPr>
                <w:color w:val="000000"/>
                <w:sz w:val="24"/>
              </w:rPr>
              <w:t>5年</w:t>
            </w:r>
          </w:p>
        </w:tc>
        <w:tc>
          <w:tcPr>
            <w:vAlign w:val="center"/>
          </w:tcPr>
          <w:p>
            <w:pPr>
              <w:jc w:val="both"/>
            </w:pPr>
            <w:r>
              <w:rPr>
                <w:color w:val="000000"/>
                <w:sz w:val="24"/>
              </w:rPr>
              <w:t>硕士研究生，具有基金从业资格。曾任中国人寿资产管理有限公司基金投资部助理研究员，易方达基金管理有限公司研究员、投资经理。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sidR="00730025">
        <w:rPr>
          <w:rFonts w:ascii="宋体" w:cs="Arial" w:hAnsi="宋体" w:hint="eastAsia"/>
          <w:b/>
          <w:color w:val="000000"/>
          <w:kern w:val="0"/>
          <w:sz w:val="24"/>
        </w:rPr>
        <w:t xml:space="preserve"> </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新冠疫情在全球范围内逐步受到控制，全球经济触底回升，各经济体刺激政策仍维持宽松，但相较前期已更为审慎。中国防控疫情政策进入常态化阶段，复工复产稳步推进，各类经济指标出现边际改善。通胀仍处于下行趋势，货币政策支持实体经济恢复与可持续发展，在流动性保持合理充裕的基础上更加关注货币传导效率，财政政策助力广义信用扩张。</w:t>
      </w:r>
    </w:p>
    <w:p>
      <w:pPr>
        <w:spacing w:line="360" w:lineRule="auto"/>
        <w:ind w:firstLine="480" w:firstLineChars="200"/>
        <w:rPr>
          <w:color w:val="000000"/>
          <w:sz w:val="24"/>
        </w:rPr>
      </w:pPr>
      <w:r>
        <w:rPr>
          <w:color w:val="000000"/>
          <w:sz w:val="24"/>
        </w:rPr>
        <w:t>在政策宽松、经济改善的背景下，大类资产中对经济增长敏感的股票和商品表现优于债券。报告期内上证综指上涨8.52%，沪深300上涨12.96%，创业板指表现强劲上涨30.25%，南华工业品指数上涨13.75%，而十年期国债收益率则由2.59%上行至2.82%。股票和商品上涨、债券下跌的分化表现显示市场对未来货币环境维持宽松和经济前景逐步改善呈现乐观态度。权益资产内部的分化愈加剧烈，资金持续流入受益于经济转型的科技和消费，两条主线涨幅明显，而传统经济相关的银行、采掘等行业涨幅较小。整体估值水平仍处于历史中性位置的基础上，估值分化严重程度已经接近历史极端水平。</w:t>
      </w:r>
    </w:p>
    <w:p>
      <w:pPr>
        <w:spacing w:line="360" w:lineRule="auto"/>
        <w:ind w:firstLine="480" w:firstLineChars="200"/>
        <w:rPr>
          <w:color w:val="000000"/>
          <w:sz w:val="24"/>
        </w:rPr>
      </w:pPr>
      <w:r>
        <w:rPr>
          <w:color w:val="000000"/>
          <w:sz w:val="24"/>
        </w:rPr>
        <w:t>本基金于2020年4月9日正式成立运作，在报告期内仍处于建仓期。本基金坚持将积极、主动的多资产配置与系统、深入的基金研究相结合，通过自上而下的资产配置策略与自下而上的基金优选策略构建投资组合的投资思路。资产配置层面，在整体看好权益资产的基础上，本基金随着安全垫的积累逐步增加权益资产仓位，建仓过程中维持不同风格的风险预算基本一致，但适当倾向成长风格。在利率风险上升后逐步降低债券资产仓位，以现金类资产进行流动性管理。基金优选层面，本基金基于定量评价体系和定性评价结果，对全市场基金进行优中选优，遴选长期投资风格稳定、获取超额收益能力强的基金品种，并持续进行风险监控和组合的动态优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在当前波动较大、分化剧烈的市场环境中，本基金将坚持在多类资产中进行资产配置，通过系统、深入的基金研究优选具有长期投资价值的投资标的，力争实现基金资产的长期稳健增值。本基金重视投资者获得感，希望与投资者共同获取资本市场的长期收益，也由衷感谢广大投资者的理解和信任。</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1.0578元，本报告期份额净值增长率为5.78%，同期业绩比较基准收益率为4.71%。C类基金份额净值为1.0569元，本报告期份额净值增长率为5.69%，同期业绩比较基准收益率为4.71%。</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D60C95" w:rsidR="00D60C95" w:rsidRDefault="00F016DD" w:rsidRPr="00264E55">
      <w:pPr>
        <w:autoSpaceDE w:val="0"/>
        <w:autoSpaceDN w:val="0"/>
        <w:adjustRightInd w:val="0"/>
        <w:spacing w:line="360" w:lineRule="auto"/>
        <w:jc w:val="left"/>
        <w:rPr>
          <w:rFonts w:ascii="宋体"/>
          <w:b/>
          <w:bCs/>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t>序号</w:t>
            </w:r>
          </w:p>
        </w:tc>
        <w:tc>
          <w:tcPr>
            <w:tcW w:type="dxa" w:w="3357"/>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t>项目</w:t>
            </w:r>
          </w:p>
        </w:tc>
        <w:tc>
          <w:tcPr>
            <w:tcW w:type="dxa" w:w="2977"/>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t>金额（元）</w:t>
            </w:r>
          </w:p>
        </w:tc>
        <w:tc>
          <w:tcPr>
            <w:tcW w:type="dxa" w:w="1843"/>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t>占基金总资产的比例（</w:t>
            </w:r>
            <w:r w:rsidRPr="00232B03">
              <w:rPr>
                <w:color w:val="000000"/>
                <w:kern w:val="0"/>
                <w:sz w:val="24"/>
              </w:rPr>
              <w:t>%</w:t>
            </w:r>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t>1</w:t>
            </w: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权益投资</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其中：股票</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C370E0">
            <w:pPr>
              <w:spacing w:before="29" w:line="360" w:lineRule="auto"/>
              <w:ind w:left="17"/>
              <w:jc w:val="center"/>
              <w:rPr>
                <w:color w:themeColor="text1" w:val="000000"/>
                <w:sz w:val="24"/>
              </w:rPr>
            </w:pPr>
            <w:r w:rsidRPr="00C370E0">
              <w:rPr>
                <w:color w:themeColor="text1" w:val="000000"/>
                <w:sz w:val="24"/>
              </w:rPr>
              <w:t>2</w:t>
            </w:r>
          </w:p>
        </w:tc>
        <w:tc>
          <w:tcPr>
            <w:tcW w:type="dxa" w:w="3357"/>
            <w:vAlign w:val="center"/>
          </w:tcPr>
          <w:p w:rsidP="00191B35" w:rsidR="00D60C95" w:rsidRDefault="00D60C95" w:rsidRPr="00C370E0">
            <w:pPr>
              <w:spacing w:before="29" w:line="360" w:lineRule="auto"/>
              <w:jc w:val="left"/>
              <w:rPr>
                <w:color w:themeColor="text1" w:val="000000"/>
                <w:sz w:val="24"/>
              </w:rPr>
            </w:pPr>
            <w:r w:rsidRPr="00C370E0">
              <w:rPr>
                <w:color w:themeColor="text1" w:val="000000"/>
                <w:sz w:val="24"/>
              </w:rPr>
              <w:t>基金投资</w:t>
            </w:r>
          </w:p>
        </w:tc>
        <w:tc>
          <w:tcPr>
            <w:tcW w:type="dxa" w:w="2977"/>
            <w:vAlign w:val="center"/>
          </w:tcPr>
          <w:p w:rsidP="00191B35" w:rsidR="00D60C95" w:rsidRDefault="00D60C95" w:rsidRPr="00C370E0">
            <w:pPr>
              <w:spacing w:before="29" w:line="360" w:lineRule="auto"/>
              <w:ind w:left="17"/>
              <w:jc w:val="right"/>
              <w:rPr>
                <w:color w:themeColor="text1" w:val="000000"/>
                <w:sz w:val="24"/>
              </w:rPr>
            </w:pPr>
            <w:r w:rsidRPr="00C370E0">
              <w:rPr>
                <w:color w:themeColor="text1" w:val="000000"/>
                <w:sz w:val="24"/>
              </w:rPr>
              <w:t/>
            </w:r>
            <w:proofErr w:type="spellStart"/>
            <w:r w:rsidRPr="00C370E0">
              <w:rPr>
                <w:color w:themeColor="text1" w:val="000000"/>
                <w:sz w:val="24"/>
              </w:rPr>
              <w:t/>
            </w:r>
            <w:proofErr w:type="spellEnd"/>
            <w:r w:rsidRPr="00C370E0">
              <w:rPr>
                <w:color w:themeColor="text1" w:val="000000"/>
                <w:sz w:val="24"/>
              </w:rPr>
              <w:t>221,276,457.33</w:t>
            </w:r>
          </w:p>
        </w:tc>
        <w:tc>
          <w:tcPr>
            <w:tcW w:type="dxa" w:w="1843"/>
            <w:vAlign w:val="center"/>
          </w:tcPr>
          <w:p w:rsidP="00191B35" w:rsidR="00D60C95" w:rsidRDefault="00D60C95" w:rsidRPr="00C370E0">
            <w:pPr>
              <w:spacing w:before="29" w:line="360" w:lineRule="auto"/>
              <w:ind w:left="17"/>
              <w:jc w:val="right"/>
              <w:rPr>
                <w:color w:themeColor="text1" w:val="000000"/>
                <w:sz w:val="24"/>
              </w:rPr>
            </w:pPr>
            <w:r w:rsidRPr="00C370E0">
              <w:rPr>
                <w:color w:themeColor="text1" w:val="000000"/>
                <w:sz w:val="24"/>
              </w:rPr>
              <w:t/>
            </w:r>
            <w:proofErr w:type="spellStart"/>
            <w:r w:rsidRPr="00C370E0">
              <w:rPr>
                <w:color w:themeColor="text1" w:val="000000"/>
                <w:sz w:val="24"/>
              </w:rPr>
              <w:t/>
            </w:r>
            <w:r w:rsidRPr="00C370E0">
              <w:rPr>
                <w:color w:themeColor="text1" w:val="000000"/>
                <w:sz w:val="24"/>
              </w:rPr>
              <w:lastRenderedPageBreak/>
              <w:t/>
            </w:r>
            <w:proofErr w:type="spellEnd"/>
            <w:r w:rsidRPr="00C370E0">
              <w:rPr>
                <w:color w:themeColor="text1" w:val="000000"/>
                <w:sz w:val="24"/>
              </w:rPr>
              <w:t>81.16</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Pr>
                <w:rFonts w:hint="eastAsia"/>
                <w:color w:val="000000"/>
                <w:kern w:val="0"/>
                <w:sz w:val="24"/>
              </w:rPr>
              <w:lastRenderedPageBreak/>
              <w:t>3</w:t>
            </w: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固定收益投资</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其中：债券</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p>
        </w:tc>
        <w:tc>
          <w:tcPr>
            <w:tcW w:type="dxa" w:w="3357"/>
            <w:vAlign w:val="center"/>
          </w:tcPr>
          <w:p w:rsidP="00191B35" w:rsidR="00D60C95" w:rsidRDefault="00D60C95" w:rsidRPr="00232B03">
            <w:pPr>
              <w:autoSpaceDE w:val="0"/>
              <w:autoSpaceDN w:val="0"/>
              <w:adjustRightInd w:val="0"/>
              <w:spacing w:before="29" w:line="360" w:lineRule="auto"/>
              <w:ind w:left="17"/>
              <w:jc w:val="left"/>
              <w:rPr>
                <w:color w:val="000000"/>
                <w:kern w:val="0"/>
                <w:sz w:val="24"/>
              </w:rPr>
            </w:pPr>
            <w:r w:rsidRPr="00232B03">
              <w:rPr>
                <w:color w:val="000000"/>
                <w:kern w:val="0"/>
                <w:sz w:val="24"/>
              </w:rPr>
              <w:t>资产支持证券</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w:t>
            </w:r>
          </w:p>
        </w:tc>
      </w:tr>
      <w:tr w:rsidR="00D60C95" w:rsidRPr="00264E55" w:rsidTr="00191B35">
        <w:trPr>
          <w:jc w:val="center"/>
        </w:trPr>
        <w:tc>
          <w:tcPr>
            <w:tcW w:type="dxa" w:w="720"/>
          </w:tcPr>
          <w:p w:rsidP="00191B35" w:rsidR="00D60C95" w:rsidRDefault="00D60C95" w:rsidRPr="00232B03">
            <w:pPr>
              <w:spacing w:before="29" w:line="360" w:lineRule="auto"/>
              <w:ind w:left="17"/>
              <w:jc w:val="center"/>
              <w:rPr>
                <w:color w:val="000000"/>
                <w:kern w:val="0"/>
                <w:sz w:val="24"/>
              </w:rPr>
            </w:pPr>
            <w:r>
              <w:rPr>
                <w:rFonts w:hint="eastAsia"/>
                <w:color w:val="000000"/>
                <w:kern w:val="0"/>
                <w:sz w:val="24"/>
              </w:rPr>
              <w:t>4</w:t>
            </w:r>
          </w:p>
        </w:tc>
        <w:tc>
          <w:tcPr>
            <w:tcW w:type="dxa" w:w="3357"/>
          </w:tcPr>
          <w:p w:rsidP="00191B35" w:rsidR="00D60C95" w:rsidRDefault="00D60C95" w:rsidRPr="00232B03">
            <w:pPr>
              <w:spacing w:before="29" w:line="360" w:lineRule="auto"/>
              <w:ind w:left="105" w:leftChars="50"/>
              <w:rPr>
                <w:color w:val="000000"/>
                <w:kern w:val="0"/>
                <w:sz w:val="24"/>
              </w:rPr>
            </w:pPr>
            <w:r w:rsidRPr="00232B03">
              <w:rPr>
                <w:color w:val="000000"/>
                <w:kern w:val="0"/>
                <w:sz w:val="24"/>
              </w:rPr>
              <w:t>贵金属投资</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Pr>
                <w:rFonts w:hint="eastAsia"/>
                <w:color w:val="000000"/>
                <w:kern w:val="0"/>
                <w:sz w:val="24"/>
              </w:rPr>
              <w:t>5</w:t>
            </w:r>
          </w:p>
        </w:tc>
        <w:tc>
          <w:tcPr>
            <w:tcW w:type="dxa" w:w="3357"/>
            <w:vAlign w:val="center"/>
          </w:tcPr>
          <w:p w:rsidP="00191B35" w:rsidR="00D60C95" w:rsidRDefault="00D60C95" w:rsidRPr="00232B03">
            <w:pPr>
              <w:spacing w:before="29" w:line="360" w:lineRule="auto"/>
              <w:ind w:left="17"/>
              <w:jc w:val="left"/>
              <w:rPr>
                <w:color w:val="000000"/>
                <w:kern w:val="0"/>
                <w:sz w:val="24"/>
              </w:rPr>
            </w:pPr>
            <w:r w:rsidRPr="00232B03">
              <w:rPr>
                <w:color w:val="000000"/>
                <w:kern w:val="0"/>
                <w:sz w:val="24"/>
              </w:rPr>
              <w:t>金融衍生</w:t>
            </w:r>
            <w:proofErr w:type="gramStart"/>
            <w:r w:rsidRPr="00232B03">
              <w:rPr>
                <w:color w:val="000000"/>
                <w:kern w:val="0"/>
                <w:sz w:val="24"/>
              </w:rPr>
              <w:t>品投资</w:t>
            </w:r>
            <w:proofErr w:type="gramEnd"/>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r w:rsidRPr="00232B03">
              <w:rPr>
                <w:color w:val="000000"/>
                <w:kern w:val="0"/>
                <w:sz w:val="24"/>
              </w:rPr>
              <w:lastRenderedPageBreak/>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Pr>
                <w:rFonts w:hint="eastAsia"/>
                <w:color w:val="000000"/>
                <w:kern w:val="0"/>
                <w:sz w:val="24"/>
              </w:rPr>
              <w:lastRenderedPageBreak/>
              <w:t>6</w:t>
            </w: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买入返售金融资产</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其中：买断式回购的买入返售金融资产</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Pr>
                <w:rFonts w:hint="eastAsia"/>
                <w:color w:val="000000"/>
                <w:kern w:val="0"/>
                <w:sz w:val="24"/>
              </w:rPr>
              <w:t>7</w:t>
            </w:r>
          </w:p>
        </w:tc>
        <w:tc>
          <w:tcPr>
            <w:tcW w:type="dxa" w:w="3357"/>
            <w:vAlign w:val="center"/>
          </w:tcPr>
          <w:p w:rsidP="00191B35" w:rsidR="00D60C95" w:rsidRDefault="00D60C95" w:rsidRPr="00232B03">
            <w:pPr>
              <w:spacing w:before="29" w:line="360" w:lineRule="auto"/>
              <w:ind w:left="17"/>
              <w:jc w:val="left"/>
              <w:rPr>
                <w:kern w:val="0"/>
                <w:sz w:val="24"/>
              </w:rPr>
            </w:pPr>
            <w:r w:rsidRPr="00232B03">
              <w:rPr>
                <w:color w:val="000000"/>
                <w:kern w:val="0"/>
                <w:sz w:val="24"/>
              </w:rPr>
              <w:t>银行存款和结算备付金合计</w:t>
            </w:r>
          </w:p>
        </w:tc>
        <w:tc>
          <w:tcPr>
            <w:tcW w:type="dxa" w:w="2977"/>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40,769,732.79</w:t>
            </w:r>
          </w:p>
        </w:tc>
        <w:tc>
          <w:tcPr>
            <w:tcW w:type="dxa" w:w="1843"/>
            <w:vAlign w:val="center"/>
          </w:tcPr>
          <w:p w:rsidP="00191B35" w:rsidR="00D60C95" w:rsidRDefault="00D60C95" w:rsidRPr="00232B03">
            <w:pPr>
              <w:spacing w:before="29" w:line="360" w:lineRule="auto"/>
              <w:ind w:left="17"/>
              <w:jc w:val="right"/>
              <w:rPr>
                <w:color w:val="000000"/>
                <w:kern w:val="0"/>
                <w:sz w:val="24"/>
              </w:rPr>
            </w:pPr>
            <w:r w:rsidRPr="00232B03">
              <w:rPr>
                <w:color w:val="000000"/>
                <w:kern w:val="0"/>
                <w:sz w:val="24"/>
              </w:rPr>
              <w:t>14.95</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t/>
            </w:r>
            <w:r>
              <w:rPr>
                <w:rFonts w:hint="eastAsia"/>
                <w:color w:val="000000"/>
                <w:kern w:val="0"/>
                <w:sz w:val="24"/>
              </w:rPr>
              <w:t/>
            </w:r>
            <w:r w:rsidRPr="00232B03">
              <w:rPr>
                <w:color w:val="000000"/>
                <w:kern w:val="0"/>
                <w:sz w:val="24"/>
              </w:rPr>
              <w:lastRenderedPageBreak/>
              <w:t>8</w:t>
            </w:r>
          </w:p>
        </w:tc>
        <w:tc>
          <w:tcPr>
            <w:tcW w:type="dxa" w:w="3357"/>
            <w:vAlign w:val="center"/>
          </w:tcPr>
          <w:p w:rsidP="00191B35" w:rsidR="00D60C95" w:rsidRDefault="00D60C95" w:rsidRPr="00232B03">
            <w:pPr>
              <w:jc w:val="left"/>
              <w:rPr>
                <w:kern w:val="0"/>
                <w:sz w:val="24"/>
              </w:rPr>
            </w:pPr>
            <w:r w:rsidRPr="00232B03">
              <w:rPr>
                <w:color w:val="000000"/>
                <w:kern w:val="0"/>
                <w:sz w:val="24"/>
              </w:rPr>
              <w:lastRenderedPageBreak/>
              <w:t>其他资产</w:t>
            </w:r>
          </w:p>
        </w:tc>
        <w:tc>
          <w:tcPr>
            <w:tcW w:type="dxa" w:w="2977"/>
            <w:vAlign w:val="center"/>
          </w:tcPr>
          <w:p w:rsidP="00191B35" w:rsidR="00D60C95" w:rsidRDefault="00D60C95" w:rsidRPr="00232B03">
            <w:pPr>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10,589,908.41</w:t>
            </w:r>
          </w:p>
        </w:tc>
        <w:tc>
          <w:tcPr>
            <w:tcW w:type="dxa" w:w="1843"/>
            <w:vAlign w:val="center"/>
          </w:tcPr>
          <w:p w:rsidP="00191B35" w:rsidR="00D60C95" w:rsidRDefault="00D60C95" w:rsidRPr="00232B03">
            <w:pPr>
              <w:jc w:val="right"/>
              <w:rPr>
                <w:color w:val="000000"/>
                <w:kern w:val="0"/>
                <w:sz w:val="24"/>
              </w:rPr>
            </w:pPr>
            <w:r w:rsidRPr="00232B03">
              <w:rPr>
                <w:color w:val="000000"/>
                <w:kern w:val="0"/>
                <w:sz w:val="24"/>
              </w:rPr>
              <w:t/>
            </w:r>
            <w:proofErr w:type="spellStart"/>
            <w:r w:rsidRPr="00232B03">
              <w:rPr>
                <w:color w:val="000000"/>
                <w:kern w:val="0"/>
                <w:sz w:val="24"/>
              </w:rPr>
              <w:t/>
            </w:r>
            <w:r w:rsidRPr="00232B03">
              <w:rPr>
                <w:color w:val="000000"/>
                <w:kern w:val="0"/>
                <w:sz w:val="24"/>
              </w:rPr>
              <w:lastRenderedPageBreak/>
              <w:t/>
            </w:r>
            <w:proofErr w:type="spellEnd"/>
            <w:r w:rsidRPr="00232B03">
              <w:rPr>
                <w:color w:val="000000"/>
                <w:kern w:val="0"/>
                <w:sz w:val="24"/>
              </w:rPr>
              <w:t>3.88</w:t>
            </w:r>
          </w:p>
        </w:tc>
      </w:tr>
      <w:tr w:rsidR="00D60C95" w:rsidRPr="00264E55" w:rsidTr="00191B35">
        <w:trPr>
          <w:jc w:val="center"/>
        </w:trPr>
        <w:tc>
          <w:tcPr>
            <w:tcW w:type="dxa" w:w="720"/>
            <w:vAlign w:val="center"/>
          </w:tcPr>
          <w:p w:rsidP="00191B35" w:rsidR="00D60C95" w:rsidRDefault="00D60C95" w:rsidRPr="00232B03">
            <w:pPr>
              <w:spacing w:before="29" w:line="360" w:lineRule="auto"/>
              <w:ind w:left="17"/>
              <w:jc w:val="center"/>
              <w:rPr>
                <w:color w:val="000000"/>
                <w:kern w:val="0"/>
                <w:sz w:val="24"/>
              </w:rPr>
            </w:pPr>
            <w:r w:rsidRPr="00232B03">
              <w:rPr>
                <w:color w:val="000000"/>
                <w:kern w:val="0"/>
                <w:sz w:val="24"/>
              </w:rPr>
              <w:lastRenderedPageBreak/>
              <w:t/>
            </w:r>
            <w:r>
              <w:rPr>
                <w:rFonts w:hint="eastAsia"/>
                <w:color w:val="000000"/>
                <w:kern w:val="0"/>
                <w:sz w:val="24"/>
              </w:rPr>
              <w:t/>
            </w:r>
            <w:r w:rsidRPr="00232B03">
              <w:rPr>
                <w:color w:val="000000"/>
                <w:kern w:val="0"/>
                <w:sz w:val="24"/>
              </w:rPr>
              <w:t>9</w:t>
            </w:r>
          </w:p>
        </w:tc>
        <w:tc>
          <w:tcPr>
            <w:tcW w:type="dxa" w:w="3357"/>
            <w:vAlign w:val="center"/>
          </w:tcPr>
          <w:p w:rsidP="00191B35" w:rsidR="00D60C95" w:rsidRDefault="00D60C95" w:rsidRPr="00232B03">
            <w:pPr>
              <w:jc w:val="left"/>
              <w:rPr>
                <w:kern w:val="0"/>
                <w:sz w:val="24"/>
              </w:rPr>
            </w:pPr>
            <w:r w:rsidRPr="00232B03">
              <w:rPr>
                <w:color w:val="000000"/>
                <w:kern w:val="0"/>
                <w:sz w:val="24"/>
              </w:rPr>
              <w:t>合计</w:t>
            </w:r>
          </w:p>
        </w:tc>
        <w:tc>
          <w:tcPr>
            <w:tcW w:type="dxa" w:w="2977"/>
            <w:vAlign w:val="center"/>
          </w:tcPr>
          <w:p w:rsidP="00191B35" w:rsidR="00D60C95" w:rsidRDefault="00D60C95" w:rsidRPr="00232B03">
            <w:pPr>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272,636,098.53</w:t>
            </w:r>
          </w:p>
        </w:tc>
        <w:tc>
          <w:tcPr>
            <w:tcW w:type="dxa" w:w="1843"/>
            <w:vAlign w:val="center"/>
          </w:tcPr>
          <w:p w:rsidP="00191B35" w:rsidR="00D60C95" w:rsidRDefault="00D60C95" w:rsidRPr="00232B03">
            <w:pPr>
              <w:jc w:val="right"/>
              <w:rPr>
                <w:color w:val="000000"/>
                <w:kern w:val="0"/>
                <w:sz w:val="24"/>
              </w:rPr>
            </w:pPr>
            <w:r w:rsidRPr="00232B03">
              <w:rPr>
                <w:color w:val="000000"/>
                <w:kern w:val="0"/>
                <w:sz w:val="24"/>
              </w:rPr>
              <w:t/>
            </w:r>
            <w:proofErr w:type="spellStart"/>
            <w:r w:rsidRPr="00232B03">
              <w:rPr>
                <w:color w:val="000000"/>
                <w:kern w:val="0"/>
                <w:sz w:val="24"/>
              </w:rPr>
              <w:t/>
            </w:r>
            <w:proofErr w:type="spellEnd"/>
            <w:r w:rsidRPr="00232B03">
              <w:rPr>
                <w:color w:val="000000"/>
                <w:kern w:val="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lastRenderedPageBreak/>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p w:rsidP="006A1153" w:rsidR="00F016DD" w:rsidRDefault="006A115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00730025">
        <w:rPr>
          <w:rFonts w:ascii="宋体" w:hint="eastAsia"/>
          <w:b/>
          <w:bCs/>
          <w:color w:val="000000"/>
          <w:kern w:val="0"/>
          <w:sz w:val="24"/>
        </w:rPr>
        <w:t xml:space="preserve"> </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00730025">
        <w:rPr>
          <w:rFonts w:ascii="宋体" w:cs="Arial" w:hAnsi="宋体" w:hint="eastAsia"/>
          <w:b/>
          <w:color w:val="000000"/>
          <w:kern w:val="0"/>
          <w:sz w:val="24"/>
        </w:rPr>
        <w:t xml:space="preserve">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lastRenderedPageBreak/>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00730025">
        <w:rPr>
          <w:rFonts w:ascii="宋体" w:hint="eastAsia"/>
          <w:b/>
          <w:sz w:val="24"/>
        </w:rPr>
        <w:t xml:space="preserve"> </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00730025">
        <w:rPr>
          <w:rFonts w:ascii="宋体" w:hAnsi="宋体" w:hint="eastAsia"/>
          <w:b/>
          <w:sz w:val="24"/>
        </w:rPr>
        <w:t xml:space="preserve"> </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00730025">
        <w:rPr>
          <w:rFonts w:ascii="宋体" w:cs="Arial" w:hAnsi="宋体" w:hint="eastAsia"/>
          <w:b/>
          <w:kern w:val="0"/>
          <w:sz w:val="24"/>
        </w:rPr>
        <w:t xml:space="preserve"> </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报告期内本基金投资的前十名证券的发行主体未被监管部门立案调查，在本报告编制日前一年内本基金投资的前十名证券的发行主体未受到公开谴责、处罚。</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lastRenderedPageBreak/>
        <w:t/>
      </w:r>
      <w:proofErr w:type="gramStart"/>
      <w:r w:rsidRPr="00414367">
        <w:rPr>
          <w:kern w:val="0"/>
          <w:sz w:val="24"/>
        </w:rPr>
        <w:t/>
      </w:r>
      <w:proofErr w:type="gramEnd"/>
      <w:r w:rsidRPr="00414367">
        <w:rPr>
          <w:kern w:val="0"/>
          <w:sz w:val="24"/>
        </w:rPr>
        <w:t>5.11.3</w:t>
      </w:r>
      <w:r w:rsidR="00730025">
        <w:rPr>
          <w:rFonts w:hint="eastAsia"/>
          <w:kern w:val="0"/>
          <w:sz w:val="24"/>
        </w:rPr>
        <w:t xml:space="preserve"> </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9,853,770.85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2,784.67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733,352.89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10,589,908.41</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00730025">
        <w:rPr>
          <w:rFonts w:ascii="宋体" w:cs="Arial" w:hAnsi="宋体" w:hint="eastAsia"/>
          <w:kern w:val="0"/>
          <w:sz w:val="24"/>
        </w:rPr>
        <w:t xml:space="preserve"> </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00730025">
        <w:rPr>
          <w:rFonts w:ascii="宋体" w:cs="Arial" w:hAnsi="宋体" w:hint="eastAsia"/>
          <w:kern w:val="0"/>
          <w:sz w:val="24"/>
        </w:rPr>
        <w:t xml:space="preserve"> </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本基金本报告期末未持有股票。</w:t>
      </w:r>
    </w:p>
    <w:p w:rsidP="00217D7A" w:rsidR="00217D7A" w:rsidRDefault="00217D7A" w:rsidRPr="00823B4F">
      <w:pPr>
        <w:pStyle w:val="1"/>
        <w:spacing w:after="312" w:afterLines="100" w:before="312" w:beforeLines="100" w:line="360" w:lineRule="auto"/>
        <w:jc w:val="center"/>
        <w:rPr>
          <w:rFonts w:ascii="宋体" w:cs="Arial" w:hAnsi="宋体"/>
          <w:color w:val="000000"/>
          <w:kern w:val="0"/>
          <w:sz w:val="24"/>
          <w:szCs w:val="24"/>
        </w:rPr>
      </w:pPr>
      <w:bookmarkStart w:id="2" w:name="OLE_LINK6"/>
      <w:r w:rsidRPr="00823B4F">
        <w:rPr>
          <w:rFonts w:ascii="宋体" w:cs="Arial" w:hAnsi="宋体"/>
          <w:color w:val="000000"/>
          <w:kern w:val="0"/>
          <w:sz w:val="24"/>
          <w:szCs w:val="24"/>
        </w:rPr>
        <w:t/>
      </w:r>
      <w:proofErr w:type="spellStart"/>
      <w:r w:rsidRPr="00823B4F">
        <w:rPr>
          <w:rFonts w:ascii="宋体" w:cs="Arial" w:hAnsi="宋体"/>
          <w:color w:val="000000"/>
          <w:kern w:val="0"/>
          <w:sz w:val="24"/>
          <w:szCs w:val="24"/>
        </w:rPr>
        <w:t/>
      </w:r>
      <w:proofErr w:type="spellEnd"/>
      <w:r w:rsidRPr="00823B4F">
        <w:rPr>
          <w:rFonts w:ascii="宋体" w:cs="Arial" w:hAnsi="宋体"/>
          <w:color w:val="000000"/>
          <w:kern w:val="0"/>
          <w:sz w:val="24"/>
          <w:szCs w:val="24"/>
        </w:rPr>
        <w:t>§6  基金中基金</w:t>
      </w:r>
    </w:p>
    <w:p w:rsidP="00217D7A" w:rsidR="00217D7A" w:rsidRDefault="00217D7A" w:rsidRPr="006A5FB3">
      <w:pPr>
        <w:autoSpaceDE w:val="0"/>
        <w:autoSpaceDN w:val="0"/>
        <w:adjustRightInd w:val="0"/>
        <w:spacing w:line="360" w:lineRule="auto"/>
        <w:jc w:val="left"/>
        <w:rPr>
          <w:color w:val="000000"/>
          <w:sz w:val="24"/>
        </w:rPr>
      </w:pPr>
      <w:r w:rsidRPr="006A5FB3">
        <w:rPr>
          <w:color w:val="000000"/>
          <w:sz w:val="24"/>
        </w:rPr>
        <w:t/>
      </w:r>
      <w:proofErr w:type="spellStart"/>
      <w:r w:rsidRPr="006A5FB3">
        <w:rPr>
          <w:color w:val="000000"/>
          <w:sz w:val="24"/>
        </w:rPr>
        <w:t/>
      </w:r>
      <w:proofErr w:type="spellEnd"/>
      <w:r w:rsidRPr="006A5FB3">
        <w:rPr>
          <w:color w:val="000000"/>
          <w:sz w:val="24"/>
        </w:rPr>
        <w:t/>
      </w:r>
      <w:proofErr w:type="gramStart"/>
      <w:r w:rsidRPr="006A5FB3">
        <w:rPr>
          <w:color w:val="000000"/>
          <w:sz w:val="24"/>
        </w:rPr>
        <w:t/>
      </w:r>
      <w:proofErr w:type="gramEnd"/>
      <w:r w:rsidRPr="006A5FB3">
        <w:rPr>
          <w:color w:val="000000"/>
          <w:sz w:val="24"/>
        </w:rPr>
        <w:t xml:space="preserve">6.1 </w:t>
      </w:r>
      <w:r w:rsidRPr="006A5FB3">
        <w:rPr>
          <w:color w:val="000000"/>
          <w:sz w:val="24"/>
        </w:rPr>
        <w:t>报告期末按公允价值占基金资产净值比例大小排序的前十名基金投资明细</w:t>
      </w:r>
    </w:p>
    <w:tbl>
      <w:tblPr>
        <w:tblStyle w:val="af2"/>
        <w:tblW w:type="pct" w:w="4863"/>
        <w:tblInd w:type="dxa" w:w="108"/>
        <w:tblLayout w:type="fixed"/>
        <w:tblLook w:firstColumn="1" w:firstRow="1" w:lastColumn="0" w:lastRow="0" w:noHBand="0" w:noVBand="1" w:val="04A0"/>
      </w:tblPr>
      <w:tblGrid>
        <w:gridCol w:w="709"/>
        <w:gridCol w:w="1132"/>
        <w:gridCol w:w="1135"/>
        <w:gridCol w:w="1135"/>
        <w:gridCol w:w="1134"/>
        <w:gridCol w:w="1276"/>
        <w:gridCol w:w="1135"/>
        <w:gridCol w:w="1132"/>
      </w:tblGrid>
      <w:tr w:rsidR="00217D7A" w:rsidRPr="006A5FB3" w:rsidTr="00191B35">
        <w:tc>
          <w:tcPr>
            <w:tcW w:type="pct" w:w="403"/>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序号</w:t>
            </w:r>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
        </w:tc>
        <w:tc>
          <w:tcPr>
            <w:tcW w:type="pct" w:w="644"/>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基金代码</w:t>
            </w:r>
          </w:p>
        </w:tc>
        <w:tc>
          <w:tcPr>
            <w:tcW w:type="pct" w:w="646"/>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基金名称</w:t>
            </w:r>
          </w:p>
        </w:tc>
        <w:tc>
          <w:tcPr>
            <w:tcW w:type="pct" w:w="646"/>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运作方式</w:t>
            </w:r>
          </w:p>
        </w:tc>
        <w:tc>
          <w:tcPr>
            <w:tcW w:type="pct" w:w="645"/>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持有份额（份）</w:t>
            </w:r>
          </w:p>
        </w:tc>
        <w:tc>
          <w:tcPr>
            <w:tcW w:type="pct" w:w="726"/>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公允价值（元）</w:t>
            </w:r>
          </w:p>
        </w:tc>
        <w:tc>
          <w:tcPr>
            <w:tcW w:type="pct" w:w="646"/>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占基金资产净值比例（</w:t>
            </w:r>
            <w:r w:rsidRPr="006A5FB3">
              <w:rPr>
                <w:rFonts w:ascii="Times New Roman" w:cs="Times New Roman" w:hAnsi="Times New Roman"/>
              </w:rPr>
              <w:t>%</w:t>
            </w:r>
            <w:r w:rsidRPr="006A5FB3">
              <w:rPr>
                <w:rFonts w:ascii="Times New Roman" w:cs="Times New Roman" w:hAnsi="Times New Roman"/>
              </w:rPr>
              <w:t>）</w:t>
            </w:r>
          </w:p>
        </w:tc>
        <w:tc>
          <w:tcPr>
            <w:tcW w:type="pct" w:w="645"/>
            <w:vAlign w:val="center"/>
          </w:tcPr>
          <w:p w:rsidP="00191B35" w:rsidR="00217D7A" w:rsidRDefault="00217D7A"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是否属于基金管理人及管理人关联方所管理的基金</w:t>
            </w:r>
          </w:p>
        </w:tc>
      </w:tr>
      <w:tr>
        <w:tc>
          <w:tcPr>
            <w:vAlign w:val="center"/>
          </w:tcPr>
          <w:p>
            <w:pPr>
              <w:jc w:val="center"/>
            </w:pPr>
            <w:r>
              <w:rPr>
                <w:sz w:val="24"/>
              </w:rPr>
              <w:t>1</w:t>
            </w:r>
          </w:p>
        </w:tc>
        <w:tc>
          <w:tcPr>
            <w:vAlign w:val="center"/>
          </w:tcPr>
          <w:p>
            <w:pPr>
              <w:jc w:val="center"/>
            </w:pPr>
            <w:r>
              <w:rPr>
                <w:sz w:val="24"/>
              </w:rPr>
              <w:t>000147</w:t>
            </w:r>
          </w:p>
        </w:tc>
        <w:tc>
          <w:tcPr>
            <w:vAlign w:val="center"/>
          </w:tcPr>
          <w:p>
            <w:pPr>
              <w:jc w:val="center"/>
            </w:pPr>
            <w:r>
              <w:rPr>
                <w:sz w:val="24"/>
              </w:rPr>
              <w:t>易方达高等级信用债债券A</w:t>
            </w:r>
          </w:p>
        </w:tc>
        <w:tc>
          <w:tcPr>
            <w:vAlign w:val="center"/>
          </w:tcPr>
          <w:p>
            <w:pPr>
              <w:jc w:val="center"/>
            </w:pPr>
            <w:r>
              <w:rPr>
                <w:sz w:val="24"/>
              </w:rPr>
              <w:t>契约型开放式</w:t>
            </w:r>
          </w:p>
        </w:tc>
        <w:tc>
          <w:tcPr>
            <w:vAlign w:val="center"/>
          </w:tcPr>
          <w:p>
            <w:pPr>
              <w:jc w:val="center"/>
            </w:pPr>
            <w:r>
              <w:rPr>
                <w:sz w:val="24"/>
              </w:rPr>
              <w:t>17,380,037.68</w:t>
            </w:r>
          </w:p>
        </w:tc>
        <w:tc>
          <w:tcPr>
            <w:vAlign w:val="center"/>
          </w:tcPr>
          <w:p>
            <w:pPr>
              <w:jc w:val="center"/>
            </w:pPr>
            <w:r>
              <w:rPr>
                <w:sz w:val="24"/>
              </w:rPr>
              <w:t>19,361,361.98</w:t>
            </w:r>
          </w:p>
        </w:tc>
        <w:tc>
          <w:tcPr>
            <w:vAlign w:val="center"/>
          </w:tcPr>
          <w:p>
            <w:pPr>
              <w:jc w:val="center"/>
            </w:pPr>
            <w:r>
              <w:rPr>
                <w:sz w:val="24"/>
              </w:rPr>
              <w:t>7.11%</w:t>
            </w:r>
          </w:p>
        </w:tc>
        <w:tc>
          <w:tcPr>
            <w:vAlign w:val="center"/>
          </w:tcPr>
          <w:p>
            <w:pPr>
              <w:jc w:val="center"/>
            </w:pPr>
            <w:r>
              <w:rPr>
                <w:sz w:val="24"/>
              </w:rPr>
              <w:t>是</w:t>
            </w:r>
          </w:p>
        </w:tc>
      </w:tr>
      <w:tr>
        <w:tc>
          <w:tcPr>
            <w:vAlign w:val="center"/>
          </w:tcPr>
          <w:p>
            <w:pPr>
              <w:jc w:val="center"/>
            </w:pPr>
            <w:r>
              <w:rPr>
                <w:sz w:val="24"/>
              </w:rPr>
              <w:t>2</w:t>
            </w:r>
          </w:p>
        </w:tc>
        <w:tc>
          <w:tcPr>
            <w:vAlign w:val="center"/>
          </w:tcPr>
          <w:p>
            <w:pPr>
              <w:jc w:val="center"/>
            </w:pPr>
            <w:r>
              <w:rPr>
                <w:sz w:val="24"/>
              </w:rPr>
              <w:t>519152</w:t>
            </w:r>
          </w:p>
        </w:tc>
        <w:tc>
          <w:tcPr>
            <w:vAlign w:val="center"/>
          </w:tcPr>
          <w:p>
            <w:pPr>
              <w:jc w:val="center"/>
            </w:pPr>
            <w:r>
              <w:rPr>
                <w:sz w:val="24"/>
              </w:rPr>
              <w:t>新华纯债添利债券发起A</w:t>
            </w:r>
          </w:p>
        </w:tc>
        <w:tc>
          <w:tcPr>
            <w:vAlign w:val="center"/>
          </w:tcPr>
          <w:p>
            <w:pPr>
              <w:jc w:val="center"/>
            </w:pPr>
            <w:r>
              <w:rPr>
                <w:sz w:val="24"/>
              </w:rPr>
              <w:t>契约型开放式</w:t>
            </w:r>
          </w:p>
        </w:tc>
        <w:tc>
          <w:tcPr>
            <w:vAlign w:val="center"/>
          </w:tcPr>
          <w:p>
            <w:pPr>
              <w:jc w:val="center"/>
            </w:pPr>
            <w:r>
              <w:rPr>
                <w:sz w:val="24"/>
              </w:rPr>
              <w:t>10,303,355.04</w:t>
            </w:r>
          </w:p>
        </w:tc>
        <w:tc>
          <w:tcPr>
            <w:vAlign w:val="center"/>
          </w:tcPr>
          <w:p>
            <w:pPr>
              <w:jc w:val="center"/>
            </w:pPr>
            <w:r>
              <w:rPr>
                <w:sz w:val="24"/>
              </w:rPr>
              <w:t>12,552,577.45</w:t>
            </w:r>
          </w:p>
        </w:tc>
        <w:tc>
          <w:tcPr>
            <w:vAlign w:val="center"/>
          </w:tcPr>
          <w:p>
            <w:pPr>
              <w:jc w:val="center"/>
            </w:pPr>
            <w:r>
              <w:rPr>
                <w:sz w:val="24"/>
              </w:rPr>
              <w:t>4.61%</w:t>
            </w:r>
          </w:p>
        </w:tc>
        <w:tc>
          <w:tcPr>
            <w:vAlign w:val="center"/>
          </w:tcPr>
          <w:p>
            <w:pPr>
              <w:jc w:val="center"/>
            </w:pPr>
            <w:r>
              <w:rPr>
                <w:sz w:val="24"/>
              </w:rPr>
              <w:t>否</w:t>
            </w:r>
          </w:p>
        </w:tc>
      </w:tr>
      <w:tr>
        <w:tc>
          <w:tcPr>
            <w:vAlign w:val="center"/>
          </w:tcPr>
          <w:p>
            <w:pPr>
              <w:jc w:val="center"/>
            </w:pPr>
            <w:r>
              <w:rPr>
                <w:sz w:val="24"/>
              </w:rPr>
              <w:t>3</w:t>
            </w:r>
          </w:p>
        </w:tc>
        <w:tc>
          <w:tcPr>
            <w:vAlign w:val="center"/>
          </w:tcPr>
          <w:p>
            <w:pPr>
              <w:jc w:val="center"/>
            </w:pPr>
            <w:r>
              <w:rPr>
                <w:sz w:val="24"/>
              </w:rPr>
              <w:t>000205</w:t>
            </w:r>
          </w:p>
        </w:tc>
        <w:tc>
          <w:tcPr>
            <w:vAlign w:val="center"/>
          </w:tcPr>
          <w:p>
            <w:pPr>
              <w:jc w:val="center"/>
            </w:pPr>
            <w:r>
              <w:rPr>
                <w:sz w:val="24"/>
              </w:rPr>
              <w:t>易方达投资级信用债债券A</w:t>
            </w:r>
          </w:p>
        </w:tc>
        <w:tc>
          <w:tcPr>
            <w:vAlign w:val="center"/>
          </w:tcPr>
          <w:p>
            <w:pPr>
              <w:jc w:val="center"/>
            </w:pPr>
            <w:r>
              <w:rPr>
                <w:sz w:val="24"/>
              </w:rPr>
              <w:t>契约型开放式</w:t>
            </w:r>
          </w:p>
        </w:tc>
        <w:tc>
          <w:tcPr>
            <w:vAlign w:val="center"/>
          </w:tcPr>
          <w:p>
            <w:pPr>
              <w:jc w:val="center"/>
            </w:pPr>
            <w:r>
              <w:rPr>
                <w:sz w:val="24"/>
              </w:rPr>
              <w:t>8,659,884.30</w:t>
            </w:r>
          </w:p>
        </w:tc>
        <w:tc>
          <w:tcPr>
            <w:vAlign w:val="center"/>
          </w:tcPr>
          <w:p>
            <w:pPr>
              <w:jc w:val="center"/>
            </w:pPr>
            <w:r>
              <w:rPr>
                <w:sz w:val="24"/>
              </w:rPr>
              <w:t>9,889,587.87</w:t>
            </w:r>
          </w:p>
        </w:tc>
        <w:tc>
          <w:tcPr>
            <w:vAlign w:val="center"/>
          </w:tcPr>
          <w:p>
            <w:pPr>
              <w:jc w:val="center"/>
            </w:pPr>
            <w:r>
              <w:rPr>
                <w:sz w:val="24"/>
              </w:rPr>
              <w:t>3.63%</w:t>
            </w:r>
          </w:p>
        </w:tc>
        <w:tc>
          <w:tcPr>
            <w:vAlign w:val="center"/>
          </w:tcPr>
          <w:p>
            <w:pPr>
              <w:jc w:val="center"/>
            </w:pPr>
            <w:r>
              <w:rPr>
                <w:sz w:val="24"/>
              </w:rPr>
              <w:t>是</w:t>
            </w:r>
          </w:p>
        </w:tc>
      </w:tr>
      <w:tr>
        <w:tc>
          <w:tcPr>
            <w:vAlign w:val="center"/>
          </w:tcPr>
          <w:p>
            <w:pPr>
              <w:jc w:val="center"/>
            </w:pPr>
            <w:r>
              <w:rPr>
                <w:sz w:val="24"/>
              </w:rPr>
              <w:t>4</w:t>
            </w:r>
          </w:p>
        </w:tc>
        <w:tc>
          <w:tcPr>
            <w:vAlign w:val="center"/>
          </w:tcPr>
          <w:p>
            <w:pPr>
              <w:jc w:val="center"/>
            </w:pPr>
            <w:r>
              <w:rPr>
                <w:sz w:val="24"/>
              </w:rPr>
              <w:t>000914</w:t>
            </w:r>
          </w:p>
        </w:tc>
        <w:tc>
          <w:tcPr>
            <w:vAlign w:val="center"/>
          </w:tcPr>
          <w:p>
            <w:pPr>
              <w:jc w:val="center"/>
            </w:pPr>
            <w:r>
              <w:rPr>
                <w:sz w:val="24"/>
              </w:rPr>
              <w:t>中加纯债债券</w:t>
            </w:r>
          </w:p>
        </w:tc>
        <w:tc>
          <w:tcPr>
            <w:vAlign w:val="center"/>
          </w:tcPr>
          <w:p>
            <w:pPr>
              <w:jc w:val="center"/>
            </w:pPr>
            <w:r>
              <w:rPr>
                <w:sz w:val="24"/>
              </w:rPr>
              <w:t>契约型开放式</w:t>
            </w:r>
          </w:p>
        </w:tc>
        <w:tc>
          <w:tcPr>
            <w:vAlign w:val="center"/>
          </w:tcPr>
          <w:p>
            <w:pPr>
              <w:jc w:val="center"/>
            </w:pPr>
            <w:r>
              <w:rPr>
                <w:sz w:val="24"/>
              </w:rPr>
              <w:t>9,170,029.35</w:t>
            </w:r>
          </w:p>
        </w:tc>
        <w:tc>
          <w:tcPr>
            <w:vAlign w:val="center"/>
          </w:tcPr>
          <w:p>
            <w:pPr>
              <w:jc w:val="center"/>
            </w:pPr>
            <w:r>
              <w:rPr>
                <w:sz w:val="24"/>
              </w:rPr>
              <w:t>9,449,715.25</w:t>
            </w:r>
          </w:p>
        </w:tc>
        <w:tc>
          <w:tcPr>
            <w:vAlign w:val="center"/>
          </w:tcPr>
          <w:p>
            <w:pPr>
              <w:jc w:val="center"/>
            </w:pPr>
            <w:r>
              <w:rPr>
                <w:sz w:val="24"/>
              </w:rPr>
              <w:t>3.47%</w:t>
            </w:r>
          </w:p>
        </w:tc>
        <w:tc>
          <w:tcPr>
            <w:vAlign w:val="center"/>
          </w:tcPr>
          <w:p>
            <w:pPr>
              <w:jc w:val="center"/>
            </w:pPr>
            <w:r>
              <w:rPr>
                <w:sz w:val="24"/>
              </w:rPr>
              <w:t>否</w:t>
            </w:r>
          </w:p>
        </w:tc>
      </w:tr>
      <w:tr>
        <w:tc>
          <w:tcPr>
            <w:vAlign w:val="center"/>
          </w:tcPr>
          <w:p>
            <w:pPr>
              <w:jc w:val="center"/>
            </w:pPr>
            <w:r>
              <w:rPr>
                <w:sz w:val="24"/>
              </w:rPr>
              <w:t>5</w:t>
            </w:r>
          </w:p>
        </w:tc>
        <w:tc>
          <w:tcPr>
            <w:vAlign w:val="center"/>
          </w:tcPr>
          <w:p>
            <w:pPr>
              <w:jc w:val="center"/>
            </w:pPr>
            <w:r>
              <w:rPr>
                <w:sz w:val="24"/>
              </w:rPr>
              <w:t>003293</w:t>
            </w:r>
          </w:p>
        </w:tc>
        <w:tc>
          <w:tcPr>
            <w:vAlign w:val="center"/>
          </w:tcPr>
          <w:p>
            <w:pPr>
              <w:jc w:val="center"/>
            </w:pPr>
            <w:r>
              <w:rPr>
                <w:sz w:val="24"/>
              </w:rPr>
              <w:t>易方达科瑞灵活配置混合</w:t>
            </w:r>
          </w:p>
        </w:tc>
        <w:tc>
          <w:tcPr>
            <w:vAlign w:val="center"/>
          </w:tcPr>
          <w:p>
            <w:pPr>
              <w:jc w:val="center"/>
            </w:pPr>
            <w:r>
              <w:rPr>
                <w:sz w:val="24"/>
              </w:rPr>
              <w:t>契约型开放式</w:t>
            </w:r>
          </w:p>
        </w:tc>
        <w:tc>
          <w:tcPr>
            <w:vAlign w:val="center"/>
          </w:tcPr>
          <w:p>
            <w:pPr>
              <w:jc w:val="center"/>
            </w:pPr>
            <w:r>
              <w:rPr>
                <w:sz w:val="24"/>
              </w:rPr>
              <w:t>5,718,194.20</w:t>
            </w:r>
          </w:p>
        </w:tc>
        <w:tc>
          <w:tcPr>
            <w:vAlign w:val="center"/>
          </w:tcPr>
          <w:p>
            <w:pPr>
              <w:jc w:val="center"/>
            </w:pPr>
            <w:r>
              <w:rPr>
                <w:sz w:val="24"/>
              </w:rPr>
              <w:t>8,385,731.79</w:t>
            </w:r>
          </w:p>
        </w:tc>
        <w:tc>
          <w:tcPr>
            <w:vAlign w:val="center"/>
          </w:tcPr>
          <w:p>
            <w:pPr>
              <w:jc w:val="center"/>
            </w:pPr>
            <w:r>
              <w:rPr>
                <w:sz w:val="24"/>
              </w:rPr>
              <w:t>3.08%</w:t>
            </w:r>
          </w:p>
        </w:tc>
        <w:tc>
          <w:tcPr>
            <w:vAlign w:val="center"/>
          </w:tcPr>
          <w:p>
            <w:pPr>
              <w:jc w:val="center"/>
            </w:pPr>
            <w:r>
              <w:rPr>
                <w:sz w:val="24"/>
              </w:rPr>
              <w:t>是</w:t>
            </w:r>
          </w:p>
        </w:tc>
      </w:tr>
      <w:tr>
        <w:tc>
          <w:tcPr>
            <w:vAlign w:val="center"/>
          </w:tcPr>
          <w:p>
            <w:pPr>
              <w:jc w:val="center"/>
            </w:pPr>
            <w:r>
              <w:rPr>
                <w:sz w:val="24"/>
              </w:rPr>
              <w:t>6</w:t>
            </w:r>
          </w:p>
        </w:tc>
        <w:tc>
          <w:tcPr>
            <w:vAlign w:val="center"/>
          </w:tcPr>
          <w:p>
            <w:pPr>
              <w:jc w:val="center"/>
            </w:pPr>
            <w:r>
              <w:rPr>
                <w:sz w:val="24"/>
              </w:rPr>
              <w:t>000404</w:t>
            </w:r>
          </w:p>
        </w:tc>
        <w:tc>
          <w:tcPr>
            <w:vAlign w:val="center"/>
          </w:tcPr>
          <w:p>
            <w:pPr>
              <w:jc w:val="center"/>
            </w:pPr>
            <w:r>
              <w:rPr>
                <w:sz w:val="24"/>
              </w:rPr>
              <w:t>易方达新兴成长混合</w:t>
            </w:r>
          </w:p>
        </w:tc>
        <w:tc>
          <w:tcPr>
            <w:vAlign w:val="center"/>
          </w:tcPr>
          <w:p>
            <w:pPr>
              <w:jc w:val="center"/>
            </w:pPr>
            <w:r>
              <w:rPr>
                <w:sz w:val="24"/>
              </w:rPr>
              <w:t>契约型开放式</w:t>
            </w:r>
          </w:p>
        </w:tc>
        <w:tc>
          <w:tcPr>
            <w:vAlign w:val="center"/>
          </w:tcPr>
          <w:p>
            <w:pPr>
              <w:jc w:val="center"/>
            </w:pPr>
            <w:r>
              <w:rPr>
                <w:sz w:val="24"/>
              </w:rPr>
              <w:t>1,504,335.45</w:t>
            </w:r>
          </w:p>
        </w:tc>
        <w:tc>
          <w:tcPr>
            <w:vAlign w:val="center"/>
          </w:tcPr>
          <w:p>
            <w:pPr>
              <w:jc w:val="center"/>
            </w:pPr>
            <w:r>
              <w:rPr>
                <w:sz w:val="24"/>
              </w:rPr>
              <w:t>6,179,810.03</w:t>
            </w:r>
          </w:p>
        </w:tc>
        <w:tc>
          <w:tcPr>
            <w:vAlign w:val="center"/>
          </w:tcPr>
          <w:p>
            <w:pPr>
              <w:jc w:val="center"/>
            </w:pPr>
            <w:r>
              <w:rPr>
                <w:sz w:val="24"/>
              </w:rPr>
              <w:t>2.27%</w:t>
            </w:r>
          </w:p>
        </w:tc>
        <w:tc>
          <w:tcPr>
            <w:vAlign w:val="center"/>
          </w:tcPr>
          <w:p>
            <w:pPr>
              <w:jc w:val="center"/>
            </w:pPr>
            <w:r>
              <w:rPr>
                <w:sz w:val="24"/>
              </w:rPr>
              <w:t>是</w:t>
            </w:r>
          </w:p>
        </w:tc>
      </w:tr>
      <w:tr>
        <w:tc>
          <w:tcPr>
            <w:vAlign w:val="center"/>
          </w:tcPr>
          <w:p>
            <w:pPr>
              <w:jc w:val="center"/>
            </w:pPr>
            <w:r>
              <w:rPr>
                <w:sz w:val="24"/>
              </w:rPr>
              <w:t>7</w:t>
            </w:r>
          </w:p>
        </w:tc>
        <w:tc>
          <w:tcPr>
            <w:vAlign w:val="center"/>
          </w:tcPr>
          <w:p>
            <w:pPr>
              <w:jc w:val="center"/>
            </w:pPr>
            <w:r>
              <w:rPr>
                <w:sz w:val="24"/>
              </w:rPr>
              <w:t>519688</w:t>
            </w:r>
          </w:p>
        </w:tc>
        <w:tc>
          <w:tcPr>
            <w:vAlign w:val="center"/>
          </w:tcPr>
          <w:p>
            <w:pPr>
              <w:jc w:val="center"/>
            </w:pPr>
            <w:r>
              <w:rPr>
                <w:sz w:val="24"/>
              </w:rPr>
              <w:t>交银精选混合</w:t>
            </w:r>
          </w:p>
        </w:tc>
        <w:tc>
          <w:tcPr>
            <w:vAlign w:val="center"/>
          </w:tcPr>
          <w:p>
            <w:pPr>
              <w:jc w:val="center"/>
            </w:pPr>
            <w:r>
              <w:rPr>
                <w:sz w:val="24"/>
              </w:rPr>
              <w:t>契约型开放式</w:t>
            </w:r>
          </w:p>
        </w:tc>
        <w:tc>
          <w:tcPr>
            <w:vAlign w:val="center"/>
          </w:tcPr>
          <w:p>
            <w:pPr>
              <w:jc w:val="center"/>
            </w:pPr>
            <w:r>
              <w:rPr>
                <w:sz w:val="24"/>
              </w:rPr>
              <w:t>6,261,264.94</w:t>
            </w:r>
          </w:p>
        </w:tc>
        <w:tc>
          <w:tcPr>
            <w:vAlign w:val="center"/>
          </w:tcPr>
          <w:p>
            <w:pPr>
              <w:jc w:val="center"/>
            </w:pPr>
            <w:r>
              <w:rPr>
                <w:sz w:val="24"/>
              </w:rPr>
              <w:t>6,171,102.72</w:t>
            </w:r>
          </w:p>
        </w:tc>
        <w:tc>
          <w:tcPr>
            <w:vAlign w:val="center"/>
          </w:tcPr>
          <w:p>
            <w:pPr>
              <w:jc w:val="center"/>
            </w:pPr>
            <w:r>
              <w:rPr>
                <w:sz w:val="24"/>
              </w:rPr>
              <w:t>2.27%</w:t>
            </w:r>
          </w:p>
        </w:tc>
        <w:tc>
          <w:tcPr>
            <w:vAlign w:val="center"/>
          </w:tcPr>
          <w:p>
            <w:pPr>
              <w:jc w:val="center"/>
            </w:pPr>
            <w:r>
              <w:rPr>
                <w:sz w:val="24"/>
              </w:rPr>
              <w:t>否</w:t>
            </w:r>
          </w:p>
        </w:tc>
      </w:tr>
      <w:tr>
        <w:tc>
          <w:tcPr>
            <w:vAlign w:val="center"/>
          </w:tcPr>
          <w:p>
            <w:pPr>
              <w:jc w:val="center"/>
            </w:pPr>
            <w:r>
              <w:rPr>
                <w:sz w:val="24"/>
              </w:rPr>
              <w:t>8</w:t>
            </w:r>
          </w:p>
        </w:tc>
        <w:tc>
          <w:tcPr>
            <w:vAlign w:val="center"/>
          </w:tcPr>
          <w:p>
            <w:pPr>
              <w:jc w:val="center"/>
            </w:pPr>
            <w:r>
              <w:rPr>
                <w:sz w:val="24"/>
              </w:rPr>
              <w:t>005827</w:t>
            </w:r>
          </w:p>
        </w:tc>
        <w:tc>
          <w:tcPr>
            <w:vAlign w:val="center"/>
          </w:tcPr>
          <w:p>
            <w:pPr>
              <w:jc w:val="center"/>
            </w:pPr>
            <w:r>
              <w:rPr>
                <w:sz w:val="24"/>
              </w:rPr>
              <w:t>易方达蓝筹精选混合</w:t>
            </w:r>
          </w:p>
        </w:tc>
        <w:tc>
          <w:tcPr>
            <w:vAlign w:val="center"/>
          </w:tcPr>
          <w:p>
            <w:pPr>
              <w:jc w:val="center"/>
            </w:pPr>
            <w:r>
              <w:rPr>
                <w:sz w:val="24"/>
              </w:rPr>
              <w:t>契约型开放式</w:t>
            </w:r>
          </w:p>
        </w:tc>
        <w:tc>
          <w:tcPr>
            <w:vAlign w:val="center"/>
          </w:tcPr>
          <w:p>
            <w:pPr>
              <w:jc w:val="center"/>
            </w:pPr>
            <w:r>
              <w:rPr>
                <w:sz w:val="24"/>
              </w:rPr>
              <w:t>3,106,559.59</w:t>
            </w:r>
          </w:p>
        </w:tc>
        <w:tc>
          <w:tcPr>
            <w:vAlign w:val="center"/>
          </w:tcPr>
          <w:p>
            <w:pPr>
              <w:jc w:val="center"/>
            </w:pPr>
            <w:r>
              <w:rPr>
                <w:sz w:val="24"/>
              </w:rPr>
              <w:t>6,112,777.31</w:t>
            </w:r>
          </w:p>
        </w:tc>
        <w:tc>
          <w:tcPr>
            <w:vAlign w:val="center"/>
          </w:tcPr>
          <w:p>
            <w:pPr>
              <w:jc w:val="center"/>
            </w:pPr>
            <w:r>
              <w:rPr>
                <w:sz w:val="24"/>
              </w:rPr>
              <w:t>2.24%</w:t>
            </w:r>
          </w:p>
        </w:tc>
        <w:tc>
          <w:tcPr>
            <w:vAlign w:val="center"/>
          </w:tcPr>
          <w:p>
            <w:pPr>
              <w:jc w:val="center"/>
            </w:pPr>
            <w:r>
              <w:rPr>
                <w:sz w:val="24"/>
              </w:rPr>
              <w:t>是</w:t>
            </w:r>
          </w:p>
        </w:tc>
      </w:tr>
      <w:tr>
        <w:tc>
          <w:tcPr>
            <w:vAlign w:val="center"/>
          </w:tcPr>
          <w:p>
            <w:pPr>
              <w:jc w:val="center"/>
            </w:pPr>
            <w:r>
              <w:rPr>
                <w:sz w:val="24"/>
              </w:rPr>
              <w:t>9</w:t>
            </w:r>
          </w:p>
        </w:tc>
        <w:tc>
          <w:tcPr>
            <w:vAlign w:val="center"/>
          </w:tcPr>
          <w:p>
            <w:pPr>
              <w:jc w:val="center"/>
            </w:pPr>
            <w:r>
              <w:rPr>
                <w:sz w:val="24"/>
              </w:rPr>
              <w:t>005176</w:t>
            </w:r>
          </w:p>
        </w:tc>
        <w:tc>
          <w:tcPr>
            <w:vAlign w:val="center"/>
          </w:tcPr>
          <w:p>
            <w:pPr>
              <w:jc w:val="center"/>
            </w:pPr>
            <w:r>
              <w:rPr>
                <w:sz w:val="24"/>
              </w:rPr>
              <w:t>富国精准医疗灵活配置混合</w:t>
            </w:r>
          </w:p>
        </w:tc>
        <w:tc>
          <w:tcPr>
            <w:vAlign w:val="center"/>
          </w:tcPr>
          <w:p>
            <w:pPr>
              <w:jc w:val="center"/>
            </w:pPr>
            <w:r>
              <w:rPr>
                <w:sz w:val="24"/>
              </w:rPr>
              <w:t>契约型开放式</w:t>
            </w:r>
          </w:p>
        </w:tc>
        <w:tc>
          <w:tcPr>
            <w:vAlign w:val="center"/>
          </w:tcPr>
          <w:p>
            <w:pPr>
              <w:jc w:val="center"/>
            </w:pPr>
            <w:r>
              <w:rPr>
                <w:sz w:val="24"/>
              </w:rPr>
              <w:t>2,079,970.04</w:t>
            </w:r>
          </w:p>
        </w:tc>
        <w:tc>
          <w:tcPr>
            <w:vAlign w:val="center"/>
          </w:tcPr>
          <w:p>
            <w:pPr>
              <w:jc w:val="center"/>
            </w:pPr>
            <w:r>
              <w:rPr>
                <w:sz w:val="24"/>
              </w:rPr>
              <w:t>6,046,680.90</w:t>
            </w:r>
          </w:p>
        </w:tc>
        <w:tc>
          <w:tcPr>
            <w:vAlign w:val="center"/>
          </w:tcPr>
          <w:p>
            <w:pPr>
              <w:jc w:val="center"/>
            </w:pPr>
            <w:r>
              <w:rPr>
                <w:sz w:val="24"/>
              </w:rPr>
              <w:t>2.22%</w:t>
            </w:r>
          </w:p>
        </w:tc>
        <w:tc>
          <w:tcPr>
            <w:vAlign w:val="center"/>
          </w:tcPr>
          <w:p>
            <w:pPr>
              <w:jc w:val="center"/>
            </w:pPr>
            <w:r>
              <w:rPr>
                <w:sz w:val="24"/>
              </w:rPr>
              <w:t>否</w:t>
            </w:r>
          </w:p>
        </w:tc>
      </w:tr>
      <w:tr>
        <w:tc>
          <w:tcPr>
            <w:vAlign w:val="center"/>
          </w:tcPr>
          <w:p>
            <w:pPr>
              <w:jc w:val="center"/>
            </w:pPr>
            <w:r>
              <w:rPr>
                <w:sz w:val="24"/>
              </w:rPr>
              <w:t>10</w:t>
            </w:r>
          </w:p>
        </w:tc>
        <w:tc>
          <w:tcPr>
            <w:vAlign w:val="center"/>
          </w:tcPr>
          <w:p>
            <w:pPr>
              <w:jc w:val="center"/>
            </w:pPr>
            <w:r>
              <w:rPr>
                <w:sz w:val="24"/>
              </w:rPr>
              <w:t>001856</w:t>
            </w:r>
          </w:p>
        </w:tc>
        <w:tc>
          <w:tcPr>
            <w:vAlign w:val="center"/>
          </w:tcPr>
          <w:p>
            <w:pPr>
              <w:jc w:val="center"/>
            </w:pPr>
            <w:r>
              <w:rPr>
                <w:sz w:val="24"/>
              </w:rPr>
              <w:t>易方达环保主题混合</w:t>
            </w:r>
          </w:p>
        </w:tc>
        <w:tc>
          <w:tcPr>
            <w:vAlign w:val="center"/>
          </w:tcPr>
          <w:p>
            <w:pPr>
              <w:jc w:val="center"/>
            </w:pPr>
            <w:r>
              <w:rPr>
                <w:sz w:val="24"/>
              </w:rPr>
              <w:t>契约型开放式</w:t>
            </w:r>
          </w:p>
        </w:tc>
        <w:tc>
          <w:tcPr>
            <w:vAlign w:val="center"/>
          </w:tcPr>
          <w:p>
            <w:pPr>
              <w:jc w:val="center"/>
            </w:pPr>
            <w:r>
              <w:rPr>
                <w:sz w:val="24"/>
              </w:rPr>
              <w:t>3,052,122.24</w:t>
            </w:r>
          </w:p>
        </w:tc>
        <w:tc>
          <w:tcPr>
            <w:vAlign w:val="center"/>
          </w:tcPr>
          <w:p>
            <w:pPr>
              <w:jc w:val="center"/>
            </w:pPr>
            <w:r>
              <w:rPr>
                <w:sz w:val="24"/>
              </w:rPr>
              <w:t>6,034,045.67</w:t>
            </w:r>
          </w:p>
        </w:tc>
        <w:tc>
          <w:tcPr>
            <w:vAlign w:val="center"/>
          </w:tcPr>
          <w:p>
            <w:pPr>
              <w:jc w:val="center"/>
            </w:pPr>
            <w:r>
              <w:rPr>
                <w:sz w:val="24"/>
              </w:rPr>
              <w:t>2.22%</w:t>
            </w:r>
          </w:p>
        </w:tc>
        <w:tc>
          <w:tcPr>
            <w:vAlign w:val="center"/>
          </w:tcPr>
          <w:p>
            <w:pPr>
              <w:jc w:val="center"/>
            </w:pPr>
            <w:r>
              <w:rPr>
                <w:sz w:val="24"/>
              </w:rPr>
              <w:t>是</w:t>
            </w:r>
          </w:p>
        </w:tc>
      </w:tr>
    </w:tbl>
    <w:p w:rsidP="00217D7A" w:rsidR="00217D7A" w:rsidRDefault="00217D7A" w:rsidRPr="006A5FB3">
      <w:pPr>
        <w:autoSpaceDE w:val="0"/>
        <w:autoSpaceDN w:val="0"/>
        <w:adjustRightInd w:val="0"/>
        <w:spacing w:line="360" w:lineRule="auto"/>
        <w:jc w:val="left"/>
        <w:rPr>
          <w:color w:val="000000"/>
          <w:sz w:val="24"/>
        </w:rPr>
      </w:pPr>
      <w:r w:rsidRPr="006A5FB3">
        <w:rPr>
          <w:color w:val="000000"/>
          <w:sz w:val="24"/>
        </w:rPr>
        <w:t/>
      </w:r>
      <w:proofErr w:type="spellStart"/>
      <w:r w:rsidRPr="006A5FB3">
        <w:rPr>
          <w:color w:val="000000"/>
          <w:sz w:val="24"/>
        </w:rPr>
        <w:t/>
      </w:r>
      <w:proofErr w:type="spellEnd"/>
      <w:r w:rsidRPr="006A5FB3">
        <w:rPr>
          <w:color w:val="000000"/>
          <w:sz w:val="24"/>
        </w:rPr>
        <w:t/>
      </w:r>
      <w:proofErr w:type="gramStart"/>
      <w:r w:rsidRPr="006A5FB3">
        <w:rPr>
          <w:color w:val="000000"/>
          <w:sz w:val="24"/>
        </w:rPr>
        <w:t/>
      </w:r>
      <w:proofErr w:type="gramEnd"/>
      <w:r w:rsidRPr="006A5FB3">
        <w:rPr>
          <w:color w:val="000000"/>
          <w:sz w:val="24"/>
        </w:rPr>
        <w:t xml:space="preserve">6.2 </w:t>
      </w:r>
      <w:r w:rsidRPr="006A5FB3">
        <w:rPr>
          <w:color w:val="000000"/>
          <w:sz w:val="24"/>
        </w:rPr>
        <w:t>当期交易及持有基金产生的费用</w:t>
      </w:r>
    </w:p>
    <w:tbl>
      <w:tblPr>
        <w:tblStyle w:val="af2"/>
        <w:tblW w:type="dxa" w:w="8364"/>
        <w:tblInd w:type="dxa" w:w="108"/>
        <w:tblLayout w:type="fixed"/>
        <w:tblLook w:firstColumn="1" w:firstRow="1" w:lastColumn="0" w:lastRow="0" w:noHBand="0" w:noVBand="1" w:val="04A0"/>
      </w:tblPr>
      <w:tblGrid>
        <w:gridCol w:w="2410"/>
        <w:gridCol w:w="2835"/>
        <w:gridCol w:w="3119"/>
      </w:tblGrid>
      <w:tr w:rsidR="00217D7A" w:rsidRPr="006A5FB3" w:rsidTr="00191B35">
        <w:tc>
          <w:tcPr>
            <w:tcW w:type="dxa" w:w="2410"/>
            <w:vAlign w:val="center"/>
          </w:tcPr>
          <w:p w:rsidP="00217D7A" w:rsidR="00217D7A" w:rsidRDefault="00217D7A" w:rsidRPr="006A5FB3">
            <w:pPr>
              <w:adjustRightInd w:val="0"/>
              <w:snapToGrid w:val="0"/>
              <w:spacing w:before="156" w:beforeLines="50"/>
              <w:jc w:val="center"/>
              <w:rPr>
                <w:color w:themeColor="text1" w:val="000000"/>
                <w:sz w:val="24"/>
              </w:rPr>
            </w:pPr>
            <w:r w:rsidRPr="006A5FB3">
              <w:rPr>
                <w:sz w:val="24"/>
              </w:rPr>
              <w:lastRenderedPageBreak/>
              <w:t>项目</w:t>
            </w:r>
            <w:r w:rsidRPr="006A5FB3">
              <w:rPr>
                <w:color w:themeColor="text1" w:val="000000"/>
                <w:sz w:val="24"/>
              </w:rPr>
              <w:t/>
            </w:r>
            <w:proofErr w:type="spellStart"/>
            <w:r w:rsidRPr="006A5FB3">
              <w:rPr>
                <w:color w:themeColor="text1" w:val="000000"/>
                <w:sz w:val="24"/>
              </w:rPr>
              <w:t/>
            </w:r>
            <w:proofErr w:type="spellEnd"/>
            <w:r w:rsidRPr="006A5FB3">
              <w:rPr>
                <w:color w:themeColor="text1" w:val="000000"/>
                <w:sz w:val="24"/>
              </w:rPr>
              <w:t/>
            </w:r>
          </w:p>
        </w:tc>
        <w:tc>
          <w:tcPr>
            <w:tcW w:type="dxa" w:w="2835"/>
            <w:vAlign w:val="center"/>
          </w:tcPr>
          <w:p w:rsidP="00191B35" w:rsidR="00217D7A" w:rsidRDefault="00217D7A">
            <w:pPr>
              <w:jc w:val="center"/>
              <w:rPr>
                <w:sz w:val="24"/>
              </w:rPr>
            </w:pPr>
            <w:r w:rsidRPr="006A5FB3">
              <w:rPr>
                <w:sz w:val="24"/>
              </w:rPr>
              <w:t>本期费用</w:t>
            </w:r>
          </w:p>
          <w:p w:rsidP="00191B35" w:rsidR="00217D7A" w:rsidRDefault="00217D7A" w:rsidRPr="006A5FB3">
            <w:pPr>
              <w:jc w:val="center"/>
              <w:rPr>
                <w:sz w:val="24"/>
              </w:rPr>
            </w:pPr>
            <w:r>
              <w:rPr>
                <w:rFonts w:eastAsiaTheme="minorEastAsia"/>
              </w:rPr>
              <w:t/>
            </w:r>
            <w:proofErr w:type="spellStart"/>
            <w:r>
              <w:rPr>
                <w:rFonts w:eastAsiaTheme="minorEastAsia"/>
              </w:rPr>
              <w:t/>
            </w:r>
            <w:proofErr w:type="spellEnd"/>
            <w:r>
              <w:rPr>
                <w:rFonts w:eastAsiaTheme="minorEastAsia"/>
              </w:rPr>
              <w:t>2020年4月9日（基金合同生效日）</w:t>
            </w:r>
            <w:r>
              <w:rPr>
                <w:rFonts w:eastAsiaTheme="minorEastAsia" w:hint="eastAsia"/>
              </w:rPr>
              <w:t>至</w:t>
            </w:r>
            <w:r>
              <w:rPr>
                <w:rFonts w:eastAsiaTheme="minorEastAsia"/>
              </w:rPr>
              <w:t/>
            </w:r>
            <w:proofErr w:type="spellStart"/>
            <w:r>
              <w:rPr>
                <w:rFonts w:eastAsiaTheme="minorEastAsia"/>
              </w:rPr>
              <w:t/>
            </w:r>
            <w:proofErr w:type="spellEnd"/>
            <w:r>
              <w:rPr>
                <w:rFonts w:eastAsiaTheme="minorEastAsia"/>
              </w:rPr>
              <w:t>2020年6月30日</w:t>
            </w:r>
          </w:p>
        </w:tc>
        <w:tc>
          <w:tcPr>
            <w:tcW w:type="dxa" w:w="3119"/>
            <w:vAlign w:val="center"/>
          </w:tcPr>
          <w:p w:rsidP="00191B35" w:rsidR="00217D7A" w:rsidRDefault="00217D7A" w:rsidRPr="006A5FB3">
            <w:pPr>
              <w:jc w:val="center"/>
              <w:rPr>
                <w:sz w:val="24"/>
              </w:rPr>
            </w:pPr>
            <w:r w:rsidRPr="006A5FB3">
              <w:rPr>
                <w:sz w:val="24"/>
              </w:rPr>
              <w:t>其中：交易及持有基金管理人以及管理人关联方所管理基金产生的费用</w:t>
            </w:r>
          </w:p>
        </w:tc>
      </w:tr>
      <w:tr w:rsidR="00217D7A" w:rsidRPr="006A5FB3" w:rsidTr="00191B35">
        <w:tc>
          <w:tcPr>
            <w:tcW w:type="dxa" w:w="2410"/>
            <w:vAlign w:val="center"/>
          </w:tcPr>
          <w:p w:rsidP="00217D7A" w:rsidR="00217D7A" w:rsidRDefault="00217D7A" w:rsidRPr="006A5FB3">
            <w:pPr>
              <w:adjustRightInd w:val="0"/>
              <w:snapToGrid w:val="0"/>
              <w:spacing w:before="156" w:beforeLines="50"/>
              <w:rPr>
                <w:color w:themeColor="text1" w:val="000000"/>
                <w:sz w:val="24"/>
              </w:rPr>
            </w:pPr>
            <w:r w:rsidRPr="006A5FB3">
              <w:rPr>
                <w:sz w:val="24"/>
              </w:rPr>
              <w:t>当期交易基金产生的申购费（元）</w:t>
            </w:r>
          </w:p>
        </w:tc>
        <w:tc>
          <w:tcPr>
            <w:tcW w:type="dxa" w:w="2835"/>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
            </w:r>
            <w:proofErr w:type="spellStart"/>
            <w:r w:rsidRPr="006A5FB3">
              <w:rPr>
                <w:color w:themeColor="text1" w:val="000000"/>
                <w:sz w:val="24"/>
              </w:rPr>
              <w:t/>
            </w:r>
            <w:proofErr w:type="spellEnd"/>
            <w:r w:rsidRPr="006A5FB3">
              <w:rPr>
                <w:color w:themeColor="text1" w:val="000000"/>
                <w:sz w:val="24"/>
              </w:rPr>
              <w:t>62,315.47</w:t>
            </w:r>
          </w:p>
        </w:tc>
        <w:tc>
          <w:tcPr>
            <w:tcW w:type="dxa" w:w="3119"/>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w:t>
            </w:r>
          </w:p>
        </w:tc>
      </w:tr>
      <w:tr w:rsidR="00217D7A" w:rsidRPr="006A5FB3" w:rsidTr="00191B35">
        <w:tc>
          <w:tcPr>
            <w:tcW w:type="dxa" w:w="2410"/>
            <w:vAlign w:val="center"/>
          </w:tcPr>
          <w:p w:rsidP="00217D7A" w:rsidR="00217D7A" w:rsidRDefault="00217D7A" w:rsidRPr="006A5FB3">
            <w:pPr>
              <w:adjustRightInd w:val="0"/>
              <w:snapToGrid w:val="0"/>
              <w:spacing w:before="156" w:beforeLines="50"/>
              <w:rPr>
                <w:color w:themeColor="text1" w:val="000000"/>
                <w:sz w:val="24"/>
              </w:rPr>
            </w:pPr>
            <w:r w:rsidRPr="006A5FB3">
              <w:rPr>
                <w:sz w:val="24"/>
              </w:rPr>
              <w:t>当期交易基金产生的赎回费（元）</w:t>
            </w:r>
          </w:p>
        </w:tc>
        <w:tc>
          <w:tcPr>
            <w:tcW w:type="dxa" w:w="2835"/>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
            </w:r>
            <w:proofErr w:type="spellStart"/>
            <w:r w:rsidRPr="006A5FB3">
              <w:rPr>
                <w:color w:themeColor="text1" w:val="000000"/>
                <w:sz w:val="24"/>
              </w:rPr>
              <w:t/>
            </w:r>
            <w:proofErr w:type="spellEnd"/>
            <w:r w:rsidRPr="006A5FB3">
              <w:rPr>
                <w:color w:themeColor="text1" w:val="000000"/>
                <w:sz w:val="24"/>
              </w:rPr>
              <w:t>9,863.63</w:t>
            </w:r>
          </w:p>
        </w:tc>
        <w:tc>
          <w:tcPr>
            <w:tcW w:type="dxa" w:w="3119"/>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w:t>
            </w:r>
          </w:p>
        </w:tc>
      </w:tr>
      <w:tr w:rsidR="00217D7A" w:rsidRPr="006A5FB3" w:rsidTr="00191B35">
        <w:tc>
          <w:tcPr>
            <w:tcW w:type="dxa" w:w="2410"/>
            <w:vAlign w:val="center"/>
          </w:tcPr>
          <w:p w:rsidP="00217D7A" w:rsidR="00217D7A" w:rsidRDefault="00217D7A" w:rsidRPr="006A5FB3">
            <w:pPr>
              <w:adjustRightInd w:val="0"/>
              <w:snapToGrid w:val="0"/>
              <w:spacing w:before="156" w:beforeLines="50"/>
              <w:rPr>
                <w:color w:themeColor="text1" w:val="000000"/>
                <w:sz w:val="24"/>
              </w:rPr>
            </w:pPr>
            <w:r w:rsidRPr="006A5FB3">
              <w:rPr>
                <w:sz w:val="24"/>
              </w:rPr>
              <w:t>当期持有基金产生的应支付销售服务费（元）</w:t>
            </w:r>
          </w:p>
        </w:tc>
        <w:tc>
          <w:tcPr>
            <w:tcW w:type="dxa" w:w="2835"/>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
            </w:r>
            <w:proofErr w:type="spellStart"/>
            <w:r w:rsidRPr="006A5FB3">
              <w:rPr>
                <w:color w:themeColor="text1" w:val="000000"/>
                <w:sz w:val="24"/>
              </w:rPr>
              <w:t/>
            </w:r>
            <w:proofErr w:type="spellEnd"/>
            <w:r w:rsidRPr="006A5FB3">
              <w:rPr>
                <w:color w:themeColor="text1" w:val="000000"/>
                <w:sz w:val="24"/>
              </w:rPr>
              <w:t>6,486.09</w:t>
            </w:r>
          </w:p>
        </w:tc>
        <w:tc>
          <w:tcPr>
            <w:tcW w:type="dxa" w:w="3119"/>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185.97</w:t>
            </w:r>
          </w:p>
        </w:tc>
      </w:tr>
      <w:tr w:rsidR="00217D7A" w:rsidRPr="006A5FB3" w:rsidTr="00191B35">
        <w:tc>
          <w:tcPr>
            <w:tcW w:type="dxa" w:w="2410"/>
            <w:vAlign w:val="center"/>
          </w:tcPr>
          <w:p w:rsidP="00217D7A" w:rsidR="00217D7A" w:rsidRDefault="00217D7A" w:rsidRPr="006A5FB3">
            <w:pPr>
              <w:adjustRightInd w:val="0"/>
              <w:snapToGrid w:val="0"/>
              <w:spacing w:before="156" w:beforeLines="50"/>
              <w:rPr>
                <w:color w:themeColor="text1" w:val="000000"/>
                <w:sz w:val="24"/>
              </w:rPr>
            </w:pPr>
            <w:r w:rsidRPr="006A5FB3">
              <w:rPr>
                <w:sz w:val="24"/>
              </w:rPr>
              <w:t>当期持有基金产生的应支付管理费（元）</w:t>
            </w:r>
          </w:p>
        </w:tc>
        <w:tc>
          <w:tcPr>
            <w:tcW w:type="dxa" w:w="2835"/>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
            </w:r>
            <w:proofErr w:type="spellStart"/>
            <w:r w:rsidRPr="006A5FB3">
              <w:rPr>
                <w:color w:themeColor="text1" w:val="000000"/>
                <w:sz w:val="24"/>
              </w:rPr>
              <w:t/>
            </w:r>
            <w:proofErr w:type="spellEnd"/>
            <w:r w:rsidRPr="006A5FB3">
              <w:rPr>
                <w:color w:themeColor="text1" w:val="000000"/>
                <w:sz w:val="24"/>
              </w:rPr>
              <w:t>333,202.80</w:t>
            </w:r>
          </w:p>
        </w:tc>
        <w:tc>
          <w:tcPr>
            <w:tcW w:type="dxa" w:w="3119"/>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115,614.91</w:t>
            </w:r>
          </w:p>
        </w:tc>
      </w:tr>
      <w:tr w:rsidR="00217D7A" w:rsidRPr="006A5FB3" w:rsidTr="00191B35">
        <w:tc>
          <w:tcPr>
            <w:tcW w:type="dxa" w:w="2410"/>
            <w:vAlign w:val="center"/>
          </w:tcPr>
          <w:p w:rsidP="00217D7A" w:rsidR="00217D7A" w:rsidRDefault="00217D7A" w:rsidRPr="006A5FB3">
            <w:pPr>
              <w:adjustRightInd w:val="0"/>
              <w:snapToGrid w:val="0"/>
              <w:spacing w:before="156" w:beforeLines="50"/>
              <w:rPr>
                <w:color w:themeColor="text1" w:val="000000"/>
                <w:sz w:val="24"/>
              </w:rPr>
            </w:pPr>
            <w:r w:rsidRPr="006A5FB3">
              <w:rPr>
                <w:sz w:val="24"/>
              </w:rPr>
              <w:t>当期持有基金产生的应支付托管费（元）</w:t>
            </w:r>
          </w:p>
        </w:tc>
        <w:tc>
          <w:tcPr>
            <w:tcW w:type="dxa" w:w="2835"/>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
            </w:r>
            <w:proofErr w:type="spellStart"/>
            <w:r w:rsidRPr="006A5FB3">
              <w:rPr>
                <w:color w:themeColor="text1" w:val="000000"/>
                <w:sz w:val="24"/>
              </w:rPr>
              <w:t/>
            </w:r>
            <w:proofErr w:type="spellEnd"/>
            <w:r w:rsidRPr="006A5FB3">
              <w:rPr>
                <w:color w:themeColor="text1" w:val="000000"/>
                <w:sz w:val="24"/>
              </w:rPr>
              <w:t>70,714.47</w:t>
            </w:r>
          </w:p>
        </w:tc>
        <w:tc>
          <w:tcPr>
            <w:tcW w:type="dxa" w:w="3119"/>
            <w:vAlign w:val="center"/>
          </w:tcPr>
          <w:p w:rsidP="00217D7A" w:rsidR="00217D7A" w:rsidRDefault="00217D7A" w:rsidRPr="006A5FB3">
            <w:pPr>
              <w:adjustRightInd w:val="0"/>
              <w:snapToGrid w:val="0"/>
              <w:spacing w:before="156" w:beforeLines="50"/>
              <w:jc w:val="right"/>
              <w:rPr>
                <w:color w:themeColor="text1" w:val="000000"/>
                <w:sz w:val="24"/>
              </w:rPr>
            </w:pPr>
            <w:r w:rsidRPr="006A5FB3">
              <w:rPr>
                <w:color w:themeColor="text1" w:val="000000"/>
                <w:sz w:val="24"/>
              </w:rPr>
              <w:t>24,474.48</w:t>
            </w:r>
          </w:p>
        </w:tc>
      </w:tr>
      <w:tr>
        <w:tc>
          <w:tcPr>
            <w:vAlign w:val="center"/>
          </w:tcPr>
          <w:p>
            <w:pPr>
              <w:jc w:val="left"/>
            </w:pPr>
            <w:r>
              <w:rPr>
                <w:color w:themeColor="text1" w:val="000000"/>
                <w:sz w:val="24"/>
              </w:rPr>
              <w:t>当期交易所交易基金产生的交易费（元）</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当期交易基金产生的转换费（元）</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bl>
    <w:p>
      <w:pPr>
        <w:pStyle w:val="12"/>
        <w:spacing w:line="360" w:lineRule="auto"/>
        <w:ind w:firstLine="420"/>
        <w:jc w:val="left"/>
        <w:rPr>
          <w:sz w:val="24"/>
        </w:rPr>
      </w:pPr>
      <w:r>
        <w:rPr>
          <w:sz w:val="24"/>
        </w:rPr>
        <w:t xml:space="preserve">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 </w:t>
      </w:r>
    </w:p>
    <w:p w:rsidP="00217D7A" w:rsidR="00217D7A" w:rsidRDefault="00217D7A" w:rsidRPr="006A5FB3">
      <w:pPr>
        <w:pStyle w:val="12"/>
        <w:spacing w:line="360" w:lineRule="auto"/>
        <w:ind w:firstLine="420"/>
        <w:jc w:val="left"/>
        <w:rPr>
          <w:sz w:val="24"/>
        </w:rPr>
      </w:pPr>
      <w:r w:rsidRPr="006A5FB3">
        <w:rPr>
          <w:sz w:val="24"/>
        </w:rPr>
        <w:t/>
      </w:r>
      <w:proofErr w:type="gramStart"/>
      <w:r w:rsidRPr="006A5FB3">
        <w:rPr>
          <w:sz w:val="24"/>
        </w:rPr>
        <w:t/>
      </w:r>
      <w:proofErr w:type="gramEnd"/>
      <w:r w:rsidRPr="006A5FB3">
        <w:rPr>
          <w:sz w:val="24"/>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ETF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P="00217D7A" w:rsidR="00217D7A" w:rsidRDefault="00217D7A" w:rsidRPr="006A5FB3">
      <w:pPr>
        <w:autoSpaceDE w:val="0"/>
        <w:autoSpaceDN w:val="0"/>
        <w:adjustRightInd w:val="0"/>
        <w:spacing w:line="360" w:lineRule="auto"/>
        <w:jc w:val="left"/>
        <w:rPr>
          <w:color w:val="000000"/>
          <w:sz w:val="24"/>
        </w:rPr>
      </w:pPr>
      <w:r w:rsidRPr="006A5FB3">
        <w:rPr>
          <w:color w:val="000000"/>
          <w:sz w:val="24"/>
        </w:rPr>
        <w:t/>
      </w:r>
      <w:proofErr w:type="spellStart"/>
      <w:r w:rsidRPr="006A5FB3">
        <w:rPr>
          <w:color w:val="000000"/>
          <w:sz w:val="24"/>
        </w:rPr>
        <w:t/>
      </w:r>
      <w:proofErr w:type="spellEnd"/>
      <w:r w:rsidRPr="006A5FB3">
        <w:rPr>
          <w:color w:val="000000"/>
          <w:sz w:val="24"/>
        </w:rPr>
        <w:t/>
      </w:r>
      <w:proofErr w:type="gramStart"/>
      <w:r w:rsidRPr="006A5FB3">
        <w:rPr>
          <w:color w:val="000000"/>
          <w:sz w:val="24"/>
        </w:rPr>
        <w:t/>
      </w:r>
      <w:proofErr w:type="gramEnd"/>
      <w:r w:rsidRPr="006A5FB3">
        <w:rPr>
          <w:color w:val="000000"/>
          <w:sz w:val="24"/>
        </w:rPr>
        <w:t xml:space="preserve">6.3 </w:t>
      </w:r>
      <w:r w:rsidRPr="006A5FB3">
        <w:rPr>
          <w:color w:val="000000"/>
          <w:sz w:val="24"/>
        </w:rPr>
        <w:t>本报告期持有的基金发生的重大影响事件</w:t>
      </w:r>
    </w:p>
    <w:tbl>
      <w:tblPr>
        <w:tblStyle w:val="af2"/>
        <w:tblW w:type="auto" w:w="0"/>
        <w:tblInd w:type="dxa" w:w="108"/>
        <w:tblLook w:firstColumn="1" w:firstRow="1" w:lastColumn="0" w:lastRow="0" w:noHBand="0" w:noVBand="1" w:val="04A0"/>
      </w:tblPr>
      <w:tblGrid>
        <w:gridCol w:w="8928"/>
      </w:tblGrid>
      <w:tr w:rsidR="00217D7A" w:rsidRPr="006A5FB3" w:rsidTr="00191B35">
        <w:tc>
          <w:tcPr>
            <w:tcW w:type="dxa" w:w="8789"/>
            <w:vAlign w:val="center"/>
          </w:tcPr>
          <w:p w:rsidP="00191B35" w:rsidR="00217D7A" w:rsidRDefault="00217D7A" w:rsidRPr="006A5FB3">
            <w:pPr>
              <w:autoSpaceDE w:val="0"/>
              <w:autoSpaceDN w:val="0"/>
              <w:adjustRightInd w:val="0"/>
              <w:rPr>
                <w:color w:themeColor="text1" w:val="000000"/>
                <w:sz w:val="24"/>
              </w:rPr>
            </w:pPr>
            <w:r w:rsidRPr="006A5FB3">
              <w:rPr>
                <w:color w:themeColor="text1" w:val="000000"/>
                <w:sz w:val="24"/>
              </w:rPr>
              <w:t>本基金持有的基金在报告期未发生重大影响事件。</w:t>
            </w:r>
          </w:p>
        </w:tc>
      </w:tr>
    </w:tbl>
    <w:p w:rsidP="00B54884" w:rsidR="00F016DD" w:rsidRDefault="00F016DD" w:rsidRPr="00823B4F">
      <w:pPr>
        <w:pStyle w:val="1"/>
        <w:spacing w:after="312" w:afterLines="100" w:before="312" w:beforeLines="100" w:line="360" w:lineRule="auto"/>
        <w:jc w:val="center"/>
        <w:rPr>
          <w:rFonts w:ascii="宋体" w:cs="Arial" w:hAnsi="宋体"/>
          <w:color w:val="000000"/>
          <w:kern w:val="0"/>
          <w:sz w:val="24"/>
          <w:szCs w:val="24"/>
        </w:rPr>
      </w:pPr>
      <w:r w:rsidRPr="00823B4F">
        <w:rPr>
          <w:rFonts w:ascii="宋体" w:cs="Arial" w:hAnsi="宋体" w:hint="eastAsia"/>
          <w:color w:val="000000"/>
          <w:kern w:val="0"/>
          <w:sz w:val="24"/>
          <w:szCs w:val="24"/>
        </w:rPr>
        <w:lastRenderedPageBreak/>
        <w:t>§</w:t>
      </w:r>
      <w:r w:rsidR="00435838" w:rsidRPr="00823B4F">
        <w:rPr>
          <w:rFonts w:ascii="宋体" w:cs="Arial" w:hAnsi="宋体" w:hint="eastAsia"/>
          <w:color w:val="000000"/>
          <w:kern w:val="0"/>
          <w:sz w:val="24"/>
          <w:szCs w:val="24"/>
        </w:rPr>
        <w:t>7</w:t>
      </w:r>
      <w:r w:rsidRPr="00823B4F">
        <w:rPr>
          <w:rFonts w:ascii="宋体" w:cs="Arial" w:hAnsi="宋体"/>
          <w:color w:val="000000"/>
          <w:kern w:val="0"/>
          <w:sz w:val="24"/>
          <w:szCs w:val="24"/>
        </w:rPr>
        <w:t xml:space="preserve">  </w:t>
      </w:r>
      <w:r w:rsidRPr="00823B4F">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EC3918">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易方达优选多资产三个月持有混合（FOF）A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易方达优选多资产三个月持有混合（FOF）C</w:t>
            </w:r>
          </w:p>
        </w:tc>
      </w:tr>
      <w:tr w:rsidR="00F016DD" w:rsidRPr="0078105B" w:rsidTr="00EC3918">
        <w:tc>
          <w:tcPr>
            <w:tcW w:type="dxa" w:w="3900"/>
            <w:vAlign w:val="center"/>
          </w:tcPr>
          <w:p w:rsidP="009A5C1D"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基金合同生效日基金份额总额</w:t>
            </w:r>
          </w:p>
        </w:tc>
        <w:tc>
          <w:tcPr>
            <w:tcW w:type="dxa" w:w="2367"/>
            <w:vAlign w:val="center"/>
          </w:tcPr>
          <w:p w:rsidP="009A5C1D"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204,626,090.92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49,856,347.85</w:t>
            </w:r>
          </w:p>
        </w:tc>
      </w:tr>
      <w:tr w:rsidR="00F016DD" w:rsidRPr="0078105B" w:rsidTr="00EC3918">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基金合同生效日起至报告期期末</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1,552,413.18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1,450,895.32</w:t>
            </w:r>
          </w:p>
        </w:tc>
      </w:tr>
      <w:tr w:rsidR="00F016DD" w:rsidRPr="0078105B" w:rsidTr="00EC3918">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基金合同生效日起至报告期期末</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EC3918">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基金合同生效日起至报告期期末</w:t>
            </w:r>
            <w:r w:rsidRPr="00FA472B">
              <w:rPr>
                <w:color w:val="000000"/>
                <w:kern w:val="0"/>
                <w:sz w:val="24"/>
              </w:rPr>
              <w:t>基金拆分变动份额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EC3918">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206,178,504.10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51,307,243.17</w:t>
            </w:r>
          </w:p>
        </w:tc>
      </w:tr>
    </w:tbl>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注：本基金合同生效日为2020年04月09日。</w:t>
      </w:r>
    </w:p>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00823B4F">
        <w:rPr>
          <w:rFonts w:ascii="宋体" w:cs="Arial" w:hAnsi="宋体" w:hint="eastAsia"/>
          <w:color w:val="000000"/>
          <w:kern w:val="0"/>
          <w:sz w:val="24"/>
          <w:szCs w:val="24"/>
        </w:rPr>
        <w:t/>
      </w:r>
      <w:r w:rsidRPr="00AB67DE">
        <w:rPr>
          <w:rFonts w:ascii="宋体" w:cs="Arial"/>
          <w:color w:val="000000"/>
          <w:kern w:val="0"/>
          <w:sz w:val="24"/>
          <w:szCs w:val="24"/>
        </w:rPr>
        <w:t>8</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8.1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lastRenderedPageBreak/>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8.2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9.1 影响投资者决策的其他重要信息</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本基金是基金中基金，投资于其他基金的比例不低于本基金资产的80%，被投资基金的净值变化将影响到本基金的业绩表现，被投资基金的相关风险会直接或间接成为本基金的风险。相关风险包括但不限于：</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1）被投资基金的业绩风险。本基金投资于其他基金的比例不低于基金资产的80%，因此本基金投资目标的实现建立在被投资基金本身投资目标实现的基础上。如果由于被投资基金未能实现投资目标，则本基金存在达不成投资目标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2）赎回资金到账时间较晚的风险。基金赎回的资金交收效率慢于基础证券市场交易的证券，因此本基金赎回款实际到达投资者账户的时间可能晚于普通境内开放式基金，存在对投资者资金安排造成影响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3）双重收费风险。本基金的投资范围包含全市场基金，投资于非本基金管理人管理的其他基金时，存在本基金与被投资基金各类基金费用的双重收取情况，相较于其他基金产品存在额外增加投资者投资成本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4）投资QDII基金的特有风险。本基金可投资于QDII基金，主要存在如下风险：①QDII基金主要投资境外市场，因此本基金投资QDII基金时，将间接承担境外市场波动以及汇率波动的风险；②按照目前的业务规则，QDII基金的赎回款项将在T+10内进行支付（T为赎回申请日），晚于普通境内基金的支付时间。因此，可能存在QDII基金赎回款到帐时间较晚，本基金无法及时支付投资者赎回款项的风险；③由于投资QDII基金，正常情况下，本基金将于T+2日（T日为开放日）对T日的基金资产净值进行估值，T+3日对投资人申购、赎回申请的有效性进行确认，投资人可于T+4日到销售网点柜台或以销售机构规定的其他方式查询申请的确认情况，这将导致投资者承担更长时间基金净值波动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5）投资香港互认基金的特有风险。香港互认基金是指依照香港法律在香港设立、运作和公开销售，并经中国证监会批准在内地公开销售的单位信托、互惠基金或者其他形式的集体投资计划，香港互认基金管理人委托内地符合条件的机构作为代理人办理基金在境内的相关业务。本基金可投资于香港互认基金，主要存在如下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1）香港互认基金境外投资风险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香港互认基金投资标的主要包括内地以外的其他司法管辖区（简称为“境外”）的金融工具，投资香港互认基金面临不同于内地投资标的的投资风险，包括但不限于境外投资的市场风险、政府管制风险、政治风险、法律风险、汇率风险、基金的税务风险、境外特殊标的风险等，从而可能增加本基金的投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①境外投资市场风险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境外投资受到所投资市场宏观经济运行情况、货币政策、财政政策、产业政策、税法、汇率、交易规则、结算、托管以及其他运作风险等多种因素的影响，上述因素的波动和变化可能会使香港互认基金资产面临潜在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②政府管制风险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境外市场与内地市场的管制程度和具体措施不同，当地政府可能通过对财政、货币、产业等方面的政策进行管制，由此导致市场波动而影响香港互认基金收益。</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③政治风险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因政治局势变化（如战争、罢工等）可能导致当地市场出现较大波动，从而给香港互认基金的投资收益造成直接或间接的影响。此外，香港互认基金所投资市场可能会不时采取某些管制措施，如资本或外汇管制、对公司或行业的国有化以及征收高额税收等，从而对香港互认基金收益带来不利影响。</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④法律风险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由于境外市场法律法规的颁布或变更，可能导致香港互认基金的某些投资行为受到限制，从而使得香港互认基金资产面临损失的可能。</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⑤汇率风险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香港互认基金的计价基础货币可能为美元、港币等外币, 因此, 本基金以人民币投资香港互认基金, 可能承受由于人民币兑外币的汇率波动而产生的外汇风险。外币之间的汇率变化以及换汇费用将会影响本基金的投资收益。</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⑥基金的税务风险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由于境外市场在税务方面的法律法规与内地存在一定差异，境外市场可能会要求香港互认基金就股息、利息、资本利得等收益向当地税务机构缴纳税金，该行为会使香港互认基金收益受到一定影响。此外，境外市场的税收规定可能发生变化，或者实施具有追溯力的修订，从而导致本基金在该市场缴纳额外税项，影响香港互认基金收益。</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⑦境外特殊标的风险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不同于内地证券投资基金，香港互认基金的投资标的可能包括低于投资级别或未评级的债券、其他集合投资计划、房地产投资信托基金、商品、期权、股票挂钩票据等衍生工具等。这些不同于内地的特殊投资标的存在特殊风险，可能使得香港互认基金资产面临损失。</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2）香港基金互认机制相关风险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香港互认基金在内地销售需持续满足相关法规及监管要求，如基金在运作过程中不符合互认基金的条件或香港基金互认机制终止，相关香港互认基金可能会暂停或终止在内地销售；此外，香港互认基金在内地销售还可能面临内地代理人、内地销售机构或内地登记结算机构的操作风险、技术风险，跨境数据传输和跨境资金结算的系统风险、税收风险等，从而可能增加本基金的投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①香港互认基金暂停或终止内地销售的风险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若基金管理人或互认基金不满足中国证监会规定的香港互认基金条件，或监管部门终止香港基金互认机制，相关的香港互认基金将可能无法继续在内地销售。此外，香港互认基金将受到全面的额度限制。若在内地销售的全部香港互认基金的销售额度达到中国证监会和/或香港证监会和/或国家外汇管理局和/或其他监管机构规定的额度或者不时调整的额度，香港互认基金将暂停接受内地投资者的申购申请。</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②内地代理人、内地销售机构或内地登记结算机构的操作风险、技术风险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内地投资者的申购、赎回由内地销售机构、内地代理人及/或内地登记结算机构与互认基金的基金管理人、行政管理人进行数据清算和资金交收，并由名义持有人代名持有内地投资者的基金份额。内地销售机构、内地代理人或内地登记结算机构在业务各环节操作过程中，因操作失误或违反操作规程等原因可能引致风险，可能因为技术系统的故障或者差错而影响清算交收的正常进行，或者导致投资者的利益受到影响。</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③跨境数据传输和跨境资金结算的系统风险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申购、赎回香港互认基金的数据清算和资金交收将通过内地登记结算机构的基金登记结算系统平台和基金管理人或行政管理人采用的登记结算系统平台进行传输和交换，可能会发生并非由相关参与主体的过错而导致的技术系统故障或者差错而影响清算交收的正常进行。</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④税收风险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由于中国内地与香港的税收政策存在差异，可能导致在内地销售的香港互认基金份额的资产回报有别于在香港销售的份额。同时，中国内地关于在内地销售的香港互认基金与内地普通证券投资基金之间在税收政策上也存在差异，例如香港互认基金份额转让需支付香港印花税以及份额转让定额税项，内地个人投资者从香港互认基金分配获得的收益需缴纳个人所得税等，以上税收差异可能使内地销售的互认基金份额的投资收益和回报受到影响。</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⑤名义持有人机制风险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与内地基金的注册登记规则不同，内地投资者持有的互认基金份额将由名义持有人代名持有并以名义持有人的名义登记为份额持有人。内地投资者并不会被基金注册登记机构直接登记于份额持有人登记册上。虽然在此安排下内地投资者仍是互认基金份额的实益拥有人，但名义持有人是该等基金份额法律上的拥有人。在此情况下，内地投资者与互认基金管理人、受托人并无任何直接合约关系。内地投资者对互认基金管理人及／或受托人若有任何权利主张，可通过名义持有人向互认基金管理人及／或受托人提出，相应费用由内地投资者自行承担。</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⑥强制赎回风险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对于内地销售的互认基金份额而言，若赎回部分基金份额将导致赎回后其持有的相应类别的基金份额的价值少于互认基金规定的最低持有额，互认基金管理人有权要求剩余的基金份额一并被全部赎回。除此之外，若互认基金管理人认为基金投资者继续持有互认基金份额存在违反任何法律法规、基金合同约定或其他互认基金要求（如可能对互认基金或其他基金份额持有人产生不利的监管、税务或财政后果）的情况下，互认基金管理人可以强制赎回基金投资者持有的互认基金份额。</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⑦基金份额净值计算和差错处理差异的风险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香港互认基金与内地公募基金根据适用的法规以及各自基金合同约定，其在基金份额净值计算、估值错误处理规则等方面存在差异，相应的过错责任方按基金合同约定承担赔偿责任的处理也会有所不同，由此可能增加本基金的相关投资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6）可上市交易基金的二级市场投资风险。本基金可通过二级市场进行ETF、LOF、封闭式基金的买卖交易，由此可能面临交易量不足所引起的流动性风险、交易价格与基金份额净值之间的折溢价风险以及被投资基金暂停交易或退市的风险等。</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7）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pPr>
        <w:autoSpaceDE w:val="0"/>
        <w:autoSpaceDN w:val="0"/>
        <w:adjustRightInd w:val="0"/>
        <w:spacing w:line="360" w:lineRule="auto"/>
        <w:ind w:firstLine="480" w:firstLineChars="200"/>
        <w:jc w:val="left"/>
        <w:rPr>
          <w:color w:val="000000"/>
          <w:sz w:val="24"/>
        </w:rPr>
      </w:pPr>
      <w:r>
        <w:rPr>
          <w:rFonts w:eastAsiaTheme="minorEastAsia"/>
          <w:color w:themeColor="text1" w:val="000000"/>
          <w:sz w:val="24"/>
        </w:rPr>
        <w:t>（8）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P="003F79D5" w:rsidR="00F016DD" w:rsidRDefault="00575C75" w:rsidRPr="00DF18FE">
      <w:pPr>
        <w:autoSpaceDE w:val="0"/>
        <w:autoSpaceDN w:val="0"/>
        <w:adjustRightInd w:val="0"/>
        <w:spacing w:line="360" w:lineRule="auto"/>
        <w:ind w:firstLine="480" w:firstLineChars="200"/>
        <w:jc w:val="left"/>
        <w:rPr>
          <w:color w:val="000000"/>
          <w:sz w:val="24"/>
        </w:rPr>
      </w:pPr>
      <w:r w:rsidRPr="00FC0759">
        <w:rPr>
          <w:rFonts w:eastAsiaTheme="minorEastAsia"/>
          <w:color w:themeColor="text1" w:val="000000"/>
          <w:sz w:val="24"/>
        </w:rPr>
        <w:t/>
      </w:r>
      <w:proofErr w:type="spellStart"/>
      <w:proofErr w:type="gramStart"/>
      <w:r w:rsidRPr="00FC0759">
        <w:rPr>
          <w:color w:themeColor="text1" w:val="000000"/>
          <w:sz w:val="24"/>
        </w:rPr>
        <w:t/>
      </w:r>
      <w:bookmarkStart w:id="3" w:name="_GoBack"/>
      <w:bookmarkEnd w:id="3"/>
      <w:r w:rsidRPr="00FC0759">
        <w:rPr>
          <w:color w:themeColor="text1" w:val="000000"/>
          <w:sz w:val="24"/>
        </w:rPr>
        <w:t/>
      </w:r>
      <w:proofErr w:type="spellEnd"/>
      <w:proofErr w:type="gramEnd"/>
      <w:r w:rsidRPr="00FC0759">
        <w:rPr>
          <w:rFonts w:eastAsiaTheme="minorEastAsia"/>
          <w:color w:themeColor="text1" w:val="000000"/>
          <w:sz w:val="24"/>
        </w:rPr>
        <w:t>（9）被投资基金的相关政策风险。本基金主要投资于各类其他基金，如遇国家金融政策发生重大调整，导致被投资基金的基金管理人、基金投资操作、基金运作方式发生较大变化，可能影响本基金的收益水平。</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10</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10.1</w:t>
      </w:r>
      <w:r w:rsidR="00730025">
        <w:rPr>
          <w:rFonts w:hint="eastAsia"/>
          <w:color w:val="000000"/>
          <w:kern w:val="0"/>
          <w:sz w:val="24"/>
        </w:rPr>
        <w:t xml:space="preserve"> </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1.中国证监会准予易方达优选多资产三个月持有期混合型基金中基金（FOF）注册的文件；</w:t>
      </w:r>
    </w:p>
    <w:p>
      <w:pPr>
        <w:spacing w:line="360" w:lineRule="auto"/>
        <w:ind w:firstLine="480" w:firstLineChars="200"/>
        <w:rPr>
          <w:color w:val="000000"/>
          <w:sz w:val="24"/>
        </w:rPr>
      </w:pPr>
      <w:r>
        <w:rPr>
          <w:color w:val="000000"/>
          <w:sz w:val="24"/>
        </w:rPr>
        <w:t>2.《易方达优选多资产三个月持有期混合型基金中基金（FOF）基金合同》；</w:t>
      </w:r>
    </w:p>
    <w:p>
      <w:pPr>
        <w:spacing w:line="360" w:lineRule="auto"/>
        <w:ind w:firstLine="480" w:firstLineChars="200"/>
        <w:rPr>
          <w:color w:val="000000"/>
          <w:sz w:val="24"/>
        </w:rPr>
      </w:pPr>
      <w:r>
        <w:rPr>
          <w:color w:val="000000"/>
          <w:sz w:val="24"/>
        </w:rPr>
        <w:t>3.《易方达优选多资产三个月持有期混合型基金中基金（FOF）托管协议》；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lastRenderedPageBreak/>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10.2</w:t>
      </w:r>
      <w:r w:rsidR="00730025">
        <w:rPr>
          <w:rFonts w:hint="eastAsia"/>
          <w:color w:val="000000"/>
          <w:kern w:val="0"/>
          <w:sz w:val="24"/>
        </w:rPr>
        <w:t xml:space="preserve"> </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10.3</w:t>
      </w:r>
      <w:r w:rsidR="00730025">
        <w:rPr>
          <w:rFonts w:hint="eastAsia"/>
          <w:color w:val="000000"/>
          <w:kern w:val="0"/>
          <w:sz w:val="24"/>
        </w:rPr>
        <w:t xml:space="preserve"> </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576" w:rsidRDefault="00DE1576">
      <w:r>
        <w:separator/>
      </w:r>
    </w:p>
  </w:endnote>
  <w:endnote w:type="continuationSeparator" w:id="0">
    <w:p w:rsidR="00DE1576" w:rsidRDefault="00DE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576FF5">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576FF5">
      <w:rPr>
        <w:noProof/>
        <w:szCs w:val="21"/>
      </w:rPr>
      <w:t>3</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3F79D5">
      <w:rPr>
        <w:rStyle w:val="a7"/>
        <w:noProof/>
      </w:rPr>
      <w:t>30</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DE1576" w:rsidRDefault="00DE1576">
      <w:r>
        <w:separator/>
      </w:r>
    </w:p>
  </w:footnote>
  <w:footnote w:id="0" w:type="continuationSeparator">
    <w:p w:rsidR="00DE1576" w:rsidRDefault="00DE157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易方达优选多资产三个月持有期混合型基金中基金（FOF）</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17D7A"/>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9D5"/>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35838"/>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4A86"/>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6FF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0025"/>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3B4F"/>
    <w:rsid w:val="00825570"/>
    <w:rsid w:val="00826403"/>
    <w:rsid w:val="00827990"/>
    <w:rsid w:val="00834CA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26ED"/>
    <w:rsid w:val="008E3939"/>
    <w:rsid w:val="008E3DDD"/>
    <w:rsid w:val="008F23F4"/>
    <w:rsid w:val="008F61C4"/>
    <w:rsid w:val="008F7763"/>
    <w:rsid w:val="009007CB"/>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0C95"/>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576"/>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918"/>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 w:customStyle="1" w:styleId="12" w:type="paragraph">
    <w:name w:val="正文_1"/>
    <w:qFormat/>
    <w:rsid w:val="00217D7A"/>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412</TotalTime>
  <Pages>31</Pages>
  <Words>4736</Words>
  <Characters>26997</Characters>
  <Application>Microsoft Office Word</Application>
  <DocSecurity>0</DocSecurity>
  <Lines>224</Lines>
  <Paragraphs>63</Paragraphs>
  <ScaleCrop>false</ScaleCrop>
  <Company>TRT. Ltd. Co.</Company>
  <LinksUpToDate>false</LinksUpToDate>
  <CharactersWithSpaces>31670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sirong han</cp:lastModifiedBy>
  <cp:lastPrinted>2007-07-19T00:46:00Z</cp:lastPrinted>
  <dcterms:modified xsi:type="dcterms:W3CDTF">2020-07-07T01:49:00Z</dcterms:modified>
  <cp:revision>179</cp:revision>
</cp:coreProperties>
</file>