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542546">
      <w:pPr>
        <w:spacing w:line="360" w:lineRule="auto"/>
        <w:jc w:val="center"/>
        <w:rPr>
          <w:rFonts w:ascii="宋体" w:hAnsi="宋体"/>
          <w:b/>
          <w:sz w:val="36"/>
          <w:szCs w:val="36"/>
        </w:rPr>
      </w:pPr>
      <w:r w:rsidRPr="00264E55">
        <w:rPr>
          <w:rFonts w:ascii="宋体" w:hAnsi="宋体"/>
          <w:b/>
          <w:sz w:val="36"/>
          <w:szCs w:val="36"/>
        </w:rPr>
        <w:t>易方达恒盛3个月定期开放混合型发起式证券投资基金</w:t>
      </w:r>
    </w:p>
    <w:p w:rsidR="00750D48" w:rsidRPr="00264E55" w:rsidRDefault="00750D48" w:rsidP="00542546">
      <w:pPr>
        <w:spacing w:line="360" w:lineRule="auto"/>
        <w:jc w:val="center"/>
        <w:rPr>
          <w:rFonts w:ascii="宋体" w:hAnsi="宋体"/>
          <w:b/>
          <w:sz w:val="36"/>
          <w:szCs w:val="36"/>
        </w:rPr>
      </w:pPr>
      <w:r w:rsidRPr="00264E55">
        <w:rPr>
          <w:rFonts w:ascii="宋体" w:hAnsi="宋体"/>
          <w:b/>
          <w:sz w:val="36"/>
          <w:szCs w:val="36"/>
        </w:rPr>
        <w:t>2020年第2季度报告</w:t>
      </w:r>
    </w:p>
    <w:p w:rsidR="00750D48" w:rsidRPr="00093704" w:rsidRDefault="00750D48" w:rsidP="00542546">
      <w:pPr>
        <w:spacing w:line="360" w:lineRule="auto"/>
        <w:jc w:val="center"/>
        <w:rPr>
          <w:rFonts w:ascii="宋体" w:hAnsi="宋体"/>
          <w:b/>
          <w:sz w:val="24"/>
          <w:szCs w:val="24"/>
        </w:rPr>
      </w:pPr>
      <w:r w:rsidRPr="00093704">
        <w:rPr>
          <w:rFonts w:ascii="宋体" w:hAnsi="宋体"/>
          <w:b/>
          <w:sz w:val="24"/>
          <w:szCs w:val="24"/>
        </w:rPr>
        <w:t>2020年6月30日</w:t>
      </w: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rPr>
          <w:rFonts w:ascii="宋体"/>
          <w:b/>
          <w:bCs/>
          <w:color w:val="000000"/>
          <w:sz w:val="24"/>
          <w:szCs w:val="24"/>
        </w:rPr>
      </w:pPr>
    </w:p>
    <w:p w:rsidR="00750D48" w:rsidRPr="00264E55" w:rsidRDefault="00750D48" w:rsidP="00EB572F">
      <w:pPr>
        <w:spacing w:line="360" w:lineRule="auto"/>
        <w:ind w:firstLineChars="900" w:firstLine="2168"/>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hAnsi="宋体"/>
          <w:b/>
          <w:color w:val="000000"/>
          <w:sz w:val="24"/>
          <w:szCs w:val="24"/>
        </w:rPr>
        <w:t>易方达基金管理有限公司</w:t>
      </w:r>
    </w:p>
    <w:p w:rsidR="00750D48" w:rsidRPr="00264E55" w:rsidRDefault="00750D48" w:rsidP="00EB572F">
      <w:pPr>
        <w:spacing w:line="360" w:lineRule="auto"/>
        <w:ind w:firstLineChars="900" w:firstLine="2168"/>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hAnsi="宋体"/>
          <w:b/>
          <w:color w:val="000000"/>
          <w:sz w:val="24"/>
          <w:szCs w:val="24"/>
        </w:rPr>
        <w:t>中国银行股份有限公司</w:t>
      </w:r>
    </w:p>
    <w:p w:rsidR="00750D48" w:rsidRPr="00264E55" w:rsidRDefault="00750D48" w:rsidP="00EB572F">
      <w:pPr>
        <w:spacing w:line="360" w:lineRule="auto"/>
        <w:ind w:firstLineChars="900" w:firstLine="2168"/>
        <w:rPr>
          <w:rFonts w:ascii="宋体" w:hAnsi="宋体"/>
          <w:b/>
          <w:color w:val="000000"/>
          <w:sz w:val="24"/>
          <w:szCs w:val="24"/>
        </w:rPr>
        <w:sectPr w:rsidR="00750D48" w:rsidRPr="00264E55" w:rsidSect="00304A12">
          <w:headerReference w:type="default" r:id="rId8"/>
          <w:footerReference w:type="default" r:id="rId9"/>
          <w:pgSz w:w="11926" w:h="15840"/>
          <w:pgMar w:top="1418" w:right="1418" w:bottom="851" w:left="1418" w:header="851" w:footer="992" w:gutter="0"/>
          <w:cols w:space="720"/>
          <w:noEndnote/>
        </w:sectPr>
      </w:pPr>
      <w:r w:rsidRPr="00264E55">
        <w:rPr>
          <w:rFonts w:ascii="宋体" w:hAnsi="宋体" w:hint="eastAsia"/>
          <w:b/>
          <w:color w:val="000000"/>
          <w:sz w:val="24"/>
          <w:szCs w:val="24"/>
        </w:rPr>
        <w:t>报告送出日期：</w:t>
      </w:r>
      <w:r w:rsidRPr="00264E55">
        <w:rPr>
          <w:rFonts w:ascii="宋体" w:hAnsi="宋体"/>
          <w:b/>
          <w:color w:val="000000"/>
          <w:sz w:val="24"/>
          <w:szCs w:val="24"/>
        </w:rPr>
        <w:t>二〇二〇年七月二十一日</w:t>
      </w:r>
    </w:p>
    <w:p w:rsidR="00750D48" w:rsidRPr="00264E55" w:rsidRDefault="00750D48" w:rsidP="004D28A3">
      <w:pPr>
        <w:pStyle w:val="1"/>
        <w:spacing w:beforeLines="100" w:before="312" w:afterLines="100" w:after="312"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rsidR="002B4BB2" w:rsidRDefault="004865A0">
      <w:pPr>
        <w:spacing w:line="360" w:lineRule="auto"/>
        <w:ind w:firstLineChars="200" w:firstLine="480"/>
        <w:rPr>
          <w:color w:val="000000"/>
          <w:sz w:val="24"/>
          <w:szCs w:val="24"/>
        </w:rPr>
      </w:pPr>
      <w:r>
        <w:rPr>
          <w:color w:val="000000"/>
          <w:sz w:val="24"/>
          <w:szCs w:val="24"/>
        </w:rPr>
        <w:t>基金管理人的董事会及董事保证本报告所载资料不存在虚假记载、误导性陈述或重大遗漏，并对其内容的真实性、准确性和完整性承担个别及连带责任。</w:t>
      </w:r>
      <w:r>
        <w:rPr>
          <w:color w:val="000000"/>
          <w:sz w:val="24"/>
          <w:szCs w:val="24"/>
        </w:rPr>
        <w:t xml:space="preserve"> </w:t>
      </w:r>
    </w:p>
    <w:p w:rsidR="002B4BB2" w:rsidRDefault="004865A0">
      <w:pPr>
        <w:spacing w:line="360" w:lineRule="auto"/>
        <w:ind w:firstLineChars="200" w:firstLine="480"/>
        <w:rPr>
          <w:color w:val="000000"/>
          <w:sz w:val="24"/>
          <w:szCs w:val="24"/>
        </w:rPr>
      </w:pPr>
      <w:r>
        <w:rPr>
          <w:color w:val="000000"/>
          <w:sz w:val="24"/>
          <w:szCs w:val="24"/>
        </w:rPr>
        <w:t>基金托管人中国银行股份有限公司根据本基金合同规定，于</w:t>
      </w:r>
      <w:r>
        <w:rPr>
          <w:color w:val="000000"/>
          <w:sz w:val="24"/>
          <w:szCs w:val="24"/>
        </w:rPr>
        <w:t>2020</w:t>
      </w:r>
      <w:r>
        <w:rPr>
          <w:color w:val="000000"/>
          <w:sz w:val="24"/>
          <w:szCs w:val="24"/>
        </w:rPr>
        <w:t>年</w:t>
      </w:r>
      <w:r>
        <w:rPr>
          <w:color w:val="000000"/>
          <w:sz w:val="24"/>
          <w:szCs w:val="24"/>
        </w:rPr>
        <w:t>7</w:t>
      </w:r>
      <w:r>
        <w:rPr>
          <w:color w:val="000000"/>
          <w:sz w:val="24"/>
          <w:szCs w:val="24"/>
        </w:rPr>
        <w:t>月</w:t>
      </w:r>
      <w:r>
        <w:rPr>
          <w:color w:val="000000"/>
          <w:sz w:val="24"/>
          <w:szCs w:val="24"/>
        </w:rPr>
        <w:t>17</w:t>
      </w:r>
      <w:r>
        <w:rPr>
          <w:color w:val="000000"/>
          <w:sz w:val="24"/>
          <w:szCs w:val="24"/>
        </w:rPr>
        <w:t>日复核了本报告中的财务指标、净值表现和投资组合报告等内容，保证复核内容不存在虚假记载、误导性陈述或者重大遗漏。</w:t>
      </w:r>
      <w:r>
        <w:rPr>
          <w:color w:val="000000"/>
          <w:sz w:val="24"/>
          <w:szCs w:val="24"/>
        </w:rPr>
        <w:t xml:space="preserve"> </w:t>
      </w:r>
    </w:p>
    <w:p w:rsidR="002B4BB2" w:rsidRDefault="004865A0">
      <w:pPr>
        <w:spacing w:line="360" w:lineRule="auto"/>
        <w:ind w:firstLineChars="200" w:firstLine="480"/>
        <w:rPr>
          <w:color w:val="000000"/>
          <w:sz w:val="24"/>
          <w:szCs w:val="24"/>
        </w:rPr>
      </w:pPr>
      <w:r>
        <w:rPr>
          <w:color w:val="000000"/>
          <w:sz w:val="24"/>
          <w:szCs w:val="24"/>
        </w:rPr>
        <w:t>基金管理人承诺以诚实信用、勤勉尽责的原则管理和运用基金资产，但不保证基金一定盈利。</w:t>
      </w:r>
      <w:r>
        <w:rPr>
          <w:color w:val="000000"/>
          <w:sz w:val="24"/>
          <w:szCs w:val="24"/>
        </w:rPr>
        <w:t xml:space="preserve"> </w:t>
      </w:r>
    </w:p>
    <w:p w:rsidR="002B4BB2" w:rsidRDefault="004865A0">
      <w:pPr>
        <w:spacing w:line="360" w:lineRule="auto"/>
        <w:ind w:firstLineChars="200" w:firstLine="480"/>
        <w:rPr>
          <w:color w:val="000000"/>
          <w:sz w:val="24"/>
          <w:szCs w:val="24"/>
        </w:rPr>
      </w:pPr>
      <w:r>
        <w:rPr>
          <w:color w:val="000000"/>
          <w:sz w:val="24"/>
          <w:szCs w:val="24"/>
        </w:rPr>
        <w:t>基金的过往业绩并不代表其未来表现。投资有风险，投资者在作出投资决策前应仔细阅读本基金的招募说明书。</w:t>
      </w:r>
      <w:r>
        <w:rPr>
          <w:color w:val="000000"/>
          <w:sz w:val="24"/>
          <w:szCs w:val="24"/>
        </w:rPr>
        <w:t xml:space="preserve"> </w:t>
      </w:r>
    </w:p>
    <w:p w:rsidR="002B4BB2" w:rsidRDefault="004865A0">
      <w:pPr>
        <w:spacing w:line="360" w:lineRule="auto"/>
        <w:ind w:firstLineChars="200" w:firstLine="480"/>
        <w:rPr>
          <w:color w:val="000000"/>
          <w:sz w:val="24"/>
          <w:szCs w:val="24"/>
        </w:rPr>
      </w:pPr>
      <w:r>
        <w:rPr>
          <w:color w:val="000000"/>
          <w:sz w:val="24"/>
          <w:szCs w:val="24"/>
        </w:rPr>
        <w:t>本报告中财务资料未经审计。</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本报告期自</w:t>
      </w:r>
      <w:r w:rsidRPr="006C56AA">
        <w:rPr>
          <w:color w:val="000000"/>
          <w:sz w:val="24"/>
          <w:szCs w:val="24"/>
        </w:rPr>
        <w:t>2020</w:t>
      </w:r>
      <w:r w:rsidRPr="006C56AA">
        <w:rPr>
          <w:color w:val="000000"/>
          <w:sz w:val="24"/>
          <w:szCs w:val="24"/>
        </w:rPr>
        <w:t>年</w:t>
      </w:r>
      <w:r w:rsidRPr="006C56AA">
        <w:rPr>
          <w:color w:val="000000"/>
          <w:sz w:val="24"/>
          <w:szCs w:val="24"/>
        </w:rPr>
        <w:t>4</w:t>
      </w:r>
      <w:r w:rsidRPr="006C56AA">
        <w:rPr>
          <w:color w:val="000000"/>
          <w:sz w:val="24"/>
          <w:szCs w:val="24"/>
        </w:rPr>
        <w:t>月</w:t>
      </w:r>
      <w:r w:rsidRPr="006C56AA">
        <w:rPr>
          <w:color w:val="000000"/>
          <w:sz w:val="24"/>
          <w:szCs w:val="24"/>
        </w:rPr>
        <w:t>1</w:t>
      </w:r>
      <w:r w:rsidRPr="006C56AA">
        <w:rPr>
          <w:color w:val="000000"/>
          <w:sz w:val="24"/>
          <w:szCs w:val="24"/>
        </w:rPr>
        <w:t>日起至</w:t>
      </w:r>
      <w:r w:rsidRPr="006C56AA">
        <w:rPr>
          <w:color w:val="000000"/>
          <w:sz w:val="24"/>
          <w:szCs w:val="24"/>
        </w:rPr>
        <w:t>6</w:t>
      </w:r>
      <w:r w:rsidRPr="006C56AA">
        <w:rPr>
          <w:color w:val="000000"/>
          <w:sz w:val="24"/>
          <w:szCs w:val="24"/>
        </w:rPr>
        <w:t>月</w:t>
      </w:r>
      <w:r w:rsidRPr="006C56AA">
        <w:rPr>
          <w:color w:val="000000"/>
          <w:sz w:val="24"/>
          <w:szCs w:val="24"/>
        </w:rPr>
        <w:t>30</w:t>
      </w:r>
      <w:r w:rsidRPr="006C56AA">
        <w:rPr>
          <w:color w:val="000000"/>
          <w:sz w:val="24"/>
          <w:szCs w:val="24"/>
        </w:rPr>
        <w:t>日止。</w:t>
      </w: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479"/>
      </w:tblGrid>
      <w:tr w:rsidR="00750D48" w:rsidRPr="00264E55" w:rsidTr="00500A03">
        <w:tc>
          <w:tcPr>
            <w:tcW w:w="2835" w:type="dxa"/>
          </w:tcPr>
          <w:p w:rsidR="00750D48" w:rsidRPr="00232B03" w:rsidRDefault="00750D48" w:rsidP="007B5AFB">
            <w:pPr>
              <w:adjustRightInd w:val="0"/>
              <w:spacing w:before="29" w:line="360" w:lineRule="auto"/>
              <w:ind w:left="17"/>
              <w:jc w:val="left"/>
              <w:rPr>
                <w:kern w:val="0"/>
                <w:sz w:val="24"/>
                <w:szCs w:val="24"/>
              </w:rPr>
            </w:pPr>
            <w:r w:rsidRPr="00232B03">
              <w:rPr>
                <w:kern w:val="0"/>
                <w:sz w:val="24"/>
                <w:szCs w:val="24"/>
              </w:rPr>
              <w:t>基金简称</w:t>
            </w:r>
          </w:p>
        </w:tc>
        <w:tc>
          <w:tcPr>
            <w:tcW w:w="5479" w:type="dxa"/>
          </w:tcPr>
          <w:p w:rsidR="00750D48" w:rsidRPr="00232B03" w:rsidRDefault="00750D48" w:rsidP="007B5AFB">
            <w:pPr>
              <w:adjustRightInd w:val="0"/>
              <w:spacing w:before="29" w:line="360" w:lineRule="auto"/>
              <w:ind w:left="17"/>
              <w:jc w:val="left"/>
              <w:rPr>
                <w:color w:val="000000"/>
                <w:kern w:val="0"/>
                <w:sz w:val="24"/>
                <w:szCs w:val="24"/>
              </w:rPr>
            </w:pPr>
            <w:r w:rsidRPr="00232B03">
              <w:rPr>
                <w:color w:val="000000"/>
                <w:kern w:val="0"/>
                <w:sz w:val="24"/>
                <w:szCs w:val="24"/>
              </w:rPr>
              <w:t>易方达恒盛</w:t>
            </w:r>
            <w:r w:rsidRPr="00232B03">
              <w:rPr>
                <w:color w:val="000000"/>
                <w:kern w:val="0"/>
                <w:sz w:val="24"/>
                <w:szCs w:val="24"/>
              </w:rPr>
              <w:t>3</w:t>
            </w:r>
            <w:r w:rsidRPr="00232B03">
              <w:rPr>
                <w:color w:val="000000"/>
                <w:kern w:val="0"/>
                <w:sz w:val="24"/>
                <w:szCs w:val="24"/>
              </w:rPr>
              <w:t>个月定开混合发起式</w:t>
            </w:r>
          </w:p>
        </w:tc>
      </w:tr>
      <w:tr w:rsidR="00750D48" w:rsidRPr="00264E55" w:rsidTr="00D94B8D">
        <w:tc>
          <w:tcPr>
            <w:tcW w:w="2835" w:type="dxa"/>
          </w:tcPr>
          <w:p w:rsidR="00750D48" w:rsidRPr="00232B03" w:rsidRDefault="00750D48">
            <w:pPr>
              <w:adjustRightInd w:val="0"/>
              <w:spacing w:before="29" w:line="360" w:lineRule="auto"/>
              <w:ind w:left="17"/>
              <w:jc w:val="left"/>
              <w:rPr>
                <w:kern w:val="0"/>
                <w:sz w:val="24"/>
                <w:szCs w:val="24"/>
              </w:rPr>
            </w:pPr>
            <w:r w:rsidRPr="00232B03">
              <w:rPr>
                <w:kern w:val="0"/>
                <w:sz w:val="24"/>
                <w:szCs w:val="24"/>
              </w:rPr>
              <w:t>基金主代码</w:t>
            </w:r>
          </w:p>
        </w:tc>
        <w:tc>
          <w:tcPr>
            <w:tcW w:w="5479" w:type="dxa"/>
          </w:tcPr>
          <w:p w:rsidR="00750D48" w:rsidRPr="00232B03" w:rsidRDefault="00750D48">
            <w:pPr>
              <w:adjustRightInd w:val="0"/>
              <w:spacing w:before="29" w:line="360" w:lineRule="auto"/>
              <w:ind w:left="17"/>
              <w:jc w:val="left"/>
              <w:rPr>
                <w:color w:val="000000"/>
                <w:kern w:val="0"/>
                <w:sz w:val="24"/>
                <w:szCs w:val="24"/>
              </w:rPr>
            </w:pPr>
            <w:r w:rsidRPr="00232B03">
              <w:rPr>
                <w:color w:val="000000"/>
                <w:kern w:val="0"/>
                <w:sz w:val="24"/>
                <w:szCs w:val="24"/>
              </w:rPr>
              <w:t>007884</w:t>
            </w:r>
          </w:p>
        </w:tc>
      </w:tr>
      <w:tr w:rsidR="00750D48" w:rsidRPr="00264E55" w:rsidTr="00D94B8D">
        <w:tc>
          <w:tcPr>
            <w:tcW w:w="2835" w:type="dxa"/>
          </w:tcPr>
          <w:p w:rsidR="00750D48" w:rsidRPr="00232B03" w:rsidRDefault="00750D48" w:rsidP="00895A8A">
            <w:pPr>
              <w:adjustRightInd w:val="0"/>
              <w:spacing w:before="29" w:line="360" w:lineRule="auto"/>
              <w:ind w:left="17"/>
              <w:jc w:val="left"/>
              <w:rPr>
                <w:kern w:val="0"/>
                <w:sz w:val="24"/>
                <w:szCs w:val="24"/>
              </w:rPr>
            </w:pPr>
            <w:r w:rsidRPr="00232B03">
              <w:rPr>
                <w:kern w:val="0"/>
                <w:sz w:val="24"/>
                <w:szCs w:val="24"/>
              </w:rPr>
              <w:t>交易代码</w:t>
            </w:r>
          </w:p>
        </w:tc>
        <w:tc>
          <w:tcPr>
            <w:tcW w:w="5479" w:type="dxa"/>
          </w:tcPr>
          <w:p w:rsidR="00750D48" w:rsidRPr="00232B03" w:rsidRDefault="00750D48" w:rsidP="00895A8A">
            <w:pPr>
              <w:adjustRightInd w:val="0"/>
              <w:spacing w:before="29" w:line="360" w:lineRule="auto"/>
              <w:ind w:left="17"/>
              <w:jc w:val="left"/>
              <w:rPr>
                <w:color w:val="000000"/>
                <w:kern w:val="0"/>
                <w:sz w:val="24"/>
                <w:szCs w:val="24"/>
              </w:rPr>
            </w:pPr>
            <w:r w:rsidRPr="00232B03">
              <w:rPr>
                <w:kern w:val="0"/>
                <w:sz w:val="24"/>
              </w:rPr>
              <w:t>007884</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基金运作方式</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契约型开放式</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基金合同生效日</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2019</w:t>
            </w:r>
            <w:r w:rsidRPr="00232B03">
              <w:rPr>
                <w:color w:val="000000"/>
                <w:kern w:val="0"/>
                <w:sz w:val="24"/>
                <w:szCs w:val="24"/>
              </w:rPr>
              <w:t>年</w:t>
            </w:r>
            <w:r w:rsidRPr="00232B03">
              <w:rPr>
                <w:color w:val="000000"/>
                <w:kern w:val="0"/>
                <w:sz w:val="24"/>
                <w:szCs w:val="24"/>
              </w:rPr>
              <w:t>9</w:t>
            </w:r>
            <w:r w:rsidRPr="00232B03">
              <w:rPr>
                <w:color w:val="000000"/>
                <w:kern w:val="0"/>
                <w:sz w:val="24"/>
                <w:szCs w:val="24"/>
              </w:rPr>
              <w:t>月</w:t>
            </w:r>
            <w:r w:rsidRPr="00232B03">
              <w:rPr>
                <w:color w:val="000000"/>
                <w:kern w:val="0"/>
                <w:sz w:val="24"/>
                <w:szCs w:val="24"/>
              </w:rPr>
              <w:t>6</w:t>
            </w:r>
            <w:r w:rsidRPr="00232B03">
              <w:rPr>
                <w:color w:val="000000"/>
                <w:kern w:val="0"/>
                <w:sz w:val="24"/>
                <w:szCs w:val="24"/>
              </w:rPr>
              <w:t>日</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报告期末基金份额总额</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554,112,639.66</w:t>
            </w:r>
            <w:r w:rsidRPr="00232B03">
              <w:rPr>
                <w:color w:val="000000"/>
                <w:kern w:val="0"/>
                <w:sz w:val="24"/>
                <w:szCs w:val="24"/>
              </w:rPr>
              <w:t>份</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投资目标</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在控制基金资产净值波动的基础上，力争实现基金资产的长期稳健增值。</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投资策略</w:t>
            </w:r>
          </w:p>
        </w:tc>
        <w:tc>
          <w:tcPr>
            <w:tcW w:w="5479" w:type="dxa"/>
          </w:tcPr>
          <w:p w:rsidR="002B4BB2" w:rsidRDefault="004865A0">
            <w:pPr>
              <w:adjustRightInd w:val="0"/>
              <w:spacing w:before="29" w:line="360" w:lineRule="auto"/>
              <w:ind w:left="17"/>
              <w:jc w:val="left"/>
              <w:rPr>
                <w:color w:val="000000"/>
                <w:sz w:val="24"/>
                <w:szCs w:val="24"/>
              </w:rPr>
            </w:pPr>
            <w:r>
              <w:rPr>
                <w:color w:val="000000"/>
                <w:kern w:val="0"/>
                <w:sz w:val="24"/>
                <w:szCs w:val="24"/>
              </w:rPr>
              <w:t>本基金在封闭运作期与开放运作期采取不同的投资策略。</w:t>
            </w:r>
          </w:p>
          <w:p w:rsidR="002B4BB2" w:rsidRDefault="004865A0">
            <w:pPr>
              <w:adjustRightInd w:val="0"/>
              <w:spacing w:before="29" w:line="360" w:lineRule="auto"/>
              <w:ind w:left="17"/>
              <w:jc w:val="left"/>
              <w:rPr>
                <w:color w:val="000000"/>
                <w:sz w:val="24"/>
                <w:szCs w:val="24"/>
              </w:rPr>
            </w:pPr>
            <w:r>
              <w:rPr>
                <w:color w:val="000000"/>
                <w:kern w:val="0"/>
                <w:sz w:val="24"/>
                <w:szCs w:val="24"/>
              </w:rPr>
              <w:t>封闭期本基金基于定量与定性相结合的宏观及市场因素、估值及流动性因素、政策因素等分析，确定组合中股票、债券、货币市场工具等资产类别的</w:t>
            </w:r>
            <w:r>
              <w:rPr>
                <w:color w:val="000000"/>
                <w:kern w:val="0"/>
                <w:sz w:val="24"/>
                <w:szCs w:val="24"/>
              </w:rPr>
              <w:lastRenderedPageBreak/>
              <w:t>配置比例。债券投资上主要通过久期配置、类属配置、期限结构配置和个券选择四个层次进行投资管理。股票方面本基金将通过分析行业景气度、行业竞争格局等因素，对各行业的投资价值进行综合评估，从而确定并动态调整行业配置比例。在行业配置的基础上，本基金将基于公司基本面分析和估值水平分析进行个股投资策略。</w:t>
            </w:r>
          </w:p>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开放运作期内，本基金为保持较高的组合流动性，方便投资人安排投资，在遵守本基金有关投资限制与投资比例的前提下，将主要投资于高流动性的投资品种，减小基金净值的波动。</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lastRenderedPageBreak/>
              <w:t>业绩比较基准</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中债新综合指数（财富）收益率</w:t>
            </w:r>
            <w:r w:rsidRPr="00232B03">
              <w:rPr>
                <w:color w:val="000000"/>
                <w:kern w:val="0"/>
                <w:sz w:val="24"/>
                <w:szCs w:val="24"/>
              </w:rPr>
              <w:t>*90%+</w:t>
            </w:r>
            <w:r w:rsidRPr="00232B03">
              <w:rPr>
                <w:color w:val="000000"/>
                <w:kern w:val="0"/>
                <w:sz w:val="24"/>
                <w:szCs w:val="24"/>
              </w:rPr>
              <w:t>沪深</w:t>
            </w:r>
            <w:r w:rsidRPr="00232B03">
              <w:rPr>
                <w:color w:val="000000"/>
                <w:kern w:val="0"/>
                <w:sz w:val="24"/>
                <w:szCs w:val="24"/>
              </w:rPr>
              <w:t>300</w:t>
            </w:r>
            <w:r w:rsidRPr="00232B03">
              <w:rPr>
                <w:color w:val="000000"/>
                <w:kern w:val="0"/>
                <w:sz w:val="24"/>
                <w:szCs w:val="24"/>
              </w:rPr>
              <w:t>指数收益率</w:t>
            </w:r>
            <w:r w:rsidRPr="00232B03">
              <w:rPr>
                <w:color w:val="000000"/>
                <w:kern w:val="0"/>
                <w:sz w:val="24"/>
                <w:szCs w:val="24"/>
              </w:rPr>
              <w:t>*10%</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风险收益特征</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本基金为混合型基金，理论上其预期风险与预期收益水平低于股票型基金，高于债券型基金和货币市场基金。</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基金管理人</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易方达基金管理有限公司</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基金托管人</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中国银行股份有限公司</w:t>
            </w:r>
          </w:p>
        </w:tc>
      </w:tr>
    </w:tbl>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R="00392044" w:rsidRPr="006506EF" w:rsidRDefault="00392044" w:rsidP="00392044">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4962"/>
      </w:tblGrid>
      <w:tr w:rsidR="000A553F" w:rsidRPr="006506EF" w:rsidTr="000A553F">
        <w:tc>
          <w:tcPr>
            <w:tcW w:w="3402" w:type="dxa"/>
            <w:vAlign w:val="center"/>
          </w:tcPr>
          <w:p w:rsidR="00392044" w:rsidRPr="006506EF" w:rsidRDefault="00392044" w:rsidP="00C3442A">
            <w:pPr>
              <w:adjustRightInd w:val="0"/>
              <w:spacing w:before="29" w:line="360" w:lineRule="auto"/>
              <w:ind w:left="17"/>
              <w:jc w:val="center"/>
              <w:rPr>
                <w:kern w:val="0"/>
                <w:sz w:val="24"/>
              </w:rPr>
            </w:pPr>
            <w:r w:rsidRPr="006506EF">
              <w:rPr>
                <w:kern w:val="0"/>
                <w:sz w:val="24"/>
              </w:rPr>
              <w:t>主要财务指标</w:t>
            </w:r>
          </w:p>
        </w:tc>
        <w:tc>
          <w:tcPr>
            <w:tcW w:w="4962" w:type="dxa"/>
            <w:vAlign w:val="center"/>
          </w:tcPr>
          <w:p w:rsidR="00392044" w:rsidRPr="006506EF" w:rsidRDefault="00392044" w:rsidP="00C3442A">
            <w:pPr>
              <w:adjustRightInd w:val="0"/>
              <w:spacing w:before="29" w:line="360" w:lineRule="auto"/>
              <w:ind w:left="17"/>
              <w:jc w:val="center"/>
              <w:rPr>
                <w:color w:val="000000"/>
                <w:sz w:val="24"/>
              </w:rPr>
            </w:pPr>
            <w:r w:rsidRPr="006506EF">
              <w:rPr>
                <w:color w:val="000000"/>
                <w:sz w:val="24"/>
              </w:rPr>
              <w:t>报告期</w:t>
            </w:r>
          </w:p>
          <w:p w:rsidR="00392044" w:rsidRPr="006506EF" w:rsidRDefault="00392044" w:rsidP="00C3442A">
            <w:pPr>
              <w:adjustRightInd w:val="0"/>
              <w:spacing w:before="29" w:line="360" w:lineRule="auto"/>
              <w:ind w:left="17"/>
              <w:jc w:val="center"/>
              <w:rPr>
                <w:color w:val="000000"/>
                <w:sz w:val="24"/>
              </w:rPr>
            </w:pPr>
            <w:r w:rsidRPr="006506EF">
              <w:rPr>
                <w:color w:val="000000"/>
                <w:sz w:val="24"/>
              </w:rPr>
              <w:t>(2020</w:t>
            </w:r>
            <w:r w:rsidRPr="006506EF">
              <w:rPr>
                <w:color w:val="000000"/>
                <w:sz w:val="24"/>
              </w:rPr>
              <w:t>年</w:t>
            </w:r>
            <w:r w:rsidRPr="006506EF">
              <w:rPr>
                <w:color w:val="000000"/>
                <w:sz w:val="24"/>
              </w:rPr>
              <w:t>4</w:t>
            </w:r>
            <w:r w:rsidRPr="006506EF">
              <w:rPr>
                <w:color w:val="000000"/>
                <w:sz w:val="24"/>
              </w:rPr>
              <w:t>月</w:t>
            </w:r>
            <w:r w:rsidRPr="006506EF">
              <w:rPr>
                <w:color w:val="000000"/>
                <w:sz w:val="24"/>
              </w:rPr>
              <w:t>1</w:t>
            </w:r>
            <w:r w:rsidRPr="006506EF">
              <w:rPr>
                <w:color w:val="000000"/>
                <w:sz w:val="24"/>
              </w:rPr>
              <w:t>日</w:t>
            </w:r>
            <w:r w:rsidRPr="006506EF">
              <w:rPr>
                <w:color w:val="000000"/>
                <w:sz w:val="24"/>
              </w:rPr>
              <w:t>-2020</w:t>
            </w:r>
            <w:r w:rsidRPr="006506EF">
              <w:rPr>
                <w:color w:val="000000"/>
                <w:sz w:val="24"/>
              </w:rPr>
              <w:t>年</w:t>
            </w:r>
            <w:r w:rsidRPr="006506EF">
              <w:rPr>
                <w:color w:val="000000"/>
                <w:sz w:val="24"/>
              </w:rPr>
              <w:t>6</w:t>
            </w:r>
            <w:r w:rsidRPr="006506EF">
              <w:rPr>
                <w:color w:val="000000"/>
                <w:sz w:val="24"/>
              </w:rPr>
              <w:t>月</w:t>
            </w:r>
            <w:r w:rsidRPr="006506EF">
              <w:rPr>
                <w:color w:val="000000"/>
                <w:sz w:val="24"/>
              </w:rPr>
              <w:t>30</w:t>
            </w:r>
            <w:r w:rsidRPr="006506EF">
              <w:rPr>
                <w:color w:val="000000"/>
                <w:sz w:val="24"/>
              </w:rPr>
              <w:t>日</w:t>
            </w:r>
            <w:r w:rsidRPr="006506EF">
              <w:rPr>
                <w:color w:val="000000"/>
                <w:sz w:val="24"/>
              </w:rPr>
              <w:t>)</w:t>
            </w:r>
          </w:p>
        </w:tc>
      </w:tr>
      <w:tr w:rsidR="000A553F" w:rsidRPr="006506EF" w:rsidTr="000A553F">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w="4962" w:type="dxa"/>
            <w:vAlign w:val="bottom"/>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10,008,390.63</w:t>
            </w:r>
          </w:p>
        </w:tc>
      </w:tr>
      <w:tr w:rsidR="000A553F" w:rsidRPr="006506EF" w:rsidTr="000A553F">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2.</w:t>
            </w:r>
            <w:r w:rsidRPr="006506EF">
              <w:rPr>
                <w:kern w:val="0"/>
                <w:sz w:val="24"/>
              </w:rPr>
              <w:t>本期利润</w:t>
            </w:r>
          </w:p>
        </w:tc>
        <w:tc>
          <w:tcPr>
            <w:tcW w:w="4962" w:type="dxa"/>
            <w:vAlign w:val="bottom"/>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1,879,905.81</w:t>
            </w:r>
          </w:p>
        </w:tc>
      </w:tr>
      <w:tr w:rsidR="000A553F" w:rsidRPr="006506EF" w:rsidTr="000A553F">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w="4962" w:type="dxa"/>
            <w:vAlign w:val="bottom"/>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0.0034</w:t>
            </w:r>
          </w:p>
        </w:tc>
      </w:tr>
      <w:tr w:rsidR="000A553F" w:rsidRPr="006506EF" w:rsidTr="000A553F">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w="4962" w:type="dxa"/>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569,668,534.69</w:t>
            </w:r>
          </w:p>
        </w:tc>
      </w:tr>
      <w:tr w:rsidR="000A553F" w:rsidRPr="006506EF" w:rsidTr="000A553F">
        <w:trPr>
          <w:trHeight w:val="158"/>
        </w:trPr>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lastRenderedPageBreak/>
              <w:t>5.</w:t>
            </w:r>
            <w:r w:rsidRPr="006506EF">
              <w:rPr>
                <w:kern w:val="0"/>
                <w:sz w:val="24"/>
              </w:rPr>
              <w:t>期末基金份额净值</w:t>
            </w:r>
          </w:p>
        </w:tc>
        <w:tc>
          <w:tcPr>
            <w:tcW w:w="4962" w:type="dxa"/>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1.0281</w:t>
            </w:r>
          </w:p>
        </w:tc>
      </w:tr>
    </w:tbl>
    <w:p w:rsidR="002B4BB2" w:rsidRDefault="004865A0">
      <w:pPr>
        <w:spacing w:line="360" w:lineRule="auto"/>
        <w:ind w:firstLineChars="200" w:firstLine="480"/>
        <w:rPr>
          <w:color w:val="000000"/>
          <w:sz w:val="24"/>
          <w:szCs w:val="24"/>
        </w:rPr>
      </w:pPr>
      <w:r>
        <w:rPr>
          <w:color w:val="000000"/>
          <w:sz w:val="24"/>
        </w:rPr>
        <w:t>注：</w:t>
      </w:r>
      <w:r>
        <w:rPr>
          <w:color w:val="000000"/>
          <w:sz w:val="24"/>
        </w:rPr>
        <w:t>1.</w:t>
      </w:r>
      <w:r>
        <w:rPr>
          <w:color w:val="000000"/>
          <w:sz w:val="24"/>
        </w:rPr>
        <w:t>所述基金业绩指标不包括持有人认购或交易基金的各项费用，计入费用后实际收益水平要低于所列数字。</w:t>
      </w:r>
    </w:p>
    <w:p w:rsidR="00750D48" w:rsidRPr="00232B03" w:rsidRDefault="00392044" w:rsidP="00232B03">
      <w:pPr>
        <w:spacing w:line="360" w:lineRule="auto"/>
        <w:ind w:firstLineChars="200" w:firstLine="480"/>
        <w:rPr>
          <w:color w:val="000000"/>
          <w:sz w:val="24"/>
          <w:szCs w:val="24"/>
        </w:rPr>
      </w:pPr>
      <w:r w:rsidRPr="006506EF">
        <w:rPr>
          <w:color w:val="000000"/>
          <w:sz w:val="24"/>
        </w:rPr>
        <w:t>2.</w:t>
      </w:r>
      <w:r w:rsidRPr="006506EF">
        <w:rPr>
          <w:color w:val="000000"/>
          <w:sz w:val="24"/>
        </w:rPr>
        <w:t>本期已实现收益指基金本期利息收入、投资收益、其他收入（不含公允价值变动收益）扣除相关费用后的余额，本期利润为本期已实现收益加上本期公允价值变动收益。</w:t>
      </w:r>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R="00750D48" w:rsidRPr="00264E55" w:rsidRDefault="00750D48" w:rsidP="009E7C6A">
      <w:pPr>
        <w:autoSpaceDE w:val="0"/>
        <w:autoSpaceDN w:val="0"/>
        <w:adjustRightInd w:val="0"/>
        <w:spacing w:line="360" w:lineRule="auto"/>
        <w:jc w:val="left"/>
        <w:rPr>
          <w:rFonts w:ascii="宋体" w:cs="宋体"/>
          <w:b/>
          <w:bCs/>
          <w:color w:val="000000"/>
          <w:kern w:val="0"/>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hAnsi="宋体" w:cs="宋体" w:hint="eastAsia"/>
          <w:b/>
          <w:bCs/>
          <w:color w:val="000000"/>
          <w:kern w:val="0"/>
          <w:sz w:val="24"/>
          <w:szCs w:val="24"/>
        </w:rPr>
        <w:t>本报告期基金份额净值增长率及其与同期业绩比较基准收益率的比较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95"/>
        <w:gridCol w:w="1092"/>
        <w:gridCol w:w="1161"/>
        <w:gridCol w:w="1181"/>
        <w:gridCol w:w="1188"/>
        <w:gridCol w:w="1199"/>
        <w:gridCol w:w="1204"/>
      </w:tblGrid>
      <w:tr w:rsidR="00750D48" w:rsidRPr="00264E55" w:rsidTr="00B05049">
        <w:tc>
          <w:tcPr>
            <w:tcW w:w="1395"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p>
        </w:tc>
        <w:tc>
          <w:tcPr>
            <w:tcW w:w="1092"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hAnsi="宋体" w:cs="宋体" w:hint="eastAsia"/>
                <w:color w:val="000000"/>
                <w:kern w:val="0"/>
                <w:sz w:val="24"/>
                <w:szCs w:val="24"/>
              </w:rPr>
              <w:t>①</w:t>
            </w:r>
          </w:p>
        </w:tc>
        <w:tc>
          <w:tcPr>
            <w:tcW w:w="1161"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hAnsi="宋体" w:cs="宋体" w:hint="eastAsia"/>
                <w:color w:val="000000"/>
                <w:kern w:val="0"/>
                <w:sz w:val="24"/>
                <w:szCs w:val="24"/>
              </w:rPr>
              <w:t>②</w:t>
            </w:r>
          </w:p>
        </w:tc>
        <w:tc>
          <w:tcPr>
            <w:tcW w:w="1181"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hAnsi="宋体" w:cs="宋体" w:hint="eastAsia"/>
                <w:color w:val="000000"/>
                <w:kern w:val="0"/>
                <w:sz w:val="24"/>
                <w:szCs w:val="24"/>
              </w:rPr>
              <w:t>③</w:t>
            </w:r>
          </w:p>
        </w:tc>
        <w:tc>
          <w:tcPr>
            <w:tcW w:w="1188"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业绩比较基准收益率标准差</w:t>
            </w:r>
            <w:r w:rsidRPr="00232B03">
              <w:rPr>
                <w:rFonts w:ascii="宋体" w:hAnsi="宋体" w:cs="宋体" w:hint="eastAsia"/>
                <w:color w:val="000000"/>
                <w:kern w:val="0"/>
                <w:sz w:val="24"/>
                <w:szCs w:val="24"/>
              </w:rPr>
              <w:t>④</w:t>
            </w:r>
          </w:p>
        </w:tc>
        <w:tc>
          <w:tcPr>
            <w:tcW w:w="1199"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rFonts w:ascii="宋体" w:hAnsi="宋体" w:cs="宋体" w:hint="eastAsia"/>
                <w:color w:val="000000"/>
                <w:kern w:val="0"/>
                <w:sz w:val="24"/>
                <w:szCs w:val="24"/>
              </w:rPr>
              <w:t>①</w:t>
            </w:r>
            <w:r w:rsidRPr="00232B03">
              <w:rPr>
                <w:color w:val="000000"/>
                <w:kern w:val="0"/>
                <w:sz w:val="24"/>
                <w:szCs w:val="24"/>
              </w:rPr>
              <w:t>-</w:t>
            </w:r>
            <w:r w:rsidRPr="00232B03">
              <w:rPr>
                <w:rFonts w:ascii="宋体" w:hAnsi="宋体" w:cs="宋体" w:hint="eastAsia"/>
                <w:color w:val="000000"/>
                <w:kern w:val="0"/>
                <w:sz w:val="24"/>
                <w:szCs w:val="24"/>
              </w:rPr>
              <w:t>③</w:t>
            </w:r>
          </w:p>
        </w:tc>
        <w:tc>
          <w:tcPr>
            <w:tcW w:w="1204"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rFonts w:ascii="宋体" w:hAnsi="宋体" w:cs="宋体" w:hint="eastAsia"/>
                <w:color w:val="000000"/>
                <w:kern w:val="0"/>
                <w:sz w:val="24"/>
                <w:szCs w:val="24"/>
              </w:rPr>
              <w:t>②</w:t>
            </w:r>
            <w:r w:rsidRPr="00232B03">
              <w:rPr>
                <w:color w:val="000000"/>
                <w:kern w:val="0"/>
                <w:sz w:val="24"/>
                <w:szCs w:val="24"/>
              </w:rPr>
              <w:t>-</w:t>
            </w:r>
            <w:r w:rsidRPr="00232B03">
              <w:rPr>
                <w:rFonts w:ascii="宋体" w:hAnsi="宋体" w:cs="宋体" w:hint="eastAsia"/>
                <w:color w:val="000000"/>
                <w:kern w:val="0"/>
                <w:sz w:val="24"/>
                <w:szCs w:val="24"/>
              </w:rPr>
              <w:t>④</w:t>
            </w:r>
          </w:p>
        </w:tc>
      </w:tr>
      <w:tr w:rsidR="002B4BB2">
        <w:tc>
          <w:tcPr>
            <w:tcW w:w="1395" w:type="dxa"/>
            <w:vAlign w:val="center"/>
          </w:tcPr>
          <w:p w:rsidR="002B4BB2" w:rsidRDefault="004865A0">
            <w:pPr>
              <w:jc w:val="left"/>
            </w:pPr>
            <w:r>
              <w:rPr>
                <w:color w:val="000000"/>
                <w:kern w:val="0"/>
                <w:sz w:val="24"/>
                <w:szCs w:val="24"/>
              </w:rPr>
              <w:t>过去三个月</w:t>
            </w:r>
          </w:p>
        </w:tc>
        <w:tc>
          <w:tcPr>
            <w:tcW w:w="1092" w:type="dxa"/>
            <w:vAlign w:val="center"/>
          </w:tcPr>
          <w:p w:rsidR="002B4BB2" w:rsidRDefault="004865A0">
            <w:pPr>
              <w:jc w:val="center"/>
            </w:pPr>
            <w:r>
              <w:rPr>
                <w:color w:val="000000"/>
                <w:kern w:val="0"/>
                <w:sz w:val="24"/>
                <w:szCs w:val="24"/>
              </w:rPr>
              <w:t>0.33%</w:t>
            </w:r>
          </w:p>
        </w:tc>
        <w:tc>
          <w:tcPr>
            <w:tcW w:w="1161" w:type="dxa"/>
            <w:vAlign w:val="center"/>
          </w:tcPr>
          <w:p w:rsidR="002B4BB2" w:rsidRDefault="004865A0">
            <w:pPr>
              <w:jc w:val="center"/>
            </w:pPr>
            <w:r>
              <w:rPr>
                <w:color w:val="000000"/>
                <w:kern w:val="0"/>
                <w:sz w:val="24"/>
                <w:szCs w:val="24"/>
              </w:rPr>
              <w:t>0.13%</w:t>
            </w:r>
          </w:p>
        </w:tc>
        <w:tc>
          <w:tcPr>
            <w:tcW w:w="1181" w:type="dxa"/>
            <w:vAlign w:val="center"/>
          </w:tcPr>
          <w:p w:rsidR="002B4BB2" w:rsidRDefault="004865A0">
            <w:pPr>
              <w:jc w:val="center"/>
            </w:pPr>
            <w:r>
              <w:rPr>
                <w:color w:val="000000"/>
                <w:kern w:val="0"/>
                <w:sz w:val="24"/>
                <w:szCs w:val="24"/>
              </w:rPr>
              <w:t>1.09%</w:t>
            </w:r>
          </w:p>
        </w:tc>
        <w:tc>
          <w:tcPr>
            <w:tcW w:w="1188" w:type="dxa"/>
            <w:vAlign w:val="center"/>
          </w:tcPr>
          <w:p w:rsidR="002B4BB2" w:rsidRDefault="004865A0">
            <w:pPr>
              <w:jc w:val="center"/>
            </w:pPr>
            <w:r>
              <w:rPr>
                <w:color w:val="000000"/>
                <w:kern w:val="0"/>
                <w:sz w:val="24"/>
                <w:szCs w:val="24"/>
              </w:rPr>
              <w:t>0.14%</w:t>
            </w:r>
          </w:p>
        </w:tc>
        <w:tc>
          <w:tcPr>
            <w:tcW w:w="1199" w:type="dxa"/>
            <w:vAlign w:val="center"/>
          </w:tcPr>
          <w:p w:rsidR="002B4BB2" w:rsidRDefault="004865A0">
            <w:pPr>
              <w:jc w:val="center"/>
            </w:pPr>
            <w:r>
              <w:rPr>
                <w:color w:val="000000"/>
                <w:kern w:val="0"/>
                <w:sz w:val="24"/>
                <w:szCs w:val="24"/>
              </w:rPr>
              <w:t>-0.76%</w:t>
            </w:r>
          </w:p>
        </w:tc>
        <w:tc>
          <w:tcPr>
            <w:tcW w:w="1204" w:type="dxa"/>
            <w:vAlign w:val="center"/>
          </w:tcPr>
          <w:p w:rsidR="002B4BB2" w:rsidRDefault="004865A0">
            <w:pPr>
              <w:jc w:val="center"/>
            </w:pPr>
            <w:r>
              <w:rPr>
                <w:color w:val="000000"/>
                <w:kern w:val="0"/>
                <w:sz w:val="24"/>
                <w:szCs w:val="24"/>
              </w:rPr>
              <w:t>-0.01%</w:t>
            </w:r>
          </w:p>
        </w:tc>
      </w:tr>
      <w:tr w:rsidR="002B4BB2">
        <w:tc>
          <w:tcPr>
            <w:tcW w:w="1395" w:type="dxa"/>
            <w:vAlign w:val="center"/>
          </w:tcPr>
          <w:p w:rsidR="002B4BB2" w:rsidRDefault="004865A0">
            <w:pPr>
              <w:jc w:val="left"/>
            </w:pPr>
            <w:r>
              <w:rPr>
                <w:color w:val="000000"/>
                <w:kern w:val="0"/>
                <w:sz w:val="24"/>
                <w:szCs w:val="24"/>
              </w:rPr>
              <w:t>过去六个月</w:t>
            </w:r>
          </w:p>
        </w:tc>
        <w:tc>
          <w:tcPr>
            <w:tcW w:w="1092" w:type="dxa"/>
            <w:vAlign w:val="center"/>
          </w:tcPr>
          <w:p w:rsidR="002B4BB2" w:rsidRDefault="004865A0">
            <w:pPr>
              <w:jc w:val="center"/>
            </w:pPr>
            <w:r>
              <w:rPr>
                <w:color w:val="000000"/>
                <w:kern w:val="0"/>
                <w:sz w:val="24"/>
                <w:szCs w:val="24"/>
              </w:rPr>
              <w:t>1.60%</w:t>
            </w:r>
          </w:p>
        </w:tc>
        <w:tc>
          <w:tcPr>
            <w:tcW w:w="1161" w:type="dxa"/>
            <w:vAlign w:val="center"/>
          </w:tcPr>
          <w:p w:rsidR="002B4BB2" w:rsidRDefault="004865A0">
            <w:pPr>
              <w:jc w:val="center"/>
            </w:pPr>
            <w:r>
              <w:rPr>
                <w:color w:val="000000"/>
                <w:kern w:val="0"/>
                <w:sz w:val="24"/>
                <w:szCs w:val="24"/>
              </w:rPr>
              <w:t>0.11%</w:t>
            </w:r>
          </w:p>
        </w:tc>
        <w:tc>
          <w:tcPr>
            <w:tcW w:w="1181" w:type="dxa"/>
            <w:vAlign w:val="center"/>
          </w:tcPr>
          <w:p w:rsidR="002B4BB2" w:rsidRDefault="004865A0">
            <w:pPr>
              <w:jc w:val="center"/>
            </w:pPr>
            <w:r>
              <w:rPr>
                <w:color w:val="000000"/>
                <w:kern w:val="0"/>
                <w:sz w:val="24"/>
                <w:szCs w:val="24"/>
              </w:rPr>
              <w:t>2.27%</w:t>
            </w:r>
          </w:p>
        </w:tc>
        <w:tc>
          <w:tcPr>
            <w:tcW w:w="1188" w:type="dxa"/>
            <w:vAlign w:val="center"/>
          </w:tcPr>
          <w:p w:rsidR="002B4BB2" w:rsidRDefault="004865A0">
            <w:pPr>
              <w:jc w:val="center"/>
            </w:pPr>
            <w:r>
              <w:rPr>
                <w:color w:val="000000"/>
                <w:kern w:val="0"/>
                <w:sz w:val="24"/>
                <w:szCs w:val="24"/>
              </w:rPr>
              <w:t>0.15%</w:t>
            </w:r>
          </w:p>
        </w:tc>
        <w:tc>
          <w:tcPr>
            <w:tcW w:w="1199" w:type="dxa"/>
            <w:vAlign w:val="center"/>
          </w:tcPr>
          <w:p w:rsidR="002B4BB2" w:rsidRDefault="004865A0">
            <w:pPr>
              <w:jc w:val="center"/>
            </w:pPr>
            <w:r>
              <w:rPr>
                <w:color w:val="000000"/>
                <w:kern w:val="0"/>
                <w:sz w:val="24"/>
                <w:szCs w:val="24"/>
              </w:rPr>
              <w:t>-0.67%</w:t>
            </w:r>
          </w:p>
        </w:tc>
        <w:tc>
          <w:tcPr>
            <w:tcW w:w="1204" w:type="dxa"/>
            <w:vAlign w:val="center"/>
          </w:tcPr>
          <w:p w:rsidR="002B4BB2" w:rsidRDefault="004865A0">
            <w:pPr>
              <w:jc w:val="center"/>
            </w:pPr>
            <w:r>
              <w:rPr>
                <w:color w:val="000000"/>
                <w:kern w:val="0"/>
                <w:sz w:val="24"/>
                <w:szCs w:val="24"/>
              </w:rPr>
              <w:t>-0.04%</w:t>
            </w:r>
          </w:p>
        </w:tc>
      </w:tr>
      <w:tr w:rsidR="002B4BB2">
        <w:tc>
          <w:tcPr>
            <w:tcW w:w="1395" w:type="dxa"/>
            <w:vAlign w:val="center"/>
          </w:tcPr>
          <w:p w:rsidR="002B4BB2" w:rsidRDefault="004865A0">
            <w:pPr>
              <w:jc w:val="left"/>
            </w:pPr>
            <w:r>
              <w:rPr>
                <w:color w:val="000000"/>
                <w:kern w:val="0"/>
                <w:sz w:val="24"/>
                <w:szCs w:val="24"/>
              </w:rPr>
              <w:t>过去一年</w:t>
            </w:r>
          </w:p>
        </w:tc>
        <w:tc>
          <w:tcPr>
            <w:tcW w:w="1092" w:type="dxa"/>
            <w:vAlign w:val="center"/>
          </w:tcPr>
          <w:p w:rsidR="002B4BB2" w:rsidRDefault="004865A0">
            <w:pPr>
              <w:jc w:val="center"/>
            </w:pPr>
            <w:r>
              <w:rPr>
                <w:color w:val="000000"/>
                <w:kern w:val="0"/>
                <w:sz w:val="24"/>
                <w:szCs w:val="24"/>
              </w:rPr>
              <w:t>-</w:t>
            </w:r>
          </w:p>
        </w:tc>
        <w:tc>
          <w:tcPr>
            <w:tcW w:w="1161" w:type="dxa"/>
            <w:vAlign w:val="center"/>
          </w:tcPr>
          <w:p w:rsidR="002B4BB2" w:rsidRDefault="004865A0">
            <w:pPr>
              <w:jc w:val="center"/>
            </w:pPr>
            <w:r>
              <w:rPr>
                <w:color w:val="000000"/>
                <w:kern w:val="0"/>
                <w:sz w:val="24"/>
                <w:szCs w:val="24"/>
              </w:rPr>
              <w:t>-</w:t>
            </w:r>
          </w:p>
        </w:tc>
        <w:tc>
          <w:tcPr>
            <w:tcW w:w="1181" w:type="dxa"/>
            <w:vAlign w:val="center"/>
          </w:tcPr>
          <w:p w:rsidR="002B4BB2" w:rsidRDefault="004865A0">
            <w:pPr>
              <w:jc w:val="center"/>
            </w:pPr>
            <w:r>
              <w:rPr>
                <w:color w:val="000000"/>
                <w:kern w:val="0"/>
                <w:sz w:val="24"/>
                <w:szCs w:val="24"/>
              </w:rPr>
              <w:t>-</w:t>
            </w:r>
          </w:p>
        </w:tc>
        <w:tc>
          <w:tcPr>
            <w:tcW w:w="1188" w:type="dxa"/>
            <w:vAlign w:val="center"/>
          </w:tcPr>
          <w:p w:rsidR="002B4BB2" w:rsidRDefault="004865A0">
            <w:pPr>
              <w:jc w:val="center"/>
            </w:pPr>
            <w:r>
              <w:rPr>
                <w:color w:val="000000"/>
                <w:kern w:val="0"/>
                <w:sz w:val="24"/>
                <w:szCs w:val="24"/>
              </w:rPr>
              <w:t>-</w:t>
            </w:r>
          </w:p>
        </w:tc>
        <w:tc>
          <w:tcPr>
            <w:tcW w:w="1199" w:type="dxa"/>
            <w:vAlign w:val="center"/>
          </w:tcPr>
          <w:p w:rsidR="002B4BB2" w:rsidRDefault="004865A0">
            <w:pPr>
              <w:jc w:val="center"/>
            </w:pPr>
            <w:r>
              <w:rPr>
                <w:color w:val="000000"/>
                <w:kern w:val="0"/>
                <w:sz w:val="24"/>
                <w:szCs w:val="24"/>
              </w:rPr>
              <w:t>-</w:t>
            </w:r>
          </w:p>
        </w:tc>
        <w:tc>
          <w:tcPr>
            <w:tcW w:w="1204" w:type="dxa"/>
            <w:vAlign w:val="center"/>
          </w:tcPr>
          <w:p w:rsidR="002B4BB2" w:rsidRDefault="004865A0">
            <w:pPr>
              <w:jc w:val="center"/>
            </w:pPr>
            <w:r>
              <w:rPr>
                <w:color w:val="000000"/>
                <w:kern w:val="0"/>
                <w:sz w:val="24"/>
                <w:szCs w:val="24"/>
              </w:rPr>
              <w:t>-</w:t>
            </w:r>
          </w:p>
        </w:tc>
      </w:tr>
      <w:tr w:rsidR="002B4BB2">
        <w:tc>
          <w:tcPr>
            <w:tcW w:w="1395" w:type="dxa"/>
            <w:vAlign w:val="center"/>
          </w:tcPr>
          <w:p w:rsidR="002B4BB2" w:rsidRDefault="004865A0">
            <w:pPr>
              <w:jc w:val="left"/>
            </w:pPr>
            <w:r>
              <w:rPr>
                <w:color w:val="000000"/>
                <w:kern w:val="0"/>
                <w:sz w:val="24"/>
                <w:szCs w:val="24"/>
              </w:rPr>
              <w:t>过去三年</w:t>
            </w:r>
          </w:p>
        </w:tc>
        <w:tc>
          <w:tcPr>
            <w:tcW w:w="1092" w:type="dxa"/>
            <w:vAlign w:val="center"/>
          </w:tcPr>
          <w:p w:rsidR="002B4BB2" w:rsidRDefault="004865A0">
            <w:pPr>
              <w:jc w:val="center"/>
            </w:pPr>
            <w:r>
              <w:rPr>
                <w:color w:val="000000"/>
                <w:kern w:val="0"/>
                <w:sz w:val="24"/>
                <w:szCs w:val="24"/>
              </w:rPr>
              <w:t>-</w:t>
            </w:r>
          </w:p>
        </w:tc>
        <w:tc>
          <w:tcPr>
            <w:tcW w:w="1161" w:type="dxa"/>
            <w:vAlign w:val="center"/>
          </w:tcPr>
          <w:p w:rsidR="002B4BB2" w:rsidRDefault="004865A0">
            <w:pPr>
              <w:jc w:val="center"/>
            </w:pPr>
            <w:r>
              <w:rPr>
                <w:color w:val="000000"/>
                <w:kern w:val="0"/>
                <w:sz w:val="24"/>
                <w:szCs w:val="24"/>
              </w:rPr>
              <w:t>-</w:t>
            </w:r>
          </w:p>
        </w:tc>
        <w:tc>
          <w:tcPr>
            <w:tcW w:w="1181" w:type="dxa"/>
            <w:vAlign w:val="center"/>
          </w:tcPr>
          <w:p w:rsidR="002B4BB2" w:rsidRDefault="004865A0">
            <w:pPr>
              <w:jc w:val="center"/>
            </w:pPr>
            <w:r>
              <w:rPr>
                <w:color w:val="000000"/>
                <w:kern w:val="0"/>
                <w:sz w:val="24"/>
                <w:szCs w:val="24"/>
              </w:rPr>
              <w:t>-</w:t>
            </w:r>
          </w:p>
        </w:tc>
        <w:tc>
          <w:tcPr>
            <w:tcW w:w="1188" w:type="dxa"/>
            <w:vAlign w:val="center"/>
          </w:tcPr>
          <w:p w:rsidR="002B4BB2" w:rsidRDefault="004865A0">
            <w:pPr>
              <w:jc w:val="center"/>
            </w:pPr>
            <w:r>
              <w:rPr>
                <w:color w:val="000000"/>
                <w:kern w:val="0"/>
                <w:sz w:val="24"/>
                <w:szCs w:val="24"/>
              </w:rPr>
              <w:t>-</w:t>
            </w:r>
          </w:p>
        </w:tc>
        <w:tc>
          <w:tcPr>
            <w:tcW w:w="1199" w:type="dxa"/>
            <w:vAlign w:val="center"/>
          </w:tcPr>
          <w:p w:rsidR="002B4BB2" w:rsidRDefault="004865A0">
            <w:pPr>
              <w:jc w:val="center"/>
            </w:pPr>
            <w:r>
              <w:rPr>
                <w:color w:val="000000"/>
                <w:kern w:val="0"/>
                <w:sz w:val="24"/>
                <w:szCs w:val="24"/>
              </w:rPr>
              <w:t>-</w:t>
            </w:r>
          </w:p>
        </w:tc>
        <w:tc>
          <w:tcPr>
            <w:tcW w:w="1204" w:type="dxa"/>
            <w:vAlign w:val="center"/>
          </w:tcPr>
          <w:p w:rsidR="002B4BB2" w:rsidRDefault="004865A0">
            <w:pPr>
              <w:jc w:val="center"/>
            </w:pPr>
            <w:r>
              <w:rPr>
                <w:color w:val="000000"/>
                <w:kern w:val="0"/>
                <w:sz w:val="24"/>
                <w:szCs w:val="24"/>
              </w:rPr>
              <w:t>-</w:t>
            </w:r>
          </w:p>
        </w:tc>
      </w:tr>
      <w:tr w:rsidR="002B4BB2">
        <w:tc>
          <w:tcPr>
            <w:tcW w:w="1395" w:type="dxa"/>
            <w:vAlign w:val="center"/>
          </w:tcPr>
          <w:p w:rsidR="002B4BB2" w:rsidRDefault="004865A0">
            <w:pPr>
              <w:jc w:val="left"/>
            </w:pPr>
            <w:r>
              <w:rPr>
                <w:color w:val="000000"/>
                <w:kern w:val="0"/>
                <w:sz w:val="24"/>
                <w:szCs w:val="24"/>
              </w:rPr>
              <w:t>过去五年</w:t>
            </w:r>
          </w:p>
        </w:tc>
        <w:tc>
          <w:tcPr>
            <w:tcW w:w="1092" w:type="dxa"/>
            <w:vAlign w:val="center"/>
          </w:tcPr>
          <w:p w:rsidR="002B4BB2" w:rsidRDefault="004865A0">
            <w:pPr>
              <w:jc w:val="center"/>
            </w:pPr>
            <w:r>
              <w:rPr>
                <w:color w:val="000000"/>
                <w:kern w:val="0"/>
                <w:sz w:val="24"/>
                <w:szCs w:val="24"/>
              </w:rPr>
              <w:t>-</w:t>
            </w:r>
          </w:p>
        </w:tc>
        <w:tc>
          <w:tcPr>
            <w:tcW w:w="1161" w:type="dxa"/>
            <w:vAlign w:val="center"/>
          </w:tcPr>
          <w:p w:rsidR="002B4BB2" w:rsidRDefault="004865A0">
            <w:pPr>
              <w:jc w:val="center"/>
            </w:pPr>
            <w:r>
              <w:rPr>
                <w:color w:val="000000"/>
                <w:kern w:val="0"/>
                <w:sz w:val="24"/>
                <w:szCs w:val="24"/>
              </w:rPr>
              <w:t>-</w:t>
            </w:r>
          </w:p>
        </w:tc>
        <w:tc>
          <w:tcPr>
            <w:tcW w:w="1181" w:type="dxa"/>
            <w:vAlign w:val="center"/>
          </w:tcPr>
          <w:p w:rsidR="002B4BB2" w:rsidRDefault="004865A0">
            <w:pPr>
              <w:jc w:val="center"/>
            </w:pPr>
            <w:r>
              <w:rPr>
                <w:color w:val="000000"/>
                <w:kern w:val="0"/>
                <w:sz w:val="24"/>
                <w:szCs w:val="24"/>
              </w:rPr>
              <w:t>-</w:t>
            </w:r>
          </w:p>
        </w:tc>
        <w:tc>
          <w:tcPr>
            <w:tcW w:w="1188" w:type="dxa"/>
            <w:vAlign w:val="center"/>
          </w:tcPr>
          <w:p w:rsidR="002B4BB2" w:rsidRDefault="004865A0">
            <w:pPr>
              <w:jc w:val="center"/>
            </w:pPr>
            <w:r>
              <w:rPr>
                <w:color w:val="000000"/>
                <w:kern w:val="0"/>
                <w:sz w:val="24"/>
                <w:szCs w:val="24"/>
              </w:rPr>
              <w:t>-</w:t>
            </w:r>
          </w:p>
        </w:tc>
        <w:tc>
          <w:tcPr>
            <w:tcW w:w="1199" w:type="dxa"/>
            <w:vAlign w:val="center"/>
          </w:tcPr>
          <w:p w:rsidR="002B4BB2" w:rsidRDefault="004865A0">
            <w:pPr>
              <w:jc w:val="center"/>
            </w:pPr>
            <w:r>
              <w:rPr>
                <w:color w:val="000000"/>
                <w:kern w:val="0"/>
                <w:sz w:val="24"/>
                <w:szCs w:val="24"/>
              </w:rPr>
              <w:t>-</w:t>
            </w:r>
          </w:p>
        </w:tc>
        <w:tc>
          <w:tcPr>
            <w:tcW w:w="1204" w:type="dxa"/>
            <w:vAlign w:val="center"/>
          </w:tcPr>
          <w:p w:rsidR="002B4BB2" w:rsidRDefault="004865A0">
            <w:pPr>
              <w:jc w:val="center"/>
            </w:pPr>
            <w:r>
              <w:rPr>
                <w:color w:val="000000"/>
                <w:kern w:val="0"/>
                <w:sz w:val="24"/>
                <w:szCs w:val="24"/>
              </w:rPr>
              <w:t>-</w:t>
            </w:r>
          </w:p>
        </w:tc>
      </w:tr>
      <w:tr w:rsidR="002B4BB2">
        <w:tc>
          <w:tcPr>
            <w:tcW w:w="1395" w:type="dxa"/>
            <w:vAlign w:val="center"/>
          </w:tcPr>
          <w:p w:rsidR="002B4BB2" w:rsidRDefault="004865A0">
            <w:pPr>
              <w:jc w:val="left"/>
            </w:pPr>
            <w:r>
              <w:rPr>
                <w:color w:val="000000"/>
                <w:kern w:val="0"/>
                <w:sz w:val="24"/>
                <w:szCs w:val="24"/>
              </w:rPr>
              <w:t>自基金合同生效起至今</w:t>
            </w:r>
          </w:p>
        </w:tc>
        <w:tc>
          <w:tcPr>
            <w:tcW w:w="1092" w:type="dxa"/>
            <w:vAlign w:val="center"/>
          </w:tcPr>
          <w:p w:rsidR="002B4BB2" w:rsidRDefault="004865A0">
            <w:pPr>
              <w:jc w:val="center"/>
            </w:pPr>
            <w:r>
              <w:rPr>
                <w:color w:val="000000"/>
                <w:kern w:val="0"/>
                <w:sz w:val="24"/>
                <w:szCs w:val="24"/>
              </w:rPr>
              <w:t>2.81%</w:t>
            </w:r>
          </w:p>
        </w:tc>
        <w:tc>
          <w:tcPr>
            <w:tcW w:w="1161" w:type="dxa"/>
            <w:vAlign w:val="center"/>
          </w:tcPr>
          <w:p w:rsidR="002B4BB2" w:rsidRDefault="004865A0">
            <w:pPr>
              <w:jc w:val="center"/>
            </w:pPr>
            <w:r>
              <w:rPr>
                <w:color w:val="000000"/>
                <w:kern w:val="0"/>
                <w:sz w:val="24"/>
                <w:szCs w:val="24"/>
              </w:rPr>
              <w:t>0.09%</w:t>
            </w:r>
          </w:p>
        </w:tc>
        <w:tc>
          <w:tcPr>
            <w:tcW w:w="1181" w:type="dxa"/>
            <w:vAlign w:val="center"/>
          </w:tcPr>
          <w:p w:rsidR="002B4BB2" w:rsidRDefault="004865A0">
            <w:pPr>
              <w:jc w:val="center"/>
            </w:pPr>
            <w:r>
              <w:rPr>
                <w:color w:val="000000"/>
                <w:kern w:val="0"/>
                <w:sz w:val="24"/>
                <w:szCs w:val="24"/>
              </w:rPr>
              <w:t>3.93%</w:t>
            </w:r>
          </w:p>
        </w:tc>
        <w:tc>
          <w:tcPr>
            <w:tcW w:w="1188" w:type="dxa"/>
            <w:vAlign w:val="center"/>
          </w:tcPr>
          <w:p w:rsidR="002B4BB2" w:rsidRDefault="004865A0">
            <w:pPr>
              <w:jc w:val="center"/>
            </w:pPr>
            <w:r>
              <w:rPr>
                <w:color w:val="000000"/>
                <w:kern w:val="0"/>
                <w:sz w:val="24"/>
                <w:szCs w:val="24"/>
              </w:rPr>
              <w:t>0.13%</w:t>
            </w:r>
          </w:p>
        </w:tc>
        <w:tc>
          <w:tcPr>
            <w:tcW w:w="1199" w:type="dxa"/>
            <w:vAlign w:val="center"/>
          </w:tcPr>
          <w:p w:rsidR="002B4BB2" w:rsidRDefault="004865A0">
            <w:pPr>
              <w:jc w:val="center"/>
            </w:pPr>
            <w:r>
              <w:rPr>
                <w:color w:val="000000"/>
                <w:kern w:val="0"/>
                <w:sz w:val="24"/>
                <w:szCs w:val="24"/>
              </w:rPr>
              <w:t>-1.12%</w:t>
            </w:r>
          </w:p>
        </w:tc>
        <w:tc>
          <w:tcPr>
            <w:tcW w:w="1204" w:type="dxa"/>
            <w:vAlign w:val="center"/>
          </w:tcPr>
          <w:p w:rsidR="002B4BB2" w:rsidRDefault="004865A0">
            <w:pPr>
              <w:jc w:val="center"/>
            </w:pPr>
            <w:r>
              <w:rPr>
                <w:color w:val="000000"/>
                <w:kern w:val="0"/>
                <w:sz w:val="24"/>
                <w:szCs w:val="24"/>
              </w:rPr>
              <w:t>-0.04%</w:t>
            </w:r>
          </w:p>
        </w:tc>
      </w:tr>
    </w:tbl>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val="clear" w:color="auto" w:fill="FFFFFF"/>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R="00750D48" w:rsidRPr="0074694E" w:rsidRDefault="00750D48" w:rsidP="009E7C6A">
      <w:pPr>
        <w:spacing w:line="360" w:lineRule="auto"/>
        <w:jc w:val="center"/>
        <w:rPr>
          <w:color w:val="000000"/>
          <w:sz w:val="24"/>
          <w:szCs w:val="24"/>
        </w:rPr>
      </w:pPr>
      <w:r w:rsidRPr="0074694E">
        <w:rPr>
          <w:color w:val="000000"/>
          <w:sz w:val="24"/>
          <w:szCs w:val="24"/>
        </w:rPr>
        <w:t>易方达恒盛</w:t>
      </w:r>
      <w:r w:rsidRPr="0074694E">
        <w:rPr>
          <w:color w:val="000000"/>
          <w:sz w:val="24"/>
          <w:szCs w:val="24"/>
        </w:rPr>
        <w:t>3</w:t>
      </w:r>
      <w:r w:rsidRPr="0074694E">
        <w:rPr>
          <w:color w:val="000000"/>
          <w:sz w:val="24"/>
          <w:szCs w:val="24"/>
        </w:rPr>
        <w:t>个月定期开放混合型发起式证券投资基金</w:t>
      </w:r>
    </w:p>
    <w:p w:rsidR="00750D48" w:rsidRPr="0074694E" w:rsidRDefault="00750D48" w:rsidP="009E7C6A">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R="00750D48" w:rsidRPr="0074694E" w:rsidRDefault="005F7917" w:rsidP="009E7C6A">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2019</w:t>
      </w:r>
      <w:r w:rsidRPr="0074694E">
        <w:rPr>
          <w:rFonts w:ascii="Times New Roman" w:hAnsi="Times New Roman"/>
          <w:sz w:val="24"/>
          <w:szCs w:val="24"/>
        </w:rPr>
        <w:t>年</w:t>
      </w:r>
      <w:r w:rsidRPr="0074694E">
        <w:rPr>
          <w:rFonts w:ascii="Times New Roman" w:hAnsi="Times New Roman"/>
          <w:sz w:val="24"/>
          <w:szCs w:val="24"/>
        </w:rPr>
        <w:t>9</w:t>
      </w:r>
      <w:r w:rsidRPr="0074694E">
        <w:rPr>
          <w:rFonts w:ascii="Times New Roman" w:hAnsi="Times New Roman"/>
          <w:sz w:val="24"/>
          <w:szCs w:val="24"/>
        </w:rPr>
        <w:t>月</w:t>
      </w:r>
      <w:r w:rsidRPr="0074694E">
        <w:rPr>
          <w:rFonts w:ascii="Times New Roman" w:hAnsi="Times New Roman"/>
          <w:sz w:val="24"/>
          <w:szCs w:val="24"/>
        </w:rPr>
        <w:t>6</w:t>
      </w:r>
      <w:r w:rsidRPr="0074694E">
        <w:rPr>
          <w:rFonts w:ascii="Times New Roman" w:hAnsi="Times New Roman"/>
          <w:sz w:val="24"/>
          <w:szCs w:val="24"/>
        </w:rPr>
        <w:t>日至</w:t>
      </w:r>
      <w:r w:rsidRPr="0074694E">
        <w:rPr>
          <w:rFonts w:ascii="Times New Roman" w:hAnsi="Times New Roman"/>
          <w:sz w:val="24"/>
          <w:szCs w:val="24"/>
        </w:rPr>
        <w:t>2020</w:t>
      </w:r>
      <w:r w:rsidRPr="0074694E">
        <w:rPr>
          <w:rFonts w:ascii="Times New Roman" w:hAnsi="Times New Roman"/>
          <w:sz w:val="24"/>
          <w:szCs w:val="24"/>
        </w:rPr>
        <w:t>年</w:t>
      </w:r>
      <w:r w:rsidRPr="0074694E">
        <w:rPr>
          <w:rFonts w:ascii="Times New Roman" w:hAnsi="Times New Roman"/>
          <w:sz w:val="24"/>
          <w:szCs w:val="24"/>
        </w:rPr>
        <w:t>6</w:t>
      </w:r>
      <w:r w:rsidRPr="0074694E">
        <w:rPr>
          <w:rFonts w:ascii="Times New Roman" w:hAnsi="Times New Roman"/>
          <w:sz w:val="24"/>
          <w:szCs w:val="24"/>
        </w:rPr>
        <w:t>月</w:t>
      </w:r>
      <w:r w:rsidRPr="0074694E">
        <w:rPr>
          <w:rFonts w:ascii="Times New Roman" w:hAnsi="Times New Roman"/>
          <w:sz w:val="24"/>
          <w:szCs w:val="24"/>
        </w:rPr>
        <w:t>30</w:t>
      </w:r>
      <w:r w:rsidRPr="0074694E">
        <w:rPr>
          <w:rFonts w:ascii="Times New Roman" w:hAnsi="Times New Roman"/>
          <w:sz w:val="24"/>
          <w:szCs w:val="24"/>
        </w:rPr>
        <w:t>日）</w:t>
      </w:r>
    </w:p>
    <w:p w:rsidR="00750D48" w:rsidRPr="00264E55" w:rsidRDefault="004115B9" w:rsidP="004061AC">
      <w:pPr>
        <w:pStyle w:val="a5"/>
        <w:snapToGrid w:val="0"/>
        <w:spacing w:before="120" w:line="360" w:lineRule="auto"/>
        <w:jc w:val="center"/>
        <w:rPr>
          <w:rFonts w:hAnsi="宋体"/>
          <w:color w:val="000000"/>
          <w:sz w:val="24"/>
          <w:szCs w:val="24"/>
        </w:rPr>
      </w:pPr>
      <w:r>
        <w:rPr>
          <w:rFonts w:hAnsi="宋体"/>
          <w:noProof/>
          <w:color w:val="000000"/>
          <w:sz w:val="24"/>
          <w:szCs w:val="24"/>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12.6pt;height:241.05pt;visibility:visible">
            <v:imagedata r:id="rId10" o:title=""/>
          </v:shape>
        </w:pict>
      </w:r>
    </w:p>
    <w:p w:rsidR="002B4BB2" w:rsidRDefault="004865A0">
      <w:pPr>
        <w:spacing w:line="360" w:lineRule="auto"/>
        <w:ind w:firstLineChars="200" w:firstLine="480"/>
        <w:rPr>
          <w:color w:val="000000"/>
          <w:sz w:val="24"/>
          <w:szCs w:val="24"/>
        </w:rPr>
      </w:pPr>
      <w:r>
        <w:rPr>
          <w:color w:val="000000"/>
          <w:sz w:val="24"/>
          <w:szCs w:val="24"/>
        </w:rPr>
        <w:t>注：</w:t>
      </w:r>
      <w:r>
        <w:rPr>
          <w:color w:val="000000"/>
          <w:sz w:val="24"/>
          <w:szCs w:val="24"/>
        </w:rPr>
        <w:t>1.</w:t>
      </w:r>
      <w:r>
        <w:rPr>
          <w:color w:val="000000"/>
          <w:sz w:val="24"/>
          <w:szCs w:val="24"/>
        </w:rPr>
        <w:t>本基金合同于</w:t>
      </w:r>
      <w:r>
        <w:rPr>
          <w:color w:val="000000"/>
          <w:sz w:val="24"/>
          <w:szCs w:val="24"/>
        </w:rPr>
        <w:t>2019</w:t>
      </w:r>
      <w:r>
        <w:rPr>
          <w:color w:val="000000"/>
          <w:sz w:val="24"/>
          <w:szCs w:val="24"/>
        </w:rPr>
        <w:t>年</w:t>
      </w:r>
      <w:r>
        <w:rPr>
          <w:color w:val="000000"/>
          <w:sz w:val="24"/>
          <w:szCs w:val="24"/>
        </w:rPr>
        <w:t>9</w:t>
      </w:r>
      <w:r>
        <w:rPr>
          <w:color w:val="000000"/>
          <w:sz w:val="24"/>
          <w:szCs w:val="24"/>
        </w:rPr>
        <w:t>月</w:t>
      </w:r>
      <w:r>
        <w:rPr>
          <w:color w:val="000000"/>
          <w:sz w:val="24"/>
          <w:szCs w:val="24"/>
        </w:rPr>
        <w:t>6</w:t>
      </w:r>
      <w:r>
        <w:rPr>
          <w:color w:val="000000"/>
          <w:sz w:val="24"/>
          <w:szCs w:val="24"/>
        </w:rPr>
        <w:t>日生效，截至报告期末本基金合同生效未满一年。</w:t>
      </w:r>
    </w:p>
    <w:p w:rsidR="002B4BB2" w:rsidRDefault="004865A0">
      <w:pPr>
        <w:spacing w:line="360" w:lineRule="auto"/>
        <w:ind w:firstLineChars="200" w:firstLine="480"/>
        <w:rPr>
          <w:color w:val="000000"/>
          <w:sz w:val="24"/>
          <w:szCs w:val="24"/>
        </w:rPr>
      </w:pPr>
      <w:r>
        <w:rPr>
          <w:color w:val="000000"/>
          <w:sz w:val="24"/>
          <w:szCs w:val="24"/>
        </w:rPr>
        <w:t>2.</w:t>
      </w:r>
      <w:r>
        <w:rPr>
          <w:color w:val="000000"/>
          <w:sz w:val="24"/>
          <w:szCs w:val="24"/>
        </w:rPr>
        <w:t>按基金合同和招募说明书的约定，本基金的建仓期为六个月，建仓期结束时各项资产配置比例符合基金合同（第十二部分二、投资范围，三、投资策略和四、投资限制）的有关约定。</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3.</w:t>
      </w:r>
      <w:r w:rsidRPr="006C56AA">
        <w:rPr>
          <w:color w:val="000000"/>
          <w:sz w:val="24"/>
          <w:szCs w:val="24"/>
        </w:rPr>
        <w:t>自基金合同生效至报告期末，基金份额净值增长率为</w:t>
      </w:r>
      <w:r w:rsidRPr="006C56AA">
        <w:rPr>
          <w:color w:val="000000"/>
          <w:sz w:val="24"/>
          <w:szCs w:val="24"/>
        </w:rPr>
        <w:t>2.81%</w:t>
      </w:r>
      <w:r w:rsidRPr="006C56AA">
        <w:rPr>
          <w:color w:val="000000"/>
          <w:sz w:val="24"/>
          <w:szCs w:val="24"/>
        </w:rPr>
        <w:t>，同期业绩比较基准收益率为</w:t>
      </w:r>
      <w:r w:rsidRPr="006C56AA">
        <w:rPr>
          <w:color w:val="000000"/>
          <w:sz w:val="24"/>
          <w:szCs w:val="24"/>
        </w:rPr>
        <w:t>3.93%</w:t>
      </w:r>
      <w:r w:rsidRPr="006C56AA">
        <w:rPr>
          <w:color w:val="000000"/>
          <w:sz w:val="24"/>
          <w:szCs w:val="24"/>
        </w:rPr>
        <w:t>。</w:t>
      </w:r>
    </w:p>
    <w:p w:rsidR="00750D48" w:rsidRPr="00232B03" w:rsidRDefault="00750D48" w:rsidP="00693843">
      <w:pPr>
        <w:tabs>
          <w:tab w:val="left" w:pos="1800"/>
        </w:tabs>
        <w:spacing w:line="288" w:lineRule="auto"/>
        <w:rPr>
          <w:color w:val="000000"/>
          <w:sz w:val="24"/>
          <w:szCs w:val="24"/>
        </w:rPr>
      </w:pP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R="004D28A3" w:rsidRPr="0078105B" w:rsidRDefault="00750D48" w:rsidP="004D28A3">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5"/>
        <w:gridCol w:w="851"/>
        <w:gridCol w:w="850"/>
        <w:gridCol w:w="851"/>
        <w:gridCol w:w="2977"/>
      </w:tblGrid>
      <w:tr w:rsidR="004D28A3" w:rsidRPr="0078105B" w:rsidTr="003328D9">
        <w:trPr>
          <w:cantSplit/>
        </w:trPr>
        <w:tc>
          <w:tcPr>
            <w:tcW w:w="567" w:type="dxa"/>
            <w:vMerge w:val="restart"/>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w="2835" w:type="dxa"/>
            <w:vMerge w:val="restart"/>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w="1701" w:type="dxa"/>
            <w:gridSpan w:val="2"/>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w="851" w:type="dxa"/>
            <w:vMerge w:val="restart"/>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w="2977" w:type="dxa"/>
            <w:vMerge w:val="restart"/>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w="567" w:type="dxa"/>
            <w:vMerge/>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p>
        </w:tc>
        <w:tc>
          <w:tcPr>
            <w:tcW w:w="2835" w:type="dxa"/>
            <w:vMerge/>
          </w:tcPr>
          <w:p w:rsidR="004D28A3" w:rsidRPr="00FA472B" w:rsidRDefault="004D28A3" w:rsidP="003328D9">
            <w:pPr>
              <w:autoSpaceDE w:val="0"/>
              <w:autoSpaceDN w:val="0"/>
              <w:adjustRightInd w:val="0"/>
              <w:spacing w:before="29" w:line="288" w:lineRule="auto"/>
              <w:ind w:left="15"/>
              <w:jc w:val="center"/>
              <w:rPr>
                <w:color w:val="000000"/>
                <w:kern w:val="0"/>
                <w:sz w:val="24"/>
              </w:rPr>
            </w:pPr>
          </w:p>
        </w:tc>
        <w:tc>
          <w:tcPr>
            <w:tcW w:w="851" w:type="dxa"/>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w="850" w:type="dxa"/>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w="851" w:type="dxa"/>
            <w:vMerge/>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p>
        </w:tc>
        <w:tc>
          <w:tcPr>
            <w:tcW w:w="2977" w:type="dxa"/>
            <w:vMerge/>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p>
        </w:tc>
      </w:tr>
      <w:tr w:rsidR="002B4BB2">
        <w:tc>
          <w:tcPr>
            <w:tcW w:w="567" w:type="dxa"/>
            <w:vAlign w:val="center"/>
          </w:tcPr>
          <w:p w:rsidR="002B4BB2" w:rsidRDefault="004865A0">
            <w:pPr>
              <w:jc w:val="center"/>
            </w:pPr>
            <w:r>
              <w:rPr>
                <w:color w:val="000000"/>
                <w:sz w:val="24"/>
              </w:rPr>
              <w:t>纪玲云</w:t>
            </w:r>
          </w:p>
        </w:tc>
        <w:tc>
          <w:tcPr>
            <w:tcW w:w="2835" w:type="dxa"/>
            <w:vAlign w:val="center"/>
          </w:tcPr>
          <w:p w:rsidR="002B4BB2" w:rsidRDefault="004865A0">
            <w:pPr>
              <w:jc w:val="left"/>
            </w:pPr>
            <w:r>
              <w:rPr>
                <w:color w:val="000000"/>
                <w:sz w:val="24"/>
              </w:rPr>
              <w:t>本基金的基金经理、易方达信用债债券型证券投资基金的基金经理、易方达</w:t>
            </w:r>
            <w:r>
              <w:rPr>
                <w:color w:val="000000"/>
                <w:sz w:val="24"/>
              </w:rPr>
              <w:t>3</w:t>
            </w:r>
            <w:r>
              <w:rPr>
                <w:color w:val="000000"/>
                <w:sz w:val="24"/>
              </w:rPr>
              <w:t>年封闭运作战略配售灵活配置混合型证券投资基金（</w:t>
            </w:r>
            <w:r>
              <w:rPr>
                <w:color w:val="000000"/>
                <w:sz w:val="24"/>
              </w:rPr>
              <w:t>LOF</w:t>
            </w:r>
            <w:r>
              <w:rPr>
                <w:color w:val="000000"/>
                <w:sz w:val="24"/>
              </w:rPr>
              <w:t>）的基金经</w:t>
            </w:r>
            <w:r>
              <w:rPr>
                <w:color w:val="000000"/>
                <w:sz w:val="24"/>
              </w:rPr>
              <w:lastRenderedPageBreak/>
              <w:t>理、易方达瑞财灵活配置混合型证券投资基金的基金经理、易方达恒利</w:t>
            </w:r>
            <w:r>
              <w:rPr>
                <w:color w:val="000000"/>
                <w:sz w:val="24"/>
              </w:rPr>
              <w:t>3</w:t>
            </w:r>
            <w:r>
              <w:rPr>
                <w:color w:val="000000"/>
                <w:sz w:val="24"/>
              </w:rPr>
              <w:t>个月定期开放债券型发起式证券投资基金的基金经理、易方达恒裕一年定期开放债券型发起式证券投资基金的基金经理、易方达稳健收益债券型证券投资基金的基金经理助理、易方达丰惠混合型证券投资基金的基金经理助理（自</w:t>
            </w:r>
            <w:r>
              <w:rPr>
                <w:color w:val="000000"/>
                <w:sz w:val="24"/>
              </w:rPr>
              <w:t>2019</w:t>
            </w:r>
            <w:r>
              <w:rPr>
                <w:color w:val="000000"/>
                <w:sz w:val="24"/>
              </w:rPr>
              <w:t>年</w:t>
            </w:r>
            <w:r>
              <w:rPr>
                <w:color w:val="000000"/>
                <w:sz w:val="24"/>
              </w:rPr>
              <w:t>01</w:t>
            </w:r>
            <w:r>
              <w:rPr>
                <w:color w:val="000000"/>
                <w:sz w:val="24"/>
              </w:rPr>
              <w:t>月</w:t>
            </w:r>
            <w:r>
              <w:rPr>
                <w:color w:val="000000"/>
                <w:sz w:val="24"/>
              </w:rPr>
              <w:t>18</w:t>
            </w:r>
            <w:r>
              <w:rPr>
                <w:color w:val="000000"/>
                <w:sz w:val="24"/>
              </w:rPr>
              <w:t>日至</w:t>
            </w:r>
            <w:r>
              <w:rPr>
                <w:color w:val="000000"/>
                <w:sz w:val="24"/>
              </w:rPr>
              <w:t>2020</w:t>
            </w:r>
            <w:r>
              <w:rPr>
                <w:color w:val="000000"/>
                <w:sz w:val="24"/>
              </w:rPr>
              <w:t>年</w:t>
            </w:r>
            <w:r>
              <w:rPr>
                <w:color w:val="000000"/>
                <w:sz w:val="24"/>
              </w:rPr>
              <w:t>06</w:t>
            </w:r>
            <w:r>
              <w:rPr>
                <w:color w:val="000000"/>
                <w:sz w:val="24"/>
              </w:rPr>
              <w:t>月</w:t>
            </w:r>
            <w:r>
              <w:rPr>
                <w:color w:val="000000"/>
                <w:sz w:val="24"/>
              </w:rPr>
              <w:t>09</w:t>
            </w:r>
            <w:r>
              <w:rPr>
                <w:color w:val="000000"/>
                <w:sz w:val="24"/>
              </w:rPr>
              <w:t>日）、固定收益研究部总经理助理、投资经理</w:t>
            </w:r>
          </w:p>
        </w:tc>
        <w:tc>
          <w:tcPr>
            <w:tcW w:w="851" w:type="dxa"/>
            <w:vAlign w:val="center"/>
          </w:tcPr>
          <w:p w:rsidR="002B4BB2" w:rsidRDefault="004865A0">
            <w:pPr>
              <w:jc w:val="center"/>
            </w:pPr>
            <w:r>
              <w:rPr>
                <w:color w:val="000000"/>
                <w:sz w:val="24"/>
              </w:rPr>
              <w:lastRenderedPageBreak/>
              <w:t>2019-09-06</w:t>
            </w:r>
          </w:p>
        </w:tc>
        <w:tc>
          <w:tcPr>
            <w:tcW w:w="850" w:type="dxa"/>
            <w:vAlign w:val="center"/>
          </w:tcPr>
          <w:p w:rsidR="002B4BB2" w:rsidRDefault="004865A0">
            <w:pPr>
              <w:jc w:val="center"/>
            </w:pPr>
            <w:r>
              <w:rPr>
                <w:color w:val="000000"/>
                <w:sz w:val="24"/>
              </w:rPr>
              <w:t>-</w:t>
            </w:r>
          </w:p>
        </w:tc>
        <w:tc>
          <w:tcPr>
            <w:tcW w:w="851" w:type="dxa"/>
            <w:vAlign w:val="center"/>
          </w:tcPr>
          <w:p w:rsidR="002B4BB2" w:rsidRDefault="004865A0">
            <w:pPr>
              <w:jc w:val="center"/>
            </w:pPr>
            <w:r>
              <w:rPr>
                <w:color w:val="000000"/>
                <w:sz w:val="24"/>
              </w:rPr>
              <w:t>11</w:t>
            </w:r>
            <w:r>
              <w:rPr>
                <w:color w:val="000000"/>
                <w:sz w:val="24"/>
              </w:rPr>
              <w:t>年</w:t>
            </w:r>
          </w:p>
        </w:tc>
        <w:tc>
          <w:tcPr>
            <w:tcW w:w="2977" w:type="dxa"/>
            <w:vAlign w:val="center"/>
          </w:tcPr>
          <w:p w:rsidR="002B4BB2" w:rsidRDefault="004865A0">
            <w:r>
              <w:rPr>
                <w:color w:val="000000"/>
                <w:sz w:val="24"/>
              </w:rPr>
              <w:t>硕士研究生，具有基金从业资格。曾任易方达基金管理有限公司固定收益研究员、投资经理助理。</w:t>
            </w:r>
          </w:p>
        </w:tc>
      </w:tr>
      <w:tr w:rsidR="002B4BB2">
        <w:tc>
          <w:tcPr>
            <w:tcW w:w="567" w:type="dxa"/>
            <w:vAlign w:val="center"/>
          </w:tcPr>
          <w:p w:rsidR="002B4BB2" w:rsidRDefault="004865A0">
            <w:pPr>
              <w:jc w:val="center"/>
            </w:pPr>
            <w:r>
              <w:rPr>
                <w:color w:val="000000"/>
                <w:sz w:val="24"/>
              </w:rPr>
              <w:t>胡剑</w:t>
            </w:r>
          </w:p>
        </w:tc>
        <w:tc>
          <w:tcPr>
            <w:tcW w:w="2835" w:type="dxa"/>
            <w:vAlign w:val="center"/>
          </w:tcPr>
          <w:p w:rsidR="002B4BB2" w:rsidRDefault="004865A0">
            <w:pPr>
              <w:jc w:val="left"/>
            </w:pPr>
            <w:r>
              <w:rPr>
                <w:color w:val="000000"/>
                <w:sz w:val="24"/>
              </w:rPr>
              <w:t>本基金的基金经理、易方达稳健收益债券型证券投资基金的基金经理、易方达信用债债券型证券投资基金的基金经理、易方达裕惠回报定期开放式混合型发起式证券投资基金的基金经理、易方达丰惠混合型证券投资基金的基金经理（自</w:t>
            </w:r>
            <w:r>
              <w:rPr>
                <w:color w:val="000000"/>
                <w:sz w:val="24"/>
              </w:rPr>
              <w:t>2017</w:t>
            </w:r>
            <w:r>
              <w:rPr>
                <w:color w:val="000000"/>
                <w:sz w:val="24"/>
              </w:rPr>
              <w:t>年</w:t>
            </w:r>
            <w:r>
              <w:rPr>
                <w:color w:val="000000"/>
                <w:sz w:val="24"/>
              </w:rPr>
              <w:t>03</w:t>
            </w:r>
            <w:r>
              <w:rPr>
                <w:color w:val="000000"/>
                <w:sz w:val="24"/>
              </w:rPr>
              <w:t>月</w:t>
            </w:r>
            <w:r>
              <w:rPr>
                <w:color w:val="000000"/>
                <w:sz w:val="24"/>
              </w:rPr>
              <w:t>24</w:t>
            </w:r>
            <w:r>
              <w:rPr>
                <w:color w:val="000000"/>
                <w:sz w:val="24"/>
              </w:rPr>
              <w:t>日至</w:t>
            </w:r>
            <w:r>
              <w:rPr>
                <w:color w:val="000000"/>
                <w:sz w:val="24"/>
              </w:rPr>
              <w:t>2020</w:t>
            </w:r>
            <w:r>
              <w:rPr>
                <w:color w:val="000000"/>
                <w:sz w:val="24"/>
              </w:rPr>
              <w:t>年</w:t>
            </w:r>
            <w:r>
              <w:rPr>
                <w:color w:val="000000"/>
                <w:sz w:val="24"/>
              </w:rPr>
              <w:t>06</w:t>
            </w:r>
            <w:r>
              <w:rPr>
                <w:color w:val="000000"/>
                <w:sz w:val="24"/>
              </w:rPr>
              <w:t>月</w:t>
            </w:r>
            <w:r>
              <w:rPr>
                <w:color w:val="000000"/>
                <w:sz w:val="24"/>
              </w:rPr>
              <w:t>08</w:t>
            </w:r>
            <w:r>
              <w:rPr>
                <w:color w:val="000000"/>
                <w:sz w:val="24"/>
              </w:rPr>
              <w:t>日）、易方达瑞富灵活配置混合型证券投资基金的基金经理、易方达</w:t>
            </w:r>
            <w:r>
              <w:rPr>
                <w:color w:val="000000"/>
                <w:sz w:val="24"/>
              </w:rPr>
              <w:t>3</w:t>
            </w:r>
            <w:r>
              <w:rPr>
                <w:color w:val="000000"/>
                <w:sz w:val="24"/>
              </w:rPr>
              <w:t>年封闭运作战略配售灵活配置混合型证券投资基金（</w:t>
            </w:r>
            <w:r>
              <w:rPr>
                <w:color w:val="000000"/>
                <w:sz w:val="24"/>
              </w:rPr>
              <w:t>LOF</w:t>
            </w:r>
            <w:r>
              <w:rPr>
                <w:color w:val="000000"/>
                <w:sz w:val="24"/>
              </w:rPr>
              <w:t>）的基金经理、易方达岁丰添利债券型证券投资基金的基金经理、易方达恒利</w:t>
            </w:r>
            <w:r>
              <w:rPr>
                <w:color w:val="000000"/>
                <w:sz w:val="24"/>
              </w:rPr>
              <w:t>3</w:t>
            </w:r>
            <w:r>
              <w:rPr>
                <w:color w:val="000000"/>
                <w:sz w:val="24"/>
              </w:rPr>
              <w:t>个月定期开放债券型发起式证券投资基金的基金经理、易方达恒益定期开放债券型发起式证券投资基金的基金经理、易方达富惠纯债债券型证券投资基金的基金经理、易方达中债</w:t>
            </w:r>
            <w:r>
              <w:rPr>
                <w:color w:val="000000"/>
                <w:sz w:val="24"/>
              </w:rPr>
              <w:t>7-10</w:t>
            </w:r>
            <w:r>
              <w:rPr>
                <w:color w:val="000000"/>
                <w:sz w:val="24"/>
              </w:rPr>
              <w:t>年期国开行</w:t>
            </w:r>
            <w:r>
              <w:rPr>
                <w:color w:val="000000"/>
                <w:sz w:val="24"/>
              </w:rPr>
              <w:lastRenderedPageBreak/>
              <w:t>债券指数证券投资基金的基金经理、易方达中债</w:t>
            </w:r>
            <w:r>
              <w:rPr>
                <w:color w:val="000000"/>
                <w:sz w:val="24"/>
              </w:rPr>
              <w:t>3-5</w:t>
            </w:r>
            <w:r>
              <w:rPr>
                <w:color w:val="000000"/>
                <w:sz w:val="24"/>
              </w:rPr>
              <w:t>年期国债指数证券投资基金的基金经理、固定收益研究部总经理、固定收益投资部总经理</w:t>
            </w:r>
          </w:p>
        </w:tc>
        <w:tc>
          <w:tcPr>
            <w:tcW w:w="851" w:type="dxa"/>
            <w:vAlign w:val="center"/>
          </w:tcPr>
          <w:p w:rsidR="002B4BB2" w:rsidRDefault="004865A0">
            <w:pPr>
              <w:jc w:val="center"/>
            </w:pPr>
            <w:r>
              <w:rPr>
                <w:color w:val="000000"/>
                <w:sz w:val="24"/>
              </w:rPr>
              <w:lastRenderedPageBreak/>
              <w:t>2019-09-06</w:t>
            </w:r>
          </w:p>
        </w:tc>
        <w:tc>
          <w:tcPr>
            <w:tcW w:w="850" w:type="dxa"/>
            <w:vAlign w:val="center"/>
          </w:tcPr>
          <w:p w:rsidR="002B4BB2" w:rsidRDefault="004865A0">
            <w:pPr>
              <w:jc w:val="center"/>
            </w:pPr>
            <w:r>
              <w:rPr>
                <w:color w:val="000000"/>
                <w:sz w:val="24"/>
              </w:rPr>
              <w:t>-</w:t>
            </w:r>
          </w:p>
        </w:tc>
        <w:tc>
          <w:tcPr>
            <w:tcW w:w="851" w:type="dxa"/>
            <w:vAlign w:val="center"/>
          </w:tcPr>
          <w:p w:rsidR="002B4BB2" w:rsidRDefault="004865A0">
            <w:pPr>
              <w:jc w:val="center"/>
            </w:pPr>
            <w:r>
              <w:rPr>
                <w:color w:val="000000"/>
                <w:sz w:val="24"/>
              </w:rPr>
              <w:t>14</w:t>
            </w:r>
            <w:r>
              <w:rPr>
                <w:color w:val="000000"/>
                <w:sz w:val="24"/>
              </w:rPr>
              <w:t>年</w:t>
            </w:r>
          </w:p>
        </w:tc>
        <w:tc>
          <w:tcPr>
            <w:tcW w:w="2977" w:type="dxa"/>
            <w:vAlign w:val="center"/>
          </w:tcPr>
          <w:p w:rsidR="002B4BB2" w:rsidRDefault="004865A0">
            <w:r>
              <w:rPr>
                <w:color w:val="000000"/>
                <w:sz w:val="24"/>
              </w:rPr>
              <w:t>硕士研究生，具有基金从业资格。曾任易方达基金管理有限公司固定收益部债券研究员、基金经理助理、固定收益研究部负责人、固定收益总部总经理助理、易方达中债新综合债券指数发起式证券投资基金（</w:t>
            </w:r>
            <w:r>
              <w:rPr>
                <w:color w:val="000000"/>
                <w:sz w:val="24"/>
              </w:rPr>
              <w:t>LOF</w:t>
            </w:r>
            <w:r>
              <w:rPr>
                <w:color w:val="000000"/>
                <w:sz w:val="24"/>
              </w:rPr>
              <w:t>）基金经理、易方达纯债债券型证券投资基金基金经理、易方达永旭添利定期开放债券型证券投资基金基金经理、易方达纯债</w:t>
            </w:r>
            <w:r>
              <w:rPr>
                <w:color w:val="000000"/>
                <w:sz w:val="24"/>
              </w:rPr>
              <w:t>1</w:t>
            </w:r>
            <w:r>
              <w:rPr>
                <w:color w:val="000000"/>
                <w:sz w:val="24"/>
              </w:rPr>
              <w:t>年定期开放债券型证券投资基金基金经理、易方达裕景添利</w:t>
            </w:r>
            <w:r>
              <w:rPr>
                <w:color w:val="000000"/>
                <w:sz w:val="24"/>
              </w:rPr>
              <w:t>6</w:t>
            </w:r>
            <w:r>
              <w:rPr>
                <w:color w:val="000000"/>
                <w:sz w:val="24"/>
              </w:rPr>
              <w:t>个月定期开放债券型证券投资基金基金经理、易方达瑞智灵活配置混合型证券投资基金基金经理、易方达瑞兴灵活配置混合型证券投资基金基金经理、易方达瑞祥灵活配置混合型证券投资基金基金经理、易方达高等级信用债债券型证券投资基金基金经理、易方达瑞祺灵活配置混合型证券投资基金基金经理、易方达瑞财灵活配置混合型证</w:t>
            </w:r>
            <w:r>
              <w:rPr>
                <w:color w:val="000000"/>
                <w:sz w:val="24"/>
              </w:rPr>
              <w:lastRenderedPageBreak/>
              <w:t>券投资基金基金经理。</w:t>
            </w:r>
          </w:p>
        </w:tc>
      </w:tr>
    </w:tbl>
    <w:p w:rsidR="00750D48" w:rsidRPr="00232B03" w:rsidRDefault="004115B9" w:rsidP="000A553F">
      <w:pPr>
        <w:spacing w:line="360" w:lineRule="auto"/>
        <w:rPr>
          <w:color w:val="000000"/>
          <w:sz w:val="24"/>
          <w:szCs w:val="24"/>
        </w:rPr>
      </w:pPr>
      <w:r w:rsidRPr="004115B9">
        <w:rPr>
          <w:noProof/>
          <w:color w:val="000000"/>
          <w:sz w:val="24"/>
          <w:szCs w:val="24"/>
        </w:rPr>
        <w:lastRenderedPageBreak/>
        <w:drawing>
          <wp:inline distT="0" distB="0" distL="0" distR="0">
            <wp:extent cx="5278120" cy="3356947"/>
            <wp:effectExtent l="0" t="0" r="0" b="0"/>
            <wp:docPr id="2" name="图片 2" descr="d:\Users\wenxueqian\Desktop\20200716-截图更新\纪玲云.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wenxueqian\Desktop\20200716-截图更新\纪玲云.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8120" cy="3356947"/>
                    </a:xfrm>
                    <a:prstGeom prst="rect">
                      <a:avLst/>
                    </a:prstGeom>
                    <a:noFill/>
                    <a:ln>
                      <a:noFill/>
                    </a:ln>
                  </pic:spPr>
                </pic:pic>
              </a:graphicData>
            </a:graphic>
          </wp:inline>
        </w:drawing>
      </w:r>
      <w:bookmarkStart w:id="0" w:name="_GoBack"/>
      <w:bookmarkEnd w:id="0"/>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R="00750D48" w:rsidRPr="00264E55" w:rsidRDefault="00750D48" w:rsidP="009E7C6A">
      <w:pPr>
        <w:spacing w:line="360" w:lineRule="auto"/>
        <w:rPr>
          <w:rFonts w:ascii="宋体"/>
          <w:color w:val="000000"/>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w:t>
      </w:r>
      <w:r w:rsidRPr="006C56AA">
        <w:rPr>
          <w:color w:val="000000"/>
          <w:sz w:val="24"/>
          <w:szCs w:val="24"/>
        </w:rPr>
        <w:t>“</w:t>
      </w:r>
      <w:r w:rsidRPr="006C56AA">
        <w:rPr>
          <w:color w:val="000000"/>
          <w:sz w:val="24"/>
          <w:szCs w:val="24"/>
        </w:rPr>
        <w:t>时间优先、价格优先</w:t>
      </w:r>
      <w:r w:rsidRPr="006C56AA">
        <w:rPr>
          <w:color w:val="000000"/>
          <w:sz w:val="24"/>
          <w:szCs w:val="24"/>
        </w:rPr>
        <w:t>”</w:t>
      </w:r>
      <w:r w:rsidRPr="006C56AA">
        <w:rPr>
          <w:color w:val="000000"/>
          <w:sz w:val="24"/>
          <w:szCs w:val="24"/>
        </w:rPr>
        <w:t>作为执行指令的基本原则，通过投资交易系统中的公平交易模块，以尽可能确保公平对待各投资组合。本报告期内，公平交易制度总体执行情况良好。</w:t>
      </w:r>
    </w:p>
    <w:p w:rsidR="00750D48" w:rsidRPr="00264E55" w:rsidRDefault="00750D48" w:rsidP="009E7C6A">
      <w:pPr>
        <w:spacing w:line="360" w:lineRule="auto"/>
        <w:rPr>
          <w:rFonts w:ascii="宋体"/>
          <w:color w:val="000000"/>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color w:val="000000"/>
            <w:sz w:val="24"/>
            <w:szCs w:val="24"/>
          </w:rPr>
          <w:lastRenderedPageBreak/>
          <w:t>4.3.2</w:t>
        </w:r>
      </w:smartTag>
      <w:r w:rsidRPr="00264E55">
        <w:rPr>
          <w:rFonts w:ascii="宋体" w:hAnsi="宋体" w:hint="eastAsia"/>
          <w:color w:val="000000"/>
          <w:sz w:val="24"/>
          <w:szCs w:val="24"/>
        </w:rPr>
        <w:t>异常交易行为的专项说明</w:t>
      </w:r>
    </w:p>
    <w:p w:rsidR="002B4BB2" w:rsidRDefault="004865A0">
      <w:pPr>
        <w:spacing w:line="360" w:lineRule="auto"/>
        <w:ind w:firstLineChars="200" w:firstLine="48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w:t>
      </w:r>
      <w:r>
        <w:rPr>
          <w:color w:val="000000"/>
          <w:sz w:val="24"/>
          <w:szCs w:val="24"/>
        </w:rPr>
        <w:t>5%</w:t>
      </w:r>
      <w:r>
        <w:rPr>
          <w:color w:val="000000"/>
          <w:sz w:val="24"/>
          <w:szCs w:val="24"/>
        </w:rPr>
        <w:t>的交易共</w:t>
      </w:r>
      <w:r>
        <w:rPr>
          <w:color w:val="000000"/>
          <w:sz w:val="24"/>
          <w:szCs w:val="24"/>
        </w:rPr>
        <w:t>42</w:t>
      </w:r>
      <w:r>
        <w:rPr>
          <w:color w:val="000000"/>
          <w:sz w:val="24"/>
          <w:szCs w:val="24"/>
        </w:rPr>
        <w:t>次，均为指数量化投资组合因投资策略需要和其他组合发生的反向交易。</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本报告期内，未发现本基金有可能导致不公平交易和利益输送的异常交易。</w:t>
      </w:r>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R="00750D48" w:rsidRPr="00264E55" w:rsidRDefault="00750D48" w:rsidP="009E7C6A">
      <w:pPr>
        <w:spacing w:line="360" w:lineRule="auto"/>
        <w:rPr>
          <w:rFonts w:asci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cs="宋体"/>
            <w:sz w:val="24"/>
            <w:szCs w:val="24"/>
          </w:rPr>
          <w:t>4.4.1</w:t>
        </w:r>
      </w:smartTag>
      <w:r w:rsidRPr="00264E55">
        <w:rPr>
          <w:rFonts w:ascii="宋体" w:hAnsi="宋体" w:cs="宋体" w:hint="eastAsia"/>
          <w:sz w:val="24"/>
          <w:szCs w:val="24"/>
        </w:rPr>
        <w:t>报告期内基金投资策略和运作分析</w:t>
      </w:r>
    </w:p>
    <w:p w:rsidR="002B4BB2" w:rsidRDefault="004865A0">
      <w:pPr>
        <w:spacing w:line="360" w:lineRule="auto"/>
        <w:ind w:firstLineChars="200" w:firstLine="480"/>
        <w:rPr>
          <w:color w:val="000000"/>
          <w:sz w:val="24"/>
          <w:szCs w:val="24"/>
        </w:rPr>
      </w:pPr>
      <w:r>
        <w:rPr>
          <w:color w:val="000000"/>
          <w:sz w:val="24"/>
          <w:szCs w:val="24"/>
        </w:rPr>
        <w:t>2020</w:t>
      </w:r>
      <w:r>
        <w:rPr>
          <w:color w:val="000000"/>
          <w:sz w:val="24"/>
          <w:szCs w:val="24"/>
        </w:rPr>
        <w:t>年二季度经济基本面进入疫情后的回升阶段。</w:t>
      </w:r>
      <w:r>
        <w:rPr>
          <w:color w:val="000000"/>
          <w:sz w:val="24"/>
          <w:szCs w:val="24"/>
        </w:rPr>
        <w:t>4</w:t>
      </w:r>
      <w:r>
        <w:rPr>
          <w:color w:val="000000"/>
          <w:sz w:val="24"/>
          <w:szCs w:val="24"/>
        </w:rPr>
        <w:t>月份经济增长出现较为快速的回升，结构上表现为工业增速好于投资增速、投资增速好于需求增速的特点。进入</w:t>
      </w:r>
      <w:r>
        <w:rPr>
          <w:color w:val="000000"/>
          <w:sz w:val="24"/>
          <w:szCs w:val="24"/>
        </w:rPr>
        <w:t>5</w:t>
      </w:r>
      <w:r>
        <w:rPr>
          <w:color w:val="000000"/>
          <w:sz w:val="24"/>
          <w:szCs w:val="24"/>
        </w:rPr>
        <w:t>月份之后经济回升速度有所放缓，但是下游需求恢复有所加快。从细分情况来看，基建投资和房地产投资恢复较快，房地产和汽车等非必须消费品销售恢复较快；制造业投资恢复较慢，截至</w:t>
      </w:r>
      <w:r>
        <w:rPr>
          <w:color w:val="000000"/>
          <w:sz w:val="24"/>
          <w:szCs w:val="24"/>
        </w:rPr>
        <w:t>5</w:t>
      </w:r>
      <w:r>
        <w:rPr>
          <w:color w:val="000000"/>
          <w:sz w:val="24"/>
          <w:szCs w:val="24"/>
        </w:rPr>
        <w:t>月份较疫情前仍有</w:t>
      </w:r>
      <w:r>
        <w:rPr>
          <w:color w:val="000000"/>
          <w:sz w:val="24"/>
          <w:szCs w:val="24"/>
        </w:rPr>
        <w:t>15%</w:t>
      </w:r>
      <w:r>
        <w:rPr>
          <w:color w:val="000000"/>
          <w:sz w:val="24"/>
          <w:szCs w:val="24"/>
        </w:rPr>
        <w:t>左右的降幅，零售中的餐饮恢复也相对较慢，截至</w:t>
      </w:r>
      <w:r>
        <w:rPr>
          <w:color w:val="000000"/>
          <w:sz w:val="24"/>
          <w:szCs w:val="24"/>
        </w:rPr>
        <w:t>5</w:t>
      </w:r>
      <w:r>
        <w:rPr>
          <w:color w:val="000000"/>
          <w:sz w:val="24"/>
          <w:szCs w:val="24"/>
        </w:rPr>
        <w:t>月份较疫情前仍有</w:t>
      </w:r>
      <w:r>
        <w:rPr>
          <w:color w:val="000000"/>
          <w:sz w:val="24"/>
          <w:szCs w:val="24"/>
        </w:rPr>
        <w:t>23%</w:t>
      </w:r>
      <w:r>
        <w:rPr>
          <w:color w:val="000000"/>
          <w:sz w:val="24"/>
          <w:szCs w:val="24"/>
        </w:rPr>
        <w:t>的降幅。</w:t>
      </w:r>
    </w:p>
    <w:p w:rsidR="002B4BB2" w:rsidRDefault="004865A0">
      <w:pPr>
        <w:spacing w:line="360" w:lineRule="auto"/>
        <w:ind w:firstLineChars="200" w:firstLine="480"/>
        <w:rPr>
          <w:color w:val="000000"/>
          <w:sz w:val="24"/>
          <w:szCs w:val="24"/>
        </w:rPr>
      </w:pPr>
      <w:r>
        <w:rPr>
          <w:color w:val="000000"/>
          <w:sz w:val="24"/>
          <w:szCs w:val="24"/>
        </w:rPr>
        <w:t>政策对冲在二季度有所加码，财政方面通过增加发行特别国债、增加专项债额度和提高赤字率的方式在短期内快速提升基建投资力度。货币政策则通过增加银行信贷额度、增加专项再贷款额度等方式侧重进行结构性宽松，并探索开发直达实体经济的货币宽松工具。总量货币政策在</w:t>
      </w:r>
      <w:r>
        <w:rPr>
          <w:color w:val="000000"/>
          <w:sz w:val="24"/>
          <w:szCs w:val="24"/>
        </w:rPr>
        <w:t>3</w:t>
      </w:r>
      <w:r>
        <w:rPr>
          <w:color w:val="000000"/>
          <w:sz w:val="24"/>
          <w:szCs w:val="24"/>
        </w:rPr>
        <w:t>、</w:t>
      </w:r>
      <w:r>
        <w:rPr>
          <w:color w:val="000000"/>
          <w:sz w:val="24"/>
          <w:szCs w:val="24"/>
        </w:rPr>
        <w:t>4</w:t>
      </w:r>
      <w:r>
        <w:rPr>
          <w:color w:val="000000"/>
          <w:sz w:val="24"/>
          <w:szCs w:val="24"/>
        </w:rPr>
        <w:t>月份宽松后，随即在</w:t>
      </w:r>
      <w:r>
        <w:rPr>
          <w:color w:val="000000"/>
          <w:sz w:val="24"/>
          <w:szCs w:val="24"/>
        </w:rPr>
        <w:t>5</w:t>
      </w:r>
      <w:r>
        <w:rPr>
          <w:color w:val="000000"/>
          <w:sz w:val="24"/>
          <w:szCs w:val="24"/>
        </w:rPr>
        <w:t>月份快速边际收紧，银行间融资成本从最低的</w:t>
      </w:r>
      <w:r>
        <w:rPr>
          <w:color w:val="000000"/>
          <w:sz w:val="24"/>
          <w:szCs w:val="24"/>
        </w:rPr>
        <w:t>1%</w:t>
      </w:r>
      <w:r>
        <w:rPr>
          <w:color w:val="000000"/>
          <w:sz w:val="24"/>
          <w:szCs w:val="24"/>
        </w:rPr>
        <w:t>以下的水平回升至</w:t>
      </w:r>
      <w:r>
        <w:rPr>
          <w:color w:val="000000"/>
          <w:sz w:val="24"/>
          <w:szCs w:val="24"/>
        </w:rPr>
        <w:t>2.2%</w:t>
      </w:r>
      <w:r>
        <w:rPr>
          <w:color w:val="000000"/>
          <w:sz w:val="24"/>
          <w:szCs w:val="24"/>
        </w:rPr>
        <w:t>附近。</w:t>
      </w:r>
    </w:p>
    <w:p w:rsidR="002B4BB2" w:rsidRDefault="004865A0">
      <w:pPr>
        <w:spacing w:line="360" w:lineRule="auto"/>
        <w:ind w:firstLineChars="200" w:firstLine="480"/>
        <w:rPr>
          <w:color w:val="000000"/>
          <w:sz w:val="24"/>
          <w:szCs w:val="24"/>
        </w:rPr>
      </w:pPr>
      <w:r>
        <w:rPr>
          <w:color w:val="000000"/>
          <w:sz w:val="24"/>
          <w:szCs w:val="24"/>
        </w:rPr>
        <w:t>债券市场收益率中枢和期限利差水平受货币政策变化影响，出现较为明显的波动。收益率曲线先陡峭化下行，</w:t>
      </w:r>
      <w:r>
        <w:rPr>
          <w:color w:val="000000"/>
          <w:sz w:val="24"/>
          <w:szCs w:val="24"/>
        </w:rPr>
        <w:t>5</w:t>
      </w:r>
      <w:r>
        <w:rPr>
          <w:color w:val="000000"/>
          <w:sz w:val="24"/>
          <w:szCs w:val="24"/>
        </w:rPr>
        <w:t>月之后出现快速的熊平走势，至</w:t>
      </w:r>
      <w:r>
        <w:rPr>
          <w:color w:val="000000"/>
          <w:sz w:val="24"/>
          <w:szCs w:val="24"/>
        </w:rPr>
        <w:t>6</w:t>
      </w:r>
      <w:r>
        <w:rPr>
          <w:color w:val="000000"/>
          <w:sz w:val="24"/>
          <w:szCs w:val="24"/>
        </w:rPr>
        <w:t>月底收益率水平基本达到疫情之后第一个工作日的水平。单看二季度的情况，</w:t>
      </w:r>
      <w:r>
        <w:rPr>
          <w:color w:val="000000"/>
          <w:sz w:val="24"/>
          <w:szCs w:val="24"/>
        </w:rPr>
        <w:t>10</w:t>
      </w:r>
      <w:r>
        <w:rPr>
          <w:color w:val="000000"/>
          <w:sz w:val="24"/>
          <w:szCs w:val="24"/>
        </w:rPr>
        <w:t>年金融债收益率上行</w:t>
      </w:r>
      <w:r>
        <w:rPr>
          <w:color w:val="000000"/>
          <w:sz w:val="24"/>
          <w:szCs w:val="24"/>
        </w:rPr>
        <w:t>15BP</w:t>
      </w:r>
      <w:r>
        <w:rPr>
          <w:color w:val="000000"/>
          <w:sz w:val="24"/>
          <w:szCs w:val="24"/>
        </w:rPr>
        <w:t>，</w:t>
      </w:r>
      <w:r>
        <w:rPr>
          <w:color w:val="000000"/>
          <w:sz w:val="24"/>
          <w:szCs w:val="24"/>
        </w:rPr>
        <w:t>3-5</w:t>
      </w:r>
      <w:r>
        <w:rPr>
          <w:color w:val="000000"/>
          <w:sz w:val="24"/>
          <w:szCs w:val="24"/>
        </w:rPr>
        <w:t>年金融债上行</w:t>
      </w:r>
      <w:r>
        <w:rPr>
          <w:color w:val="000000"/>
          <w:sz w:val="24"/>
          <w:szCs w:val="24"/>
        </w:rPr>
        <w:t>30-40BP</w:t>
      </w:r>
      <w:r>
        <w:rPr>
          <w:color w:val="000000"/>
          <w:sz w:val="24"/>
          <w:szCs w:val="24"/>
        </w:rPr>
        <w:t>。信用债券的利差同样出现先走扩后收缩的走势，高等级利差波动达到</w:t>
      </w:r>
      <w:r>
        <w:rPr>
          <w:color w:val="000000"/>
          <w:sz w:val="24"/>
          <w:szCs w:val="24"/>
        </w:rPr>
        <w:t>20-30BP</w:t>
      </w:r>
      <w:r>
        <w:rPr>
          <w:color w:val="000000"/>
          <w:sz w:val="24"/>
          <w:szCs w:val="24"/>
        </w:rPr>
        <w:t>。</w:t>
      </w:r>
      <w:r>
        <w:rPr>
          <w:color w:val="000000"/>
          <w:sz w:val="24"/>
          <w:szCs w:val="24"/>
        </w:rPr>
        <w:t>3</w:t>
      </w:r>
      <w:r>
        <w:rPr>
          <w:color w:val="000000"/>
          <w:sz w:val="24"/>
          <w:szCs w:val="24"/>
        </w:rPr>
        <w:t>、</w:t>
      </w:r>
      <w:r>
        <w:rPr>
          <w:color w:val="000000"/>
          <w:sz w:val="24"/>
          <w:szCs w:val="24"/>
        </w:rPr>
        <w:t>4</w:t>
      </w:r>
      <w:r>
        <w:rPr>
          <w:color w:val="000000"/>
          <w:sz w:val="24"/>
          <w:szCs w:val="24"/>
        </w:rPr>
        <w:t>月份基于货币政策宽松带来的期限利差和信用利差的拉升体现出市场认为疫情的影响更多视为短期负面冲击的判断。</w:t>
      </w:r>
    </w:p>
    <w:p w:rsidR="002B4BB2" w:rsidRDefault="004865A0">
      <w:pPr>
        <w:spacing w:line="360" w:lineRule="auto"/>
        <w:ind w:firstLineChars="200" w:firstLine="480"/>
        <w:rPr>
          <w:color w:val="000000"/>
          <w:sz w:val="24"/>
          <w:szCs w:val="24"/>
        </w:rPr>
      </w:pPr>
      <w:r>
        <w:rPr>
          <w:color w:val="000000"/>
          <w:sz w:val="24"/>
          <w:szCs w:val="24"/>
        </w:rPr>
        <w:t>权益市场二季度跟随经济复苏出现上涨行情，沪深</w:t>
      </w:r>
      <w:r>
        <w:rPr>
          <w:color w:val="000000"/>
          <w:sz w:val="24"/>
          <w:szCs w:val="24"/>
        </w:rPr>
        <w:t>300</w:t>
      </w:r>
      <w:r>
        <w:rPr>
          <w:color w:val="000000"/>
          <w:sz w:val="24"/>
          <w:szCs w:val="24"/>
        </w:rPr>
        <w:t>指数上涨</w:t>
      </w:r>
      <w:r>
        <w:rPr>
          <w:color w:val="000000"/>
          <w:sz w:val="24"/>
          <w:szCs w:val="24"/>
        </w:rPr>
        <w:t>12.96%</w:t>
      </w:r>
      <w:r>
        <w:rPr>
          <w:color w:val="000000"/>
          <w:sz w:val="24"/>
          <w:szCs w:val="24"/>
        </w:rPr>
        <w:t>，创业板指上涨</w:t>
      </w:r>
      <w:r>
        <w:rPr>
          <w:color w:val="000000"/>
          <w:sz w:val="24"/>
          <w:szCs w:val="24"/>
        </w:rPr>
        <w:t>30.25%</w:t>
      </w:r>
      <w:r>
        <w:rPr>
          <w:color w:val="000000"/>
          <w:sz w:val="24"/>
          <w:szCs w:val="24"/>
        </w:rPr>
        <w:t>。股票市场在二季度体现出明显的行业分化，表现相对较好的电子、医药、食品饮料等行业上涨在</w:t>
      </w:r>
      <w:r>
        <w:rPr>
          <w:color w:val="000000"/>
          <w:sz w:val="24"/>
          <w:szCs w:val="24"/>
        </w:rPr>
        <w:t>30%</w:t>
      </w:r>
      <w:r>
        <w:rPr>
          <w:color w:val="000000"/>
          <w:sz w:val="24"/>
          <w:szCs w:val="24"/>
        </w:rPr>
        <w:t>左右，而表现较差的建筑装饰、采掘、银行等行业分别下跌</w:t>
      </w:r>
      <w:r>
        <w:rPr>
          <w:color w:val="000000"/>
          <w:sz w:val="24"/>
          <w:szCs w:val="24"/>
        </w:rPr>
        <w:t>4%</w:t>
      </w:r>
      <w:r>
        <w:rPr>
          <w:color w:val="000000"/>
          <w:sz w:val="24"/>
          <w:szCs w:val="24"/>
        </w:rPr>
        <w:t>、</w:t>
      </w:r>
      <w:r>
        <w:rPr>
          <w:color w:val="000000"/>
          <w:sz w:val="24"/>
          <w:szCs w:val="24"/>
        </w:rPr>
        <w:t>1.7%</w:t>
      </w:r>
      <w:r>
        <w:rPr>
          <w:color w:val="000000"/>
          <w:sz w:val="24"/>
          <w:szCs w:val="24"/>
        </w:rPr>
        <w:t>和上涨</w:t>
      </w:r>
      <w:r>
        <w:rPr>
          <w:color w:val="000000"/>
          <w:sz w:val="24"/>
          <w:szCs w:val="24"/>
        </w:rPr>
        <w:t>0.97%</w:t>
      </w:r>
      <w:r>
        <w:rPr>
          <w:color w:val="000000"/>
          <w:sz w:val="24"/>
          <w:szCs w:val="24"/>
        </w:rPr>
        <w:t>。</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lastRenderedPageBreak/>
        <w:t>操作上，组合自</w:t>
      </w:r>
      <w:r w:rsidRPr="006C56AA">
        <w:rPr>
          <w:color w:val="000000"/>
          <w:sz w:val="24"/>
          <w:szCs w:val="24"/>
        </w:rPr>
        <w:t>5</w:t>
      </w:r>
      <w:r w:rsidRPr="006C56AA">
        <w:rPr>
          <w:color w:val="000000"/>
          <w:sz w:val="24"/>
          <w:szCs w:val="24"/>
        </w:rPr>
        <w:t>月上旬开始积极利用国债期货降低久期并调整期限结构，降低</w:t>
      </w:r>
      <w:r w:rsidRPr="006C56AA">
        <w:rPr>
          <w:color w:val="000000"/>
          <w:sz w:val="24"/>
          <w:szCs w:val="24"/>
        </w:rPr>
        <w:t>0-5</w:t>
      </w:r>
      <w:r w:rsidRPr="006C56AA">
        <w:rPr>
          <w:color w:val="000000"/>
          <w:sz w:val="24"/>
          <w:szCs w:val="24"/>
        </w:rPr>
        <w:t>年期限段资产的风险暴露，在后续曲线平坦化上行的过程中降低了净值的负面冲击。权益方面以维持了相对偏低的仓位。</w:t>
      </w:r>
    </w:p>
    <w:p w:rsidR="00750D48" w:rsidRPr="00264E55" w:rsidRDefault="00750D48" w:rsidP="009E7C6A">
      <w:pPr>
        <w:spacing w:line="360" w:lineRule="auto"/>
        <w:rPr>
          <w:rFonts w:asci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cs="宋体"/>
            <w:sz w:val="24"/>
            <w:szCs w:val="24"/>
          </w:rPr>
          <w:t>4.4.2</w:t>
        </w:r>
      </w:smartTag>
      <w:r w:rsidRPr="00264E55">
        <w:rPr>
          <w:rFonts w:ascii="宋体" w:hAnsi="宋体" w:cs="宋体" w:hint="eastAsia"/>
          <w:sz w:val="24"/>
          <w:szCs w:val="24"/>
        </w:rPr>
        <w:t>报告期内基金的业绩表现</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截至报告期末，本基金份额净值为</w:t>
      </w:r>
      <w:r w:rsidRPr="006C56AA">
        <w:rPr>
          <w:color w:val="000000"/>
          <w:sz w:val="24"/>
          <w:szCs w:val="24"/>
        </w:rPr>
        <w:t>1.0281</w:t>
      </w:r>
      <w:r w:rsidRPr="006C56AA">
        <w:rPr>
          <w:color w:val="000000"/>
          <w:sz w:val="24"/>
          <w:szCs w:val="24"/>
        </w:rPr>
        <w:t>元，本报告期份额净值增长率为</w:t>
      </w:r>
      <w:r w:rsidRPr="006C56AA">
        <w:rPr>
          <w:color w:val="000000"/>
          <w:sz w:val="24"/>
          <w:szCs w:val="24"/>
        </w:rPr>
        <w:t>0.33%</w:t>
      </w:r>
      <w:r w:rsidRPr="006C56AA">
        <w:rPr>
          <w:color w:val="000000"/>
          <w:sz w:val="24"/>
          <w:szCs w:val="24"/>
        </w:rPr>
        <w:t>，同期业绩比较基准收益率为</w:t>
      </w:r>
      <w:r w:rsidRPr="006C56AA">
        <w:rPr>
          <w:color w:val="000000"/>
          <w:sz w:val="24"/>
          <w:szCs w:val="24"/>
        </w:rPr>
        <w:t>1.09%</w:t>
      </w:r>
      <w:r w:rsidRPr="006C56AA">
        <w:rPr>
          <w:color w:val="000000"/>
          <w:sz w:val="24"/>
          <w:szCs w:val="24"/>
        </w:rPr>
        <w:t>。</w:t>
      </w: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3357"/>
        <w:gridCol w:w="2977"/>
        <w:gridCol w:w="1843"/>
      </w:tblGrid>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序号</w:t>
            </w:r>
          </w:p>
        </w:tc>
        <w:tc>
          <w:tcPr>
            <w:tcW w:w="3357"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项目</w:t>
            </w:r>
          </w:p>
        </w:tc>
        <w:tc>
          <w:tcPr>
            <w:tcW w:w="2977"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w="1843"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1</w:t>
            </w: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权益投资</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25,630,086.52</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2.84</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其中：股票</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25,630,086.52</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2.84</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2</w:t>
            </w: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固定收益投资</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836,087,800.00</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92.58</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其中：债券</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819,250,100.00</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90.72</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p>
        </w:tc>
        <w:tc>
          <w:tcPr>
            <w:tcW w:w="3357" w:type="dxa"/>
            <w:vAlign w:val="center"/>
          </w:tcPr>
          <w:p w:rsidR="00750D48" w:rsidRPr="00232B03" w:rsidRDefault="00750D48" w:rsidP="00B05049">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16,837,700.00</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1.86</w:t>
            </w:r>
          </w:p>
        </w:tc>
      </w:tr>
      <w:tr w:rsidR="00750D48" w:rsidRPr="00264E55" w:rsidTr="00B05049">
        <w:trPr>
          <w:jc w:val="center"/>
        </w:trPr>
        <w:tc>
          <w:tcPr>
            <w:tcW w:w="720" w:type="dxa"/>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3</w:t>
            </w:r>
          </w:p>
        </w:tc>
        <w:tc>
          <w:tcPr>
            <w:tcW w:w="3357" w:type="dxa"/>
          </w:tcPr>
          <w:p w:rsidR="00750D48" w:rsidRPr="00232B03" w:rsidRDefault="00750D48" w:rsidP="00EB572F">
            <w:pPr>
              <w:spacing w:before="29" w:line="360" w:lineRule="auto"/>
              <w:ind w:leftChars="50" w:left="105"/>
              <w:rPr>
                <w:color w:val="000000"/>
                <w:kern w:val="0"/>
                <w:sz w:val="24"/>
                <w:szCs w:val="24"/>
              </w:rPr>
            </w:pPr>
            <w:r w:rsidRPr="00232B03">
              <w:rPr>
                <w:color w:val="000000"/>
                <w:kern w:val="0"/>
                <w:sz w:val="24"/>
                <w:szCs w:val="24"/>
              </w:rPr>
              <w:t>贵金属投资</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4</w:t>
            </w:r>
          </w:p>
        </w:tc>
        <w:tc>
          <w:tcPr>
            <w:tcW w:w="3357" w:type="dxa"/>
            <w:vAlign w:val="center"/>
          </w:tcPr>
          <w:p w:rsidR="00750D48" w:rsidRPr="00232B03" w:rsidRDefault="00750D48" w:rsidP="00B05049">
            <w:pPr>
              <w:spacing w:before="29" w:line="360" w:lineRule="auto"/>
              <w:ind w:left="17"/>
              <w:jc w:val="left"/>
              <w:rPr>
                <w:color w:val="000000"/>
                <w:kern w:val="0"/>
                <w:sz w:val="24"/>
                <w:szCs w:val="24"/>
              </w:rPr>
            </w:pPr>
            <w:r w:rsidRPr="00232B03">
              <w:rPr>
                <w:color w:val="000000"/>
                <w:kern w:val="0"/>
                <w:sz w:val="24"/>
                <w:szCs w:val="24"/>
              </w:rPr>
              <w:t>金融衍生品投资</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5</w:t>
            </w: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买入返售金融资产</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6</w:t>
            </w: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银行存款和结算备付金合计</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23,744,294.13</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2.63</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7</w:t>
            </w:r>
          </w:p>
        </w:tc>
        <w:tc>
          <w:tcPr>
            <w:tcW w:w="3357" w:type="dxa"/>
            <w:vAlign w:val="center"/>
          </w:tcPr>
          <w:p w:rsidR="00750D48" w:rsidRPr="00232B03" w:rsidRDefault="00750D48" w:rsidP="00B05049">
            <w:pPr>
              <w:jc w:val="left"/>
              <w:rPr>
                <w:kern w:val="0"/>
                <w:sz w:val="24"/>
                <w:szCs w:val="24"/>
              </w:rPr>
            </w:pPr>
            <w:r w:rsidRPr="00232B03">
              <w:rPr>
                <w:color w:val="000000"/>
                <w:kern w:val="0"/>
                <w:sz w:val="24"/>
                <w:szCs w:val="24"/>
              </w:rPr>
              <w:t>其他资产</w:t>
            </w:r>
          </w:p>
        </w:tc>
        <w:tc>
          <w:tcPr>
            <w:tcW w:w="2977" w:type="dxa"/>
            <w:vAlign w:val="center"/>
          </w:tcPr>
          <w:p w:rsidR="00750D48" w:rsidRPr="00232B03" w:rsidRDefault="00750D48" w:rsidP="00B05049">
            <w:pPr>
              <w:jc w:val="right"/>
              <w:rPr>
                <w:color w:val="000000"/>
                <w:kern w:val="0"/>
                <w:sz w:val="24"/>
                <w:szCs w:val="24"/>
              </w:rPr>
            </w:pPr>
            <w:r w:rsidRPr="00232B03">
              <w:rPr>
                <w:color w:val="000000"/>
                <w:kern w:val="0"/>
                <w:sz w:val="24"/>
                <w:szCs w:val="24"/>
              </w:rPr>
              <w:t>17,612,317.96</w:t>
            </w:r>
          </w:p>
        </w:tc>
        <w:tc>
          <w:tcPr>
            <w:tcW w:w="1843" w:type="dxa"/>
            <w:vAlign w:val="center"/>
          </w:tcPr>
          <w:p w:rsidR="00750D48" w:rsidRPr="00232B03" w:rsidRDefault="00750D48" w:rsidP="00B05049">
            <w:pPr>
              <w:jc w:val="right"/>
              <w:rPr>
                <w:color w:val="000000"/>
                <w:kern w:val="0"/>
                <w:sz w:val="24"/>
                <w:szCs w:val="24"/>
              </w:rPr>
            </w:pPr>
            <w:r w:rsidRPr="00232B03">
              <w:rPr>
                <w:color w:val="000000"/>
                <w:kern w:val="0"/>
                <w:sz w:val="24"/>
                <w:szCs w:val="24"/>
              </w:rPr>
              <w:t>1.95</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8</w:t>
            </w:r>
          </w:p>
        </w:tc>
        <w:tc>
          <w:tcPr>
            <w:tcW w:w="3357" w:type="dxa"/>
            <w:vAlign w:val="center"/>
          </w:tcPr>
          <w:p w:rsidR="00750D48" w:rsidRPr="00232B03" w:rsidRDefault="00750D48" w:rsidP="00B05049">
            <w:pPr>
              <w:jc w:val="left"/>
              <w:rPr>
                <w:kern w:val="0"/>
                <w:sz w:val="24"/>
                <w:szCs w:val="24"/>
              </w:rPr>
            </w:pPr>
            <w:r w:rsidRPr="00232B03">
              <w:rPr>
                <w:color w:val="000000"/>
                <w:kern w:val="0"/>
                <w:sz w:val="24"/>
                <w:szCs w:val="24"/>
              </w:rPr>
              <w:t>合计</w:t>
            </w:r>
          </w:p>
        </w:tc>
        <w:tc>
          <w:tcPr>
            <w:tcW w:w="2977" w:type="dxa"/>
            <w:vAlign w:val="center"/>
          </w:tcPr>
          <w:p w:rsidR="00750D48" w:rsidRPr="00232B03" w:rsidRDefault="00750D48" w:rsidP="00B05049">
            <w:pPr>
              <w:jc w:val="right"/>
              <w:rPr>
                <w:color w:val="000000"/>
                <w:kern w:val="0"/>
                <w:sz w:val="24"/>
                <w:szCs w:val="24"/>
              </w:rPr>
            </w:pPr>
            <w:r w:rsidRPr="00232B03">
              <w:rPr>
                <w:color w:val="000000"/>
                <w:kern w:val="0"/>
                <w:sz w:val="24"/>
                <w:szCs w:val="24"/>
              </w:rPr>
              <w:t>903,074,498.61</w:t>
            </w:r>
          </w:p>
        </w:tc>
        <w:tc>
          <w:tcPr>
            <w:tcW w:w="1843" w:type="dxa"/>
            <w:vAlign w:val="center"/>
          </w:tcPr>
          <w:p w:rsidR="00750D48" w:rsidRPr="00232B03" w:rsidRDefault="00750D48" w:rsidP="00B05049">
            <w:pPr>
              <w:jc w:val="right"/>
              <w:rPr>
                <w:color w:val="000000"/>
                <w:kern w:val="0"/>
                <w:sz w:val="24"/>
                <w:szCs w:val="24"/>
              </w:rPr>
            </w:pPr>
            <w:r w:rsidRPr="00232B03">
              <w:rPr>
                <w:color w:val="000000"/>
                <w:kern w:val="0"/>
                <w:sz w:val="24"/>
                <w:szCs w:val="24"/>
              </w:rPr>
              <w:t>100.00</w:t>
            </w:r>
          </w:p>
        </w:tc>
      </w:tr>
    </w:tbl>
    <w:p w:rsidR="008C2A4F" w:rsidRPr="00220C32" w:rsidRDefault="008C2A4F" w:rsidP="008C2A4F">
      <w:pPr>
        <w:autoSpaceDE w:val="0"/>
        <w:autoSpaceDN w:val="0"/>
        <w:adjustRightInd w:val="0"/>
        <w:spacing w:line="360" w:lineRule="auto"/>
        <w:jc w:val="left"/>
        <w:rPr>
          <w:rFonts w:asciiTheme="minorEastAsia" w:eastAsiaTheme="minorEastAsia" w:hAnsiTheme="minorEastAsia"/>
          <w:b/>
          <w:bCs/>
          <w:color w:val="000000" w:themeColor="text1"/>
          <w:kern w:val="0"/>
          <w:sz w:val="24"/>
          <w:szCs w:val="24"/>
        </w:rPr>
      </w:pPr>
      <w:r w:rsidRPr="00220C32">
        <w:rPr>
          <w:rFonts w:asciiTheme="minorEastAsia" w:eastAsiaTheme="minorEastAsia" w:hAnsiTheme="minorEastAsia"/>
          <w:b/>
          <w:bCs/>
          <w:color w:val="000000" w:themeColor="text1"/>
          <w:kern w:val="0"/>
          <w:sz w:val="24"/>
          <w:szCs w:val="24"/>
        </w:rPr>
        <w:t xml:space="preserve">5.2 </w:t>
      </w:r>
      <w:r w:rsidRPr="00220C32">
        <w:rPr>
          <w:rFonts w:asciiTheme="minorEastAsia" w:eastAsiaTheme="minorEastAsia" w:hAnsiTheme="minorEastAsia" w:hint="eastAsia"/>
          <w:b/>
          <w:bCs/>
          <w:color w:val="000000" w:themeColor="text1"/>
          <w:kern w:val="0"/>
          <w:sz w:val="24"/>
          <w:szCs w:val="24"/>
        </w:rPr>
        <w:t>报告期末按行业分类的股票投资组合</w:t>
      </w:r>
    </w:p>
    <w:p w:rsidR="008C2A4F" w:rsidRPr="000D7474" w:rsidRDefault="008C2A4F" w:rsidP="008C2A4F">
      <w:pPr>
        <w:rPr>
          <w:rFonts w:asciiTheme="minorEastAsia" w:eastAsiaTheme="minorEastAsia" w:hAnsiTheme="minorEastAsia"/>
          <w:b/>
          <w:bCs/>
          <w:color w:val="000000" w:themeColor="text1"/>
          <w:kern w:val="0"/>
          <w:sz w:val="24"/>
          <w:szCs w:val="24"/>
        </w:rPr>
      </w:pPr>
      <w:r w:rsidRPr="000D7474">
        <w:rPr>
          <w:rFonts w:asciiTheme="minorEastAsia" w:eastAsiaTheme="minorEastAsia" w:hAnsiTheme="minorEastAsia" w:hint="eastAsia"/>
          <w:b/>
          <w:bCs/>
          <w:color w:val="000000" w:themeColor="text1"/>
          <w:kern w:val="0"/>
          <w:sz w:val="24"/>
          <w:szCs w:val="24"/>
        </w:rPr>
        <w:t>5.2.1报告期末按行业分类的境内股票投资组合</w:t>
      </w:r>
    </w:p>
    <w:tbl>
      <w:tblPr>
        <w:tblW w:w="878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709"/>
        <w:gridCol w:w="3544"/>
        <w:gridCol w:w="2977"/>
        <w:gridCol w:w="1559"/>
      </w:tblGrid>
      <w:tr w:rsidR="008C2A4F" w:rsidRPr="008C2A4F" w:rsidTr="003B5535">
        <w:trPr>
          <w:trHeight w:val="390"/>
        </w:trPr>
        <w:tc>
          <w:tcPr>
            <w:tcW w:w="709" w:type="dxa"/>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代码</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行业类别</w:t>
            </w:r>
          </w:p>
        </w:tc>
        <w:tc>
          <w:tcPr>
            <w:tcW w:w="2977" w:type="dxa"/>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公允价值（元）</w:t>
            </w:r>
          </w:p>
        </w:tc>
        <w:tc>
          <w:tcPr>
            <w:tcW w:w="155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占基金资产净值比例（％）</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lastRenderedPageBreak/>
              <w:t>A</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农、林、牧、渔业</w:t>
            </w:r>
          </w:p>
        </w:tc>
        <w:tc>
          <w:tcPr>
            <w:tcW w:w="2977" w:type="dxa"/>
            <w:vAlign w:val="center"/>
          </w:tcPr>
          <w:p w:rsidR="008C2A4F" w:rsidRPr="008C2A4F" w:rsidRDefault="008C2A4F" w:rsidP="003328D9">
            <w:pPr>
              <w:autoSpaceDE w:val="0"/>
              <w:autoSpaceDN w:val="0"/>
              <w:adjustRightInd w:val="0"/>
              <w:spacing w:before="29" w:line="360" w:lineRule="auto"/>
              <w:ind w:left="15"/>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autoSpaceDE w:val="0"/>
              <w:autoSpaceDN w:val="0"/>
              <w:adjustRightInd w:val="0"/>
              <w:spacing w:before="29" w:line="360" w:lineRule="auto"/>
              <w:ind w:left="15"/>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B</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采矿业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p w:rsidR="008C2A4F" w:rsidRPr="008C2A4F" w:rsidRDefault="008C2A4F" w:rsidP="003328D9">
            <w:pPr>
              <w:jc w:val="right"/>
              <w:rPr>
                <w:rFonts w:eastAsiaTheme="minorEastAsia"/>
                <w:color w:val="000000" w:themeColor="text1"/>
                <w:kern w:val="0"/>
                <w:sz w:val="24"/>
                <w:szCs w:val="24"/>
              </w:rPr>
            </w:pP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p w:rsidR="008C2A4F" w:rsidRPr="008C2A4F" w:rsidRDefault="008C2A4F" w:rsidP="003328D9">
            <w:pPr>
              <w:jc w:val="right"/>
              <w:rPr>
                <w:rFonts w:eastAsiaTheme="minorEastAsia"/>
                <w:color w:val="000000" w:themeColor="text1"/>
                <w:kern w:val="0"/>
                <w:sz w:val="24"/>
                <w:szCs w:val="24"/>
              </w:rPr>
            </w:pP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C</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制造业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15,548,908.43</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2.73</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D</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电力、热力、燃气及水生产和供应业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12,766.32</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0.00</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E</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建筑业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221,940.00</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0.04</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F</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批发和零售业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G</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交通运输、仓储和邮政业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H</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住宿和餐饮业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I</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信息传输、软件和信息技术服务业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12,097.57</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0.00</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J</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金融业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6,305,691.00</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1.11</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K</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房地产业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3,528,683.20</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0.62</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L</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租赁和商务服务业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M</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科学研究和技术服务业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N</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水利、环境和公共设施管理业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O</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居民服务、修理和其他服务业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P</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教育</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Q</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卫生和社会工作</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R</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文化、体育和娱乐业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S</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综合</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合计</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25,630,086.52</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4.50</w:t>
            </w:r>
          </w:p>
        </w:tc>
      </w:tr>
    </w:tbl>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w="878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276"/>
        <w:gridCol w:w="1418"/>
        <w:gridCol w:w="1701"/>
        <w:gridCol w:w="1984"/>
        <w:gridCol w:w="1559"/>
      </w:tblGrid>
      <w:tr w:rsidR="00750D48" w:rsidRPr="00264E55" w:rsidTr="00191BDE">
        <w:tc>
          <w:tcPr>
            <w:tcW w:w="851"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序号</w:t>
            </w:r>
          </w:p>
        </w:tc>
        <w:tc>
          <w:tcPr>
            <w:tcW w:w="1276"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股票代码</w:t>
            </w:r>
          </w:p>
        </w:tc>
        <w:tc>
          <w:tcPr>
            <w:tcW w:w="1418"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股票名称</w:t>
            </w:r>
          </w:p>
        </w:tc>
        <w:tc>
          <w:tcPr>
            <w:tcW w:w="1701"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w="1984" w:type="dxa"/>
            <w:vAlign w:val="center"/>
          </w:tcPr>
          <w:p w:rsidR="00750D48" w:rsidRPr="00232B03" w:rsidRDefault="00750D48" w:rsidP="005F7917">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w="1559"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t>（％）</w:t>
            </w:r>
          </w:p>
        </w:tc>
      </w:tr>
      <w:tr w:rsidR="002B4BB2">
        <w:tc>
          <w:tcPr>
            <w:tcW w:w="851" w:type="dxa"/>
            <w:vAlign w:val="center"/>
          </w:tcPr>
          <w:p w:rsidR="002B4BB2" w:rsidRDefault="004865A0">
            <w:pPr>
              <w:jc w:val="center"/>
            </w:pPr>
            <w:r>
              <w:rPr>
                <w:color w:val="000000"/>
                <w:kern w:val="0"/>
                <w:sz w:val="24"/>
                <w:szCs w:val="24"/>
              </w:rPr>
              <w:t>1</w:t>
            </w:r>
          </w:p>
        </w:tc>
        <w:tc>
          <w:tcPr>
            <w:tcW w:w="1276" w:type="dxa"/>
            <w:vAlign w:val="center"/>
          </w:tcPr>
          <w:p w:rsidR="002B4BB2" w:rsidRDefault="004865A0">
            <w:pPr>
              <w:jc w:val="center"/>
            </w:pPr>
            <w:r>
              <w:rPr>
                <w:color w:val="000000"/>
                <w:kern w:val="0"/>
                <w:sz w:val="24"/>
                <w:szCs w:val="24"/>
              </w:rPr>
              <w:t>000401</w:t>
            </w:r>
          </w:p>
        </w:tc>
        <w:tc>
          <w:tcPr>
            <w:tcW w:w="1418" w:type="dxa"/>
            <w:vAlign w:val="center"/>
          </w:tcPr>
          <w:p w:rsidR="002B4BB2" w:rsidRDefault="004865A0">
            <w:pPr>
              <w:jc w:val="center"/>
            </w:pPr>
            <w:r>
              <w:rPr>
                <w:color w:val="000000"/>
                <w:kern w:val="0"/>
                <w:sz w:val="24"/>
                <w:szCs w:val="24"/>
              </w:rPr>
              <w:t>冀东水泥</w:t>
            </w:r>
          </w:p>
        </w:tc>
        <w:tc>
          <w:tcPr>
            <w:tcW w:w="1701" w:type="dxa"/>
            <w:vAlign w:val="center"/>
          </w:tcPr>
          <w:p w:rsidR="002B4BB2" w:rsidRDefault="004865A0">
            <w:pPr>
              <w:jc w:val="right"/>
            </w:pPr>
            <w:r>
              <w:rPr>
                <w:color w:val="000000"/>
                <w:kern w:val="0"/>
                <w:sz w:val="24"/>
                <w:szCs w:val="24"/>
              </w:rPr>
              <w:t>170,800</w:t>
            </w:r>
          </w:p>
        </w:tc>
        <w:tc>
          <w:tcPr>
            <w:tcW w:w="1984" w:type="dxa"/>
            <w:vAlign w:val="center"/>
          </w:tcPr>
          <w:p w:rsidR="002B4BB2" w:rsidRDefault="004865A0">
            <w:pPr>
              <w:jc w:val="right"/>
            </w:pPr>
            <w:r>
              <w:rPr>
                <w:color w:val="000000"/>
                <w:kern w:val="0"/>
                <w:sz w:val="24"/>
                <w:szCs w:val="24"/>
              </w:rPr>
              <w:t>2,739,632.00</w:t>
            </w:r>
          </w:p>
        </w:tc>
        <w:tc>
          <w:tcPr>
            <w:tcW w:w="1559" w:type="dxa"/>
            <w:vAlign w:val="center"/>
          </w:tcPr>
          <w:p w:rsidR="002B4BB2" w:rsidRDefault="004865A0">
            <w:pPr>
              <w:jc w:val="right"/>
            </w:pPr>
            <w:r>
              <w:rPr>
                <w:color w:val="000000"/>
                <w:kern w:val="0"/>
                <w:sz w:val="24"/>
                <w:szCs w:val="24"/>
              </w:rPr>
              <w:t>0.48</w:t>
            </w:r>
          </w:p>
        </w:tc>
      </w:tr>
      <w:tr w:rsidR="002B4BB2">
        <w:tc>
          <w:tcPr>
            <w:tcW w:w="851" w:type="dxa"/>
            <w:vAlign w:val="center"/>
          </w:tcPr>
          <w:p w:rsidR="002B4BB2" w:rsidRDefault="004865A0">
            <w:pPr>
              <w:jc w:val="center"/>
            </w:pPr>
            <w:r>
              <w:rPr>
                <w:color w:val="000000"/>
                <w:kern w:val="0"/>
                <w:sz w:val="24"/>
                <w:szCs w:val="24"/>
              </w:rPr>
              <w:t>2</w:t>
            </w:r>
          </w:p>
        </w:tc>
        <w:tc>
          <w:tcPr>
            <w:tcW w:w="1276" w:type="dxa"/>
            <w:vAlign w:val="center"/>
          </w:tcPr>
          <w:p w:rsidR="002B4BB2" w:rsidRDefault="004865A0">
            <w:pPr>
              <w:jc w:val="center"/>
            </w:pPr>
            <w:r>
              <w:rPr>
                <w:color w:val="000000"/>
                <w:kern w:val="0"/>
                <w:sz w:val="24"/>
                <w:szCs w:val="24"/>
              </w:rPr>
              <w:t>000001</w:t>
            </w:r>
          </w:p>
        </w:tc>
        <w:tc>
          <w:tcPr>
            <w:tcW w:w="1418" w:type="dxa"/>
            <w:vAlign w:val="center"/>
          </w:tcPr>
          <w:p w:rsidR="002B4BB2" w:rsidRDefault="004865A0">
            <w:pPr>
              <w:jc w:val="center"/>
            </w:pPr>
            <w:r>
              <w:rPr>
                <w:color w:val="000000"/>
                <w:kern w:val="0"/>
                <w:sz w:val="24"/>
                <w:szCs w:val="24"/>
              </w:rPr>
              <w:t>平安银行</w:t>
            </w:r>
          </w:p>
        </w:tc>
        <w:tc>
          <w:tcPr>
            <w:tcW w:w="1701" w:type="dxa"/>
            <w:vAlign w:val="center"/>
          </w:tcPr>
          <w:p w:rsidR="002B4BB2" w:rsidRDefault="004865A0">
            <w:pPr>
              <w:jc w:val="right"/>
            </w:pPr>
            <w:r>
              <w:rPr>
                <w:color w:val="000000"/>
                <w:kern w:val="0"/>
                <w:sz w:val="24"/>
                <w:szCs w:val="24"/>
              </w:rPr>
              <w:t>205,240</w:t>
            </w:r>
          </w:p>
        </w:tc>
        <w:tc>
          <w:tcPr>
            <w:tcW w:w="1984" w:type="dxa"/>
            <w:vAlign w:val="center"/>
          </w:tcPr>
          <w:p w:rsidR="002B4BB2" w:rsidRDefault="004865A0">
            <w:pPr>
              <w:jc w:val="right"/>
            </w:pPr>
            <w:r>
              <w:rPr>
                <w:color w:val="000000"/>
                <w:kern w:val="0"/>
                <w:sz w:val="24"/>
                <w:szCs w:val="24"/>
              </w:rPr>
              <w:t>2,627,072.00</w:t>
            </w:r>
          </w:p>
        </w:tc>
        <w:tc>
          <w:tcPr>
            <w:tcW w:w="1559" w:type="dxa"/>
            <w:vAlign w:val="center"/>
          </w:tcPr>
          <w:p w:rsidR="002B4BB2" w:rsidRDefault="004865A0">
            <w:pPr>
              <w:jc w:val="right"/>
            </w:pPr>
            <w:r>
              <w:rPr>
                <w:color w:val="000000"/>
                <w:kern w:val="0"/>
                <w:sz w:val="24"/>
                <w:szCs w:val="24"/>
              </w:rPr>
              <w:t>0.46</w:t>
            </w:r>
          </w:p>
        </w:tc>
      </w:tr>
      <w:tr w:rsidR="002B4BB2">
        <w:tc>
          <w:tcPr>
            <w:tcW w:w="851" w:type="dxa"/>
            <w:vAlign w:val="center"/>
          </w:tcPr>
          <w:p w:rsidR="002B4BB2" w:rsidRDefault="004865A0">
            <w:pPr>
              <w:jc w:val="center"/>
            </w:pPr>
            <w:r>
              <w:rPr>
                <w:color w:val="000000"/>
                <w:kern w:val="0"/>
                <w:sz w:val="24"/>
                <w:szCs w:val="24"/>
              </w:rPr>
              <w:t>3</w:t>
            </w:r>
          </w:p>
        </w:tc>
        <w:tc>
          <w:tcPr>
            <w:tcW w:w="1276" w:type="dxa"/>
            <w:vAlign w:val="center"/>
          </w:tcPr>
          <w:p w:rsidR="002B4BB2" w:rsidRDefault="004865A0">
            <w:pPr>
              <w:jc w:val="center"/>
            </w:pPr>
            <w:r>
              <w:rPr>
                <w:color w:val="000000"/>
                <w:kern w:val="0"/>
                <w:sz w:val="24"/>
                <w:szCs w:val="24"/>
              </w:rPr>
              <w:t>600690</w:t>
            </w:r>
          </w:p>
        </w:tc>
        <w:tc>
          <w:tcPr>
            <w:tcW w:w="1418" w:type="dxa"/>
            <w:vAlign w:val="center"/>
          </w:tcPr>
          <w:p w:rsidR="002B4BB2" w:rsidRDefault="004865A0">
            <w:pPr>
              <w:jc w:val="center"/>
            </w:pPr>
            <w:r>
              <w:rPr>
                <w:color w:val="000000"/>
                <w:kern w:val="0"/>
                <w:sz w:val="24"/>
                <w:szCs w:val="24"/>
              </w:rPr>
              <w:t>海尔智家</w:t>
            </w:r>
          </w:p>
        </w:tc>
        <w:tc>
          <w:tcPr>
            <w:tcW w:w="1701" w:type="dxa"/>
            <w:vAlign w:val="center"/>
          </w:tcPr>
          <w:p w:rsidR="002B4BB2" w:rsidRDefault="004865A0">
            <w:pPr>
              <w:jc w:val="right"/>
            </w:pPr>
            <w:r>
              <w:rPr>
                <w:color w:val="000000"/>
                <w:kern w:val="0"/>
                <w:sz w:val="24"/>
                <w:szCs w:val="24"/>
              </w:rPr>
              <w:t>135,100</w:t>
            </w:r>
          </w:p>
        </w:tc>
        <w:tc>
          <w:tcPr>
            <w:tcW w:w="1984" w:type="dxa"/>
            <w:vAlign w:val="center"/>
          </w:tcPr>
          <w:p w:rsidR="002B4BB2" w:rsidRDefault="004865A0">
            <w:pPr>
              <w:jc w:val="right"/>
            </w:pPr>
            <w:r>
              <w:rPr>
                <w:color w:val="000000"/>
                <w:kern w:val="0"/>
                <w:sz w:val="24"/>
                <w:szCs w:val="24"/>
              </w:rPr>
              <w:t>2,391,270.00</w:t>
            </w:r>
          </w:p>
        </w:tc>
        <w:tc>
          <w:tcPr>
            <w:tcW w:w="1559" w:type="dxa"/>
            <w:vAlign w:val="center"/>
          </w:tcPr>
          <w:p w:rsidR="002B4BB2" w:rsidRDefault="004865A0">
            <w:pPr>
              <w:jc w:val="right"/>
            </w:pPr>
            <w:r>
              <w:rPr>
                <w:color w:val="000000"/>
                <w:kern w:val="0"/>
                <w:sz w:val="24"/>
                <w:szCs w:val="24"/>
              </w:rPr>
              <w:t>0.42</w:t>
            </w:r>
          </w:p>
        </w:tc>
      </w:tr>
      <w:tr w:rsidR="002B4BB2">
        <w:tc>
          <w:tcPr>
            <w:tcW w:w="851" w:type="dxa"/>
            <w:vAlign w:val="center"/>
          </w:tcPr>
          <w:p w:rsidR="002B4BB2" w:rsidRDefault="004865A0">
            <w:pPr>
              <w:jc w:val="center"/>
            </w:pPr>
            <w:r>
              <w:rPr>
                <w:color w:val="000000"/>
                <w:kern w:val="0"/>
                <w:sz w:val="24"/>
                <w:szCs w:val="24"/>
              </w:rPr>
              <w:t>4</w:t>
            </w:r>
          </w:p>
        </w:tc>
        <w:tc>
          <w:tcPr>
            <w:tcW w:w="1276" w:type="dxa"/>
            <w:vAlign w:val="center"/>
          </w:tcPr>
          <w:p w:rsidR="002B4BB2" w:rsidRDefault="004865A0">
            <w:pPr>
              <w:jc w:val="center"/>
            </w:pPr>
            <w:r>
              <w:rPr>
                <w:color w:val="000000"/>
                <w:kern w:val="0"/>
                <w:sz w:val="24"/>
                <w:szCs w:val="24"/>
              </w:rPr>
              <w:t>002250</w:t>
            </w:r>
          </w:p>
        </w:tc>
        <w:tc>
          <w:tcPr>
            <w:tcW w:w="1418" w:type="dxa"/>
            <w:vAlign w:val="center"/>
          </w:tcPr>
          <w:p w:rsidR="002B4BB2" w:rsidRDefault="004865A0">
            <w:pPr>
              <w:jc w:val="center"/>
            </w:pPr>
            <w:r>
              <w:rPr>
                <w:color w:val="000000"/>
                <w:kern w:val="0"/>
                <w:sz w:val="24"/>
                <w:szCs w:val="24"/>
              </w:rPr>
              <w:t>联化科技</w:t>
            </w:r>
          </w:p>
        </w:tc>
        <w:tc>
          <w:tcPr>
            <w:tcW w:w="1701" w:type="dxa"/>
            <w:vAlign w:val="center"/>
          </w:tcPr>
          <w:p w:rsidR="002B4BB2" w:rsidRDefault="004865A0">
            <w:pPr>
              <w:jc w:val="right"/>
            </w:pPr>
            <w:r>
              <w:rPr>
                <w:color w:val="000000"/>
                <w:kern w:val="0"/>
                <w:sz w:val="24"/>
                <w:szCs w:val="24"/>
              </w:rPr>
              <w:t>108,300</w:t>
            </w:r>
          </w:p>
        </w:tc>
        <w:tc>
          <w:tcPr>
            <w:tcW w:w="1984" w:type="dxa"/>
            <w:vAlign w:val="center"/>
          </w:tcPr>
          <w:p w:rsidR="002B4BB2" w:rsidRDefault="004865A0">
            <w:pPr>
              <w:jc w:val="right"/>
            </w:pPr>
            <w:r>
              <w:rPr>
                <w:color w:val="000000"/>
                <w:kern w:val="0"/>
                <w:sz w:val="24"/>
                <w:szCs w:val="24"/>
              </w:rPr>
              <w:t>2,360,940.00</w:t>
            </w:r>
          </w:p>
        </w:tc>
        <w:tc>
          <w:tcPr>
            <w:tcW w:w="1559" w:type="dxa"/>
            <w:vAlign w:val="center"/>
          </w:tcPr>
          <w:p w:rsidR="002B4BB2" w:rsidRDefault="004865A0">
            <w:pPr>
              <w:jc w:val="right"/>
            </w:pPr>
            <w:r>
              <w:rPr>
                <w:color w:val="000000"/>
                <w:kern w:val="0"/>
                <w:sz w:val="24"/>
                <w:szCs w:val="24"/>
              </w:rPr>
              <w:t>0.41</w:t>
            </w:r>
          </w:p>
        </w:tc>
      </w:tr>
      <w:tr w:rsidR="002B4BB2">
        <w:tc>
          <w:tcPr>
            <w:tcW w:w="851" w:type="dxa"/>
            <w:vAlign w:val="center"/>
          </w:tcPr>
          <w:p w:rsidR="002B4BB2" w:rsidRDefault="004865A0">
            <w:pPr>
              <w:jc w:val="center"/>
            </w:pPr>
            <w:r>
              <w:rPr>
                <w:color w:val="000000"/>
                <w:kern w:val="0"/>
                <w:sz w:val="24"/>
                <w:szCs w:val="24"/>
              </w:rPr>
              <w:t>5</w:t>
            </w:r>
          </w:p>
        </w:tc>
        <w:tc>
          <w:tcPr>
            <w:tcW w:w="1276" w:type="dxa"/>
            <w:vAlign w:val="center"/>
          </w:tcPr>
          <w:p w:rsidR="002B4BB2" w:rsidRDefault="004865A0">
            <w:pPr>
              <w:jc w:val="center"/>
            </w:pPr>
            <w:r>
              <w:rPr>
                <w:color w:val="000000"/>
                <w:kern w:val="0"/>
                <w:sz w:val="24"/>
                <w:szCs w:val="24"/>
              </w:rPr>
              <w:t>600585</w:t>
            </w:r>
          </w:p>
        </w:tc>
        <w:tc>
          <w:tcPr>
            <w:tcW w:w="1418" w:type="dxa"/>
            <w:vAlign w:val="center"/>
          </w:tcPr>
          <w:p w:rsidR="002B4BB2" w:rsidRDefault="004865A0">
            <w:pPr>
              <w:jc w:val="center"/>
            </w:pPr>
            <w:r>
              <w:rPr>
                <w:color w:val="000000"/>
                <w:kern w:val="0"/>
                <w:sz w:val="24"/>
                <w:szCs w:val="24"/>
              </w:rPr>
              <w:t>海螺水泥</w:t>
            </w:r>
          </w:p>
        </w:tc>
        <w:tc>
          <w:tcPr>
            <w:tcW w:w="1701" w:type="dxa"/>
            <w:vAlign w:val="center"/>
          </w:tcPr>
          <w:p w:rsidR="002B4BB2" w:rsidRDefault="004865A0">
            <w:pPr>
              <w:jc w:val="right"/>
            </w:pPr>
            <w:r>
              <w:rPr>
                <w:color w:val="000000"/>
                <w:kern w:val="0"/>
                <w:sz w:val="24"/>
                <w:szCs w:val="24"/>
              </w:rPr>
              <w:t>42,900</w:t>
            </w:r>
          </w:p>
        </w:tc>
        <w:tc>
          <w:tcPr>
            <w:tcW w:w="1984" w:type="dxa"/>
            <w:vAlign w:val="center"/>
          </w:tcPr>
          <w:p w:rsidR="002B4BB2" w:rsidRDefault="004865A0">
            <w:pPr>
              <w:jc w:val="right"/>
            </w:pPr>
            <w:r>
              <w:rPr>
                <w:color w:val="000000"/>
                <w:kern w:val="0"/>
                <w:sz w:val="24"/>
                <w:szCs w:val="24"/>
              </w:rPr>
              <w:t>2,269,839.00</w:t>
            </w:r>
          </w:p>
        </w:tc>
        <w:tc>
          <w:tcPr>
            <w:tcW w:w="1559" w:type="dxa"/>
            <w:vAlign w:val="center"/>
          </w:tcPr>
          <w:p w:rsidR="002B4BB2" w:rsidRDefault="004865A0">
            <w:pPr>
              <w:jc w:val="right"/>
            </w:pPr>
            <w:r>
              <w:rPr>
                <w:color w:val="000000"/>
                <w:kern w:val="0"/>
                <w:sz w:val="24"/>
                <w:szCs w:val="24"/>
              </w:rPr>
              <w:t>0.40</w:t>
            </w:r>
          </w:p>
        </w:tc>
      </w:tr>
      <w:tr w:rsidR="002B4BB2">
        <w:tc>
          <w:tcPr>
            <w:tcW w:w="851" w:type="dxa"/>
            <w:vAlign w:val="center"/>
          </w:tcPr>
          <w:p w:rsidR="002B4BB2" w:rsidRDefault="004865A0">
            <w:pPr>
              <w:jc w:val="center"/>
            </w:pPr>
            <w:r>
              <w:rPr>
                <w:color w:val="000000"/>
                <w:kern w:val="0"/>
                <w:sz w:val="24"/>
                <w:szCs w:val="24"/>
              </w:rPr>
              <w:t>6</w:t>
            </w:r>
          </w:p>
        </w:tc>
        <w:tc>
          <w:tcPr>
            <w:tcW w:w="1276" w:type="dxa"/>
            <w:vAlign w:val="center"/>
          </w:tcPr>
          <w:p w:rsidR="002B4BB2" w:rsidRDefault="004865A0">
            <w:pPr>
              <w:jc w:val="center"/>
            </w:pPr>
            <w:r>
              <w:rPr>
                <w:color w:val="000000"/>
                <w:kern w:val="0"/>
                <w:sz w:val="24"/>
                <w:szCs w:val="24"/>
              </w:rPr>
              <w:t>000402</w:t>
            </w:r>
          </w:p>
        </w:tc>
        <w:tc>
          <w:tcPr>
            <w:tcW w:w="1418" w:type="dxa"/>
            <w:vAlign w:val="center"/>
          </w:tcPr>
          <w:p w:rsidR="002B4BB2" w:rsidRDefault="004865A0">
            <w:pPr>
              <w:jc w:val="center"/>
            </w:pPr>
            <w:r>
              <w:rPr>
                <w:color w:val="000000"/>
                <w:kern w:val="0"/>
                <w:sz w:val="24"/>
                <w:szCs w:val="24"/>
              </w:rPr>
              <w:t>金融街</w:t>
            </w:r>
          </w:p>
        </w:tc>
        <w:tc>
          <w:tcPr>
            <w:tcW w:w="1701" w:type="dxa"/>
            <w:vAlign w:val="center"/>
          </w:tcPr>
          <w:p w:rsidR="002B4BB2" w:rsidRDefault="004865A0">
            <w:pPr>
              <w:jc w:val="right"/>
            </w:pPr>
            <w:r>
              <w:rPr>
                <w:color w:val="000000"/>
                <w:kern w:val="0"/>
                <w:sz w:val="24"/>
                <w:szCs w:val="24"/>
              </w:rPr>
              <w:t>283,900</w:t>
            </w:r>
          </w:p>
        </w:tc>
        <w:tc>
          <w:tcPr>
            <w:tcW w:w="1984" w:type="dxa"/>
            <w:vAlign w:val="center"/>
          </w:tcPr>
          <w:p w:rsidR="002B4BB2" w:rsidRDefault="004865A0">
            <w:pPr>
              <w:jc w:val="right"/>
            </w:pPr>
            <w:r>
              <w:rPr>
                <w:color w:val="000000"/>
                <w:kern w:val="0"/>
                <w:sz w:val="24"/>
                <w:szCs w:val="24"/>
              </w:rPr>
              <w:t>1,885,096.00</w:t>
            </w:r>
          </w:p>
        </w:tc>
        <w:tc>
          <w:tcPr>
            <w:tcW w:w="1559" w:type="dxa"/>
            <w:vAlign w:val="center"/>
          </w:tcPr>
          <w:p w:rsidR="002B4BB2" w:rsidRDefault="004865A0">
            <w:pPr>
              <w:jc w:val="right"/>
            </w:pPr>
            <w:r>
              <w:rPr>
                <w:color w:val="000000"/>
                <w:kern w:val="0"/>
                <w:sz w:val="24"/>
                <w:szCs w:val="24"/>
              </w:rPr>
              <w:t>0.33</w:t>
            </w:r>
          </w:p>
        </w:tc>
      </w:tr>
      <w:tr w:rsidR="002B4BB2">
        <w:tc>
          <w:tcPr>
            <w:tcW w:w="851" w:type="dxa"/>
            <w:vAlign w:val="center"/>
          </w:tcPr>
          <w:p w:rsidR="002B4BB2" w:rsidRDefault="004865A0">
            <w:pPr>
              <w:jc w:val="center"/>
            </w:pPr>
            <w:r>
              <w:rPr>
                <w:color w:val="000000"/>
                <w:kern w:val="0"/>
                <w:sz w:val="24"/>
                <w:szCs w:val="24"/>
              </w:rPr>
              <w:t>7</w:t>
            </w:r>
          </w:p>
        </w:tc>
        <w:tc>
          <w:tcPr>
            <w:tcW w:w="1276" w:type="dxa"/>
            <w:vAlign w:val="center"/>
          </w:tcPr>
          <w:p w:rsidR="002B4BB2" w:rsidRDefault="004865A0">
            <w:pPr>
              <w:jc w:val="center"/>
            </w:pPr>
            <w:r>
              <w:rPr>
                <w:color w:val="000000"/>
                <w:kern w:val="0"/>
                <w:sz w:val="24"/>
                <w:szCs w:val="24"/>
              </w:rPr>
              <w:t>002415</w:t>
            </w:r>
          </w:p>
        </w:tc>
        <w:tc>
          <w:tcPr>
            <w:tcW w:w="1418" w:type="dxa"/>
            <w:vAlign w:val="center"/>
          </w:tcPr>
          <w:p w:rsidR="002B4BB2" w:rsidRDefault="004865A0">
            <w:pPr>
              <w:jc w:val="center"/>
            </w:pPr>
            <w:r>
              <w:rPr>
                <w:color w:val="000000"/>
                <w:kern w:val="0"/>
                <w:sz w:val="24"/>
                <w:szCs w:val="24"/>
              </w:rPr>
              <w:t>海康威视</w:t>
            </w:r>
          </w:p>
        </w:tc>
        <w:tc>
          <w:tcPr>
            <w:tcW w:w="1701" w:type="dxa"/>
            <w:vAlign w:val="center"/>
          </w:tcPr>
          <w:p w:rsidR="002B4BB2" w:rsidRDefault="004865A0">
            <w:pPr>
              <w:jc w:val="right"/>
            </w:pPr>
            <w:r>
              <w:rPr>
                <w:color w:val="000000"/>
                <w:kern w:val="0"/>
                <w:sz w:val="24"/>
                <w:szCs w:val="24"/>
              </w:rPr>
              <w:t>62,100</w:t>
            </w:r>
          </w:p>
        </w:tc>
        <w:tc>
          <w:tcPr>
            <w:tcW w:w="1984" w:type="dxa"/>
            <w:vAlign w:val="center"/>
          </w:tcPr>
          <w:p w:rsidR="002B4BB2" w:rsidRDefault="004865A0">
            <w:pPr>
              <w:jc w:val="right"/>
            </w:pPr>
            <w:r>
              <w:rPr>
                <w:color w:val="000000"/>
                <w:kern w:val="0"/>
                <w:sz w:val="24"/>
                <w:szCs w:val="24"/>
              </w:rPr>
              <w:t>1,884,735.00</w:t>
            </w:r>
          </w:p>
        </w:tc>
        <w:tc>
          <w:tcPr>
            <w:tcW w:w="1559" w:type="dxa"/>
            <w:vAlign w:val="center"/>
          </w:tcPr>
          <w:p w:rsidR="002B4BB2" w:rsidRDefault="004865A0">
            <w:pPr>
              <w:jc w:val="right"/>
            </w:pPr>
            <w:r>
              <w:rPr>
                <w:color w:val="000000"/>
                <w:kern w:val="0"/>
                <w:sz w:val="24"/>
                <w:szCs w:val="24"/>
              </w:rPr>
              <w:t>0.33</w:t>
            </w:r>
          </w:p>
        </w:tc>
      </w:tr>
      <w:tr w:rsidR="002B4BB2">
        <w:tc>
          <w:tcPr>
            <w:tcW w:w="851" w:type="dxa"/>
            <w:vAlign w:val="center"/>
          </w:tcPr>
          <w:p w:rsidR="002B4BB2" w:rsidRDefault="004865A0">
            <w:pPr>
              <w:jc w:val="center"/>
            </w:pPr>
            <w:r>
              <w:rPr>
                <w:color w:val="000000"/>
                <w:kern w:val="0"/>
                <w:sz w:val="24"/>
                <w:szCs w:val="24"/>
              </w:rPr>
              <w:t>8</w:t>
            </w:r>
          </w:p>
        </w:tc>
        <w:tc>
          <w:tcPr>
            <w:tcW w:w="1276" w:type="dxa"/>
            <w:vAlign w:val="center"/>
          </w:tcPr>
          <w:p w:rsidR="002B4BB2" w:rsidRDefault="004865A0">
            <w:pPr>
              <w:jc w:val="center"/>
            </w:pPr>
            <w:r>
              <w:rPr>
                <w:color w:val="000000"/>
                <w:kern w:val="0"/>
                <w:sz w:val="24"/>
                <w:szCs w:val="24"/>
              </w:rPr>
              <w:t>601636</w:t>
            </w:r>
          </w:p>
        </w:tc>
        <w:tc>
          <w:tcPr>
            <w:tcW w:w="1418" w:type="dxa"/>
            <w:vAlign w:val="center"/>
          </w:tcPr>
          <w:p w:rsidR="002B4BB2" w:rsidRDefault="004865A0">
            <w:pPr>
              <w:jc w:val="center"/>
            </w:pPr>
            <w:r>
              <w:rPr>
                <w:color w:val="000000"/>
                <w:kern w:val="0"/>
                <w:sz w:val="24"/>
                <w:szCs w:val="24"/>
              </w:rPr>
              <w:t>旗滨集团</w:t>
            </w:r>
          </w:p>
        </w:tc>
        <w:tc>
          <w:tcPr>
            <w:tcW w:w="1701" w:type="dxa"/>
            <w:vAlign w:val="center"/>
          </w:tcPr>
          <w:p w:rsidR="002B4BB2" w:rsidRDefault="004865A0">
            <w:pPr>
              <w:jc w:val="right"/>
            </w:pPr>
            <w:r>
              <w:rPr>
                <w:color w:val="000000"/>
                <w:kern w:val="0"/>
                <w:sz w:val="24"/>
                <w:szCs w:val="24"/>
              </w:rPr>
              <w:t>288,400</w:t>
            </w:r>
          </w:p>
        </w:tc>
        <w:tc>
          <w:tcPr>
            <w:tcW w:w="1984" w:type="dxa"/>
            <w:vAlign w:val="center"/>
          </w:tcPr>
          <w:p w:rsidR="002B4BB2" w:rsidRDefault="004865A0">
            <w:pPr>
              <w:jc w:val="right"/>
            </w:pPr>
            <w:r>
              <w:rPr>
                <w:color w:val="000000"/>
                <w:kern w:val="0"/>
                <w:sz w:val="24"/>
                <w:szCs w:val="24"/>
              </w:rPr>
              <w:t>1,707,328.00</w:t>
            </w:r>
          </w:p>
        </w:tc>
        <w:tc>
          <w:tcPr>
            <w:tcW w:w="1559" w:type="dxa"/>
            <w:vAlign w:val="center"/>
          </w:tcPr>
          <w:p w:rsidR="002B4BB2" w:rsidRDefault="004865A0">
            <w:pPr>
              <w:jc w:val="right"/>
            </w:pPr>
            <w:r>
              <w:rPr>
                <w:color w:val="000000"/>
                <w:kern w:val="0"/>
                <w:sz w:val="24"/>
                <w:szCs w:val="24"/>
              </w:rPr>
              <w:t>0.30</w:t>
            </w:r>
          </w:p>
        </w:tc>
      </w:tr>
      <w:tr w:rsidR="002B4BB2">
        <w:tc>
          <w:tcPr>
            <w:tcW w:w="851" w:type="dxa"/>
            <w:vAlign w:val="center"/>
          </w:tcPr>
          <w:p w:rsidR="002B4BB2" w:rsidRDefault="004865A0">
            <w:pPr>
              <w:jc w:val="center"/>
            </w:pPr>
            <w:r>
              <w:rPr>
                <w:color w:val="000000"/>
                <w:kern w:val="0"/>
                <w:sz w:val="24"/>
                <w:szCs w:val="24"/>
              </w:rPr>
              <w:lastRenderedPageBreak/>
              <w:t>9</w:t>
            </w:r>
          </w:p>
        </w:tc>
        <w:tc>
          <w:tcPr>
            <w:tcW w:w="1276" w:type="dxa"/>
            <w:vAlign w:val="center"/>
          </w:tcPr>
          <w:p w:rsidR="002B4BB2" w:rsidRDefault="004865A0">
            <w:pPr>
              <w:jc w:val="center"/>
            </w:pPr>
            <w:r>
              <w:rPr>
                <w:color w:val="000000"/>
                <w:kern w:val="0"/>
                <w:sz w:val="24"/>
                <w:szCs w:val="24"/>
              </w:rPr>
              <w:t>000656</w:t>
            </w:r>
          </w:p>
        </w:tc>
        <w:tc>
          <w:tcPr>
            <w:tcW w:w="1418" w:type="dxa"/>
            <w:vAlign w:val="center"/>
          </w:tcPr>
          <w:p w:rsidR="002B4BB2" w:rsidRDefault="004865A0">
            <w:pPr>
              <w:jc w:val="center"/>
            </w:pPr>
            <w:r>
              <w:rPr>
                <w:color w:val="000000"/>
                <w:kern w:val="0"/>
                <w:sz w:val="24"/>
                <w:szCs w:val="24"/>
              </w:rPr>
              <w:t>金科股份</w:t>
            </w:r>
          </w:p>
        </w:tc>
        <w:tc>
          <w:tcPr>
            <w:tcW w:w="1701" w:type="dxa"/>
            <w:vAlign w:val="center"/>
          </w:tcPr>
          <w:p w:rsidR="002B4BB2" w:rsidRDefault="004865A0">
            <w:pPr>
              <w:jc w:val="right"/>
            </w:pPr>
            <w:r>
              <w:rPr>
                <w:color w:val="000000"/>
                <w:kern w:val="0"/>
                <w:sz w:val="24"/>
                <w:szCs w:val="24"/>
              </w:rPr>
              <w:t>201,420</w:t>
            </w:r>
          </w:p>
        </w:tc>
        <w:tc>
          <w:tcPr>
            <w:tcW w:w="1984" w:type="dxa"/>
            <w:vAlign w:val="center"/>
          </w:tcPr>
          <w:p w:rsidR="002B4BB2" w:rsidRDefault="004865A0">
            <w:pPr>
              <w:jc w:val="right"/>
            </w:pPr>
            <w:r>
              <w:rPr>
                <w:color w:val="000000"/>
                <w:kern w:val="0"/>
                <w:sz w:val="24"/>
                <w:szCs w:val="24"/>
              </w:rPr>
              <w:t>1,643,587.20</w:t>
            </w:r>
          </w:p>
        </w:tc>
        <w:tc>
          <w:tcPr>
            <w:tcW w:w="1559" w:type="dxa"/>
            <w:vAlign w:val="center"/>
          </w:tcPr>
          <w:p w:rsidR="002B4BB2" w:rsidRDefault="004865A0">
            <w:pPr>
              <w:jc w:val="right"/>
            </w:pPr>
            <w:r>
              <w:rPr>
                <w:color w:val="000000"/>
                <w:kern w:val="0"/>
                <w:sz w:val="24"/>
                <w:szCs w:val="24"/>
              </w:rPr>
              <w:t>0.29</w:t>
            </w:r>
          </w:p>
        </w:tc>
      </w:tr>
      <w:tr w:rsidR="002B4BB2">
        <w:tc>
          <w:tcPr>
            <w:tcW w:w="851" w:type="dxa"/>
            <w:vAlign w:val="center"/>
          </w:tcPr>
          <w:p w:rsidR="002B4BB2" w:rsidRDefault="004865A0">
            <w:pPr>
              <w:jc w:val="center"/>
            </w:pPr>
            <w:r>
              <w:rPr>
                <w:color w:val="000000"/>
                <w:kern w:val="0"/>
                <w:sz w:val="24"/>
                <w:szCs w:val="24"/>
              </w:rPr>
              <w:t>10</w:t>
            </w:r>
          </w:p>
        </w:tc>
        <w:tc>
          <w:tcPr>
            <w:tcW w:w="1276" w:type="dxa"/>
            <w:vAlign w:val="center"/>
          </w:tcPr>
          <w:p w:rsidR="002B4BB2" w:rsidRDefault="004865A0">
            <w:pPr>
              <w:jc w:val="center"/>
            </w:pPr>
            <w:r>
              <w:rPr>
                <w:color w:val="000000"/>
                <w:kern w:val="0"/>
                <w:sz w:val="24"/>
                <w:szCs w:val="24"/>
              </w:rPr>
              <w:t>601398</w:t>
            </w:r>
          </w:p>
        </w:tc>
        <w:tc>
          <w:tcPr>
            <w:tcW w:w="1418" w:type="dxa"/>
            <w:vAlign w:val="center"/>
          </w:tcPr>
          <w:p w:rsidR="002B4BB2" w:rsidRDefault="004865A0">
            <w:pPr>
              <w:jc w:val="center"/>
            </w:pPr>
            <w:r>
              <w:rPr>
                <w:color w:val="000000"/>
                <w:kern w:val="0"/>
                <w:sz w:val="24"/>
                <w:szCs w:val="24"/>
              </w:rPr>
              <w:t>工商银行</w:t>
            </w:r>
          </w:p>
        </w:tc>
        <w:tc>
          <w:tcPr>
            <w:tcW w:w="1701" w:type="dxa"/>
            <w:vAlign w:val="center"/>
          </w:tcPr>
          <w:p w:rsidR="002B4BB2" w:rsidRDefault="004865A0">
            <w:pPr>
              <w:jc w:val="right"/>
            </w:pPr>
            <w:r>
              <w:rPr>
                <w:color w:val="000000"/>
                <w:kern w:val="0"/>
                <w:sz w:val="24"/>
                <w:szCs w:val="24"/>
              </w:rPr>
              <w:t>274,800</w:t>
            </w:r>
          </w:p>
        </w:tc>
        <w:tc>
          <w:tcPr>
            <w:tcW w:w="1984" w:type="dxa"/>
            <w:vAlign w:val="center"/>
          </w:tcPr>
          <w:p w:rsidR="002B4BB2" w:rsidRDefault="004865A0">
            <w:pPr>
              <w:jc w:val="right"/>
            </w:pPr>
            <w:r>
              <w:rPr>
                <w:color w:val="000000"/>
                <w:kern w:val="0"/>
                <w:sz w:val="24"/>
                <w:szCs w:val="24"/>
              </w:rPr>
              <w:t>1,368,504.00</w:t>
            </w:r>
          </w:p>
        </w:tc>
        <w:tc>
          <w:tcPr>
            <w:tcW w:w="1559" w:type="dxa"/>
            <w:vAlign w:val="center"/>
          </w:tcPr>
          <w:p w:rsidR="002B4BB2" w:rsidRDefault="004865A0">
            <w:pPr>
              <w:jc w:val="right"/>
            </w:pPr>
            <w:r>
              <w:rPr>
                <w:color w:val="000000"/>
                <w:kern w:val="0"/>
                <w:sz w:val="24"/>
                <w:szCs w:val="24"/>
              </w:rPr>
              <w:t>0.24</w:t>
            </w:r>
          </w:p>
        </w:tc>
      </w:tr>
    </w:tbl>
    <w:p w:rsidR="00CA4677" w:rsidRPr="00283CAD" w:rsidRDefault="00750D48" w:rsidP="00CA4677">
      <w:pPr>
        <w:autoSpaceDE w:val="0"/>
        <w:autoSpaceDN w:val="0"/>
        <w:adjustRightInd w:val="0"/>
        <w:spacing w:line="360" w:lineRule="auto"/>
        <w:jc w:val="left"/>
        <w:rPr>
          <w:rFonts w:eastAsiaTheme="minorEastAsia"/>
          <w:b/>
          <w:bCs/>
          <w:color w:val="000000" w:themeColor="text1"/>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w="8755" w:type="dxa"/>
        <w:jc w:val="center"/>
        <w:tblLayout w:type="fixed"/>
        <w:tblLook w:val="04A0" w:firstRow="1" w:lastRow="0" w:firstColumn="1" w:lastColumn="0" w:noHBand="0" w:noVBand="1"/>
      </w:tblPr>
      <w:tblGrid>
        <w:gridCol w:w="817"/>
        <w:gridCol w:w="3260"/>
        <w:gridCol w:w="2949"/>
        <w:gridCol w:w="1729"/>
      </w:tblGrid>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序号</w:t>
            </w:r>
          </w:p>
        </w:tc>
        <w:tc>
          <w:tcPr>
            <w:tcW w:w="3260"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债券品种</w:t>
            </w:r>
          </w:p>
        </w:tc>
        <w:tc>
          <w:tcPr>
            <w:tcW w:w="2949"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公允价值</w:t>
            </w:r>
            <w:r w:rsidRPr="00283CAD">
              <w:rPr>
                <w:rFonts w:eastAsiaTheme="minorEastAsia"/>
                <w:color w:val="000000" w:themeColor="text1"/>
                <w:sz w:val="24"/>
                <w:szCs w:val="24"/>
              </w:rPr>
              <w:t>(</w:t>
            </w:r>
            <w:r w:rsidRPr="00283CAD">
              <w:rPr>
                <w:rFonts w:eastAsiaTheme="minorEastAsia"/>
                <w:color w:val="000000" w:themeColor="text1"/>
                <w:sz w:val="24"/>
                <w:szCs w:val="24"/>
              </w:rPr>
              <w:t>元</w:t>
            </w: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占基金资产净值比例</w:t>
            </w:r>
            <w:r w:rsidRPr="00283CAD">
              <w:rPr>
                <w:rFonts w:eastAsiaTheme="minorEastAsia"/>
                <w:color w:val="000000" w:themeColor="text1"/>
                <w:sz w:val="24"/>
                <w:szCs w:val="24"/>
              </w:rPr>
              <w:t>(</w:t>
            </w:r>
            <w:r w:rsidRPr="00283CAD">
              <w:rPr>
                <w:rFonts w:eastAsiaTheme="minorEastAsia"/>
                <w:color w:val="000000" w:themeColor="text1"/>
                <w:sz w:val="24"/>
                <w:szCs w:val="24"/>
              </w:rPr>
              <w:t>％</w:t>
            </w: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1</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国家债券</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29,094,000.00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5.11</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2</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央行票据</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3</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金融债券</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其中：政策性金融债</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4</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企业债券</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378,673,100.00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66.47</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5</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企业短期融资券</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6</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中期票据</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411,483,000.00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72.23</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7</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可转债</w:t>
            </w:r>
            <w:r w:rsidR="004B5343" w:rsidRPr="004B5343">
              <w:rPr>
                <w:rFonts w:eastAsiaTheme="minorEastAsia" w:hint="eastAsia"/>
                <w:color w:val="000000" w:themeColor="text1"/>
                <w:sz w:val="24"/>
                <w:szCs w:val="24"/>
              </w:rPr>
              <w:t>（可交换债）</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8</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同业存单</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9</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其他</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10</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合计</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819,250,100.00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143.81</w:t>
            </w:r>
          </w:p>
        </w:tc>
      </w:tr>
    </w:tbl>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1276"/>
        <w:gridCol w:w="1275"/>
        <w:gridCol w:w="1560"/>
        <w:gridCol w:w="1984"/>
        <w:gridCol w:w="1474"/>
      </w:tblGrid>
      <w:tr w:rsidR="00750D48" w:rsidRPr="00264E55" w:rsidTr="005602F3">
        <w:tc>
          <w:tcPr>
            <w:tcW w:w="959"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序号</w:t>
            </w:r>
          </w:p>
        </w:tc>
        <w:tc>
          <w:tcPr>
            <w:tcW w:w="1276"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债券代码</w:t>
            </w:r>
          </w:p>
        </w:tc>
        <w:tc>
          <w:tcPr>
            <w:tcW w:w="1275"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债券名称</w:t>
            </w:r>
          </w:p>
        </w:tc>
        <w:tc>
          <w:tcPr>
            <w:tcW w:w="1560"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w="1984"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w="1474"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t>（％）</w:t>
            </w:r>
          </w:p>
        </w:tc>
      </w:tr>
      <w:tr w:rsidR="002B4BB2">
        <w:tc>
          <w:tcPr>
            <w:tcW w:w="959" w:type="dxa"/>
            <w:vAlign w:val="center"/>
          </w:tcPr>
          <w:p w:rsidR="002B4BB2" w:rsidRDefault="004865A0">
            <w:pPr>
              <w:jc w:val="center"/>
            </w:pPr>
            <w:r>
              <w:rPr>
                <w:color w:val="000000"/>
                <w:kern w:val="0"/>
                <w:sz w:val="24"/>
                <w:szCs w:val="24"/>
              </w:rPr>
              <w:t>1</w:t>
            </w:r>
          </w:p>
        </w:tc>
        <w:tc>
          <w:tcPr>
            <w:tcW w:w="1276" w:type="dxa"/>
            <w:vAlign w:val="center"/>
          </w:tcPr>
          <w:p w:rsidR="002B4BB2" w:rsidRDefault="004865A0">
            <w:pPr>
              <w:jc w:val="center"/>
            </w:pPr>
            <w:r>
              <w:rPr>
                <w:color w:val="000000"/>
                <w:kern w:val="0"/>
                <w:sz w:val="24"/>
                <w:szCs w:val="24"/>
              </w:rPr>
              <w:t>101901410</w:t>
            </w:r>
          </w:p>
        </w:tc>
        <w:tc>
          <w:tcPr>
            <w:tcW w:w="1275" w:type="dxa"/>
            <w:vAlign w:val="center"/>
          </w:tcPr>
          <w:p w:rsidR="002B4BB2" w:rsidRDefault="004865A0">
            <w:pPr>
              <w:jc w:val="center"/>
            </w:pPr>
            <w:r>
              <w:rPr>
                <w:color w:val="000000"/>
                <w:kern w:val="0"/>
                <w:sz w:val="24"/>
                <w:szCs w:val="24"/>
              </w:rPr>
              <w:t>19</w:t>
            </w:r>
            <w:r>
              <w:rPr>
                <w:color w:val="000000"/>
                <w:kern w:val="0"/>
                <w:sz w:val="24"/>
                <w:szCs w:val="24"/>
              </w:rPr>
              <w:t>光明</w:t>
            </w:r>
            <w:r>
              <w:rPr>
                <w:color w:val="000000"/>
                <w:kern w:val="0"/>
                <w:sz w:val="24"/>
                <w:szCs w:val="24"/>
              </w:rPr>
              <w:t>MTN001</w:t>
            </w:r>
          </w:p>
        </w:tc>
        <w:tc>
          <w:tcPr>
            <w:tcW w:w="1560" w:type="dxa"/>
            <w:vAlign w:val="center"/>
          </w:tcPr>
          <w:p w:rsidR="002B4BB2" w:rsidRDefault="004865A0">
            <w:pPr>
              <w:jc w:val="right"/>
            </w:pPr>
            <w:r>
              <w:rPr>
                <w:color w:val="000000"/>
                <w:kern w:val="0"/>
                <w:sz w:val="24"/>
                <w:szCs w:val="24"/>
              </w:rPr>
              <w:t>300,000</w:t>
            </w:r>
          </w:p>
        </w:tc>
        <w:tc>
          <w:tcPr>
            <w:tcW w:w="1984" w:type="dxa"/>
            <w:vAlign w:val="center"/>
          </w:tcPr>
          <w:p w:rsidR="002B4BB2" w:rsidRDefault="004865A0">
            <w:pPr>
              <w:jc w:val="right"/>
            </w:pPr>
            <w:r>
              <w:rPr>
                <w:color w:val="000000"/>
                <w:kern w:val="0"/>
                <w:sz w:val="24"/>
                <w:szCs w:val="24"/>
              </w:rPr>
              <w:t>30,321,000.00</w:t>
            </w:r>
          </w:p>
        </w:tc>
        <w:tc>
          <w:tcPr>
            <w:tcW w:w="1474" w:type="dxa"/>
            <w:vAlign w:val="center"/>
          </w:tcPr>
          <w:p w:rsidR="002B4BB2" w:rsidRDefault="004865A0">
            <w:pPr>
              <w:jc w:val="right"/>
            </w:pPr>
            <w:r>
              <w:rPr>
                <w:color w:val="000000"/>
                <w:kern w:val="0"/>
                <w:sz w:val="24"/>
                <w:szCs w:val="24"/>
              </w:rPr>
              <w:t>5.32</w:t>
            </w:r>
          </w:p>
        </w:tc>
      </w:tr>
      <w:tr w:rsidR="002B4BB2">
        <w:tc>
          <w:tcPr>
            <w:tcW w:w="959" w:type="dxa"/>
            <w:vAlign w:val="center"/>
          </w:tcPr>
          <w:p w:rsidR="002B4BB2" w:rsidRDefault="004865A0">
            <w:pPr>
              <w:jc w:val="center"/>
            </w:pPr>
            <w:r>
              <w:rPr>
                <w:color w:val="000000"/>
                <w:kern w:val="0"/>
                <w:sz w:val="24"/>
                <w:szCs w:val="24"/>
              </w:rPr>
              <w:t>2</w:t>
            </w:r>
          </w:p>
        </w:tc>
        <w:tc>
          <w:tcPr>
            <w:tcW w:w="1276" w:type="dxa"/>
            <w:vAlign w:val="center"/>
          </w:tcPr>
          <w:p w:rsidR="002B4BB2" w:rsidRDefault="004865A0">
            <w:pPr>
              <w:jc w:val="center"/>
            </w:pPr>
            <w:r>
              <w:rPr>
                <w:color w:val="000000"/>
                <w:kern w:val="0"/>
                <w:sz w:val="24"/>
                <w:szCs w:val="24"/>
              </w:rPr>
              <w:t>200004</w:t>
            </w:r>
          </w:p>
        </w:tc>
        <w:tc>
          <w:tcPr>
            <w:tcW w:w="1275" w:type="dxa"/>
            <w:vAlign w:val="center"/>
          </w:tcPr>
          <w:p w:rsidR="002B4BB2" w:rsidRDefault="004865A0">
            <w:pPr>
              <w:jc w:val="center"/>
            </w:pPr>
            <w:r>
              <w:rPr>
                <w:color w:val="000000"/>
                <w:kern w:val="0"/>
                <w:sz w:val="24"/>
                <w:szCs w:val="24"/>
              </w:rPr>
              <w:t>20</w:t>
            </w:r>
            <w:r>
              <w:rPr>
                <w:color w:val="000000"/>
                <w:kern w:val="0"/>
                <w:sz w:val="24"/>
                <w:szCs w:val="24"/>
              </w:rPr>
              <w:t>附息国债</w:t>
            </w:r>
            <w:r>
              <w:rPr>
                <w:color w:val="000000"/>
                <w:kern w:val="0"/>
                <w:sz w:val="24"/>
                <w:szCs w:val="24"/>
              </w:rPr>
              <w:t>04</w:t>
            </w:r>
          </w:p>
        </w:tc>
        <w:tc>
          <w:tcPr>
            <w:tcW w:w="1560" w:type="dxa"/>
            <w:vAlign w:val="center"/>
          </w:tcPr>
          <w:p w:rsidR="002B4BB2" w:rsidRDefault="004865A0">
            <w:pPr>
              <w:jc w:val="right"/>
            </w:pPr>
            <w:r>
              <w:rPr>
                <w:color w:val="000000"/>
                <w:kern w:val="0"/>
                <w:sz w:val="24"/>
                <w:szCs w:val="24"/>
              </w:rPr>
              <w:t>300,000</w:t>
            </w:r>
          </w:p>
        </w:tc>
        <w:tc>
          <w:tcPr>
            <w:tcW w:w="1984" w:type="dxa"/>
            <w:vAlign w:val="center"/>
          </w:tcPr>
          <w:p w:rsidR="002B4BB2" w:rsidRDefault="004865A0">
            <w:pPr>
              <w:jc w:val="right"/>
            </w:pPr>
            <w:r>
              <w:rPr>
                <w:color w:val="000000"/>
                <w:kern w:val="0"/>
                <w:sz w:val="24"/>
                <w:szCs w:val="24"/>
              </w:rPr>
              <w:t>29,094,000.00</w:t>
            </w:r>
          </w:p>
        </w:tc>
        <w:tc>
          <w:tcPr>
            <w:tcW w:w="1474" w:type="dxa"/>
            <w:vAlign w:val="center"/>
          </w:tcPr>
          <w:p w:rsidR="002B4BB2" w:rsidRDefault="004865A0">
            <w:pPr>
              <w:jc w:val="right"/>
            </w:pPr>
            <w:r>
              <w:rPr>
                <w:color w:val="000000"/>
                <w:kern w:val="0"/>
                <w:sz w:val="24"/>
                <w:szCs w:val="24"/>
              </w:rPr>
              <w:t>5.11</w:t>
            </w:r>
          </w:p>
        </w:tc>
      </w:tr>
      <w:tr w:rsidR="002B4BB2">
        <w:tc>
          <w:tcPr>
            <w:tcW w:w="959" w:type="dxa"/>
            <w:vAlign w:val="center"/>
          </w:tcPr>
          <w:p w:rsidR="002B4BB2" w:rsidRDefault="004865A0">
            <w:pPr>
              <w:jc w:val="center"/>
            </w:pPr>
            <w:r>
              <w:rPr>
                <w:color w:val="000000"/>
                <w:kern w:val="0"/>
                <w:sz w:val="24"/>
                <w:szCs w:val="24"/>
              </w:rPr>
              <w:t>3</w:t>
            </w:r>
          </w:p>
        </w:tc>
        <w:tc>
          <w:tcPr>
            <w:tcW w:w="1276" w:type="dxa"/>
            <w:vAlign w:val="center"/>
          </w:tcPr>
          <w:p w:rsidR="002B4BB2" w:rsidRDefault="004865A0">
            <w:pPr>
              <w:jc w:val="center"/>
            </w:pPr>
            <w:r>
              <w:rPr>
                <w:color w:val="000000"/>
                <w:kern w:val="0"/>
                <w:sz w:val="24"/>
                <w:szCs w:val="24"/>
              </w:rPr>
              <w:t>131900019</w:t>
            </w:r>
          </w:p>
        </w:tc>
        <w:tc>
          <w:tcPr>
            <w:tcW w:w="1275" w:type="dxa"/>
            <w:vAlign w:val="center"/>
          </w:tcPr>
          <w:p w:rsidR="002B4BB2" w:rsidRDefault="004865A0">
            <w:pPr>
              <w:jc w:val="center"/>
            </w:pPr>
            <w:r>
              <w:rPr>
                <w:color w:val="000000"/>
                <w:kern w:val="0"/>
                <w:sz w:val="24"/>
                <w:szCs w:val="24"/>
              </w:rPr>
              <w:t>19</w:t>
            </w:r>
            <w:r>
              <w:rPr>
                <w:color w:val="000000"/>
                <w:kern w:val="0"/>
                <w:sz w:val="24"/>
                <w:szCs w:val="24"/>
              </w:rPr>
              <w:t>重庆轨交</w:t>
            </w:r>
            <w:r>
              <w:rPr>
                <w:color w:val="000000"/>
                <w:kern w:val="0"/>
                <w:sz w:val="24"/>
                <w:szCs w:val="24"/>
              </w:rPr>
              <w:t>GN001</w:t>
            </w:r>
          </w:p>
        </w:tc>
        <w:tc>
          <w:tcPr>
            <w:tcW w:w="1560" w:type="dxa"/>
            <w:vAlign w:val="center"/>
          </w:tcPr>
          <w:p w:rsidR="002B4BB2" w:rsidRDefault="004865A0">
            <w:pPr>
              <w:jc w:val="right"/>
            </w:pPr>
            <w:r>
              <w:rPr>
                <w:color w:val="000000"/>
                <w:kern w:val="0"/>
                <w:sz w:val="24"/>
                <w:szCs w:val="24"/>
              </w:rPr>
              <w:t>200,000</w:t>
            </w:r>
          </w:p>
        </w:tc>
        <w:tc>
          <w:tcPr>
            <w:tcW w:w="1984" w:type="dxa"/>
            <w:vAlign w:val="center"/>
          </w:tcPr>
          <w:p w:rsidR="002B4BB2" w:rsidRDefault="004865A0">
            <w:pPr>
              <w:jc w:val="right"/>
            </w:pPr>
            <w:r>
              <w:rPr>
                <w:color w:val="000000"/>
                <w:kern w:val="0"/>
                <w:sz w:val="24"/>
                <w:szCs w:val="24"/>
              </w:rPr>
              <w:t>20,438,000.00</w:t>
            </w:r>
          </w:p>
        </w:tc>
        <w:tc>
          <w:tcPr>
            <w:tcW w:w="1474" w:type="dxa"/>
            <w:vAlign w:val="center"/>
          </w:tcPr>
          <w:p w:rsidR="002B4BB2" w:rsidRDefault="004865A0">
            <w:pPr>
              <w:jc w:val="right"/>
            </w:pPr>
            <w:r>
              <w:rPr>
                <w:color w:val="000000"/>
                <w:kern w:val="0"/>
                <w:sz w:val="24"/>
                <w:szCs w:val="24"/>
              </w:rPr>
              <w:t>3.59</w:t>
            </w:r>
          </w:p>
        </w:tc>
      </w:tr>
      <w:tr w:rsidR="002B4BB2">
        <w:tc>
          <w:tcPr>
            <w:tcW w:w="959" w:type="dxa"/>
            <w:vAlign w:val="center"/>
          </w:tcPr>
          <w:p w:rsidR="002B4BB2" w:rsidRDefault="004865A0">
            <w:pPr>
              <w:jc w:val="center"/>
            </w:pPr>
            <w:r>
              <w:rPr>
                <w:color w:val="000000"/>
                <w:kern w:val="0"/>
                <w:sz w:val="24"/>
                <w:szCs w:val="24"/>
              </w:rPr>
              <w:t>4</w:t>
            </w:r>
          </w:p>
        </w:tc>
        <w:tc>
          <w:tcPr>
            <w:tcW w:w="1276" w:type="dxa"/>
            <w:vAlign w:val="center"/>
          </w:tcPr>
          <w:p w:rsidR="002B4BB2" w:rsidRDefault="004865A0">
            <w:pPr>
              <w:jc w:val="center"/>
            </w:pPr>
            <w:r>
              <w:rPr>
                <w:color w:val="000000"/>
                <w:kern w:val="0"/>
                <w:sz w:val="24"/>
                <w:szCs w:val="24"/>
              </w:rPr>
              <w:t>136078</w:t>
            </w:r>
          </w:p>
        </w:tc>
        <w:tc>
          <w:tcPr>
            <w:tcW w:w="1275" w:type="dxa"/>
            <w:vAlign w:val="center"/>
          </w:tcPr>
          <w:p w:rsidR="002B4BB2" w:rsidRDefault="004865A0">
            <w:pPr>
              <w:jc w:val="center"/>
            </w:pPr>
            <w:r>
              <w:rPr>
                <w:color w:val="000000"/>
                <w:kern w:val="0"/>
                <w:sz w:val="24"/>
                <w:szCs w:val="24"/>
              </w:rPr>
              <w:t>15</w:t>
            </w:r>
            <w:r>
              <w:rPr>
                <w:color w:val="000000"/>
                <w:kern w:val="0"/>
                <w:sz w:val="24"/>
                <w:szCs w:val="24"/>
              </w:rPr>
              <w:t>禹洲</w:t>
            </w:r>
            <w:r>
              <w:rPr>
                <w:color w:val="000000"/>
                <w:kern w:val="0"/>
                <w:sz w:val="24"/>
                <w:szCs w:val="24"/>
              </w:rPr>
              <w:t>01</w:t>
            </w:r>
          </w:p>
        </w:tc>
        <w:tc>
          <w:tcPr>
            <w:tcW w:w="1560" w:type="dxa"/>
            <w:vAlign w:val="center"/>
          </w:tcPr>
          <w:p w:rsidR="002B4BB2" w:rsidRDefault="004865A0">
            <w:pPr>
              <w:jc w:val="right"/>
            </w:pPr>
            <w:r>
              <w:rPr>
                <w:color w:val="000000"/>
                <w:kern w:val="0"/>
                <w:sz w:val="24"/>
                <w:szCs w:val="24"/>
              </w:rPr>
              <w:t>200,000</w:t>
            </w:r>
          </w:p>
        </w:tc>
        <w:tc>
          <w:tcPr>
            <w:tcW w:w="1984" w:type="dxa"/>
            <w:vAlign w:val="center"/>
          </w:tcPr>
          <w:p w:rsidR="002B4BB2" w:rsidRDefault="004865A0">
            <w:pPr>
              <w:jc w:val="right"/>
            </w:pPr>
            <w:r>
              <w:rPr>
                <w:color w:val="000000"/>
                <w:kern w:val="0"/>
                <w:sz w:val="24"/>
                <w:szCs w:val="24"/>
              </w:rPr>
              <w:t>20,286,000.00</w:t>
            </w:r>
          </w:p>
        </w:tc>
        <w:tc>
          <w:tcPr>
            <w:tcW w:w="1474" w:type="dxa"/>
            <w:vAlign w:val="center"/>
          </w:tcPr>
          <w:p w:rsidR="002B4BB2" w:rsidRDefault="004865A0">
            <w:pPr>
              <w:jc w:val="right"/>
            </w:pPr>
            <w:r>
              <w:rPr>
                <w:color w:val="000000"/>
                <w:kern w:val="0"/>
                <w:sz w:val="24"/>
                <w:szCs w:val="24"/>
              </w:rPr>
              <w:t>3.56</w:t>
            </w:r>
          </w:p>
        </w:tc>
      </w:tr>
      <w:tr w:rsidR="002B4BB2">
        <w:tc>
          <w:tcPr>
            <w:tcW w:w="959" w:type="dxa"/>
            <w:vAlign w:val="center"/>
          </w:tcPr>
          <w:p w:rsidR="002B4BB2" w:rsidRDefault="004865A0">
            <w:pPr>
              <w:jc w:val="center"/>
            </w:pPr>
            <w:r>
              <w:rPr>
                <w:color w:val="000000"/>
                <w:kern w:val="0"/>
                <w:sz w:val="24"/>
                <w:szCs w:val="24"/>
              </w:rPr>
              <w:t>5</w:t>
            </w:r>
          </w:p>
        </w:tc>
        <w:tc>
          <w:tcPr>
            <w:tcW w:w="1276" w:type="dxa"/>
            <w:vAlign w:val="center"/>
          </w:tcPr>
          <w:p w:rsidR="002B4BB2" w:rsidRDefault="004865A0">
            <w:pPr>
              <w:jc w:val="center"/>
            </w:pPr>
            <w:r>
              <w:rPr>
                <w:color w:val="000000"/>
                <w:kern w:val="0"/>
                <w:sz w:val="24"/>
                <w:szCs w:val="24"/>
              </w:rPr>
              <w:t>101901267</w:t>
            </w:r>
          </w:p>
        </w:tc>
        <w:tc>
          <w:tcPr>
            <w:tcW w:w="1275" w:type="dxa"/>
            <w:vAlign w:val="center"/>
          </w:tcPr>
          <w:p w:rsidR="002B4BB2" w:rsidRDefault="004865A0">
            <w:pPr>
              <w:jc w:val="center"/>
            </w:pPr>
            <w:r>
              <w:rPr>
                <w:color w:val="000000"/>
                <w:kern w:val="0"/>
                <w:sz w:val="24"/>
                <w:szCs w:val="24"/>
              </w:rPr>
              <w:t>19</w:t>
            </w:r>
            <w:r>
              <w:rPr>
                <w:color w:val="000000"/>
                <w:kern w:val="0"/>
                <w:sz w:val="24"/>
                <w:szCs w:val="24"/>
              </w:rPr>
              <w:t>福新能源</w:t>
            </w:r>
            <w:r>
              <w:rPr>
                <w:color w:val="000000"/>
                <w:kern w:val="0"/>
                <w:sz w:val="24"/>
                <w:szCs w:val="24"/>
              </w:rPr>
              <w:t>MTN002</w:t>
            </w:r>
          </w:p>
        </w:tc>
        <w:tc>
          <w:tcPr>
            <w:tcW w:w="1560" w:type="dxa"/>
            <w:vAlign w:val="center"/>
          </w:tcPr>
          <w:p w:rsidR="002B4BB2" w:rsidRDefault="004865A0">
            <w:pPr>
              <w:jc w:val="right"/>
            </w:pPr>
            <w:r>
              <w:rPr>
                <w:color w:val="000000"/>
                <w:kern w:val="0"/>
                <w:sz w:val="24"/>
                <w:szCs w:val="24"/>
              </w:rPr>
              <w:t>200,000</w:t>
            </w:r>
          </w:p>
        </w:tc>
        <w:tc>
          <w:tcPr>
            <w:tcW w:w="1984" w:type="dxa"/>
            <w:vAlign w:val="center"/>
          </w:tcPr>
          <w:p w:rsidR="002B4BB2" w:rsidRDefault="004865A0">
            <w:pPr>
              <w:jc w:val="right"/>
            </w:pPr>
            <w:r>
              <w:rPr>
                <w:color w:val="000000"/>
                <w:kern w:val="0"/>
                <w:sz w:val="24"/>
                <w:szCs w:val="24"/>
              </w:rPr>
              <w:t>20,274,000.00</w:t>
            </w:r>
          </w:p>
        </w:tc>
        <w:tc>
          <w:tcPr>
            <w:tcW w:w="1474" w:type="dxa"/>
            <w:vAlign w:val="center"/>
          </w:tcPr>
          <w:p w:rsidR="002B4BB2" w:rsidRDefault="004865A0">
            <w:pPr>
              <w:jc w:val="right"/>
            </w:pPr>
            <w:r>
              <w:rPr>
                <w:color w:val="000000"/>
                <w:kern w:val="0"/>
                <w:sz w:val="24"/>
                <w:szCs w:val="24"/>
              </w:rPr>
              <w:t>3.56</w:t>
            </w:r>
          </w:p>
        </w:tc>
      </w:tr>
    </w:tbl>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1276"/>
        <w:gridCol w:w="1275"/>
        <w:gridCol w:w="1802"/>
        <w:gridCol w:w="1742"/>
        <w:gridCol w:w="1474"/>
      </w:tblGrid>
      <w:tr w:rsidR="00750D48" w:rsidRPr="00264E55" w:rsidTr="005602F3">
        <w:tc>
          <w:tcPr>
            <w:tcW w:w="959"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lastRenderedPageBreak/>
              <w:t>序号</w:t>
            </w:r>
          </w:p>
        </w:tc>
        <w:tc>
          <w:tcPr>
            <w:tcW w:w="1276"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证券代码</w:t>
            </w:r>
          </w:p>
        </w:tc>
        <w:tc>
          <w:tcPr>
            <w:tcW w:w="1275"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证券名称</w:t>
            </w:r>
          </w:p>
        </w:tc>
        <w:tc>
          <w:tcPr>
            <w:tcW w:w="1802"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（份）</w:t>
            </w:r>
          </w:p>
        </w:tc>
        <w:tc>
          <w:tcPr>
            <w:tcW w:w="1742"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w="1474"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t>（％）</w:t>
            </w:r>
          </w:p>
        </w:tc>
      </w:tr>
      <w:tr w:rsidR="002B4BB2">
        <w:tc>
          <w:tcPr>
            <w:tcW w:w="959" w:type="dxa"/>
            <w:vAlign w:val="center"/>
          </w:tcPr>
          <w:p w:rsidR="002B4BB2" w:rsidRDefault="004865A0">
            <w:pPr>
              <w:jc w:val="center"/>
            </w:pPr>
            <w:r>
              <w:rPr>
                <w:color w:val="000000"/>
                <w:kern w:val="0"/>
                <w:sz w:val="24"/>
                <w:szCs w:val="24"/>
              </w:rPr>
              <w:t>1</w:t>
            </w:r>
          </w:p>
        </w:tc>
        <w:tc>
          <w:tcPr>
            <w:tcW w:w="1276" w:type="dxa"/>
            <w:vAlign w:val="center"/>
          </w:tcPr>
          <w:p w:rsidR="002B4BB2" w:rsidRDefault="004865A0">
            <w:pPr>
              <w:jc w:val="center"/>
            </w:pPr>
            <w:r>
              <w:rPr>
                <w:color w:val="000000"/>
                <w:kern w:val="0"/>
                <w:sz w:val="24"/>
                <w:szCs w:val="24"/>
              </w:rPr>
              <w:t>138473</w:t>
            </w:r>
          </w:p>
        </w:tc>
        <w:tc>
          <w:tcPr>
            <w:tcW w:w="1275" w:type="dxa"/>
            <w:vAlign w:val="center"/>
          </w:tcPr>
          <w:p w:rsidR="002B4BB2" w:rsidRDefault="004865A0">
            <w:pPr>
              <w:jc w:val="center"/>
            </w:pPr>
            <w:r>
              <w:rPr>
                <w:color w:val="000000"/>
                <w:kern w:val="0"/>
                <w:sz w:val="24"/>
                <w:szCs w:val="24"/>
              </w:rPr>
              <w:t>南链优</w:t>
            </w:r>
            <w:r>
              <w:rPr>
                <w:color w:val="000000"/>
                <w:kern w:val="0"/>
                <w:sz w:val="24"/>
                <w:szCs w:val="24"/>
              </w:rPr>
              <w:t>05</w:t>
            </w:r>
          </w:p>
        </w:tc>
        <w:tc>
          <w:tcPr>
            <w:tcW w:w="1802" w:type="dxa"/>
            <w:vAlign w:val="center"/>
          </w:tcPr>
          <w:p w:rsidR="002B4BB2" w:rsidRDefault="004865A0">
            <w:pPr>
              <w:jc w:val="right"/>
            </w:pPr>
            <w:r>
              <w:rPr>
                <w:color w:val="000000"/>
                <w:kern w:val="0"/>
                <w:sz w:val="24"/>
                <w:szCs w:val="24"/>
              </w:rPr>
              <w:t>100,000</w:t>
            </w:r>
          </w:p>
        </w:tc>
        <w:tc>
          <w:tcPr>
            <w:tcW w:w="1742" w:type="dxa"/>
            <w:vAlign w:val="center"/>
          </w:tcPr>
          <w:p w:rsidR="002B4BB2" w:rsidRDefault="004865A0">
            <w:pPr>
              <w:jc w:val="right"/>
            </w:pPr>
            <w:r>
              <w:rPr>
                <w:color w:val="000000"/>
                <w:kern w:val="0"/>
                <w:sz w:val="24"/>
                <w:szCs w:val="24"/>
              </w:rPr>
              <w:t>10,018,000.00</w:t>
            </w:r>
          </w:p>
        </w:tc>
        <w:tc>
          <w:tcPr>
            <w:tcW w:w="1474" w:type="dxa"/>
            <w:vAlign w:val="center"/>
          </w:tcPr>
          <w:p w:rsidR="002B4BB2" w:rsidRDefault="004865A0">
            <w:pPr>
              <w:jc w:val="right"/>
            </w:pPr>
            <w:r>
              <w:rPr>
                <w:color w:val="000000"/>
                <w:kern w:val="0"/>
                <w:sz w:val="24"/>
                <w:szCs w:val="24"/>
              </w:rPr>
              <w:t>1.76</w:t>
            </w:r>
          </w:p>
        </w:tc>
      </w:tr>
      <w:tr w:rsidR="002B4BB2">
        <w:tc>
          <w:tcPr>
            <w:tcW w:w="959" w:type="dxa"/>
            <w:vAlign w:val="center"/>
          </w:tcPr>
          <w:p w:rsidR="002B4BB2" w:rsidRDefault="004865A0">
            <w:pPr>
              <w:jc w:val="center"/>
            </w:pPr>
            <w:r>
              <w:rPr>
                <w:color w:val="000000"/>
                <w:kern w:val="0"/>
                <w:sz w:val="24"/>
                <w:szCs w:val="24"/>
              </w:rPr>
              <w:t>2</w:t>
            </w:r>
          </w:p>
        </w:tc>
        <w:tc>
          <w:tcPr>
            <w:tcW w:w="1276" w:type="dxa"/>
            <w:vAlign w:val="center"/>
          </w:tcPr>
          <w:p w:rsidR="002B4BB2" w:rsidRDefault="004865A0">
            <w:pPr>
              <w:jc w:val="center"/>
            </w:pPr>
            <w:r>
              <w:rPr>
                <w:color w:val="000000"/>
                <w:kern w:val="0"/>
                <w:sz w:val="24"/>
                <w:szCs w:val="24"/>
              </w:rPr>
              <w:t>165814</w:t>
            </w:r>
          </w:p>
        </w:tc>
        <w:tc>
          <w:tcPr>
            <w:tcW w:w="1275" w:type="dxa"/>
            <w:vAlign w:val="center"/>
          </w:tcPr>
          <w:p w:rsidR="002B4BB2" w:rsidRDefault="004865A0">
            <w:pPr>
              <w:jc w:val="center"/>
            </w:pPr>
            <w:r>
              <w:rPr>
                <w:color w:val="000000"/>
                <w:kern w:val="0"/>
                <w:sz w:val="24"/>
                <w:szCs w:val="24"/>
              </w:rPr>
              <w:t>PR</w:t>
            </w:r>
            <w:r>
              <w:rPr>
                <w:color w:val="000000"/>
                <w:kern w:val="0"/>
                <w:sz w:val="24"/>
                <w:szCs w:val="24"/>
              </w:rPr>
              <w:t>安吉</w:t>
            </w:r>
            <w:r>
              <w:rPr>
                <w:color w:val="000000"/>
                <w:kern w:val="0"/>
                <w:sz w:val="24"/>
                <w:szCs w:val="24"/>
              </w:rPr>
              <w:t>5A</w:t>
            </w:r>
          </w:p>
        </w:tc>
        <w:tc>
          <w:tcPr>
            <w:tcW w:w="1802" w:type="dxa"/>
            <w:vAlign w:val="center"/>
          </w:tcPr>
          <w:p w:rsidR="002B4BB2" w:rsidRDefault="004865A0">
            <w:pPr>
              <w:jc w:val="right"/>
            </w:pPr>
            <w:r>
              <w:rPr>
                <w:color w:val="000000"/>
                <w:kern w:val="0"/>
                <w:sz w:val="24"/>
                <w:szCs w:val="24"/>
              </w:rPr>
              <w:t>70,000</w:t>
            </w:r>
          </w:p>
        </w:tc>
        <w:tc>
          <w:tcPr>
            <w:tcW w:w="1742" w:type="dxa"/>
            <w:vAlign w:val="center"/>
          </w:tcPr>
          <w:p w:rsidR="002B4BB2" w:rsidRDefault="004865A0">
            <w:pPr>
              <w:jc w:val="right"/>
            </w:pPr>
            <w:r>
              <w:rPr>
                <w:color w:val="000000"/>
                <w:kern w:val="0"/>
                <w:sz w:val="24"/>
                <w:szCs w:val="24"/>
              </w:rPr>
              <w:t>4,820,900.00</w:t>
            </w:r>
          </w:p>
        </w:tc>
        <w:tc>
          <w:tcPr>
            <w:tcW w:w="1474" w:type="dxa"/>
            <w:vAlign w:val="center"/>
          </w:tcPr>
          <w:p w:rsidR="002B4BB2" w:rsidRDefault="004865A0">
            <w:pPr>
              <w:jc w:val="right"/>
            </w:pPr>
            <w:r>
              <w:rPr>
                <w:color w:val="000000"/>
                <w:kern w:val="0"/>
                <w:sz w:val="24"/>
                <w:szCs w:val="24"/>
              </w:rPr>
              <w:t>0.85</w:t>
            </w:r>
          </w:p>
        </w:tc>
      </w:tr>
      <w:tr w:rsidR="002B4BB2">
        <w:tc>
          <w:tcPr>
            <w:tcW w:w="959" w:type="dxa"/>
            <w:vAlign w:val="center"/>
          </w:tcPr>
          <w:p w:rsidR="002B4BB2" w:rsidRDefault="004865A0">
            <w:pPr>
              <w:jc w:val="center"/>
            </w:pPr>
            <w:r>
              <w:rPr>
                <w:color w:val="000000"/>
                <w:kern w:val="0"/>
                <w:sz w:val="24"/>
                <w:szCs w:val="24"/>
              </w:rPr>
              <w:t>3</w:t>
            </w:r>
          </w:p>
        </w:tc>
        <w:tc>
          <w:tcPr>
            <w:tcW w:w="1276" w:type="dxa"/>
            <w:vAlign w:val="center"/>
          </w:tcPr>
          <w:p w:rsidR="002B4BB2" w:rsidRDefault="004865A0">
            <w:pPr>
              <w:jc w:val="center"/>
            </w:pPr>
            <w:r>
              <w:rPr>
                <w:color w:val="000000"/>
                <w:kern w:val="0"/>
                <w:sz w:val="24"/>
                <w:szCs w:val="24"/>
              </w:rPr>
              <w:t>165899</w:t>
            </w:r>
          </w:p>
        </w:tc>
        <w:tc>
          <w:tcPr>
            <w:tcW w:w="1275" w:type="dxa"/>
            <w:vAlign w:val="center"/>
          </w:tcPr>
          <w:p w:rsidR="002B4BB2" w:rsidRDefault="004865A0">
            <w:pPr>
              <w:jc w:val="center"/>
            </w:pPr>
            <w:r>
              <w:rPr>
                <w:color w:val="000000"/>
                <w:kern w:val="0"/>
                <w:sz w:val="24"/>
                <w:szCs w:val="24"/>
              </w:rPr>
              <w:t>悦秀</w:t>
            </w:r>
            <w:r>
              <w:rPr>
                <w:color w:val="000000"/>
                <w:kern w:val="0"/>
                <w:sz w:val="24"/>
                <w:szCs w:val="24"/>
              </w:rPr>
              <w:t>2</w:t>
            </w:r>
            <w:r>
              <w:rPr>
                <w:color w:val="000000"/>
                <w:kern w:val="0"/>
                <w:sz w:val="24"/>
                <w:szCs w:val="24"/>
              </w:rPr>
              <w:t>优</w:t>
            </w:r>
          </w:p>
        </w:tc>
        <w:tc>
          <w:tcPr>
            <w:tcW w:w="1802" w:type="dxa"/>
            <w:vAlign w:val="center"/>
          </w:tcPr>
          <w:p w:rsidR="002B4BB2" w:rsidRDefault="004865A0">
            <w:pPr>
              <w:jc w:val="right"/>
            </w:pPr>
            <w:r>
              <w:rPr>
                <w:color w:val="000000"/>
                <w:kern w:val="0"/>
                <w:sz w:val="24"/>
                <w:szCs w:val="24"/>
              </w:rPr>
              <w:t>20,000</w:t>
            </w:r>
          </w:p>
        </w:tc>
        <w:tc>
          <w:tcPr>
            <w:tcW w:w="1742" w:type="dxa"/>
            <w:vAlign w:val="center"/>
          </w:tcPr>
          <w:p w:rsidR="002B4BB2" w:rsidRDefault="004865A0">
            <w:pPr>
              <w:jc w:val="right"/>
            </w:pPr>
            <w:r>
              <w:rPr>
                <w:color w:val="000000"/>
                <w:kern w:val="0"/>
                <w:sz w:val="24"/>
                <w:szCs w:val="24"/>
              </w:rPr>
              <w:t>1,998,800.00</w:t>
            </w:r>
          </w:p>
        </w:tc>
        <w:tc>
          <w:tcPr>
            <w:tcW w:w="1474" w:type="dxa"/>
            <w:vAlign w:val="center"/>
          </w:tcPr>
          <w:p w:rsidR="002B4BB2" w:rsidRDefault="004865A0">
            <w:pPr>
              <w:jc w:val="right"/>
            </w:pPr>
            <w:r>
              <w:rPr>
                <w:color w:val="000000"/>
                <w:kern w:val="0"/>
                <w:sz w:val="24"/>
                <w:szCs w:val="24"/>
              </w:rPr>
              <w:t>0.35</w:t>
            </w:r>
          </w:p>
        </w:tc>
      </w:tr>
    </w:tbl>
    <w:p w:rsidR="00750D48" w:rsidRPr="001D63BB" w:rsidRDefault="00750D48" w:rsidP="001D63BB">
      <w:pPr>
        <w:autoSpaceDE w:val="0"/>
        <w:autoSpaceDN w:val="0"/>
        <w:adjustRightInd w:val="0"/>
        <w:spacing w:line="360" w:lineRule="auto"/>
        <w:jc w:val="left"/>
        <w:rPr>
          <w:rFonts w:ascii="宋体"/>
          <w:b/>
          <w:bCs/>
          <w:color w:val="000000"/>
          <w:kern w:val="0"/>
          <w:sz w:val="24"/>
          <w:szCs w:val="24"/>
        </w:rPr>
      </w:pPr>
      <w:r w:rsidRPr="001B0A62">
        <w:rPr>
          <w:rFonts w:ascii="宋体" w:hAnsi="宋体"/>
          <w:b/>
          <w:bCs/>
          <w:color w:val="000000"/>
          <w:kern w:val="0"/>
          <w:sz w:val="24"/>
          <w:szCs w:val="24"/>
        </w:rPr>
        <w:t>5.</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本基金本报告期末未持有贵金属。</w:t>
      </w:r>
    </w:p>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5.8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本基金本报告期末未持有权证。</w:t>
      </w:r>
    </w:p>
    <w:p w:rsidR="00750D48" w:rsidRPr="001B0A62" w:rsidRDefault="00750D48" w:rsidP="001B0A62">
      <w:pPr>
        <w:autoSpaceDE w:val="0"/>
        <w:autoSpaceDN w:val="0"/>
        <w:adjustRightInd w:val="0"/>
        <w:spacing w:line="360" w:lineRule="auto"/>
        <w:jc w:val="left"/>
        <w:rPr>
          <w:rFonts w:ascii="宋体"/>
          <w:b/>
          <w:bCs/>
          <w:color w:val="000000"/>
          <w:kern w:val="0"/>
          <w:sz w:val="24"/>
          <w:szCs w:val="24"/>
        </w:rPr>
      </w:pPr>
      <w:r w:rsidRPr="001B0A62">
        <w:rPr>
          <w:rFonts w:ascii="宋体" w:hAnsi="宋体"/>
          <w:b/>
          <w:bCs/>
          <w:color w:val="000000"/>
          <w:kern w:val="0"/>
          <w:sz w:val="24"/>
          <w:szCs w:val="24"/>
        </w:rPr>
        <w:t>5</w:t>
      </w:r>
      <w:r>
        <w:rPr>
          <w:rFonts w:ascii="宋体"/>
          <w:b/>
          <w:bCs/>
          <w:color w:val="000000"/>
          <w:kern w:val="0"/>
          <w:sz w:val="24"/>
          <w:szCs w:val="24"/>
        </w:rPr>
        <w:t>.</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R="00277FAE" w:rsidRDefault="00277FAE" w:rsidP="00277FAE">
      <w:pPr>
        <w:spacing w:line="360" w:lineRule="auto"/>
        <w:ind w:firstLineChars="200" w:firstLine="480"/>
        <w:rPr>
          <w:rFonts w:eastAsiaTheme="minorEastAsia"/>
          <w:color w:val="000000" w:themeColor="text1"/>
          <w:sz w:val="24"/>
        </w:rPr>
      </w:pPr>
      <w:r>
        <w:rPr>
          <w:rFonts w:eastAsiaTheme="minorEastAsia"/>
          <w:color w:val="000000" w:themeColor="text1"/>
          <w:sz w:val="24"/>
        </w:rPr>
        <w:t>本基金本报告期末未投资股指期货。</w:t>
      </w:r>
    </w:p>
    <w:p w:rsidR="00750D48" w:rsidRPr="001B0A62" w:rsidRDefault="00750D48" w:rsidP="001B0A62">
      <w:pPr>
        <w:autoSpaceDE w:val="0"/>
        <w:autoSpaceDN w:val="0"/>
        <w:adjustRightInd w:val="0"/>
        <w:spacing w:line="360" w:lineRule="auto"/>
        <w:jc w:val="left"/>
        <w:rPr>
          <w:rFonts w:ascii="宋体"/>
          <w:b/>
          <w:bCs/>
          <w:color w:val="000000"/>
          <w:kern w:val="0"/>
          <w:sz w:val="24"/>
          <w:szCs w:val="24"/>
        </w:rPr>
      </w:pPr>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R="00750D48" w:rsidRPr="001C7E00" w:rsidRDefault="00750D48" w:rsidP="001B0A62">
      <w:pPr>
        <w:autoSpaceDE w:val="0"/>
        <w:autoSpaceDN w:val="0"/>
        <w:adjustRightInd w:val="0"/>
        <w:spacing w:line="360" w:lineRule="auto"/>
        <w:jc w:val="left"/>
        <w:rPr>
          <w:rFonts w:ascii="宋体" w:hAnsi="宋体"/>
          <w:bCs/>
          <w:color w:val="000000"/>
          <w:kern w:val="0"/>
          <w:sz w:val="24"/>
          <w:szCs w:val="24"/>
        </w:rPr>
      </w:pPr>
      <w:r w:rsidRPr="001C7E00">
        <w:rPr>
          <w:rFonts w:ascii="宋体" w:hAnsi="宋体"/>
          <w:bCs/>
          <w:color w:val="000000"/>
          <w:kern w:val="0"/>
          <w:sz w:val="24"/>
          <w:szCs w:val="24"/>
        </w:rPr>
        <w:t xml:space="preserve">5.10.1 </w:t>
      </w:r>
      <w:r w:rsidRPr="001C7E00">
        <w:rPr>
          <w:rFonts w:ascii="宋体" w:hAnsi="宋体" w:hint="eastAsia"/>
          <w:bCs/>
          <w:color w:val="000000"/>
          <w:kern w:val="0"/>
          <w:sz w:val="24"/>
          <w:szCs w:val="24"/>
        </w:rPr>
        <w:t>本期国债期货投资政策</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本基金根据风险管理的原则，主要选择流动性好的国债期货合约进行交易，以对冲投资组合的利率风险。</w:t>
      </w:r>
    </w:p>
    <w:p w:rsidR="00277FAE" w:rsidRDefault="00750D48" w:rsidP="00277FAE">
      <w:pPr>
        <w:autoSpaceDE w:val="0"/>
        <w:autoSpaceDN w:val="0"/>
        <w:adjustRightInd w:val="0"/>
        <w:spacing w:line="360" w:lineRule="auto"/>
        <w:jc w:val="left"/>
        <w:rPr>
          <w:rFonts w:ascii="宋体" w:hAnsi="宋体"/>
          <w:bCs/>
          <w:color w:val="000000"/>
          <w:kern w:val="0"/>
          <w:sz w:val="24"/>
        </w:rPr>
      </w:pPr>
      <w:r w:rsidRPr="001C7E00">
        <w:rPr>
          <w:rFonts w:ascii="宋体" w:hAnsi="宋体"/>
          <w:bCs/>
          <w:color w:val="000000"/>
          <w:kern w:val="0"/>
          <w:sz w:val="24"/>
          <w:szCs w:val="24"/>
        </w:rPr>
        <w:t xml:space="preserve">5.10.2 </w:t>
      </w:r>
      <w:r w:rsidRPr="001C7E00">
        <w:rPr>
          <w:rFonts w:ascii="宋体" w:hAnsi="宋体" w:hint="eastAsia"/>
          <w:bCs/>
          <w:color w:val="000000"/>
          <w:kern w:val="0"/>
          <w:sz w:val="24"/>
          <w:szCs w:val="24"/>
        </w:rPr>
        <w:t>报告期末本基金投资的国债期货持仓和损益明细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1331"/>
        <w:gridCol w:w="1220"/>
        <w:gridCol w:w="1418"/>
        <w:gridCol w:w="1701"/>
        <w:gridCol w:w="1984"/>
      </w:tblGrid>
      <w:tr w:rsidR="00277FAE" w:rsidTr="003B5535">
        <w:trPr>
          <w:jc w:val="center"/>
        </w:trPr>
        <w:tc>
          <w:tcPr>
            <w:tcW w:w="1101" w:type="dxa"/>
            <w:hideMark/>
          </w:tcPr>
          <w:p w:rsidR="00277FAE" w:rsidRDefault="00277FAE">
            <w:pPr>
              <w:pStyle w:val="Default"/>
              <w:jc w:val="center"/>
              <w:rPr>
                <w:rFonts w:ascii="Times New Roman" w:hAnsi="Times New Roman" w:cs="Times New Roman"/>
              </w:rPr>
            </w:pPr>
            <w:r>
              <w:rPr>
                <w:rFonts w:ascii="Times New Roman" w:hAnsi="Times New Roman" w:cs="Times New Roman" w:hint="eastAsia"/>
              </w:rPr>
              <w:t>代码</w:t>
            </w:r>
            <w:r>
              <w:t xml:space="preserve"> </w:t>
            </w:r>
          </w:p>
        </w:tc>
        <w:tc>
          <w:tcPr>
            <w:tcW w:w="1331" w:type="dxa"/>
            <w:hideMark/>
          </w:tcPr>
          <w:p w:rsidR="00277FAE" w:rsidRDefault="00277FAE">
            <w:pPr>
              <w:pStyle w:val="Default"/>
              <w:jc w:val="center"/>
              <w:rPr>
                <w:rFonts w:ascii="Times New Roman" w:hAnsi="Times New Roman" w:cs="Times New Roman"/>
              </w:rPr>
            </w:pPr>
            <w:r>
              <w:rPr>
                <w:rFonts w:ascii="Times New Roman" w:hAnsi="Times New Roman" w:cs="Times New Roman" w:hint="eastAsia"/>
              </w:rPr>
              <w:t>名称</w:t>
            </w:r>
          </w:p>
        </w:tc>
        <w:tc>
          <w:tcPr>
            <w:tcW w:w="1220" w:type="dxa"/>
            <w:hideMark/>
          </w:tcPr>
          <w:p w:rsidR="00277FAE" w:rsidRDefault="00277FAE">
            <w:pPr>
              <w:pStyle w:val="Default"/>
              <w:jc w:val="center"/>
              <w:rPr>
                <w:rFonts w:ascii="Times New Roman" w:hAnsi="Times New Roman" w:cs="Times New Roman"/>
              </w:rPr>
            </w:pPr>
            <w:r>
              <w:rPr>
                <w:rFonts w:ascii="Times New Roman" w:hAnsi="Times New Roman" w:cs="Times New Roman" w:hint="eastAsia"/>
              </w:rPr>
              <w:t>持仓量</w:t>
            </w:r>
          </w:p>
          <w:p w:rsidR="00277FAE" w:rsidRDefault="00277FAE">
            <w:pPr>
              <w:pStyle w:val="Default"/>
              <w:jc w:val="center"/>
              <w:rPr>
                <w:rFonts w:ascii="Times New Roman" w:hAnsi="Times New Roman" w:cs="Times New Roman"/>
              </w:rPr>
            </w:pPr>
            <w:r>
              <w:rPr>
                <w:rFonts w:ascii="Times New Roman" w:hAnsi="Times New Roman" w:cs="Times New Roman" w:hint="eastAsia"/>
              </w:rPr>
              <w:t>（买</w:t>
            </w:r>
            <w:r>
              <w:rPr>
                <w:rFonts w:ascii="Times New Roman" w:hAnsi="Times New Roman" w:cs="Times New Roman"/>
              </w:rPr>
              <w:t>/</w:t>
            </w:r>
            <w:r>
              <w:rPr>
                <w:rFonts w:ascii="Times New Roman" w:hAnsi="Times New Roman" w:cs="Times New Roman" w:hint="eastAsia"/>
              </w:rPr>
              <w:t>卖）</w:t>
            </w:r>
          </w:p>
        </w:tc>
        <w:tc>
          <w:tcPr>
            <w:tcW w:w="1418" w:type="dxa"/>
            <w:hideMark/>
          </w:tcPr>
          <w:p w:rsidR="00277FAE" w:rsidRDefault="00277FAE">
            <w:pPr>
              <w:pStyle w:val="Default"/>
              <w:jc w:val="center"/>
              <w:rPr>
                <w:rFonts w:ascii="Times New Roman" w:hAnsi="Times New Roman" w:cs="Times New Roman"/>
              </w:rPr>
            </w:pPr>
            <w:r>
              <w:rPr>
                <w:rFonts w:ascii="Times New Roman" w:hAnsi="Times New Roman" w:cs="Times New Roman" w:hint="eastAsia"/>
              </w:rPr>
              <w:t>合约市值</w:t>
            </w:r>
          </w:p>
          <w:p w:rsidR="00277FAE" w:rsidRDefault="00277FAE">
            <w:pPr>
              <w:pStyle w:val="Default"/>
              <w:jc w:val="center"/>
              <w:rPr>
                <w:rFonts w:ascii="Times New Roman" w:hAnsi="Times New Roman" w:cs="Times New Roman"/>
              </w:rPr>
            </w:pPr>
            <w:r>
              <w:rPr>
                <w:rFonts w:ascii="Times New Roman" w:hAnsi="Times New Roman" w:cs="Times New Roman" w:hint="eastAsia"/>
              </w:rPr>
              <w:t>（元）</w:t>
            </w:r>
          </w:p>
        </w:tc>
        <w:tc>
          <w:tcPr>
            <w:tcW w:w="1701" w:type="dxa"/>
            <w:hideMark/>
          </w:tcPr>
          <w:p w:rsidR="00277FAE" w:rsidRDefault="00277FAE">
            <w:pPr>
              <w:pStyle w:val="Default"/>
              <w:jc w:val="center"/>
              <w:rPr>
                <w:rFonts w:ascii="Times New Roman" w:hAnsi="Times New Roman" w:cs="Times New Roman"/>
              </w:rPr>
            </w:pPr>
            <w:r>
              <w:rPr>
                <w:rFonts w:ascii="Times New Roman" w:hAnsi="Times New Roman" w:cs="Times New Roman" w:hint="eastAsia"/>
              </w:rPr>
              <w:t>公允价值变动（元）</w:t>
            </w:r>
          </w:p>
        </w:tc>
        <w:tc>
          <w:tcPr>
            <w:tcW w:w="1984" w:type="dxa"/>
            <w:hideMark/>
          </w:tcPr>
          <w:p w:rsidR="00277FAE" w:rsidRDefault="00277FAE">
            <w:pPr>
              <w:pStyle w:val="Default"/>
              <w:jc w:val="center"/>
              <w:rPr>
                <w:rFonts w:ascii="Times New Roman" w:hAnsi="Times New Roman" w:cs="Times New Roman"/>
              </w:rPr>
            </w:pPr>
            <w:r>
              <w:rPr>
                <w:rFonts w:ascii="Times New Roman" w:hAnsi="Times New Roman" w:cs="Times New Roman" w:hint="eastAsia"/>
              </w:rPr>
              <w:t>风险指标说明</w:t>
            </w:r>
          </w:p>
        </w:tc>
      </w:tr>
      <w:tr w:rsidR="002B4BB2">
        <w:trPr>
          <w:jc w:val="center"/>
        </w:trPr>
        <w:tc>
          <w:tcPr>
            <w:tcW w:w="1101" w:type="dxa"/>
            <w:vAlign w:val="center"/>
          </w:tcPr>
          <w:p w:rsidR="002B4BB2" w:rsidRDefault="004865A0">
            <w:pPr>
              <w:jc w:val="center"/>
            </w:pPr>
            <w:r>
              <w:rPr>
                <w:color w:val="000000"/>
                <w:sz w:val="24"/>
              </w:rPr>
              <w:t>T2009</w:t>
            </w:r>
          </w:p>
        </w:tc>
        <w:tc>
          <w:tcPr>
            <w:tcW w:w="1331" w:type="dxa"/>
            <w:vAlign w:val="center"/>
          </w:tcPr>
          <w:p w:rsidR="002B4BB2" w:rsidRDefault="004865A0">
            <w:pPr>
              <w:jc w:val="center"/>
            </w:pPr>
            <w:r>
              <w:rPr>
                <w:color w:val="000000"/>
                <w:sz w:val="24"/>
              </w:rPr>
              <w:t>T2009</w:t>
            </w:r>
          </w:p>
        </w:tc>
        <w:tc>
          <w:tcPr>
            <w:tcW w:w="1220" w:type="dxa"/>
            <w:vAlign w:val="center"/>
          </w:tcPr>
          <w:p w:rsidR="002B4BB2" w:rsidRDefault="004865A0">
            <w:pPr>
              <w:jc w:val="center"/>
            </w:pPr>
            <w:r>
              <w:rPr>
                <w:color w:val="000000"/>
                <w:sz w:val="24"/>
              </w:rPr>
              <w:t>-40</w:t>
            </w:r>
          </w:p>
        </w:tc>
        <w:tc>
          <w:tcPr>
            <w:tcW w:w="1418" w:type="dxa"/>
            <w:vAlign w:val="center"/>
          </w:tcPr>
          <w:p w:rsidR="002B4BB2" w:rsidRDefault="004865A0">
            <w:pPr>
              <w:jc w:val="right"/>
            </w:pPr>
            <w:r>
              <w:rPr>
                <w:color w:val="000000"/>
                <w:sz w:val="24"/>
              </w:rPr>
              <w:t>-40,110,000.00</w:t>
            </w:r>
          </w:p>
        </w:tc>
        <w:tc>
          <w:tcPr>
            <w:tcW w:w="1701" w:type="dxa"/>
            <w:vAlign w:val="center"/>
          </w:tcPr>
          <w:p w:rsidR="002B4BB2" w:rsidRDefault="004865A0">
            <w:pPr>
              <w:jc w:val="right"/>
            </w:pPr>
            <w:r>
              <w:rPr>
                <w:color w:val="000000"/>
                <w:sz w:val="24"/>
              </w:rPr>
              <w:t>325,366.67</w:t>
            </w:r>
          </w:p>
        </w:tc>
        <w:tc>
          <w:tcPr>
            <w:tcW w:w="1984" w:type="dxa"/>
            <w:vAlign w:val="center"/>
          </w:tcPr>
          <w:p w:rsidR="002B4BB2" w:rsidRDefault="004865A0">
            <w:pPr>
              <w:jc w:val="left"/>
            </w:pPr>
            <w:r>
              <w:rPr>
                <w:color w:val="000000"/>
                <w:sz w:val="24"/>
              </w:rPr>
              <w:t>本交易期内组合利用国债期货空头交易降低组合有效久期，对冲利率上行风险</w:t>
            </w:r>
          </w:p>
        </w:tc>
      </w:tr>
      <w:tr w:rsidR="002B4BB2">
        <w:trPr>
          <w:jc w:val="center"/>
        </w:trPr>
        <w:tc>
          <w:tcPr>
            <w:tcW w:w="1101" w:type="dxa"/>
            <w:vAlign w:val="center"/>
          </w:tcPr>
          <w:p w:rsidR="002B4BB2" w:rsidRDefault="004865A0">
            <w:pPr>
              <w:jc w:val="center"/>
            </w:pPr>
            <w:r>
              <w:rPr>
                <w:color w:val="000000"/>
                <w:sz w:val="24"/>
              </w:rPr>
              <w:t>TF2009</w:t>
            </w:r>
          </w:p>
        </w:tc>
        <w:tc>
          <w:tcPr>
            <w:tcW w:w="1331" w:type="dxa"/>
            <w:vAlign w:val="center"/>
          </w:tcPr>
          <w:p w:rsidR="002B4BB2" w:rsidRDefault="004865A0">
            <w:pPr>
              <w:jc w:val="center"/>
            </w:pPr>
            <w:r>
              <w:rPr>
                <w:color w:val="000000"/>
                <w:sz w:val="24"/>
              </w:rPr>
              <w:t>TF2009</w:t>
            </w:r>
          </w:p>
        </w:tc>
        <w:tc>
          <w:tcPr>
            <w:tcW w:w="1220" w:type="dxa"/>
            <w:vAlign w:val="center"/>
          </w:tcPr>
          <w:p w:rsidR="002B4BB2" w:rsidRDefault="004865A0">
            <w:pPr>
              <w:jc w:val="center"/>
            </w:pPr>
            <w:r>
              <w:rPr>
                <w:color w:val="000000"/>
                <w:sz w:val="24"/>
              </w:rPr>
              <w:t>-80</w:t>
            </w:r>
          </w:p>
        </w:tc>
        <w:tc>
          <w:tcPr>
            <w:tcW w:w="1418" w:type="dxa"/>
            <w:vAlign w:val="center"/>
          </w:tcPr>
          <w:p w:rsidR="002B4BB2" w:rsidRDefault="004865A0">
            <w:pPr>
              <w:jc w:val="right"/>
            </w:pPr>
            <w:r>
              <w:rPr>
                <w:color w:val="000000"/>
                <w:sz w:val="24"/>
              </w:rPr>
              <w:t>-81,324,000.00</w:t>
            </w:r>
          </w:p>
        </w:tc>
        <w:tc>
          <w:tcPr>
            <w:tcW w:w="1701" w:type="dxa"/>
            <w:vAlign w:val="center"/>
          </w:tcPr>
          <w:p w:rsidR="002B4BB2" w:rsidRDefault="004865A0">
            <w:pPr>
              <w:jc w:val="right"/>
            </w:pPr>
            <w:r>
              <w:rPr>
                <w:color w:val="000000"/>
                <w:sz w:val="24"/>
              </w:rPr>
              <w:t>245,280.00</w:t>
            </w:r>
          </w:p>
        </w:tc>
        <w:tc>
          <w:tcPr>
            <w:tcW w:w="1984" w:type="dxa"/>
            <w:vAlign w:val="center"/>
          </w:tcPr>
          <w:p w:rsidR="002B4BB2" w:rsidRDefault="004865A0">
            <w:pPr>
              <w:jc w:val="left"/>
            </w:pPr>
            <w:r>
              <w:rPr>
                <w:color w:val="000000"/>
                <w:sz w:val="24"/>
              </w:rPr>
              <w:t>本交易期内组合利用国债期货空头交易降低组合有效久期，对冲利率上行风险</w:t>
            </w:r>
          </w:p>
        </w:tc>
      </w:tr>
      <w:tr w:rsidR="002B4BB2">
        <w:trPr>
          <w:jc w:val="center"/>
        </w:trPr>
        <w:tc>
          <w:tcPr>
            <w:tcW w:w="1101" w:type="dxa"/>
            <w:vAlign w:val="center"/>
          </w:tcPr>
          <w:p w:rsidR="002B4BB2" w:rsidRDefault="004865A0">
            <w:pPr>
              <w:jc w:val="center"/>
            </w:pPr>
            <w:r>
              <w:rPr>
                <w:color w:val="000000"/>
                <w:sz w:val="24"/>
              </w:rPr>
              <w:t>TS2009</w:t>
            </w:r>
          </w:p>
        </w:tc>
        <w:tc>
          <w:tcPr>
            <w:tcW w:w="1331" w:type="dxa"/>
            <w:vAlign w:val="center"/>
          </w:tcPr>
          <w:p w:rsidR="002B4BB2" w:rsidRDefault="004865A0">
            <w:pPr>
              <w:jc w:val="center"/>
            </w:pPr>
            <w:r>
              <w:rPr>
                <w:color w:val="000000"/>
                <w:sz w:val="24"/>
              </w:rPr>
              <w:t>TS2009</w:t>
            </w:r>
          </w:p>
        </w:tc>
        <w:tc>
          <w:tcPr>
            <w:tcW w:w="1220" w:type="dxa"/>
            <w:vAlign w:val="center"/>
          </w:tcPr>
          <w:p w:rsidR="002B4BB2" w:rsidRDefault="004865A0">
            <w:pPr>
              <w:jc w:val="center"/>
            </w:pPr>
            <w:r>
              <w:rPr>
                <w:color w:val="000000"/>
                <w:sz w:val="24"/>
              </w:rPr>
              <w:t>-58</w:t>
            </w:r>
          </w:p>
        </w:tc>
        <w:tc>
          <w:tcPr>
            <w:tcW w:w="1418" w:type="dxa"/>
            <w:vAlign w:val="center"/>
          </w:tcPr>
          <w:p w:rsidR="002B4BB2" w:rsidRDefault="004865A0">
            <w:pPr>
              <w:jc w:val="right"/>
            </w:pPr>
            <w:r>
              <w:rPr>
                <w:color w:val="000000"/>
                <w:sz w:val="24"/>
              </w:rPr>
              <w:t>-117,409,400.00</w:t>
            </w:r>
          </w:p>
        </w:tc>
        <w:tc>
          <w:tcPr>
            <w:tcW w:w="1701" w:type="dxa"/>
            <w:vAlign w:val="center"/>
          </w:tcPr>
          <w:p w:rsidR="002B4BB2" w:rsidRDefault="004865A0">
            <w:pPr>
              <w:jc w:val="right"/>
            </w:pPr>
            <w:r>
              <w:rPr>
                <w:color w:val="000000"/>
                <w:sz w:val="24"/>
              </w:rPr>
              <w:t>-169,800.00</w:t>
            </w:r>
          </w:p>
        </w:tc>
        <w:tc>
          <w:tcPr>
            <w:tcW w:w="1984" w:type="dxa"/>
            <w:vAlign w:val="center"/>
          </w:tcPr>
          <w:p w:rsidR="002B4BB2" w:rsidRDefault="004865A0">
            <w:pPr>
              <w:jc w:val="left"/>
            </w:pPr>
            <w:r>
              <w:rPr>
                <w:color w:val="000000"/>
                <w:sz w:val="24"/>
              </w:rPr>
              <w:t>本交易期内组合利用国债期货空头交易降低组合有效久期，对冲利率上行风险</w:t>
            </w:r>
          </w:p>
        </w:tc>
      </w:tr>
      <w:tr w:rsidR="00277FAE" w:rsidTr="003B5535">
        <w:trPr>
          <w:jc w:val="center"/>
        </w:trPr>
        <w:tc>
          <w:tcPr>
            <w:tcW w:w="6771" w:type="dxa"/>
            <w:gridSpan w:val="5"/>
            <w:hideMark/>
          </w:tcPr>
          <w:p w:rsidR="00277FAE" w:rsidRDefault="00277FAE">
            <w:pPr>
              <w:pStyle w:val="Default"/>
              <w:jc w:val="both"/>
              <w:rPr>
                <w:rFonts w:ascii="Times New Roman" w:hAnsi="Times New Roman" w:cs="Times New Roman"/>
              </w:rPr>
            </w:pPr>
            <w:r>
              <w:rPr>
                <w:rFonts w:ascii="Times New Roman" w:hAnsi="Times New Roman" w:cs="Times New Roman" w:hint="eastAsia"/>
              </w:rPr>
              <w:lastRenderedPageBreak/>
              <w:t>公允价值变动总额合计（元）</w:t>
            </w:r>
          </w:p>
        </w:tc>
        <w:tc>
          <w:tcPr>
            <w:tcW w:w="1984" w:type="dxa"/>
            <w:hideMark/>
          </w:tcPr>
          <w:p w:rsidR="00277FAE" w:rsidRDefault="00277FAE">
            <w:pPr>
              <w:adjustRightInd w:val="0"/>
              <w:snapToGrid w:val="0"/>
              <w:spacing w:line="380" w:lineRule="exact"/>
              <w:jc w:val="right"/>
              <w:rPr>
                <w:color w:val="000000"/>
                <w:sz w:val="24"/>
                <w:szCs w:val="24"/>
              </w:rPr>
            </w:pPr>
            <w:r>
              <w:rPr>
                <w:color w:val="000000"/>
                <w:sz w:val="24"/>
              </w:rPr>
              <w:t>400,846.67</w:t>
            </w:r>
          </w:p>
        </w:tc>
      </w:tr>
      <w:tr w:rsidR="00277FAE" w:rsidTr="003B5535">
        <w:trPr>
          <w:jc w:val="center"/>
        </w:trPr>
        <w:tc>
          <w:tcPr>
            <w:tcW w:w="6771" w:type="dxa"/>
            <w:gridSpan w:val="5"/>
            <w:hideMark/>
          </w:tcPr>
          <w:p w:rsidR="00277FAE" w:rsidRDefault="00277FAE">
            <w:pPr>
              <w:pStyle w:val="Default"/>
              <w:jc w:val="both"/>
              <w:rPr>
                <w:rFonts w:ascii="Times New Roman" w:hAnsi="Times New Roman" w:cs="Times New Roman"/>
              </w:rPr>
            </w:pPr>
            <w:r>
              <w:rPr>
                <w:rFonts w:ascii="Times New Roman" w:hAnsi="Times New Roman" w:cs="Times New Roman" w:hint="eastAsia"/>
              </w:rPr>
              <w:t>国债期货投资本期收益（元）</w:t>
            </w:r>
          </w:p>
        </w:tc>
        <w:tc>
          <w:tcPr>
            <w:tcW w:w="1984" w:type="dxa"/>
            <w:hideMark/>
          </w:tcPr>
          <w:p w:rsidR="00277FAE" w:rsidRDefault="00277FAE">
            <w:pPr>
              <w:adjustRightInd w:val="0"/>
              <w:snapToGrid w:val="0"/>
              <w:spacing w:line="380" w:lineRule="exact"/>
              <w:jc w:val="right"/>
              <w:rPr>
                <w:color w:val="000000"/>
                <w:sz w:val="24"/>
                <w:szCs w:val="24"/>
              </w:rPr>
            </w:pPr>
            <w:r>
              <w:rPr>
                <w:color w:val="000000"/>
                <w:sz w:val="24"/>
              </w:rPr>
              <w:t>853,158.57</w:t>
            </w:r>
          </w:p>
        </w:tc>
      </w:tr>
      <w:tr w:rsidR="00277FAE" w:rsidTr="003B5535">
        <w:trPr>
          <w:jc w:val="center"/>
        </w:trPr>
        <w:tc>
          <w:tcPr>
            <w:tcW w:w="6771" w:type="dxa"/>
            <w:gridSpan w:val="5"/>
            <w:hideMark/>
          </w:tcPr>
          <w:p w:rsidR="00277FAE" w:rsidRDefault="00277FAE">
            <w:pPr>
              <w:pStyle w:val="Default"/>
              <w:jc w:val="both"/>
              <w:rPr>
                <w:rFonts w:ascii="Times New Roman" w:hAnsi="Times New Roman" w:cs="Times New Roman"/>
              </w:rPr>
            </w:pPr>
            <w:r>
              <w:rPr>
                <w:rFonts w:ascii="Times New Roman" w:hAnsi="Times New Roman" w:cs="Times New Roman" w:hint="eastAsia"/>
              </w:rPr>
              <w:t>国债期货投资本期公允价值变动（元）</w:t>
            </w:r>
          </w:p>
        </w:tc>
        <w:tc>
          <w:tcPr>
            <w:tcW w:w="1984" w:type="dxa"/>
            <w:hideMark/>
          </w:tcPr>
          <w:p w:rsidR="00277FAE" w:rsidRDefault="00277FAE">
            <w:pPr>
              <w:adjustRightInd w:val="0"/>
              <w:snapToGrid w:val="0"/>
              <w:spacing w:line="380" w:lineRule="exact"/>
              <w:jc w:val="right"/>
              <w:rPr>
                <w:color w:val="000000"/>
                <w:sz w:val="24"/>
                <w:szCs w:val="24"/>
              </w:rPr>
            </w:pPr>
            <w:r>
              <w:rPr>
                <w:color w:val="000000"/>
                <w:sz w:val="24"/>
              </w:rPr>
              <w:t>400,846.67</w:t>
            </w:r>
          </w:p>
        </w:tc>
      </w:tr>
    </w:tbl>
    <w:p w:rsidR="00750D48" w:rsidRPr="001C7E00" w:rsidRDefault="00750D48" w:rsidP="00277FAE">
      <w:pPr>
        <w:autoSpaceDE w:val="0"/>
        <w:autoSpaceDN w:val="0"/>
        <w:adjustRightInd w:val="0"/>
        <w:spacing w:line="360" w:lineRule="auto"/>
        <w:jc w:val="left"/>
        <w:rPr>
          <w:rFonts w:ascii="宋体" w:hAnsi="宋体"/>
          <w:bCs/>
          <w:color w:val="000000"/>
          <w:kern w:val="0"/>
          <w:sz w:val="24"/>
          <w:szCs w:val="24"/>
        </w:rPr>
      </w:pPr>
      <w:r w:rsidRPr="001C7E00">
        <w:rPr>
          <w:rFonts w:ascii="宋体" w:hAnsi="宋体"/>
          <w:bCs/>
          <w:color w:val="000000"/>
          <w:kern w:val="0"/>
          <w:sz w:val="24"/>
          <w:szCs w:val="24"/>
        </w:rPr>
        <w:t xml:space="preserve">5.10.3 </w:t>
      </w:r>
      <w:r w:rsidRPr="001C7E00">
        <w:rPr>
          <w:rFonts w:ascii="宋体" w:hAnsi="宋体" w:hint="eastAsia"/>
          <w:bCs/>
          <w:color w:val="000000"/>
          <w:kern w:val="0"/>
          <w:sz w:val="24"/>
          <w:szCs w:val="24"/>
        </w:rPr>
        <w:t>本期国债期货投资评价</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基金投资国债期货根据风险管理的原则，以套期保值为目的，选择流动性好、交易活跃的期货合约进行交易。本基金力争通过国债期货的交易，降低组合债券持仓调整的交易成本，增加组合的灵活性，对冲潜在风险。本报告期内，本基金投资国债期货符合既定的投资政策和投资目的。</w:t>
      </w:r>
    </w:p>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R="00750D48" w:rsidRPr="00264E55" w:rsidRDefault="00750D48" w:rsidP="001B0A62">
      <w:pPr>
        <w:spacing w:line="360" w:lineRule="auto"/>
        <w:rPr>
          <w:rFonts w:ascii="宋体" w:hAnsi="宋体"/>
          <w:color w:val="000000"/>
          <w:sz w:val="24"/>
          <w:szCs w:val="24"/>
        </w:rPr>
      </w:pPr>
      <w:r w:rsidRPr="00264E55">
        <w:rPr>
          <w:rFonts w:ascii="宋体" w:hAnsi="宋体"/>
          <w:color w:val="000000"/>
          <w:sz w:val="24"/>
          <w:szCs w:val="24"/>
        </w:rPr>
        <w:t>5.11.1</w:t>
      </w:r>
      <w:r w:rsidR="00065E3C">
        <w:rPr>
          <w:rFonts w:ascii="宋体" w:hAnsi="宋体" w:hint="eastAsia"/>
          <w:color w:val="000000"/>
          <w:sz w:val="24"/>
          <w:szCs w:val="24"/>
        </w:rPr>
        <w:t xml:space="preserve"> </w:t>
      </w:r>
      <w:r w:rsidRPr="00264E55">
        <w:rPr>
          <w:rFonts w:ascii="宋体" w:hAnsi="宋体"/>
          <w:color w:val="000000"/>
          <w:sz w:val="24"/>
          <w:szCs w:val="24"/>
        </w:rPr>
        <w:t>2019年8月8日，重庆市北碚区环境行政执法支队对重庆市轨道交通(集团)有限公司的如下违法违规行为作出罚款人民币伍仟元整的行政处罚决定：运营的轨道6号线北碚站，冷却塔产生的噪声值超过国家规定排放值，造成环境噪声污染（监测结果超过《工业企业厂界环境噪声排放标准》（GB12348-2008）12分贝）。</w:t>
      </w:r>
    </w:p>
    <w:p w:rsidR="002B4BB2" w:rsidRDefault="004865A0">
      <w:pPr>
        <w:spacing w:line="360" w:lineRule="auto"/>
        <w:rPr>
          <w:rFonts w:ascii="宋体" w:hAnsi="宋体"/>
          <w:color w:val="000000"/>
          <w:sz w:val="24"/>
          <w:szCs w:val="24"/>
        </w:rPr>
      </w:pPr>
      <w:r>
        <w:rPr>
          <w:rFonts w:ascii="宋体" w:hAnsi="宋体"/>
          <w:color w:val="000000"/>
          <w:sz w:val="24"/>
          <w:szCs w:val="24"/>
        </w:rPr>
        <w:t>本基金投资19重庆轨交GN001的投资决策程序符合公司投资制度的规定。</w:t>
      </w:r>
    </w:p>
    <w:p w:rsidR="002B4BB2" w:rsidRDefault="004865A0">
      <w:pPr>
        <w:spacing w:line="360" w:lineRule="auto"/>
        <w:rPr>
          <w:rFonts w:ascii="宋体" w:hAnsi="宋体"/>
          <w:color w:val="000000"/>
          <w:sz w:val="24"/>
          <w:szCs w:val="24"/>
        </w:rPr>
      </w:pPr>
      <w:r>
        <w:rPr>
          <w:rFonts w:ascii="宋体" w:hAnsi="宋体"/>
          <w:color w:val="000000"/>
          <w:sz w:val="24"/>
          <w:szCs w:val="24"/>
        </w:rPr>
        <w:t>除19重庆轨交GN001外，本基金投资的前十名证券的发行主体本期没有出现被监管部门立案调查，或在报告编制日前一年内受到公开谴责、处罚的情形。</w:t>
      </w:r>
    </w:p>
    <w:p w:rsidR="00750D48" w:rsidRPr="00264E55" w:rsidRDefault="00750D48" w:rsidP="001B0A62">
      <w:pPr>
        <w:spacing w:line="360" w:lineRule="auto"/>
        <w:rPr>
          <w:rFonts w:ascii="宋体" w:hAnsi="宋体"/>
          <w:color w:val="000000"/>
          <w:sz w:val="24"/>
          <w:szCs w:val="24"/>
        </w:rPr>
      </w:pPr>
      <w:r w:rsidRPr="00264E55">
        <w:rPr>
          <w:rFonts w:ascii="宋体" w:hAnsi="宋体"/>
          <w:color w:val="000000"/>
          <w:sz w:val="24"/>
          <w:szCs w:val="24"/>
        </w:rPr>
        <w:t>5.11.2</w:t>
      </w:r>
      <w:r w:rsidR="00065E3C">
        <w:rPr>
          <w:rFonts w:ascii="宋体" w:hAnsi="宋体" w:hint="eastAsia"/>
          <w:color w:val="000000"/>
          <w:sz w:val="24"/>
          <w:szCs w:val="24"/>
        </w:rPr>
        <w:t xml:space="preserve"> </w:t>
      </w:r>
      <w:r w:rsidRPr="00264E55">
        <w:rPr>
          <w:rFonts w:ascii="宋体" w:hAnsi="宋体"/>
          <w:color w:val="000000"/>
          <w:sz w:val="24"/>
          <w:szCs w:val="24"/>
        </w:rPr>
        <w:t>本基金投资的前十名股票没有超出基金合同规定的备选股票库。</w:t>
      </w:r>
    </w:p>
    <w:p w:rsidR="00750D48" w:rsidRPr="001C7E00" w:rsidRDefault="00750D48" w:rsidP="001B0A62">
      <w:pPr>
        <w:autoSpaceDE w:val="0"/>
        <w:autoSpaceDN w:val="0"/>
        <w:adjustRightInd w:val="0"/>
        <w:spacing w:line="360" w:lineRule="auto"/>
        <w:jc w:val="left"/>
        <w:rPr>
          <w:rFonts w:ascii="宋体"/>
          <w:bCs/>
          <w:color w:val="000000"/>
          <w:kern w:val="0"/>
          <w:sz w:val="24"/>
          <w:szCs w:val="24"/>
        </w:rPr>
      </w:pP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r w:rsidRPr="001C7E00">
        <w:rPr>
          <w:rFonts w:ascii="宋体" w:hAnsi="宋体" w:hint="eastAsia"/>
          <w:bCs/>
          <w:color w:val="000000"/>
          <w:kern w:val="0"/>
          <w:sz w:val="24"/>
          <w:szCs w:val="24"/>
        </w:rPr>
        <w:t>资产构成</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35"/>
        <w:gridCol w:w="2470"/>
        <w:gridCol w:w="4808"/>
      </w:tblGrid>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w="2470" w:type="dxa"/>
            <w:vAlign w:val="center"/>
          </w:tcPr>
          <w:p w:rsidR="00750D48" w:rsidRPr="00B227EA" w:rsidRDefault="00750D48" w:rsidP="00B05049">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w="4808" w:type="dxa"/>
            <w:vAlign w:val="center"/>
          </w:tcPr>
          <w:p w:rsidR="00750D48" w:rsidRPr="00B227EA" w:rsidRDefault="00750D48" w:rsidP="005F7917">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1</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4,186,810.68</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13,425,507.28</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17,612,317.96</w:t>
            </w:r>
          </w:p>
        </w:tc>
      </w:tr>
    </w:tbl>
    <w:p w:rsidR="00750D48" w:rsidRPr="001C7E00" w:rsidRDefault="00750D48" w:rsidP="001B0A62">
      <w:pPr>
        <w:autoSpaceDE w:val="0"/>
        <w:autoSpaceDN w:val="0"/>
        <w:adjustRightInd w:val="0"/>
        <w:spacing w:line="360" w:lineRule="auto"/>
        <w:jc w:val="left"/>
        <w:rPr>
          <w:rFonts w:ascii="宋体"/>
          <w:bCs/>
          <w:color w:val="000000"/>
          <w:kern w:val="0"/>
          <w:sz w:val="24"/>
          <w:szCs w:val="24"/>
        </w:rPr>
      </w:pPr>
      <w:r w:rsidRPr="001C7E00">
        <w:rPr>
          <w:rFonts w:ascii="宋体" w:hAnsi="宋体"/>
          <w:bCs/>
          <w:color w:val="000000"/>
          <w:kern w:val="0"/>
          <w:sz w:val="24"/>
          <w:szCs w:val="24"/>
        </w:rPr>
        <w:lastRenderedPageBreak/>
        <w:t>5.11.4</w:t>
      </w:r>
      <w:r w:rsidRPr="001C7E00">
        <w:rPr>
          <w:rFonts w:ascii="宋体" w:hAnsi="宋体" w:hint="eastAsia"/>
          <w:bCs/>
          <w:color w:val="000000"/>
          <w:kern w:val="0"/>
          <w:sz w:val="24"/>
          <w:szCs w:val="24"/>
        </w:rPr>
        <w:t>报告期末持有的处于转股期的可转换债券明细</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本基金本报告期末未持有处于转股期的可转换债券。</w:t>
      </w:r>
    </w:p>
    <w:p w:rsidR="00750D48" w:rsidRPr="001C7E00" w:rsidRDefault="00750D48" w:rsidP="001B0A62">
      <w:pPr>
        <w:autoSpaceDE w:val="0"/>
        <w:autoSpaceDN w:val="0"/>
        <w:adjustRightInd w:val="0"/>
        <w:spacing w:line="360" w:lineRule="auto"/>
        <w:jc w:val="left"/>
        <w:rPr>
          <w:rFonts w:ascii="宋体"/>
          <w:bCs/>
          <w:color w:val="000000"/>
          <w:kern w:val="0"/>
          <w:sz w:val="24"/>
          <w:szCs w:val="24"/>
        </w:rPr>
      </w:pP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本基金本报告期末前十名股票中不存在流通受限情况。</w:t>
      </w: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R="00750D48" w:rsidRPr="00264E55" w:rsidRDefault="00750D48" w:rsidP="004061AC">
      <w:pPr>
        <w:autoSpaceDE w:val="0"/>
        <w:autoSpaceDN w:val="0"/>
        <w:adjustRightInd w:val="0"/>
        <w:spacing w:before="29" w:line="360" w:lineRule="auto"/>
        <w:ind w:left="15"/>
        <w:jc w:val="right"/>
        <w:rPr>
          <w:rFonts w:ascii="宋体"/>
          <w:color w:val="000000"/>
          <w:kern w:val="0"/>
          <w:sz w:val="24"/>
          <w:szCs w:val="24"/>
        </w:rPr>
      </w:pPr>
      <w:r w:rsidRPr="00264E55">
        <w:rPr>
          <w:rFonts w:ascii="宋体" w:hAnsi="宋体" w:cs="宋体" w:hint="eastAsia"/>
          <w:color w:val="000000"/>
          <w:kern w:val="0"/>
          <w:sz w:val="24"/>
          <w:szCs w:val="24"/>
        </w:rPr>
        <w:t>单位：份</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09"/>
        <w:gridCol w:w="4025"/>
      </w:tblGrid>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w="4025" w:type="dxa"/>
            <w:vAlign w:val="center"/>
          </w:tcPr>
          <w:p w:rsidR="00750D48" w:rsidRPr="00B227EA" w:rsidRDefault="00750D48" w:rsidP="00924582">
            <w:pPr>
              <w:autoSpaceDE w:val="0"/>
              <w:autoSpaceDN w:val="0"/>
              <w:adjustRightInd w:val="0"/>
              <w:spacing w:before="29" w:line="360" w:lineRule="auto"/>
              <w:ind w:left="17"/>
              <w:jc w:val="right"/>
              <w:rPr>
                <w:color w:val="000000"/>
                <w:sz w:val="24"/>
                <w:szCs w:val="24"/>
              </w:rPr>
            </w:pPr>
            <w:r w:rsidRPr="00B227EA">
              <w:rPr>
                <w:color w:val="000000"/>
                <w:sz w:val="24"/>
                <w:szCs w:val="24"/>
              </w:rPr>
              <w:t>554,112,639.66</w:t>
            </w:r>
          </w:p>
        </w:tc>
      </w:tr>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报告期基金总申购份额</w:t>
            </w:r>
          </w:p>
        </w:tc>
        <w:tc>
          <w:tcPr>
            <w:tcW w:w="4025" w:type="dxa"/>
            <w:vAlign w:val="center"/>
          </w:tcPr>
          <w:p w:rsidR="00750D48" w:rsidRPr="00B227EA" w:rsidRDefault="00750D48" w:rsidP="00924582">
            <w:pPr>
              <w:autoSpaceDE w:val="0"/>
              <w:autoSpaceDN w:val="0"/>
              <w:adjustRightInd w:val="0"/>
              <w:spacing w:before="29" w:line="360" w:lineRule="auto"/>
              <w:ind w:left="17"/>
              <w:jc w:val="right"/>
              <w:rPr>
                <w:color w:val="000000"/>
                <w:sz w:val="24"/>
                <w:szCs w:val="24"/>
              </w:rPr>
            </w:pPr>
            <w:r w:rsidRPr="00B227EA">
              <w:rPr>
                <w:color w:val="000000"/>
                <w:sz w:val="24"/>
                <w:szCs w:val="24"/>
              </w:rPr>
              <w:t>-</w:t>
            </w:r>
          </w:p>
        </w:tc>
      </w:tr>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减：报告期基金总赎回份额</w:t>
            </w:r>
          </w:p>
        </w:tc>
        <w:tc>
          <w:tcPr>
            <w:tcW w:w="4025" w:type="dxa"/>
            <w:vAlign w:val="center"/>
          </w:tcPr>
          <w:p w:rsidR="00750D48" w:rsidRPr="00B227EA" w:rsidRDefault="00750D48" w:rsidP="00924582">
            <w:pPr>
              <w:autoSpaceDE w:val="0"/>
              <w:autoSpaceDN w:val="0"/>
              <w:adjustRightInd w:val="0"/>
              <w:spacing w:before="29" w:line="360" w:lineRule="auto"/>
              <w:ind w:left="17"/>
              <w:jc w:val="right"/>
              <w:rPr>
                <w:color w:val="000000"/>
                <w:sz w:val="24"/>
                <w:szCs w:val="24"/>
              </w:rPr>
            </w:pPr>
            <w:r w:rsidRPr="00B227EA">
              <w:rPr>
                <w:color w:val="000000"/>
                <w:sz w:val="24"/>
                <w:szCs w:val="24"/>
              </w:rPr>
              <w:t>-</w:t>
            </w:r>
          </w:p>
        </w:tc>
      </w:tr>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w="4025" w:type="dxa"/>
            <w:vAlign w:val="center"/>
          </w:tcPr>
          <w:p w:rsidR="00750D48" w:rsidRPr="00B227EA" w:rsidRDefault="00750D48" w:rsidP="00924582">
            <w:pPr>
              <w:autoSpaceDE w:val="0"/>
              <w:autoSpaceDN w:val="0"/>
              <w:adjustRightInd w:val="0"/>
              <w:spacing w:before="29" w:line="360" w:lineRule="auto"/>
              <w:ind w:left="17"/>
              <w:jc w:val="right"/>
              <w:rPr>
                <w:color w:val="000000"/>
                <w:sz w:val="24"/>
                <w:szCs w:val="24"/>
              </w:rPr>
            </w:pPr>
            <w:r w:rsidRPr="00B227EA">
              <w:rPr>
                <w:color w:val="000000"/>
                <w:sz w:val="24"/>
                <w:szCs w:val="24"/>
              </w:rPr>
              <w:t>-</w:t>
            </w:r>
          </w:p>
        </w:tc>
      </w:tr>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w="4025" w:type="dxa"/>
            <w:vAlign w:val="center"/>
          </w:tcPr>
          <w:p w:rsidR="00750D48" w:rsidRPr="00B227EA" w:rsidRDefault="00750D48" w:rsidP="000A2B53">
            <w:pPr>
              <w:autoSpaceDE w:val="0"/>
              <w:autoSpaceDN w:val="0"/>
              <w:adjustRightInd w:val="0"/>
              <w:spacing w:before="29" w:line="360" w:lineRule="auto"/>
              <w:ind w:left="17"/>
              <w:jc w:val="right"/>
              <w:rPr>
                <w:color w:val="000000"/>
                <w:sz w:val="24"/>
                <w:szCs w:val="24"/>
              </w:rPr>
            </w:pPr>
            <w:r w:rsidRPr="00B227EA">
              <w:rPr>
                <w:color w:val="000000"/>
                <w:sz w:val="24"/>
                <w:szCs w:val="24"/>
              </w:rPr>
              <w:t>554,112,639.66</w:t>
            </w:r>
          </w:p>
        </w:tc>
      </w:tr>
    </w:tbl>
    <w:p w:rsidR="00750D48" w:rsidRDefault="00750D48" w:rsidP="004D28A3">
      <w:pPr>
        <w:pStyle w:val="1"/>
        <w:tabs>
          <w:tab w:val="center" w:pos="4156"/>
          <w:tab w:val="right" w:pos="8312"/>
        </w:tabs>
        <w:spacing w:beforeLines="100" w:before="312" w:afterLines="100" w:after="312" w:line="360" w:lineRule="auto"/>
        <w:jc w:val="center"/>
        <w:rPr>
          <w:rFonts w:ascii="方正仿宋简体"/>
          <w:sz w:val="24"/>
          <w:szCs w:val="24"/>
        </w:rPr>
      </w:pPr>
      <w:r>
        <w:rPr>
          <w:rFonts w:ascii="宋体" w:hAnsi="宋体" w:cs="Arial" w:hint="eastAsia"/>
          <w:color w:val="000000"/>
          <w:kern w:val="0"/>
          <w:sz w:val="24"/>
          <w:szCs w:val="24"/>
        </w:rPr>
        <w:t>§</w:t>
      </w:r>
      <w:r>
        <w:rPr>
          <w:rFonts w:ascii="宋体" w:hAnsi="宋体" w:cs="Arial"/>
          <w:color w:val="000000"/>
          <w:kern w:val="0"/>
          <w:sz w:val="24"/>
          <w:szCs w:val="24"/>
        </w:rPr>
        <w:t xml:space="preserve">7  </w:t>
      </w:r>
      <w:r>
        <w:rPr>
          <w:rFonts w:ascii="方正仿宋简体" w:hint="eastAsia"/>
          <w:sz w:val="24"/>
          <w:szCs w:val="24"/>
        </w:rPr>
        <w:t>基金管理人运用固有资金投资本基金情况</w:t>
      </w:r>
    </w:p>
    <w:p w:rsidR="00750D48" w:rsidRDefault="00750D48" w:rsidP="00EB374A">
      <w:pPr>
        <w:spacing w:line="360" w:lineRule="auto"/>
        <w:jc w:val="left"/>
        <w:rPr>
          <w:sz w:val="24"/>
          <w:szCs w:val="24"/>
        </w:rPr>
      </w:pPr>
      <w:r>
        <w:rPr>
          <w:b/>
          <w:sz w:val="24"/>
        </w:rPr>
        <w:t xml:space="preserve">7.1 </w:t>
      </w:r>
      <w:r>
        <w:rPr>
          <w:rFonts w:hint="eastAsia"/>
          <w:b/>
          <w:sz w:val="24"/>
        </w:rPr>
        <w:t>基金管理人持有本基金份额变动情况</w:t>
      </w:r>
    </w:p>
    <w:p w:rsidR="00AC11B0" w:rsidRPr="005A564A" w:rsidRDefault="00AC11B0" w:rsidP="00AC11B0">
      <w:pPr>
        <w:autoSpaceDE w:val="0"/>
        <w:autoSpaceDN w:val="0"/>
        <w:adjustRightInd w:val="0"/>
        <w:spacing w:before="29" w:line="360" w:lineRule="auto"/>
        <w:ind w:left="15"/>
        <w:jc w:val="right"/>
        <w:rPr>
          <w:sz w:val="24"/>
        </w:rPr>
      </w:pPr>
      <w:r w:rsidRPr="005A564A">
        <w:rPr>
          <w:sz w:val="24"/>
        </w:rPr>
        <w:t>单位：份</w:t>
      </w:r>
    </w:p>
    <w:tbl>
      <w:tblPr>
        <w:tblW w:w="84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37"/>
        <w:gridCol w:w="3378"/>
      </w:tblGrid>
      <w:tr w:rsidR="00AC11B0" w:rsidRPr="003B42FF" w:rsidTr="003B5535">
        <w:tc>
          <w:tcPr>
            <w:tcW w:w="5037" w:type="dxa"/>
            <w:vAlign w:val="center"/>
            <w:hideMark/>
          </w:tcPr>
          <w:p w:rsidR="00AC11B0" w:rsidRPr="003B42FF" w:rsidRDefault="00AC11B0" w:rsidP="003328D9">
            <w:pPr>
              <w:pStyle w:val="ad"/>
              <w:adjustRightInd w:val="0"/>
              <w:snapToGrid w:val="0"/>
              <w:spacing w:line="360" w:lineRule="exact"/>
              <w:rPr>
                <w:rFonts w:eastAsiaTheme="minorEastAsia"/>
                <w:color w:val="000000" w:themeColor="text1"/>
              </w:rPr>
            </w:pPr>
            <w:r w:rsidRPr="003B42FF">
              <w:rPr>
                <w:rFonts w:eastAsiaTheme="minorEastAsia"/>
                <w:color w:val="000000" w:themeColor="text1"/>
              </w:rPr>
              <w:t>报告期期初管理人持有的本基金份额</w:t>
            </w:r>
          </w:p>
        </w:tc>
        <w:tc>
          <w:tcPr>
            <w:tcW w:w="3378" w:type="dxa"/>
            <w:vAlign w:val="center"/>
            <w:hideMark/>
          </w:tcPr>
          <w:p w:rsidR="00AC11B0" w:rsidRPr="003B42FF" w:rsidRDefault="00AC11B0" w:rsidP="003328D9">
            <w:pPr>
              <w:jc w:val="right"/>
              <w:rPr>
                <w:rFonts w:eastAsiaTheme="minorEastAsia"/>
                <w:color w:val="000000" w:themeColor="text1"/>
                <w:sz w:val="24"/>
                <w:szCs w:val="24"/>
              </w:rPr>
            </w:pPr>
            <w:r w:rsidRPr="003B42FF">
              <w:rPr>
                <w:rFonts w:eastAsiaTheme="minorEastAsia"/>
                <w:color w:val="000000" w:themeColor="text1"/>
                <w:sz w:val="24"/>
                <w:szCs w:val="24"/>
              </w:rPr>
              <w:t>10,000,000.00</w:t>
            </w:r>
          </w:p>
        </w:tc>
      </w:tr>
      <w:tr w:rsidR="00AC11B0" w:rsidRPr="003B42FF" w:rsidTr="003B5535">
        <w:tc>
          <w:tcPr>
            <w:tcW w:w="5037" w:type="dxa"/>
            <w:vAlign w:val="center"/>
            <w:hideMark/>
          </w:tcPr>
          <w:p w:rsidR="00AC11B0" w:rsidRPr="003B42FF" w:rsidRDefault="00AC11B0" w:rsidP="003328D9">
            <w:pPr>
              <w:adjustRightInd w:val="0"/>
              <w:snapToGrid w:val="0"/>
              <w:spacing w:line="360" w:lineRule="exact"/>
              <w:rPr>
                <w:rFonts w:eastAsiaTheme="minorEastAsia"/>
                <w:color w:val="000000" w:themeColor="text1"/>
                <w:sz w:val="24"/>
                <w:szCs w:val="24"/>
              </w:rPr>
            </w:pPr>
            <w:r w:rsidRPr="003B42FF">
              <w:rPr>
                <w:rFonts w:eastAsiaTheme="minorEastAsia"/>
                <w:color w:val="000000" w:themeColor="text1"/>
                <w:kern w:val="0"/>
                <w:sz w:val="24"/>
                <w:szCs w:val="24"/>
              </w:rPr>
              <w:t>报告期</w:t>
            </w:r>
            <w:r w:rsidR="00B53067" w:rsidRPr="00B53067">
              <w:rPr>
                <w:rFonts w:eastAsiaTheme="minorEastAsia"/>
                <w:color w:val="000000" w:themeColor="text1"/>
                <w:sz w:val="24"/>
                <w:szCs w:val="24"/>
              </w:rPr>
              <w:t>期间</w:t>
            </w:r>
            <w:r w:rsidRPr="003B42FF">
              <w:rPr>
                <w:rFonts w:eastAsiaTheme="minorEastAsia"/>
                <w:color w:val="000000" w:themeColor="text1"/>
                <w:sz w:val="24"/>
                <w:szCs w:val="24"/>
              </w:rPr>
              <w:t>买入</w:t>
            </w:r>
            <w:r w:rsidRPr="003B42FF">
              <w:rPr>
                <w:rFonts w:eastAsiaTheme="minorEastAsia"/>
                <w:color w:val="000000" w:themeColor="text1"/>
                <w:sz w:val="24"/>
                <w:szCs w:val="24"/>
              </w:rPr>
              <w:t>/</w:t>
            </w:r>
            <w:r w:rsidRPr="003B42FF">
              <w:rPr>
                <w:rFonts w:eastAsiaTheme="minorEastAsia"/>
                <w:color w:val="000000" w:themeColor="text1"/>
                <w:sz w:val="24"/>
                <w:szCs w:val="24"/>
              </w:rPr>
              <w:t>申购总份额</w:t>
            </w:r>
          </w:p>
        </w:tc>
        <w:tc>
          <w:tcPr>
            <w:tcW w:w="3378" w:type="dxa"/>
            <w:vAlign w:val="center"/>
            <w:hideMark/>
          </w:tcPr>
          <w:p w:rsidR="00AC11B0" w:rsidRPr="003B42FF" w:rsidRDefault="00AC11B0" w:rsidP="003328D9">
            <w:pPr>
              <w:jc w:val="right"/>
              <w:rPr>
                <w:rFonts w:eastAsiaTheme="minorEastAsia"/>
                <w:color w:val="000000" w:themeColor="text1"/>
                <w:kern w:val="0"/>
                <w:sz w:val="24"/>
                <w:szCs w:val="24"/>
              </w:rPr>
            </w:pPr>
            <w:r w:rsidRPr="003B42FF">
              <w:rPr>
                <w:rFonts w:eastAsiaTheme="minorEastAsia"/>
                <w:color w:val="000000" w:themeColor="text1"/>
                <w:sz w:val="24"/>
                <w:szCs w:val="24"/>
              </w:rPr>
              <w:t>-</w:t>
            </w:r>
          </w:p>
        </w:tc>
      </w:tr>
      <w:tr w:rsidR="00AC11B0" w:rsidRPr="003B42FF" w:rsidTr="003B5535">
        <w:tc>
          <w:tcPr>
            <w:tcW w:w="5037" w:type="dxa"/>
            <w:vAlign w:val="center"/>
            <w:hideMark/>
          </w:tcPr>
          <w:p w:rsidR="00AC11B0" w:rsidRPr="003B42FF" w:rsidRDefault="00AC11B0" w:rsidP="003328D9">
            <w:pPr>
              <w:adjustRightInd w:val="0"/>
              <w:snapToGrid w:val="0"/>
              <w:spacing w:line="360" w:lineRule="exact"/>
              <w:rPr>
                <w:rFonts w:eastAsiaTheme="minorEastAsia"/>
                <w:color w:val="000000" w:themeColor="text1"/>
                <w:sz w:val="24"/>
                <w:szCs w:val="24"/>
              </w:rPr>
            </w:pPr>
            <w:r w:rsidRPr="003B42FF">
              <w:rPr>
                <w:rFonts w:eastAsiaTheme="minorEastAsia"/>
                <w:color w:val="000000" w:themeColor="text1"/>
                <w:kern w:val="0"/>
                <w:sz w:val="24"/>
                <w:szCs w:val="24"/>
              </w:rPr>
              <w:t>报告期</w:t>
            </w:r>
            <w:r w:rsidR="00B53067" w:rsidRPr="00B53067">
              <w:rPr>
                <w:rFonts w:eastAsiaTheme="minorEastAsia"/>
                <w:color w:val="000000" w:themeColor="text1"/>
                <w:sz w:val="24"/>
                <w:szCs w:val="24"/>
              </w:rPr>
              <w:t>期间</w:t>
            </w:r>
            <w:r w:rsidRPr="003B42FF">
              <w:rPr>
                <w:rFonts w:eastAsiaTheme="minorEastAsia"/>
                <w:color w:val="000000" w:themeColor="text1"/>
                <w:sz w:val="24"/>
                <w:szCs w:val="24"/>
              </w:rPr>
              <w:t>卖出</w:t>
            </w:r>
            <w:r w:rsidRPr="003B42FF">
              <w:rPr>
                <w:rFonts w:eastAsiaTheme="minorEastAsia"/>
                <w:color w:val="000000" w:themeColor="text1"/>
                <w:sz w:val="24"/>
                <w:szCs w:val="24"/>
              </w:rPr>
              <w:t>/</w:t>
            </w:r>
            <w:r w:rsidRPr="003B42FF">
              <w:rPr>
                <w:rFonts w:eastAsiaTheme="minorEastAsia"/>
                <w:color w:val="000000" w:themeColor="text1"/>
                <w:sz w:val="24"/>
                <w:szCs w:val="24"/>
              </w:rPr>
              <w:t>赎回总份额</w:t>
            </w:r>
          </w:p>
        </w:tc>
        <w:tc>
          <w:tcPr>
            <w:tcW w:w="3378" w:type="dxa"/>
            <w:vAlign w:val="center"/>
            <w:hideMark/>
          </w:tcPr>
          <w:p w:rsidR="00AC11B0" w:rsidRPr="003B42FF" w:rsidRDefault="00AC11B0" w:rsidP="003328D9">
            <w:pPr>
              <w:jc w:val="right"/>
              <w:rPr>
                <w:rFonts w:eastAsiaTheme="minorEastAsia"/>
                <w:color w:val="000000" w:themeColor="text1"/>
                <w:kern w:val="0"/>
                <w:sz w:val="24"/>
                <w:szCs w:val="24"/>
              </w:rPr>
            </w:pPr>
            <w:r w:rsidRPr="003B42FF">
              <w:rPr>
                <w:rFonts w:eastAsiaTheme="minorEastAsia"/>
                <w:color w:val="000000" w:themeColor="text1"/>
                <w:sz w:val="24"/>
                <w:szCs w:val="24"/>
              </w:rPr>
              <w:t>-</w:t>
            </w:r>
          </w:p>
        </w:tc>
      </w:tr>
      <w:tr w:rsidR="00AC11B0" w:rsidRPr="003B42FF" w:rsidTr="003B5535">
        <w:tc>
          <w:tcPr>
            <w:tcW w:w="5037" w:type="dxa"/>
            <w:vAlign w:val="center"/>
            <w:hideMark/>
          </w:tcPr>
          <w:p w:rsidR="00AC11B0" w:rsidRPr="003B42FF" w:rsidRDefault="00AC11B0" w:rsidP="003328D9">
            <w:pPr>
              <w:adjustRightInd w:val="0"/>
              <w:snapToGrid w:val="0"/>
              <w:spacing w:line="360" w:lineRule="exact"/>
              <w:rPr>
                <w:rFonts w:eastAsiaTheme="minorEastAsia"/>
                <w:color w:val="000000" w:themeColor="text1"/>
                <w:sz w:val="24"/>
                <w:szCs w:val="24"/>
              </w:rPr>
            </w:pPr>
            <w:r w:rsidRPr="003B42FF">
              <w:rPr>
                <w:rFonts w:eastAsiaTheme="minorEastAsia"/>
                <w:color w:val="000000" w:themeColor="text1"/>
                <w:sz w:val="24"/>
                <w:szCs w:val="24"/>
              </w:rPr>
              <w:t>报告期期末管理人持有的本基金份额</w:t>
            </w:r>
          </w:p>
        </w:tc>
        <w:tc>
          <w:tcPr>
            <w:tcW w:w="3378" w:type="dxa"/>
            <w:vAlign w:val="center"/>
            <w:hideMark/>
          </w:tcPr>
          <w:p w:rsidR="00AC11B0" w:rsidRPr="003B42FF" w:rsidRDefault="00AC11B0" w:rsidP="003328D9">
            <w:pPr>
              <w:jc w:val="right"/>
              <w:rPr>
                <w:rFonts w:eastAsiaTheme="minorEastAsia"/>
                <w:color w:val="000000" w:themeColor="text1"/>
                <w:sz w:val="24"/>
                <w:szCs w:val="24"/>
              </w:rPr>
            </w:pPr>
            <w:r w:rsidRPr="003B42FF">
              <w:rPr>
                <w:rFonts w:eastAsiaTheme="minorEastAsia"/>
                <w:color w:val="000000" w:themeColor="text1"/>
                <w:sz w:val="24"/>
                <w:szCs w:val="24"/>
              </w:rPr>
              <w:t>10,000,000.00</w:t>
            </w:r>
          </w:p>
        </w:tc>
      </w:tr>
      <w:tr w:rsidR="00AC11B0" w:rsidRPr="003B42FF" w:rsidTr="003B5535">
        <w:tc>
          <w:tcPr>
            <w:tcW w:w="5037" w:type="dxa"/>
            <w:vAlign w:val="center"/>
            <w:hideMark/>
          </w:tcPr>
          <w:p w:rsidR="00AC11B0" w:rsidRPr="003B42FF" w:rsidRDefault="00AC11B0" w:rsidP="003328D9">
            <w:pPr>
              <w:adjustRightInd w:val="0"/>
              <w:snapToGrid w:val="0"/>
              <w:spacing w:line="360" w:lineRule="exact"/>
              <w:rPr>
                <w:rFonts w:eastAsiaTheme="minorEastAsia"/>
                <w:color w:val="000000" w:themeColor="text1"/>
                <w:sz w:val="24"/>
                <w:szCs w:val="24"/>
              </w:rPr>
            </w:pPr>
            <w:r w:rsidRPr="003B42FF">
              <w:rPr>
                <w:rFonts w:eastAsiaTheme="minorEastAsia"/>
                <w:color w:val="000000" w:themeColor="text1"/>
                <w:sz w:val="24"/>
                <w:szCs w:val="24"/>
              </w:rPr>
              <w:t>报告期期末持有的本基金份额占基金总份额比例（</w:t>
            </w:r>
            <w:r w:rsidRPr="003B42FF">
              <w:rPr>
                <w:rFonts w:eastAsiaTheme="minorEastAsia"/>
                <w:color w:val="000000" w:themeColor="text1"/>
                <w:sz w:val="24"/>
                <w:szCs w:val="24"/>
              </w:rPr>
              <w:t>%</w:t>
            </w:r>
            <w:r w:rsidRPr="003B42FF">
              <w:rPr>
                <w:rFonts w:eastAsiaTheme="minorEastAsia"/>
                <w:color w:val="000000" w:themeColor="text1"/>
                <w:sz w:val="24"/>
                <w:szCs w:val="24"/>
              </w:rPr>
              <w:t>）</w:t>
            </w:r>
          </w:p>
        </w:tc>
        <w:tc>
          <w:tcPr>
            <w:tcW w:w="3378" w:type="dxa"/>
            <w:vAlign w:val="center"/>
            <w:hideMark/>
          </w:tcPr>
          <w:p w:rsidR="00AC11B0" w:rsidRPr="003B42FF" w:rsidRDefault="00AC11B0" w:rsidP="003328D9">
            <w:pPr>
              <w:jc w:val="right"/>
              <w:rPr>
                <w:rFonts w:eastAsiaTheme="minorEastAsia"/>
                <w:color w:val="000000" w:themeColor="text1"/>
                <w:kern w:val="0"/>
                <w:sz w:val="24"/>
                <w:szCs w:val="24"/>
              </w:rPr>
            </w:pPr>
            <w:r w:rsidRPr="003B42FF">
              <w:rPr>
                <w:rFonts w:eastAsiaTheme="minorEastAsia"/>
                <w:color w:val="000000" w:themeColor="text1"/>
                <w:sz w:val="24"/>
                <w:szCs w:val="24"/>
              </w:rPr>
              <w:t>1.8047</w:t>
            </w:r>
          </w:p>
        </w:tc>
      </w:tr>
    </w:tbl>
    <w:p w:rsidR="00750D48" w:rsidRDefault="00750D48" w:rsidP="00EB374A">
      <w:pPr>
        <w:spacing w:line="360" w:lineRule="auto"/>
        <w:jc w:val="left"/>
        <w:rPr>
          <w:sz w:val="24"/>
        </w:rPr>
      </w:pPr>
      <w:r>
        <w:rPr>
          <w:b/>
          <w:sz w:val="24"/>
        </w:rPr>
        <w:t xml:space="preserve">7.2 </w:t>
      </w:r>
      <w:r>
        <w:rPr>
          <w:rFonts w:hint="eastAsia"/>
          <w:b/>
          <w:sz w:val="24"/>
        </w:rPr>
        <w:t>基金管理人运用固有资金投资本基金交易明细</w:t>
      </w:r>
    </w:p>
    <w:p w:rsidR="00750D48" w:rsidRPr="006C56AA" w:rsidRDefault="00750D48" w:rsidP="006C56AA">
      <w:pPr>
        <w:spacing w:line="360" w:lineRule="auto"/>
        <w:ind w:firstLineChars="200" w:firstLine="480"/>
        <w:rPr>
          <w:color w:val="000000"/>
          <w:sz w:val="24"/>
          <w:szCs w:val="24"/>
        </w:rPr>
      </w:pPr>
      <w:r w:rsidRPr="006C56AA">
        <w:rPr>
          <w:color w:val="000000"/>
          <w:sz w:val="24"/>
          <w:szCs w:val="24"/>
        </w:rPr>
        <w:t>本报告期内基金管理人未运用固有资金申购、赎回、买卖本基金份额。</w:t>
      </w: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8  </w:t>
      </w:r>
      <w:r>
        <w:rPr>
          <w:rFonts w:ascii="宋体" w:hAnsi="宋体" w:hint="eastAsia"/>
          <w:color w:val="000000"/>
          <w:kern w:val="0"/>
          <w:sz w:val="24"/>
          <w:szCs w:val="24"/>
        </w:rPr>
        <w:t>报告期末</w:t>
      </w:r>
      <w:r w:rsidRPr="00264E55">
        <w:rPr>
          <w:rFonts w:ascii="宋体" w:hAnsi="宋体" w:hint="eastAsia"/>
          <w:color w:val="000000"/>
          <w:kern w:val="0"/>
          <w:sz w:val="24"/>
          <w:szCs w:val="24"/>
        </w:rPr>
        <w:t>发起式基金发起资金持有份额情况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843"/>
        <w:gridCol w:w="1276"/>
        <w:gridCol w:w="1984"/>
        <w:gridCol w:w="1276"/>
        <w:gridCol w:w="941"/>
      </w:tblGrid>
      <w:tr w:rsidR="00750D48" w:rsidRPr="00264E55" w:rsidTr="00507F99">
        <w:trPr>
          <w:trHeight w:val="543"/>
          <w:jc w:val="center"/>
        </w:trPr>
        <w:tc>
          <w:tcPr>
            <w:tcW w:w="1560" w:type="dxa"/>
            <w:vAlign w:val="center"/>
          </w:tcPr>
          <w:p w:rsidR="00750D48" w:rsidRPr="00B227EA" w:rsidRDefault="00750D48" w:rsidP="00597E49">
            <w:pPr>
              <w:widowControl/>
              <w:jc w:val="left"/>
              <w:rPr>
                <w:color w:val="000000"/>
                <w:sz w:val="24"/>
                <w:szCs w:val="24"/>
              </w:rPr>
            </w:pPr>
            <w:r w:rsidRPr="00B227EA">
              <w:rPr>
                <w:color w:val="000000"/>
                <w:sz w:val="24"/>
                <w:szCs w:val="24"/>
              </w:rPr>
              <w:t>项目</w:t>
            </w:r>
          </w:p>
        </w:tc>
        <w:tc>
          <w:tcPr>
            <w:tcW w:w="1843" w:type="dxa"/>
          </w:tcPr>
          <w:p w:rsidR="00750D48" w:rsidRPr="00B227EA" w:rsidRDefault="00750D48" w:rsidP="00597E49">
            <w:pPr>
              <w:adjustRightInd w:val="0"/>
              <w:snapToGrid w:val="0"/>
              <w:spacing w:line="360" w:lineRule="exact"/>
              <w:rPr>
                <w:color w:val="000000"/>
                <w:sz w:val="24"/>
                <w:szCs w:val="24"/>
              </w:rPr>
            </w:pPr>
            <w:r w:rsidRPr="00B227EA">
              <w:rPr>
                <w:color w:val="000000"/>
                <w:sz w:val="24"/>
                <w:szCs w:val="24"/>
              </w:rPr>
              <w:t>持有份额总数</w:t>
            </w:r>
          </w:p>
        </w:tc>
        <w:tc>
          <w:tcPr>
            <w:tcW w:w="1276" w:type="dxa"/>
          </w:tcPr>
          <w:p w:rsidR="00750D48" w:rsidRPr="00B227EA" w:rsidRDefault="00750D48" w:rsidP="00597E49">
            <w:pPr>
              <w:adjustRightInd w:val="0"/>
              <w:snapToGrid w:val="0"/>
              <w:spacing w:line="360" w:lineRule="exact"/>
              <w:rPr>
                <w:color w:val="000000"/>
                <w:sz w:val="24"/>
                <w:szCs w:val="24"/>
              </w:rPr>
            </w:pPr>
            <w:r w:rsidRPr="00B227EA">
              <w:rPr>
                <w:color w:val="000000"/>
                <w:sz w:val="24"/>
                <w:szCs w:val="24"/>
              </w:rPr>
              <w:t>持有份额占基金总份额比例</w:t>
            </w:r>
          </w:p>
        </w:tc>
        <w:tc>
          <w:tcPr>
            <w:tcW w:w="1984" w:type="dxa"/>
          </w:tcPr>
          <w:p w:rsidR="00750D48" w:rsidRPr="00B227EA" w:rsidRDefault="00750D48" w:rsidP="00597E49">
            <w:pPr>
              <w:adjustRightInd w:val="0"/>
              <w:snapToGrid w:val="0"/>
              <w:spacing w:line="360" w:lineRule="exact"/>
              <w:rPr>
                <w:color w:val="000000"/>
                <w:sz w:val="24"/>
                <w:szCs w:val="24"/>
              </w:rPr>
            </w:pPr>
            <w:r w:rsidRPr="00B227EA">
              <w:rPr>
                <w:color w:val="000000"/>
                <w:sz w:val="24"/>
                <w:szCs w:val="24"/>
              </w:rPr>
              <w:t>发起份额总数</w:t>
            </w:r>
          </w:p>
        </w:tc>
        <w:tc>
          <w:tcPr>
            <w:tcW w:w="1276" w:type="dxa"/>
          </w:tcPr>
          <w:p w:rsidR="00750D48" w:rsidRPr="00B227EA" w:rsidRDefault="00750D48" w:rsidP="00597E49">
            <w:pPr>
              <w:adjustRightInd w:val="0"/>
              <w:snapToGrid w:val="0"/>
              <w:spacing w:line="360" w:lineRule="exact"/>
              <w:rPr>
                <w:color w:val="000000"/>
                <w:sz w:val="24"/>
                <w:szCs w:val="24"/>
              </w:rPr>
            </w:pPr>
            <w:r w:rsidRPr="00B227EA">
              <w:rPr>
                <w:color w:val="000000"/>
                <w:sz w:val="24"/>
                <w:szCs w:val="24"/>
              </w:rPr>
              <w:t>发起份额占基金总份额比例</w:t>
            </w:r>
          </w:p>
        </w:tc>
        <w:tc>
          <w:tcPr>
            <w:tcW w:w="941" w:type="dxa"/>
          </w:tcPr>
          <w:p w:rsidR="00750D48" w:rsidRPr="00B227EA" w:rsidRDefault="00750D48" w:rsidP="00597E49">
            <w:pPr>
              <w:widowControl/>
              <w:jc w:val="left"/>
              <w:rPr>
                <w:color w:val="000000"/>
                <w:sz w:val="24"/>
                <w:szCs w:val="24"/>
              </w:rPr>
            </w:pPr>
            <w:r w:rsidRPr="00B227EA">
              <w:rPr>
                <w:color w:val="000000"/>
                <w:sz w:val="24"/>
                <w:szCs w:val="24"/>
              </w:rPr>
              <w:t>发起份额承诺持有期</w:t>
            </w:r>
            <w:r w:rsidRPr="00B227EA">
              <w:rPr>
                <w:color w:val="000000"/>
                <w:sz w:val="24"/>
                <w:szCs w:val="24"/>
              </w:rPr>
              <w:lastRenderedPageBreak/>
              <w:t>限</w:t>
            </w:r>
          </w:p>
        </w:tc>
      </w:tr>
      <w:tr w:rsidR="00750D48" w:rsidRPr="00264E55" w:rsidTr="00507F99">
        <w:trPr>
          <w:jc w:val="center"/>
        </w:trPr>
        <w:tc>
          <w:tcPr>
            <w:tcW w:w="1560" w:type="dxa"/>
          </w:tcPr>
          <w:p w:rsidR="00750D48" w:rsidRPr="00B227EA" w:rsidRDefault="00750D48" w:rsidP="00597E49">
            <w:pPr>
              <w:adjustRightInd w:val="0"/>
              <w:snapToGrid w:val="0"/>
              <w:spacing w:line="360" w:lineRule="exact"/>
              <w:rPr>
                <w:color w:val="000000"/>
                <w:sz w:val="24"/>
                <w:szCs w:val="24"/>
              </w:rPr>
            </w:pPr>
            <w:r w:rsidRPr="00B227EA">
              <w:rPr>
                <w:color w:val="000000"/>
                <w:sz w:val="24"/>
                <w:szCs w:val="24"/>
              </w:rPr>
              <w:lastRenderedPageBreak/>
              <w:t>基金管理人固有资金</w:t>
            </w:r>
          </w:p>
        </w:tc>
        <w:tc>
          <w:tcPr>
            <w:tcW w:w="1843"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10,000,000.00</w:t>
            </w:r>
          </w:p>
        </w:tc>
        <w:tc>
          <w:tcPr>
            <w:tcW w:w="1276"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1.8047%</w:t>
            </w:r>
          </w:p>
        </w:tc>
        <w:tc>
          <w:tcPr>
            <w:tcW w:w="1984"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10,000,000.00</w:t>
            </w:r>
          </w:p>
        </w:tc>
        <w:tc>
          <w:tcPr>
            <w:tcW w:w="1276"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1.8047%</w:t>
            </w:r>
          </w:p>
        </w:tc>
        <w:tc>
          <w:tcPr>
            <w:tcW w:w="941"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不少于</w:t>
            </w:r>
            <w:r w:rsidRPr="00B227EA">
              <w:rPr>
                <w:kern w:val="0"/>
                <w:sz w:val="24"/>
                <w:szCs w:val="24"/>
              </w:rPr>
              <w:t>3</w:t>
            </w:r>
            <w:r w:rsidRPr="00B227EA">
              <w:rPr>
                <w:kern w:val="0"/>
                <w:sz w:val="24"/>
                <w:szCs w:val="24"/>
              </w:rPr>
              <w:t>年</w:t>
            </w:r>
          </w:p>
        </w:tc>
      </w:tr>
      <w:tr w:rsidR="00750D48" w:rsidRPr="00264E55" w:rsidTr="00507F99">
        <w:trPr>
          <w:trHeight w:val="790"/>
          <w:jc w:val="center"/>
        </w:trPr>
        <w:tc>
          <w:tcPr>
            <w:tcW w:w="1560" w:type="dxa"/>
          </w:tcPr>
          <w:p w:rsidR="00750D48" w:rsidRPr="00B227EA" w:rsidRDefault="00750D48" w:rsidP="00597E49">
            <w:pPr>
              <w:adjustRightInd w:val="0"/>
              <w:snapToGrid w:val="0"/>
              <w:spacing w:line="360" w:lineRule="exact"/>
              <w:rPr>
                <w:color w:val="000000"/>
                <w:sz w:val="24"/>
                <w:szCs w:val="24"/>
              </w:rPr>
            </w:pPr>
            <w:r w:rsidRPr="00B227EA">
              <w:rPr>
                <w:color w:val="000000"/>
                <w:sz w:val="24"/>
                <w:szCs w:val="24"/>
              </w:rPr>
              <w:t>基金管理人高级管理人员</w:t>
            </w:r>
          </w:p>
        </w:tc>
        <w:tc>
          <w:tcPr>
            <w:tcW w:w="1843"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1276"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1984"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1276"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941"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r>
      <w:tr w:rsidR="00750D48" w:rsidRPr="00264E55" w:rsidTr="00507F99">
        <w:trPr>
          <w:jc w:val="center"/>
        </w:trPr>
        <w:tc>
          <w:tcPr>
            <w:tcW w:w="1560" w:type="dxa"/>
          </w:tcPr>
          <w:p w:rsidR="00750D48" w:rsidRPr="00B227EA" w:rsidRDefault="00750D48" w:rsidP="00597E49">
            <w:pPr>
              <w:adjustRightInd w:val="0"/>
              <w:snapToGrid w:val="0"/>
              <w:spacing w:line="360" w:lineRule="exact"/>
              <w:jc w:val="left"/>
              <w:rPr>
                <w:color w:val="000000"/>
                <w:sz w:val="24"/>
                <w:szCs w:val="24"/>
              </w:rPr>
            </w:pPr>
            <w:r w:rsidRPr="00B227EA">
              <w:rPr>
                <w:color w:val="000000"/>
                <w:sz w:val="24"/>
                <w:szCs w:val="24"/>
              </w:rPr>
              <w:t>基金经理等人员</w:t>
            </w:r>
          </w:p>
        </w:tc>
        <w:tc>
          <w:tcPr>
            <w:tcW w:w="1843"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1276"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1984"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1276"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941"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r>
      <w:tr w:rsidR="00750D48" w:rsidRPr="00264E55" w:rsidTr="00507F99">
        <w:trPr>
          <w:jc w:val="center"/>
        </w:trPr>
        <w:tc>
          <w:tcPr>
            <w:tcW w:w="1560" w:type="dxa"/>
          </w:tcPr>
          <w:p w:rsidR="00750D48" w:rsidRPr="00B227EA" w:rsidRDefault="00750D48" w:rsidP="00597E49">
            <w:pPr>
              <w:adjustRightInd w:val="0"/>
              <w:snapToGrid w:val="0"/>
              <w:spacing w:line="360" w:lineRule="exact"/>
              <w:jc w:val="left"/>
              <w:rPr>
                <w:color w:val="000000"/>
                <w:sz w:val="24"/>
                <w:szCs w:val="24"/>
              </w:rPr>
            </w:pPr>
            <w:r w:rsidRPr="00B227EA">
              <w:rPr>
                <w:color w:val="000000"/>
                <w:sz w:val="24"/>
                <w:szCs w:val="24"/>
              </w:rPr>
              <w:t>基金管理人股东</w:t>
            </w:r>
          </w:p>
        </w:tc>
        <w:tc>
          <w:tcPr>
            <w:tcW w:w="1843"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1276"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1984"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1276"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941"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r>
      <w:tr w:rsidR="00750D48" w:rsidRPr="00264E55" w:rsidTr="00507F99">
        <w:trPr>
          <w:jc w:val="center"/>
        </w:trPr>
        <w:tc>
          <w:tcPr>
            <w:tcW w:w="1560" w:type="dxa"/>
          </w:tcPr>
          <w:p w:rsidR="00750D48" w:rsidRPr="00B227EA" w:rsidRDefault="00750D48" w:rsidP="00597E49">
            <w:pPr>
              <w:adjustRightInd w:val="0"/>
              <w:snapToGrid w:val="0"/>
              <w:spacing w:line="360" w:lineRule="exact"/>
              <w:jc w:val="left"/>
              <w:rPr>
                <w:color w:val="000000"/>
                <w:sz w:val="24"/>
                <w:szCs w:val="24"/>
              </w:rPr>
            </w:pPr>
            <w:r w:rsidRPr="00B227EA">
              <w:rPr>
                <w:color w:val="000000"/>
                <w:sz w:val="24"/>
                <w:szCs w:val="24"/>
              </w:rPr>
              <w:t>其他</w:t>
            </w:r>
          </w:p>
        </w:tc>
        <w:tc>
          <w:tcPr>
            <w:tcW w:w="1843"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1276"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1984"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1276"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c>
          <w:tcPr>
            <w:tcW w:w="941"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r>
      <w:tr w:rsidR="00750D48" w:rsidRPr="00264E55" w:rsidTr="00507F99">
        <w:trPr>
          <w:jc w:val="center"/>
        </w:trPr>
        <w:tc>
          <w:tcPr>
            <w:tcW w:w="1560" w:type="dxa"/>
          </w:tcPr>
          <w:p w:rsidR="00750D48" w:rsidRPr="00B227EA" w:rsidRDefault="00750D48" w:rsidP="00597E49">
            <w:pPr>
              <w:adjustRightInd w:val="0"/>
              <w:snapToGrid w:val="0"/>
              <w:spacing w:line="360" w:lineRule="exact"/>
              <w:jc w:val="left"/>
              <w:rPr>
                <w:color w:val="000000"/>
                <w:sz w:val="24"/>
                <w:szCs w:val="24"/>
              </w:rPr>
            </w:pPr>
            <w:r w:rsidRPr="00B227EA">
              <w:rPr>
                <w:color w:val="000000"/>
                <w:sz w:val="24"/>
                <w:szCs w:val="24"/>
              </w:rPr>
              <w:t>合计</w:t>
            </w:r>
          </w:p>
        </w:tc>
        <w:tc>
          <w:tcPr>
            <w:tcW w:w="1843"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10,000,000.00</w:t>
            </w:r>
          </w:p>
        </w:tc>
        <w:tc>
          <w:tcPr>
            <w:tcW w:w="1276"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1.8047%</w:t>
            </w:r>
          </w:p>
        </w:tc>
        <w:tc>
          <w:tcPr>
            <w:tcW w:w="1984"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10,000,000.00</w:t>
            </w:r>
          </w:p>
        </w:tc>
        <w:tc>
          <w:tcPr>
            <w:tcW w:w="1276"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1.8047%</w:t>
            </w:r>
          </w:p>
        </w:tc>
        <w:tc>
          <w:tcPr>
            <w:tcW w:w="941" w:type="dxa"/>
          </w:tcPr>
          <w:p w:rsidR="00750D48" w:rsidRPr="00B227EA" w:rsidRDefault="00750D48" w:rsidP="00722509">
            <w:pPr>
              <w:adjustRightInd w:val="0"/>
              <w:snapToGrid w:val="0"/>
              <w:spacing w:line="360" w:lineRule="exact"/>
              <w:jc w:val="right"/>
              <w:rPr>
                <w:kern w:val="0"/>
                <w:sz w:val="24"/>
                <w:szCs w:val="24"/>
              </w:rPr>
            </w:pPr>
            <w:r w:rsidRPr="00B227EA">
              <w:rPr>
                <w:kern w:val="0"/>
                <w:sz w:val="24"/>
                <w:szCs w:val="24"/>
              </w:rPr>
              <w:t>-</w:t>
            </w:r>
          </w:p>
        </w:tc>
      </w:tr>
    </w:tbl>
    <w:p w:rsidR="004B7A92" w:rsidRPr="004B7A92" w:rsidRDefault="00013E6E" w:rsidP="004B7A92">
      <w:pPr>
        <w:pStyle w:val="1"/>
        <w:spacing w:beforeLines="100" w:before="312" w:afterLines="100" w:after="312" w:line="360" w:lineRule="auto"/>
        <w:jc w:val="center"/>
        <w:rPr>
          <w:rFonts w:ascii="宋体" w:hAnsi="宋体"/>
          <w:color w:val="000000"/>
          <w:kern w:val="0"/>
          <w:sz w:val="24"/>
          <w:szCs w:val="24"/>
        </w:rPr>
      </w:pPr>
      <w:r w:rsidRPr="00264E55">
        <w:rPr>
          <w:rFonts w:ascii="宋体" w:hAnsi="宋体" w:hint="eastAsia"/>
          <w:color w:val="000000"/>
          <w:kern w:val="0"/>
          <w:sz w:val="24"/>
          <w:szCs w:val="24"/>
        </w:rPr>
        <w:t>§</w:t>
      </w:r>
      <w:r w:rsidR="004B7A92" w:rsidRPr="004B7A92">
        <w:rPr>
          <w:rFonts w:ascii="宋体" w:hAnsi="宋体"/>
          <w:color w:val="000000"/>
          <w:kern w:val="0"/>
          <w:sz w:val="24"/>
          <w:szCs w:val="24"/>
        </w:rPr>
        <w:t>9</w:t>
      </w:r>
      <w:r w:rsidR="0043199A" w:rsidRPr="00264E55">
        <w:rPr>
          <w:rFonts w:ascii="宋体" w:hAnsi="宋体"/>
          <w:color w:val="000000"/>
          <w:kern w:val="0"/>
          <w:sz w:val="24"/>
          <w:szCs w:val="24"/>
        </w:rPr>
        <w:t xml:space="preserve">  </w:t>
      </w:r>
      <w:r w:rsidR="004B7A92" w:rsidRPr="004B7A92">
        <w:rPr>
          <w:rFonts w:ascii="宋体" w:hAnsi="宋体"/>
          <w:color w:val="000000"/>
          <w:kern w:val="0"/>
          <w:sz w:val="24"/>
          <w:szCs w:val="24"/>
        </w:rPr>
        <w:t>影响投资者决策的其他重要信息</w:t>
      </w:r>
    </w:p>
    <w:p w:rsidR="001F5F5D" w:rsidRPr="001F5F5D" w:rsidRDefault="001F5F5D" w:rsidP="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9.1 报告期内单一投资者持有基金份额比例达到或超过20%的情况</w:t>
      </w:r>
    </w:p>
    <w:tbl>
      <w:tblPr>
        <w:tblStyle w:val="af7"/>
        <w:tblW w:w="9640" w:type="dxa"/>
        <w:jc w:val="center"/>
        <w:tblLayout w:type="fixed"/>
        <w:tblLook w:val="04A0" w:firstRow="1" w:lastRow="0" w:firstColumn="1" w:lastColumn="0" w:noHBand="0" w:noVBand="1"/>
      </w:tblPr>
      <w:tblGrid>
        <w:gridCol w:w="1798"/>
        <w:gridCol w:w="709"/>
        <w:gridCol w:w="1985"/>
        <w:gridCol w:w="1134"/>
        <w:gridCol w:w="992"/>
        <w:gridCol w:w="1134"/>
        <w:gridCol w:w="1037"/>
        <w:gridCol w:w="851"/>
      </w:tblGrid>
      <w:tr w:rsidR="001F5F5D" w:rsidRPr="00FC0759" w:rsidTr="007125DB">
        <w:trPr>
          <w:jc w:val="center"/>
        </w:trPr>
        <w:tc>
          <w:tcPr>
            <w:tcW w:w="1798" w:type="dxa"/>
            <w:vMerge w:val="restart"/>
            <w:vAlign w:val="center"/>
          </w:tcPr>
          <w:p w:rsidR="001F5F5D" w:rsidRPr="00FC0759" w:rsidRDefault="001F5F5D" w:rsidP="00D9482C">
            <w:pPr>
              <w:autoSpaceDE w:val="0"/>
              <w:autoSpaceDN w:val="0"/>
              <w:adjustRightInd w:val="0"/>
              <w:jc w:val="center"/>
              <w:rPr>
                <w:rFonts w:eastAsiaTheme="minorEastAsia"/>
                <w:b/>
                <w:bCs/>
                <w:color w:val="000000" w:themeColor="text1"/>
                <w:sz w:val="24"/>
                <w:szCs w:val="24"/>
              </w:rPr>
            </w:pPr>
            <w:r w:rsidRPr="00FC0759">
              <w:rPr>
                <w:color w:val="000000"/>
                <w:sz w:val="24"/>
                <w:szCs w:val="24"/>
              </w:rPr>
              <w:t>投资者类别</w:t>
            </w:r>
          </w:p>
        </w:tc>
        <w:tc>
          <w:tcPr>
            <w:tcW w:w="5954" w:type="dxa"/>
            <w:gridSpan w:val="5"/>
            <w:vAlign w:val="center"/>
          </w:tcPr>
          <w:p w:rsidR="001F5F5D" w:rsidRPr="00FC0759" w:rsidRDefault="001F5F5D" w:rsidP="00D9482C">
            <w:pPr>
              <w:autoSpaceDE w:val="0"/>
              <w:autoSpaceDN w:val="0"/>
              <w:adjustRightInd w:val="0"/>
              <w:ind w:firstLine="1126"/>
              <w:jc w:val="center"/>
              <w:rPr>
                <w:rFonts w:eastAsiaTheme="minorEastAsia"/>
                <w:b/>
                <w:bCs/>
                <w:color w:val="000000" w:themeColor="text1"/>
                <w:sz w:val="24"/>
                <w:szCs w:val="24"/>
              </w:rPr>
            </w:pPr>
            <w:r w:rsidRPr="00FC0759">
              <w:rPr>
                <w:color w:val="000000"/>
                <w:sz w:val="24"/>
                <w:szCs w:val="24"/>
              </w:rPr>
              <w:t>报告期内持有基金份额变化情况</w:t>
            </w:r>
          </w:p>
        </w:tc>
        <w:tc>
          <w:tcPr>
            <w:tcW w:w="1888" w:type="dxa"/>
            <w:gridSpan w:val="2"/>
            <w:vAlign w:val="center"/>
          </w:tcPr>
          <w:p w:rsidR="001F5F5D" w:rsidRPr="00FC0759" w:rsidRDefault="001F5F5D" w:rsidP="00D9482C">
            <w:pPr>
              <w:autoSpaceDE w:val="0"/>
              <w:autoSpaceDN w:val="0"/>
              <w:adjustRightInd w:val="0"/>
              <w:jc w:val="center"/>
              <w:rPr>
                <w:rFonts w:eastAsiaTheme="minorEastAsia"/>
                <w:b/>
                <w:bCs/>
                <w:color w:val="000000" w:themeColor="text1"/>
                <w:sz w:val="24"/>
                <w:szCs w:val="24"/>
              </w:rPr>
            </w:pPr>
            <w:r w:rsidRPr="00FC0759">
              <w:rPr>
                <w:color w:val="000000"/>
                <w:sz w:val="24"/>
                <w:szCs w:val="24"/>
              </w:rPr>
              <w:t>报告期末持有基金情况</w:t>
            </w:r>
          </w:p>
        </w:tc>
      </w:tr>
      <w:tr w:rsidR="001F5F5D" w:rsidRPr="00FC0759" w:rsidTr="007125DB">
        <w:trPr>
          <w:jc w:val="center"/>
        </w:trPr>
        <w:tc>
          <w:tcPr>
            <w:tcW w:w="1798" w:type="dxa"/>
            <w:vMerge/>
            <w:vAlign w:val="center"/>
          </w:tcPr>
          <w:p w:rsidR="001F5F5D" w:rsidRPr="00FC0759" w:rsidRDefault="001F5F5D" w:rsidP="00D9482C">
            <w:pPr>
              <w:autoSpaceDE w:val="0"/>
              <w:autoSpaceDN w:val="0"/>
              <w:adjustRightInd w:val="0"/>
              <w:ind w:firstLine="1234"/>
              <w:jc w:val="center"/>
              <w:rPr>
                <w:rFonts w:eastAsiaTheme="minorEastAsia"/>
                <w:b/>
                <w:bCs/>
                <w:color w:val="000000" w:themeColor="text1"/>
                <w:sz w:val="24"/>
                <w:szCs w:val="24"/>
              </w:rPr>
            </w:pPr>
          </w:p>
        </w:tc>
        <w:tc>
          <w:tcPr>
            <w:tcW w:w="709" w:type="dxa"/>
            <w:vAlign w:val="center"/>
          </w:tcPr>
          <w:p w:rsidR="001F5F5D" w:rsidRPr="00FC0759" w:rsidRDefault="001F5F5D" w:rsidP="00D9482C">
            <w:pPr>
              <w:autoSpaceDE w:val="0"/>
              <w:autoSpaceDN w:val="0"/>
              <w:adjustRightInd w:val="0"/>
              <w:jc w:val="center"/>
              <w:rPr>
                <w:rFonts w:eastAsiaTheme="minorEastAsia"/>
                <w:b/>
                <w:bCs/>
                <w:color w:val="000000" w:themeColor="text1"/>
                <w:sz w:val="24"/>
                <w:szCs w:val="24"/>
              </w:rPr>
            </w:pPr>
            <w:r w:rsidRPr="00FC0759">
              <w:rPr>
                <w:color w:val="000000"/>
                <w:sz w:val="24"/>
                <w:szCs w:val="24"/>
              </w:rPr>
              <w:t>序号</w:t>
            </w:r>
          </w:p>
        </w:tc>
        <w:tc>
          <w:tcPr>
            <w:tcW w:w="1985" w:type="dxa"/>
            <w:vAlign w:val="center"/>
          </w:tcPr>
          <w:p w:rsidR="001F5F5D" w:rsidRPr="00FC0759" w:rsidRDefault="001F5F5D" w:rsidP="00D9482C">
            <w:pPr>
              <w:autoSpaceDE w:val="0"/>
              <w:autoSpaceDN w:val="0"/>
              <w:adjustRightInd w:val="0"/>
              <w:jc w:val="center"/>
              <w:rPr>
                <w:rFonts w:eastAsiaTheme="minorEastAsia"/>
                <w:b/>
                <w:bCs/>
                <w:color w:val="000000" w:themeColor="text1"/>
                <w:sz w:val="24"/>
                <w:szCs w:val="24"/>
              </w:rPr>
            </w:pPr>
            <w:r w:rsidRPr="00FC0759">
              <w:rPr>
                <w:color w:val="000000"/>
                <w:sz w:val="24"/>
                <w:szCs w:val="24"/>
              </w:rPr>
              <w:t>持有基金份额比例达到或者超过</w:t>
            </w:r>
            <w:r w:rsidRPr="00FC0759">
              <w:rPr>
                <w:color w:val="000000"/>
                <w:sz w:val="24"/>
                <w:szCs w:val="24"/>
              </w:rPr>
              <w:t>20%</w:t>
            </w:r>
            <w:r w:rsidRPr="00FC0759">
              <w:rPr>
                <w:color w:val="000000"/>
                <w:sz w:val="24"/>
                <w:szCs w:val="24"/>
              </w:rPr>
              <w:t>的时间区间</w:t>
            </w:r>
          </w:p>
        </w:tc>
        <w:tc>
          <w:tcPr>
            <w:tcW w:w="1134" w:type="dxa"/>
            <w:vAlign w:val="center"/>
          </w:tcPr>
          <w:p w:rsidR="001F5F5D" w:rsidRPr="00FC0759" w:rsidRDefault="001F5F5D" w:rsidP="00D9482C">
            <w:pPr>
              <w:widowControl/>
              <w:rPr>
                <w:rFonts w:eastAsiaTheme="minorEastAsia"/>
                <w:b/>
                <w:bCs/>
                <w:color w:val="000000" w:themeColor="text1"/>
                <w:sz w:val="24"/>
                <w:szCs w:val="24"/>
              </w:rPr>
            </w:pPr>
            <w:r w:rsidRPr="00FC0759">
              <w:rPr>
                <w:color w:val="000000"/>
                <w:sz w:val="24"/>
                <w:szCs w:val="24"/>
              </w:rPr>
              <w:t>期初份额</w:t>
            </w:r>
          </w:p>
        </w:tc>
        <w:tc>
          <w:tcPr>
            <w:tcW w:w="992" w:type="dxa"/>
            <w:vAlign w:val="center"/>
          </w:tcPr>
          <w:p w:rsidR="001F5F5D" w:rsidRPr="00FC0759" w:rsidRDefault="001F5F5D" w:rsidP="00D9482C">
            <w:pPr>
              <w:widowControl/>
              <w:rPr>
                <w:rFonts w:eastAsiaTheme="minorEastAsia"/>
                <w:b/>
                <w:bCs/>
                <w:color w:val="000000" w:themeColor="text1"/>
                <w:sz w:val="24"/>
                <w:szCs w:val="24"/>
              </w:rPr>
            </w:pPr>
            <w:r w:rsidRPr="00FC0759">
              <w:rPr>
                <w:color w:val="000000"/>
                <w:sz w:val="24"/>
                <w:szCs w:val="24"/>
              </w:rPr>
              <w:t>申购份额</w:t>
            </w:r>
          </w:p>
        </w:tc>
        <w:tc>
          <w:tcPr>
            <w:tcW w:w="1134" w:type="dxa"/>
            <w:vAlign w:val="center"/>
          </w:tcPr>
          <w:p w:rsidR="001F5F5D" w:rsidRPr="00FC0759" w:rsidRDefault="001F5F5D" w:rsidP="00D9482C">
            <w:pPr>
              <w:widowControl/>
              <w:rPr>
                <w:rFonts w:eastAsiaTheme="minorEastAsia"/>
                <w:b/>
                <w:bCs/>
                <w:color w:val="000000" w:themeColor="text1"/>
                <w:sz w:val="24"/>
                <w:szCs w:val="24"/>
              </w:rPr>
            </w:pPr>
            <w:r w:rsidRPr="00FC0759">
              <w:rPr>
                <w:color w:val="000000"/>
                <w:sz w:val="24"/>
                <w:szCs w:val="24"/>
              </w:rPr>
              <w:t>赎回份额</w:t>
            </w:r>
          </w:p>
        </w:tc>
        <w:tc>
          <w:tcPr>
            <w:tcW w:w="1037" w:type="dxa"/>
            <w:vAlign w:val="center"/>
          </w:tcPr>
          <w:p w:rsidR="001F5F5D" w:rsidRPr="00FC0759" w:rsidRDefault="001F5F5D" w:rsidP="00D9482C">
            <w:pPr>
              <w:autoSpaceDE w:val="0"/>
              <w:autoSpaceDN w:val="0"/>
              <w:adjustRightInd w:val="0"/>
              <w:jc w:val="center"/>
              <w:rPr>
                <w:rFonts w:eastAsiaTheme="minorEastAsia"/>
                <w:b/>
                <w:bCs/>
                <w:color w:val="000000" w:themeColor="text1"/>
                <w:sz w:val="24"/>
                <w:szCs w:val="24"/>
              </w:rPr>
            </w:pPr>
            <w:r w:rsidRPr="00FC0759">
              <w:rPr>
                <w:color w:val="000000"/>
                <w:sz w:val="24"/>
                <w:szCs w:val="24"/>
              </w:rPr>
              <w:t>持有份额</w:t>
            </w:r>
          </w:p>
        </w:tc>
        <w:tc>
          <w:tcPr>
            <w:tcW w:w="851" w:type="dxa"/>
            <w:vAlign w:val="center"/>
          </w:tcPr>
          <w:p w:rsidR="001F5F5D" w:rsidRPr="00FC0759" w:rsidRDefault="001F5F5D" w:rsidP="00D9482C">
            <w:pPr>
              <w:autoSpaceDE w:val="0"/>
              <w:autoSpaceDN w:val="0"/>
              <w:adjustRightInd w:val="0"/>
              <w:jc w:val="center"/>
              <w:rPr>
                <w:rFonts w:eastAsiaTheme="minorEastAsia"/>
                <w:b/>
                <w:bCs/>
                <w:color w:val="000000" w:themeColor="text1"/>
                <w:sz w:val="24"/>
                <w:szCs w:val="24"/>
              </w:rPr>
            </w:pPr>
            <w:r w:rsidRPr="00FC0759">
              <w:rPr>
                <w:color w:val="000000"/>
                <w:sz w:val="24"/>
                <w:szCs w:val="24"/>
              </w:rPr>
              <w:t>份额占比</w:t>
            </w:r>
          </w:p>
        </w:tc>
      </w:tr>
      <w:tr w:rsidR="002B4BB2">
        <w:trPr>
          <w:jc w:val="center"/>
        </w:trPr>
        <w:tc>
          <w:tcPr>
            <w:tcW w:w="1798" w:type="dxa"/>
            <w:vMerge w:val="restart"/>
            <w:vAlign w:val="center"/>
          </w:tcPr>
          <w:p w:rsidR="002B4BB2" w:rsidRDefault="004865A0">
            <w:r>
              <w:rPr>
                <w:rFonts w:eastAsiaTheme="minorEastAsia"/>
                <w:bCs/>
                <w:color w:val="000000" w:themeColor="text1"/>
                <w:sz w:val="24"/>
                <w:szCs w:val="24"/>
              </w:rPr>
              <w:t>机构</w:t>
            </w:r>
          </w:p>
        </w:tc>
        <w:tc>
          <w:tcPr>
            <w:tcW w:w="709" w:type="dxa"/>
            <w:vAlign w:val="center"/>
          </w:tcPr>
          <w:p w:rsidR="002B4BB2" w:rsidRDefault="004865A0">
            <w:pPr>
              <w:jc w:val="center"/>
            </w:pPr>
            <w:r>
              <w:rPr>
                <w:sz w:val="24"/>
                <w:szCs w:val="24"/>
              </w:rPr>
              <w:t>1</w:t>
            </w:r>
          </w:p>
        </w:tc>
        <w:tc>
          <w:tcPr>
            <w:tcW w:w="1985" w:type="dxa"/>
            <w:vAlign w:val="center"/>
          </w:tcPr>
          <w:p w:rsidR="002B4BB2" w:rsidRDefault="004865A0">
            <w:pPr>
              <w:jc w:val="center"/>
            </w:pPr>
            <w:r>
              <w:rPr>
                <w:sz w:val="24"/>
                <w:szCs w:val="24"/>
              </w:rPr>
              <w:t>2020</w:t>
            </w:r>
            <w:r>
              <w:rPr>
                <w:sz w:val="24"/>
                <w:szCs w:val="24"/>
              </w:rPr>
              <w:t>年</w:t>
            </w:r>
            <w:r>
              <w:rPr>
                <w:sz w:val="24"/>
                <w:szCs w:val="24"/>
              </w:rPr>
              <w:t>04</w:t>
            </w:r>
            <w:r>
              <w:rPr>
                <w:sz w:val="24"/>
                <w:szCs w:val="24"/>
              </w:rPr>
              <w:t>月</w:t>
            </w:r>
            <w:r>
              <w:rPr>
                <w:sz w:val="24"/>
                <w:szCs w:val="24"/>
              </w:rPr>
              <w:t>01</w:t>
            </w:r>
            <w:r>
              <w:rPr>
                <w:sz w:val="24"/>
                <w:szCs w:val="24"/>
              </w:rPr>
              <w:t>日</w:t>
            </w:r>
            <w:r>
              <w:rPr>
                <w:sz w:val="24"/>
                <w:szCs w:val="24"/>
              </w:rPr>
              <w:t>~2020</w:t>
            </w:r>
            <w:r>
              <w:rPr>
                <w:sz w:val="24"/>
                <w:szCs w:val="24"/>
              </w:rPr>
              <w:t>年</w:t>
            </w:r>
            <w:r>
              <w:rPr>
                <w:sz w:val="24"/>
                <w:szCs w:val="24"/>
              </w:rPr>
              <w:t>06</w:t>
            </w:r>
            <w:r>
              <w:rPr>
                <w:sz w:val="24"/>
                <w:szCs w:val="24"/>
              </w:rPr>
              <w:t>月</w:t>
            </w:r>
            <w:r>
              <w:rPr>
                <w:sz w:val="24"/>
                <w:szCs w:val="24"/>
              </w:rPr>
              <w:t>30</w:t>
            </w:r>
            <w:r>
              <w:rPr>
                <w:sz w:val="24"/>
                <w:szCs w:val="24"/>
              </w:rPr>
              <w:t>日</w:t>
            </w:r>
          </w:p>
        </w:tc>
        <w:tc>
          <w:tcPr>
            <w:tcW w:w="1134" w:type="dxa"/>
            <w:vAlign w:val="center"/>
          </w:tcPr>
          <w:p w:rsidR="002B4BB2" w:rsidRDefault="004865A0">
            <w:pPr>
              <w:jc w:val="center"/>
            </w:pPr>
            <w:r>
              <w:rPr>
                <w:sz w:val="24"/>
                <w:szCs w:val="24"/>
              </w:rPr>
              <w:t>494,113,639.66</w:t>
            </w:r>
          </w:p>
        </w:tc>
        <w:tc>
          <w:tcPr>
            <w:tcW w:w="992" w:type="dxa"/>
            <w:vAlign w:val="center"/>
          </w:tcPr>
          <w:p w:rsidR="002B4BB2" w:rsidRDefault="004865A0">
            <w:pPr>
              <w:jc w:val="center"/>
            </w:pPr>
            <w:r>
              <w:rPr>
                <w:sz w:val="24"/>
                <w:szCs w:val="24"/>
              </w:rPr>
              <w:t>-</w:t>
            </w:r>
          </w:p>
        </w:tc>
        <w:tc>
          <w:tcPr>
            <w:tcW w:w="1134" w:type="dxa"/>
            <w:vAlign w:val="center"/>
          </w:tcPr>
          <w:p w:rsidR="002B4BB2" w:rsidRDefault="004865A0">
            <w:pPr>
              <w:jc w:val="center"/>
            </w:pPr>
            <w:r>
              <w:rPr>
                <w:sz w:val="24"/>
                <w:szCs w:val="24"/>
              </w:rPr>
              <w:t>-</w:t>
            </w:r>
          </w:p>
        </w:tc>
        <w:tc>
          <w:tcPr>
            <w:tcW w:w="1037" w:type="dxa"/>
            <w:vAlign w:val="center"/>
          </w:tcPr>
          <w:p w:rsidR="002B4BB2" w:rsidRDefault="004865A0">
            <w:pPr>
              <w:jc w:val="center"/>
            </w:pPr>
            <w:r>
              <w:rPr>
                <w:sz w:val="24"/>
                <w:szCs w:val="24"/>
              </w:rPr>
              <w:t>494,113,639.66</w:t>
            </w:r>
          </w:p>
        </w:tc>
        <w:tc>
          <w:tcPr>
            <w:tcW w:w="851" w:type="dxa"/>
            <w:vAlign w:val="center"/>
          </w:tcPr>
          <w:p w:rsidR="002B4BB2" w:rsidRDefault="004865A0">
            <w:pPr>
              <w:jc w:val="center"/>
            </w:pPr>
            <w:r>
              <w:rPr>
                <w:sz w:val="24"/>
                <w:szCs w:val="24"/>
              </w:rPr>
              <w:t>89.17%</w:t>
            </w:r>
          </w:p>
        </w:tc>
      </w:tr>
      <w:tr w:rsidR="001F5F5D" w:rsidRPr="00FC0759" w:rsidTr="00D9482C">
        <w:trPr>
          <w:jc w:val="center"/>
        </w:trPr>
        <w:tc>
          <w:tcPr>
            <w:tcW w:w="9637" w:type="dxa"/>
            <w:gridSpan w:val="8"/>
            <w:vAlign w:val="center"/>
          </w:tcPr>
          <w:p w:rsidR="001F5F5D" w:rsidRPr="00FC0759" w:rsidRDefault="001F5F5D" w:rsidP="003350A8">
            <w:pPr>
              <w:autoSpaceDE w:val="0"/>
              <w:autoSpaceDN w:val="0"/>
              <w:adjustRightInd w:val="0"/>
              <w:jc w:val="center"/>
              <w:rPr>
                <w:sz w:val="24"/>
                <w:szCs w:val="24"/>
              </w:rPr>
            </w:pPr>
            <w:r w:rsidRPr="00FC0759">
              <w:rPr>
                <w:color w:val="000000"/>
                <w:sz w:val="24"/>
                <w:szCs w:val="24"/>
              </w:rPr>
              <w:t>产品特有风险</w:t>
            </w:r>
          </w:p>
        </w:tc>
      </w:tr>
      <w:tr w:rsidR="001F5F5D" w:rsidRPr="00FC0759" w:rsidTr="00D9482C">
        <w:trPr>
          <w:jc w:val="center"/>
        </w:trPr>
        <w:tc>
          <w:tcPr>
            <w:tcW w:w="9637" w:type="dxa"/>
            <w:gridSpan w:val="8"/>
            <w:vAlign w:val="center"/>
          </w:tcPr>
          <w:p w:rsidR="001F5F5D" w:rsidRPr="00FC0759" w:rsidRDefault="001F5F5D" w:rsidP="00D9482C">
            <w:pPr>
              <w:autoSpaceDE w:val="0"/>
              <w:autoSpaceDN w:val="0"/>
              <w:adjustRightInd w:val="0"/>
              <w:jc w:val="left"/>
              <w:rPr>
                <w:sz w:val="24"/>
                <w:szCs w:val="24"/>
              </w:rPr>
            </w:pPr>
            <w:r w:rsidRPr="00FC0759">
              <w:rPr>
                <w:sz w:val="24"/>
                <w:szCs w:val="24"/>
              </w:rPr>
              <w:t>报告期内，本基金存在单一投资者持有份额比例达到或超过</w:t>
            </w:r>
            <w:r w:rsidRPr="00FC0759">
              <w:rPr>
                <w:sz w:val="24"/>
                <w:szCs w:val="24"/>
              </w:rPr>
              <w:t>20%</w:t>
            </w:r>
            <w:r w:rsidRPr="00FC0759">
              <w:rPr>
                <w:sz w:val="24"/>
                <w:szCs w:val="24"/>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本基金基金合同生效满三年后继续存续时，若个别投资者大额赎回后本基金出现连续六十个工作日基金资产净值低于</w:t>
            </w:r>
            <w:r w:rsidRPr="00FC0759">
              <w:rPr>
                <w:sz w:val="24"/>
                <w:szCs w:val="24"/>
              </w:rPr>
              <w:t>5000</w:t>
            </w:r>
            <w:r w:rsidRPr="00FC0759">
              <w:rPr>
                <w:sz w:val="24"/>
                <w:szCs w:val="24"/>
              </w:rPr>
              <w:t>万元，基金还可能面临转换运作方式、与其他基金合并或者终止基金合同等情形；持有基金份额占比较高的投资者在召开持有人大会并对审议事项进行投票表决时可能拥有较大话语权。</w:t>
            </w:r>
          </w:p>
        </w:tc>
      </w:tr>
    </w:tbl>
    <w:p w:rsidR="001F5F5D" w:rsidRPr="001F5F5D" w:rsidRDefault="001F5F5D" w:rsidP="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9.2 影响投资者决策的其他重要信息</w:t>
      </w:r>
    </w:p>
    <w:p w:rsidR="002B4BB2" w:rsidRDefault="004865A0">
      <w:pPr>
        <w:spacing w:line="360" w:lineRule="auto"/>
        <w:ind w:firstLineChars="200" w:firstLine="480"/>
        <w:rPr>
          <w:color w:val="000000"/>
          <w:sz w:val="24"/>
          <w:szCs w:val="24"/>
        </w:rPr>
      </w:pPr>
      <w:r>
        <w:rPr>
          <w:rFonts w:eastAsiaTheme="minorEastAsia"/>
          <w:color w:val="000000" w:themeColor="text1"/>
          <w:sz w:val="24"/>
          <w:szCs w:val="24"/>
        </w:rPr>
        <w:t>1</w:t>
      </w:r>
      <w:r>
        <w:rPr>
          <w:rFonts w:eastAsiaTheme="minorEastAsia"/>
          <w:color w:val="000000" w:themeColor="text1"/>
          <w:sz w:val="24"/>
          <w:szCs w:val="24"/>
        </w:rPr>
        <w:t>、定期开放运作的风险</w:t>
      </w:r>
    </w:p>
    <w:p w:rsidR="002B4BB2" w:rsidRDefault="004865A0">
      <w:pPr>
        <w:spacing w:line="360" w:lineRule="auto"/>
        <w:ind w:firstLineChars="200" w:firstLine="480"/>
        <w:rPr>
          <w:color w:val="000000"/>
          <w:sz w:val="24"/>
          <w:szCs w:val="24"/>
        </w:rPr>
      </w:pPr>
      <w:r>
        <w:rPr>
          <w:rFonts w:eastAsiaTheme="minorEastAsia"/>
          <w:color w:val="000000" w:themeColor="text1"/>
          <w:sz w:val="24"/>
          <w:szCs w:val="24"/>
        </w:rPr>
        <w:t>（</w:t>
      </w:r>
      <w:r>
        <w:rPr>
          <w:rFonts w:eastAsiaTheme="minorEastAsia"/>
          <w:color w:val="000000" w:themeColor="text1"/>
          <w:sz w:val="24"/>
          <w:szCs w:val="24"/>
        </w:rPr>
        <w:t>1</w:t>
      </w:r>
      <w:r>
        <w:rPr>
          <w:rFonts w:eastAsiaTheme="minorEastAsia"/>
          <w:color w:val="000000" w:themeColor="text1"/>
          <w:sz w:val="24"/>
          <w:szCs w:val="24"/>
        </w:rPr>
        <w:t>）本基金以定期开放方式运作且不上市交易，投资者仅可在开放运作期申赎基金份额，在封闭运作期内无法申购赎回。若投资者在开放运作期未赎回基</w:t>
      </w:r>
      <w:r>
        <w:rPr>
          <w:rFonts w:eastAsiaTheme="minorEastAsia"/>
          <w:color w:val="000000" w:themeColor="text1"/>
          <w:sz w:val="24"/>
          <w:szCs w:val="24"/>
        </w:rPr>
        <w:lastRenderedPageBreak/>
        <w:t>金份额，则需继续持有至下一封闭运作期结束才能赎回，投资者在封闭运作期内存在无法赎回基金份额的风险。</w:t>
      </w:r>
    </w:p>
    <w:p w:rsidR="002B4BB2" w:rsidRDefault="004865A0">
      <w:pPr>
        <w:spacing w:line="360" w:lineRule="auto"/>
        <w:ind w:firstLineChars="200" w:firstLine="480"/>
        <w:rPr>
          <w:color w:val="000000"/>
          <w:sz w:val="24"/>
          <w:szCs w:val="24"/>
        </w:rPr>
      </w:pPr>
      <w:r>
        <w:rPr>
          <w:rFonts w:eastAsiaTheme="minorEastAsia"/>
          <w:color w:val="000000" w:themeColor="text1"/>
          <w:sz w:val="24"/>
          <w:szCs w:val="24"/>
        </w:rPr>
        <w:t>（</w:t>
      </w:r>
      <w:r>
        <w:rPr>
          <w:rFonts w:eastAsiaTheme="minorEastAsia"/>
          <w:color w:val="000000" w:themeColor="text1"/>
          <w:sz w:val="24"/>
          <w:szCs w:val="24"/>
        </w:rPr>
        <w:t>2</w:t>
      </w:r>
      <w:r>
        <w:rPr>
          <w:rFonts w:eastAsiaTheme="minorEastAsia"/>
          <w:color w:val="000000" w:themeColor="text1"/>
          <w:sz w:val="24"/>
          <w:szCs w:val="24"/>
        </w:rPr>
        <w:t>）基金合同生效后的首个运作期为封闭运作期，自基金合同生效日至基金管理人规定的时间，首个封闭运作期可能少于或者超过</w:t>
      </w:r>
      <w:r>
        <w:rPr>
          <w:rFonts w:eastAsiaTheme="minorEastAsia"/>
          <w:color w:val="000000" w:themeColor="text1"/>
          <w:sz w:val="24"/>
          <w:szCs w:val="24"/>
        </w:rPr>
        <w:t>3</w:t>
      </w:r>
      <w:r>
        <w:rPr>
          <w:rFonts w:eastAsiaTheme="minorEastAsia"/>
          <w:color w:val="000000" w:themeColor="text1"/>
          <w:sz w:val="24"/>
          <w:szCs w:val="24"/>
        </w:rPr>
        <w:t>个月，投资者应仔细阅读相关法律文件及公告，并及时行使相关权利。</w:t>
      </w:r>
    </w:p>
    <w:p w:rsidR="002B4BB2" w:rsidRDefault="004865A0">
      <w:pPr>
        <w:spacing w:line="360" w:lineRule="auto"/>
        <w:ind w:firstLineChars="200" w:firstLine="480"/>
        <w:rPr>
          <w:color w:val="000000"/>
          <w:sz w:val="24"/>
          <w:szCs w:val="24"/>
        </w:rPr>
      </w:pPr>
      <w:r>
        <w:rPr>
          <w:rFonts w:eastAsiaTheme="minorEastAsia"/>
          <w:color w:val="000000" w:themeColor="text1"/>
          <w:sz w:val="24"/>
          <w:szCs w:val="24"/>
        </w:rPr>
        <w:t>（</w:t>
      </w:r>
      <w:r>
        <w:rPr>
          <w:rFonts w:eastAsiaTheme="minorEastAsia"/>
          <w:color w:val="000000" w:themeColor="text1"/>
          <w:sz w:val="24"/>
          <w:szCs w:val="24"/>
        </w:rPr>
        <w:t>3</w:t>
      </w:r>
      <w:r>
        <w:rPr>
          <w:rFonts w:eastAsiaTheme="minorEastAsia"/>
          <w:color w:val="000000" w:themeColor="text1"/>
          <w:sz w:val="24"/>
          <w:szCs w:val="24"/>
        </w:rPr>
        <w:t>）除首个运作期封闭运作外，本基金的运作期包含</w:t>
      </w:r>
      <w:r>
        <w:rPr>
          <w:rFonts w:eastAsiaTheme="minorEastAsia"/>
          <w:color w:val="000000" w:themeColor="text1"/>
          <w:sz w:val="24"/>
          <w:szCs w:val="24"/>
        </w:rPr>
        <w:t>“</w:t>
      </w:r>
      <w:r>
        <w:rPr>
          <w:rFonts w:eastAsiaTheme="minorEastAsia"/>
          <w:color w:val="000000" w:themeColor="text1"/>
          <w:sz w:val="24"/>
          <w:szCs w:val="24"/>
        </w:rPr>
        <w:t>封闭运作期</w:t>
      </w:r>
      <w:r>
        <w:rPr>
          <w:rFonts w:eastAsiaTheme="minorEastAsia"/>
          <w:color w:val="000000" w:themeColor="text1"/>
          <w:sz w:val="24"/>
          <w:szCs w:val="24"/>
        </w:rPr>
        <w:t>”</w:t>
      </w:r>
      <w:r>
        <w:rPr>
          <w:rFonts w:eastAsiaTheme="minorEastAsia"/>
          <w:color w:val="000000" w:themeColor="text1"/>
          <w:sz w:val="24"/>
          <w:szCs w:val="24"/>
        </w:rPr>
        <w:t>和</w:t>
      </w:r>
      <w:r>
        <w:rPr>
          <w:rFonts w:eastAsiaTheme="minorEastAsia"/>
          <w:color w:val="000000" w:themeColor="text1"/>
          <w:sz w:val="24"/>
          <w:szCs w:val="24"/>
        </w:rPr>
        <w:t>“</w:t>
      </w:r>
      <w:r>
        <w:rPr>
          <w:rFonts w:eastAsiaTheme="minorEastAsia"/>
          <w:color w:val="000000" w:themeColor="text1"/>
          <w:sz w:val="24"/>
          <w:szCs w:val="24"/>
        </w:rPr>
        <w:t>开放运作期</w:t>
      </w:r>
      <w:r>
        <w:rPr>
          <w:rFonts w:eastAsiaTheme="minorEastAsia"/>
          <w:color w:val="000000" w:themeColor="text1"/>
          <w:sz w:val="24"/>
          <w:szCs w:val="24"/>
        </w:rPr>
        <w:t>”</w:t>
      </w:r>
      <w:r>
        <w:rPr>
          <w:rFonts w:eastAsiaTheme="minorEastAsia"/>
          <w:color w:val="000000" w:themeColor="text1"/>
          <w:sz w:val="24"/>
          <w:szCs w:val="24"/>
        </w:rPr>
        <w:t>，运作期期限</w:t>
      </w:r>
      <w:r>
        <w:rPr>
          <w:rFonts w:eastAsiaTheme="minorEastAsia"/>
          <w:color w:val="000000" w:themeColor="text1"/>
          <w:sz w:val="24"/>
          <w:szCs w:val="24"/>
        </w:rPr>
        <w:t>3</w:t>
      </w:r>
      <w:r>
        <w:rPr>
          <w:rFonts w:eastAsiaTheme="minorEastAsia"/>
          <w:color w:val="000000" w:themeColor="text1"/>
          <w:sz w:val="24"/>
          <w:szCs w:val="24"/>
        </w:rPr>
        <w:t>个月，基金管理人在每个封闭运作期结束前公布开放运作期和下一封闭运作期的具体时间安排，由于市场环境等因素的影响，本基金每次开放运作期和封闭运作期的时间及长度不完全一样，投资者应关注相关公告并及时行使权利，否则会面临无法申购</w:t>
      </w:r>
      <w:r>
        <w:rPr>
          <w:rFonts w:eastAsiaTheme="minorEastAsia"/>
          <w:color w:val="000000" w:themeColor="text1"/>
          <w:sz w:val="24"/>
          <w:szCs w:val="24"/>
        </w:rPr>
        <w:t>/</w:t>
      </w:r>
      <w:r>
        <w:rPr>
          <w:rFonts w:eastAsiaTheme="minorEastAsia"/>
          <w:color w:val="000000" w:themeColor="text1"/>
          <w:sz w:val="24"/>
          <w:szCs w:val="24"/>
        </w:rPr>
        <w:t>赎回基金份额的风险。</w:t>
      </w:r>
    </w:p>
    <w:p w:rsidR="002B4BB2" w:rsidRDefault="004865A0">
      <w:pPr>
        <w:spacing w:line="360" w:lineRule="auto"/>
        <w:ind w:firstLineChars="200" w:firstLine="480"/>
        <w:rPr>
          <w:color w:val="000000"/>
          <w:sz w:val="24"/>
          <w:szCs w:val="24"/>
        </w:rPr>
      </w:pPr>
      <w:r>
        <w:rPr>
          <w:rFonts w:eastAsiaTheme="minorEastAsia"/>
          <w:color w:val="000000" w:themeColor="text1"/>
          <w:sz w:val="24"/>
          <w:szCs w:val="24"/>
        </w:rPr>
        <w:t>2</w:t>
      </w:r>
      <w:r>
        <w:rPr>
          <w:rFonts w:eastAsiaTheme="minorEastAsia"/>
          <w:color w:val="000000" w:themeColor="text1"/>
          <w:sz w:val="24"/>
          <w:szCs w:val="24"/>
        </w:rPr>
        <w:t>、单一投资者或者构成一致行动人的多个投资者持有基金份额可达到或者超过</w:t>
      </w:r>
      <w:r>
        <w:rPr>
          <w:rFonts w:eastAsiaTheme="minorEastAsia"/>
          <w:color w:val="000000" w:themeColor="text1"/>
          <w:sz w:val="24"/>
          <w:szCs w:val="24"/>
        </w:rPr>
        <w:t>50%</w:t>
      </w:r>
      <w:r>
        <w:rPr>
          <w:rFonts w:eastAsiaTheme="minorEastAsia"/>
          <w:color w:val="000000" w:themeColor="text1"/>
          <w:sz w:val="24"/>
          <w:szCs w:val="24"/>
        </w:rPr>
        <w:t>的风险</w:t>
      </w:r>
    </w:p>
    <w:p w:rsidR="002B4BB2" w:rsidRDefault="004865A0">
      <w:pPr>
        <w:spacing w:line="360" w:lineRule="auto"/>
        <w:ind w:firstLineChars="200" w:firstLine="480"/>
        <w:rPr>
          <w:color w:val="000000"/>
          <w:sz w:val="24"/>
          <w:szCs w:val="24"/>
        </w:rPr>
      </w:pPr>
      <w:r>
        <w:rPr>
          <w:rFonts w:eastAsiaTheme="minorEastAsia"/>
          <w:color w:val="000000" w:themeColor="text1"/>
          <w:sz w:val="24"/>
          <w:szCs w:val="24"/>
        </w:rPr>
        <w:t>（</w:t>
      </w:r>
      <w:r>
        <w:rPr>
          <w:rFonts w:eastAsiaTheme="minorEastAsia"/>
          <w:color w:val="000000" w:themeColor="text1"/>
          <w:sz w:val="24"/>
          <w:szCs w:val="24"/>
        </w:rPr>
        <w:t>1</w:t>
      </w:r>
      <w:r>
        <w:rPr>
          <w:rFonts w:eastAsiaTheme="minorEastAsia"/>
          <w:color w:val="000000" w:themeColor="text1"/>
          <w:sz w:val="24"/>
          <w:szCs w:val="24"/>
        </w:rPr>
        <w:t>）本基金单一投资者或者构成一致行动人的多个投资者持有基金份额可达到或者超过</w:t>
      </w:r>
      <w:r>
        <w:rPr>
          <w:rFonts w:eastAsiaTheme="minorEastAsia"/>
          <w:color w:val="000000" w:themeColor="text1"/>
          <w:sz w:val="24"/>
          <w:szCs w:val="24"/>
        </w:rPr>
        <w:t>50%</w:t>
      </w:r>
      <w:r>
        <w:rPr>
          <w:rFonts w:eastAsiaTheme="minorEastAsia"/>
          <w:color w:val="000000" w:themeColor="text1"/>
          <w:sz w:val="24"/>
          <w:szCs w:val="24"/>
        </w:rPr>
        <w:t>，单一投资者或者构成一致行动人的多个投资者大额赎回时，可能会对本基金资产运作及净值表现产生较大影响。</w:t>
      </w:r>
    </w:p>
    <w:p w:rsidR="002B4BB2" w:rsidRDefault="004865A0">
      <w:pPr>
        <w:spacing w:line="360" w:lineRule="auto"/>
        <w:ind w:firstLineChars="200" w:firstLine="480"/>
        <w:rPr>
          <w:color w:val="000000"/>
          <w:sz w:val="24"/>
          <w:szCs w:val="24"/>
        </w:rPr>
      </w:pPr>
      <w:r>
        <w:rPr>
          <w:rFonts w:eastAsiaTheme="minorEastAsia"/>
          <w:color w:val="000000" w:themeColor="text1"/>
          <w:sz w:val="24"/>
          <w:szCs w:val="24"/>
        </w:rPr>
        <w:t>（</w:t>
      </w:r>
      <w:r>
        <w:rPr>
          <w:rFonts w:eastAsiaTheme="minorEastAsia"/>
          <w:color w:val="000000" w:themeColor="text1"/>
          <w:sz w:val="24"/>
          <w:szCs w:val="24"/>
        </w:rPr>
        <w:t>2</w:t>
      </w:r>
      <w:r>
        <w:rPr>
          <w:rFonts w:eastAsiaTheme="minorEastAsia"/>
          <w:color w:val="000000" w:themeColor="text1"/>
          <w:sz w:val="24"/>
          <w:szCs w:val="24"/>
        </w:rPr>
        <w:t>）巨额赎回的风险</w:t>
      </w:r>
    </w:p>
    <w:p w:rsidR="002B4BB2" w:rsidRDefault="004865A0">
      <w:pPr>
        <w:spacing w:line="360" w:lineRule="auto"/>
        <w:ind w:firstLineChars="200" w:firstLine="480"/>
        <w:rPr>
          <w:color w:val="000000"/>
          <w:sz w:val="24"/>
          <w:szCs w:val="24"/>
        </w:rPr>
      </w:pPr>
      <w:r>
        <w:rPr>
          <w:rFonts w:eastAsiaTheme="minorEastAsia"/>
          <w:color w:val="000000" w:themeColor="text1"/>
          <w:sz w:val="24"/>
          <w:szCs w:val="24"/>
        </w:rPr>
        <w:t>相对于其他基金，本基金更可能因开放期内单一投资者或者构成一致行动人的多个投资者集中大额赎回发生巨额赎回。当发生巨额赎回时，基金管理人可能根据基金当时的资产组合状况决定延缓支付赎回款，投资者面临赎回款被延缓支付的风险。</w:t>
      </w:r>
    </w:p>
    <w:p w:rsidR="002B4BB2" w:rsidRDefault="004865A0">
      <w:pPr>
        <w:spacing w:line="360" w:lineRule="auto"/>
        <w:ind w:firstLineChars="200" w:firstLine="480"/>
        <w:rPr>
          <w:color w:val="000000"/>
          <w:sz w:val="24"/>
          <w:szCs w:val="24"/>
        </w:rPr>
      </w:pPr>
      <w:r>
        <w:rPr>
          <w:rFonts w:eastAsiaTheme="minorEastAsia"/>
          <w:color w:val="000000" w:themeColor="text1"/>
          <w:sz w:val="24"/>
          <w:szCs w:val="24"/>
        </w:rPr>
        <w:t>3</w:t>
      </w:r>
      <w:r>
        <w:rPr>
          <w:rFonts w:eastAsiaTheme="minorEastAsia"/>
          <w:color w:val="000000" w:themeColor="text1"/>
          <w:sz w:val="24"/>
          <w:szCs w:val="24"/>
        </w:rPr>
        <w:t>、转换运作方式、与其他基金合并或者终止基金合同的风险</w:t>
      </w:r>
    </w:p>
    <w:p w:rsidR="002B4BB2" w:rsidRDefault="004865A0">
      <w:pPr>
        <w:spacing w:line="360" w:lineRule="auto"/>
        <w:ind w:firstLineChars="200" w:firstLine="480"/>
        <w:rPr>
          <w:color w:val="000000"/>
          <w:sz w:val="24"/>
          <w:szCs w:val="24"/>
        </w:rPr>
      </w:pPr>
      <w:r>
        <w:rPr>
          <w:rFonts w:eastAsiaTheme="minorEastAsia"/>
          <w:color w:val="000000" w:themeColor="text1"/>
          <w:sz w:val="24"/>
          <w:szCs w:val="24"/>
        </w:rPr>
        <w:t>（</w:t>
      </w:r>
      <w:r>
        <w:rPr>
          <w:rFonts w:eastAsiaTheme="minorEastAsia"/>
          <w:color w:val="000000" w:themeColor="text1"/>
          <w:sz w:val="24"/>
          <w:szCs w:val="24"/>
        </w:rPr>
        <w:t>1</w:t>
      </w:r>
      <w:r>
        <w:rPr>
          <w:rFonts w:eastAsiaTheme="minorEastAsia"/>
          <w:color w:val="000000" w:themeColor="text1"/>
          <w:sz w:val="24"/>
          <w:szCs w:val="24"/>
        </w:rPr>
        <w:t>）本基金的销售对象主要为机构投资者，不向个人投资者公开发售，基金持续营销及募集规模可能受到影响，若基金合同生效之日起三年后的对应日基金资产净值低于</w:t>
      </w:r>
      <w:r>
        <w:rPr>
          <w:rFonts w:eastAsiaTheme="minorEastAsia"/>
          <w:color w:val="000000" w:themeColor="text1"/>
          <w:sz w:val="24"/>
          <w:szCs w:val="24"/>
        </w:rPr>
        <w:t>2</w:t>
      </w:r>
      <w:r>
        <w:rPr>
          <w:rFonts w:eastAsiaTheme="minorEastAsia"/>
          <w:color w:val="000000" w:themeColor="text1"/>
          <w:sz w:val="24"/>
          <w:szCs w:val="24"/>
        </w:rPr>
        <w:t>亿元，基金合同自动终止且不得通过召开基金份额持有人大会延续，投资者将面临基金合同终止的风险。</w:t>
      </w:r>
    </w:p>
    <w:p w:rsidR="002B4BB2" w:rsidRDefault="004865A0">
      <w:pPr>
        <w:spacing w:line="360" w:lineRule="auto"/>
        <w:ind w:firstLineChars="200" w:firstLine="480"/>
        <w:rPr>
          <w:color w:val="000000"/>
          <w:sz w:val="24"/>
          <w:szCs w:val="24"/>
        </w:rPr>
      </w:pPr>
      <w:r>
        <w:rPr>
          <w:rFonts w:eastAsiaTheme="minorEastAsia"/>
          <w:color w:val="000000" w:themeColor="text1"/>
          <w:sz w:val="24"/>
          <w:szCs w:val="24"/>
        </w:rPr>
        <w:t>（</w:t>
      </w:r>
      <w:r>
        <w:rPr>
          <w:rFonts w:eastAsiaTheme="minorEastAsia"/>
          <w:color w:val="000000" w:themeColor="text1"/>
          <w:sz w:val="24"/>
          <w:szCs w:val="24"/>
        </w:rPr>
        <w:t>2</w:t>
      </w:r>
      <w:r>
        <w:rPr>
          <w:rFonts w:eastAsiaTheme="minorEastAsia"/>
          <w:color w:val="000000" w:themeColor="text1"/>
          <w:sz w:val="24"/>
          <w:szCs w:val="24"/>
        </w:rPr>
        <w:t>）本基金基金合同生效满三年后继续存续的，若连续</w:t>
      </w:r>
      <w:r>
        <w:rPr>
          <w:rFonts w:eastAsiaTheme="minorEastAsia"/>
          <w:color w:val="000000" w:themeColor="text1"/>
          <w:sz w:val="24"/>
          <w:szCs w:val="24"/>
        </w:rPr>
        <w:t>60</w:t>
      </w:r>
      <w:r>
        <w:rPr>
          <w:rFonts w:eastAsiaTheme="minorEastAsia"/>
          <w:color w:val="000000" w:themeColor="text1"/>
          <w:sz w:val="24"/>
          <w:szCs w:val="24"/>
        </w:rPr>
        <w:t>个工作日出现基金份额持有人数量不满二百人或者基金资产净值低于</w:t>
      </w:r>
      <w:r>
        <w:rPr>
          <w:rFonts w:eastAsiaTheme="minorEastAsia"/>
          <w:color w:val="000000" w:themeColor="text1"/>
          <w:sz w:val="24"/>
          <w:szCs w:val="24"/>
        </w:rPr>
        <w:t>5000</w:t>
      </w:r>
      <w:r>
        <w:rPr>
          <w:rFonts w:eastAsiaTheme="minorEastAsia"/>
          <w:color w:val="000000" w:themeColor="text1"/>
          <w:sz w:val="24"/>
          <w:szCs w:val="24"/>
        </w:rPr>
        <w:t>万元情形，基金管理人应当向中国证监会报告并提出解决方案，如转换运作方式、与其他基金合并等，并召开基金份额持有人大会进行表决。投资者面临转换基金运作方式、与其他基</w:t>
      </w:r>
      <w:r>
        <w:rPr>
          <w:rFonts w:eastAsiaTheme="minorEastAsia"/>
          <w:color w:val="000000" w:themeColor="text1"/>
          <w:sz w:val="24"/>
          <w:szCs w:val="24"/>
        </w:rPr>
        <w:lastRenderedPageBreak/>
        <w:t>金合并的风险。</w:t>
      </w:r>
    </w:p>
    <w:p w:rsidR="00750D48" w:rsidRPr="004B7A92" w:rsidRDefault="001F5F5D" w:rsidP="001F5F5D">
      <w:pPr>
        <w:spacing w:line="360" w:lineRule="auto"/>
        <w:ind w:firstLineChars="200" w:firstLine="480"/>
        <w:rPr>
          <w:color w:val="000000"/>
          <w:sz w:val="24"/>
          <w:szCs w:val="24"/>
        </w:rPr>
      </w:pPr>
      <w:r w:rsidRPr="00FC0759">
        <w:rPr>
          <w:rFonts w:eastAsiaTheme="minorEastAsia"/>
          <w:color w:val="000000" w:themeColor="text1"/>
          <w:sz w:val="24"/>
          <w:szCs w:val="24"/>
        </w:rPr>
        <w:t>《基金合同》生效满三年后的存续期内，若连续六十个工作日基金资产净值低于五千万元，经与基金托管人协商一致，基金管理人有权终止基金合同。若管理人与托管人根据实际情况决定终止基金合同，本基金面临终止清盘的风险。</w:t>
      </w: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10  </w:t>
      </w:r>
      <w:r w:rsidRPr="00264E55">
        <w:rPr>
          <w:rFonts w:ascii="宋体" w:hAnsi="宋体" w:hint="eastAsia"/>
          <w:color w:val="000000"/>
          <w:kern w:val="0"/>
          <w:sz w:val="24"/>
          <w:szCs w:val="24"/>
        </w:rPr>
        <w:t>备查文件目录</w:t>
      </w:r>
    </w:p>
    <w:p w:rsidR="00750D48" w:rsidRPr="00264E55" w:rsidRDefault="00750D48" w:rsidP="00C71497">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10.1 </w:t>
      </w:r>
      <w:r w:rsidRPr="00264E55">
        <w:rPr>
          <w:rFonts w:ascii="宋体" w:hAnsi="宋体" w:hint="eastAsia"/>
          <w:b/>
          <w:bCs/>
          <w:color w:val="000000"/>
          <w:kern w:val="0"/>
          <w:sz w:val="24"/>
          <w:szCs w:val="24"/>
        </w:rPr>
        <w:t>备查文件目录</w:t>
      </w:r>
    </w:p>
    <w:p w:rsidR="002B4BB2" w:rsidRDefault="004865A0">
      <w:pPr>
        <w:spacing w:line="360" w:lineRule="auto"/>
        <w:ind w:firstLineChars="200" w:firstLine="480"/>
        <w:rPr>
          <w:color w:val="000000"/>
          <w:sz w:val="24"/>
          <w:szCs w:val="24"/>
        </w:rPr>
      </w:pPr>
      <w:r>
        <w:rPr>
          <w:color w:val="000000"/>
          <w:sz w:val="24"/>
          <w:szCs w:val="24"/>
        </w:rPr>
        <w:t>1.</w:t>
      </w:r>
      <w:r>
        <w:rPr>
          <w:color w:val="000000"/>
          <w:sz w:val="24"/>
          <w:szCs w:val="24"/>
        </w:rPr>
        <w:t>中国证监会准予易方达恒盛</w:t>
      </w:r>
      <w:r>
        <w:rPr>
          <w:color w:val="000000"/>
          <w:sz w:val="24"/>
          <w:szCs w:val="24"/>
        </w:rPr>
        <w:t>3</w:t>
      </w:r>
      <w:r>
        <w:rPr>
          <w:color w:val="000000"/>
          <w:sz w:val="24"/>
          <w:szCs w:val="24"/>
        </w:rPr>
        <w:t>个月定期开放混合型发起式证券投资基金注册的文件；</w:t>
      </w:r>
    </w:p>
    <w:p w:rsidR="002B4BB2" w:rsidRDefault="004865A0">
      <w:pPr>
        <w:spacing w:line="360" w:lineRule="auto"/>
        <w:ind w:firstLineChars="200" w:firstLine="480"/>
        <w:rPr>
          <w:color w:val="000000"/>
          <w:sz w:val="24"/>
          <w:szCs w:val="24"/>
        </w:rPr>
      </w:pPr>
      <w:r>
        <w:rPr>
          <w:color w:val="000000"/>
          <w:sz w:val="24"/>
          <w:szCs w:val="24"/>
        </w:rPr>
        <w:t>2.</w:t>
      </w:r>
      <w:r>
        <w:rPr>
          <w:color w:val="000000"/>
          <w:sz w:val="24"/>
          <w:szCs w:val="24"/>
        </w:rPr>
        <w:t>《易方达恒盛</w:t>
      </w:r>
      <w:r>
        <w:rPr>
          <w:color w:val="000000"/>
          <w:sz w:val="24"/>
          <w:szCs w:val="24"/>
        </w:rPr>
        <w:t>3</w:t>
      </w:r>
      <w:r>
        <w:rPr>
          <w:color w:val="000000"/>
          <w:sz w:val="24"/>
          <w:szCs w:val="24"/>
        </w:rPr>
        <w:t>个月定期开放混合型发起式证券投资基金基金合同》；</w:t>
      </w:r>
    </w:p>
    <w:p w:rsidR="002B4BB2" w:rsidRDefault="004865A0">
      <w:pPr>
        <w:spacing w:line="360" w:lineRule="auto"/>
        <w:ind w:firstLineChars="200" w:firstLine="480"/>
        <w:rPr>
          <w:color w:val="000000"/>
          <w:sz w:val="24"/>
          <w:szCs w:val="24"/>
        </w:rPr>
      </w:pPr>
      <w:r>
        <w:rPr>
          <w:color w:val="000000"/>
          <w:sz w:val="24"/>
          <w:szCs w:val="24"/>
        </w:rPr>
        <w:t>3.</w:t>
      </w:r>
      <w:r>
        <w:rPr>
          <w:color w:val="000000"/>
          <w:sz w:val="24"/>
          <w:szCs w:val="24"/>
        </w:rPr>
        <w:t>《易方达恒盛</w:t>
      </w:r>
      <w:r>
        <w:rPr>
          <w:color w:val="000000"/>
          <w:sz w:val="24"/>
          <w:szCs w:val="24"/>
        </w:rPr>
        <w:t>3</w:t>
      </w:r>
      <w:r>
        <w:rPr>
          <w:color w:val="000000"/>
          <w:sz w:val="24"/>
          <w:szCs w:val="24"/>
        </w:rPr>
        <w:t>个月定期开放混合型发起式证券投资基金托管协议》；</w:t>
      </w:r>
    </w:p>
    <w:p w:rsidR="002B4BB2" w:rsidRDefault="004865A0">
      <w:pPr>
        <w:spacing w:line="360" w:lineRule="auto"/>
        <w:ind w:firstLineChars="200" w:firstLine="480"/>
        <w:rPr>
          <w:color w:val="000000"/>
          <w:sz w:val="24"/>
          <w:szCs w:val="24"/>
        </w:rPr>
      </w:pPr>
      <w:r>
        <w:rPr>
          <w:color w:val="000000"/>
          <w:sz w:val="24"/>
          <w:szCs w:val="24"/>
        </w:rPr>
        <w:t>4.</w:t>
      </w:r>
      <w:r>
        <w:rPr>
          <w:color w:val="000000"/>
          <w:sz w:val="24"/>
          <w:szCs w:val="24"/>
        </w:rPr>
        <w:t>《易方达基金管理有限公司开放式基金业务规则》；</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5.</w:t>
      </w:r>
      <w:r w:rsidRPr="006C56AA">
        <w:rPr>
          <w:color w:val="000000"/>
          <w:sz w:val="24"/>
          <w:szCs w:val="24"/>
        </w:rPr>
        <w:t>基金管理人业务资格批件、营业执照。</w:t>
      </w:r>
    </w:p>
    <w:p w:rsidR="00750D48" w:rsidRPr="00264E55" w:rsidRDefault="00750D48" w:rsidP="00C71497">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10.2 </w:t>
      </w:r>
      <w:r w:rsidRPr="00264E55">
        <w:rPr>
          <w:rFonts w:ascii="宋体" w:hAnsi="宋体" w:hint="eastAsia"/>
          <w:b/>
          <w:bCs/>
          <w:color w:val="000000"/>
          <w:kern w:val="0"/>
          <w:sz w:val="24"/>
          <w:szCs w:val="24"/>
        </w:rPr>
        <w:t>存放地点</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广州市天河区珠江新城珠江东路</w:t>
      </w:r>
      <w:r w:rsidRPr="006C56AA">
        <w:rPr>
          <w:color w:val="000000"/>
          <w:sz w:val="24"/>
          <w:szCs w:val="24"/>
        </w:rPr>
        <w:t>30</w:t>
      </w:r>
      <w:r w:rsidRPr="006C56AA">
        <w:rPr>
          <w:color w:val="000000"/>
          <w:sz w:val="24"/>
          <w:szCs w:val="24"/>
        </w:rPr>
        <w:t>号广州银行大厦</w:t>
      </w:r>
      <w:r w:rsidRPr="006C56AA">
        <w:rPr>
          <w:color w:val="000000"/>
          <w:sz w:val="24"/>
          <w:szCs w:val="24"/>
        </w:rPr>
        <w:t>40-43</w:t>
      </w:r>
      <w:r w:rsidRPr="006C56AA">
        <w:rPr>
          <w:color w:val="000000"/>
          <w:sz w:val="24"/>
          <w:szCs w:val="24"/>
        </w:rPr>
        <w:t>楼。</w:t>
      </w:r>
    </w:p>
    <w:p w:rsidR="00750D48" w:rsidRPr="00264E55" w:rsidRDefault="00750D48" w:rsidP="00C71497">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10.3 </w:t>
      </w:r>
      <w:r w:rsidRPr="00264E55">
        <w:rPr>
          <w:rFonts w:ascii="宋体" w:hAnsi="宋体" w:hint="eastAsia"/>
          <w:b/>
          <w:bCs/>
          <w:color w:val="000000"/>
          <w:kern w:val="0"/>
          <w:sz w:val="24"/>
          <w:szCs w:val="24"/>
        </w:rPr>
        <w:t>查阅方式</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投资者可在营业时间免费查阅，也可按工本费购买复印件。</w:t>
      </w:r>
    </w:p>
    <w:p w:rsidR="00750D48" w:rsidRDefault="00750D48" w:rsidP="004061AC">
      <w:pPr>
        <w:spacing w:line="360" w:lineRule="auto"/>
        <w:ind w:left="840"/>
        <w:jc w:val="right"/>
        <w:rPr>
          <w:rFonts w:ascii="宋体"/>
          <w:color w:val="000000"/>
          <w:sz w:val="24"/>
          <w:szCs w:val="24"/>
        </w:rPr>
      </w:pPr>
    </w:p>
    <w:p w:rsidR="00750D48" w:rsidRDefault="00750D48" w:rsidP="004061AC">
      <w:pPr>
        <w:spacing w:line="360" w:lineRule="auto"/>
        <w:ind w:left="840"/>
        <w:jc w:val="right"/>
        <w:rPr>
          <w:rFonts w:ascii="宋体"/>
          <w:color w:val="000000"/>
          <w:sz w:val="24"/>
          <w:szCs w:val="24"/>
        </w:rPr>
      </w:pPr>
    </w:p>
    <w:p w:rsidR="00750D48" w:rsidRDefault="00750D48" w:rsidP="004061AC">
      <w:pPr>
        <w:spacing w:line="360" w:lineRule="auto"/>
        <w:ind w:left="840"/>
        <w:jc w:val="right"/>
        <w:rPr>
          <w:rFonts w:ascii="宋体"/>
          <w:color w:val="000000"/>
          <w:sz w:val="24"/>
          <w:szCs w:val="24"/>
        </w:rPr>
      </w:pPr>
    </w:p>
    <w:p w:rsidR="00750D48" w:rsidRDefault="00750D48" w:rsidP="004061AC">
      <w:pPr>
        <w:spacing w:line="360" w:lineRule="auto"/>
        <w:ind w:left="840"/>
        <w:jc w:val="right"/>
        <w:rPr>
          <w:rFonts w:ascii="宋体"/>
          <w:color w:val="000000"/>
          <w:sz w:val="24"/>
          <w:szCs w:val="24"/>
        </w:rPr>
      </w:pPr>
    </w:p>
    <w:p w:rsidR="00750D48" w:rsidRDefault="00750D48" w:rsidP="004061AC">
      <w:pPr>
        <w:spacing w:line="360" w:lineRule="auto"/>
        <w:ind w:left="840"/>
        <w:jc w:val="right"/>
        <w:rPr>
          <w:rFonts w:ascii="宋体"/>
          <w:color w:val="000000"/>
          <w:sz w:val="24"/>
          <w:szCs w:val="24"/>
        </w:rPr>
      </w:pPr>
    </w:p>
    <w:p w:rsidR="00750D48" w:rsidRPr="00264E55" w:rsidRDefault="00750D48" w:rsidP="004061AC">
      <w:pPr>
        <w:spacing w:line="360" w:lineRule="auto"/>
        <w:ind w:left="840"/>
        <w:jc w:val="right"/>
        <w:rPr>
          <w:rFonts w:ascii="宋体"/>
          <w:color w:val="000000"/>
          <w:sz w:val="24"/>
          <w:szCs w:val="24"/>
        </w:rPr>
      </w:pPr>
    </w:p>
    <w:p w:rsidR="00750D48" w:rsidRPr="00264E55" w:rsidRDefault="00750D48" w:rsidP="004061AC">
      <w:pPr>
        <w:spacing w:line="360" w:lineRule="auto"/>
        <w:ind w:left="840"/>
        <w:jc w:val="right"/>
        <w:rPr>
          <w:rFonts w:ascii="宋体"/>
          <w:color w:val="000000"/>
          <w:sz w:val="24"/>
          <w:szCs w:val="24"/>
        </w:rPr>
      </w:pPr>
    </w:p>
    <w:p w:rsidR="00750D48" w:rsidRPr="00264E55" w:rsidRDefault="00750D48" w:rsidP="004061AC">
      <w:pPr>
        <w:spacing w:line="360" w:lineRule="auto"/>
        <w:ind w:left="840"/>
        <w:jc w:val="right"/>
        <w:rPr>
          <w:rFonts w:ascii="宋体"/>
          <w:color w:val="000000"/>
          <w:sz w:val="24"/>
          <w:szCs w:val="24"/>
        </w:rPr>
      </w:pPr>
    </w:p>
    <w:p w:rsidR="00750D48" w:rsidRPr="00264E55" w:rsidRDefault="00750D48" w:rsidP="00C71497">
      <w:pPr>
        <w:spacing w:line="360" w:lineRule="auto"/>
        <w:jc w:val="right"/>
        <w:rPr>
          <w:rFonts w:ascii="宋体" w:hAnsi="宋体"/>
          <w:b/>
          <w:bCs/>
          <w:sz w:val="24"/>
          <w:szCs w:val="24"/>
        </w:rPr>
      </w:pPr>
      <w:r w:rsidRPr="00264E55">
        <w:rPr>
          <w:rFonts w:ascii="宋体" w:hAnsi="宋体"/>
          <w:b/>
          <w:bCs/>
          <w:sz w:val="24"/>
          <w:szCs w:val="24"/>
        </w:rPr>
        <w:t>易方达基金管理有限公司</w:t>
      </w:r>
    </w:p>
    <w:p w:rsidR="00750D48" w:rsidRPr="00191817" w:rsidRDefault="00750D48" w:rsidP="00191817">
      <w:pPr>
        <w:spacing w:line="360" w:lineRule="auto"/>
        <w:jc w:val="right"/>
        <w:rPr>
          <w:rFonts w:ascii="宋体" w:hAnsi="宋体"/>
          <w:b/>
          <w:bCs/>
          <w:sz w:val="24"/>
          <w:szCs w:val="24"/>
        </w:rPr>
      </w:pPr>
      <w:r w:rsidRPr="00264E55">
        <w:rPr>
          <w:rFonts w:ascii="宋体" w:hAnsi="宋体"/>
          <w:b/>
          <w:bCs/>
          <w:sz w:val="24"/>
          <w:szCs w:val="24"/>
        </w:rPr>
        <w:t>二〇二〇年七月二十一日</w:t>
      </w:r>
    </w:p>
    <w:sectPr w:rsidR="00750D48" w:rsidRPr="00191817" w:rsidSect="00304A12">
      <w:footerReference w:type="default" r:id="rId12"/>
      <w:pgSz w:w="11906" w:h="16838" w:code="9"/>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F16" w:rsidRDefault="00961F16" w:rsidP="00876D65">
      <w:r>
        <w:separator/>
      </w:r>
    </w:p>
  </w:endnote>
  <w:endnote w:type="continuationSeparator" w:id="0">
    <w:p w:rsidR="00961F16" w:rsidRDefault="00961F1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8D9" w:rsidRDefault="003328D9" w:rsidP="00EF56B5">
    <w:pPr>
      <w:pStyle w:val="a6"/>
      <w:framePr w:wrap="auto" w:vAnchor="text" w:hAnchor="margin"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4115B9">
      <w:rPr>
        <w:rStyle w:val="a7"/>
        <w:noProof/>
      </w:rPr>
      <w:t>1</w:t>
    </w:r>
    <w:r>
      <w:rPr>
        <w:rStyle w:val="a7"/>
      </w:rPr>
      <w:fldChar w:fldCharType="end"/>
    </w:r>
    <w:r>
      <w:rPr>
        <w:rStyle w:val="a7"/>
        <w:rFonts w:hint="eastAsia"/>
      </w:rPr>
      <w:t>页共</w:t>
    </w:r>
    <w:r w:rsidR="00961F16">
      <w:fldChar w:fldCharType="begin"/>
    </w:r>
    <w:r w:rsidR="00961F16">
      <w:instrText xml:space="preserve"> NUMPAGES  \* Arabic  \* MERGEFORMAT </w:instrText>
    </w:r>
    <w:r w:rsidR="00961F16">
      <w:fldChar w:fldCharType="separate"/>
    </w:r>
    <w:r w:rsidR="004115B9" w:rsidRPr="004115B9">
      <w:rPr>
        <w:rStyle w:val="a7"/>
        <w:noProof/>
      </w:rPr>
      <w:t>17</w:t>
    </w:r>
    <w:r w:rsidR="00961F16">
      <w:rPr>
        <w:rStyle w:val="a7"/>
        <w:noProof/>
      </w:rPr>
      <w:fldChar w:fldCharType="end"/>
    </w:r>
    <w:r>
      <w:rPr>
        <w:rStyle w:val="a7"/>
        <w:rFonts w:hint="eastAsia"/>
      </w:rPr>
      <w:t>页</w:t>
    </w:r>
  </w:p>
  <w:p w:rsidR="003328D9" w:rsidRPr="00EF56B5" w:rsidRDefault="003328D9" w:rsidP="00EF56B5">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8D9" w:rsidRDefault="003328D9">
    <w:pPr>
      <w:pStyle w:val="a6"/>
      <w:framePr w:wrap="auto" w:vAnchor="text" w:hAnchor="margin"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4115B9">
      <w:rPr>
        <w:rStyle w:val="a7"/>
        <w:noProof/>
      </w:rPr>
      <w:t>6</w:t>
    </w:r>
    <w:r>
      <w:rPr>
        <w:rStyle w:val="a7"/>
      </w:rPr>
      <w:fldChar w:fldCharType="end"/>
    </w:r>
    <w:r>
      <w:rPr>
        <w:rStyle w:val="a7"/>
        <w:rFonts w:hint="eastAsia"/>
      </w:rPr>
      <w:t>页共</w:t>
    </w:r>
    <w:fldSimple w:instr=" NUMPAGES  \* Arabic  \* MERGEFORMAT ">
      <w:r w:rsidR="004115B9" w:rsidRPr="004115B9">
        <w:rPr>
          <w:rStyle w:val="a7"/>
          <w:noProof/>
        </w:rPr>
        <w:t>17</w:t>
      </w:r>
    </w:fldSimple>
    <w:r>
      <w:rPr>
        <w:rStyle w:val="a7"/>
        <w:rFonts w:hint="eastAsia"/>
      </w:rPr>
      <w:t>页</w:t>
    </w:r>
  </w:p>
  <w:p w:rsidR="003328D9" w:rsidRDefault="003328D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F16" w:rsidRDefault="00961F16" w:rsidP="00876D65">
      <w:r>
        <w:separator/>
      </w:r>
    </w:p>
  </w:footnote>
  <w:footnote w:type="continuationSeparator" w:id="0">
    <w:p w:rsidR="00961F16" w:rsidRDefault="00961F16" w:rsidP="00876D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8D9" w:rsidRPr="00093704" w:rsidRDefault="003328D9" w:rsidP="00090A26">
    <w:pPr>
      <w:pStyle w:val="a9"/>
      <w:pBdr>
        <w:bottom w:val="single" w:sz="6" w:space="0" w:color="auto"/>
      </w:pBdr>
      <w:jc w:val="right"/>
    </w:pPr>
    <w:r w:rsidRPr="00093704">
      <w:t>易方达恒盛</w:t>
    </w:r>
    <w:r w:rsidRPr="00093704">
      <w:t>3</w:t>
    </w:r>
    <w:r w:rsidRPr="00093704">
      <w:t>个月定期开放混合型发起式证券投资基金</w:t>
    </w:r>
    <w:r w:rsidRPr="00093704">
      <w:t>2020</w:t>
    </w:r>
    <w:r w:rsidRPr="00093704">
      <w:t>年第</w:t>
    </w:r>
    <w:r w:rsidRPr="00093704">
      <w:t>2</w:t>
    </w:r>
    <w:r w:rsidRPr="00093704">
      <w:t>季度报告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start w:val="1"/>
      <w:numFmt w:val="bullet"/>
      <w:lvlText w:val=""/>
      <w:lvlJc w:val="left"/>
      <w:pPr>
        <w:tabs>
          <w:tab w:val="num" w:pos="1260"/>
        </w:tabs>
        <w:ind w:left="1260" w:hanging="420"/>
      </w:pPr>
      <w:rPr>
        <w:rFonts w:ascii="Wingdings" w:hAnsi="Wingdings" w:hint="default"/>
      </w:rPr>
    </w:lvl>
    <w:lvl w:ilvl="2" w:tplc="04090005">
      <w:start w:val="1"/>
      <w:numFmt w:val="bullet"/>
      <w:lvlText w:val=""/>
      <w:lvlJc w:val="left"/>
      <w:pPr>
        <w:tabs>
          <w:tab w:val="num" w:pos="1680"/>
        </w:tabs>
        <w:ind w:left="1680" w:hanging="420"/>
      </w:pPr>
      <w:rPr>
        <w:rFonts w:ascii="Wingdings" w:hAnsi="Wingdings" w:hint="default"/>
      </w:rPr>
    </w:lvl>
    <w:lvl w:ilvl="3" w:tplc="04090001">
      <w:start w:val="1"/>
      <w:numFmt w:val="bullet"/>
      <w:lvlText w:val=""/>
      <w:lvlJc w:val="left"/>
      <w:pPr>
        <w:tabs>
          <w:tab w:val="num" w:pos="2100"/>
        </w:tabs>
        <w:ind w:left="2100" w:hanging="420"/>
      </w:pPr>
      <w:rPr>
        <w:rFonts w:ascii="Wingdings" w:hAnsi="Wingdings" w:hint="default"/>
      </w:rPr>
    </w:lvl>
    <w:lvl w:ilvl="4" w:tplc="04090003">
      <w:start w:val="1"/>
      <w:numFmt w:val="bullet"/>
      <w:lvlText w:val=""/>
      <w:lvlJc w:val="left"/>
      <w:pPr>
        <w:tabs>
          <w:tab w:val="num" w:pos="2520"/>
        </w:tabs>
        <w:ind w:left="2520" w:hanging="420"/>
      </w:pPr>
      <w:rPr>
        <w:rFonts w:ascii="Wingdings" w:hAnsi="Wingdings" w:hint="default"/>
      </w:rPr>
    </w:lvl>
    <w:lvl w:ilvl="5" w:tplc="04090005">
      <w:start w:val="1"/>
      <w:numFmt w:val="bullet"/>
      <w:lvlText w:val=""/>
      <w:lvlJc w:val="left"/>
      <w:pPr>
        <w:tabs>
          <w:tab w:val="num" w:pos="2940"/>
        </w:tabs>
        <w:ind w:left="2940" w:hanging="420"/>
      </w:pPr>
      <w:rPr>
        <w:rFonts w:ascii="Wingdings" w:hAnsi="Wingdings" w:hint="default"/>
      </w:rPr>
    </w:lvl>
    <w:lvl w:ilvl="6" w:tplc="04090001">
      <w:start w:val="1"/>
      <w:numFmt w:val="bullet"/>
      <w:lvlText w:val=""/>
      <w:lvlJc w:val="left"/>
      <w:pPr>
        <w:tabs>
          <w:tab w:val="num" w:pos="3360"/>
        </w:tabs>
        <w:ind w:left="3360" w:hanging="420"/>
      </w:pPr>
      <w:rPr>
        <w:rFonts w:ascii="Wingdings" w:hAnsi="Wingdings" w:hint="default"/>
      </w:rPr>
    </w:lvl>
    <w:lvl w:ilvl="7" w:tplc="04090003">
      <w:start w:val="1"/>
      <w:numFmt w:val="bullet"/>
      <w:lvlText w:val=""/>
      <w:lvlJc w:val="left"/>
      <w:pPr>
        <w:tabs>
          <w:tab w:val="num" w:pos="3780"/>
        </w:tabs>
        <w:ind w:left="3780" w:hanging="420"/>
      </w:pPr>
      <w:rPr>
        <w:rFonts w:ascii="Wingdings" w:hAnsi="Wingdings" w:hint="default"/>
      </w:rPr>
    </w:lvl>
    <w:lvl w:ilvl="8" w:tplc="04090005">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szCs w:val="24"/>
      </w:rPr>
    </w:lvl>
    <w:lvl w:ilvl="1" w:tplc="04090019">
      <w:start w:val="1"/>
      <w:numFmt w:val="lowerLetter"/>
      <w:lvlText w:val="%2)"/>
      <w:lvlJc w:val="left"/>
      <w:pPr>
        <w:tabs>
          <w:tab w:val="num" w:pos="1320"/>
        </w:tabs>
        <w:ind w:left="1320" w:hanging="420"/>
      </w:pPr>
      <w:rPr>
        <w:rFonts w:cs="Times New Roman"/>
      </w:rPr>
    </w:lvl>
    <w:lvl w:ilvl="2" w:tplc="0409001B">
      <w:start w:val="1"/>
      <w:numFmt w:val="lowerRoman"/>
      <w:lvlText w:val="%3."/>
      <w:lvlJc w:val="right"/>
      <w:pPr>
        <w:tabs>
          <w:tab w:val="num" w:pos="1740"/>
        </w:tabs>
        <w:ind w:left="1740" w:hanging="420"/>
      </w:pPr>
      <w:rPr>
        <w:rFonts w:cs="Times New Roman"/>
      </w:rPr>
    </w:lvl>
    <w:lvl w:ilvl="3" w:tplc="0409000F">
      <w:start w:val="1"/>
      <w:numFmt w:val="decimal"/>
      <w:lvlText w:val="%4."/>
      <w:lvlJc w:val="left"/>
      <w:pPr>
        <w:tabs>
          <w:tab w:val="num" w:pos="2160"/>
        </w:tabs>
        <w:ind w:left="2160" w:hanging="420"/>
      </w:pPr>
      <w:rPr>
        <w:rFonts w:cs="Times New Roman"/>
      </w:rPr>
    </w:lvl>
    <w:lvl w:ilvl="4" w:tplc="04090019">
      <w:start w:val="1"/>
      <w:numFmt w:val="lowerLetter"/>
      <w:lvlText w:val="%5)"/>
      <w:lvlJc w:val="left"/>
      <w:pPr>
        <w:tabs>
          <w:tab w:val="num" w:pos="2580"/>
        </w:tabs>
        <w:ind w:left="2580" w:hanging="420"/>
      </w:pPr>
      <w:rPr>
        <w:rFonts w:cs="Times New Roman"/>
      </w:rPr>
    </w:lvl>
    <w:lvl w:ilvl="5" w:tplc="0409001B">
      <w:start w:val="1"/>
      <w:numFmt w:val="lowerRoman"/>
      <w:lvlText w:val="%6."/>
      <w:lvlJc w:val="right"/>
      <w:pPr>
        <w:tabs>
          <w:tab w:val="num" w:pos="3000"/>
        </w:tabs>
        <w:ind w:left="3000" w:hanging="420"/>
      </w:pPr>
      <w:rPr>
        <w:rFonts w:cs="Times New Roman"/>
      </w:rPr>
    </w:lvl>
    <w:lvl w:ilvl="6" w:tplc="0409000F">
      <w:start w:val="1"/>
      <w:numFmt w:val="decimal"/>
      <w:lvlText w:val="%7."/>
      <w:lvlJc w:val="left"/>
      <w:pPr>
        <w:tabs>
          <w:tab w:val="num" w:pos="3420"/>
        </w:tabs>
        <w:ind w:left="3420" w:hanging="420"/>
      </w:pPr>
      <w:rPr>
        <w:rFonts w:cs="Times New Roman"/>
      </w:rPr>
    </w:lvl>
    <w:lvl w:ilvl="7" w:tplc="04090019">
      <w:start w:val="1"/>
      <w:numFmt w:val="lowerLetter"/>
      <w:lvlText w:val="%8)"/>
      <w:lvlJc w:val="left"/>
      <w:pPr>
        <w:tabs>
          <w:tab w:val="num" w:pos="3840"/>
        </w:tabs>
        <w:ind w:left="3840" w:hanging="420"/>
      </w:pPr>
      <w:rPr>
        <w:rFonts w:cs="Times New Roman"/>
      </w:rPr>
    </w:lvl>
    <w:lvl w:ilvl="8" w:tplc="0409001B">
      <w:start w:val="1"/>
      <w:numFmt w:val="lowerRoman"/>
      <w:lvlText w:val="%9."/>
      <w:lvlJc w:val="right"/>
      <w:pPr>
        <w:tabs>
          <w:tab w:val="num" w:pos="4260"/>
        </w:tabs>
        <w:ind w:left="4260" w:hanging="420"/>
      </w:pPr>
      <w:rPr>
        <w:rFonts w:cs="Times New Roman"/>
      </w:rPr>
    </w:lvl>
  </w:abstractNum>
  <w:abstractNum w:abstractNumId="2"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A553F"/>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B4BB2"/>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15B9"/>
    <w:rsid w:val="004149AC"/>
    <w:rsid w:val="00415AEF"/>
    <w:rsid w:val="0042009D"/>
    <w:rsid w:val="00427F58"/>
    <w:rsid w:val="0043199A"/>
    <w:rsid w:val="00433805"/>
    <w:rsid w:val="0046668C"/>
    <w:rsid w:val="00466850"/>
    <w:rsid w:val="00467048"/>
    <w:rsid w:val="00471408"/>
    <w:rsid w:val="004858E0"/>
    <w:rsid w:val="004865A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1F16"/>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15:docId w15:val="{AE1DE1FF-0EF6-444D-9E01-6431162EA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1AC"/>
    <w:pPr>
      <w:widowControl w:val="0"/>
      <w:jc w:val="both"/>
    </w:pPr>
    <w:rPr>
      <w:rFonts w:ascii="Times New Roman" w:hAnsi="Times New Roman"/>
      <w:kern w:val="2"/>
      <w:sz w:val="21"/>
      <w:szCs w:val="21"/>
    </w:rPr>
  </w:style>
  <w:style w:type="paragraph" w:styleId="1">
    <w:name w:val="heading 1"/>
    <w:basedOn w:val="a"/>
    <w:next w:val="a"/>
    <w:link w:val="1Char"/>
    <w:uiPriority w:val="99"/>
    <w:qFormat/>
    <w:rsid w:val="004061AC"/>
    <w:pPr>
      <w:keepNext/>
      <w:keepLines/>
      <w:spacing w:before="340" w:after="330" w:line="578" w:lineRule="auto"/>
      <w:outlineLvl w:val="0"/>
    </w:pPr>
    <w:rPr>
      <w:b/>
      <w:bCs/>
      <w:kern w:val="44"/>
      <w:sz w:val="44"/>
      <w:szCs w:val="44"/>
    </w:rPr>
  </w:style>
  <w:style w:type="paragraph" w:styleId="2">
    <w:name w:val="heading 2"/>
    <w:basedOn w:val="a"/>
    <w:next w:val="a0"/>
    <w:link w:val="2Char"/>
    <w:uiPriority w:val="99"/>
    <w:qFormat/>
    <w:rsid w:val="004061AC"/>
    <w:pPr>
      <w:keepNext/>
      <w:keepLines/>
      <w:spacing w:before="260" w:after="260" w:line="360" w:lineRule="auto"/>
      <w:outlineLvl w:val="1"/>
    </w:pPr>
    <w:rPr>
      <w:rFonts w:ascii="Arial" w:hAnsi="Arial"/>
      <w:b/>
      <w:bCs/>
      <w:kern w:val="0"/>
      <w:sz w:val="24"/>
      <w:szCs w:val="24"/>
    </w:rPr>
  </w:style>
  <w:style w:type="paragraph" w:styleId="3">
    <w:name w:val="heading 3"/>
    <w:basedOn w:val="a"/>
    <w:next w:val="a"/>
    <w:link w:val="3Char"/>
    <w:uiPriority w:val="99"/>
    <w:qFormat/>
    <w:rsid w:val="004061AC"/>
    <w:pPr>
      <w:keepNext/>
      <w:keepLines/>
      <w:spacing w:before="260" w:after="260" w:line="416" w:lineRule="auto"/>
      <w:outlineLvl w:val="2"/>
    </w:pPr>
    <w:rPr>
      <w:b/>
      <w:bCs/>
      <w:kern w:val="0"/>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4061AC"/>
    <w:rPr>
      <w:rFonts w:ascii="Times New Roman" w:eastAsia="宋体" w:hAnsi="Times New Roman" w:cs="Times New Roman"/>
      <w:b/>
      <w:bCs/>
      <w:kern w:val="44"/>
      <w:sz w:val="44"/>
      <w:szCs w:val="44"/>
    </w:rPr>
  </w:style>
  <w:style w:type="character" w:customStyle="1" w:styleId="2Char">
    <w:name w:val="标题 2 Char"/>
    <w:link w:val="2"/>
    <w:uiPriority w:val="99"/>
    <w:locked/>
    <w:rsid w:val="004061AC"/>
    <w:rPr>
      <w:rFonts w:ascii="Arial" w:eastAsia="宋体" w:hAnsi="Arial" w:cs="Arial"/>
      <w:b/>
      <w:bCs/>
      <w:sz w:val="24"/>
      <w:szCs w:val="24"/>
    </w:rPr>
  </w:style>
  <w:style w:type="character" w:customStyle="1" w:styleId="3Char">
    <w:name w:val="标题 3 Char"/>
    <w:link w:val="3"/>
    <w:uiPriority w:val="99"/>
    <w:locked/>
    <w:rsid w:val="004061AC"/>
    <w:rPr>
      <w:rFonts w:ascii="Times New Roman" w:eastAsia="宋体" w:hAnsi="Times New Roman" w:cs="Times New Roman"/>
      <w:b/>
      <w:bCs/>
      <w:sz w:val="32"/>
      <w:szCs w:val="32"/>
    </w:rPr>
  </w:style>
  <w:style w:type="paragraph" w:styleId="a0">
    <w:name w:val="Normal Indent"/>
    <w:basedOn w:val="a"/>
    <w:uiPriority w:val="99"/>
    <w:rsid w:val="004061AC"/>
    <w:pPr>
      <w:ind w:firstLineChars="200" w:firstLine="420"/>
    </w:pPr>
  </w:style>
  <w:style w:type="paragraph" w:styleId="a4">
    <w:name w:val="Body Text Indent"/>
    <w:basedOn w:val="a"/>
    <w:link w:val="Char"/>
    <w:uiPriority w:val="99"/>
    <w:rsid w:val="004061AC"/>
    <w:pPr>
      <w:widowControl/>
      <w:spacing w:before="100" w:beforeAutospacing="1" w:after="100" w:afterAutospacing="1"/>
      <w:jc w:val="left"/>
    </w:pPr>
    <w:rPr>
      <w:rFonts w:ascii="Arial Unicode MS" w:eastAsia="Arial Unicode MS" w:hAnsi="Arial Unicode MS"/>
      <w:kern w:val="0"/>
      <w:sz w:val="24"/>
      <w:szCs w:val="24"/>
    </w:rPr>
  </w:style>
  <w:style w:type="character" w:customStyle="1" w:styleId="Char">
    <w:name w:val="正文文本缩进 Char"/>
    <w:link w:val="a4"/>
    <w:uiPriority w:val="99"/>
    <w:locked/>
    <w:rsid w:val="004061AC"/>
    <w:rPr>
      <w:rFonts w:ascii="Arial Unicode MS" w:eastAsia="Arial Unicode MS" w:hAnsi="Arial Unicode MS" w:cs="Arial Unicode MS"/>
      <w:kern w:val="0"/>
      <w:sz w:val="24"/>
      <w:szCs w:val="24"/>
    </w:rPr>
  </w:style>
  <w:style w:type="paragraph" w:styleId="a5">
    <w:name w:val="Plain Text"/>
    <w:basedOn w:val="a"/>
    <w:link w:val="Char0"/>
    <w:uiPriority w:val="99"/>
    <w:rsid w:val="004061AC"/>
    <w:rPr>
      <w:rFonts w:ascii="宋体" w:hAnsi="Courier New"/>
      <w:kern w:val="0"/>
    </w:rPr>
  </w:style>
  <w:style w:type="character" w:customStyle="1" w:styleId="Char0">
    <w:name w:val="纯文本 Char"/>
    <w:link w:val="a5"/>
    <w:uiPriority w:val="99"/>
    <w:locked/>
    <w:rsid w:val="004061AC"/>
    <w:rPr>
      <w:rFonts w:ascii="宋体" w:eastAsia="宋体" w:hAnsi="Courier New" w:cs="宋体"/>
      <w:sz w:val="21"/>
      <w:szCs w:val="21"/>
    </w:rPr>
  </w:style>
  <w:style w:type="paragraph" w:styleId="20">
    <w:name w:val="Body Text Indent 2"/>
    <w:basedOn w:val="a"/>
    <w:link w:val="2Char0"/>
    <w:uiPriority w:val="99"/>
    <w:rsid w:val="004061AC"/>
    <w:pPr>
      <w:spacing w:line="560" w:lineRule="exact"/>
      <w:ind w:firstLineChars="200" w:firstLine="480"/>
    </w:pPr>
    <w:rPr>
      <w:rFonts w:ascii="宋体" w:hAnsi="宋体"/>
      <w:color w:val="FF0000"/>
      <w:kern w:val="0"/>
      <w:sz w:val="24"/>
      <w:szCs w:val="24"/>
    </w:rPr>
  </w:style>
  <w:style w:type="character" w:customStyle="1" w:styleId="2Char0">
    <w:name w:val="正文文本缩进 2 Char"/>
    <w:link w:val="20"/>
    <w:uiPriority w:val="99"/>
    <w:locked/>
    <w:rsid w:val="004061AC"/>
    <w:rPr>
      <w:rFonts w:ascii="宋体" w:eastAsia="宋体" w:hAnsi="宋体" w:cs="宋体"/>
      <w:color w:val="FF0000"/>
      <w:sz w:val="24"/>
      <w:szCs w:val="24"/>
    </w:rPr>
  </w:style>
  <w:style w:type="paragraph" w:styleId="a6">
    <w:name w:val="footer"/>
    <w:basedOn w:val="a"/>
    <w:link w:val="Char1"/>
    <w:uiPriority w:val="99"/>
    <w:rsid w:val="004061AC"/>
    <w:pPr>
      <w:tabs>
        <w:tab w:val="center" w:pos="4153"/>
        <w:tab w:val="right" w:pos="8306"/>
      </w:tabs>
      <w:snapToGrid w:val="0"/>
      <w:jc w:val="left"/>
    </w:pPr>
    <w:rPr>
      <w:kern w:val="0"/>
      <w:sz w:val="18"/>
      <w:szCs w:val="18"/>
    </w:rPr>
  </w:style>
  <w:style w:type="character" w:customStyle="1" w:styleId="Char1">
    <w:name w:val="页脚 Char"/>
    <w:link w:val="a6"/>
    <w:uiPriority w:val="99"/>
    <w:locked/>
    <w:rsid w:val="004061AC"/>
    <w:rPr>
      <w:rFonts w:ascii="Times New Roman" w:eastAsia="宋体" w:hAnsi="Times New Roman" w:cs="Times New Roman"/>
      <w:sz w:val="18"/>
      <w:szCs w:val="18"/>
    </w:rPr>
  </w:style>
  <w:style w:type="character" w:styleId="a7">
    <w:name w:val="page number"/>
    <w:uiPriority w:val="99"/>
    <w:rsid w:val="004061AC"/>
    <w:rPr>
      <w:rFonts w:cs="Times New Roman"/>
    </w:rPr>
  </w:style>
  <w:style w:type="character" w:styleId="a8">
    <w:name w:val="Hyperlink"/>
    <w:uiPriority w:val="99"/>
    <w:rsid w:val="004061AC"/>
    <w:rPr>
      <w:rFonts w:cs="Times New Roman"/>
      <w:color w:val="0000FF"/>
      <w:u w:val="single"/>
    </w:rPr>
  </w:style>
  <w:style w:type="paragraph" w:styleId="30">
    <w:name w:val="Body Text Indent 3"/>
    <w:basedOn w:val="a"/>
    <w:link w:val="3Char0"/>
    <w:uiPriority w:val="99"/>
    <w:rsid w:val="004061AC"/>
    <w:pPr>
      <w:spacing w:line="560" w:lineRule="exact"/>
      <w:ind w:firstLineChars="200" w:firstLine="420"/>
    </w:pPr>
    <w:rPr>
      <w:rFonts w:ascii="Arial" w:hAnsi="Arial"/>
      <w:color w:val="FF0000"/>
      <w:kern w:val="0"/>
    </w:rPr>
  </w:style>
  <w:style w:type="character" w:customStyle="1" w:styleId="3Char0">
    <w:name w:val="正文文本缩进 3 Char"/>
    <w:link w:val="30"/>
    <w:uiPriority w:val="99"/>
    <w:locked/>
    <w:rsid w:val="004061AC"/>
    <w:rPr>
      <w:rFonts w:ascii="Arial" w:eastAsia="宋体" w:hAnsi="Arial" w:cs="Arial"/>
      <w:color w:val="FF0000"/>
      <w:sz w:val="21"/>
      <w:szCs w:val="21"/>
    </w:rPr>
  </w:style>
  <w:style w:type="paragraph" w:styleId="a9">
    <w:name w:val="header"/>
    <w:basedOn w:val="a"/>
    <w:link w:val="Char2"/>
    <w:uiPriority w:val="99"/>
    <w:rsid w:val="004061AC"/>
    <w:pPr>
      <w:pBdr>
        <w:bottom w:val="single" w:sz="6" w:space="1" w:color="auto"/>
      </w:pBdr>
      <w:tabs>
        <w:tab w:val="center" w:pos="4153"/>
        <w:tab w:val="right" w:pos="8306"/>
      </w:tabs>
      <w:snapToGrid w:val="0"/>
      <w:jc w:val="center"/>
    </w:pPr>
    <w:rPr>
      <w:kern w:val="0"/>
      <w:sz w:val="18"/>
      <w:szCs w:val="18"/>
    </w:rPr>
  </w:style>
  <w:style w:type="character" w:customStyle="1" w:styleId="Char2">
    <w:name w:val="页眉 Char"/>
    <w:link w:val="a9"/>
    <w:uiPriority w:val="99"/>
    <w:locked/>
    <w:rsid w:val="004061AC"/>
    <w:rPr>
      <w:rFonts w:ascii="Times New Roman" w:eastAsia="宋体" w:hAnsi="Times New Roman" w:cs="Times New Roman"/>
      <w:sz w:val="18"/>
      <w:szCs w:val="18"/>
    </w:rPr>
  </w:style>
  <w:style w:type="character" w:styleId="aa">
    <w:name w:val="FollowedHyperlink"/>
    <w:uiPriority w:val="99"/>
    <w:rsid w:val="004061AC"/>
    <w:rPr>
      <w:rFonts w:cs="Times New Roman"/>
      <w:color w:val="800080"/>
      <w:u w:val="single"/>
    </w:rPr>
  </w:style>
  <w:style w:type="paragraph" w:styleId="ab">
    <w:name w:val="List"/>
    <w:basedOn w:val="ac"/>
    <w:uiPriority w:val="99"/>
    <w:rsid w:val="004061AC"/>
    <w:pPr>
      <w:spacing w:after="220" w:line="220" w:lineRule="atLeast"/>
      <w:ind w:left="1440" w:hanging="360"/>
    </w:pPr>
  </w:style>
  <w:style w:type="paragraph" w:styleId="ac">
    <w:name w:val="Body Text"/>
    <w:basedOn w:val="a"/>
    <w:link w:val="Char3"/>
    <w:uiPriority w:val="99"/>
    <w:rsid w:val="004061AC"/>
    <w:pPr>
      <w:spacing w:after="120"/>
    </w:pPr>
    <w:rPr>
      <w:kern w:val="0"/>
    </w:rPr>
  </w:style>
  <w:style w:type="character" w:customStyle="1" w:styleId="Char3">
    <w:name w:val="正文文本 Char"/>
    <w:link w:val="ac"/>
    <w:uiPriority w:val="99"/>
    <w:locked/>
    <w:rsid w:val="004061AC"/>
    <w:rPr>
      <w:rFonts w:ascii="Times New Roman" w:eastAsia="宋体" w:hAnsi="Times New Roman" w:cs="Times New Roman"/>
      <w:sz w:val="21"/>
      <w:szCs w:val="21"/>
    </w:rPr>
  </w:style>
  <w:style w:type="paragraph" w:styleId="ad">
    <w:name w:val="Date"/>
    <w:basedOn w:val="a"/>
    <w:next w:val="a"/>
    <w:link w:val="Char4"/>
    <w:uiPriority w:val="99"/>
    <w:rsid w:val="004061AC"/>
    <w:rPr>
      <w:kern w:val="0"/>
      <w:sz w:val="24"/>
      <w:szCs w:val="24"/>
    </w:rPr>
  </w:style>
  <w:style w:type="character" w:customStyle="1" w:styleId="Char4">
    <w:name w:val="日期 Char"/>
    <w:link w:val="ad"/>
    <w:uiPriority w:val="99"/>
    <w:locked/>
    <w:rsid w:val="004061AC"/>
    <w:rPr>
      <w:rFonts w:ascii="Times New Roman" w:eastAsia="宋体" w:hAnsi="Times New Roman" w:cs="Times New Roman"/>
      <w:sz w:val="24"/>
      <w:szCs w:val="24"/>
    </w:rPr>
  </w:style>
  <w:style w:type="character" w:customStyle="1" w:styleId="c1">
    <w:name w:val="c1"/>
    <w:uiPriority w:val="99"/>
    <w:rsid w:val="004061AC"/>
    <w:rPr>
      <w:rFonts w:cs="Times New Roman"/>
      <w:color w:val="000000"/>
      <w:sz w:val="18"/>
      <w:szCs w:val="18"/>
    </w:rPr>
  </w:style>
  <w:style w:type="paragraph" w:styleId="10">
    <w:name w:val="index 1"/>
    <w:basedOn w:val="a"/>
    <w:next w:val="a"/>
    <w:autoRedefine/>
    <w:uiPriority w:val="99"/>
    <w:semiHidden/>
    <w:rsid w:val="004061AC"/>
    <w:pPr>
      <w:jc w:val="right"/>
    </w:pPr>
    <w:rPr>
      <w:color w:val="008000"/>
    </w:rPr>
  </w:style>
  <w:style w:type="paragraph" w:customStyle="1" w:styleId="font5">
    <w:name w:val="font5"/>
    <w:basedOn w:val="a"/>
    <w:uiPriority w:val="99"/>
    <w:rsid w:val="004061AC"/>
    <w:pPr>
      <w:widowControl/>
      <w:spacing w:before="100" w:beforeAutospacing="1" w:after="100" w:afterAutospacing="1"/>
      <w:jc w:val="left"/>
    </w:pPr>
    <w:rPr>
      <w:rFonts w:ascii="宋体" w:hAnsi="宋体" w:cs="宋体"/>
      <w:kern w:val="0"/>
      <w:sz w:val="18"/>
      <w:szCs w:val="18"/>
    </w:rPr>
  </w:style>
  <w:style w:type="paragraph" w:customStyle="1" w:styleId="xl24">
    <w:name w:val="xl24"/>
    <w:basedOn w:val="a"/>
    <w:uiPriority w:val="99"/>
    <w:rsid w:val="004061AC"/>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0000FF"/>
      <w:kern w:val="0"/>
      <w:sz w:val="29"/>
      <w:szCs w:val="29"/>
    </w:rPr>
  </w:style>
  <w:style w:type="paragraph" w:customStyle="1" w:styleId="xl25">
    <w:name w:val="xl25"/>
    <w:basedOn w:val="a"/>
    <w:uiPriority w:val="99"/>
    <w:rsid w:val="004061AC"/>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eastAsia="Arial Unicode MS" w:hAnsi="Arial Unicode MS" w:cs="Arial Unicode MS"/>
      <w:b/>
      <w:bCs/>
      <w:color w:val="000000"/>
      <w:kern w:val="0"/>
      <w:sz w:val="24"/>
      <w:szCs w:val="24"/>
    </w:rPr>
  </w:style>
  <w:style w:type="paragraph" w:customStyle="1" w:styleId="xl26">
    <w:name w:val="xl26"/>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szCs w:val="24"/>
    </w:rPr>
  </w:style>
  <w:style w:type="paragraph" w:customStyle="1" w:styleId="xl27">
    <w:name w:val="xl27"/>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12"/>
      <w:szCs w:val="12"/>
    </w:rPr>
  </w:style>
  <w:style w:type="paragraph" w:customStyle="1" w:styleId="xl28">
    <w:name w:val="xl28"/>
    <w:basedOn w:val="a"/>
    <w:uiPriority w:val="99"/>
    <w:rsid w:val="004061AC"/>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eastAsia="Arial Unicode MS" w:hAnsi="Arial Unicode MS" w:cs="Arial Unicode MS"/>
      <w:b/>
      <w:bCs/>
      <w:color w:val="000000"/>
      <w:kern w:val="0"/>
      <w:sz w:val="24"/>
      <w:szCs w:val="24"/>
    </w:rPr>
  </w:style>
  <w:style w:type="paragraph" w:customStyle="1" w:styleId="xl29">
    <w:name w:val="xl29"/>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szCs w:val="24"/>
    </w:rPr>
  </w:style>
  <w:style w:type="paragraph" w:customStyle="1" w:styleId="xl30">
    <w:name w:val="xl30"/>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szCs w:val="24"/>
    </w:rPr>
  </w:style>
  <w:style w:type="paragraph" w:customStyle="1" w:styleId="xl31">
    <w:name w:val="xl31"/>
    <w:basedOn w:val="a"/>
    <w:uiPriority w:val="99"/>
    <w:rsid w:val="004061AC"/>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2">
    <w:name w:val="xl32"/>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3">
    <w:name w:val="xl33"/>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color w:val="000000"/>
      <w:kern w:val="0"/>
      <w:sz w:val="22"/>
      <w:szCs w:val="22"/>
    </w:rPr>
  </w:style>
  <w:style w:type="paragraph" w:customStyle="1" w:styleId="xl34">
    <w:name w:val="xl34"/>
    <w:basedOn w:val="a"/>
    <w:uiPriority w:val="99"/>
    <w:rsid w:val="004061AC"/>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5">
    <w:name w:val="xl35"/>
    <w:basedOn w:val="a"/>
    <w:uiPriority w:val="99"/>
    <w:rsid w:val="004061AC"/>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000000"/>
      <w:kern w:val="0"/>
      <w:sz w:val="23"/>
      <w:szCs w:val="23"/>
    </w:rPr>
  </w:style>
  <w:style w:type="paragraph" w:customStyle="1" w:styleId="xl36">
    <w:name w:val="xl36"/>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customStyle="1" w:styleId="xl37">
    <w:name w:val="xl37"/>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FF0000"/>
      <w:kern w:val="0"/>
      <w:sz w:val="23"/>
      <w:szCs w:val="23"/>
    </w:rPr>
  </w:style>
  <w:style w:type="paragraph" w:customStyle="1" w:styleId="xl38">
    <w:name w:val="xl38"/>
    <w:basedOn w:val="a"/>
    <w:uiPriority w:val="99"/>
    <w:rsid w:val="004061AC"/>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styleId="ae">
    <w:name w:val="Balloon Text"/>
    <w:basedOn w:val="a"/>
    <w:link w:val="Char5"/>
    <w:uiPriority w:val="99"/>
    <w:semiHidden/>
    <w:rsid w:val="004061AC"/>
    <w:rPr>
      <w:kern w:val="0"/>
      <w:sz w:val="18"/>
      <w:szCs w:val="18"/>
    </w:rPr>
  </w:style>
  <w:style w:type="character" w:customStyle="1" w:styleId="Char5">
    <w:name w:val="批注框文本 Char"/>
    <w:link w:val="ae"/>
    <w:uiPriority w:val="99"/>
    <w:semiHidden/>
    <w:locked/>
    <w:rsid w:val="004061AC"/>
    <w:rPr>
      <w:rFonts w:ascii="Times New Roman" w:eastAsia="宋体" w:hAnsi="Times New Roman" w:cs="Times New Roman"/>
      <w:sz w:val="18"/>
      <w:szCs w:val="18"/>
    </w:rPr>
  </w:style>
  <w:style w:type="character" w:styleId="af">
    <w:name w:val="annotation reference"/>
    <w:uiPriority w:val="99"/>
    <w:semiHidden/>
    <w:rsid w:val="004061AC"/>
    <w:rPr>
      <w:rFonts w:cs="Times New Roman"/>
      <w:sz w:val="21"/>
      <w:szCs w:val="21"/>
    </w:rPr>
  </w:style>
  <w:style w:type="paragraph" w:styleId="af0">
    <w:name w:val="annotation text"/>
    <w:basedOn w:val="a"/>
    <w:link w:val="Char6"/>
    <w:uiPriority w:val="99"/>
    <w:semiHidden/>
    <w:rsid w:val="004061AC"/>
    <w:pPr>
      <w:jc w:val="left"/>
    </w:pPr>
    <w:rPr>
      <w:kern w:val="0"/>
    </w:rPr>
  </w:style>
  <w:style w:type="character" w:customStyle="1" w:styleId="Char6">
    <w:name w:val="批注文字 Char"/>
    <w:link w:val="af0"/>
    <w:uiPriority w:val="99"/>
    <w:semiHidden/>
    <w:locked/>
    <w:rsid w:val="004061AC"/>
    <w:rPr>
      <w:rFonts w:ascii="Times New Roman" w:eastAsia="宋体" w:hAnsi="Times New Roman" w:cs="Times New Roman"/>
      <w:sz w:val="21"/>
      <w:szCs w:val="21"/>
    </w:rPr>
  </w:style>
  <w:style w:type="paragraph" w:styleId="af1">
    <w:name w:val="annotation subject"/>
    <w:basedOn w:val="af0"/>
    <w:next w:val="af0"/>
    <w:link w:val="Char7"/>
    <w:uiPriority w:val="99"/>
    <w:semiHidden/>
    <w:rsid w:val="004061AC"/>
    <w:rPr>
      <w:b/>
      <w:bCs/>
    </w:rPr>
  </w:style>
  <w:style w:type="character" w:customStyle="1" w:styleId="Char7">
    <w:name w:val="批注主题 Char"/>
    <w:link w:val="af1"/>
    <w:uiPriority w:val="99"/>
    <w:semiHidden/>
    <w:locked/>
    <w:rsid w:val="004061AC"/>
    <w:rPr>
      <w:rFonts w:ascii="Times New Roman" w:eastAsia="宋体" w:hAnsi="Times New Roman" w:cs="Times New Roman"/>
      <w:b/>
      <w:bCs/>
      <w:sz w:val="21"/>
      <w:szCs w:val="21"/>
    </w:rPr>
  </w:style>
  <w:style w:type="paragraph" w:customStyle="1" w:styleId="Char8">
    <w:name w:val="Char"/>
    <w:basedOn w:val="a"/>
    <w:uiPriority w:val="99"/>
    <w:rsid w:val="004061AC"/>
  </w:style>
  <w:style w:type="paragraph" w:styleId="af2">
    <w:name w:val="Document Map"/>
    <w:basedOn w:val="a"/>
    <w:link w:val="Char9"/>
    <w:uiPriority w:val="99"/>
    <w:semiHidden/>
    <w:rsid w:val="004061AC"/>
    <w:pPr>
      <w:shd w:val="clear" w:color="auto" w:fill="000080"/>
    </w:pPr>
    <w:rPr>
      <w:kern w:val="0"/>
    </w:rPr>
  </w:style>
  <w:style w:type="character" w:customStyle="1" w:styleId="Char9">
    <w:name w:val="文档结构图 Char"/>
    <w:link w:val="af2"/>
    <w:uiPriority w:val="99"/>
    <w:semiHidden/>
    <w:locked/>
    <w:rsid w:val="004061AC"/>
    <w:rPr>
      <w:rFonts w:ascii="Times New Roman" w:eastAsia="宋体" w:hAnsi="Times New Roman" w:cs="Times New Roman"/>
      <w:sz w:val="21"/>
      <w:szCs w:val="21"/>
      <w:shd w:val="clear" w:color="auto" w:fill="000080"/>
    </w:rPr>
  </w:style>
  <w:style w:type="paragraph" w:customStyle="1" w:styleId="af3">
    <w:name w:val="正文 + (符号) 宋体"/>
    <w:aliases w:val="小四,紧缩量  0.2 磅"/>
    <w:basedOn w:val="a"/>
    <w:uiPriority w:val="99"/>
    <w:rsid w:val="004061AC"/>
    <w:pPr>
      <w:autoSpaceDE w:val="0"/>
      <w:autoSpaceDN w:val="0"/>
      <w:adjustRightInd w:val="0"/>
      <w:ind w:rightChars="671" w:right="1409" w:firstLineChars="512" w:firstLine="1229"/>
      <w:jc w:val="distribute"/>
    </w:pPr>
    <w:rPr>
      <w:sz w:val="24"/>
      <w:szCs w:val="24"/>
    </w:rPr>
  </w:style>
  <w:style w:type="paragraph" w:styleId="af4">
    <w:name w:val="footnote text"/>
    <w:basedOn w:val="a"/>
    <w:link w:val="Chara"/>
    <w:uiPriority w:val="99"/>
    <w:rsid w:val="004061AC"/>
    <w:pPr>
      <w:snapToGrid w:val="0"/>
      <w:jc w:val="left"/>
    </w:pPr>
    <w:rPr>
      <w:kern w:val="0"/>
      <w:sz w:val="18"/>
      <w:szCs w:val="18"/>
    </w:rPr>
  </w:style>
  <w:style w:type="character" w:customStyle="1" w:styleId="Chara">
    <w:name w:val="脚注文本 Char"/>
    <w:link w:val="af4"/>
    <w:uiPriority w:val="99"/>
    <w:locked/>
    <w:rsid w:val="004061AC"/>
    <w:rPr>
      <w:rFonts w:ascii="Times New Roman" w:eastAsia="宋体" w:hAnsi="Times New Roman" w:cs="Times New Roman"/>
      <w:sz w:val="18"/>
      <w:szCs w:val="18"/>
    </w:rPr>
  </w:style>
  <w:style w:type="character" w:styleId="af5">
    <w:name w:val="footnote reference"/>
    <w:uiPriority w:val="99"/>
    <w:rsid w:val="004061AC"/>
    <w:rPr>
      <w:rFonts w:cs="Times New Roman"/>
      <w:vertAlign w:val="superscript"/>
    </w:rPr>
  </w:style>
  <w:style w:type="paragraph" w:styleId="af6">
    <w:name w:val="Normal (Web)"/>
    <w:basedOn w:val="a"/>
    <w:uiPriority w:val="99"/>
    <w:rsid w:val="004061AC"/>
    <w:pPr>
      <w:widowControl/>
      <w:spacing w:before="100" w:beforeAutospacing="1" w:after="100" w:afterAutospacing="1"/>
      <w:jc w:val="left"/>
    </w:pPr>
    <w:rPr>
      <w:rFonts w:ascii="宋体" w:hAnsi="宋体" w:cs="宋体"/>
      <w:kern w:val="0"/>
      <w:sz w:val="24"/>
      <w:szCs w:val="24"/>
    </w:rPr>
  </w:style>
  <w:style w:type="table" w:styleId="af7">
    <w:name w:val="Table Grid"/>
    <w:basedOn w:val="a2"/>
    <w:qFormat/>
    <w:rsid w:val="004061AC"/>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4061AC"/>
  </w:style>
  <w:style w:type="paragraph" w:customStyle="1" w:styleId="CharCharCharCharCharChar1CharCharChar">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type="paragraph" w:customStyle="1" w:styleId="CharCharCharCharCharChar1CharCharChar2">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type="paragraph" w:styleId="af8">
    <w:name w:val="Title"/>
    <w:basedOn w:val="a"/>
    <w:next w:val="a"/>
    <w:link w:val="Charb"/>
    <w:uiPriority w:val="99"/>
    <w:qFormat/>
    <w:rsid w:val="004061AC"/>
    <w:pPr>
      <w:spacing w:before="240" w:after="60"/>
      <w:jc w:val="center"/>
      <w:outlineLvl w:val="0"/>
    </w:pPr>
    <w:rPr>
      <w:rFonts w:ascii="Cambria" w:hAnsi="Cambria"/>
      <w:b/>
      <w:bCs/>
      <w:kern w:val="0"/>
      <w:sz w:val="32"/>
      <w:szCs w:val="32"/>
    </w:rPr>
  </w:style>
  <w:style w:type="character" w:customStyle="1" w:styleId="Charb">
    <w:name w:val="标题 Char"/>
    <w:link w:val="af8"/>
    <w:uiPriority w:val="99"/>
    <w:locked/>
    <w:rsid w:val="004061AC"/>
    <w:rPr>
      <w:rFonts w:ascii="Cambria" w:eastAsia="宋体" w:hAnsi="Cambria" w:cs="Cambria"/>
      <w:b/>
      <w:bCs/>
      <w:sz w:val="32"/>
      <w:szCs w:val="32"/>
    </w:rPr>
  </w:style>
  <w:style w:type="paragraph" w:customStyle="1" w:styleId="CharCharCharCharCharChar1CharCharChar1">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type="paragraph" w:styleId="af9">
    <w:name w:val="No Spacing"/>
    <w:link w:val="Charc"/>
    <w:uiPriority w:val="99"/>
    <w:qFormat/>
    <w:rsid w:val="004061AC"/>
    <w:rPr>
      <w:rFonts w:cs="Calibri"/>
      <w:sz w:val="22"/>
      <w:szCs w:val="22"/>
    </w:rPr>
  </w:style>
  <w:style w:type="character" w:customStyle="1" w:styleId="Charc">
    <w:name w:val="无间隔 Char"/>
    <w:link w:val="af9"/>
    <w:uiPriority w:val="99"/>
    <w:locked/>
    <w:rsid w:val="004061AC"/>
    <w:rPr>
      <w:rFonts w:cs="Calibri"/>
      <w:sz w:val="22"/>
      <w:szCs w:val="22"/>
      <w:lang w:val="en-US" w:eastAsia="zh-CN" w:bidi="ar-SA"/>
    </w:rPr>
  </w:style>
  <w:style w:type="character" w:customStyle="1" w:styleId="t1">
    <w:name w:val="t1"/>
    <w:uiPriority w:val="99"/>
    <w:rsid w:val="004061AC"/>
    <w:rPr>
      <w:rFonts w:cs="Times New Roman"/>
      <w:color w:val="auto"/>
    </w:rPr>
  </w:style>
  <w:style w:type="paragraph" w:styleId="afa">
    <w:name w:val="List Paragraph"/>
    <w:basedOn w:val="a"/>
    <w:uiPriority w:val="99"/>
    <w:qFormat/>
    <w:rsid w:val="00154BE1"/>
    <w:pPr>
      <w:ind w:firstLineChars="200" w:firstLine="420"/>
    </w:pPr>
  </w:style>
  <w:style w:type="paragraph" w:customStyle="1" w:styleId="Default">
    <w:name w:val="Default"/>
    <w:uiPriority w:val="99"/>
    <w:rsid w:val="00275745"/>
    <w:pPr>
      <w:widowControl w:val="0"/>
      <w:autoSpaceDE w:val="0"/>
      <w:autoSpaceDN w:val="0"/>
      <w:adjustRightInd w:val="0"/>
    </w:pPr>
    <w:rPr>
      <w:rFonts w:ascii="FangSong" w:hAnsi="FangSong" w:cs="FangSong"/>
      <w:color w:val="000000"/>
      <w:sz w:val="24"/>
      <w:szCs w:val="24"/>
    </w:rPr>
  </w:style>
  <w:style w:type="character" w:styleId="afb">
    <w:name w:val="Strong"/>
    <w:uiPriority w:val="22"/>
    <w:qFormat/>
    <w:locked/>
    <w:rsid w:val="00D874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2C5DB-BDBA-45E9-8B69-7B5BEE961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1800</TotalTime>
  <Pages>17</Pages>
  <Words>1580</Words>
  <Characters>9011</Characters>
  <Application>Microsoft Office Word</Application>
  <DocSecurity>0</DocSecurity>
  <Lines>75</Lines>
  <Paragraphs>21</Paragraphs>
  <ScaleCrop>false</ScaleCrop>
  <Company/>
  <LinksUpToDate>false</LinksUpToDate>
  <CharactersWithSpaces>10570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温学谦</cp:lastModifiedBy>
  <cp:revision>346</cp:revision>
  <dcterms:created xsi:type="dcterms:W3CDTF">2012-10-16T06:07:00Z</dcterms:created>
  <dcterms:modified xsi:type="dcterms:W3CDTF">2020-07-16T10:47:00Z</dcterms:modified>
</cp:coreProperties>
</file>