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易方达中证800交易型开放式指数证券投资基金发起式联接基金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中国建设银行股份有限公司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易方达中证800ETF联接发起式</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007856</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2019年10月21日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42,725,638.56</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紧密跟踪业绩比较基准，追求跟踪偏离度和跟踪误差的最小化。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易方达中证800ETF（以下简称“目标ETF”）的联接基金，主要通过投资于目标ETF实现对业绩比较基准的紧密跟踪，力争将日均跟踪偏离度控制在0.35%以内，年化跟踪误差控制在4%以内。本基金将在综合考虑合规、风险、效率、成本等因素的基础上，决定采用申购、赎回的方式或二级市场方式进行目标ETF的投资。为了更好地实现投资目标，本基金可以投资股指期货、期权和其他经中国证监会允许的衍生金融产品，如与标的指数或标的指数成份股、备选成份股相关的衍生工具，本基金将根据风险管理的原则，主要选择流动性好、交易活跃的衍生品进行交易。</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 xml:space="preserve">中证800指数收益率×95%+活期存款利率（税后）×5% </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 xml:space="preserve">本基金为ETF联接基金，预期风险与预期收益水平高于混合型基金、债券型基金与货币市场基金。本基金主要通过投资于易方达中证800ETF实现对业绩比较基准的紧密跟踪。因此，本基金的业绩表现与中证800指数的表现密切相关。 </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中国建设银行股份有限公司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易方达中证800ETF联接发起式A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易方达中证800ETF联接发起式C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007856</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007857</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30,443,917.43</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12,281,721.13</w:t>
            </w:r>
            <w:r w:rsidR="00D305C9" w:rsidRPr="00B34368">
              <w:rPr>
                <w:rFonts w:eastAsiaTheme="minorEastAsia" w:hAnsiTheme="minorEastAsia"/>
                <w:color w:themeColor="text1" w:val="000000"/>
                <w:kern w:val="0"/>
                <w:sz w:val="24"/>
              </w:rPr>
              <w:t>份</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易方达中证800交易型开放式指数证券投资基金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515810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2019年10月8日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2019年10月25日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中国建设银行股份有限公司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进行交易。在正常市场情况下，本基金力争日均跟踪偏离度的绝对值不超过0.2%，年化跟踪误差不超过2%。</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中证800指数收益率</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易方达中证800ETF联接发起式A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易方达中证800ETF联接发起式C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569,978.67</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238,159.17</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5,629,214.22</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2,572,476.91</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0.1604</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0.1556</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34,847,181.14</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14,047,725.12</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1.1446</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1.1438</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 xml:space="preserve">2.本期已实现收益指基金本期利息收入、投资收益、其他收入(不含公允价值变动收益)扣除相关费用后的余额，本期利润为本期已实现收益加上本期公允价值变动收益。 </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易方达中证800ETF联接发起式A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16.63%</w:t>
            </w:r>
          </w:p>
        </w:tc>
        <w:tc>
          <w:tcPr>
            <w:vAlign w:val="center"/>
          </w:tcPr>
          <w:p>
            <w:pPr>
              <w:jc w:val="right"/>
            </w:pPr>
            <w:r>
              <w:rPr>
                <w:rFonts w:eastAsiaTheme="minorEastAsia"/>
                <w:color w:themeColor="text1" w:val="000000"/>
                <w:sz w:val="24"/>
              </w:rPr>
              <w:t>0.87%</w:t>
            </w:r>
          </w:p>
        </w:tc>
        <w:tc>
          <w:tcPr>
            <w:vAlign w:val="center"/>
          </w:tcPr>
          <w:p>
            <w:pPr>
              <w:jc w:val="right"/>
            </w:pPr>
            <w:r>
              <w:rPr>
                <w:rFonts w:eastAsiaTheme="minorEastAsia"/>
                <w:color w:themeColor="text1" w:val="000000"/>
                <w:sz w:val="24"/>
              </w:rPr>
              <w:t>13.08%</w:t>
            </w:r>
          </w:p>
        </w:tc>
        <w:tc>
          <w:tcPr>
            <w:vAlign w:val="center"/>
          </w:tcPr>
          <w:p>
            <w:pPr>
              <w:jc w:val="right"/>
            </w:pPr>
            <w:r>
              <w:rPr>
                <w:rFonts w:eastAsiaTheme="minorEastAsia"/>
                <w:color w:themeColor="text1" w:val="000000"/>
                <w:sz w:val="24"/>
              </w:rPr>
              <w:t>0.88%</w:t>
            </w:r>
          </w:p>
        </w:tc>
        <w:tc>
          <w:tcPr>
            <w:vAlign w:val="center"/>
          </w:tcPr>
          <w:p>
            <w:pPr>
              <w:jc w:val="right"/>
            </w:pPr>
            <w:r>
              <w:rPr>
                <w:rFonts w:eastAsiaTheme="minorEastAsia"/>
                <w:color w:themeColor="text1" w:val="000000"/>
                <w:sz w:val="24"/>
              </w:rPr>
              <w:t>3.55%</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9.36%</w:t>
            </w:r>
          </w:p>
        </w:tc>
        <w:tc>
          <w:tcPr>
            <w:vAlign w:val="center"/>
          </w:tcPr>
          <w:p>
            <w:pPr>
              <w:jc w:val="right"/>
            </w:pPr>
            <w:r>
              <w:rPr>
                <w:rFonts w:eastAsiaTheme="minorEastAsia"/>
                <w:color w:themeColor="text1" w:val="000000"/>
                <w:sz w:val="24"/>
              </w:rPr>
              <w:t>1.45%</w:t>
            </w:r>
          </w:p>
        </w:tc>
        <w:tc>
          <w:tcPr>
            <w:vAlign w:val="center"/>
          </w:tcPr>
          <w:p>
            <w:pPr>
              <w:jc w:val="right"/>
            </w:pPr>
            <w:r>
              <w:rPr>
                <w:rFonts w:eastAsiaTheme="minorEastAsia"/>
                <w:color w:themeColor="text1" w:val="000000"/>
                <w:sz w:val="24"/>
              </w:rPr>
              <w:t>3.82%</w:t>
            </w:r>
          </w:p>
        </w:tc>
        <w:tc>
          <w:tcPr>
            <w:vAlign w:val="center"/>
          </w:tcPr>
          <w:p>
            <w:pPr>
              <w:jc w:val="right"/>
            </w:pPr>
            <w:r>
              <w:rPr>
                <w:rFonts w:eastAsiaTheme="minorEastAsia"/>
                <w:color w:themeColor="text1" w:val="000000"/>
                <w:sz w:val="24"/>
              </w:rPr>
              <w:t>1.48%</w:t>
            </w:r>
          </w:p>
        </w:tc>
        <w:tc>
          <w:tcPr>
            <w:vAlign w:val="center"/>
          </w:tcPr>
          <w:p>
            <w:pPr>
              <w:jc w:val="right"/>
            </w:pPr>
            <w:r>
              <w:rPr>
                <w:rFonts w:eastAsiaTheme="minorEastAsia"/>
                <w:color w:themeColor="text1" w:val="000000"/>
                <w:sz w:val="24"/>
              </w:rPr>
              <w:t>5.54%</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14.46%</w:t>
            </w:r>
          </w:p>
        </w:tc>
        <w:tc>
          <w:tcPr>
            <w:vAlign w:val="center"/>
          </w:tcPr>
          <w:p>
            <w:pPr>
              <w:jc w:val="right"/>
            </w:pPr>
            <w:r>
              <w:rPr>
                <w:rFonts w:eastAsiaTheme="minorEastAsia"/>
                <w:color w:themeColor="text1" w:val="000000"/>
                <w:sz w:val="24"/>
              </w:rPr>
              <w:t>1.25%</w:t>
            </w:r>
          </w:p>
        </w:tc>
        <w:tc>
          <w:tcPr>
            <w:vAlign w:val="center"/>
          </w:tcPr>
          <w:p>
            <w:pPr>
              <w:jc w:val="right"/>
            </w:pPr>
            <w:r>
              <w:rPr>
                <w:rFonts w:eastAsiaTheme="minorEastAsia"/>
                <w:color w:themeColor="text1" w:val="000000"/>
                <w:sz w:val="24"/>
              </w:rPr>
              <w:t>9.69%</w:t>
            </w:r>
          </w:p>
        </w:tc>
        <w:tc>
          <w:tcPr>
            <w:vAlign w:val="center"/>
          </w:tcPr>
          <w:p>
            <w:pPr>
              <w:jc w:val="right"/>
            </w:pPr>
            <w:r>
              <w:rPr>
                <w:rFonts w:eastAsiaTheme="minorEastAsia"/>
                <w:color w:themeColor="text1" w:val="000000"/>
                <w:sz w:val="24"/>
              </w:rPr>
              <w:t>1.29%</w:t>
            </w:r>
          </w:p>
        </w:tc>
        <w:tc>
          <w:tcPr>
            <w:vAlign w:val="center"/>
          </w:tcPr>
          <w:p>
            <w:pPr>
              <w:jc w:val="right"/>
            </w:pPr>
            <w:r>
              <w:rPr>
                <w:rFonts w:eastAsiaTheme="minorEastAsia"/>
                <w:color w:themeColor="text1" w:val="000000"/>
                <w:sz w:val="24"/>
              </w:rPr>
              <w:t>4.77%</w:t>
            </w:r>
          </w:p>
        </w:tc>
        <w:tc>
          <w:tcPr>
            <w:vAlign w:val="center"/>
          </w:tcPr>
          <w:p>
            <w:pPr>
              <w:jc w:val="right"/>
            </w:pPr>
            <w:r>
              <w:rPr>
                <w:rFonts w:eastAsiaTheme="minorEastAsia"/>
                <w:color w:themeColor="text1" w:val="000000"/>
                <w:sz w:val="24"/>
              </w:rPr>
              <w:t>-0.04%</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易方达中证800ETF联接发起式C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16.60%</w:t>
            </w:r>
          </w:p>
        </w:tc>
        <w:tc>
          <w:tcPr>
            <w:vAlign w:val="center"/>
          </w:tcPr>
          <w:p>
            <w:pPr>
              <w:jc w:val="right"/>
            </w:pPr>
            <w:r>
              <w:rPr>
                <w:rFonts w:eastAsiaTheme="minorEastAsia"/>
                <w:color w:themeColor="text1" w:val="000000"/>
                <w:sz w:val="24"/>
              </w:rPr>
              <w:t>0.87%</w:t>
            </w:r>
          </w:p>
        </w:tc>
        <w:tc>
          <w:tcPr>
            <w:vAlign w:val="center"/>
          </w:tcPr>
          <w:p>
            <w:pPr>
              <w:jc w:val="right"/>
            </w:pPr>
            <w:r>
              <w:rPr>
                <w:rFonts w:eastAsiaTheme="minorEastAsia"/>
                <w:color w:themeColor="text1" w:val="000000"/>
                <w:sz w:val="24"/>
              </w:rPr>
              <w:t>13.08%</w:t>
            </w:r>
          </w:p>
        </w:tc>
        <w:tc>
          <w:tcPr>
            <w:vAlign w:val="center"/>
          </w:tcPr>
          <w:p>
            <w:pPr>
              <w:jc w:val="right"/>
            </w:pPr>
            <w:r>
              <w:rPr>
                <w:rFonts w:eastAsiaTheme="minorEastAsia"/>
                <w:color w:themeColor="text1" w:val="000000"/>
                <w:sz w:val="24"/>
              </w:rPr>
              <w:t>0.88%</w:t>
            </w:r>
          </w:p>
        </w:tc>
        <w:tc>
          <w:tcPr>
            <w:vAlign w:val="center"/>
          </w:tcPr>
          <w:p>
            <w:pPr>
              <w:jc w:val="right"/>
            </w:pPr>
            <w:r>
              <w:rPr>
                <w:rFonts w:eastAsiaTheme="minorEastAsia"/>
                <w:color w:themeColor="text1" w:val="000000"/>
                <w:sz w:val="24"/>
              </w:rPr>
              <w:t>3.52%</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9.32%</w:t>
            </w:r>
          </w:p>
        </w:tc>
        <w:tc>
          <w:tcPr>
            <w:vAlign w:val="center"/>
          </w:tcPr>
          <w:p>
            <w:pPr>
              <w:jc w:val="right"/>
            </w:pPr>
            <w:r>
              <w:rPr>
                <w:rFonts w:eastAsiaTheme="minorEastAsia"/>
                <w:color w:themeColor="text1" w:val="000000"/>
                <w:sz w:val="24"/>
              </w:rPr>
              <w:t>1.45%</w:t>
            </w:r>
          </w:p>
        </w:tc>
        <w:tc>
          <w:tcPr>
            <w:vAlign w:val="center"/>
          </w:tcPr>
          <w:p>
            <w:pPr>
              <w:jc w:val="right"/>
            </w:pPr>
            <w:r>
              <w:rPr>
                <w:rFonts w:eastAsiaTheme="minorEastAsia"/>
                <w:color w:themeColor="text1" w:val="000000"/>
                <w:sz w:val="24"/>
              </w:rPr>
              <w:t>3.82%</w:t>
            </w:r>
          </w:p>
        </w:tc>
        <w:tc>
          <w:tcPr>
            <w:vAlign w:val="center"/>
          </w:tcPr>
          <w:p>
            <w:pPr>
              <w:jc w:val="right"/>
            </w:pPr>
            <w:r>
              <w:rPr>
                <w:rFonts w:eastAsiaTheme="minorEastAsia"/>
                <w:color w:themeColor="text1" w:val="000000"/>
                <w:sz w:val="24"/>
              </w:rPr>
              <w:t>1.48%</w:t>
            </w:r>
          </w:p>
        </w:tc>
        <w:tc>
          <w:tcPr>
            <w:vAlign w:val="center"/>
          </w:tcPr>
          <w:p>
            <w:pPr>
              <w:jc w:val="right"/>
            </w:pPr>
            <w:r>
              <w:rPr>
                <w:rFonts w:eastAsiaTheme="minorEastAsia"/>
                <w:color w:themeColor="text1" w:val="000000"/>
                <w:sz w:val="24"/>
              </w:rPr>
              <w:t>5.50%</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14.38%</w:t>
            </w:r>
          </w:p>
        </w:tc>
        <w:tc>
          <w:tcPr>
            <w:vAlign w:val="center"/>
          </w:tcPr>
          <w:p>
            <w:pPr>
              <w:jc w:val="right"/>
            </w:pPr>
            <w:r>
              <w:rPr>
                <w:rFonts w:eastAsiaTheme="minorEastAsia"/>
                <w:color w:themeColor="text1" w:val="000000"/>
                <w:sz w:val="24"/>
              </w:rPr>
              <w:t>1.25%</w:t>
            </w:r>
          </w:p>
        </w:tc>
        <w:tc>
          <w:tcPr>
            <w:vAlign w:val="center"/>
          </w:tcPr>
          <w:p>
            <w:pPr>
              <w:jc w:val="right"/>
            </w:pPr>
            <w:r>
              <w:rPr>
                <w:rFonts w:eastAsiaTheme="minorEastAsia"/>
                <w:color w:themeColor="text1" w:val="000000"/>
                <w:sz w:val="24"/>
              </w:rPr>
              <w:t>9.69%</w:t>
            </w:r>
          </w:p>
        </w:tc>
        <w:tc>
          <w:tcPr>
            <w:vAlign w:val="center"/>
          </w:tcPr>
          <w:p>
            <w:pPr>
              <w:jc w:val="right"/>
            </w:pPr>
            <w:r>
              <w:rPr>
                <w:rFonts w:eastAsiaTheme="minorEastAsia"/>
                <w:color w:themeColor="text1" w:val="000000"/>
                <w:sz w:val="24"/>
              </w:rPr>
              <w:t>1.29%</w:t>
            </w:r>
          </w:p>
        </w:tc>
        <w:tc>
          <w:tcPr>
            <w:vAlign w:val="center"/>
          </w:tcPr>
          <w:p>
            <w:pPr>
              <w:jc w:val="right"/>
            </w:pPr>
            <w:r>
              <w:rPr>
                <w:rFonts w:eastAsiaTheme="minorEastAsia"/>
                <w:color w:themeColor="text1" w:val="000000"/>
                <w:sz w:val="24"/>
              </w:rPr>
              <w:t>4.69%</w:t>
            </w:r>
          </w:p>
        </w:tc>
        <w:tc>
          <w:tcPr>
            <w:vAlign w:val="center"/>
          </w:tcPr>
          <w:p>
            <w:pPr>
              <w:jc w:val="right"/>
            </w:pPr>
            <w:r>
              <w:rPr>
                <w:rFonts w:eastAsiaTheme="minorEastAsia"/>
                <w:color w:themeColor="text1" w:val="000000"/>
                <w:sz w:val="24"/>
              </w:rPr>
              <w:t>-0.04%</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易方达中证800交易型开放式指数证券投资基金发起式联接基金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937445" w:rsidR="00F84D52" w:rsidRDefault="00F84D52">
      <w:pPr>
        <w:pStyle w:val="a5"/>
        <w:snapToGrid w:val="0"/>
        <w:spacing w:line="360" w:lineRule="auto"/>
        <w:jc w:val="center"/>
        <w:rPr>
          <w:rFonts w:ascii="Times New Roman" w:hAnsi="Times New Roman"/>
          <w:sz w:val="24"/>
          <w:szCs w:val="24"/>
        </w:rPr>
      </w:pPr>
      <w:r>
        <w:rPr>
          <w:rFonts w:ascii="Times New Roman" w:hAnsi="Times New Roman"/>
          <w:sz w:val="24"/>
          <w:szCs w:val="24"/>
        </w:rPr>
        <w:t/>
      </w:r>
      <w:proofErr w:type="spellStart"/>
      <w:proofErr w:type="gramStart"/>
      <w:r>
        <w:rPr>
          <w:rFonts w:ascii="Times New Roman" w:hAnsi="Times New Roman"/>
          <w:sz w:val="24"/>
          <w:szCs w:val="24"/>
        </w:rPr>
        <w:t/>
      </w:r>
      <w:proofErr w:type="spellEnd"/>
      <w:r>
        <w:rPr>
          <w:rFonts w:ascii="Times New Roman" w:hAnsi="Times New Roman"/>
          <w:sz w:val="24"/>
          <w:szCs w:val="24"/>
        </w:rPr>
        <w:t/>
      </w:r>
      <w:proofErr w:type="gramEnd"/>
      <w:r>
        <w:rPr>
          <w:rFonts w:ascii="Times New Roman" w:hAnsi="Times New Roman"/>
          <w:sz w:val="24"/>
          <w:szCs w:val="24"/>
        </w:rPr>
        <w:t>（2019年10月21日至2020年6月30日）</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易方达中证800ETF联接发起式A</w:t>
      </w:r>
      <w:r w:rsidR="009238DB" w:rsidRPr="00B34368">
        <w:rPr>
          <w:rFonts w:eastAsiaTheme="minorEastAsia" w:hAnsiTheme="minorEastAsia"/>
          <w:color w:themeColor="text1" w:val="000000"/>
          <w:sz w:val="24"/>
        </w:rPr>
        <w:t>：</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易方达中证800ETF联接发起式C</w:t>
      </w:r>
      <w:r w:rsidRPr="00B34368">
        <w:rPr>
          <w:rFonts w:eastAsiaTheme="minorEastAsia" w:hAnsiTheme="minorEastAsia"/>
          <w:color w:themeColor="text1" w:val="000000"/>
          <w:sz w:val="24"/>
        </w:rPr>
        <w:t>：</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注：1.本基金合同于2019年10月21日生效，截至报告期末本基金合同生效未满一年。</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2.按基金合同和招募说明书的约定，本基金的建仓期为六个月，建仓期结束时各项资产配置比例符合基金合同（第十二部分二、投资范围，三、投资策略和四、投资限制）的有关约定。</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 xml:space="preserve">3.自基金合同生效至报告期末，A类基金份额净值增长率为14.46%，C类基金份额净值增长率为14.38%，同期业绩比较基准收益率为9.69%。 </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林伟斌</w:t>
            </w:r>
          </w:p>
        </w:tc>
        <w:tc>
          <w:tcPr>
            <w:vAlign w:val="center"/>
          </w:tcPr>
          <w:p>
            <w:pPr>
              <w:jc w:val="left"/>
            </w:pPr>
            <w:r>
              <w:rPr>
                <w:color w:val="000000"/>
                <w:sz w:val="24"/>
              </w:rPr>
              <w:t>本基金的基金经理、易方达中证800交易型开放式指数证券投资基金的基金经理、易方达中证红利交易型开放式指数证券投资基金的基金经理、指数投资部总经理</w:t>
            </w:r>
          </w:p>
        </w:tc>
        <w:tc>
          <w:tcPr>
            <w:vAlign w:val="center"/>
          </w:tcPr>
          <w:p>
            <w:pPr>
              <w:jc w:val="center"/>
            </w:pPr>
            <w:r>
              <w:rPr>
                <w:color w:val="000000"/>
                <w:sz w:val="24"/>
              </w:rPr>
              <w:t>2019-10-21</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博士研究生，具有基金从业资格。曾任中国金融期货交易所股份有限公司研发部研究员，易方达基金管理有限公司指数与量化投资部指数量化研究员、基金经理助理、量化基金组合部副总经理、量化策略部副总经理、指数投资部副总经理、易方达沪深300交易型开放式指数发起式证券投资基金基金经理、易方达沪深300交易型开放式指数发起式证券投资基金联接基金基金经理、易方达中证500交易型开放式指数证券投资基金基金经理、易方达黄金交易型开放式证券投资基金基金经理、易方达黄金交易型开放式证券投资基金联接基金基金经理、易方达标普医疗保健指数证券投资基金（LOF）基金经理、易方达标普500指数证券投资基金（LOF）基金经理、易方达标普生物科技指数证券投资基金（LOF）基金经理、易方达标普信息科技指数证券投资基金（LOF）基金经理、易方达纳斯达克100指数证券投资基金（LOF）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中小板指数证券投资基金（LOF）的基金经理、易方达创业板交易型开放式指数证券投资基金的基金经理、易方达深证100交易型开放式指数基金的基金经理、易方达生物科技指数分级证券投资基金的基金经理、易方达创业板交易型开放式指数证券投资基金联接基金的基金经理、易方达深证100交易型开放式指数证券投资基金联接基金的基金经理、易方达并购重组指数分级证券投资基金的基金经理、易方达银行指数分级证券投资基金的基金经理、易方达香港恒生综合小型股指数证券投资基金（LOF）的基金经理、易方达标普信息科技指数证券投资基金（LOF）的基金经理（自2018年08月11日至2020年04月22日）、易方达标普生物科技指数证券投资基金（LOF）的基金经理（自2018年08月11日至2020年04月22日）、易方达标普500指数证券投资基金（LOF）的基金经理、易方达上证中盘交易型开放式指数证券投资基金的基金经理、易方达上证中盘交易型开放式指数证券投资基金联接基金的基金经理、易方达标普医疗保健指数证券投资基金（LOF）的基金经理（自2018年08月11日至2020年04月22日）、易方达中证800交易型开放式指数证券投资基金的基金经理、易方达中证国企一带一路交易型开放式指数证券投资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2019-10-21</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本基金跟踪的标的指数为中证800指数，中证800指数由中证500和沪深300指数成份股组成，兼具成长性与价值性，综合反映中国A股市场大中小市值公司的股票价格表现。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中证800指数完全覆盖28个申万一级行业，成份股由各行业的龙头企业组成，指数走势的表现主要受国内外经济形式与市场情绪影响。年初爆发的新冠疫情给全球经济发展和人们日常生活带来了巨大的影响，股票市场也因此大幅波动。二季度，国内新冠疫情得到有效的控制和缓解，随着各行业陆续复工、复产，国内经济在系列政策的刺激和支持下逐步走向复苏，5月份全国规模以上工业企业利润总额同比增速回升转正至6.0%，6月制造业PMI升至50.9%好于市场预期。A股市场在医药生物、食品饮料、科技等板块的带动下开启了一波反弹行情。本报告期，中证800指数上涨13.79%。</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本基金为易方达中证800ETF的联接基金，主要投资于易方达中证800ETF。基金运作层面，报告期内，本基金严守基金合同认真对待投资者申购、赎回以及成份股调整事项，保障基金的正常运作。</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截至报告期末，本基金A类基金份额净值为1.1446元，本报告期份额净值增长率为16.63%，同期业绩比较基准收益率为13.08%；C类基金份额净值为1.1438元，本报告期份额净值增长率为16.60%，同期业绩比较基准收益率为13.08%。日跟踪偏离度的均值为0.06%，年化跟踪误差为1.10%，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46,325,214.42</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93.83</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2,612,691.88</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5.29</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431,205.49</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0.87</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49,369,111.79</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易方达中证800交易型开放式指数证券投资基金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46,325,214.42</w:t>
            </w:r>
          </w:p>
        </w:tc>
        <w:tc>
          <w:tcPr>
            <w:vAlign w:val="center"/>
          </w:tcPr>
          <w:p>
            <w:pPr>
              <w:jc w:val="right"/>
            </w:pPr>
            <w:r>
              <w:rPr>
                <w:rFonts w:eastAsiaTheme="minorEastAsia"/>
                <w:color w:themeColor="text1" w:val="000000"/>
                <w:sz w:val="24"/>
              </w:rPr>
              <w:t>94.74</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本基金本报告期末未持有境内股票。</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p w:rsidP="00B34368" w:rsidR="009238DB" w:rsidRDefault="000871DB"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本基金本报告期末未持有股票。</w:t>
      </w:r>
    </w:p>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widowControl/>
        <w:spacing w:line="360" w:lineRule="auto"/>
        <w:rPr>
          <w:rFonts w:eastAsiaTheme="minorEastAsia"/>
          <w:color w:themeColor="text1" w:val="000000"/>
          <w:sz w:val="24"/>
        </w:rPr>
      </w:pPr>
      <w:r>
        <w:rPr>
          <w:rFonts w:eastAsiaTheme="minorEastAsia"/>
          <w:color w:themeColor="text1" w:val="00000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widowControl/>
        <w:spacing w:line="360" w:lineRule="auto"/>
        <w:rPr>
          <w:rFonts w:eastAsiaTheme="minorEastAsia"/>
          <w:color w:themeColor="text1" w:val="000000"/>
          <w:sz w:val="24"/>
        </w:rPr>
      </w:pPr>
      <w:r>
        <w:rPr>
          <w:rFonts w:eastAsiaTheme="minorEastAsia"/>
          <w:color w:themeColor="text1" w:val="000000"/>
          <w:sz w:val="24"/>
        </w:rPr>
        <w:t>2019年11月18日，珠海市交通运输局对珠海格力电器股份有限公司违反《超限运输车辆行驶公路管理规定》第四十三条的行为作出“罚款4000元”的行政处罚决定。</w:t>
      </w:r>
    </w:p>
    <w:p>
      <w:pPr>
        <w:widowControl/>
        <w:spacing w:line="360" w:lineRule="auto"/>
        <w:rPr>
          <w:rFonts w:eastAsiaTheme="minorEastAsia"/>
          <w:color w:themeColor="text1" w:val="000000"/>
          <w:sz w:val="24"/>
        </w:rPr>
      </w:pPr>
      <w:r>
        <w:rPr>
          <w:rFonts w:eastAsiaTheme="minorEastAsia"/>
          <w:color w:themeColor="text1" w:val="000000"/>
          <w:sz w:val="24"/>
        </w:rPr>
        <w:t>2019年12月4日，珠海市交通运输局对珠海格力电器股份有限公司违反《超限运输车辆行驶公路管理规定》第四十三条的行为作出“罚款4000元”的行政处罚决定。</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招商银行、兴业银行、格力电器外，本基金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本基金本报告期末未持有股票，不存在投资的前十名股票超出基金合同规定的备选股票库情况。</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14,402.15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2,468.30</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494.90</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413,840.14</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431,205.49</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本基金本报告期末未持有股票。</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易方达中证800ETF联接发起式A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易方达中证800ETF联接发起式C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39,116,164.55</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19,585,729.94</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1,237,669.19</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3,003,311.52</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9,909,916.31</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10,307,320.33</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30,443,917.43</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12,281,721.13</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A01C74" w:rsidR="00A01C74" w:rsidRDefault="00A01C74"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A01C74" w:rsidRPr="00E90B39" w:rsidTr="004E70B7">
        <w:trPr>
          <w:trHeight w:val="248"/>
        </w:trPr>
        <w:tc>
          <w:tcPr>
            <w:tcW w:type="dxa" w:w="3167"/>
            <w:vAlign w:val="center"/>
          </w:tcPr>
          <w:p w:rsidP="00202439" w:rsidR="00A01C74" w:rsidRDefault="00A01C74"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202439" w:rsidR="00A01C74" w:rsidRDefault="00A01C74"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易方达中证800ETF联接发起式A</w:t>
            </w:r>
          </w:p>
        </w:tc>
        <w:tc>
          <w:tcPr>
            <w:tcW w:type="dxa" w:w="2631"/>
            <w:vAlign w:val="bottom"/>
          </w:tcPr>
          <w:p w:rsidP="00202439" w:rsidR="00A01C74" w:rsidRDefault="00A01C74" w:rsidRPr="00FA472B">
            <w:pPr>
              <w:jc w:val="center"/>
              <w:rPr>
                <w:sz w:val="24"/>
              </w:rPr>
            </w:pPr>
            <w:r w:rsidRPr="00FA472B">
              <w:rPr>
                <w:color w:val="000000"/>
                <w:kern w:val="0"/>
                <w:sz w:val="24"/>
              </w:rPr>
              <w:t/>
            </w:r>
            <w:r w:rsidRPr="00FA472B">
              <w:rPr>
                <w:sz w:val="24"/>
              </w:rPr>
              <w:t>易方达中证800ETF联接发起式C</w:t>
            </w:r>
          </w:p>
        </w:tc>
      </w:tr>
      <w:tr w:rsidR="00A01C74" w:rsidRPr="00E90B39" w:rsidTr="004E70B7">
        <w:trPr>
          <w:trHeight w:val="247"/>
        </w:trPr>
        <w:tc>
          <w:tcPr>
            <w:tcW w:type="dxa" w:w="3167"/>
            <w:vAlign w:val="center"/>
          </w:tcPr>
          <w:p w:rsidP="00202439" w:rsidR="00A01C74" w:rsidRDefault="00A01C74"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202439" w:rsidR="00A01C74" w:rsidRDefault="00A01C74" w:rsidRPr="00FA472B">
            <w:pPr>
              <w:jc w:val="right"/>
              <w:rPr>
                <w:sz w:val="24"/>
              </w:rPr>
            </w:pPr>
            <w:r w:rsidRPr="00FA472B">
              <w:rPr>
                <w:color w:val="000000"/>
                <w:sz w:val="24"/>
              </w:rPr>
              <w:t>10,000,000.00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202439" w:rsidR="00A01C74" w:rsidRDefault="00A01C74"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202439" w:rsidR="00A01C74" w:rsidRDefault="00A01C74" w:rsidRPr="00FA472B">
            <w:pPr>
              <w:jc w:val="right"/>
              <w:rPr>
                <w:color w:val="000000"/>
                <w:kern w:val="0"/>
                <w:sz w:val="24"/>
              </w:rPr>
            </w:pPr>
            <w:r w:rsidRPr="00FA472B">
              <w:rPr>
                <w:color w:val="000000"/>
                <w:sz w:val="24"/>
              </w:rPr>
              <w:t>32.8473</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bl>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 xml:space="preserve"> 本报告期内基金管理人未运用固有资金申购、赎回、买卖本基金份额。 </w:t>
      </w:r>
    </w:p>
    <w:p w:rsidP="00C544B8" w:rsidR="00B47574" w:rsidRDefault="006B046C" w:rsidRPr="00B34368">
      <w:pPr>
        <w:pStyle w:val="1"/>
        <w:spacing w:after="312" w:afterLines="100" w:before="312" w:beforeLines="100" w:line="360" w:lineRule="auto"/>
        <w:jc w:val="center"/>
        <w:rPr>
          <w:rFonts w:eastAsiaTheme="minorEastAsia"/>
          <w:b w:val="0"/>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w:t>
      </w:r>
      <w:r w:rsidR="00D66685"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 xml:space="preserve">8  </w:t>
      </w:r>
      <w:r w:rsidR="00EA7533" w:rsidRPr="00B34368">
        <w:rPr>
          <w:rFonts w:eastAsiaTheme="minorEastAsia" w:hAnsiTheme="minorEastAsia"/>
          <w:color w:themeColor="text1" w:val="000000"/>
          <w:kern w:val="0"/>
          <w:sz w:val="24"/>
          <w:szCs w:val="24"/>
        </w:rPr>
        <w:t>报告期末</w:t>
      </w:r>
      <w:r w:rsidR="00B47574" w:rsidRPr="00B34368">
        <w:rPr>
          <w:rFonts w:eastAsiaTheme="minorEastAsia" w:hAnsiTheme="minorEastAsia"/>
          <w:color w:themeColor="text1" w:val="000000"/>
          <w:kern w:val="0"/>
          <w:sz w:val="24"/>
          <w:szCs w:val="24"/>
        </w:rPr>
        <w:t>发起</w:t>
      </w:r>
      <w:proofErr w:type="gramStart"/>
      <w:r w:rsidR="00B47574" w:rsidRPr="00B34368">
        <w:rPr>
          <w:rFonts w:eastAsiaTheme="minorEastAsia" w:hAnsiTheme="minorEastAsia"/>
          <w:color w:themeColor="text1" w:val="000000"/>
          <w:kern w:val="0"/>
          <w:sz w:val="24"/>
          <w:szCs w:val="24"/>
        </w:rPr>
        <w:t>式基金</w:t>
      </w:r>
      <w:proofErr w:type="gramEnd"/>
      <w:r w:rsidR="00B47574" w:rsidRPr="00B34368">
        <w:rPr>
          <w:rFonts w:eastAsiaTheme="minorEastAsia" w:hAnsiTheme="minorEastAsia"/>
          <w:color w:themeColor="text1" w:val="000000"/>
          <w:kern w:val="0"/>
          <w:sz w:val="24"/>
          <w:szCs w:val="24"/>
        </w:rPr>
        <w:t>发起资金持有份额情况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2391"/>
        <w:gridCol w:w="1157"/>
        <w:gridCol w:w="1314"/>
        <w:gridCol w:w="1065"/>
        <w:gridCol w:w="1458"/>
        <w:gridCol w:w="1495"/>
      </w:tblGrid>
      <w:tr w:rsidR="00D3639B" w:rsidRPr="00B34368" w:rsidTr="004E70B7">
        <w:trPr>
          <w:trHeight w:val="543"/>
        </w:trPr>
        <w:tc>
          <w:tcPr>
            <w:tcW w:type="dxa" w:w="2391"/>
            <w:vAlign w:val="center"/>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项目</w:t>
            </w:r>
            <w:r w:rsidR="00FB6808" w:rsidRPr="00B34368">
              <w:rPr>
                <w:rFonts w:eastAsiaTheme="minorEastAsia"/>
                <w:color w:themeColor="text1" w:val="000000"/>
                <w:sz w:val="24"/>
              </w:rPr>
              <w:t/>
            </w:r>
            <w:proofErr w:type="spellStart"/>
            <w:r w:rsidR="00FB6808" w:rsidRPr="00B34368">
              <w:rPr>
                <w:rFonts w:eastAsiaTheme="minorEastAsia"/>
                <w:color w:themeColor="text1" w:val="000000"/>
                <w:sz w:val="24"/>
              </w:rPr>
              <w:t/>
            </w:r>
            <w:proofErr w:type="spellEnd"/>
            <w:r w:rsidR="00FB6808" w:rsidRPr="00B34368">
              <w:rPr>
                <w:rFonts w:eastAsiaTheme="minorEastAsia"/>
                <w:color w:themeColor="text1" w:val="000000"/>
                <w:sz w:val="24"/>
              </w:rPr>
              <w:t/>
            </w:r>
            <w:r w:rsidR="00FC60F6" w:rsidRPr="00B34368">
              <w:rPr>
                <w:rFonts w:eastAsiaTheme="minorEastAsia"/>
                <w:color w:themeColor="text1" w:val="000000"/>
                <w:sz w:val="24"/>
              </w:rPr>
              <w:t/>
            </w:r>
            <w:proofErr w:type="spellStart"/>
            <w:r w:rsidR="00FC60F6" w:rsidRPr="00B34368">
              <w:rPr>
                <w:rFonts w:eastAsiaTheme="minorEastAsia"/>
                <w:color w:themeColor="text1" w:val="000000"/>
                <w:sz w:val="24"/>
              </w:rPr>
              <w:t/>
            </w:r>
            <w:proofErr w:type="spellEnd"/>
            <w:r w:rsidR="00FC60F6" w:rsidRPr="00B34368">
              <w:rPr>
                <w:rFonts w:eastAsiaTheme="minorEastAsia"/>
                <w:color w:themeColor="text1" w:val="000000"/>
                <w:sz w:val="24"/>
              </w:rPr>
              <w:t/>
            </w:r>
          </w:p>
        </w:tc>
        <w:tc>
          <w:tcPr>
            <w:tcW w:type="dxa" w:w="1157"/>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持有份额总数</w:t>
            </w:r>
          </w:p>
        </w:tc>
        <w:tc>
          <w:tcPr>
            <w:tcW w:type="dxa" w:w="1314"/>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持有份额占基金总份额比例</w:t>
            </w:r>
          </w:p>
        </w:tc>
        <w:tc>
          <w:tcPr>
            <w:tcW w:type="dxa" w:w="1065"/>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发起份额总数</w:t>
            </w:r>
          </w:p>
        </w:tc>
        <w:tc>
          <w:tcPr>
            <w:tcW w:type="dxa" w:w="1458"/>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发起份额占基金总份额比例</w:t>
            </w:r>
          </w:p>
        </w:tc>
        <w:tc>
          <w:tcPr>
            <w:tcW w:type="dxa" w:w="1495"/>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发起份额承诺持有期限</w:t>
            </w:r>
          </w:p>
        </w:tc>
      </w:tr>
      <w:tr w:rsidR="00D3639B" w:rsidRPr="00B34368" w:rsidTr="004E70B7">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w:t>
            </w:r>
            <w:proofErr w:type="gramStart"/>
            <w:r w:rsidRPr="00B34368">
              <w:rPr>
                <w:rFonts w:eastAsiaTheme="minorEastAsia" w:hAnsiTheme="minorEastAsia"/>
                <w:color w:themeColor="text1" w:val="000000"/>
                <w:sz w:val="24"/>
              </w:rPr>
              <w:t>固有资金</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10,000,000.00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23.4052%</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10,000,000.00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23.4052%</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不少于3年</w:t>
            </w:r>
          </w:p>
        </w:tc>
      </w:tr>
      <w:tr w:rsidR="00D3639B" w:rsidRPr="00B34368" w:rsidTr="004E70B7">
        <w:trPr>
          <w:trHeight w:val="790"/>
        </w:trPr>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基金管理人高级管理人员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基金经理等人员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lastRenderedPageBreak/>
              <w:t>基金管理</w:t>
            </w:r>
            <w:proofErr w:type="gramStart"/>
            <w:r w:rsidRPr="00B34368">
              <w:rPr>
                <w:rFonts w:eastAsiaTheme="minorEastAsia" w:hAnsiTheme="minorEastAsia"/>
                <w:color w:themeColor="text1" w:val="000000"/>
                <w:sz w:val="24"/>
              </w:rPr>
              <w:t>人股东</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其他</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10,000,000.00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23.4052%</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10,000,000.00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23.4052%</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w:t>
            </w:r>
          </w:p>
        </w:tc>
      </w:tr>
    </w:tbl>
    <w:p w:rsidP="00024FB8" w:rsidR="00024FB8" w:rsidRDefault="00024FB8" w:rsidRPr="007E75F6">
      <w:pPr>
        <w:pStyle w:val="1"/>
        <w:spacing w:after="312" w:afterLines="100" w:before="312" w:beforeLines="100" w:line="360" w:lineRule="auto"/>
        <w:jc w:val="center"/>
        <w:rPr>
          <w:rFonts w:eastAsiaTheme="minorEastAsia"/>
          <w:color w:themeColor="text1" w:val="000000"/>
          <w:kern w:val="0"/>
          <w:sz w:val="24"/>
          <w:szCs w:val="24"/>
        </w:rPr>
      </w:pPr>
      <w:r w:rsidRPr="007E75F6">
        <w:rPr>
          <w:rFonts w:eastAsiaTheme="minorEastAsia"/>
          <w:color w:themeColor="text1" w:val="000000"/>
          <w:kern w:val="0"/>
          <w:sz w:val="24"/>
          <w:szCs w:val="24"/>
        </w:rPr>
        <w:t/>
      </w:r>
      <w:proofErr w:type="spellStart"/>
      <w:r w:rsidRPr="007E75F6">
        <w:rPr>
          <w:rFonts w:eastAsiaTheme="minorEastAsia"/>
          <w:color w:themeColor="text1" w:val="000000"/>
          <w:kern w:val="0"/>
          <w:sz w:val="24"/>
          <w:szCs w:val="24"/>
        </w:rPr>
        <w:t/>
      </w:r>
      <w:proofErr w:type="spellEnd"/>
      <w:r w:rsidRPr="007E75F6">
        <w:rPr>
          <w:rFonts w:eastAsiaTheme="minorEastAsia"/>
          <w:color w:themeColor="text1" w:val="000000"/>
          <w:kern w:val="0"/>
          <w:sz w:val="24"/>
          <w:szCs w:val="24"/>
        </w:rPr>
        <w:t>§9</w:t>
      </w:r>
      <w:r w:rsidR="007661B8" w:rsidRPr="00B34368">
        <w:rPr>
          <w:rFonts w:eastAsiaTheme="minorEastAsia"/>
          <w:color w:themeColor="text1" w:val="000000"/>
          <w:kern w:val="0"/>
          <w:sz w:val="24"/>
          <w:szCs w:val="24"/>
        </w:rPr>
        <w:t xml:space="preserve">  </w:t>
      </w:r>
      <w:r w:rsidRPr="007E75F6">
        <w:rPr>
          <w:rFonts w:eastAsiaTheme="minorEastAsia"/>
          <w:color w:themeColor="text1" w:val="000000"/>
          <w:kern w:val="0"/>
          <w:sz w:val="24"/>
          <w:szCs w:val="24"/>
        </w:rPr>
        <w:t>影响投资者决策的其他重要信息</w:t>
      </w:r>
    </w:p>
    <w:p w:rsidP="006D3BC4" w:rsidR="006D3BC4" w:rsidRDefault="006D3BC4"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9.1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6D3BC4" w:rsidRPr="00FC0759" w:rsidTr="00CD72D6">
        <w:trPr>
          <w:jc w:val="center"/>
        </w:trPr>
        <w:tc>
          <w:tcPr>
            <w:tcW w:type="dxa" w:w="709"/>
            <w:vMerge w:val="restart"/>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6D3BC4" w:rsidRDefault="006D3BC4"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6D3BC4" w:rsidRPr="00FC0759" w:rsidTr="00CD72D6">
        <w:trPr>
          <w:jc w:val="center"/>
        </w:trPr>
        <w:tc>
          <w:tcPr>
            <w:tcW w:type="dxa" w:w="709"/>
            <w:vMerge/>
            <w:vAlign w:val="center"/>
          </w:tcPr>
          <w:p w:rsidP="00CD72D6" w:rsidR="006D3BC4" w:rsidRDefault="006D3BC4"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2020年05月22日~2020年06月30日</w:t>
            </w:r>
          </w:p>
        </w:tc>
        <w:tc>
          <w:tcPr>
            <w:vAlign w:val="center"/>
          </w:tcPr>
          <w:p>
            <w:pPr>
              <w:jc w:val="center"/>
            </w:pPr>
            <w:r>
              <w:rPr>
                <w:sz w:val="24"/>
              </w:rPr>
              <w:t>10,000,000.00</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10,000,000.00</w:t>
            </w:r>
          </w:p>
        </w:tc>
        <w:tc>
          <w:tcPr>
            <w:vAlign w:val="center"/>
          </w:tcPr>
          <w:p>
            <w:pPr>
              <w:jc w:val="center"/>
            </w:pPr>
            <w:r>
              <w:rPr>
                <w:sz w:val="24"/>
              </w:rPr>
              <w:t>23.41%</w:t>
            </w:r>
          </w:p>
        </w:tc>
      </w:tr>
    </w:tbl>
    <w:tbl>
      <w:tblPr>
        <w:tblStyle w:val="af2"/>
        <w:tblW w:type="dxa" w:w="9637"/>
        <w:jc w:val="center"/>
        <w:tblLayout w:type="fixed"/>
        <w:tblLook w:firstColumn="1" w:firstRow="1" w:lastColumn="0" w:lastRow="0" w:noHBand="0" w:noVBand="1" w:val="04A0"/>
      </w:tblPr>
      <w:tblGrid>
        <w:gridCol w:w="9637"/>
      </w:tblGrid>
      <w:tr w:rsidR="006D3BC4" w:rsidRPr="00FC0759" w:rsidTr="00CD72D6">
        <w:trPr>
          <w:jc w:val="center"/>
        </w:trPr>
        <w:tc>
          <w:tcPr>
            <w:tcW w:type="dxa" w:w="9637"/>
            <w:vAlign w:val="center"/>
          </w:tcPr>
          <w:p w:rsidP="00782390" w:rsidR="006D3BC4" w:rsidRDefault="006D3BC4" w:rsidRPr="00FC0759">
            <w:pPr>
              <w:autoSpaceDE w:val="0"/>
              <w:autoSpaceDN w:val="0"/>
              <w:adjustRightInd w:val="0"/>
              <w:jc w:val="center"/>
              <w:rPr>
                <w:sz w:val="24"/>
              </w:rPr>
            </w:pPr>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6D3BC4" w:rsidRPr="00FC0759" w:rsidTr="00CD72D6">
        <w:trPr>
          <w:jc w:val="center"/>
        </w:trPr>
        <w:tc>
          <w:tcPr>
            <w:tcW w:type="dxa" w:w="9637"/>
            <w:vAlign w:val="center"/>
          </w:tcPr>
          <w:p w:rsidP="00CD72D6" w:rsidR="006D3BC4" w:rsidRDefault="006D3BC4"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将面临基金财产清算并终止的风险；持有基金份额占比较高的投资者在召开持有人大会并对审议事项进行投票表决时可能拥有较大话语权。</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10</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10.</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1.中国证监会准予易方达中证800交易型开放式指数证券投资基金发起式联接基金注册的文件；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2.《易方达中证800交易型开放式指数证券投资基金发起式联接基金基金合同》；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3.《易方达中证800交易型开放式指数证券投资基金发起式联接基金托管协议》；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10.2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10.3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易方达中证800交易型开放式指数证券投资基金发起式联接基金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