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易方达中证国企一带一路交易型开放式指数证券投资基金联接基金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中国建设银行股份有限公司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易方达中证国企一带一路ETF联接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007788</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2020年1月21日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33,512,640.68</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紧密跟踪业绩比较基准，追求跟踪偏离度和跟踪误差的最小化。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易方达中证国企一带一路ETF（以下简称“目标ETF”）的联接基金，主要通过投资于目标ETF实现对业绩比较基准的紧密跟踪，力争将日均跟踪偏离度控制在0.35%以内，年化跟踪误差控制在4%以内。本基金将在综合考虑合规、风险、效率、成本等因素的基础上，决定采用申购、赎回的方式或二级市场方式进行目标ETF的投资。为了更好地实现投资目标，本基金可以投资股指期货、期权和其他经中国证监会允许的衍生金融产品，如与标的指数或标的指数成份股、备选成份股相关的衍生工具，本基金将根据风险管理的原则，主要选择流动性好、交易活跃的衍生品进行交易。</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中证国企一带一路指数收益率×95%+活期存款利率（税后）×5%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ETF联接基金，预期风险与预期收益水平高于混合型基金、债券型基金与货币市场基金。本基金主要通过投资于易方达中证国企一带一路ETF实现对业绩比较基准的紧密跟踪。因此，本基金的业绩表现与中证国企一带一路指数的表现密切相关。</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中国建设银行股份有限公司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易方达中证国企一带一路ETF联接A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易方达中证国企一带一路ETF联接C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007788</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007789</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22,294,333.13</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11,218,307.55</w:t>
            </w:r>
            <w:r w:rsidR="00D305C9" w:rsidRPr="00B34368">
              <w:rPr>
                <w:rFonts w:eastAsiaTheme="minorEastAsia" w:hAnsiTheme="minorEastAsia"/>
                <w:color w:themeColor="text1" w:val="000000"/>
                <w:kern w:val="0"/>
                <w:sz w:val="24"/>
              </w:rPr>
              <w:t>份</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易方达中证国企一带一路交易型开放式指数证券投资基金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515110</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2019年11月6日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上海证券交易所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2020年1月15日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中国建设银行股份有限公司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紧密跟踪标的指数，追求跟踪偏离度和跟踪误差的最小化。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在正常市场情况下，本基金力争日均跟踪偏离度的绝对值不超过0.2%，年化跟踪误差不超过2%。</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中证国企一带一路指数收益率</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易方达中证国企一带一路ETF联接A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易方达中证国企一带一路ETF联接C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-298,598.22</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-121,382.69</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81,815.33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-8,342.36</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0.0033</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-0.0009</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22,097,389.44</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11,105,690.71</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0.9912</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0.9900</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易方达中证国企一带一路ETF联接A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0.46%</w:t>
            </w:r>
          </w:p>
        </w:tc>
        <w:tc>
          <w:tcPr>
            <w:vAlign w:val="center"/>
          </w:tcPr>
          <w:p>
            <w:pPr>
              <w:jc w:val="right"/>
            </w:pPr>
            <w:r>
              <w:rPr>
                <w:rFonts w:eastAsiaTheme="minorEastAsia"/>
                <w:color w:themeColor="text1" w:val="000000"/>
                <w:sz w:val="24"/>
              </w:rPr>
              <w:t>0.32%</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0.82%</w:t>
            </w:r>
          </w:p>
        </w:tc>
        <w:tc>
          <w:tcPr>
            <w:vAlign w:val="center"/>
          </w:tcPr>
          <w:p>
            <w:pPr>
              <w:jc w:val="right"/>
            </w:pPr>
            <w:r>
              <w:rPr>
                <w:rFonts w:eastAsiaTheme="minorEastAsia"/>
                <w:color w:themeColor="text1" w:val="000000"/>
                <w:sz w:val="24"/>
              </w:rPr>
              <w:t>1.83%</w:t>
            </w:r>
          </w:p>
        </w:tc>
        <w:tc>
          <w:tcPr>
            <w:vAlign w:val="center"/>
          </w:tcPr>
          <w:p>
            <w:pPr>
              <w:jc w:val="right"/>
            </w:pPr>
            <w:r>
              <w:rPr>
                <w:rFonts w:eastAsiaTheme="minorEastAsia"/>
                <w:color w:themeColor="text1" w:val="000000"/>
                <w:sz w:val="24"/>
              </w:rPr>
              <w:t>-0.50%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-0.88%</w:t>
            </w:r>
          </w:p>
        </w:tc>
        <w:tc>
          <w:tcPr>
            <w:vAlign w:val="center"/>
          </w:tcPr>
          <w:p>
            <w:pPr>
              <w:jc w:val="right"/>
            </w:pPr>
            <w:r>
              <w:rPr>
                <w:rFonts w:eastAsiaTheme="minorEastAsia"/>
                <w:color w:themeColor="text1" w:val="000000"/>
                <w:sz w:val="24"/>
              </w:rPr>
              <w:t>0.30%</w:t>
            </w:r>
          </w:p>
        </w:tc>
        <w:tc>
          <w:tcPr>
            <w:vAlign w:val="center"/>
          </w:tcPr>
          <w:p>
            <w:pPr>
              <w:jc w:val="right"/>
            </w:pPr>
            <w:r>
              <w:rPr>
                <w:rFonts w:eastAsiaTheme="minorEastAsia"/>
                <w:color w:themeColor="text1" w:val="000000"/>
                <w:sz w:val="24"/>
              </w:rPr>
              <w:t>-12.52%</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11.64%</w:t>
            </w:r>
          </w:p>
        </w:tc>
        <w:tc>
          <w:tcPr>
            <w:vAlign w:val="center"/>
          </w:tcPr>
          <w:p>
            <w:pPr>
              <w:jc w:val="right"/>
            </w:pPr>
            <w:r>
              <w:rPr>
                <w:rFonts w:eastAsiaTheme="minorEastAsia"/>
                <w:color w:themeColor="text1" w:val="000000"/>
                <w:sz w:val="24"/>
              </w:rPr>
              <w:t>-1.18%</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易方达中证国企一带一路ETF联接C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0.43%</w:t>
            </w:r>
          </w:p>
        </w:tc>
        <w:tc>
          <w:tcPr>
            <w:vAlign w:val="center"/>
          </w:tcPr>
          <w:p>
            <w:pPr>
              <w:jc w:val="right"/>
            </w:pPr>
            <w:r>
              <w:rPr>
                <w:rFonts w:eastAsiaTheme="minorEastAsia"/>
                <w:color w:themeColor="text1" w:val="000000"/>
                <w:sz w:val="24"/>
              </w:rPr>
              <w:t>0.32%</w:t>
            </w:r>
          </w:p>
        </w:tc>
        <w:tc>
          <w:tcPr>
            <w:vAlign w:val="center"/>
          </w:tcPr>
          <w:p>
            <w:pPr>
              <w:jc w:val="right"/>
            </w:pPr>
            <w:r>
              <w:rPr>
                <w:rFonts w:eastAsiaTheme="minorEastAsia"/>
                <w:color w:themeColor="text1" w:val="000000"/>
                <w:sz w:val="24"/>
              </w:rPr>
              <w:t>-1.37%</w:t>
            </w:r>
          </w:p>
        </w:tc>
        <w:tc>
          <w:tcPr>
            <w:vAlign w:val="center"/>
          </w:tcPr>
          <w:p>
            <w:pPr>
              <w:jc w:val="right"/>
            </w:pPr>
            <w:r>
              <w:rPr>
                <w:rFonts w:eastAsiaTheme="minorEastAsia"/>
                <w:color w:themeColor="text1" w:val="000000"/>
                <w:sz w:val="24"/>
              </w:rPr>
              <w:t>0.82%</w:t>
            </w:r>
          </w:p>
        </w:tc>
        <w:tc>
          <w:tcPr>
            <w:vAlign w:val="center"/>
          </w:tcPr>
          <w:p>
            <w:pPr>
              <w:jc w:val="right"/>
            </w:pPr>
            <w:r>
              <w:rPr>
                <w:rFonts w:eastAsiaTheme="minorEastAsia"/>
                <w:color w:themeColor="text1" w:val="000000"/>
                <w:sz w:val="24"/>
              </w:rPr>
              <w:t>1.80%</w:t>
            </w:r>
          </w:p>
        </w:tc>
        <w:tc>
          <w:tcPr>
            <w:vAlign w:val="center"/>
          </w:tcPr>
          <w:p>
            <w:pPr>
              <w:jc w:val="right"/>
            </w:pPr>
            <w:r>
              <w:rPr>
                <w:rFonts w:eastAsiaTheme="minorEastAsia"/>
                <w:color w:themeColor="text1" w:val="000000"/>
                <w:sz w:val="24"/>
              </w:rPr>
              <w:t>-0.50%</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-1.00%</w:t>
            </w:r>
          </w:p>
        </w:tc>
        <w:tc>
          <w:tcPr>
            <w:vAlign w:val="center"/>
          </w:tcPr>
          <w:p>
            <w:pPr>
              <w:jc w:val="right"/>
            </w:pPr>
            <w:r>
              <w:rPr>
                <w:rFonts w:eastAsiaTheme="minorEastAsia"/>
                <w:color w:themeColor="text1" w:val="000000"/>
                <w:sz w:val="24"/>
              </w:rPr>
              <w:t>0.30%</w:t>
            </w:r>
          </w:p>
        </w:tc>
        <w:tc>
          <w:tcPr>
            <w:vAlign w:val="center"/>
          </w:tcPr>
          <w:p>
            <w:pPr>
              <w:jc w:val="right"/>
            </w:pPr>
            <w:r>
              <w:rPr>
                <w:rFonts w:eastAsiaTheme="minorEastAsia"/>
                <w:color w:themeColor="text1" w:val="000000"/>
                <w:sz w:val="24"/>
              </w:rPr>
              <w:t>-12.52%</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11.52%</w:t>
            </w:r>
          </w:p>
        </w:tc>
        <w:tc>
          <w:tcPr>
            <w:vAlign w:val="center"/>
          </w:tcPr>
          <w:p>
            <w:pPr>
              <w:jc w:val="right"/>
            </w:pPr>
            <w:r>
              <w:rPr>
                <w:rFonts w:eastAsiaTheme="minorEastAsia"/>
                <w:color w:themeColor="text1" w:val="000000"/>
                <w:sz w:val="24"/>
              </w:rPr>
              <w:t>-1.18%</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易方达中证国企一带一路交易型开放式指数证券投资基金联接基金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937445" w:rsidR="00F84D52" w:rsidRDefault="00F84D52">
      <w:pPr>
        <w:pStyle w:val="a5"/>
        <w:snapToGrid w:val="0"/>
        <w:spacing w:line="360" w:lineRule="auto"/>
        <w:jc w:val="center"/>
        <w:rPr>
          <w:rFonts w:ascii="Times New Roman" w:hAnsi="Times New Roman"/>
          <w:sz w:val="24"/>
          <w:szCs w:val="24"/>
        </w:rPr>
      </w:pPr>
      <w:r>
        <w:rPr>
          <w:rFonts w:ascii="Times New Roman" w:hAnsi="Times New Roman"/>
          <w:sz w:val="24"/>
          <w:szCs w:val="24"/>
        </w:rPr>
        <w:t/>
      </w:r>
      <w:proofErr w:type="spellStart"/>
      <w:proofErr w:type="gramStart"/>
      <w:r>
        <w:rPr>
          <w:rFonts w:ascii="Times New Roman" w:hAnsi="Times New Roman"/>
          <w:sz w:val="24"/>
          <w:szCs w:val="24"/>
        </w:rPr>
        <w:t/>
      </w:r>
      <w:proofErr w:type="spellEnd"/>
      <w:r>
        <w:rPr>
          <w:rFonts w:ascii="Times New Roman" w:hAnsi="Times New Roman"/>
          <w:sz w:val="24"/>
          <w:szCs w:val="24"/>
        </w:rPr>
        <w:t/>
      </w:r>
      <w:proofErr w:type="gramEnd"/>
      <w:r>
        <w:rPr>
          <w:rFonts w:ascii="Times New Roman" w:hAnsi="Times New Roman"/>
          <w:sz w:val="24"/>
          <w:szCs w:val="24"/>
        </w:rPr>
        <w:t>（2020年1月21日至2020年6月30日）</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易方达中证国企一带一路ETF联接A</w:t>
      </w:r>
      <w:r w:rsidR="009238DB" w:rsidRPr="00B34368">
        <w:rPr>
          <w:rFonts w:eastAsiaTheme="minorEastAsia" w:hAnsiTheme="minorEastAsia"/>
          <w:color w:themeColor="text1" w:val="000000"/>
          <w:sz w:val="24"/>
        </w:rPr>
        <w:t>：</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易方达中证国企一带一路ETF联接C</w:t>
      </w:r>
      <w:r w:rsidRPr="00B34368">
        <w:rPr>
          <w:rFonts w:eastAsiaTheme="minorEastAsia" w:hAnsiTheme="minorEastAsia"/>
          <w:color w:themeColor="text1" w:val="000000"/>
          <w:sz w:val="24"/>
        </w:rPr>
        <w:t>：</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注：1.本基金合同于2020年1月21日生效，截至报告期末本基金合同生效未满一年。</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2.按基金合同和招募说明书的约定，自基金合同生效之日起六个月内使基金的投资组合比例符合本基金合同(第十二部分二、投资范围，三、投资策略和四、投资限制)的有关约定。本报告期本基金处于建仓期内。</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3.自基金合同生效至报告期末，A类基金份额净值增长率为-0.88%，C类基金份额净值增长率为-1.00%，同期业绩比较基准收益率为-12.52%。</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杨俊</w:t>
            </w:r>
          </w:p>
        </w:tc>
        <w:tc>
          <w:tcPr>
            <w:vAlign w:val="center"/>
          </w:tcPr>
          <w:p>
            <w:pPr>
              <w:jc w:val="left"/>
            </w:pPr>
            <w:r>
              <w:rPr>
                <w:color w:val="000000"/>
                <w:sz w:val="24"/>
              </w:rPr>
              <w:t>本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指数增强投资部总经理助理</w:t>
            </w:r>
          </w:p>
        </w:tc>
        <w:tc>
          <w:tcPr>
            <w:vAlign w:val="center"/>
          </w:tcPr>
          <w:p>
            <w:pPr>
              <w:jc w:val="center"/>
            </w:pPr>
            <w:r>
              <w:rPr>
                <w:color w:val="000000"/>
                <w:sz w:val="24"/>
              </w:rPr>
              <w:t>2020-01-21</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易方达基金管理有限公司北京分公司渠道经理、指数与量化投资部高级账户经理、解决方案部总经理助理，易方达沪深300交易型开放式指数发起式证券投资基金联接基金基金经理、易方达国企改革指数分级证券投资基金基金经理、易方达沪深300交易型开放式指数发起式证券投资基金基金经理、易方达中证500交易型开放式指数证券投资基金基金经理、易方达中证500交易型开放式指数证券投资基金发起式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中小板指数证券投资基金（LOF）的基金经理、易方达创业板交易型开放式指数证券投资基金的基金经理、易方达深证100交易型开放式指数基金的基金经理、易方达深证100交易型开放式指数证券投资基金联接基金的基金经理、易方达创业板交易型开放式指数证券投资基金联接基金的基金经理、易方达生物科技指数分级证券投资基金的基金经理、易方达并购重组指数分级证券投资基金的基金经理、易方达银行指数分级证券投资基金的基金经理、易方达香港恒生综合小型股指数证券投资基金（LOF）的基金经理、易方达标普信息科技指数证券投资基金（LOF）的基金经理（自2018年08月11日至2020年04月22日）、易方达标普生物科技指数证券投资基金（LOF）的基金经理（自2018年08月11日至2020年04月22日）、易方达标普500指数证券投资基金（LOF）的基金经理、易方达上证中盘交易型开放式指数证券投资基金的基金经理、易方达上证中盘交易型开放式指数证券投资基金联接基金的基金经理、易方达标普医疗保健指数证券投资基金（LOF）的基金经理（自2018年08月11日至2020年04月22日）、易方达中证800交易型开放式指数证券投资基金的基金经理、易方达中证800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2020-03-20</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跟踪的标的指数为中证国企一带一路指数。中证国企一带一路指数以参与一带一路建设的国企上市公司为待选样本，综合评估其市值规模、一带一路业务参与程度、盈利质量及股东回报、社会责任情况，选取其中较具代表性的100家上市公司股票构成样本股，反映受益于一带一路主题的国企上市公司股票在A股市场的整体走势。</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年初爆发的新冠疫情给全球经济发展和人们日常生活带来了巨大的影响，股票市场也因此大幅波动。二季度，国内新冠疫情得到有效的控制和缓解，随着各行业陆续复工、复产，国内经济在系列政策的刺激和支持下逐步走向复苏，5月份全国规模以上工业企业利润总额同比增速回升转正至6.0%，6月制造业PMI升至50.9%好于市场预期。A股市场在医药生物、食品饮料、科技等板块的带动下开启了一波反弹行情，中证国企一带一路指数成份股主要以传统周期股为主，二级市场表现落后于大盘。本报告期，中证国企一带一路指数下跌1.46%。</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是易方达中证国企一带一路ETF的联接基金，主要投资于易方达中证国企一带一路ETF。基金运作层面，报告期内，本基金严守基金合同认真对待投资者申购、赎回以及成份股调整事项，保障基金的正常运作，本基金仍处于建仓期，基金跟踪误差以及日均偏离度等指标仍在调整之中。</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截至报告期末，本基金A类基金份额净值为0.9912元，本报告期份额净值增长率为0.46%，同期业绩比较基准收益率为-1.37%；C类基金份额净值为0.9900元，本报告期份额净值增长率为0.43%，同期业绩比较基准收益率为-1.37%。受建仓期影响，年化跟踪误差为7.90%。</w:t>
      </w:r>
    </w:p>
    <w:p w:rsidP="00C544B8" w:rsidR="001B06D5" w:rsidRDefault="009C67A4" w:rsidRPr="00F405D4">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4.</w:t>
      </w:r>
      <w:r w:rsidR="005413D4" w:rsidRPr="00B34368">
        <w:rPr>
          <w:rFonts w:eastAsiaTheme="minorEastAsia"/>
          <w:b/>
          <w:color w:themeColor="text1" w:val="000000"/>
          <w:kern w:val="0"/>
          <w:sz w:val="24"/>
        </w:rPr>
        <w:t/>
      </w:r>
      <w:r w:rsidRPr="00B34368">
        <w:rPr>
          <w:rFonts w:eastAsiaTheme="minorEastAsia"/>
          <w:b/>
          <w:color w:themeColor="text1" w:val="000000"/>
          <w:kern w:val="0"/>
          <w:sz w:val="24"/>
        </w:rPr>
        <w:t>5</w:t>
      </w:r>
      <w:r w:rsidR="001B06D5" w:rsidRPr="00F405D4">
        <w:rPr>
          <w:rFonts w:eastAsiaTheme="minorEastAsia"/>
          <w:b/>
          <w:color w:themeColor="text1" w:val="000000"/>
          <w:kern w:val="0"/>
          <w:sz w:val="24"/>
        </w:rPr>
        <w:t>报告期内基金持有人数或基金资产净值预警说明</w:t>
      </w:r>
    </w:p>
    <w:p w:rsidP="00AF4CE4" w:rsidR="001B06D5" w:rsidRDefault="001B06D5" w:rsidRPr="00B34368">
      <w:pPr>
        <w:spacing w:line="360" w:lineRule="auto"/>
        <w:ind w:firstLine="480" w:firstLineChars="200"/>
        <w:rPr>
          <w:rFonts w:eastAsiaTheme="minorEastAsia"/>
          <w:color w:themeColor="text1" w:val="000000"/>
          <w:sz w:val="24"/>
        </w:rPr>
      </w:pPr>
      <w:r w:rsidRPr="00AF4CE4">
        <w:rPr>
          <w:rFonts w:eastAsiaTheme="minorEastAsia"/>
          <w:color w:themeColor="text1" w:val="000000"/>
          <w:sz w:val="24"/>
        </w:rPr>
        <w:t/>
      </w:r>
      <w:proofErr w:type="gramStart"/>
      <w:r w:rsidRPr="00B34368">
        <w:rPr>
          <w:rFonts w:eastAsiaTheme="minorEastAsia"/>
          <w:color w:themeColor="text1" w:val="000000"/>
          <w:sz w:val="24"/>
        </w:rPr>
        <w:t/>
      </w:r>
      <w:r w:rsidRPr="00AF4CE4">
        <w:rPr>
          <w:rFonts w:eastAsiaTheme="minorEastAsia"/>
          <w:color w:themeColor="text1" w:val="000000"/>
          <w:sz w:val="24"/>
        </w:rPr>
        <w:t/>
      </w:r>
      <w:proofErr w:type="gramEnd"/>
      <w:r w:rsidRPr="00AF4CE4">
        <w:rPr>
          <w:rFonts w:eastAsiaTheme="minorEastAsia"/>
          <w:color w:themeColor="text1" w:val="000000"/>
          <w:sz w:val="24"/>
        </w:rPr>
        <w:t>自本报告期初至2020年4月16日，2020年5月25日至2020年6月18日，本基金均存在连续二十个工作日基金资产净值低于五千万元的情形。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122,389.00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0.20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122,389.00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0.20</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28,444,800.00</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46.49</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31,705,451.98</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51.82</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912,298.52</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1.49</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61,184,939.50</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易方达中证国企一带一路交易型开放式指数证券投资基金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28,444,800.00</w:t>
            </w:r>
          </w:p>
        </w:tc>
        <w:tc>
          <w:tcPr>
            <w:vAlign w:val="center"/>
          </w:tcPr>
          <w:p>
            <w:pPr>
              <w:jc w:val="right"/>
            </w:pPr>
            <w:r>
              <w:rPr>
                <w:rFonts w:eastAsiaTheme="minorEastAsia"/>
                <w:color w:themeColor="text1" w:val="000000"/>
                <w:sz w:val="24"/>
              </w:rPr>
              <w:t>85.67</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45,370.00</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0.14</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47,779.00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0.14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13,896.00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15,344.00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0.05</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122,389.00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0.37</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002683</w:t>
            </w:r>
          </w:p>
        </w:tc>
        <w:tc>
          <w:tcPr>
            <w:vAlign w:val="center"/>
          </w:tcPr>
          <w:p>
            <w:pPr>
              <w:jc w:val="center"/>
            </w:pPr>
            <w:r>
              <w:rPr>
                <w:rFonts w:eastAsiaTheme="minorEastAsia"/>
                <w:color w:themeColor="text1" w:val="000000"/>
                <w:sz w:val="24"/>
              </w:rPr>
              <w:t>宏大爆破</w:t>
            </w:r>
          </w:p>
        </w:tc>
        <w:tc>
          <w:tcPr>
            <w:vAlign w:val="center"/>
          </w:tcPr>
          <w:p>
            <w:pPr>
              <w:jc w:val="right"/>
            </w:pPr>
            <w:r>
              <w:rPr>
                <w:rFonts w:eastAsiaTheme="minorEastAsia"/>
                <w:color w:themeColor="text1" w:val="000000"/>
                <w:sz w:val="24"/>
              </w:rPr>
              <w:t>1,300</w:t>
            </w:r>
          </w:p>
        </w:tc>
        <w:tc>
          <w:tcPr>
            <w:vAlign w:val="center"/>
          </w:tcPr>
          <w:p>
            <w:pPr>
              <w:jc w:val="right"/>
            </w:pPr>
            <w:r>
              <w:rPr>
                <w:rFonts w:eastAsiaTheme="minorEastAsia"/>
                <w:color w:themeColor="text1" w:val="000000"/>
                <w:sz w:val="24"/>
              </w:rPr>
              <w:t>45,370.00</w:t>
            </w:r>
          </w:p>
        </w:tc>
        <w:tc>
          <w:tcPr>
            <w:vAlign w:val="center"/>
          </w:tcPr>
          <w:p>
            <w:pPr>
              <w:jc w:val="right"/>
            </w:pPr>
            <w:r>
              <w:rPr>
                <w:rFonts w:eastAsiaTheme="minorEastAsia"/>
                <w:color w:themeColor="text1" w:val="000000"/>
                <w:sz w:val="24"/>
              </w:rPr>
              <w:t>0.14</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600585</w:t>
            </w:r>
          </w:p>
        </w:tc>
        <w:tc>
          <w:tcPr>
            <w:vAlign w:val="center"/>
          </w:tcPr>
          <w:p>
            <w:pPr>
              <w:jc w:val="center"/>
            </w:pPr>
            <w:r>
              <w:rPr>
                <w:rFonts w:eastAsiaTheme="minorEastAsia"/>
                <w:color w:themeColor="text1" w:val="000000"/>
                <w:sz w:val="24"/>
              </w:rPr>
              <w:t>海螺水泥</w:t>
            </w:r>
          </w:p>
        </w:tc>
        <w:tc>
          <w:tcPr>
            <w:vAlign w:val="center"/>
          </w:tcPr>
          <w:p>
            <w:pPr>
              <w:jc w:val="right"/>
            </w:pPr>
            <w:r>
              <w:rPr>
                <w:rFonts w:eastAsiaTheme="minorEastAsia"/>
                <w:color w:themeColor="text1" w:val="000000"/>
                <w:sz w:val="24"/>
              </w:rPr>
              <w:t>300</w:t>
            </w:r>
          </w:p>
        </w:tc>
        <w:tc>
          <w:tcPr>
            <w:vAlign w:val="center"/>
          </w:tcPr>
          <w:p>
            <w:pPr>
              <w:jc w:val="right"/>
            </w:pPr>
            <w:r>
              <w:rPr>
                <w:rFonts w:eastAsiaTheme="minorEastAsia"/>
                <w:color w:themeColor="text1" w:val="000000"/>
                <w:sz w:val="24"/>
              </w:rPr>
              <w:t>15,873.00</w:t>
            </w:r>
          </w:p>
        </w:tc>
        <w:tc>
          <w:tcPr>
            <w:vAlign w:val="center"/>
          </w:tcPr>
          <w:p>
            <w:pPr>
              <w:jc w:val="right"/>
            </w:pPr>
            <w:r>
              <w:rPr>
                <w:rFonts w:eastAsiaTheme="minorEastAsia"/>
                <w:color w:themeColor="text1" w:val="000000"/>
                <w:sz w:val="24"/>
              </w:rPr>
              <w:t>0.05</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600057</w:t>
            </w:r>
          </w:p>
        </w:tc>
        <w:tc>
          <w:tcPr>
            <w:vAlign w:val="center"/>
          </w:tcPr>
          <w:p>
            <w:pPr>
              <w:jc w:val="center"/>
            </w:pPr>
            <w:r>
              <w:rPr>
                <w:rFonts w:eastAsiaTheme="minorEastAsia"/>
                <w:color w:themeColor="text1" w:val="000000"/>
                <w:sz w:val="24"/>
              </w:rPr>
              <w:t>厦门象屿</w:t>
            </w:r>
          </w:p>
        </w:tc>
        <w:tc>
          <w:tcPr>
            <w:vAlign w:val="center"/>
          </w:tcPr>
          <w:p>
            <w:pPr>
              <w:jc w:val="right"/>
            </w:pPr>
            <w:r>
              <w:rPr>
                <w:rFonts w:eastAsiaTheme="minorEastAsia"/>
                <w:color w:themeColor="text1" w:val="000000"/>
                <w:sz w:val="24"/>
              </w:rPr>
              <w:t>2,800</w:t>
            </w:r>
          </w:p>
        </w:tc>
        <w:tc>
          <w:tcPr>
            <w:vAlign w:val="center"/>
          </w:tcPr>
          <w:p>
            <w:pPr>
              <w:jc w:val="right"/>
            </w:pPr>
            <w:r>
              <w:rPr>
                <w:rFonts w:eastAsiaTheme="minorEastAsia"/>
                <w:color w:themeColor="text1" w:val="000000"/>
                <w:sz w:val="24"/>
              </w:rPr>
              <w:t>15,344.00</w:t>
            </w:r>
          </w:p>
        </w:tc>
        <w:tc>
          <w:tcPr>
            <w:vAlign w:val="center"/>
          </w:tcPr>
          <w:p>
            <w:pPr>
              <w:jc w:val="right"/>
            </w:pPr>
            <w:r>
              <w:rPr>
                <w:rFonts w:eastAsiaTheme="minorEastAsia"/>
                <w:color w:themeColor="text1" w:val="000000"/>
                <w:sz w:val="24"/>
              </w:rPr>
              <w:t>0.05</w:t>
            </w:r>
          </w:p>
        </w:tc>
      </w:tr>
      <w:tr>
        <w:tc>
          <w:tcPr>
            <w:vAlign w:val="center"/>
          </w:tcPr>
          <w:p>
            <w:pPr>
              <w:jc w:val="center"/>
            </w:pPr>
            <w:r>
              <w:rPr>
                <w:rFonts w:eastAsiaTheme="minorEastAsia"/>
                <w:color w:themeColor="text1" w:val="000000"/>
                <w:sz w:val="24"/>
              </w:rPr>
              <w:t>4</w:t>
            </w:r>
          </w:p>
        </w:tc>
        <w:tc>
          <w:tcPr>
            <w:vAlign w:val="center"/>
          </w:tcPr>
          <w:p>
            <w:pPr>
              <w:jc w:val="center"/>
            </w:pPr>
            <w:r>
              <w:rPr>
                <w:rFonts w:eastAsiaTheme="minorEastAsia"/>
                <w:color w:themeColor="text1" w:val="000000"/>
                <w:sz w:val="24"/>
              </w:rPr>
              <w:t>600502</w:t>
            </w:r>
          </w:p>
        </w:tc>
        <w:tc>
          <w:tcPr>
            <w:vAlign w:val="center"/>
          </w:tcPr>
          <w:p>
            <w:pPr>
              <w:jc w:val="center"/>
            </w:pPr>
            <w:r>
              <w:rPr>
                <w:rFonts w:eastAsiaTheme="minorEastAsia"/>
                <w:color w:themeColor="text1" w:val="000000"/>
                <w:sz w:val="24"/>
              </w:rPr>
              <w:t>安徽建工</w:t>
            </w:r>
          </w:p>
        </w:tc>
        <w:tc>
          <w:tcPr>
            <w:vAlign w:val="center"/>
          </w:tcPr>
          <w:p>
            <w:pPr>
              <w:jc w:val="right"/>
            </w:pPr>
            <w:r>
              <w:rPr>
                <w:rFonts w:eastAsiaTheme="minorEastAsia"/>
                <w:color w:themeColor="text1" w:val="000000"/>
                <w:sz w:val="24"/>
              </w:rPr>
              <w:t>3,600</w:t>
            </w:r>
          </w:p>
        </w:tc>
        <w:tc>
          <w:tcPr>
            <w:vAlign w:val="center"/>
          </w:tcPr>
          <w:p>
            <w:pPr>
              <w:jc w:val="right"/>
            </w:pPr>
            <w:r>
              <w:rPr>
                <w:rFonts w:eastAsiaTheme="minorEastAsia"/>
                <w:color w:themeColor="text1" w:val="000000"/>
                <w:sz w:val="24"/>
              </w:rPr>
              <w:t>13,896.00</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5</w:t>
            </w:r>
          </w:p>
        </w:tc>
        <w:tc>
          <w:tcPr>
            <w:vAlign w:val="center"/>
          </w:tcPr>
          <w:p>
            <w:pPr>
              <w:jc w:val="center"/>
            </w:pPr>
            <w:r>
              <w:rPr>
                <w:rFonts w:eastAsiaTheme="minorEastAsia"/>
                <w:color w:themeColor="text1" w:val="000000"/>
                <w:sz w:val="24"/>
              </w:rPr>
              <w:t>601727</w:t>
            </w:r>
          </w:p>
        </w:tc>
        <w:tc>
          <w:tcPr>
            <w:vAlign w:val="center"/>
          </w:tcPr>
          <w:p>
            <w:pPr>
              <w:jc w:val="center"/>
            </w:pPr>
            <w:r>
              <w:rPr>
                <w:rFonts w:eastAsiaTheme="minorEastAsia"/>
                <w:color w:themeColor="text1" w:val="000000"/>
                <w:sz w:val="24"/>
              </w:rPr>
              <w:t>上海电气</w:t>
            </w:r>
          </w:p>
        </w:tc>
        <w:tc>
          <w:tcPr>
            <w:vAlign w:val="center"/>
          </w:tcPr>
          <w:p>
            <w:pPr>
              <w:jc w:val="right"/>
            </w:pPr>
            <w:r>
              <w:rPr>
                <w:rFonts w:eastAsiaTheme="minorEastAsia"/>
                <w:color w:themeColor="text1" w:val="000000"/>
                <w:sz w:val="24"/>
              </w:rPr>
              <w:t>2,300</w:t>
            </w:r>
          </w:p>
        </w:tc>
        <w:tc>
          <w:tcPr>
            <w:vAlign w:val="center"/>
          </w:tcPr>
          <w:p>
            <w:pPr>
              <w:jc w:val="right"/>
            </w:pPr>
            <w:r>
              <w:rPr>
                <w:rFonts w:eastAsiaTheme="minorEastAsia"/>
                <w:color w:themeColor="text1" w:val="000000"/>
                <w:sz w:val="24"/>
              </w:rPr>
              <w:t>11,592.00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6</w:t>
            </w:r>
          </w:p>
        </w:tc>
        <w:tc>
          <w:tcPr>
            <w:vAlign w:val="center"/>
          </w:tcPr>
          <w:p>
            <w:pPr>
              <w:jc w:val="center"/>
            </w:pPr>
            <w:r>
              <w:rPr>
                <w:rFonts w:eastAsiaTheme="minorEastAsia"/>
                <w:color w:themeColor="text1" w:val="000000"/>
                <w:sz w:val="24"/>
              </w:rPr>
              <w:t>600737</w:t>
            </w:r>
          </w:p>
        </w:tc>
        <w:tc>
          <w:tcPr>
            <w:vAlign w:val="center"/>
          </w:tcPr>
          <w:p>
            <w:pPr>
              <w:jc w:val="center"/>
            </w:pPr>
            <w:r>
              <w:rPr>
                <w:rFonts w:eastAsiaTheme="minorEastAsia"/>
                <w:color w:themeColor="text1" w:val="000000"/>
                <w:sz w:val="24"/>
              </w:rPr>
              <w:t>中粮糖业</w:t>
            </w:r>
          </w:p>
        </w:tc>
        <w:tc>
          <w:tcPr>
            <w:vAlign w:val="center"/>
          </w:tcPr>
          <w:p>
            <w:pPr>
              <w:jc w:val="right"/>
            </w:pPr>
            <w:r>
              <w:rPr>
                <w:rFonts w:eastAsiaTheme="minorEastAsia"/>
                <w:color w:themeColor="text1" w:val="000000"/>
                <w:sz w:val="24"/>
              </w:rPr>
              <w:t>1,400</w:t>
            </w:r>
          </w:p>
        </w:tc>
        <w:tc>
          <w:tcPr>
            <w:vAlign w:val="center"/>
          </w:tcPr>
          <w:p>
            <w:pPr>
              <w:jc w:val="right"/>
            </w:pPr>
            <w:r>
              <w:rPr>
                <w:rFonts w:eastAsiaTheme="minorEastAsia"/>
                <w:color w:themeColor="text1" w:val="000000"/>
                <w:sz w:val="24"/>
              </w:rPr>
              <w:t>10,892.00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7</w:t>
            </w:r>
          </w:p>
        </w:tc>
        <w:tc>
          <w:tcPr>
            <w:vAlign w:val="center"/>
          </w:tcPr>
          <w:p>
            <w:pPr>
              <w:jc w:val="center"/>
            </w:pPr>
            <w:r>
              <w:rPr>
                <w:rFonts w:eastAsiaTheme="minorEastAsia"/>
                <w:color w:themeColor="text1" w:val="000000"/>
                <w:sz w:val="24"/>
              </w:rPr>
              <w:t>600362</w:t>
            </w:r>
          </w:p>
        </w:tc>
        <w:tc>
          <w:tcPr>
            <w:vAlign w:val="center"/>
          </w:tcPr>
          <w:p>
            <w:pPr>
              <w:jc w:val="center"/>
            </w:pPr>
            <w:r>
              <w:rPr>
                <w:rFonts w:eastAsiaTheme="minorEastAsia"/>
                <w:color w:themeColor="text1" w:val="000000"/>
                <w:sz w:val="24"/>
              </w:rPr>
              <w:t>江西铜业</w:t>
            </w:r>
          </w:p>
        </w:tc>
        <w:tc>
          <w:tcPr>
            <w:vAlign w:val="center"/>
          </w:tcPr>
          <w:p>
            <w:pPr>
              <w:jc w:val="right"/>
            </w:pPr>
            <w:r>
              <w:rPr>
                <w:rFonts w:eastAsiaTheme="minorEastAsia"/>
                <w:color w:themeColor="text1" w:val="000000"/>
                <w:sz w:val="24"/>
              </w:rPr>
              <w:t>700</w:t>
            </w:r>
          </w:p>
        </w:tc>
        <w:tc>
          <w:tcPr>
            <w:vAlign w:val="center"/>
          </w:tcPr>
          <w:p>
            <w:pPr>
              <w:jc w:val="right"/>
            </w:pPr>
            <w:r>
              <w:rPr>
                <w:rFonts w:eastAsiaTheme="minorEastAsia"/>
                <w:color w:themeColor="text1" w:val="000000"/>
                <w:sz w:val="24"/>
              </w:rPr>
              <w:t>9,422.00</w:t>
            </w:r>
          </w:p>
        </w:tc>
        <w:tc>
          <w:tcPr>
            <w:vAlign w:val="center"/>
          </w:tcPr>
          <w:p>
            <w:pPr>
              <w:jc w:val="right"/>
            </w:pPr>
            <w:r>
              <w:rPr>
                <w:rFonts w:eastAsiaTheme="minorEastAsia"/>
                <w:color w:themeColor="text1" w:val="000000"/>
                <w:sz w:val="24"/>
              </w:rPr>
              <w:t>0.03</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2019年8月7日，江西省交通建设工程质量监督管理局对中国建筑股份有限公司违反交通法规的行为罚款五万元。</w:t>
      </w:r>
    </w:p>
    <w:p>
      <w:pPr>
        <w:widowControl/>
        <w:spacing w:line="360" w:lineRule="auto"/>
        <w:rPr>
          <w:rFonts w:eastAsiaTheme="minorEastAsia"/>
          <w:color w:themeColor="text1" w:val="000000"/>
          <w:sz w:val="24"/>
        </w:rPr>
      </w:pPr>
      <w:r>
        <w:rPr>
          <w:rFonts w:eastAsiaTheme="minorEastAsia"/>
          <w:color w:themeColor="text1" w:val="000000"/>
          <w:sz w:val="24"/>
        </w:rPr>
        <w:t>2019年9月28日，深圳市住房和建设局对中国建筑股份有限公司违反“《中华人民共和国安全生产法》第三十八条第一款”的行为作出罚款50000元的处罚。</w:t>
      </w:r>
    </w:p>
    <w:p>
      <w:pPr>
        <w:widowControl/>
        <w:spacing w:line="360" w:lineRule="auto"/>
        <w:rPr>
          <w:rFonts w:eastAsiaTheme="minorEastAsia"/>
          <w:color w:themeColor="text1" w:val="000000"/>
          <w:sz w:val="24"/>
        </w:rPr>
      </w:pPr>
      <w:r>
        <w:rPr>
          <w:rFonts w:eastAsiaTheme="minorEastAsia"/>
          <w:color w:themeColor="text1" w:val="000000"/>
          <w:sz w:val="24"/>
        </w:rPr>
        <w:t>2019年11月4日，国家税务总局北京市海淀区税务局对中国建筑股份有限公司未依法履行职责的行为进行罚款。</w:t>
      </w:r>
    </w:p>
    <w:p>
      <w:pPr>
        <w:widowControl/>
        <w:spacing w:line="360" w:lineRule="auto"/>
        <w:rPr>
          <w:rFonts w:eastAsiaTheme="minorEastAsia"/>
          <w:color w:themeColor="text1" w:val="000000"/>
          <w:sz w:val="24"/>
        </w:rPr>
      </w:pPr>
      <w:r>
        <w:rPr>
          <w:rFonts w:eastAsiaTheme="minorEastAsia"/>
          <w:color w:themeColor="text1" w:val="000000"/>
          <w:sz w:val="24"/>
        </w:rPr>
        <w:t>2020年3月19日，西安市人力资源和社会保障局对中国建筑股份有限公司违反“《西安市农民工工资保障办法》第二十三条第一项”的行为作出罚款10000元的处罚。</w:t>
      </w:r>
    </w:p>
    <w:p>
      <w:pPr>
        <w:widowControl/>
        <w:spacing w:line="360" w:lineRule="auto"/>
        <w:rPr>
          <w:rFonts w:eastAsiaTheme="minorEastAsia"/>
          <w:color w:themeColor="text1" w:val="000000"/>
          <w:sz w:val="24"/>
        </w:rPr>
      </w:pPr>
      <w:r>
        <w:rPr>
          <w:rFonts w:eastAsiaTheme="minorEastAsia"/>
          <w:color w:themeColor="text1" w:val="000000"/>
          <w:sz w:val="24"/>
        </w:rPr>
        <w:t>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widowControl/>
        <w:spacing w:line="360" w:lineRule="auto"/>
        <w:rPr>
          <w:rFonts w:eastAsiaTheme="minorEastAsia"/>
          <w:color w:themeColor="text1" w:val="000000"/>
          <w:sz w:val="24"/>
        </w:rPr>
      </w:pPr>
      <w:r>
        <w:rPr>
          <w:rFonts w:eastAsiaTheme="minorEastAsia"/>
          <w:color w:themeColor="text1" w:val="000000"/>
          <w:sz w:val="24"/>
        </w:rPr>
        <w:t>本基金为目标ETF的联接基金，上述股票系标的指数成份股，上述股票的投资决策程序符合公司投资制度的规定。除中国建筑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2,509.41</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231,120.00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7,368.46</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36,077.15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635,223.50</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912,298.52</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本基金本报告期末前十名股票中不存在流通受限情况。</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易方达中证国企一带一路ETF联接A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易方达中证国企一带一路ETF联接C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21,131,499.39</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1,282,455.44</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10,974,703.35</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51,220,578.83</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9,811,869.61</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41,284,726.72</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22,294,333.13</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11,218,307.55</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A01C74" w:rsidR="00A01C74" w:rsidRDefault="00A01C74"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A01C74" w:rsidRPr="00E90B39" w:rsidTr="004E70B7">
        <w:trPr>
          <w:trHeight w:val="248"/>
        </w:trPr>
        <w:tc>
          <w:tcPr>
            <w:tcW w:type="dxa" w:w="3167"/>
            <w:vAlign w:val="center"/>
          </w:tcPr>
          <w:p w:rsidP="00202439" w:rsidR="00A01C74" w:rsidRDefault="00A01C74"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202439" w:rsidR="00A01C74" w:rsidRDefault="00A01C74"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易方达中证国企一带一路ETF联接A</w:t>
            </w:r>
          </w:p>
        </w:tc>
        <w:tc>
          <w:tcPr>
            <w:tcW w:type="dxa" w:w="2631"/>
            <w:vAlign w:val="bottom"/>
          </w:tcPr>
          <w:p w:rsidP="00202439" w:rsidR="00A01C74" w:rsidRDefault="00A01C74" w:rsidRPr="00FA472B">
            <w:pPr>
              <w:jc w:val="center"/>
              <w:rPr>
                <w:sz w:val="24"/>
              </w:rPr>
            </w:pPr>
            <w:r w:rsidRPr="00FA472B">
              <w:rPr>
                <w:color w:val="000000"/>
                <w:kern w:val="0"/>
                <w:sz w:val="24"/>
              </w:rPr>
              <w:t/>
            </w:r>
            <w:r w:rsidRPr="00FA472B">
              <w:rPr>
                <w:sz w:val="24"/>
              </w:rPr>
              <w:t>易方达中证国企一带一路ETF联接C</w:t>
            </w:r>
          </w:p>
        </w:tc>
      </w:tr>
      <w:tr w:rsidR="00A01C74" w:rsidRPr="00E90B39" w:rsidTr="004E70B7">
        <w:trPr>
          <w:trHeight w:val="247"/>
        </w:trPr>
        <w:tc>
          <w:tcPr>
            <w:tcW w:type="dxa" w:w="3167"/>
            <w:vAlign w:val="center"/>
          </w:tcPr>
          <w:p w:rsidP="00202439" w:rsidR="00A01C74" w:rsidRDefault="00A01C74"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202439" w:rsidR="00A01C74" w:rsidRDefault="00A01C74" w:rsidRPr="00FA472B">
            <w:pPr>
              <w:jc w:val="right"/>
              <w:rPr>
                <w:sz w:val="24"/>
              </w:rPr>
            </w:pPr>
            <w:r w:rsidRPr="00FA472B">
              <w:rPr>
                <w:color w:val="000000"/>
                <w:sz w:val="24"/>
              </w:rPr>
              <w:t>-</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10,072,529.47</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202439" w:rsidR="00A01C74" w:rsidRDefault="00A01C74"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202439" w:rsidR="00A01C74" w:rsidRDefault="00A01C74"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10,072,529.47</w:t>
            </w:r>
          </w:p>
        </w:tc>
        <w:tc>
          <w:tcPr>
            <w:tcW w:type="dxa" w:w="2631"/>
            <w:vAlign w:val="center"/>
          </w:tcPr>
          <w:p w:rsidP="00202439" w:rsidR="00A01C74" w:rsidRDefault="00A01C74" w:rsidRPr="00FA472B">
            <w:pPr>
              <w:jc w:val="right"/>
              <w:rPr>
                <w:sz w:val="24"/>
              </w:rPr>
            </w:pPr>
            <w:r w:rsidRPr="00FA472B">
              <w:rPr>
                <w:color w:val="000000"/>
                <w:sz w:val="24"/>
              </w:rPr>
              <w:t>-</w:t>
            </w:r>
          </w:p>
        </w:tc>
      </w:tr>
      <w:tr w:rsidR="00A01C74" w:rsidRPr="00E90B39" w:rsidTr="004E70B7">
        <w:tc>
          <w:tcPr>
            <w:tcW w:type="dxa" w:w="3167"/>
            <w:vAlign w:val="center"/>
          </w:tcPr>
          <w:p w:rsidP="00202439" w:rsidR="00A01C74" w:rsidRDefault="00A01C74"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202439" w:rsidR="00A01C74" w:rsidRDefault="00A01C74" w:rsidRPr="00FA472B">
            <w:pPr>
              <w:jc w:val="right"/>
              <w:rPr>
                <w:color w:val="000000"/>
                <w:kern w:val="0"/>
                <w:sz w:val="24"/>
              </w:rPr>
            </w:pPr>
            <w:r w:rsidRPr="00FA472B">
              <w:rPr>
                <w:color w:val="000000"/>
                <w:sz w:val="24"/>
              </w:rPr>
              <w:t>45.1798</w:t>
            </w:r>
          </w:p>
        </w:tc>
        <w:tc>
          <w:tcPr>
            <w:tcW w:type="dxa" w:w="2631"/>
            <w:vAlign w:val="center"/>
          </w:tcPr>
          <w:p w:rsidP="00202439" w:rsidR="00A01C74" w:rsidRDefault="00A01C74" w:rsidRPr="00FA472B">
            <w:pPr>
              <w:jc w:val="right"/>
              <w:rPr>
                <w:color w:val="000000"/>
                <w:kern w:val="0"/>
                <w:sz w:val="24"/>
              </w:rPr>
            </w:pPr>
            <w:r w:rsidRPr="00FA472B">
              <w:rPr>
                <w:color w:val="000000"/>
                <w:sz w:val="24"/>
              </w:rPr>
              <w:t>-</w:t>
            </w:r>
          </w:p>
        </w:tc>
      </w:tr>
    </w:tbl>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tbl>
      <w:tblPr>
        <w:tblW w:type="dxa" w:w="92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1070"/>
        <w:gridCol w:w="1851"/>
        <w:gridCol w:w="1370"/>
        <w:gridCol w:w="1701"/>
        <w:gridCol w:w="1842"/>
        <w:gridCol w:w="1397"/>
      </w:tblGrid>
      <w:tr w:rsidR="00D3639B" w:rsidRPr="00B34368" w:rsidTr="00975D18">
        <w:trPr>
          <w:trHeight w:val="340"/>
        </w:trPr>
        <w:tc>
          <w:tcPr>
            <w:tcW w:type="dxa" w:w="1070"/>
            <w:vAlign w:val="center"/>
          </w:tcPr>
          <w:p w:rsidP="00532DB7" w:rsidR="00617125" w:rsidRDefault="00617125" w:rsidRPr="00B34368">
            <w:pPr>
              <w:pStyle w:val="ac"/>
              <w:adjustRightInd w:val="0"/>
              <w:snapToGrid w:val="0"/>
              <w:spacing w:line="360" w:lineRule="exact"/>
              <w:jc w:val="center"/>
              <w:rPr>
                <w:rFonts w:eastAsiaTheme="minorEastAsia"/>
                <w:color w:themeColor="text1" w:val="000000"/>
                <w:kern w:val="0"/>
                <w:szCs w:val="24"/>
              </w:rPr>
            </w:pPr>
            <w:r w:rsidRPr="00B34368">
              <w:rPr>
                <w:rFonts w:eastAsiaTheme="minorEastAsia" w:hAnsiTheme="minorEastAsia"/>
                <w:color w:themeColor="text1" w:val="000000"/>
                <w:kern w:val="0"/>
                <w:szCs w:val="24"/>
              </w:rPr>
              <w:t>序号</w:t>
            </w:r>
            <w:r w:rsidRPr="00B34368">
              <w:rPr>
                <w:rFonts w:eastAsiaTheme="minorEastAsia"/>
                <w:color w:themeColor="text1" w:val="000000"/>
                <w:kern w:val="0"/>
                <w:szCs w:val="24"/>
              </w:rPr>
              <w:t/>
            </w:r>
            <w:proofErr w:type="spellStart"/>
            <w:r w:rsidRPr="00B34368">
              <w:rPr>
                <w:rFonts w:eastAsiaTheme="minorEastAsia"/>
                <w:color w:themeColor="text1" w:val="000000"/>
                <w:kern w:val="0"/>
                <w:szCs w:val="24"/>
              </w:rPr>
              <w:t/>
            </w:r>
            <w:proofErr w:type="spellEnd"/>
            <w:r w:rsidRPr="00B34368">
              <w:rPr>
                <w:rFonts w:eastAsiaTheme="minorEastAsia"/>
                <w:color w:themeColor="text1" w:val="000000"/>
                <w:kern w:val="0"/>
                <w:szCs w:val="24"/>
              </w:rPr>
              <w:t/>
            </w:r>
            <w:proofErr w:type="spellStart"/>
            <w:r w:rsidRPr="00B34368">
              <w:rPr>
                <w:rFonts w:eastAsiaTheme="minorEastAsia"/>
                <w:color w:themeColor="text1" w:val="000000"/>
                <w:kern w:val="0"/>
                <w:szCs w:val="24"/>
              </w:rPr>
              <w:t/>
            </w:r>
            <w:proofErr w:type="spellEnd"/>
            <w:r w:rsidRPr="00B34368">
              <w:rPr>
                <w:rFonts w:eastAsiaTheme="minorEastAsia"/>
                <w:color w:themeColor="text1" w:val="000000"/>
                <w:kern w:val="0"/>
                <w:szCs w:val="24"/>
              </w:rPr>
              <w:t/>
            </w:r>
          </w:p>
        </w:tc>
        <w:tc>
          <w:tcPr>
            <w:tcW w:type="dxa" w:w="1851"/>
          </w:tcPr>
          <w:p w:rsidP="00532DB7" w:rsidR="00617125" w:rsidRDefault="00617125" w:rsidRPr="00B34368">
            <w:pPr>
              <w:adjustRightInd w:val="0"/>
              <w:snapToGrid w:val="0"/>
              <w:spacing w:line="360" w:lineRule="exact"/>
              <w:jc w:val="center"/>
              <w:rPr>
                <w:rFonts w:eastAsiaTheme="minorEastAsia"/>
                <w:color w:themeColor="text1" w:val="000000"/>
                <w:kern w:val="0"/>
                <w:sz w:val="24"/>
              </w:rPr>
            </w:pPr>
            <w:r w:rsidRPr="00B34368">
              <w:rPr>
                <w:rFonts w:eastAsiaTheme="minorEastAsia" w:hAnsiTheme="minorEastAsia"/>
                <w:color w:themeColor="text1" w:val="000000"/>
                <w:kern w:val="0"/>
                <w:sz w:val="24"/>
              </w:rPr>
              <w:t>交易方式</w:t>
            </w:r>
          </w:p>
        </w:tc>
        <w:tc>
          <w:tcPr>
            <w:tcW w:type="dxa" w:w="1370"/>
          </w:tcPr>
          <w:p w:rsidP="00532DB7" w:rsidR="00617125" w:rsidRDefault="00617125" w:rsidRPr="00B34368">
            <w:pPr>
              <w:adjustRightInd w:val="0"/>
              <w:snapToGrid w:val="0"/>
              <w:spacing w:line="360" w:lineRule="exact"/>
              <w:rPr>
                <w:rFonts w:eastAsiaTheme="minorEastAsia"/>
                <w:color w:themeColor="text1" w:val="000000"/>
                <w:kern w:val="0"/>
                <w:sz w:val="24"/>
              </w:rPr>
            </w:pPr>
            <w:r w:rsidRPr="00B34368">
              <w:rPr>
                <w:rFonts w:eastAsiaTheme="minorEastAsia" w:hAnsiTheme="minorEastAsia"/>
                <w:color w:themeColor="text1" w:val="000000"/>
                <w:kern w:val="0"/>
                <w:sz w:val="24"/>
              </w:rPr>
              <w:t>交易日期</w:t>
            </w:r>
          </w:p>
        </w:tc>
        <w:tc>
          <w:tcPr>
            <w:tcW w:type="dxa" w:w="1701"/>
          </w:tcPr>
          <w:p w:rsidP="00532DB7" w:rsidR="00617125" w:rsidRDefault="00617125" w:rsidRPr="00B34368">
            <w:pPr>
              <w:adjustRightInd w:val="0"/>
              <w:snapToGrid w:val="0"/>
              <w:spacing w:line="360" w:lineRule="exact"/>
              <w:jc w:val="center"/>
              <w:rPr>
                <w:rFonts w:eastAsiaTheme="minorEastAsia"/>
                <w:color w:themeColor="text1" w:val="000000"/>
                <w:kern w:val="0"/>
                <w:sz w:val="24"/>
              </w:rPr>
            </w:pPr>
            <w:r w:rsidRPr="00B34368">
              <w:rPr>
                <w:rFonts w:eastAsiaTheme="minorEastAsia" w:hAnsiTheme="minorEastAsia"/>
                <w:color w:themeColor="text1" w:val="000000"/>
                <w:kern w:val="0"/>
                <w:sz w:val="24"/>
              </w:rPr>
              <w:t>交易份额（份）</w:t>
            </w:r>
          </w:p>
        </w:tc>
        <w:tc>
          <w:tcPr>
            <w:tcW w:type="dxa" w:w="1842"/>
          </w:tcPr>
          <w:p w:rsidP="00532DB7" w:rsidR="00617125" w:rsidRDefault="00617125" w:rsidRPr="00B34368">
            <w:pPr>
              <w:adjustRightInd w:val="0"/>
              <w:snapToGrid w:val="0"/>
              <w:spacing w:line="360" w:lineRule="exact"/>
              <w:jc w:val="center"/>
              <w:rPr>
                <w:rFonts w:eastAsiaTheme="minorEastAsia"/>
                <w:color w:themeColor="text1" w:val="000000"/>
                <w:kern w:val="0"/>
                <w:sz w:val="24"/>
              </w:rPr>
            </w:pPr>
            <w:r w:rsidRPr="00B34368">
              <w:rPr>
                <w:rFonts w:eastAsiaTheme="minorEastAsia" w:hAnsiTheme="minorEastAsia"/>
                <w:color w:themeColor="text1" w:val="000000"/>
                <w:kern w:val="0"/>
                <w:sz w:val="24"/>
              </w:rPr>
              <w:t>交易金额（元）</w:t>
            </w:r>
          </w:p>
        </w:tc>
        <w:tc>
          <w:tcPr>
            <w:tcW w:type="dxa" w:w="1397"/>
            <w:vAlign w:val="center"/>
          </w:tcPr>
          <w:p w:rsidP="00532DB7" w:rsidR="00617125" w:rsidRDefault="00617125" w:rsidRPr="00B34368">
            <w:pPr>
              <w:adjustRightInd w:val="0"/>
              <w:snapToGrid w:val="0"/>
              <w:spacing w:line="360" w:lineRule="exact"/>
              <w:jc w:val="center"/>
              <w:rPr>
                <w:rFonts w:eastAsiaTheme="minorEastAsia"/>
                <w:color w:themeColor="text1" w:val="000000"/>
                <w:kern w:val="0"/>
                <w:sz w:val="24"/>
              </w:rPr>
            </w:pPr>
            <w:r w:rsidRPr="00B34368">
              <w:rPr>
                <w:rFonts w:eastAsiaTheme="minorEastAsia" w:hAnsiTheme="minorEastAsia"/>
                <w:color w:themeColor="text1" w:val="000000"/>
                <w:kern w:val="0"/>
                <w:sz w:val="24"/>
              </w:rPr>
              <w:t>适用费率</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申购</w:t>
            </w:r>
          </w:p>
        </w:tc>
        <w:tc>
          <w:tcPr>
            <w:vAlign w:val="center"/>
          </w:tcPr>
          <w:p>
            <w:pPr>
              <w:jc w:val="center"/>
            </w:pPr>
            <w:r>
              <w:rPr>
                <w:rFonts w:eastAsiaTheme="minorEastAsia"/>
                <w:color w:themeColor="text1" w:val="000000"/>
                <w:sz w:val="24"/>
              </w:rPr>
              <w:t>2020-04-15</w:t>
            </w:r>
          </w:p>
        </w:tc>
        <w:tc>
          <w:tcPr>
            <w:vAlign w:val="center"/>
          </w:tcPr>
          <w:p>
            <w:pPr>
              <w:jc w:val="right"/>
            </w:pPr>
            <w:r>
              <w:rPr>
                <w:rFonts w:eastAsiaTheme="minorEastAsia"/>
                <w:color w:themeColor="text1" w:val="000000"/>
                <w:sz w:val="24"/>
              </w:rPr>
              <w:t>10,072,529.47</w:t>
            </w:r>
          </w:p>
        </w:tc>
        <w:tc>
          <w:tcPr>
            <w:vAlign w:val="center"/>
          </w:tcPr>
          <w:p>
            <w:pPr>
              <w:jc w:val="right"/>
            </w:pPr>
            <w:r>
              <w:rPr>
                <w:rFonts w:eastAsiaTheme="minorEastAsia"/>
                <w:color w:themeColor="text1" w:val="000000"/>
                <w:sz w:val="24"/>
              </w:rPr>
              <w:t>9,999,000.00</w:t>
            </w:r>
          </w:p>
        </w:tc>
        <w:tc>
          <w:tcPr>
            <w:vAlign w:val="center"/>
          </w:tcPr>
          <w:p>
            <w:pPr>
              <w:jc w:val="right"/>
            </w:pPr>
            <w:r>
              <w:rPr>
                <w:rFonts w:eastAsiaTheme="minorEastAsia"/>
                <w:color w:themeColor="text1" w:val="000000"/>
                <w:sz w:val="24"/>
              </w:rPr>
              <w:t>-</w:t>
            </w:r>
          </w:p>
        </w:tc>
      </w:tr>
      <w:tr w:rsidR="00D3639B" w:rsidRPr="00B34368" w:rsidTr="00975D18">
        <w:trPr>
          <w:trHeight w:val="340"/>
        </w:trPr>
        <w:tc>
          <w:tcPr>
            <w:tcW w:type="dxa" w:w="1070"/>
            <w:vAlign w:val="center"/>
          </w:tcPr>
          <w:p w:rsidP="00532DB7" w:rsidR="00617125" w:rsidRDefault="00617125" w:rsidRPr="00B34368">
            <w:pPr>
              <w:pStyle w:val="ac"/>
              <w:adjustRightInd w:val="0"/>
              <w:snapToGrid w:val="0"/>
              <w:spacing w:line="360" w:lineRule="exact"/>
              <w:jc w:val="center"/>
              <w:rPr>
                <w:rFonts w:eastAsiaTheme="minorEastAsia"/>
                <w:color w:themeColor="text1" w:val="000000"/>
                <w:kern w:val="0"/>
                <w:szCs w:val="24"/>
              </w:rPr>
            </w:pPr>
            <w:r w:rsidRPr="00B34368">
              <w:rPr>
                <w:rFonts w:eastAsiaTheme="minorEastAsia" w:hAnsiTheme="minorEastAsia"/>
                <w:color w:themeColor="text1" w:val="000000"/>
                <w:kern w:val="0"/>
                <w:szCs w:val="24"/>
              </w:rPr>
              <w:lastRenderedPageBreak/>
              <w:t>合计</w:t>
            </w:r>
          </w:p>
        </w:tc>
        <w:tc>
          <w:tcPr>
            <w:tcW w:type="dxa" w:w="1851"/>
          </w:tcPr>
          <w:p w:rsidP="00532DB7" w:rsidR="00617125" w:rsidRDefault="00617125" w:rsidRPr="00B34368">
            <w:pPr>
              <w:adjustRightInd w:val="0"/>
              <w:snapToGrid w:val="0"/>
              <w:spacing w:line="360" w:lineRule="exact"/>
              <w:jc w:val="right"/>
              <w:rPr>
                <w:rFonts w:eastAsiaTheme="minorEastAsia"/>
                <w:color w:themeColor="text1" w:val="000000"/>
                <w:kern w:val="0"/>
                <w:sz w:val="24"/>
              </w:rPr>
            </w:pPr>
          </w:p>
        </w:tc>
        <w:tc>
          <w:tcPr>
            <w:tcW w:type="dxa" w:w="1370"/>
          </w:tcPr>
          <w:p w:rsidP="00532DB7" w:rsidR="00617125" w:rsidRDefault="00617125" w:rsidRPr="00B34368">
            <w:pPr>
              <w:adjustRightInd w:val="0"/>
              <w:snapToGrid w:val="0"/>
              <w:spacing w:line="360" w:lineRule="exact"/>
              <w:jc w:val="right"/>
              <w:rPr>
                <w:rFonts w:eastAsiaTheme="minorEastAsia"/>
                <w:color w:themeColor="text1" w:val="000000"/>
                <w:kern w:val="0"/>
                <w:sz w:val="24"/>
              </w:rPr>
            </w:pPr>
          </w:p>
        </w:tc>
        <w:tc>
          <w:tcPr>
            <w:tcW w:type="dxa" w:w="1701"/>
          </w:tcPr>
          <w:p w:rsidP="00532DB7" w:rsidR="00617125" w:rsidRDefault="00617125" w:rsidRPr="00B34368">
            <w:pPr>
              <w:adjustRightInd w:val="0"/>
              <w:snapToGrid w:val="0"/>
              <w:spacing w:line="360" w:lineRule="exact"/>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10,072,529.47</w:t>
            </w:r>
          </w:p>
        </w:tc>
        <w:tc>
          <w:tcPr>
            <w:tcW w:type="dxa" w:w="1842"/>
          </w:tcPr>
          <w:p w:rsidP="00532DB7" w:rsidR="00617125" w:rsidRDefault="00617125" w:rsidRPr="00B34368">
            <w:pPr>
              <w:adjustRightInd w:val="0"/>
              <w:snapToGrid w:val="0"/>
              <w:spacing w:line="360" w:lineRule="exact"/>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9,999,000.00</w:t>
            </w:r>
          </w:p>
        </w:tc>
        <w:tc>
          <w:tcPr>
            <w:tcW w:type="dxa" w:w="1397"/>
            <w:vAlign w:val="center"/>
          </w:tcPr>
          <w:p w:rsidP="00532DB7" w:rsidR="00617125" w:rsidRDefault="00617125" w:rsidRPr="00B34368">
            <w:pPr>
              <w:adjustRightInd w:val="0"/>
              <w:snapToGrid w:val="0"/>
              <w:spacing w:line="360" w:lineRule="exact"/>
              <w:jc w:val="right"/>
              <w:rPr>
                <w:rFonts w:eastAsiaTheme="minorEastAsia"/>
                <w:color w:themeColor="text1" w:val="000000"/>
                <w:kern w:val="0"/>
                <w:sz w:val="24"/>
              </w:rPr>
            </w:pPr>
          </w:p>
        </w:tc>
      </w:tr>
    </w:tbl>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注：按照基金合同等相关法律文件的规定，该笔交易费用为1000元。</w:t>
      </w:r>
    </w:p>
    <w:p w:rsidP="00024FB8" w:rsidR="00024FB8" w:rsidRDefault="00024FB8" w:rsidRPr="007E75F6">
      <w:pPr>
        <w:pStyle w:val="1"/>
        <w:spacing w:after="312" w:afterLines="100" w:before="312" w:beforeLines="100" w:line="360" w:lineRule="auto"/>
        <w:jc w:val="center"/>
        <w:rPr>
          <w:rFonts w:eastAsiaTheme="minorEastAsia"/>
          <w:color w:themeColor="text1" w:val="000000"/>
          <w:kern w:val="0"/>
          <w:sz w:val="24"/>
          <w:szCs w:val="24"/>
        </w:rPr>
      </w:pPr>
      <w:r w:rsidRPr="007E75F6">
        <w:rPr>
          <w:rFonts w:eastAsiaTheme="minorEastAsia"/>
          <w:color w:themeColor="text1" w:val="000000"/>
          <w:kern w:val="0"/>
          <w:sz w:val="24"/>
          <w:szCs w:val="24"/>
        </w:rPr>
        <w:t/>
      </w:r>
      <w:proofErr w:type="spellStart"/>
      <w:r w:rsidRPr="007E75F6">
        <w:rPr>
          <w:rFonts w:eastAsiaTheme="minorEastAsia"/>
          <w:color w:themeColor="text1" w:val="000000"/>
          <w:kern w:val="0"/>
          <w:sz w:val="24"/>
          <w:szCs w:val="24"/>
        </w:rPr>
        <w:t/>
      </w:r>
      <w:proofErr w:type="spellEnd"/>
      <w:r w:rsidRPr="007E75F6">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7E75F6">
        <w:rPr>
          <w:rFonts w:eastAsiaTheme="minorEastAsia"/>
          <w:color w:themeColor="text1" w:val="000000"/>
          <w:kern w:val="0"/>
          <w:sz w:val="24"/>
          <w:szCs w:val="24"/>
        </w:rPr>
        <w:t>影响投资者决策的其他重要信息</w:t>
      </w:r>
    </w:p>
    <w:p w:rsidP="006D3BC4" w:rsidR="006D3BC4" w:rsidRDefault="006D3BC4"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6D3BC4" w:rsidRPr="00FC0759" w:rsidTr="00CD72D6">
        <w:trPr>
          <w:jc w:val="center"/>
        </w:trPr>
        <w:tc>
          <w:tcPr>
            <w:tcW w:type="dxa" w:w="709"/>
            <w:vMerge w:val="restart"/>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6D3BC4" w:rsidRDefault="006D3BC4"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6D3BC4" w:rsidRPr="00FC0759" w:rsidTr="00CD72D6">
        <w:trPr>
          <w:jc w:val="center"/>
        </w:trPr>
        <w:tc>
          <w:tcPr>
            <w:tcW w:type="dxa" w:w="709"/>
            <w:vMerge/>
            <w:vAlign w:val="center"/>
          </w:tcPr>
          <w:p w:rsidP="00CD72D6" w:rsidR="006D3BC4" w:rsidRDefault="006D3BC4"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6D3BC4" w:rsidRDefault="006D3BC4"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6D3BC4" w:rsidRDefault="006D3BC4"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2020年04月16日~2020年04月23日</w:t>
            </w:r>
          </w:p>
        </w:tc>
        <w:tc>
          <w:tcPr>
            <w:vAlign w:val="center"/>
          </w:tcPr>
          <w:p>
            <w:pPr>
              <w:jc w:val="center"/>
            </w:pPr>
            <w:r>
              <w:rPr>
                <w:sz w:val="24"/>
              </w:rPr>
              <w:t>-</w:t>
            </w:r>
          </w:p>
        </w:tc>
        <w:tc>
          <w:tcPr>
            <w:vAlign w:val="center"/>
          </w:tcPr>
          <w:p>
            <w:pPr>
              <w:jc w:val="center"/>
            </w:pPr>
            <w:r>
              <w:rPr>
                <w:sz w:val="24"/>
              </w:rPr>
              <w:t>15,125,542.00</w:t>
            </w:r>
          </w:p>
        </w:tc>
        <w:tc>
          <w:tcPr>
            <w:vAlign w:val="center"/>
          </w:tcPr>
          <w:p>
            <w:pPr>
              <w:jc w:val="center"/>
            </w:pPr>
            <w:r>
              <w:rPr>
                <w:sz w:val="24"/>
              </w:rPr>
              <w:t>15,125,542.00</w:t>
            </w:r>
          </w:p>
        </w:tc>
        <w:tc>
          <w:tcPr>
            <w:vAlign w:val="center"/>
          </w:tcPr>
          <w:p>
            <w:pPr>
              <w:jc w:val="center"/>
            </w:pPr>
            <w:r>
              <w:rPr>
                <w:sz w:val="24"/>
              </w:rPr>
              <w:t>-</w:t>
            </w:r>
          </w:p>
        </w:tc>
        <w:tc>
          <w:tcPr>
            <w:vAlign w:val="center"/>
          </w:tcPr>
          <w:p>
            <w:pPr>
              <w:jc w:val="center"/>
            </w:pPr>
            <w:r>
              <w:rPr>
                <w:sz w:val="24"/>
              </w:rPr>
              <w:t>-</w:t>
            </w:r>
          </w:p>
        </w:tc>
      </w:tr>
      <w:tr>
        <w:tc>
          <w:tcPr>
            <w:vMerge/>
          </w:tcPr>
          <w:p/>
        </w:tc>
        <w:tc>
          <w:tcPr>
            <w:vAlign w:val="center"/>
          </w:tcPr>
          <w:p>
            <w:pPr>
              <w:jc w:val="center"/>
            </w:pPr>
            <w:r>
              <w:rPr>
                <w:sz w:val="24"/>
              </w:rPr>
              <w:t>2</w:t>
            </w:r>
          </w:p>
        </w:tc>
        <w:tc>
          <w:tcPr>
            <w:vAlign w:val="center"/>
          </w:tcPr>
          <w:p>
            <w:pPr>
              <w:jc w:val="center"/>
            </w:pPr>
            <w:r>
              <w:rPr>
                <w:sz w:val="24"/>
              </w:rPr>
              <w:t>2020年06月17日~2020年06月18日</w:t>
            </w:r>
          </w:p>
        </w:tc>
        <w:tc>
          <w:tcPr>
            <w:vAlign w:val="center"/>
          </w:tcPr>
          <w:p>
            <w:pPr>
              <w:jc w:val="center"/>
            </w:pPr>
            <w:r>
              <w:rPr>
                <w:sz w:val="24"/>
              </w:rPr>
              <w:t>-</w:t>
            </w:r>
          </w:p>
        </w:tc>
        <w:tc>
          <w:tcPr>
            <w:vAlign w:val="center"/>
          </w:tcPr>
          <w:p>
            <w:pPr>
              <w:jc w:val="center"/>
            </w:pPr>
            <w:r>
              <w:rPr>
                <w:sz w:val="24"/>
              </w:rPr>
              <w:t>10,123,506.78</w:t>
            </w:r>
          </w:p>
        </w:tc>
        <w:tc>
          <w:tcPr>
            <w:vAlign w:val="center"/>
          </w:tcPr>
          <w:p>
            <w:pPr>
              <w:jc w:val="center"/>
            </w:pPr>
            <w:r>
              <w:rPr>
                <w:sz w:val="24"/>
              </w:rPr>
              <w:t>10,123,506.78</w:t>
            </w:r>
          </w:p>
        </w:tc>
        <w:tc>
          <w:tcPr>
            <w:vAlign w:val="center"/>
          </w:tcPr>
          <w:p>
            <w:pPr>
              <w:jc w:val="center"/>
            </w:pPr>
            <w:r>
              <w:rPr>
                <w:sz w:val="24"/>
              </w:rPr>
              <w:t>-</w:t>
            </w:r>
          </w:p>
        </w:tc>
        <w:tc>
          <w:tcPr>
            <w:vAlign w:val="center"/>
          </w:tcPr>
          <w:p>
            <w:pPr>
              <w:jc w:val="center"/>
            </w:pPr>
            <w:r>
              <w:rPr>
                <w:sz w:val="24"/>
              </w:rPr>
              <w:t>-</w:t>
            </w:r>
          </w:p>
        </w:tc>
      </w:tr>
      <w:tr>
        <w:tc>
          <w:tcPr>
            <w:vMerge/>
          </w:tcPr>
          <w:p/>
        </w:tc>
        <w:tc>
          <w:tcPr>
            <w:vAlign w:val="center"/>
          </w:tcPr>
          <w:p>
            <w:pPr>
              <w:jc w:val="center"/>
            </w:pPr>
            <w:r>
              <w:rPr>
                <w:sz w:val="24"/>
              </w:rPr>
              <w:t>3</w:t>
            </w:r>
          </w:p>
        </w:tc>
        <w:tc>
          <w:tcPr>
            <w:vAlign w:val="center"/>
          </w:tcPr>
          <w:p>
            <w:pPr>
              <w:jc w:val="center"/>
            </w:pPr>
            <w:r>
              <w:rPr>
                <w:sz w:val="24"/>
              </w:rPr>
              <w:t>2020年04月16日,2020年04月23日~2020年06月18日,2020年06月24日~2020年06月30日</w:t>
            </w:r>
          </w:p>
        </w:tc>
        <w:tc>
          <w:tcPr>
            <w:vAlign w:val="center"/>
          </w:tcPr>
          <w:p>
            <w:pPr>
              <w:jc w:val="center"/>
            </w:pPr>
            <w:r>
              <w:rPr>
                <w:sz w:val="24"/>
              </w:rPr>
              <w:t>-</w:t>
            </w:r>
          </w:p>
        </w:tc>
        <w:tc>
          <w:tcPr>
            <w:vAlign w:val="center"/>
          </w:tcPr>
          <w:p>
            <w:pPr>
              <w:jc w:val="center"/>
            </w:pPr>
            <w:r>
              <w:rPr>
                <w:sz w:val="24"/>
              </w:rPr>
              <w:t>10,072,529.47</w:t>
            </w:r>
          </w:p>
        </w:tc>
        <w:tc>
          <w:tcPr>
            <w:vAlign w:val="center"/>
          </w:tcPr>
          <w:p>
            <w:pPr>
              <w:jc w:val="center"/>
            </w:pPr>
            <w:r>
              <w:rPr>
                <w:sz w:val="24"/>
              </w:rPr>
              <w:t>-</w:t>
            </w:r>
          </w:p>
        </w:tc>
        <w:tc>
          <w:tcPr>
            <w:vAlign w:val="center"/>
          </w:tcPr>
          <w:p>
            <w:pPr>
              <w:jc w:val="center"/>
            </w:pPr>
            <w:r>
              <w:rPr>
                <w:sz w:val="24"/>
              </w:rPr>
              <w:t>10,072,529.47</w:t>
            </w:r>
          </w:p>
        </w:tc>
        <w:tc>
          <w:tcPr>
            <w:vAlign w:val="center"/>
          </w:tcPr>
          <w:p>
            <w:pPr>
              <w:jc w:val="center"/>
            </w:pPr>
            <w:r>
              <w:rPr>
                <w:sz w:val="24"/>
              </w:rPr>
              <w:t>30.06%</w:t>
            </w:r>
          </w:p>
        </w:tc>
      </w:tr>
    </w:tbl>
    <w:tbl>
      <w:tblPr>
        <w:tblStyle w:val="af2"/>
        <w:tblW w:type="dxa" w:w="9637"/>
        <w:jc w:val="center"/>
        <w:tblLayout w:type="fixed"/>
        <w:tblLook w:firstColumn="1" w:firstRow="1" w:lastColumn="0" w:lastRow="0" w:noHBand="0" w:noVBand="1" w:val="04A0"/>
      </w:tblPr>
      <w:tblGrid>
        <w:gridCol w:w="9637"/>
      </w:tblGrid>
      <w:tr w:rsidR="006D3BC4" w:rsidRPr="00FC0759" w:rsidTr="00CD72D6">
        <w:trPr>
          <w:jc w:val="center"/>
        </w:trPr>
        <w:tc>
          <w:tcPr>
            <w:tcW w:type="dxa" w:w="9637"/>
            <w:vAlign w:val="center"/>
          </w:tcPr>
          <w:p w:rsidP="00782390" w:rsidR="006D3BC4" w:rsidRDefault="006D3BC4" w:rsidRPr="00FC0759">
            <w:pPr>
              <w:autoSpaceDE w:val="0"/>
              <w:autoSpaceDN w:val="0"/>
              <w:adjustRightInd w:val="0"/>
              <w:jc w:val="center"/>
              <w:rPr>
                <w:sz w:val="24"/>
              </w:rPr>
            </w:pPr>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6D3BC4" w:rsidRPr="00FC0759" w:rsidTr="00CD72D6">
        <w:trPr>
          <w:jc w:val="center"/>
        </w:trPr>
        <w:tc>
          <w:tcPr>
            <w:tcW w:type="dxa" w:w="9637"/>
            <w:vAlign w:val="center"/>
          </w:tcPr>
          <w:p w:rsidP="00CD72D6" w:rsidR="006D3BC4" w:rsidRDefault="006D3BC4"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将面临基金财产清算并终止的风险；持有基金份额占比较高的投资者在召开持有人大会并对审议事项进行投票表决时可能拥有较大话语权。</w:t>
            </w:r>
          </w:p>
        </w:tc>
      </w:tr>
    </w:tbl>
    <w:p w:rsidP="006D3BC4" w:rsidR="006D3BC4" w:rsidRDefault="006D3BC4"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lastRenderedPageBreak/>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8.2 影响投资者决策的其他重要信息</w:t>
      </w:r>
    </w:p>
    <w:p w:rsidP="006D3BC4" w:rsidR="00FB3C94" w:rsidRDefault="006D3BC4" w:rsidRPr="00B34368">
      <w:pPr>
        <w:spacing w:line="360" w:lineRule="auto"/>
        <w:ind w:firstLine="480" w:firstLineChars="200"/>
        <w:rPr>
          <w:rFonts w:eastAsiaTheme="minorEastAsia"/>
          <w:color w:themeColor="text1" w:val="000000"/>
          <w:sz w:val="24"/>
        </w:rPr>
      </w:pPr>
      <w:r w:rsidRPr="00FC0759">
        <w:rPr>
          <w:rFonts w:eastAsiaTheme="minorEastAsia"/>
          <w:color w:themeColor="text1" w:val="000000"/>
          <w:sz w:val="24"/>
        </w:rPr>
        <w:t/>
      </w:r>
      <w:proofErr w:type="spellStart"/>
      <w:proofErr w:type="gramStart"/>
      <w:r w:rsidRPr="00FC0759">
        <w:rPr>
          <w:color w:themeColor="text1" w:val="000000"/>
          <w:sz w:val="24"/>
        </w:rPr>
        <w:t/>
      </w:r>
      <w:proofErr w:type="spellEnd"/>
      <w:proofErr w:type="gramEnd"/>
      <w:r w:rsidRPr="00FC0759">
        <w:rPr>
          <w:rFonts w:eastAsiaTheme="minorEastAsia"/>
          <w:color w:themeColor="text1" w:val="000000"/>
          <w:sz w:val="24"/>
        </w:rPr>
        <w:t>基金管理人已于2020年6月23日发布《易方达基金管理有限公司关于以通讯方式召开易方达中证国企一带一路交易型开放式指数证券投资基金联接基金基金份额持有人大会的公告》，决定以通讯方式召开基金份额持有人大会审议本基金变更为易方达中证国企一带一路交易型开放式指数证券投资基金发起式联接基金等事项。请投资者关注相关风险。</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9</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1.中国证监会准予易方达中证国企一带一路交易型开放式指数证券投资基金联接基金注册的文件；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2.《易方达中证国企一带一路交易型开放式指数证券投资基金联接基金基金合同》；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3.《易方达中证国企一带一路交易型开放式指数证券投资基金联接基金托管协议》；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4.《易方达基金管理有限公司开放式基金业务规则》；</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9.3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易方达中证国企一带一路交易型开放式指数证券投资基金联接基金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