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易方达ESG责任投资股票型发起式证券投资基金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易方达ESG责任投资股票发起式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007548</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007548</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2019年9月2日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378,841,003.95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基于定量与定性相结合的宏观及市场分析，确定组合中股票、债券、货币市场工具及其他金融工具的比例。在股票投资方面，本基金主要以地区配置策略（对内地和香港市场进行自上而下的研究，主要通过对财政金融政策、GDP增长率、物价水平、利率走势、汇率走势、证券市场相对估值水平等方面的分析，对内地和香港市场的投资价值进行综合评价）和个股投资策略（在个股筛选的考量因素中，充分考虑企业所创造的社会价值，纳入环境（E）、社会（S）和公司治理（G）因素的考量，在此基础上进行“自上而下”和“自下而上”的个股选择）进行投资组合的构建与调整。在债券投资方面，本基金将主要通过类属配置与券种选择两个层次进行投资管理。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MSCI中国A股指数收益率×70%+中证港股通综合指数收益率×15%+中债总指数收益率×15%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本基金为股票基金，理论上其预期风险与预期收益高于混合基金、债券基金和货币市场基金。 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67,679,641.69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214,313,769.57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0.3256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476,828,986.69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1.2587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35.00%</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11.35%</w:t>
            </w:r>
          </w:p>
        </w:tc>
        <w:tc>
          <w:tcPr>
            <w:vAlign w:val="center"/>
          </w:tcPr>
          <w:p>
            <w:pPr>
              <w:jc w:val="center"/>
            </w:pPr>
            <w:r>
              <w:rPr>
                <w:color w:val="000000"/>
                <w:kern w:val="0"/>
                <w:sz w:val="24"/>
                <w:szCs w:val="24"/>
              </w:rPr>
              <w:t>0.82%</w:t>
            </w:r>
          </w:p>
        </w:tc>
        <w:tc>
          <w:tcPr>
            <w:vAlign w:val="center"/>
          </w:tcPr>
          <w:p>
            <w:pPr>
              <w:jc w:val="center"/>
            </w:pPr>
            <w:r>
              <w:rPr>
                <w:color w:val="000000"/>
                <w:kern w:val="0"/>
                <w:sz w:val="24"/>
                <w:szCs w:val="24"/>
              </w:rPr>
              <w:t>23.65%</w:t>
            </w:r>
          </w:p>
        </w:tc>
        <w:tc>
          <w:tcPr>
            <w:vAlign w:val="center"/>
          </w:tcPr>
          <w:p>
            <w:pPr>
              <w:jc w:val="center"/>
            </w:pPr>
            <w:r>
              <w:rPr>
                <w:color w:val="000000"/>
                <w:kern w:val="0"/>
                <w:sz w:val="24"/>
                <w:szCs w:val="24"/>
              </w:rPr>
              <w:t>0.55%</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21.77%</w:t>
            </w:r>
          </w:p>
        </w:tc>
        <w:tc>
          <w:tcPr>
            <w:vAlign w:val="center"/>
          </w:tcPr>
          <w:p>
            <w:pPr>
              <w:jc w:val="center"/>
            </w:pPr>
            <w:r>
              <w:rPr>
                <w:color w:val="000000"/>
                <w:kern w:val="0"/>
                <w:sz w:val="24"/>
                <w:szCs w:val="24"/>
              </w:rPr>
              <w:t>1.85%</w:t>
            </w:r>
          </w:p>
        </w:tc>
        <w:tc>
          <w:tcPr>
            <w:vAlign w:val="center"/>
          </w:tcPr>
          <w:p>
            <w:pPr>
              <w:jc w:val="center"/>
            </w:pPr>
            <w:r>
              <w:rPr>
                <w:color w:val="000000"/>
                <w:kern w:val="0"/>
                <w:sz w:val="24"/>
                <w:szCs w:val="24"/>
              </w:rPr>
              <w:t>3.40%</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18.37%</w:t>
            </w:r>
          </w:p>
        </w:tc>
        <w:tc>
          <w:tcPr>
            <w:vAlign w:val="center"/>
          </w:tcPr>
          <w:p>
            <w:pPr>
              <w:jc w:val="center"/>
            </w:pPr>
            <w:r>
              <w:rPr>
                <w:color w:val="000000"/>
                <w:kern w:val="0"/>
                <w:sz w:val="24"/>
                <w:szCs w:val="24"/>
              </w:rPr>
              <w:t>0.54%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25.87%</w:t>
            </w:r>
          </w:p>
        </w:tc>
        <w:tc>
          <w:tcPr>
            <w:vAlign w:val="center"/>
          </w:tcPr>
          <w:p>
            <w:pPr>
              <w:jc w:val="center"/>
            </w:pPr>
            <w:r>
              <w:rPr>
                <w:color w:val="000000"/>
                <w:kern w:val="0"/>
                <w:sz w:val="24"/>
                <w:szCs w:val="24"/>
              </w:rPr>
              <w:t>1.43%</w:t>
            </w:r>
          </w:p>
        </w:tc>
        <w:tc>
          <w:tcPr>
            <w:vAlign w:val="center"/>
          </w:tcPr>
          <w:p>
            <w:pPr>
              <w:jc w:val="center"/>
            </w:pPr>
            <w:r>
              <w:rPr>
                <w:color w:val="000000"/>
                <w:kern w:val="0"/>
                <w:sz w:val="24"/>
                <w:szCs w:val="24"/>
              </w:rPr>
              <w:t>10.88%</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14.99%</w:t>
            </w:r>
          </w:p>
        </w:tc>
        <w:tc>
          <w:tcPr>
            <w:vAlign w:val="center"/>
          </w:tcPr>
          <w:p>
            <w:pPr>
              <w:jc w:val="center"/>
            </w:pPr>
            <w:r>
              <w:rPr>
                <w:color w:val="000000"/>
                <w:kern w:val="0"/>
                <w:sz w:val="24"/>
                <w:szCs w:val="24"/>
              </w:rPr>
              <w:t>0.35%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易方达ESG责任投资股票型发起式证券投资基金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2019年9月2日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注：1.本基金合同于2019年9月2日生效,截至报告期末本基金合同生效未满一年。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投资一家公司发行的证券市值超过基金资产净值的10％，为被动超标，已在规定的期限内调整完毕，其他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3.自基金合同生效至报告期末，基金份额净值增长率为25.87%，同期业绩比较基准收益率为10.88%。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郭杰</w:t>
            </w:r>
          </w:p>
        </w:tc>
        <w:tc>
          <w:tcPr>
            <w:vAlign w:val="center"/>
          </w:tcPr>
          <w:p>
            <w:pPr>
              <w:jc w:val="left"/>
            </w:pPr>
            <w:r>
              <w:rPr>
                <w:color w:val="000000"/>
                <w:sz w:val="24"/>
              </w:rPr>
              <w:t>本基金的基金经理、易方达改革红利混合型证券投资基金的基金经理、易方达国企改革混合型证券投资基金的基金经理、研究部副总经理</w:t>
            </w:r>
          </w:p>
        </w:tc>
        <w:tc>
          <w:tcPr>
            <w:vAlign w:val="center"/>
          </w:tcPr>
          <w:p>
            <w:pPr>
              <w:jc w:val="center"/>
            </w:pPr>
            <w:r>
              <w:rPr>
                <w:color w:val="000000"/>
                <w:sz w:val="24"/>
              </w:rPr>
              <w:t>2019-09-02</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易方达基金管理有限公司行业研究员、基金经理助理、易方达资源行业股票型证券投资基金基金经理、易方达科汇灵活配置混合型证券投资基金基金经理、易方达新丝路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二季度海外的新冠病毒疫情仍然较为严峻，而国内疫情基本得到了控制。虽然市场预期经济会受到疫情的冲击，但是全球宽松的流动性有效化解了金融风险，预期经济也会随着疫情的趋缓而逐步复苏。股票市场的情绪从疫情的悲观中逐步恢复，在经济逐步复苏和市场流动性的助推下震荡上行。到二季末，沪深300指数收于4164点，上涨12.96%。稳定类的消费、医药、TMT行业内的个股表现明显好于与经济相关度高的行业个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一贯坚持选择好的生意并长期持有的投资策略。对于“好的生意”的理解仁者见仁，我们的核心标准是商业模型有明显的规模效应、企业有突出的竞争壁垒。我们通过分享这样优质企业的增长和盈利，实现资本的回报。本基金在选择投资标的时，不仅关注企业价值与股东回报，也关注企业的公司治理、社会责任和可持续发展能力。</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截至报告期末，本基金份额净值为1.2587元，本报告期份额净值增长率为35.00%，同期业绩比较基准收益率为11.35%。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440,353,413.08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91.49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440,353,413.08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91.49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30,237,972.49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6.28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10,708,906.29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481,300,291.86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注：本基金本报告期末通过港股通交易机制投资的港股市值为193,872,944.93元,占净值比例40.66%。</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240,683,642.94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50.48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1.17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246,480,468.15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51.69</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9,223,917.12</w:t>
            </w:r>
          </w:p>
        </w:tc>
        <w:tc>
          <w:tcPr>
            <w:vAlign w:val="center"/>
          </w:tcPr>
          <w:p>
            <w:pPr>
              <w:jc w:val="center"/>
            </w:pPr>
            <w:r>
              <w:rPr>
                <w:rFonts w:eastAsiaTheme="minorEastAsia"/>
                <w:color w:themeColor="text1" w:val="000000"/>
                <w:kern w:val="0"/>
                <w:sz w:val="24"/>
                <w:szCs w:val="24"/>
              </w:rPr>
              <w:t>1.93</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46,038,362.52</w:t>
            </w:r>
          </w:p>
        </w:tc>
        <w:tc>
          <w:tcPr>
            <w:vAlign w:val="center"/>
          </w:tcPr>
          <w:p>
            <w:pPr>
              <w:jc w:val="center"/>
            </w:pPr>
            <w:r>
              <w:rPr>
                <w:rFonts w:eastAsiaTheme="minorEastAsia"/>
                <w:color w:themeColor="text1" w:val="000000"/>
                <w:kern w:val="0"/>
                <w:sz w:val="24"/>
                <w:szCs w:val="24"/>
              </w:rPr>
              <w:t>9.66</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18,625,406.98</w:t>
            </w:r>
          </w:p>
        </w:tc>
        <w:tc>
          <w:tcPr>
            <w:vAlign w:val="center"/>
          </w:tcPr>
          <w:p>
            <w:pPr>
              <w:jc w:val="center"/>
            </w:pPr>
            <w:r>
              <w:rPr>
                <w:rFonts w:eastAsiaTheme="minorEastAsia"/>
                <w:color w:themeColor="text1" w:val="000000"/>
                <w:kern w:val="0"/>
                <w:sz w:val="24"/>
                <w:szCs w:val="24"/>
              </w:rPr>
              <w:t>3.91</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53,856,020.49</w:t>
            </w:r>
          </w:p>
        </w:tc>
        <w:tc>
          <w:tcPr>
            <w:vAlign w:val="center"/>
          </w:tcPr>
          <w:p>
            <w:pPr>
              <w:jc w:val="center"/>
            </w:pPr>
            <w:r>
              <w:rPr>
                <w:rFonts w:eastAsiaTheme="minorEastAsia"/>
                <w:color w:themeColor="text1" w:val="000000"/>
                <w:kern w:val="0"/>
                <w:sz w:val="24"/>
                <w:szCs w:val="24"/>
              </w:rPr>
              <w:t>11.29</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18,899,987.04</w:t>
            </w:r>
          </w:p>
        </w:tc>
        <w:tc>
          <w:tcPr>
            <w:vAlign w:val="center"/>
          </w:tcPr>
          <w:p>
            <w:pPr>
              <w:jc w:val="center"/>
            </w:pPr>
            <w:r>
              <w:rPr>
                <w:rFonts w:eastAsiaTheme="minorEastAsia"/>
                <w:color w:themeColor="text1" w:val="000000"/>
                <w:kern w:val="0"/>
                <w:sz w:val="24"/>
                <w:szCs w:val="24"/>
              </w:rPr>
              <w:t>3.96</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47,229,250.78</w:t>
            </w:r>
          </w:p>
        </w:tc>
        <w:tc>
          <w:tcPr>
            <w:vAlign w:val="center"/>
          </w:tcPr>
          <w:p>
            <w:pPr>
              <w:jc w:val="center"/>
            </w:pPr>
            <w:r>
              <w:rPr>
                <w:rFonts w:eastAsiaTheme="minorEastAsia"/>
                <w:color w:themeColor="text1" w:val="000000"/>
                <w:kern w:val="0"/>
                <w:sz w:val="24"/>
                <w:szCs w:val="24"/>
              </w:rPr>
              <w:t>9.90</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193,872,944.93</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40.66</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278,884</w:t>
            </w:r>
          </w:p>
        </w:tc>
        <w:tc>
          <w:tcPr>
            <w:vAlign w:val="center"/>
          </w:tcPr>
          <w:p>
            <w:pPr>
              <w:jc w:val="right"/>
            </w:pPr>
            <w:r>
              <w:rPr>
                <w:color w:val="000000"/>
                <w:kern w:val="0"/>
                <w:sz w:val="24"/>
                <w:szCs w:val="24"/>
              </w:rPr>
              <w:t>47,722,630.08</w:t>
            </w:r>
          </w:p>
        </w:tc>
        <w:tc>
          <w:tcPr>
            <w:vAlign w:val="center"/>
          </w:tcPr>
          <w:p>
            <w:pPr>
              <w:jc w:val="right"/>
            </w:pPr>
            <w:r>
              <w:rPr>
                <w:color w:val="000000"/>
                <w:kern w:val="0"/>
                <w:sz w:val="24"/>
                <w:szCs w:val="24"/>
              </w:rPr>
              <w:t>10.01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32,410</w:t>
            </w:r>
          </w:p>
        </w:tc>
        <w:tc>
          <w:tcPr>
            <w:vAlign w:val="center"/>
          </w:tcPr>
          <w:p>
            <w:pPr>
              <w:jc w:val="right"/>
            </w:pPr>
            <w:r>
              <w:rPr>
                <w:color w:val="000000"/>
                <w:kern w:val="0"/>
                <w:sz w:val="24"/>
                <w:szCs w:val="24"/>
              </w:rPr>
              <w:t>47,411,940.80</w:t>
            </w:r>
          </w:p>
        </w:tc>
        <w:tc>
          <w:tcPr>
            <w:vAlign w:val="center"/>
          </w:tcPr>
          <w:p>
            <w:pPr>
              <w:jc w:val="right"/>
            </w:pPr>
            <w:r>
              <w:rPr>
                <w:color w:val="000000"/>
                <w:kern w:val="0"/>
                <w:sz w:val="24"/>
                <w:szCs w:val="24"/>
              </w:rPr>
              <w:t>9.94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00700</w:t>
            </w:r>
          </w:p>
        </w:tc>
        <w:tc>
          <w:tcPr>
            <w:vAlign w:val="center"/>
          </w:tcPr>
          <w:p>
            <w:pPr>
              <w:jc w:val="center"/>
            </w:pPr>
            <w:r>
              <w:rPr>
                <w:color w:val="000000"/>
                <w:kern w:val="0"/>
                <w:sz w:val="24"/>
                <w:szCs w:val="24"/>
              </w:rPr>
              <w:t>腾讯控股</w:t>
            </w:r>
          </w:p>
        </w:tc>
        <w:tc>
          <w:tcPr>
            <w:vAlign w:val="center"/>
          </w:tcPr>
          <w:p>
            <w:pPr>
              <w:jc w:val="right"/>
            </w:pPr>
            <w:r>
              <w:rPr>
                <w:color w:val="000000"/>
                <w:kern w:val="0"/>
                <w:sz w:val="24"/>
                <w:szCs w:val="24"/>
              </w:rPr>
              <w:t>103,700</w:t>
            </w:r>
          </w:p>
        </w:tc>
        <w:tc>
          <w:tcPr>
            <w:vAlign w:val="center"/>
          </w:tcPr>
          <w:p>
            <w:pPr>
              <w:jc w:val="right"/>
            </w:pPr>
            <w:r>
              <w:rPr>
                <w:color w:val="000000"/>
                <w:kern w:val="0"/>
                <w:sz w:val="24"/>
                <w:szCs w:val="24"/>
              </w:rPr>
              <w:t>47,229,250.78</w:t>
            </w:r>
          </w:p>
        </w:tc>
        <w:tc>
          <w:tcPr>
            <w:vAlign w:val="center"/>
          </w:tcPr>
          <w:p>
            <w:pPr>
              <w:jc w:val="right"/>
            </w:pPr>
            <w:r>
              <w:rPr>
                <w:color w:val="000000"/>
                <w:kern w:val="0"/>
                <w:sz w:val="24"/>
                <w:szCs w:val="24"/>
              </w:rPr>
              <w:t>9.90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03690</w:t>
            </w:r>
          </w:p>
        </w:tc>
        <w:tc>
          <w:tcPr>
            <w:vAlign w:val="center"/>
          </w:tcPr>
          <w:p>
            <w:pPr>
              <w:jc w:val="center"/>
            </w:pPr>
            <w:r>
              <w:rPr>
                <w:color w:val="000000"/>
                <w:kern w:val="0"/>
                <w:sz w:val="24"/>
                <w:szCs w:val="24"/>
              </w:rPr>
              <w:t>美团点评－Ｗ</w:t>
            </w:r>
          </w:p>
        </w:tc>
        <w:tc>
          <w:tcPr>
            <w:vAlign w:val="center"/>
          </w:tcPr>
          <w:p>
            <w:pPr>
              <w:jc w:val="right"/>
            </w:pPr>
            <w:r>
              <w:rPr>
                <w:color w:val="000000"/>
                <w:kern w:val="0"/>
                <w:sz w:val="24"/>
                <w:szCs w:val="24"/>
              </w:rPr>
              <w:t>293,200</w:t>
            </w:r>
          </w:p>
        </w:tc>
        <w:tc>
          <w:tcPr>
            <w:vAlign w:val="center"/>
          </w:tcPr>
          <w:p>
            <w:pPr>
              <w:jc w:val="right"/>
            </w:pPr>
            <w:r>
              <w:rPr>
                <w:color w:val="000000"/>
                <w:kern w:val="0"/>
                <w:sz w:val="24"/>
                <w:szCs w:val="24"/>
              </w:rPr>
              <w:t>46,038,362.52</w:t>
            </w:r>
          </w:p>
        </w:tc>
        <w:tc>
          <w:tcPr>
            <w:vAlign w:val="center"/>
          </w:tcPr>
          <w:p>
            <w:pPr>
              <w:jc w:val="right"/>
            </w:pPr>
            <w:r>
              <w:rPr>
                <w:color w:val="000000"/>
                <w:kern w:val="0"/>
                <w:sz w:val="24"/>
                <w:szCs w:val="24"/>
              </w:rPr>
              <w:t>9.66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492,069</w:t>
            </w:r>
          </w:p>
        </w:tc>
        <w:tc>
          <w:tcPr>
            <w:vAlign w:val="center"/>
          </w:tcPr>
          <w:p>
            <w:pPr>
              <w:jc w:val="right"/>
            </w:pPr>
            <w:r>
              <w:rPr>
                <w:color w:val="000000"/>
                <w:kern w:val="0"/>
                <w:sz w:val="24"/>
                <w:szCs w:val="24"/>
              </w:rPr>
              <w:t>44,837,327.28</w:t>
            </w:r>
          </w:p>
        </w:tc>
        <w:tc>
          <w:tcPr>
            <w:vAlign w:val="center"/>
          </w:tcPr>
          <w:p>
            <w:pPr>
              <w:jc w:val="right"/>
            </w:pPr>
            <w:r>
              <w:rPr>
                <w:color w:val="000000"/>
                <w:kern w:val="0"/>
                <w:sz w:val="24"/>
                <w:szCs w:val="24"/>
              </w:rPr>
              <w:t>9.40</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686,773</w:t>
            </w:r>
          </w:p>
        </w:tc>
        <w:tc>
          <w:tcPr>
            <w:vAlign w:val="center"/>
          </w:tcPr>
          <w:p>
            <w:pPr>
              <w:jc w:val="right"/>
            </w:pPr>
            <w:r>
              <w:rPr>
                <w:color w:val="000000"/>
                <w:kern w:val="0"/>
                <w:sz w:val="24"/>
                <w:szCs w:val="24"/>
              </w:rPr>
              <w:t>38,850,748.61</w:t>
            </w:r>
          </w:p>
        </w:tc>
        <w:tc>
          <w:tcPr>
            <w:vAlign w:val="center"/>
          </w:tcPr>
          <w:p>
            <w:pPr>
              <w:jc w:val="right"/>
            </w:pPr>
            <w:r>
              <w:rPr>
                <w:color w:val="000000"/>
                <w:kern w:val="0"/>
                <w:sz w:val="24"/>
                <w:szCs w:val="24"/>
              </w:rPr>
              <w:t>8.15</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01951</w:t>
            </w:r>
          </w:p>
        </w:tc>
        <w:tc>
          <w:tcPr>
            <w:vAlign w:val="center"/>
          </w:tcPr>
          <w:p>
            <w:pPr>
              <w:jc w:val="center"/>
            </w:pPr>
            <w:r>
              <w:rPr>
                <w:color w:val="000000"/>
                <w:kern w:val="0"/>
                <w:sz w:val="24"/>
                <w:szCs w:val="24"/>
              </w:rPr>
              <w:t>锦欣生殖</w:t>
            </w:r>
          </w:p>
        </w:tc>
        <w:tc>
          <w:tcPr>
            <w:vAlign w:val="center"/>
          </w:tcPr>
          <w:p>
            <w:pPr>
              <w:jc w:val="right"/>
            </w:pPr>
            <w:r>
              <w:rPr>
                <w:color w:val="000000"/>
                <w:kern w:val="0"/>
                <w:sz w:val="24"/>
                <w:szCs w:val="24"/>
              </w:rPr>
              <w:t>3,464,000</w:t>
            </w:r>
          </w:p>
        </w:tc>
        <w:tc>
          <w:tcPr>
            <w:vAlign w:val="center"/>
          </w:tcPr>
          <w:p>
            <w:pPr>
              <w:jc w:val="right"/>
            </w:pPr>
            <w:r>
              <w:rPr>
                <w:color w:val="000000"/>
                <w:kern w:val="0"/>
                <w:sz w:val="24"/>
                <w:szCs w:val="24"/>
              </w:rPr>
              <w:t>37,147,193.32</w:t>
            </w:r>
          </w:p>
        </w:tc>
        <w:tc>
          <w:tcPr>
            <w:vAlign w:val="center"/>
          </w:tcPr>
          <w:p>
            <w:pPr>
              <w:jc w:val="right"/>
            </w:pPr>
            <w:r>
              <w:rPr>
                <w:color w:val="000000"/>
                <w:kern w:val="0"/>
                <w:sz w:val="24"/>
                <w:szCs w:val="24"/>
              </w:rPr>
              <w:t>7.79</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286,320</w:t>
            </w:r>
          </w:p>
        </w:tc>
        <w:tc>
          <w:tcPr>
            <w:vAlign w:val="center"/>
          </w:tcPr>
          <w:p>
            <w:pPr>
              <w:jc w:val="right"/>
            </w:pPr>
            <w:r>
              <w:rPr>
                <w:color w:val="000000"/>
                <w:kern w:val="0"/>
                <w:sz w:val="24"/>
                <w:szCs w:val="24"/>
              </w:rPr>
              <w:t>26,427,336.00</w:t>
            </w:r>
          </w:p>
        </w:tc>
        <w:tc>
          <w:tcPr>
            <w:vAlign w:val="center"/>
          </w:tcPr>
          <w:p>
            <w:pPr>
              <w:jc w:val="right"/>
            </w:pPr>
            <w:r>
              <w:rPr>
                <w:color w:val="000000"/>
                <w:kern w:val="0"/>
                <w:sz w:val="24"/>
                <w:szCs w:val="24"/>
              </w:rPr>
              <w:t>5.54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00388</w:t>
            </w:r>
          </w:p>
        </w:tc>
        <w:tc>
          <w:tcPr>
            <w:vAlign w:val="center"/>
          </w:tcPr>
          <w:p>
            <w:pPr>
              <w:jc w:val="center"/>
            </w:pPr>
            <w:r>
              <w:rPr>
                <w:color w:val="000000"/>
                <w:kern w:val="0"/>
                <w:sz w:val="24"/>
                <w:szCs w:val="24"/>
              </w:rPr>
              <w:t>香港交易所</w:t>
            </w:r>
          </w:p>
        </w:tc>
        <w:tc>
          <w:tcPr>
            <w:vAlign w:val="center"/>
          </w:tcPr>
          <w:p>
            <w:pPr>
              <w:jc w:val="right"/>
            </w:pPr>
            <w:r>
              <w:rPr>
                <w:color w:val="000000"/>
                <w:kern w:val="0"/>
                <w:sz w:val="24"/>
                <w:szCs w:val="24"/>
              </w:rPr>
              <w:t>62,700</w:t>
            </w:r>
          </w:p>
        </w:tc>
        <w:tc>
          <w:tcPr>
            <w:vAlign w:val="center"/>
          </w:tcPr>
          <w:p>
            <w:pPr>
              <w:jc w:val="right"/>
            </w:pPr>
            <w:r>
              <w:rPr>
                <w:color w:val="000000"/>
                <w:kern w:val="0"/>
                <w:sz w:val="24"/>
                <w:szCs w:val="24"/>
              </w:rPr>
              <w:t>18,899,987.04</w:t>
            </w:r>
          </w:p>
        </w:tc>
        <w:tc>
          <w:tcPr>
            <w:vAlign w:val="center"/>
          </w:tcPr>
          <w:p>
            <w:pPr>
              <w:jc w:val="right"/>
            </w:pPr>
            <w:r>
              <w:rPr>
                <w:color w:val="000000"/>
                <w:kern w:val="0"/>
                <w:sz w:val="24"/>
                <w:szCs w:val="24"/>
              </w:rPr>
              <w:t>3.96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00291</w:t>
            </w:r>
          </w:p>
        </w:tc>
        <w:tc>
          <w:tcPr>
            <w:vAlign w:val="center"/>
          </w:tcPr>
          <w:p>
            <w:pPr>
              <w:jc w:val="center"/>
            </w:pPr>
            <w:r>
              <w:rPr>
                <w:color w:val="000000"/>
                <w:kern w:val="0"/>
                <w:sz w:val="24"/>
                <w:szCs w:val="24"/>
              </w:rPr>
              <w:t>华润啤酒</w:t>
            </w:r>
          </w:p>
        </w:tc>
        <w:tc>
          <w:tcPr>
            <w:vAlign w:val="center"/>
          </w:tcPr>
          <w:p>
            <w:pPr>
              <w:jc w:val="right"/>
            </w:pPr>
            <w:r>
              <w:rPr>
                <w:color w:val="000000"/>
                <w:kern w:val="0"/>
                <w:sz w:val="24"/>
                <w:szCs w:val="24"/>
              </w:rPr>
              <w:t>472,000</w:t>
            </w:r>
          </w:p>
        </w:tc>
        <w:tc>
          <w:tcPr>
            <w:vAlign w:val="center"/>
          </w:tcPr>
          <w:p>
            <w:pPr>
              <w:jc w:val="right"/>
            </w:pPr>
            <w:r>
              <w:rPr>
                <w:color w:val="000000"/>
                <w:kern w:val="0"/>
                <w:sz w:val="24"/>
                <w:szCs w:val="24"/>
              </w:rPr>
              <w:t>18,625,406.98</w:t>
            </w:r>
          </w:p>
        </w:tc>
        <w:tc>
          <w:tcPr>
            <w:vAlign w:val="center"/>
          </w:tcPr>
          <w:p>
            <w:pPr>
              <w:jc w:val="right"/>
            </w:pPr>
            <w:r>
              <w:rPr>
                <w:color w:val="000000"/>
                <w:kern w:val="0"/>
                <w:sz w:val="24"/>
                <w:szCs w:val="24"/>
              </w:rPr>
              <w:t>3.91</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注：本报告期末本基金投资五粮液占基金资产净值比例超过10%,属于被动超标。</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1,658,923.83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8,056,913.79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222,505.31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6,587.86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763,975.50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10,708,906.29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904,153,356.22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12,717,457.44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538,029,809.71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378,841,003.95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2.6396</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2.6396%</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2.6396%</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2.6396%</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2.6396%</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206,439,925.68</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206,439,925.68</w:t>
            </w:r>
          </w:p>
        </w:tc>
        <w:tc>
          <w:tcPr>
            <w:vAlign w:val="center"/>
          </w:tcPr>
          <w:p>
            <w:pPr>
              <w:jc w:val="center"/>
            </w:pPr>
            <w:r>
              <w:rPr>
                <w:sz w:val="24"/>
                <w:szCs w:val="24"/>
              </w:rPr>
              <w:t>54.49%</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将面临基金财产清算并终止的风险；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1.中国证监会准予易方达ESG责任投资股票型发起式证券投资基金注册的文件；</w:t>
      </w:r>
    </w:p>
    <w:p>
      <w:pPr>
        <w:spacing w:line="360" w:lineRule="auto"/>
        <w:ind w:firstLine="480" w:firstLineChars="200"/>
        <w:rPr>
          <w:color w:val="000000"/>
          <w:sz w:val="24"/>
          <w:szCs w:val="24"/>
        </w:rPr>
      </w:pPr>
      <w:r>
        <w:rPr>
          <w:color w:val="000000"/>
          <w:sz w:val="24"/>
          <w:szCs w:val="24"/>
        </w:rPr>
        <w:t>2.《易方达ESG责任投资股票型发起式证券投资基金基金合同》；</w:t>
      </w:r>
    </w:p>
    <w:p>
      <w:pPr>
        <w:spacing w:line="360" w:lineRule="auto"/>
        <w:ind w:firstLine="480" w:firstLineChars="200"/>
        <w:rPr>
          <w:color w:val="000000"/>
          <w:sz w:val="24"/>
          <w:szCs w:val="24"/>
        </w:rPr>
      </w:pPr>
      <w:r>
        <w:rPr>
          <w:color w:val="000000"/>
          <w:sz w:val="24"/>
          <w:szCs w:val="24"/>
        </w:rPr>
        <w:t>3.《易方达ESG责任投资股票型发起式证券投资基金托管协议》；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易方达ESG责任投资股票型发起式证券投资基金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