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FC13C8" w:rsidR="00F016DD" w:rsidRDefault="00F016DD" w:rsidRPr="0078105B">
      <w:pPr>
        <w:spacing w:line="360" w:lineRule="auto"/>
        <w:jc w:val="center"/>
        <w:rPr>
          <w:rFonts w:ascii="宋体" w:hAnsi="宋体"/>
          <w:b/>
          <w:sz w:val="36"/>
          <w:szCs w:val="36"/>
        </w:rPr>
      </w:pPr>
      <w:r w:rsidRPr="0078105B">
        <w:rPr>
          <w:rFonts w:ascii="宋体"/>
          <w:b/>
          <w:sz w:val="36"/>
          <w:szCs w:val="36"/>
        </w:rPr>
        <w:t/>
      </w:r>
      <w:proofErr w:type="spellStart"/>
      <w:proofErr w:type="gramStart"/>
      <w:r w:rsidRPr="0078105B">
        <w:rPr>
          <w:rFonts w:ascii="宋体" w:hAnsi="宋体"/>
          <w:b/>
          <w:sz w:val="36"/>
          <w:szCs w:val="36"/>
        </w:rPr>
        <w:t/>
      </w:r>
      <w:proofErr w:type="spellEnd"/>
      <w:proofErr w:type="gramEnd"/>
      <w:r w:rsidRPr="0078105B">
        <w:rPr>
          <w:rFonts w:ascii="宋体" w:hAnsi="宋体"/>
          <w:b/>
          <w:sz w:val="36"/>
          <w:szCs w:val="36"/>
        </w:rPr>
        <w:t>易方达年年恒夏纯债一年定期开放债券型发起式证券投资基金</w:t>
      </w:r>
    </w:p>
    <w:p w:rsidP="00FC13C8" w:rsidR="00F016DD" w:rsidRDefault="00F016DD" w:rsidRPr="0078105B">
      <w:pPr>
        <w:spacing w:line="360" w:lineRule="auto"/>
        <w:jc w:val="center"/>
        <w:rPr>
          <w:rFonts w:ascii="宋体" w:hAnsi="宋体"/>
          <w:b/>
          <w:sz w:val="36"/>
          <w:szCs w:val="36"/>
        </w:rPr>
      </w:pPr>
      <w:r w:rsidRPr="0078105B">
        <w:rPr>
          <w:rFonts w:ascii="宋体" w:hAnsi="宋体"/>
          <w:b/>
          <w:sz w:val="36"/>
          <w:szCs w:val="36"/>
        </w:rPr>
        <w:t/>
      </w:r>
      <w:proofErr w:type="spellStart"/>
      <w:r w:rsidRPr="0078105B">
        <w:rPr>
          <w:rFonts w:ascii="宋体" w:hAnsi="宋体"/>
          <w:b/>
          <w:sz w:val="36"/>
          <w:szCs w:val="36"/>
        </w:rPr>
        <w:t/>
      </w:r>
      <w:proofErr w:type="spellEnd"/>
      <w:r w:rsidRPr="0078105B">
        <w:rPr>
          <w:rFonts w:ascii="宋体" w:hAnsi="宋体"/>
          <w:b/>
          <w:sz w:val="36"/>
          <w:szCs w:val="36"/>
        </w:rPr>
        <w:t>2020年第2季度报告</w:t>
      </w:r>
    </w:p>
    <w:p w:rsidP="00FC13C8" w:rsidR="00F016DD" w:rsidRDefault="00F016DD" w:rsidRPr="00DA451D">
      <w:pPr>
        <w:spacing w:line="360" w:lineRule="auto"/>
        <w:jc w:val="center"/>
        <w:rPr>
          <w:rFonts w:ascii="宋体" w:hAnsi="宋体"/>
          <w:b/>
          <w:sz w:val="24"/>
        </w:rPr>
      </w:pPr>
      <w:r w:rsidRPr="00DA451D">
        <w:rPr>
          <w:rFonts w:ascii="宋体"/>
          <w:b/>
          <w:sz w:val="24"/>
        </w:rPr>
        <w:t/>
      </w:r>
      <w:proofErr w:type="spellStart"/>
      <w:proofErr w:type="gramStart"/>
      <w:r w:rsidRPr="00DA451D">
        <w:rPr>
          <w:rFonts w:ascii="宋体" w:hAnsi="宋体"/>
          <w:b/>
          <w:sz w:val="24"/>
        </w:rPr>
        <w:t/>
      </w:r>
      <w:proofErr w:type="spellEnd"/>
      <w:proofErr w:type="gramEnd"/>
      <w:r w:rsidRPr="00DA451D">
        <w:rPr>
          <w:rFonts w:ascii="宋体" w:hAnsi="宋体"/>
          <w:b/>
          <w:sz w:val="24"/>
        </w:rPr>
        <w:t>2020年6月30日</w:t>
      </w: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rPr>
          <w:rFonts w:ascii="宋体"/>
          <w:b/>
          <w:color w:val="000000"/>
          <w:sz w:val="24"/>
        </w:rPr>
      </w:pP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基金管理人：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易方达基金管理有限公司</w:t>
      </w: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基金托管人：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招商银行股份有限公司</w:t>
      </w:r>
    </w:p>
    <w:p w:rsidP="00174038" w:rsidR="00F016DD" w:rsidRDefault="00F016DD" w:rsidRPr="0078105B">
      <w:pPr>
        <w:spacing w:line="360" w:lineRule="auto"/>
        <w:ind w:firstLine="2168" w:firstLineChars="900"/>
        <w:rPr>
          <w:rFonts w:ascii="宋体"/>
          <w:sz w:val="24"/>
        </w:rPr>
        <w:sectPr w:rsidR="00F016DD" w:rsidRPr="0078105B" w:rsidSect="00F7094A">
          <w:headerReference r:id="rId8" w:type="default"/>
          <w:footerReference r:id="rId9" w:type="default"/>
          <w:pgSz w:h="15840" w:w="11926"/>
          <w:pgMar w:bottom="851" w:footer="992" w:gutter="0" w:header="851" w:left="1418" w:right="1418" w:top="1418"/>
          <w:cols w:space="720"/>
          <w:noEndnote/>
        </w:sectPr>
      </w:pPr>
      <w:r w:rsidRPr="0078105B">
        <w:rPr>
          <w:rFonts w:ascii="宋体" w:hAnsi="宋体" w:hint="eastAsia"/>
          <w:b/>
          <w:color w:val="000000"/>
          <w:sz w:val="24"/>
        </w:rPr>
        <w:t>报告送出日期：</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二〇二〇年七月二十一日</w:t>
      </w:r>
    </w:p>
    <w:p w:rsidP="00B54884" w:rsidR="00F016DD" w:rsidRDefault="00F016DD" w:rsidRPr="0078105B">
      <w:pPr>
        <w:pStyle w:val="1"/>
        <w:spacing w:after="312" w:afterLines="100" w:before="312" w:beforeLines="100" w:line="360" w:lineRule="auto"/>
        <w:jc w:val="center"/>
        <w:rPr>
          <w:rFonts w:ascii="宋体" w:cs="Arial"/>
          <w:b w:val="0"/>
          <w:color w:val="000000"/>
          <w:kern w:val="0"/>
          <w:sz w:val="24"/>
          <w:szCs w:val="24"/>
        </w:rPr>
      </w:pPr>
      <w:r w:rsidRPr="0078105B">
        <w:rPr>
          <w:rFonts w:ascii="宋体" w:cs="Arial" w:hAnsi="宋体" w:hint="eastAsia"/>
          <w:color w:val="000000"/>
          <w:kern w:val="0"/>
          <w:sz w:val="24"/>
          <w:szCs w:val="24"/>
        </w:rPr>
        <w:lastRenderedPageBreak/>
        <w:t>§</w:t>
      </w:r>
      <w:r w:rsidRPr="0078105B">
        <w:rPr>
          <w:rFonts w:ascii="宋体" w:cs="Arial" w:hAnsi="宋体"/>
          <w:color w:val="000000"/>
          <w:kern w:val="0"/>
          <w:sz w:val="24"/>
          <w:szCs w:val="24"/>
        </w:rPr>
        <w:t xml:space="preserve">1  </w:t>
      </w:r>
      <w:r w:rsidRPr="0078105B">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基金托管人招商银行股份有限公司根据本基金合同规定，于2020年7月17日复核了本报告中的财务指标、净值表现和投资组合报告等内容，保证复核内容不存在虚假记载、误导性陈述或者重大遗漏。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本报告期自2020年4月1日起至6月30日止。</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2  </w:t>
      </w:r>
      <w:r w:rsidRPr="0078105B">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90"/>
      </w:tblGrid>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基金简称</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易方达年年恒夏纯债一年定开债券发起式</w:t>
            </w:r>
          </w:p>
        </w:tc>
      </w:tr>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基金主代码</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007525</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基金运作方式</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契约型开放式</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基金合同生效日</w:t>
            </w:r>
          </w:p>
        </w:tc>
        <w:tc>
          <w:tcPr>
            <w:tcW w:type="dxa" w:w="5529"/>
            <w:gridSpan w:val="2"/>
          </w:tcPr>
          <w:p w:rsidP="00121533"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2019年7月11日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报告期末基金份额总额</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1,880,825,735.36</w:t>
            </w:r>
            <w:r w:rsidRPr="00C30CFF">
              <w:rPr>
                <w:color w:val="000000"/>
                <w:kern w:val="0"/>
                <w:sz w:val="24"/>
              </w:rPr>
              <w:t>份</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投资目标</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本基金为纯债基金，管理人主要通过分析影响债券市场的各类要素，对债券组合的平均久期、期限结构、类属品种进行有效配置，力争为投资人提供长期稳定的投资回报。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投资策略</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封闭运作期内，本基金在债券投资上主要通过久期配置、类属配置、期限结构配置和个券选择四个层次进行投资管理。在久期配置方面，在投资组合平均久期与封闭运作期适当匹配的基础上，本基金将对宏观经济走势、经济周期所处阶段和宏观经济政策动向等进行研究，并据此积极调整债券组合的平均久期。在类属配置方面，本基金将对宏观经济周期、市场利率走势、资金供求变化，以及信用债券的信用风险等因素进行分析，根据各债券类属的风险收益特征，确定债券类属资产的最优权重。在期限结构配置方面，本基金将对市场收益率曲线变动情况进行研判，在长期、中期和短期债券之间进行配置，适时采用子弹型、哑铃型或梯型策略构建投资组合。在个券选择方面，对于国债、央行票据等非信用类债券，本基金将根据宏观经济变量和宏观经济政策的分析，预测未来收益率曲线的变动趋势，综合考虑组合流动性决定投资品种；对于信用类债券，本基金将根据发行人的公司背景、行业特性、盈利能力、偿债能力、流动性等因素，对信用债进行信用风险评估，积极发掘信用利差具有相对投资机会的个券进行投资，并采取分散化投资策略，严格控制组合整体的违约风险水平。本基金将在对资金面进行综合分析的基础上，比较债券收益率和融资成本，判断利差空间，力争通过息差策略提高组合收益。开放运作期内，本基金为保持较高的组合流动性，方便投资人安排投资，在遵守本基金有关投资限制与投资比例的前提下，将主要投资于高流动性的投资品种，减小基金净值的波动。</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业绩比较基准</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中债信用债总财富（1年以下）指数收益率</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风险收益特征</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 xml:space="preserve">本基金为债券型基金，其长期平均风险和预期收益率理论上低于股票型基金、混合型基金，高于货币市场基金。 </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基金管理人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易方达基金管理有限公司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基金托管人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招商银行股份有限公司</w:t>
            </w:r>
          </w:p>
        </w:tc>
      </w:tr>
      <w:tr w:rsidR="00F016DD" w:rsidRPr="0078105B" w:rsidTr="00414367">
        <w:tc>
          <w:tcPr>
            <w:tcW w:type="dxa" w:w="2835"/>
          </w:tcPr>
          <w:p w:rsidP="003F13CD" w:rsidR="00F016DD" w:rsidRDefault="00F016DD" w:rsidRPr="00C30CFF">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易方达年年恒夏纯债一年定开债券发起式A</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易方达年年恒夏纯债一年定开债券发起式C</w:t>
            </w:r>
          </w:p>
        </w:tc>
      </w:tr>
      <w:tr w:rsidR="00F016DD" w:rsidRPr="004D29A9" w:rsidTr="00414367">
        <w:tc>
          <w:tcPr>
            <w:tcW w:type="dxa" w:w="2835"/>
          </w:tcPr>
          <w:p w:rsidP="003F13CD" w:rsidR="00F016DD" w:rsidRDefault="00F016DD" w:rsidRPr="00C30CFF">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w:t>
            </w:r>
            <w:r w:rsidRPr="00C30CFF">
              <w:rPr>
                <w:color w:val="000000"/>
                <w:sz w:val="24"/>
              </w:rPr>
              <w:lastRenderedPageBreak/>
              <w:t>码</w:t>
            </w:r>
            <w:r w:rsidRPr="00C30CFF">
              <w:rPr>
                <w:color w:val="000000"/>
                <w:sz w:val="24"/>
              </w:rPr>
              <w:t/>
            </w:r>
            <w:proofErr w:type="spellStart"/>
            <w:r w:rsidRPr="00C30CFF">
              <w:rPr>
                <w:color w:val="000000"/>
              </w:rPr>
              <w:t/>
            </w:r>
            <w:proofErr w:type="spellEnd"/>
            <w:r w:rsidRPr="00C30CFF">
              <w:rPr>
                <w:color w:val="000000"/>
                <w:sz w:val="24"/>
              </w:rPr>
              <w:t/>
            </w:r>
          </w:p>
        </w:tc>
        <w:tc>
          <w:tcPr>
            <w:tcW w:type="dxa" w:w="2739"/>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proofErr w:type="spellStart"/>
            <w:r w:rsidRPr="00C30CFF">
              <w:rPr>
                <w:color w:val="000000"/>
                <w:sz w:val="24"/>
              </w:rPr>
              <w:t/>
            </w:r>
            <w:proofErr w:type="spellEnd"/>
            <w:r w:rsidRPr="00C30CFF">
              <w:rPr>
                <w:color w:val="000000"/>
                <w:sz w:val="24"/>
              </w:rPr>
              <w:t/>
            </w:r>
            <w:r w:rsidRPr="00C30CFF">
              <w:rPr>
                <w:color w:val="000000"/>
                <w:sz w:val="24"/>
              </w:rPr>
              <w:lastRenderedPageBreak/>
              <w:t>007525</w:t>
            </w:r>
          </w:p>
        </w:tc>
        <w:tc>
          <w:tcPr>
            <w:tcW w:type="dxa" w:w="2790"/>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r w:rsidRPr="00C30CFF">
              <w:rPr>
                <w:color w:val="000000"/>
                <w:sz w:val="24"/>
              </w:rPr>
              <w:t>007526</w:t>
            </w:r>
          </w:p>
        </w:tc>
      </w:tr>
      <w:tr w:rsidR="00F016DD" w:rsidRPr="0078105B" w:rsidTr="00414367">
        <w:tc>
          <w:tcPr>
            <w:tcW w:type="dxa" w:w="2835"/>
          </w:tcPr>
          <w:p w:rsidP="00162D92" w:rsidR="00F016DD" w:rsidRDefault="00F016DD" w:rsidRPr="00C30CFF">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1,846,668,925.91</w:t>
            </w:r>
            <w:r w:rsidRPr="00C30CFF">
              <w:rPr>
                <w:color w:val="000000"/>
                <w:kern w:val="0"/>
                <w:sz w:val="24"/>
              </w:rPr>
              <w:t>份</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34,156,809.45</w:t>
            </w:r>
            <w:r w:rsidRPr="00C30CFF">
              <w:rPr>
                <w:color w:val="000000"/>
                <w:kern w:val="0"/>
                <w:sz w:val="24"/>
              </w:rPr>
              <w:t>份</w:t>
            </w:r>
          </w:p>
        </w:tc>
      </w:tr>
    </w:tbl>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3  </w:t>
      </w:r>
      <w:r w:rsidRPr="0078105B">
        <w:rPr>
          <w:rFonts w:ascii="宋体" w:cs="Arial" w:hAnsi="宋体" w:hint="eastAsia"/>
          <w:color w:val="000000"/>
          <w:kern w:val="0"/>
          <w:sz w:val="24"/>
          <w:szCs w:val="24"/>
        </w:rPr>
        <w:t>主要财务指标和基金净值表现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3.1 </w:t>
      </w:r>
      <w:r w:rsidRPr="0078105B">
        <w:rPr>
          <w:rFonts w:ascii="宋体" w:cs="Arial" w:hAnsi="宋体" w:hint="eastAsia"/>
          <w:b/>
          <w:color w:val="000000"/>
          <w:kern w:val="0"/>
          <w:sz w:val="24"/>
        </w:rPr>
        <w:t>主要财务指标</w:t>
      </w:r>
    </w:p>
    <w:p w:rsidP="00E27360"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F016DD" w:rsidRPr="00FA472B" w:rsidTr="008B5312">
        <w:tc>
          <w:tcPr>
            <w:tcW w:type="dxa" w:w="3402"/>
            <w:vMerge w:val="restart"/>
            <w:vAlign w:val="center"/>
          </w:tcPr>
          <w:p w:rsidP="00E205AA" w:rsidR="00F016DD" w:rsidRDefault="00F016DD" w:rsidRPr="00FA472B">
            <w:pPr>
              <w:adjustRightInd w:val="0"/>
              <w:spacing w:before="29" w:line="360" w:lineRule="auto"/>
              <w:ind w:left="17"/>
              <w:jc w:val="center"/>
              <w:rPr>
                <w:kern w:val="0"/>
                <w:sz w:val="24"/>
              </w:rPr>
            </w:pPr>
            <w:r w:rsidRPr="00FA472B">
              <w:rPr>
                <w:kern w:val="0"/>
                <w:sz w:val="24"/>
              </w:rPr>
              <w:t>主要财务指标</w:t>
            </w:r>
          </w:p>
        </w:tc>
        <w:tc>
          <w:tcPr>
            <w:tcW w:type="dxa" w:w="4962"/>
            <w:gridSpan w:val="2"/>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sz w:val="24"/>
              </w:rPr>
              <w:t>报告期</w:t>
            </w:r>
          </w:p>
          <w:p w:rsidP="00E205AA" w:rsidR="00F016DD" w:rsidRDefault="00F016DD" w:rsidRPr="00FA472B">
            <w:pPr>
              <w:adjustRightInd w:val="0"/>
              <w:spacing w:before="29" w:line="360" w:lineRule="auto"/>
              <w:ind w:left="17"/>
              <w:jc w:val="center"/>
              <w:rPr>
                <w:color w:val="000000"/>
                <w:sz w:val="24"/>
              </w:rPr>
            </w:pPr>
            <w:r w:rsidRPr="00FA472B">
              <w:rPr>
                <w:color w:val="000000"/>
                <w:sz w:val="24"/>
              </w:rPr>
              <w:t>(</w:t>
            </w:r>
            <w:proofErr w:type="spellStart"/>
            <w:r w:rsidRPr="00FA472B">
              <w:rPr>
                <w:color w:val="000000"/>
                <w:sz w:val="24"/>
              </w:rPr>
              <w:t/>
            </w:r>
            <w:proofErr w:type="spellEnd"/>
            <w:r w:rsidRPr="00FA472B">
              <w:rPr>
                <w:color w:val="000000"/>
                <w:sz w:val="24"/>
              </w:rPr>
              <w:t>2020年4月1日-</w:t>
            </w:r>
            <w:proofErr w:type="spellStart"/>
            <w:r w:rsidRPr="00FA472B">
              <w:rPr>
                <w:color w:val="000000"/>
                <w:sz w:val="24"/>
              </w:rPr>
              <w:t/>
            </w:r>
            <w:proofErr w:type="spellEnd"/>
            <w:r w:rsidRPr="00FA472B">
              <w:rPr>
                <w:color w:val="000000"/>
                <w:sz w:val="24"/>
              </w:rPr>
              <w:t>2020年6月30日)</w:t>
            </w:r>
          </w:p>
        </w:tc>
      </w:tr>
      <w:tr w:rsidR="00F016DD" w:rsidRPr="00FA472B" w:rsidTr="008B5312">
        <w:tc>
          <w:tcPr>
            <w:tcW w:type="dxa" w:w="3402"/>
            <w:vMerge/>
            <w:vAlign w:val="center"/>
          </w:tcPr>
          <w:p w:rsidP="00E205AA" w:rsidR="00F016DD" w:rsidRDefault="00F016DD" w:rsidRPr="00FA472B">
            <w:pPr>
              <w:adjustRightInd w:val="0"/>
              <w:spacing w:before="29" w:line="360" w:lineRule="auto"/>
              <w:ind w:left="17"/>
              <w:jc w:val="center"/>
              <w:rPr>
                <w:kern w:val="0"/>
                <w:sz w:val="24"/>
              </w:rPr>
            </w:pP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proofErr w:type="spellStart"/>
            <w:r w:rsidRPr="00FA472B">
              <w:rPr>
                <w:sz w:val="24"/>
              </w:rPr>
              <w:t/>
            </w:r>
            <w:proofErr w:type="spellEnd"/>
            <w:r w:rsidRPr="00FA472B">
              <w:rPr>
                <w:sz w:val="24"/>
              </w:rPr>
              <w:t>易方达年年恒夏纯债一年定开债券发起式A</w:t>
            </w: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r w:rsidRPr="00FA472B">
              <w:rPr>
                <w:sz w:val="24"/>
              </w:rPr>
              <w:t>易方达年年恒夏纯债一年定开债券发起式C</w:t>
            </w:r>
          </w:p>
        </w:tc>
      </w:tr>
      <w:tr w:rsidR="00F016DD" w:rsidRPr="00FA472B" w:rsidTr="00973B57">
        <w:tc>
          <w:tcPr>
            <w:tcW w:type="dxa" w:w="3402"/>
          </w:tcPr>
          <w:p w:rsidP="00973B57" w:rsidR="00F016DD" w:rsidRDefault="00F016DD" w:rsidRPr="00FA472B">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type="dxa" w:w="2481"/>
            <w:vAlign w:val="bottom"/>
          </w:tcPr>
          <w:p w:rsidP="00973B57" w:rsidR="00F016DD" w:rsidRDefault="00F016DD" w:rsidRPr="00FA472B">
            <w:pPr>
              <w:adjustRightInd w:val="0"/>
              <w:spacing w:before="29" w:line="360" w:lineRule="auto"/>
              <w:ind w:left="17"/>
              <w:jc w:val="right"/>
              <w:rPr>
                <w:color w:val="000000"/>
                <w:sz w:val="24"/>
              </w:rPr>
            </w:pPr>
            <w:r w:rsidRPr="00FA472B">
              <w:rPr>
                <w:color w:val="000000"/>
                <w:sz w:val="24"/>
              </w:rPr>
              <w:t>18,346,670.55</w:t>
            </w:r>
          </w:p>
        </w:tc>
        <w:tc>
          <w:tcPr>
            <w:tcW w:type="dxa" w:w="2481"/>
            <w:vAlign w:val="bottom"/>
          </w:tcPr>
          <w:p w:rsidP="0037768B" w:rsidR="00F016DD" w:rsidRDefault="00F016DD" w:rsidRPr="00FA472B">
            <w:pPr>
              <w:adjustRightInd w:val="0"/>
              <w:spacing w:before="29" w:line="360" w:lineRule="auto"/>
              <w:ind w:left="17"/>
              <w:jc w:val="right"/>
              <w:rPr>
                <w:color w:val="000000"/>
                <w:sz w:val="24"/>
              </w:rPr>
            </w:pPr>
            <w:r w:rsidRPr="00FA472B">
              <w:rPr>
                <w:color w:val="000000"/>
                <w:sz w:val="24"/>
              </w:rPr>
              <w:t>1,743,371.72</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2.</w:t>
            </w:r>
            <w:r w:rsidRPr="00FA472B">
              <w:rPr>
                <w:kern w:val="0"/>
                <w:sz w:val="24"/>
              </w:rPr>
              <w:t>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6,243,054.15</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861,074.09</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0.0048</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0.0066</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1,874,965,782.25</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34,650,913.12</w:t>
            </w:r>
          </w:p>
        </w:tc>
      </w:tr>
      <w:tr w:rsidR="00F016DD" w:rsidRPr="00FA472B" w:rsidTr="009A5C1D">
        <w:trPr>
          <w:trHeight w:val="158"/>
        </w:trPr>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lastRenderedPageBreak/>
              <w:t>5.</w:t>
            </w:r>
            <w:r w:rsidRPr="00FA472B">
              <w:rPr>
                <w:kern w:val="0"/>
                <w:sz w:val="24"/>
              </w:rPr>
              <w:t>期末基金份额净值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1.0153</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1.0145</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2.本期已实现收益指基金本期利息收入、投资收益、其他收入(不含公允价值变动收益)扣除相关费用后的余额,本期利润为本期已实现收益加上本期公允价值变动收益。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3.2 </w:t>
      </w:r>
      <w:r w:rsidRPr="0078105B">
        <w:rPr>
          <w:rFonts w:ascii="宋体" w:cs="Arial" w:hAnsi="宋体" w:hint="eastAsia"/>
          <w:b/>
          <w:color w:val="000000"/>
          <w:kern w:val="0"/>
          <w:sz w:val="24"/>
        </w:rPr>
        <w:t>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3.2.1</w:t>
      </w:r>
      <w:r w:rsidRPr="0078105B">
        <w:rPr>
          <w:rFonts w:ascii="宋体" w:cs="Arial" w:hAnsi="宋体" w:hint="eastAsia"/>
          <w:b/>
          <w:color w:val="000000"/>
          <w:kern w:val="0"/>
          <w:sz w:val="24"/>
        </w:rPr>
        <w:t>本报告</w:t>
      </w:r>
      <w:proofErr w:type="gramStart"/>
      <w:r w:rsidRPr="0078105B">
        <w:rPr>
          <w:rFonts w:ascii="宋体" w:cs="Arial" w:hAnsi="宋体" w:hint="eastAsia"/>
          <w:b/>
          <w:color w:val="000000"/>
          <w:kern w:val="0"/>
          <w:sz w:val="24"/>
        </w:rPr>
        <w:t>期基金</w:t>
      </w:r>
      <w:proofErr w:type="gramEnd"/>
      <w:r w:rsidRPr="0078105B">
        <w:rPr>
          <w:rFonts w:ascii="宋体" w:cs="Arial" w:hAnsi="宋体" w:hint="eastAsia"/>
          <w:b/>
          <w:color w:val="000000"/>
          <w:kern w:val="0"/>
          <w:sz w:val="24"/>
        </w:rPr>
        <w:t>份额净值增长率及其与同期业绩比较基准收益率的比较</w:t>
      </w:r>
    </w:p>
    <w:p w:rsidP="00174038" w:rsidR="00F016DD" w:rsidRDefault="00F016DD" w:rsidRPr="0078105B">
      <w:pPr>
        <w:spacing w:line="360" w:lineRule="auto"/>
        <w:ind w:firstLine="361" w:firstLineChars="150"/>
        <w:rPr>
          <w:rFonts w:ascii="宋体"/>
          <w:b/>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spellStart"/>
      <w:r w:rsidRPr="0078105B">
        <w:rPr>
          <w:rFonts w:ascii="宋体" w:cs="Arial" w:hAnsi="宋体"/>
          <w:b/>
          <w:color w:val="000000"/>
          <w:kern w:val="0"/>
          <w:sz w:val="24"/>
        </w:rPr>
        <w:t/>
      </w:r>
      <w:proofErr w:type="spellEnd"/>
      <w:r w:rsidRPr="0078105B">
        <w:rPr>
          <w:rFonts w:ascii="宋体" w:cs="Arial" w:hAnsi="宋体"/>
          <w:b/>
          <w:color w:val="000000"/>
          <w:kern w:val="0"/>
          <w:sz w:val="24"/>
        </w:rPr>
        <w:t/>
      </w:r>
      <w:proofErr w:type="gramEnd"/>
      <w:r w:rsidRPr="0078105B">
        <w:rPr>
          <w:rFonts w:ascii="宋体" w:cs="Arial" w:hAnsi="宋体"/>
          <w:b/>
          <w:color w:val="000000"/>
          <w:kern w:val="0"/>
          <w:sz w:val="24"/>
        </w:rPr>
        <w:t>易方达年年恒夏纯债一年定开债券发起式A</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414367">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0.50%</w:t>
            </w:r>
          </w:p>
        </w:tc>
        <w:tc>
          <w:tcPr>
            <w:vAlign w:val="center"/>
          </w:tcPr>
          <w:p>
            <w:pPr>
              <w:jc w:val="center"/>
            </w:pPr>
            <w:r>
              <w:rPr>
                <w:color w:val="000000"/>
                <w:sz w:val="24"/>
              </w:rPr>
              <w:t>0.08%</w:t>
            </w:r>
          </w:p>
        </w:tc>
        <w:tc>
          <w:tcPr>
            <w:vAlign w:val="center"/>
          </w:tcPr>
          <w:p>
            <w:pPr>
              <w:jc w:val="center"/>
            </w:pPr>
            <w:r>
              <w:rPr>
                <w:color w:val="000000"/>
                <w:sz w:val="24"/>
              </w:rPr>
              <w:t>0.44%</w:t>
            </w:r>
          </w:p>
        </w:tc>
        <w:tc>
          <w:tcPr>
            <w:vAlign w:val="center"/>
          </w:tcPr>
          <w:p>
            <w:pPr>
              <w:jc w:val="center"/>
            </w:pPr>
            <w:r>
              <w:rPr>
                <w:color w:val="000000"/>
                <w:sz w:val="24"/>
              </w:rPr>
              <w:t>0.02%</w:t>
            </w:r>
          </w:p>
        </w:tc>
        <w:tc>
          <w:tcPr>
            <w:vAlign w:val="center"/>
          </w:tcPr>
          <w:p>
            <w:pPr>
              <w:jc w:val="center"/>
            </w:pPr>
            <w:r>
              <w:rPr>
                <w:color w:val="000000"/>
                <w:sz w:val="24"/>
              </w:rPr>
              <w:t>0.06%</w:t>
            </w:r>
          </w:p>
        </w:tc>
        <w:tc>
          <w:tcPr>
            <w:vAlign w:val="center"/>
          </w:tcPr>
          <w:p>
            <w:pPr>
              <w:jc w:val="center"/>
            </w:pPr>
            <w:r>
              <w:rPr>
                <w:color w:val="000000"/>
                <w:sz w:val="24"/>
              </w:rPr>
              <w:t>0.06%</w:t>
            </w:r>
          </w:p>
        </w:tc>
      </w:tr>
      <w:tr>
        <w:tc>
          <w:tcPr>
            <w:vAlign w:val="center"/>
          </w:tcPr>
          <w:p>
            <w:pPr>
              <w:jc w:val="left"/>
            </w:pPr>
            <w:r>
              <w:rPr>
                <w:color w:val="000000"/>
                <w:sz w:val="24"/>
              </w:rPr>
              <w:t>过去六个月</w:t>
            </w:r>
          </w:p>
        </w:tc>
        <w:tc>
          <w:tcPr>
            <w:vAlign w:val="center"/>
          </w:tcPr>
          <w:p>
            <w:pPr>
              <w:jc w:val="center"/>
            </w:pPr>
            <w:r>
              <w:rPr>
                <w:color w:val="000000"/>
                <w:sz w:val="24"/>
              </w:rPr>
              <w:t>2.48%</w:t>
            </w:r>
          </w:p>
        </w:tc>
        <w:tc>
          <w:tcPr>
            <w:vAlign w:val="center"/>
          </w:tcPr>
          <w:p>
            <w:pPr>
              <w:jc w:val="center"/>
            </w:pPr>
            <w:r>
              <w:rPr>
                <w:color w:val="000000"/>
                <w:sz w:val="24"/>
              </w:rPr>
              <w:t>0.07%</w:t>
            </w:r>
          </w:p>
        </w:tc>
        <w:tc>
          <w:tcPr>
            <w:vAlign w:val="center"/>
          </w:tcPr>
          <w:p>
            <w:pPr>
              <w:jc w:val="center"/>
            </w:pPr>
            <w:r>
              <w:rPr>
                <w:color w:val="000000"/>
                <w:sz w:val="24"/>
              </w:rPr>
              <w:t>1.46%</w:t>
            </w:r>
          </w:p>
        </w:tc>
        <w:tc>
          <w:tcPr>
            <w:vAlign w:val="center"/>
          </w:tcPr>
          <w:p>
            <w:pPr>
              <w:jc w:val="center"/>
            </w:pPr>
            <w:r>
              <w:rPr>
                <w:color w:val="000000"/>
                <w:sz w:val="24"/>
              </w:rPr>
              <w:t>0.02%</w:t>
            </w:r>
          </w:p>
        </w:tc>
        <w:tc>
          <w:tcPr>
            <w:vAlign w:val="center"/>
          </w:tcPr>
          <w:p>
            <w:pPr>
              <w:jc w:val="center"/>
            </w:pPr>
            <w:r>
              <w:rPr>
                <w:color w:val="000000"/>
                <w:sz w:val="24"/>
              </w:rPr>
              <w:t>1.02%</w:t>
            </w:r>
          </w:p>
        </w:tc>
        <w:tc>
          <w:tcPr>
            <w:vAlign w:val="center"/>
          </w:tcPr>
          <w:p>
            <w:pPr>
              <w:jc w:val="center"/>
            </w:pPr>
            <w:r>
              <w:rPr>
                <w:color w:val="000000"/>
                <w:sz w:val="24"/>
              </w:rPr>
              <w:t>0.05%</w:t>
            </w:r>
          </w:p>
        </w:tc>
      </w:tr>
      <w:tr>
        <w:tc>
          <w:tcPr>
            <w:vAlign w:val="center"/>
          </w:tcPr>
          <w:p>
            <w:pPr>
              <w:jc w:val="left"/>
            </w:pPr>
            <w:r>
              <w:rPr>
                <w:color w:val="000000"/>
                <w:sz w:val="24"/>
              </w:rPr>
              <w:t>过去一年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过去三年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4.77%</w:t>
            </w:r>
          </w:p>
        </w:tc>
        <w:tc>
          <w:tcPr>
            <w:vAlign w:val="center"/>
          </w:tcPr>
          <w:p>
            <w:pPr>
              <w:jc w:val="center"/>
            </w:pPr>
            <w:r>
              <w:rPr>
                <w:color w:val="000000"/>
                <w:sz w:val="24"/>
              </w:rPr>
              <w:t>0.06%</w:t>
            </w:r>
          </w:p>
        </w:tc>
        <w:tc>
          <w:tcPr>
            <w:vAlign w:val="center"/>
          </w:tcPr>
          <w:p>
            <w:pPr>
              <w:jc w:val="center"/>
            </w:pPr>
            <w:r>
              <w:rPr>
                <w:color w:val="000000"/>
                <w:sz w:val="24"/>
              </w:rPr>
              <w:t>3.12%</w:t>
            </w:r>
          </w:p>
        </w:tc>
        <w:tc>
          <w:tcPr>
            <w:vAlign w:val="center"/>
          </w:tcPr>
          <w:p>
            <w:pPr>
              <w:jc w:val="center"/>
            </w:pPr>
            <w:r>
              <w:rPr>
                <w:color w:val="000000"/>
                <w:sz w:val="24"/>
              </w:rPr>
              <w:t>0.02%</w:t>
            </w:r>
          </w:p>
        </w:tc>
        <w:tc>
          <w:tcPr>
            <w:vAlign w:val="center"/>
          </w:tcPr>
          <w:p>
            <w:pPr>
              <w:jc w:val="center"/>
            </w:pPr>
            <w:r>
              <w:rPr>
                <w:color w:val="000000"/>
                <w:sz w:val="24"/>
              </w:rPr>
              <w:t>1.65%</w:t>
            </w:r>
          </w:p>
        </w:tc>
        <w:tc>
          <w:tcPr>
            <w:vAlign w:val="center"/>
          </w:tcPr>
          <w:p>
            <w:pPr>
              <w:jc w:val="center"/>
            </w:pPr>
            <w:r>
              <w:rPr>
                <w:color w:val="000000"/>
                <w:sz w:val="24"/>
              </w:rPr>
              <w:t>0.04%</w:t>
            </w:r>
          </w:p>
        </w:tc>
      </w:tr>
    </w:tbl>
    <w:p w:rsidP="00174038" w:rsidR="00F016DD" w:rsidRDefault="00F016DD" w:rsidRPr="0078105B">
      <w:pPr>
        <w:adjustRightInd w:val="0"/>
        <w:spacing w:line="360" w:lineRule="auto"/>
        <w:ind w:firstLine="361" w:firstLineChars="150"/>
        <w:rPr>
          <w:rFonts w:ascii="宋体" w:cs="Arial"/>
          <w:b/>
          <w:color w:val="000000"/>
          <w:kern w:val="0"/>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gramEnd"/>
      <w:r w:rsidRPr="0078105B">
        <w:rPr>
          <w:rFonts w:ascii="宋体" w:cs="Arial" w:hAnsi="宋体"/>
          <w:b/>
          <w:color w:val="000000"/>
          <w:kern w:val="0"/>
          <w:sz w:val="24"/>
        </w:rPr>
        <w:t>易方达年年恒夏纯债一年定开债券发起式C</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F4518C">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0.44%</w:t>
            </w:r>
          </w:p>
        </w:tc>
        <w:tc>
          <w:tcPr>
            <w:vAlign w:val="center"/>
          </w:tcPr>
          <w:p>
            <w:pPr>
              <w:jc w:val="center"/>
            </w:pPr>
            <w:r>
              <w:rPr>
                <w:color w:val="000000"/>
                <w:sz w:val="24"/>
              </w:rPr>
              <w:t>0.08%</w:t>
            </w:r>
          </w:p>
        </w:tc>
        <w:tc>
          <w:tcPr>
            <w:vAlign w:val="center"/>
          </w:tcPr>
          <w:p>
            <w:pPr>
              <w:jc w:val="center"/>
            </w:pPr>
            <w:r>
              <w:rPr>
                <w:color w:val="000000"/>
                <w:sz w:val="24"/>
              </w:rPr>
              <w:t>0.44%</w:t>
            </w:r>
          </w:p>
        </w:tc>
        <w:tc>
          <w:tcPr>
            <w:vAlign w:val="center"/>
          </w:tcPr>
          <w:p>
            <w:pPr>
              <w:jc w:val="center"/>
            </w:pPr>
            <w:r>
              <w:rPr>
                <w:color w:val="000000"/>
                <w:sz w:val="24"/>
              </w:rPr>
              <w:t>0.02%</w:t>
            </w:r>
          </w:p>
        </w:tc>
        <w:tc>
          <w:tcPr>
            <w:vAlign w:val="center"/>
          </w:tcPr>
          <w:p>
            <w:pPr>
              <w:jc w:val="center"/>
            </w:pPr>
            <w:r>
              <w:rPr>
                <w:color w:val="000000"/>
                <w:sz w:val="24"/>
              </w:rPr>
              <w:t>0.00%</w:t>
            </w:r>
          </w:p>
        </w:tc>
        <w:tc>
          <w:tcPr>
            <w:vAlign w:val="center"/>
          </w:tcPr>
          <w:p>
            <w:pPr>
              <w:jc w:val="center"/>
            </w:pPr>
            <w:r>
              <w:rPr>
                <w:color w:val="000000"/>
                <w:sz w:val="24"/>
              </w:rPr>
              <w:t>0.06%</w:t>
            </w:r>
          </w:p>
        </w:tc>
      </w:tr>
      <w:tr>
        <w:tc>
          <w:tcPr>
            <w:vAlign w:val="center"/>
          </w:tcPr>
          <w:p>
            <w:pPr>
              <w:jc w:val="left"/>
            </w:pPr>
            <w:r>
              <w:rPr>
                <w:color w:val="000000"/>
                <w:sz w:val="24"/>
              </w:rPr>
              <w:t>过去六个月</w:t>
            </w:r>
          </w:p>
        </w:tc>
        <w:tc>
          <w:tcPr>
            <w:vAlign w:val="center"/>
          </w:tcPr>
          <w:p>
            <w:pPr>
              <w:jc w:val="center"/>
            </w:pPr>
            <w:r>
              <w:rPr>
                <w:color w:val="000000"/>
                <w:sz w:val="24"/>
              </w:rPr>
              <w:t>2.34%</w:t>
            </w:r>
          </w:p>
        </w:tc>
        <w:tc>
          <w:tcPr>
            <w:vAlign w:val="center"/>
          </w:tcPr>
          <w:p>
            <w:pPr>
              <w:jc w:val="center"/>
            </w:pPr>
            <w:r>
              <w:rPr>
                <w:color w:val="000000"/>
                <w:sz w:val="24"/>
              </w:rPr>
              <w:t>0.07%</w:t>
            </w:r>
          </w:p>
        </w:tc>
        <w:tc>
          <w:tcPr>
            <w:vAlign w:val="center"/>
          </w:tcPr>
          <w:p>
            <w:pPr>
              <w:jc w:val="center"/>
            </w:pPr>
            <w:r>
              <w:rPr>
                <w:color w:val="000000"/>
                <w:sz w:val="24"/>
              </w:rPr>
              <w:t>1.46%</w:t>
            </w:r>
          </w:p>
        </w:tc>
        <w:tc>
          <w:tcPr>
            <w:vAlign w:val="center"/>
          </w:tcPr>
          <w:p>
            <w:pPr>
              <w:jc w:val="center"/>
            </w:pPr>
            <w:r>
              <w:rPr>
                <w:color w:val="000000"/>
                <w:sz w:val="24"/>
              </w:rPr>
              <w:t>0.02%</w:t>
            </w:r>
          </w:p>
        </w:tc>
        <w:tc>
          <w:tcPr>
            <w:vAlign w:val="center"/>
          </w:tcPr>
          <w:p>
            <w:pPr>
              <w:jc w:val="center"/>
            </w:pPr>
            <w:r>
              <w:rPr>
                <w:color w:val="000000"/>
                <w:sz w:val="24"/>
              </w:rPr>
              <w:t>0.88%</w:t>
            </w:r>
          </w:p>
        </w:tc>
        <w:tc>
          <w:tcPr>
            <w:vAlign w:val="center"/>
          </w:tcPr>
          <w:p>
            <w:pPr>
              <w:jc w:val="center"/>
            </w:pPr>
            <w:r>
              <w:rPr>
                <w:color w:val="000000"/>
                <w:sz w:val="24"/>
              </w:rPr>
              <w:t>0.05%</w:t>
            </w:r>
          </w:p>
        </w:tc>
      </w:tr>
      <w:tr>
        <w:tc>
          <w:tcPr>
            <w:vAlign w:val="center"/>
          </w:tcPr>
          <w:p>
            <w:pPr>
              <w:jc w:val="left"/>
            </w:pPr>
            <w:r>
              <w:rPr>
                <w:color w:val="000000"/>
                <w:sz w:val="24"/>
              </w:rPr>
              <w:t>过去一年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过去三年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4.49%</w:t>
            </w:r>
          </w:p>
        </w:tc>
        <w:tc>
          <w:tcPr>
            <w:vAlign w:val="center"/>
          </w:tcPr>
          <w:p>
            <w:pPr>
              <w:jc w:val="center"/>
            </w:pPr>
            <w:r>
              <w:rPr>
                <w:color w:val="000000"/>
                <w:sz w:val="24"/>
              </w:rPr>
              <w:t>0.06%</w:t>
            </w:r>
          </w:p>
        </w:tc>
        <w:tc>
          <w:tcPr>
            <w:vAlign w:val="center"/>
          </w:tcPr>
          <w:p>
            <w:pPr>
              <w:jc w:val="center"/>
            </w:pPr>
            <w:r>
              <w:rPr>
                <w:color w:val="000000"/>
                <w:sz w:val="24"/>
              </w:rPr>
              <w:t>3.12%</w:t>
            </w:r>
          </w:p>
        </w:tc>
        <w:tc>
          <w:tcPr>
            <w:vAlign w:val="center"/>
          </w:tcPr>
          <w:p>
            <w:pPr>
              <w:jc w:val="center"/>
            </w:pPr>
            <w:r>
              <w:rPr>
                <w:color w:val="000000"/>
                <w:sz w:val="24"/>
              </w:rPr>
              <w:t>0.02%</w:t>
            </w:r>
          </w:p>
        </w:tc>
        <w:tc>
          <w:tcPr>
            <w:vAlign w:val="center"/>
          </w:tcPr>
          <w:p>
            <w:pPr>
              <w:jc w:val="center"/>
            </w:pPr>
            <w:r>
              <w:rPr>
                <w:color w:val="000000"/>
                <w:sz w:val="24"/>
              </w:rPr>
              <w:t>1.37%</w:t>
            </w:r>
          </w:p>
        </w:tc>
        <w:tc>
          <w:tcPr>
            <w:vAlign w:val="center"/>
          </w:tcPr>
          <w:p>
            <w:pPr>
              <w:jc w:val="center"/>
            </w:pPr>
            <w:r>
              <w:rPr>
                <w:color w:val="000000"/>
                <w:sz w:val="24"/>
              </w:rPr>
              <w:t>0.04%</w:t>
            </w:r>
          </w:p>
        </w:tc>
      </w:tr>
    </w:tbl>
    <w:p w:rsidP="00FC13C8" w:rsidR="00F016DD" w:rsidRDefault="00F016DD" w:rsidRPr="0078105B">
      <w:pPr>
        <w:spacing w:line="360" w:lineRule="auto"/>
        <w:rPr>
          <w:rFonts w:ascii="宋体" w:cs="Arial"/>
          <w:b/>
          <w:color w:val="000000"/>
          <w:kern w:val="0"/>
          <w:sz w:val="24"/>
        </w:rPr>
      </w:pPr>
      <w:r w:rsidRPr="0078105B">
        <w:rPr>
          <w:rFonts w:ascii="宋体" w:cs="Arial" w:hAnsi="宋体"/>
          <w:b/>
          <w:color w:val="000000"/>
          <w:kern w:val="0"/>
          <w:sz w:val="24"/>
        </w:rPr>
        <w:t>3.2.2</w:t>
      </w:r>
      <w:r w:rsidRPr="0078105B">
        <w:rPr>
          <w:rFonts w:ascii="宋体" w:cs="Arial" w:hAnsi="宋体" w:hint="eastAsia"/>
          <w:b/>
          <w:color w:val="000000"/>
          <w:kern w:val="0"/>
          <w:sz w:val="24"/>
        </w:rPr>
        <w:t xml:space="preserve">　</w:t>
      </w:r>
      <w:r w:rsidR="00AE2480" w:rsidRPr="00370BEA">
        <w:rPr>
          <w:rStyle w:val="af6"/>
          <w:rFonts w:hint="eastAsia"/>
          <w:color w:val="000000"/>
          <w:sz w:val="24"/>
          <w:shd w:color="auto" w:fill="FFFFFF" w:val="clear"/>
        </w:rPr>
        <w:t/>
      </w:r>
      <w:proofErr w:type="spellStart"/>
      <w:r w:rsidR="00AE2480" w:rsidRPr="00370BEA">
        <w:rPr>
          <w:rStyle w:val="af6"/>
          <w:rFonts w:hint="eastAsia"/>
          <w:color w:val="000000"/>
          <w:sz w:val="24"/>
          <w:shd w:color="auto" w:fill="FFFFFF" w:val="clear"/>
        </w:rPr>
        <w:t/>
      </w:r>
      <w:proofErr w:type="spellEnd"/>
      <w:r w:rsidR="00AE2480" w:rsidRPr="00370BEA">
        <w:rPr>
          <w:rStyle w:val="af6"/>
          <w:rFonts w:hint="eastAsia"/>
          <w:color w:val="000000"/>
          <w:sz w:val="24"/>
          <w:shd w:color="auto" w:fill="FFFFFF" w:val="clear"/>
        </w:rPr>
        <w:t>自基金合同生效以来</w:t>
      </w:r>
      <w:r w:rsidRPr="0078105B">
        <w:rPr>
          <w:rFonts w:ascii="宋体" w:hAnsi="宋体" w:hint="eastAsia"/>
          <w:b/>
          <w:color w:val="000000"/>
          <w:sz w:val="24"/>
        </w:rPr>
        <w:t>基金累计净值增长率变动及其与同期业绩比较基准收益率变动的比较</w:t>
      </w:r>
    </w:p>
    <w:p w:rsidP="00FC13C8" w:rsidR="00F016DD" w:rsidRDefault="00F016DD" w:rsidRPr="00FA472B">
      <w:pPr>
        <w:spacing w:line="360" w:lineRule="auto"/>
        <w:jc w:val="center"/>
        <w:rPr>
          <w:color w:val="000000"/>
          <w:sz w:val="24"/>
        </w:rPr>
      </w:pPr>
      <w:r w:rsidRPr="00FA472B">
        <w:rPr>
          <w:color w:val="000000"/>
          <w:sz w:val="24"/>
        </w:rPr>
        <w:t/>
      </w:r>
      <w:proofErr w:type="spellStart"/>
      <w:proofErr w:type="gramStart"/>
      <w:r w:rsidRPr="00FA472B">
        <w:rPr>
          <w:color w:val="000000"/>
          <w:sz w:val="24"/>
        </w:rPr>
        <w:t/>
      </w:r>
      <w:proofErr w:type="spellEnd"/>
      <w:proofErr w:type="gramEnd"/>
      <w:r w:rsidRPr="00FA472B">
        <w:rPr>
          <w:color w:val="000000"/>
          <w:sz w:val="24"/>
        </w:rPr>
        <w:t>易方达年年恒夏纯债一年定期开放债券型发起式证券投资基金</w:t>
      </w:r>
    </w:p>
    <w:p w:rsidP="00526282" w:rsidR="00526282" w:rsidRDefault="00F016DD">
      <w:pPr>
        <w:pStyle w:val="a5"/>
        <w:snapToGrid w:val="0"/>
        <w:spacing w:line="360" w:lineRule="auto"/>
        <w:jc w:val="center"/>
        <w:rPr>
          <w:rFonts w:ascii="Times New Roman" w:eastAsiaTheme="minorEastAsia" w:hAnsi="Times New Roman"/>
          <w:color w:themeColor="text1" w:val="000000"/>
          <w:sz w:val="24"/>
          <w:szCs w:val="24"/>
        </w:rPr>
      </w:pPr>
      <w:r w:rsidRPr="00FA472B">
        <w:rPr>
          <w:rFonts w:ascii="Times New Roman" w:hAnsi="Times New Roman"/>
          <w:color w:val="000000"/>
          <w:sz w:val="24"/>
          <w:szCs w:val="24"/>
        </w:rPr>
        <w:t>累计净值增长率与业绩比较基准收益率的历史走势对比图</w:t>
      </w:r>
    </w:p>
    <w:p w:rsidP="00D477DB" w:rsidR="00F016DD" w:rsidRDefault="00526282" w:rsidRPr="00FA472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
      </w:r>
      <w:proofErr w:type="spellStart"/>
      <w:proofErr w:type="gramStart"/>
      <w:r w:rsidRPr="00526282">
        <w:rPr>
          <w:rFonts w:ascii="Times New Roman" w:hAnsi="Times New Roman"/>
          <w:sz w:val="24"/>
          <w:szCs w:val="24"/>
        </w:rPr>
        <w:t/>
      </w:r>
      <w:proofErr w:type="spellEnd"/>
      <w:r w:rsidRPr="00526282">
        <w:rPr>
          <w:rFonts w:ascii="Times New Roman" w:hAnsi="Times New Roman"/>
          <w:sz w:val="24"/>
          <w:szCs w:val="24"/>
        </w:rPr>
        <w:t/>
      </w:r>
      <w:proofErr w:type="gramEnd"/>
      <w:r w:rsidRPr="00526282">
        <w:rPr>
          <w:rFonts w:ascii="Times New Roman" w:hAnsi="Times New Roman"/>
          <w:sz w:val="24"/>
          <w:szCs w:val="24"/>
        </w:rPr>
        <w:t>（2019年7月11日至2020年6月30日）</w:t>
      </w:r>
    </w:p>
    <w:p w:rsidP="00526282" w:rsidR="00526282" w:rsidRDefault="00F016DD">
      <w:pPr>
        <w:snapToGrid w:val="0"/>
        <w:spacing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spellStart"/>
      <w:r w:rsidRPr="00611CB2">
        <w:rPr>
          <w:color w:val="000000"/>
          <w:sz w:val="24"/>
        </w:rPr>
        <w:t/>
      </w:r>
      <w:proofErr w:type="spellEnd"/>
      <w:r w:rsidRPr="00611CB2">
        <w:rPr>
          <w:color w:val="000000"/>
          <w:sz w:val="24"/>
        </w:rPr>
        <w:t/>
      </w:r>
      <w:proofErr w:type="gramEnd"/>
      <w:r w:rsidRPr="00611CB2">
        <w:rPr>
          <w:color w:val="000000"/>
          <w:sz w:val="24"/>
        </w:rPr>
        <w:t>易方达年年恒夏纯债一年定开债券发起式A</w:t>
      </w:r>
    </w:p>
    <w:p w:rsidP="00FC7F43" w:rsidR="00F016DD" w:rsidRDefault="0001612A" w:rsidRPr="0078105B">
      <w:pPr>
        <w:pStyle w:val="20"/>
        <w:spacing w:line="288" w:lineRule="auto"/>
        <w:ind w:firstLine="0" w:firstLineChars="0"/>
        <w:jc w:val="center"/>
        <w:rPr>
          <w:color w:val="000000"/>
        </w:rPr>
      </w:pPr>
      <w:r>
        <w:rPr>
          <w:noProof/>
          <w:color w:val="000000"/>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2" o:spid="_x0000_i1025" style="width:435.75pt;height:258pt;visibility:visible" type="#_x0000_t75">
            <v:imagedata o:title="" r:id="rId10"/>
          </v:shape>
        </w:pict>
      </w:r>
    </w:p>
    <w:p w:rsidP="00526282" w:rsidR="00526282" w:rsidRDefault="00F016DD">
      <w:pPr>
        <w:snapToGrid w:val="0"/>
        <w:spacing w:before="312" w:beforeLines="100"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gramEnd"/>
      <w:r w:rsidRPr="00611CB2">
        <w:rPr>
          <w:color w:val="000000"/>
          <w:sz w:val="24"/>
        </w:rPr>
        <w:t>易方达年年恒夏纯债一年定开债券发起式C</w:t>
      </w:r>
    </w:p>
    <w:p w:rsidP="00FC7F43" w:rsidR="00F016DD" w:rsidRDefault="0001612A" w:rsidRPr="0078105B">
      <w:pPr>
        <w:pStyle w:val="20"/>
        <w:spacing w:line="288" w:lineRule="auto"/>
        <w:ind w:firstLine="0" w:firstLineChars="0"/>
        <w:jc w:val="center"/>
        <w:rPr>
          <w:color w:val="000000"/>
        </w:rPr>
      </w:pPr>
      <w:r>
        <w:rPr>
          <w:noProof/>
          <w:color w:val="000000"/>
        </w:rPr>
        <w:pict>
          <v:shape id="图片 3" o:spid="_x0000_i1026" style="width:435.75pt;height:258pt;visibility:visible" type="#_x0000_t75">
            <v:imagedata o:title="" r:id="rId11"/>
          </v:shape>
        </w:pict>
      </w:r>
    </w:p>
    <w:p>
      <w:pPr>
        <w:spacing w:line="360" w:lineRule="auto"/>
        <w:ind w:firstLine="480" w:firstLineChars="200"/>
        <w:rPr>
          <w:color w:val="000000"/>
          <w:sz w:val="24"/>
        </w:rPr>
      </w:pPr>
      <w:r>
        <w:rPr>
          <w:color w:val="000000"/>
          <w:sz w:val="24"/>
        </w:rPr>
        <w:t>注：1.本基金合同于2019年7月11日生效，截至报告期末本基金合同生效未满一年。</w:t>
      </w:r>
    </w:p>
    <w:p>
      <w:pPr>
        <w:spacing w:line="360" w:lineRule="auto"/>
        <w:ind w:firstLine="480" w:firstLineChars="200"/>
        <w:rPr>
          <w:color w:val="000000"/>
          <w:sz w:val="24"/>
        </w:rPr>
      </w:pPr>
      <w:r>
        <w:rPr>
          <w:color w:val="000000"/>
          <w:sz w:val="24"/>
        </w:rPr>
        <w:t>2.按基金合同和招募说明书的约定，本基金的建仓期为六个月，建仓期结束时各项资产配置比例符合基金合同（第十二部分二、投资范围，三、投资策略和四、投资限制）的有关约定。</w: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3.自基金合同生效至报告期末，A类基金份额净值增长率为4.77%，C类基金份额净值增长率为4.49%，同期业绩比较基准收益率为3.12%。</w:t>
      </w:r>
    </w:p>
    <w:p w:rsidP="006C5BC9" w:rsidR="00F016DD" w:rsidRDefault="00F016DD" w:rsidRPr="00FA472B">
      <w:pPr>
        <w:tabs>
          <w:tab w:pos="1800" w:val="left"/>
        </w:tabs>
        <w:spacing w:line="288" w:lineRule="auto"/>
        <w:rPr>
          <w:color w:val="000000"/>
          <w:sz w:val="24"/>
        </w:rPr>
      </w:pP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4  </w:t>
      </w:r>
      <w:r w:rsidRPr="0078105B">
        <w:rPr>
          <w:rFonts w:ascii="宋体" w:cs="Arial" w:hAnsi="宋体" w:hint="eastAsia"/>
          <w:color w:val="000000"/>
          <w:kern w:val="0"/>
          <w:sz w:val="24"/>
          <w:szCs w:val="24"/>
        </w:rPr>
        <w:t>管理人报告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4.1 </w:t>
      </w:r>
      <w:r w:rsidRPr="0078105B">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F016DD" w:rsidRPr="0078105B" w:rsidTr="00B54884">
        <w:trPr>
          <w:cantSplit/>
        </w:trPr>
        <w:tc>
          <w:tcPr>
            <w:tcW w:type="dxa" w:w="56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58694E" w:rsidR="00F016DD" w:rsidRDefault="00F016DD" w:rsidRPr="00FA472B">
            <w:pPr>
              <w:autoSpaceDE w:val="0"/>
              <w:autoSpaceDN w:val="0"/>
              <w:adjustRightInd w:val="0"/>
              <w:spacing w:before="29" w:line="288" w:lineRule="auto"/>
              <w:ind w:left="15"/>
              <w:jc w:val="center"/>
              <w:rPr>
                <w:color w:val="000000"/>
                <w:kern w:val="0"/>
                <w:sz w:val="24"/>
              </w:rPr>
            </w:pPr>
            <w:proofErr w:type="gramStart"/>
            <w:r w:rsidRPr="00FA472B">
              <w:rPr>
                <w:color w:val="000000"/>
                <w:kern w:val="0"/>
                <w:sz w:val="24"/>
              </w:rPr>
              <w:t>任本基金</w:t>
            </w:r>
            <w:proofErr w:type="gramEnd"/>
            <w:r w:rsidRPr="00FA472B">
              <w:rPr>
                <w:color w:val="000000"/>
                <w:kern w:val="0"/>
                <w:sz w:val="24"/>
              </w:rPr>
              <w:t>的基金经理期限</w:t>
            </w:r>
          </w:p>
        </w:tc>
        <w:tc>
          <w:tcPr>
            <w:tcW w:type="dxa" w:w="851"/>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type="dxa" w:w="56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835"/>
            <w:vMerge/>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李一硕</w:t>
            </w:r>
          </w:p>
        </w:tc>
        <w:tc>
          <w:tcPr>
            <w:vAlign w:val="center"/>
          </w:tcPr>
          <w:p>
            <w:pPr>
              <w:jc w:val="left"/>
            </w:pPr>
            <w:r>
              <w:rPr>
                <w:color w:val="000000"/>
                <w:sz w:val="24"/>
              </w:rPr>
              <w:t>本基金的基金经理、易方达永旭添利定期开放债券型证券投资基金的基金经理、易方达纯债1年定期开放债券型证券投资基金的基金经理、易方达裕如灵活配置混合型证券投资基金的基金经理、易方达恒信定期开放债券型发起式证券投资基金的基金经理、易方达恒惠定期开放债券型发起式证券投资基金的基金经理、易方达安源中短债债券型证券投资基金的基金经理、易方达恒益定期开放债券型发起式证券投资基金的基金经理、易方达年年恒秋纯债一年定期开放债券型发起式证券投资基金的基金经理、易方达年年恒春纯债一年定期开放债券型发起式证券投资基金的基金经理、易方达稳健收益债券型证券投资基金的基金经理助理、易方达中债新综合债券指数发起式证券投资基金（LOF）的基金经理助理、易方达信用债债券型证券投资基金的基金经理助理、易方达裕惠回报定期开放式混合型发起式证券投资基金的基金经理助理、易方达瑞富灵活配置混合型证券投资基金的基金经理助理、易方达恒兴3个月定期开放债券型发起式证券投资基金的基金经理助理、易方达富惠纯债债券型证券投资基金的基金经理助理、易方达丰惠混合型证券投资基金的基金经理助理（自2019年01月18日至2020年06月09日）、固定收益投资部总经理助理</w:t>
            </w:r>
          </w:p>
        </w:tc>
        <w:tc>
          <w:tcPr>
            <w:vAlign w:val="center"/>
          </w:tcPr>
          <w:p>
            <w:pPr>
              <w:jc w:val="center"/>
            </w:pPr>
            <w:r>
              <w:rPr>
                <w:color w:val="000000"/>
                <w:sz w:val="24"/>
              </w:rPr>
              <w:t>2019-07-11</w:t>
            </w:r>
          </w:p>
        </w:tc>
        <w:tc>
          <w:tcPr>
            <w:vAlign w:val="center"/>
          </w:tcPr>
          <w:p>
            <w:pPr>
              <w:jc w:val="center"/>
            </w:pPr>
            <w:r>
              <w:rPr>
                <w:color w:val="000000"/>
                <w:sz w:val="24"/>
              </w:rPr>
              <w:t>-</w:t>
            </w:r>
          </w:p>
        </w:tc>
        <w:tc>
          <w:tcPr>
            <w:vAlign w:val="center"/>
          </w:tcPr>
          <w:p>
            <w:pPr>
              <w:jc w:val="center"/>
            </w:pPr>
            <w:r>
              <w:rPr>
                <w:color w:val="000000"/>
                <w:sz w:val="24"/>
              </w:rPr>
              <w:t>12年</w:t>
            </w:r>
          </w:p>
        </w:tc>
        <w:tc>
          <w:tcPr>
            <w:vAlign w:val="center"/>
          </w:tcPr>
          <w:p>
            <w:pPr>
              <w:jc w:val="both"/>
            </w:pPr>
            <w:r>
              <w:rPr>
                <w:color w:val="000000"/>
                <w:sz w:val="24"/>
              </w:rPr>
              <w:t>硕士研究生，具有基金从业资格。曾任瑞银证券有限公司研究员，中国国际金融有限公司研究员，易方达基金管理有限公司固定收益研究员、易方达瑞景灵活配置混合型证券投资基金基金经理、易方达新利灵活配置混合型证券投资基金基金经理、易方达新享灵活配置混合型证券投资基金基金经理、易方达富惠纯债债券型证券投资基金基金经理、易方达聚盈分级债券型发起式证券投资基金基金经理、易方达新利灵活配置混合型证券投资基金基金经理助理、易方达新享灵活配置混合型证券投资基金基金经理助理、易方达裕如灵活配置混合型证券投资基金基金经理助理、易方达瑞祥灵活配置混合型证券投资基金基金经理助理、易方达瑞兴灵活配置混合型证券投资基金基金经理助理、易方达瑞智灵活配置混合型证券投资基金基金经理助理、易方达恒益定期开放债券型发起式证券投资基金基金经理助理、易方达瑞祺灵活配置混合型证券投资基金基金经理助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gramStart"/>
      <w:r w:rsidRPr="00DF18FE">
        <w:rPr>
          <w:color w:val="000000"/>
          <w:sz w:val="24"/>
        </w:rPr>
        <w:t/>
      </w:r>
      <w:proofErr w:type="gramEnd"/>
      <w:r w:rsidRPr="00DF18FE">
        <w:rPr>
          <w:color w:val="000000"/>
          <w:sz w:val="24"/>
        </w:rPr>
        <w:t>2.证券从业的含义遵从《证券业从业人员资格管理办法》的相关规定。</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4.3 </w:t>
      </w:r>
      <w:r w:rsidRPr="0078105B">
        <w:rPr>
          <w:rFonts w:ascii="宋体" w:cs="Arial" w:hAnsi="宋体" w:hint="eastAsia"/>
          <w:b/>
          <w:color w:val="000000"/>
          <w:kern w:val="0"/>
          <w:sz w:val="24"/>
        </w:rPr>
        <w:t>公平交易专项说明</w:t>
      </w:r>
    </w:p>
    <w:p w:rsidP="00FC13C8" w:rsidR="00F016DD" w:rsidRDefault="00F016DD" w:rsidRPr="00FA472B">
      <w:pPr>
        <w:spacing w:line="360" w:lineRule="auto"/>
        <w:rPr>
          <w:rFonts w:ascii="宋体" w:hAnsi="宋体"/>
          <w:sz w:val="24"/>
        </w:rPr>
      </w:pPr>
      <w:r w:rsidRPr="00FA472B">
        <w:rPr>
          <w:rFonts w:ascii="宋体" w:hAnsi="宋体"/>
          <w:sz w:val="24"/>
        </w:rPr>
        <w:t xml:space="preserve">4.3.1 </w:t>
      </w:r>
      <w:r w:rsidRPr="00FA472B">
        <w:rPr>
          <w:rFonts w:ascii="宋体" w:hAnsi="宋体" w:hint="eastAsia"/>
          <w:sz w:val="24"/>
        </w:rPr>
        <w:t>公平交易制度的执行情况</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F016DD" w:rsidRDefault="00F016DD" w:rsidRPr="00FA472B">
      <w:pPr>
        <w:spacing w:line="360" w:lineRule="auto"/>
        <w:rPr>
          <w:rFonts w:ascii="宋体" w:hAnsi="宋体"/>
          <w:sz w:val="24"/>
        </w:rPr>
      </w:pPr>
      <w:r w:rsidRPr="00FA472B">
        <w:rPr>
          <w:rFonts w:ascii="宋体" w:hAnsi="宋体"/>
          <w:sz w:val="24"/>
        </w:rPr>
        <w:lastRenderedPageBreak/>
        <w:t xml:space="preserve">4.3.2 </w:t>
      </w:r>
      <w:r w:rsidRPr="00FA472B">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本报告期内，未发现本基金有可能导致不公平交易和利益输送的异常交易。</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4.4 </w:t>
      </w:r>
      <w:r w:rsidRPr="0078105B">
        <w:rPr>
          <w:rFonts w:ascii="宋体" w:cs="Arial" w:hAnsi="宋体" w:hint="eastAsia"/>
          <w:b/>
          <w:color w:val="000000"/>
          <w:kern w:val="0"/>
          <w:sz w:val="24"/>
        </w:rPr>
        <w:t>报告期内基金的投资策略和业绩表现说明</w:t>
      </w:r>
    </w:p>
    <w:p w:rsidP="00FC13C8" w:rsidR="00F016DD" w:rsidRDefault="00F016DD" w:rsidRPr="0078105B">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2020年二季度我国宏观经济从疫情的冲击下开始迅速恢复，主要体现在以下几个方面。首先，工业生产水平显著反弹，4月及5月工业增加值同比增速分别达到3.9%及4.4%，发电量、粗钢产量及耗煤量等行业数据也明显回升。其次，出口增速好于预期。虽然二季度主要欧美国家在疫情的影响下经济活动明显停滞，但得益于防疫类物资出口规模较大，外需对我国经济的负面影响总体有限。最后，房地产行业的韧性较强，5月全国商品房销售面积增速大幅提高至9.7%，同时地产投资增速也快速回升。</w:t>
      </w:r>
    </w:p>
    <w:p>
      <w:pPr>
        <w:spacing w:line="360" w:lineRule="auto"/>
        <w:ind w:firstLine="480" w:firstLineChars="200"/>
        <w:rPr>
          <w:color w:val="000000"/>
          <w:sz w:val="24"/>
        </w:rPr>
      </w:pPr>
      <w:r>
        <w:rPr>
          <w:color w:val="000000"/>
          <w:sz w:val="24"/>
        </w:rPr>
        <w:t>在经济逐步复苏的过程中，二季度我国货币政策导向出现了较为明显的切换，债券市场收益率出现了大幅波动。4月央行在推出定向降准政策的同时，将金融机构在央行超额存款准备金利率从0.72%下调至0.35%，带动债券收益率曲线陡峭化下行。此后《政府工作报告》中提出“稳健的货币政策要更加灵活适度。综合运用降准降息、再贷款等手段，引导广义货币供应量和社会融资规模增速明显高于去年”。5月份以来，央行逐步开始边际上收紧货币市场流动性，并引导银行间资金利率的快速上行。相较于4月末的低点，1年期国开行政策性金融债收益率在5-6月期间上行100bp，同期3年期AAA评级中期票据收益率攀升86bp，收益率曲线形态明显平坦化。</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操作上，组合在开放期前不断降低债券仓位，进入封闭期后重新提高杠杆水平。受到债券市场剧烈波动的影响，组合净值有所回撤。未来我们在维持久期匹配的整体策略下，将根据市场情况灵活调整组合的配置结构。</w:t>
      </w:r>
    </w:p>
    <w:p w:rsidP="00FC13C8" w:rsidR="00F016DD" w:rsidRDefault="00F016DD" w:rsidRPr="0078105B">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截至报告期末，本基金A类基金份额净值为1.0153元，本报告期份额净值增长率为0.50%，同期业绩比较基准收益率为0.44%；C类基金份额净值为1.0145元，本报告期份额净值增长率为0.44%，同期业绩比较基准收益率为0.44%。</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5  </w:t>
      </w:r>
      <w:r w:rsidRPr="0078105B">
        <w:rPr>
          <w:rFonts w:ascii="宋体" w:cs="Arial" w:hAnsi="宋体" w:hint="eastAsia"/>
          <w:color w:val="000000"/>
          <w:kern w:val="0"/>
          <w:sz w:val="24"/>
          <w:szCs w:val="24"/>
        </w:rPr>
        <w:t>投资组合报告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5.1 </w:t>
      </w:r>
      <w:r w:rsidRPr="0078105B">
        <w:rPr>
          <w:rFonts w:ascii="宋体" w:cs="Arial" w:hAnsi="宋体" w:hint="eastAsia"/>
          <w:b/>
          <w:color w:val="000000"/>
          <w:kern w:val="0"/>
          <w:sz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335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项目</w:t>
            </w:r>
          </w:p>
        </w:tc>
        <w:tc>
          <w:tcPr>
            <w:tcW w:type="dxa" w:w="297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type="dxa" w:w="184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1</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权益投资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其中：股票</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2</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固定收益投资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2,861,348,320.00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96.03</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其中：债券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2,771,369,320.00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93.01</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89,979,000.00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3.02</w:t>
            </w:r>
          </w:p>
        </w:tc>
      </w:tr>
      <w:tr w:rsidR="00F016DD" w:rsidRPr="00264E55" w:rsidTr="00F4518C">
        <w:trPr>
          <w:jc w:val="center"/>
        </w:trPr>
        <w:tc>
          <w:tcPr>
            <w:tcW w:type="dxa" w:w="720"/>
          </w:tcPr>
          <w:p w:rsidP="00F4518C" w:rsidR="00F016DD" w:rsidRDefault="00F016DD" w:rsidRPr="00FA472B">
            <w:pPr>
              <w:spacing w:before="29" w:line="360" w:lineRule="auto"/>
              <w:ind w:left="17"/>
              <w:jc w:val="center"/>
              <w:rPr>
                <w:color w:val="000000"/>
                <w:sz w:val="24"/>
              </w:rPr>
            </w:pPr>
            <w:r w:rsidRPr="00FA472B">
              <w:rPr>
                <w:color w:val="000000"/>
                <w:sz w:val="24"/>
              </w:rPr>
              <w:t>3</w:t>
            </w:r>
          </w:p>
        </w:tc>
        <w:tc>
          <w:tcPr>
            <w:tcW w:type="dxa" w:w="3357"/>
          </w:tcPr>
          <w:p w:rsidP="00174038" w:rsidR="00F016DD" w:rsidRDefault="00F016DD" w:rsidRPr="00FA472B">
            <w:pPr>
              <w:spacing w:before="29" w:line="360" w:lineRule="auto"/>
              <w:ind w:left="105" w:leftChars="50"/>
              <w:rPr>
                <w:color w:val="000000"/>
                <w:sz w:val="24"/>
              </w:rPr>
            </w:pPr>
            <w:r w:rsidRPr="00FA472B">
              <w:rPr>
                <w:color w:val="000000"/>
                <w:sz w:val="24"/>
              </w:rPr>
              <w:t>贵金属投资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4</w:t>
            </w:r>
          </w:p>
        </w:tc>
        <w:tc>
          <w:tcPr>
            <w:tcW w:type="dxa" w:w="3357"/>
            <w:vAlign w:val="center"/>
          </w:tcPr>
          <w:p w:rsidP="00F4518C" w:rsidR="00F016DD" w:rsidRDefault="00F016DD" w:rsidRPr="00FA472B">
            <w:pPr>
              <w:spacing w:before="29" w:line="360" w:lineRule="auto"/>
              <w:ind w:left="17"/>
              <w:jc w:val="left"/>
              <w:rPr>
                <w:color w:val="000000"/>
                <w:sz w:val="24"/>
              </w:rPr>
            </w:pPr>
            <w:r w:rsidRPr="00FA472B">
              <w:rPr>
                <w:color w:val="000000"/>
                <w:sz w:val="24"/>
              </w:rPr>
              <w:t>金融衍生</w:t>
            </w:r>
            <w:proofErr w:type="gramStart"/>
            <w:r w:rsidRPr="00FA472B">
              <w:rPr>
                <w:color w:val="000000"/>
                <w:sz w:val="24"/>
              </w:rPr>
              <w:t>品投资</w:t>
            </w:r>
            <w:proofErr w:type="gramEnd"/>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5</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其中：买断式回购的买入返售金融资产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6</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银行存款和结算备付金合计</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59,190,103.29</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1.99</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7</w:t>
            </w:r>
          </w:p>
        </w:tc>
        <w:tc>
          <w:tcPr>
            <w:tcW w:type="dxa" w:w="3357"/>
            <w:vAlign w:val="center"/>
          </w:tcPr>
          <w:p w:rsidP="00F4518C" w:rsidR="00F016DD" w:rsidRDefault="00F016DD" w:rsidRPr="00FA472B">
            <w:pPr>
              <w:jc w:val="left"/>
              <w:rPr>
                <w:sz w:val="24"/>
              </w:rPr>
            </w:pPr>
            <w:r w:rsidRPr="00FA472B">
              <w:rPr>
                <w:color w:val="000000"/>
                <w:sz w:val="24"/>
              </w:rPr>
              <w:t>其他资产</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59,153,452.27</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1.99</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8</w:t>
            </w:r>
          </w:p>
        </w:tc>
        <w:tc>
          <w:tcPr>
            <w:tcW w:type="dxa" w:w="3357"/>
            <w:vAlign w:val="center"/>
          </w:tcPr>
          <w:p w:rsidP="00F4518C" w:rsidR="00F016DD" w:rsidRDefault="00F016DD" w:rsidRPr="00FA472B">
            <w:pPr>
              <w:jc w:val="left"/>
              <w:rPr>
                <w:sz w:val="24"/>
              </w:rPr>
            </w:pPr>
            <w:r w:rsidRPr="00FA472B">
              <w:rPr>
                <w:color w:val="000000"/>
                <w:sz w:val="24"/>
              </w:rPr>
              <w:t>合计</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2,979,691,875.56</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100.00</w:t>
            </w:r>
          </w:p>
        </w:tc>
      </w:tr>
    </w:tbl>
    <w:p w:rsidP="00B54884" w:rsidR="00874AA3" w:rsidRDefault="00874AA3" w:rsidRPr="00C70969">
      <w:pPr>
        <w:autoSpaceDE w:val="0"/>
        <w:autoSpaceDN w:val="0"/>
        <w:adjustRightInd w:val="0"/>
        <w:spacing w:before="312" w:beforeLines="100" w:line="360" w:lineRule="auto"/>
        <w:jc w:val="left"/>
        <w:rPr>
          <w:rFonts w:eastAsiaTheme="minorEastAsia"/>
          <w:b/>
          <w:color w:themeColor="text1" w:val="000000"/>
          <w:kern w:val="0"/>
          <w:sz w:val="24"/>
        </w:rPr>
      </w:pPr>
      <w:r w:rsidRPr="00C70969">
        <w:rPr>
          <w:rFonts w:eastAsiaTheme="minorEastAsia"/>
          <w:b/>
          <w:color w:themeColor="text1" w:val="000000"/>
          <w:kern w:val="0"/>
          <w:sz w:val="24"/>
        </w:rPr>
        <w:t xml:space="preserve">5.2 </w:t>
      </w:r>
      <w:r w:rsidRPr="00C70969">
        <w:rPr>
          <w:rFonts w:eastAsiaTheme="minorEastAsia"/>
          <w:b/>
          <w:color w:themeColor="text1" w:val="000000"/>
          <w:kern w:val="0"/>
          <w:sz w:val="24"/>
        </w:rPr>
        <w:t>报告期末按行业分类的股票投资组合</w:t>
      </w:r>
    </w:p>
    <w:p w:rsidP="00874AA3" w:rsidR="00874AA3" w:rsidRDefault="00874AA3" w:rsidRPr="00C70969">
      <w:pPr>
        <w:rPr>
          <w:b/>
          <w:sz w:val="24"/>
        </w:rPr>
      </w:pPr>
      <w:r w:rsidRPr="00C70969">
        <w:rPr>
          <w:b/>
          <w:sz w:val="24"/>
        </w:rPr>
        <w:t xml:space="preserve"> </w:t>
      </w:r>
      <w:r w:rsidRPr="00C70969">
        <w:rPr>
          <w:b/>
          <w:color w:themeColor="text1" w:val="000000"/>
          <w:sz w:val="24"/>
        </w:rPr>
        <w:t/>
      </w:r>
      <w:proofErr w:type="spellStart"/>
      <w:r w:rsidRPr="00C70969">
        <w:rPr>
          <w:b/>
          <w:color w:themeColor="text1" w:val="000000"/>
          <w:sz w:val="24"/>
        </w:rPr>
        <w:t/>
      </w:r>
      <w:proofErr w:type="spellEnd"/>
      <w:r w:rsidRPr="00C70969">
        <w:rPr>
          <w:b/>
          <w:color w:themeColor="text1" w:val="000000"/>
          <w:sz w:val="24"/>
        </w:rPr>
        <w:t/>
      </w:r>
      <w:r w:rsidRPr="00C70969">
        <w:rPr>
          <w:rFonts w:eastAsiaTheme="minorEastAsia"/>
          <w:b/>
          <w:color w:themeColor="text1" w:val="000000"/>
          <w:kern w:val="0"/>
          <w:sz w:val="24"/>
        </w:rPr>
        <w:t>5.2.1</w:t>
      </w:r>
      <w:r w:rsidRPr="00C70969">
        <w:rPr>
          <w:rFonts w:eastAsiaTheme="minorEastAsia"/>
          <w:b/>
          <w:color w:themeColor="text1" w:val="000000"/>
          <w:kern w:val="0"/>
          <w:sz w:val="24"/>
        </w:rPr>
        <w:t>报告期末按行业分类的境内股票投资组合</w:t>
      </w:r>
    </w:p>
    <w:p w:rsidP="00EA6415" w:rsidR="00874AA3" w:rsidRDefault="00874AA3" w:rsidRPr="00EA6415">
      <w:pPr>
        <w:spacing w:line="360" w:lineRule="auto"/>
        <w:ind w:firstLine="480" w:firstLineChars="200"/>
        <w:rPr>
          <w:color w:val="000000"/>
          <w:sz w:val="24"/>
        </w:rPr>
      </w:pPr>
      <w:r w:rsidRPr="00EA6415">
        <w:rPr>
          <w:color w:val="000000"/>
          <w:sz w:val="24"/>
        </w:rPr>
        <w:t/>
      </w:r>
      <w:proofErr w:type="spellStart"/>
      <w:r w:rsidRPr="00EA6415">
        <w:rPr>
          <w:color w:val="000000"/>
          <w:sz w:val="24"/>
        </w:rPr>
        <w:t/>
      </w:r>
      <w:proofErr w:type="spellEnd"/>
      <w:r w:rsidRPr="00EA6415">
        <w:rPr>
          <w:color w:val="000000"/>
          <w:sz w:val="24"/>
        </w:rPr>
        <w:t/>
      </w:r>
      <w:proofErr w:type="spellStart"/>
      <w:proofErr w:type="gramStart"/>
      <w:r w:rsidRPr="00EA6415">
        <w:rPr>
          <w:color w:val="000000"/>
          <w:sz w:val="24"/>
        </w:rPr>
        <w:t/>
      </w:r>
      <w:proofErr w:type="spellEnd"/>
      <w:proofErr w:type="gramEnd"/>
      <w:r w:rsidRPr="00EA6415">
        <w:rPr>
          <w:color w:val="000000"/>
          <w:sz w:val="24"/>
        </w:rPr>
        <w:t>本基金本报告期末未持有境内股票。</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5.3 </w:t>
      </w:r>
      <w:r w:rsidRPr="0078105B">
        <w:rPr>
          <w:rFonts w:ascii="宋体" w:cs="Arial" w:hAnsi="宋体" w:hint="eastAsia"/>
          <w:b/>
          <w:color w:val="000000"/>
          <w:kern w:val="0"/>
          <w:sz w:val="24"/>
        </w:rPr>
        <w:t>报告期末按公允价值占基金资产净值比例大小排序的前十名股票投资明细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本基金本报告期末未持有股票。</w:t>
      </w:r>
    </w:p>
    <w:p w:rsidP="00B54884" w:rsidR="006A1153" w:rsidRDefault="00F016DD" w:rsidRPr="006A1153">
      <w:pPr>
        <w:autoSpaceDE w:val="0"/>
        <w:autoSpaceDN w:val="0"/>
        <w:adjustRightInd w:val="0"/>
        <w:spacing w:before="312" w:beforeLines="100" w:line="360" w:lineRule="auto"/>
        <w:jc w:val="left"/>
        <w:rPr>
          <w:rFonts w:eastAsiaTheme="minorEastAsia"/>
          <w:b/>
          <w:color w:themeColor="text1" w:val="000000"/>
          <w:kern w:val="0"/>
          <w:sz w:val="24"/>
        </w:rPr>
      </w:pPr>
      <w:r w:rsidRPr="0078105B">
        <w:rPr>
          <w:rFonts w:ascii="宋体" w:cs="Arial" w:hAnsi="宋体"/>
          <w:b/>
          <w:color w:val="000000"/>
          <w:kern w:val="0"/>
          <w:sz w:val="24"/>
        </w:rPr>
        <w:t xml:space="preserve">5.4 </w:t>
      </w:r>
      <w:r w:rsidRPr="0078105B">
        <w:rPr>
          <w:rFonts w:ascii="宋体" w:cs="Arial" w:hAnsi="宋体" w:hint="eastAsia"/>
          <w:b/>
          <w:color w:val="000000"/>
          <w:kern w:val="0"/>
          <w:sz w:val="24"/>
        </w:rPr>
        <w:t>报告期末按债券品种分类的债券投资组合</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2835"/>
        <w:gridCol w:w="1616"/>
      </w:tblGrid>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序号</w:t>
            </w:r>
          </w:p>
        </w:tc>
        <w:tc>
          <w:tcPr>
            <w:tcW w:type="dxa" w:w="3260"/>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债券品种</w:t>
            </w: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
            </w:r>
          </w:p>
        </w:tc>
        <w:tc>
          <w:tcPr>
            <w:tcW w:type="dxa" w:w="2835"/>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公允价值</w:t>
            </w:r>
            <w:r w:rsidRPr="006A1153">
              <w:rPr>
                <w:rFonts w:eastAsiaTheme="minorEastAsia"/>
                <w:color w:themeColor="text1" w:val="000000"/>
                <w:sz w:val="24"/>
              </w:rPr>
              <w:t>(</w:t>
            </w:r>
            <w:r w:rsidRPr="006A1153">
              <w:rPr>
                <w:rFonts w:eastAsiaTheme="minorEastAsia"/>
                <w:color w:themeColor="text1" w:val="000000"/>
                <w:sz w:val="24"/>
              </w:rPr>
              <w:t>元</w:t>
            </w:r>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占基金资产净值比例</w:t>
            </w:r>
            <w:r w:rsidRPr="006A1153">
              <w:rPr>
                <w:rFonts w:eastAsiaTheme="minorEastAsia"/>
                <w:color w:themeColor="text1" w:val="000000"/>
                <w:sz w:val="24"/>
              </w:rPr>
              <w:t>(</w:t>
            </w:r>
            <w:r w:rsidRPr="006A1153">
              <w:rPr>
                <w:rFonts w:eastAsiaTheme="minorEastAsia"/>
                <w:color w:themeColor="text1" w:val="000000"/>
                <w:sz w:val="24"/>
              </w:rPr>
              <w:t>％</w:t>
            </w: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国家债券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2</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央行票据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3</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金融债券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391,157,000.00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lastRenderedPageBreak/>
              <w:t/>
            </w:r>
            <w:r w:rsidRPr="006A1153">
              <w:rPr>
                <w:rFonts w:eastAsiaTheme="minorEastAsia"/>
                <w:color w:themeColor="text1" w:val="000000"/>
                <w:sz w:val="24"/>
              </w:rPr>
              <w:lastRenderedPageBreak/>
              <w:t>20.48</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其中：政策性金融债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391,157,000.00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20.48</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4</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1,377,355,820.00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72.13</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5</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企业短期融资</w:t>
            </w:r>
            <w:proofErr w:type="gramStart"/>
            <w:r w:rsidRPr="006A1153">
              <w:rPr>
                <w:rFonts w:eastAsiaTheme="minorEastAsia"/>
                <w:color w:themeColor="text1" w:val="000000"/>
                <w:sz w:val="24"/>
              </w:rPr>
              <w:t>券</w:t>
            </w:r>
            <w:proofErr w:type="gramEnd"/>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301,706,000.00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15.80</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6</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中期票据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701,150,500.00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r w:rsidRPr="006A1153">
              <w:rPr>
                <w:rFonts w:eastAsiaTheme="minorEastAsia"/>
                <w:color w:themeColor="text1" w:val="000000"/>
                <w:sz w:val="24"/>
              </w:rPr>
              <w:lastRenderedPageBreak/>
              <w:t>36.72</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lastRenderedPageBreak/>
              <w:t>7</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可转债</w:t>
            </w:r>
            <w:r w:rsidR="00524368" w:rsidRPr="00524368">
              <w:rPr>
                <w:rFonts w:eastAsiaTheme="minorEastAsia" w:hint="eastAsia"/>
                <w:color w:themeColor="text1" w:val="000000"/>
                <w:sz w:val="24"/>
              </w:rPr>
              <w:t>（可交换债）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8</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同业存单</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9</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其他</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10</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合计</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2,771,369,320.00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145.13</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5.5 </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的前五名债券投资明细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1559"/>
        <w:gridCol w:w="1985"/>
        <w:gridCol w:w="1559"/>
        <w:gridCol w:w="2126"/>
        <w:gridCol w:w="990"/>
      </w:tblGrid>
      <w:tr w:rsidR="00F016DD" w:rsidRPr="0078105B" w:rsidTr="00CA7FF7">
        <w:tc>
          <w:tcPr>
            <w:tcW w:type="dxa" w:w="802"/>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债券代码</w:t>
            </w:r>
          </w:p>
        </w:tc>
        <w:tc>
          <w:tcPr>
            <w:tcW w:type="dxa" w:w="198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债券名称</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数量（张）</w:t>
            </w:r>
          </w:p>
        </w:tc>
        <w:tc>
          <w:tcPr>
            <w:tcW w:type="dxa" w:w="2126"/>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990"/>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200202</w:t>
            </w:r>
          </w:p>
        </w:tc>
        <w:tc>
          <w:tcPr>
            <w:vAlign w:val="center"/>
          </w:tcPr>
          <w:p>
            <w:pPr>
              <w:jc w:val="center"/>
            </w:pPr>
            <w:r>
              <w:rPr>
                <w:color w:val="000000"/>
                <w:sz w:val="24"/>
              </w:rPr>
              <w:t>20国开02</w:t>
            </w:r>
          </w:p>
        </w:tc>
        <w:tc>
          <w:tcPr>
            <w:vAlign w:val="center"/>
          </w:tcPr>
          <w:p>
            <w:pPr>
              <w:jc w:val="right"/>
            </w:pPr>
            <w:r>
              <w:rPr>
                <w:color w:val="000000"/>
                <w:sz w:val="24"/>
              </w:rPr>
              <w:t>1,000,000</w:t>
            </w:r>
          </w:p>
        </w:tc>
        <w:tc>
          <w:tcPr>
            <w:vAlign w:val="center"/>
          </w:tcPr>
          <w:p>
            <w:pPr>
              <w:jc w:val="right"/>
            </w:pPr>
            <w:r>
              <w:rPr>
                <w:color w:val="000000"/>
                <w:sz w:val="24"/>
              </w:rPr>
              <w:t>97,800,000.00</w:t>
            </w:r>
          </w:p>
        </w:tc>
        <w:tc>
          <w:tcPr>
            <w:vAlign w:val="center"/>
          </w:tcPr>
          <w:p>
            <w:pPr>
              <w:jc w:val="right"/>
            </w:pPr>
            <w:r>
              <w:rPr>
                <w:color w:val="000000"/>
                <w:sz w:val="24"/>
              </w:rPr>
              <w:t>5.12</w:t>
            </w:r>
          </w:p>
        </w:tc>
      </w:tr>
      <w:tr>
        <w:tc>
          <w:tcPr>
            <w:vAlign w:val="center"/>
          </w:tcPr>
          <w:p>
            <w:pPr>
              <w:jc w:val="center"/>
            </w:pPr>
            <w:r>
              <w:rPr>
                <w:color w:val="000000"/>
                <w:sz w:val="24"/>
              </w:rPr>
              <w:t>2</w:t>
            </w:r>
          </w:p>
        </w:tc>
        <w:tc>
          <w:tcPr>
            <w:vAlign w:val="center"/>
          </w:tcPr>
          <w:p>
            <w:pPr>
              <w:jc w:val="center"/>
            </w:pPr>
            <w:r>
              <w:rPr>
                <w:color w:val="000000"/>
                <w:sz w:val="24"/>
              </w:rPr>
              <w:t>190207</w:t>
            </w:r>
          </w:p>
        </w:tc>
        <w:tc>
          <w:tcPr>
            <w:vAlign w:val="center"/>
          </w:tcPr>
          <w:p>
            <w:pPr>
              <w:jc w:val="center"/>
            </w:pPr>
            <w:r>
              <w:rPr>
                <w:color w:val="000000"/>
                <w:sz w:val="24"/>
              </w:rPr>
              <w:t>19国开07</w:t>
            </w:r>
          </w:p>
        </w:tc>
        <w:tc>
          <w:tcPr>
            <w:vAlign w:val="center"/>
          </w:tcPr>
          <w:p>
            <w:pPr>
              <w:jc w:val="right"/>
            </w:pPr>
            <w:r>
              <w:rPr>
                <w:color w:val="000000"/>
                <w:sz w:val="24"/>
              </w:rPr>
              <w:t>800,000</w:t>
            </w:r>
          </w:p>
        </w:tc>
        <w:tc>
          <w:tcPr>
            <w:vAlign w:val="center"/>
          </w:tcPr>
          <w:p>
            <w:pPr>
              <w:jc w:val="right"/>
            </w:pPr>
            <w:r>
              <w:rPr>
                <w:color w:val="000000"/>
                <w:sz w:val="24"/>
              </w:rPr>
              <w:t>80,936,000.00</w:t>
            </w:r>
          </w:p>
        </w:tc>
        <w:tc>
          <w:tcPr>
            <w:vAlign w:val="center"/>
          </w:tcPr>
          <w:p>
            <w:pPr>
              <w:jc w:val="right"/>
            </w:pPr>
            <w:r>
              <w:rPr>
                <w:color w:val="000000"/>
                <w:sz w:val="24"/>
              </w:rPr>
              <w:t>4.24</w:t>
            </w:r>
          </w:p>
        </w:tc>
      </w:tr>
      <w:tr>
        <w:tc>
          <w:tcPr>
            <w:vAlign w:val="center"/>
          </w:tcPr>
          <w:p>
            <w:pPr>
              <w:jc w:val="center"/>
            </w:pPr>
            <w:r>
              <w:rPr>
                <w:color w:val="000000"/>
                <w:sz w:val="24"/>
              </w:rPr>
              <w:t>3</w:t>
            </w:r>
          </w:p>
        </w:tc>
        <w:tc>
          <w:tcPr>
            <w:vAlign w:val="center"/>
          </w:tcPr>
          <w:p>
            <w:pPr>
              <w:jc w:val="center"/>
            </w:pPr>
            <w:r>
              <w:rPr>
                <w:color w:val="000000"/>
                <w:sz w:val="24"/>
              </w:rPr>
              <w:t>122456</w:t>
            </w:r>
          </w:p>
        </w:tc>
        <w:tc>
          <w:tcPr>
            <w:vAlign w:val="center"/>
          </w:tcPr>
          <w:p>
            <w:pPr>
              <w:jc w:val="center"/>
            </w:pPr>
            <w:r>
              <w:rPr>
                <w:color w:val="000000"/>
                <w:sz w:val="24"/>
              </w:rPr>
              <w:t>15绿城03</w:t>
            </w:r>
          </w:p>
        </w:tc>
        <w:tc>
          <w:tcPr>
            <w:vAlign w:val="center"/>
          </w:tcPr>
          <w:p>
            <w:pPr>
              <w:jc w:val="right"/>
            </w:pPr>
            <w:r>
              <w:rPr>
                <w:color w:val="000000"/>
                <w:sz w:val="24"/>
              </w:rPr>
              <w:t>800,000</w:t>
            </w:r>
          </w:p>
        </w:tc>
        <w:tc>
          <w:tcPr>
            <w:vAlign w:val="center"/>
          </w:tcPr>
          <w:p>
            <w:pPr>
              <w:jc w:val="right"/>
            </w:pPr>
            <w:r>
              <w:rPr>
                <w:color w:val="000000"/>
                <w:sz w:val="24"/>
              </w:rPr>
              <w:t>80,360,000.00</w:t>
            </w:r>
          </w:p>
        </w:tc>
        <w:tc>
          <w:tcPr>
            <w:vAlign w:val="center"/>
          </w:tcPr>
          <w:p>
            <w:pPr>
              <w:jc w:val="right"/>
            </w:pPr>
            <w:r>
              <w:rPr>
                <w:color w:val="000000"/>
                <w:sz w:val="24"/>
              </w:rPr>
              <w:t>4.21</w:t>
            </w:r>
          </w:p>
        </w:tc>
      </w:tr>
      <w:tr>
        <w:tc>
          <w:tcPr>
            <w:vAlign w:val="center"/>
          </w:tcPr>
          <w:p>
            <w:pPr>
              <w:jc w:val="center"/>
            </w:pPr>
            <w:r>
              <w:rPr>
                <w:color w:val="000000"/>
                <w:sz w:val="24"/>
              </w:rPr>
              <w:t>4</w:t>
            </w:r>
          </w:p>
        </w:tc>
        <w:tc>
          <w:tcPr>
            <w:vAlign w:val="center"/>
          </w:tcPr>
          <w:p>
            <w:pPr>
              <w:jc w:val="center"/>
            </w:pPr>
            <w:r>
              <w:rPr>
                <w:color w:val="000000"/>
                <w:sz w:val="24"/>
              </w:rPr>
              <w:t>136259</w:t>
            </w:r>
          </w:p>
        </w:tc>
        <w:tc>
          <w:tcPr>
            <w:vAlign w:val="center"/>
          </w:tcPr>
          <w:p>
            <w:pPr>
              <w:jc w:val="center"/>
            </w:pPr>
            <w:r>
              <w:rPr>
                <w:color w:val="000000"/>
                <w:sz w:val="24"/>
              </w:rPr>
              <w:t>16龙湖03</w:t>
            </w:r>
          </w:p>
        </w:tc>
        <w:tc>
          <w:tcPr>
            <w:vAlign w:val="center"/>
          </w:tcPr>
          <w:p>
            <w:pPr>
              <w:jc w:val="right"/>
            </w:pPr>
            <w:r>
              <w:rPr>
                <w:color w:val="000000"/>
                <w:sz w:val="24"/>
              </w:rPr>
              <w:t>700,000</w:t>
            </w:r>
          </w:p>
        </w:tc>
        <w:tc>
          <w:tcPr>
            <w:vAlign w:val="center"/>
          </w:tcPr>
          <w:p>
            <w:pPr>
              <w:jc w:val="right"/>
            </w:pPr>
            <w:r>
              <w:rPr>
                <w:color w:val="000000"/>
                <w:sz w:val="24"/>
              </w:rPr>
              <w:t>71,120,000.00</w:t>
            </w:r>
          </w:p>
        </w:tc>
        <w:tc>
          <w:tcPr>
            <w:vAlign w:val="center"/>
          </w:tcPr>
          <w:p>
            <w:pPr>
              <w:jc w:val="right"/>
            </w:pPr>
            <w:r>
              <w:rPr>
                <w:color w:val="000000"/>
                <w:sz w:val="24"/>
              </w:rPr>
              <w:t>3.72</w:t>
            </w:r>
          </w:p>
        </w:tc>
      </w:tr>
      <w:tr>
        <w:tc>
          <w:tcPr>
            <w:vAlign w:val="center"/>
          </w:tcPr>
          <w:p>
            <w:pPr>
              <w:jc w:val="center"/>
            </w:pPr>
            <w:r>
              <w:rPr>
                <w:color w:val="000000"/>
                <w:sz w:val="24"/>
              </w:rPr>
              <w:t>5</w:t>
            </w:r>
          </w:p>
        </w:tc>
        <w:tc>
          <w:tcPr>
            <w:vAlign w:val="center"/>
          </w:tcPr>
          <w:p>
            <w:pPr>
              <w:jc w:val="center"/>
            </w:pPr>
            <w:r>
              <w:rPr>
                <w:color w:val="000000"/>
                <w:sz w:val="24"/>
              </w:rPr>
              <w:t>180208</w:t>
            </w:r>
          </w:p>
        </w:tc>
        <w:tc>
          <w:tcPr>
            <w:vAlign w:val="center"/>
          </w:tcPr>
          <w:p>
            <w:pPr>
              <w:jc w:val="center"/>
            </w:pPr>
            <w:r>
              <w:rPr>
                <w:color w:val="000000"/>
                <w:sz w:val="24"/>
              </w:rPr>
              <w:t>18国开08</w:t>
            </w:r>
          </w:p>
        </w:tc>
        <w:tc>
          <w:tcPr>
            <w:vAlign w:val="center"/>
          </w:tcPr>
          <w:p>
            <w:pPr>
              <w:jc w:val="right"/>
            </w:pPr>
            <w:r>
              <w:rPr>
                <w:color w:val="000000"/>
                <w:sz w:val="24"/>
              </w:rPr>
              <w:t>600,000</w:t>
            </w:r>
          </w:p>
        </w:tc>
        <w:tc>
          <w:tcPr>
            <w:vAlign w:val="center"/>
          </w:tcPr>
          <w:p>
            <w:pPr>
              <w:jc w:val="right"/>
            </w:pPr>
            <w:r>
              <w:rPr>
                <w:color w:val="000000"/>
                <w:sz w:val="24"/>
              </w:rPr>
              <w:t>60,906,000.00</w:t>
            </w:r>
          </w:p>
        </w:tc>
        <w:tc>
          <w:tcPr>
            <w:vAlign w:val="center"/>
          </w:tcPr>
          <w:p>
            <w:pPr>
              <w:jc w:val="right"/>
            </w:pPr>
            <w:r>
              <w:rPr>
                <w:color w:val="000000"/>
                <w:sz w:val="24"/>
              </w:rPr>
              <w:t>3.19</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5.6</w:t>
      </w:r>
      <w:r w:rsidRPr="0078105B">
        <w:rPr>
          <w:rFonts w:ascii="宋体" w:cs="Arial" w:hAnsi="宋体" w:hint="eastAsia"/>
          <w:b/>
          <w:color w:val="000000"/>
          <w:kern w:val="0"/>
          <w:sz w:val="24"/>
        </w:rPr>
        <w:t xml:space="preserve">　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的前十名资产支持证券投资明细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21"/>
        <w:gridCol w:w="1316"/>
        <w:gridCol w:w="1272"/>
        <w:gridCol w:w="1732"/>
        <w:gridCol w:w="1652"/>
        <w:gridCol w:w="1828"/>
      </w:tblGrid>
      <w:tr w:rsidR="00F016DD" w:rsidRPr="0078105B" w:rsidTr="00174038">
        <w:tc>
          <w:tcPr>
            <w:tcW w:type="dxa" w:w="1187"/>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32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证券代码</w:t>
            </w:r>
          </w:p>
        </w:tc>
        <w:tc>
          <w:tcPr>
            <w:tcW w:type="dxa" w:w="1263"/>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证券名称</w:t>
            </w:r>
          </w:p>
        </w:tc>
        <w:tc>
          <w:tcPr>
            <w:tcW w:type="dxa" w:w="181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w:t>
            </w:r>
            <w:r w:rsidRPr="00FA472B">
              <w:rPr>
                <w:color w:val="000000"/>
                <w:kern w:val="0"/>
                <w:sz w:val="24"/>
              </w:rPr>
              <w:t>(</w:t>
            </w:r>
            <w:r w:rsidRPr="00FA472B">
              <w:rPr>
                <w:color w:val="000000"/>
                <w:kern w:val="0"/>
                <w:sz w:val="24"/>
              </w:rPr>
              <w:t>份</w:t>
            </w:r>
            <w:r w:rsidRPr="00FA472B">
              <w:rPr>
                <w:color w:val="000000"/>
                <w:kern w:val="0"/>
                <w:sz w:val="24"/>
              </w:rPr>
              <w:t>)</w:t>
            </w:r>
          </w:p>
        </w:tc>
        <w:tc>
          <w:tcPr>
            <w:tcW w:type="dxa" w:w="1698"/>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172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r w:rsidRPr="00FA472B">
              <w:rPr>
                <w:color w:val="000000"/>
                <w:kern w:val="0"/>
                <w:sz w:val="24"/>
              </w:rPr>
              <w:t>%</w:t>
            </w:r>
            <w:r w:rsidRPr="00FA472B">
              <w:rPr>
                <w:color w:val="000000"/>
                <w:kern w:val="0"/>
                <w:sz w:val="24"/>
              </w:rPr>
              <w:t>）</w:t>
            </w:r>
          </w:p>
        </w:tc>
      </w:tr>
      <w:tr>
        <w:tc>
          <w:tcPr>
            <w:vAlign w:val="center"/>
          </w:tcPr>
          <w:p>
            <w:pPr>
              <w:jc w:val="center"/>
            </w:pPr>
            <w:r>
              <w:rPr>
                <w:color w:val="000000"/>
                <w:sz w:val="24"/>
              </w:rPr>
              <w:t>1</w:t>
            </w:r>
          </w:p>
        </w:tc>
        <w:tc>
          <w:tcPr>
            <w:vAlign w:val="center"/>
          </w:tcPr>
          <w:p>
            <w:pPr>
              <w:jc w:val="center"/>
            </w:pPr>
            <w:r>
              <w:rPr>
                <w:color w:val="000000"/>
                <w:sz w:val="24"/>
              </w:rPr>
              <w:t>159507</w:t>
            </w:r>
          </w:p>
        </w:tc>
        <w:tc>
          <w:tcPr>
            <w:vAlign w:val="center"/>
          </w:tcPr>
          <w:p>
            <w:pPr>
              <w:jc w:val="center"/>
            </w:pPr>
            <w:r>
              <w:rPr>
                <w:color w:val="000000"/>
                <w:sz w:val="24"/>
              </w:rPr>
              <w:t>19裕源08</w:t>
            </w:r>
          </w:p>
        </w:tc>
        <w:tc>
          <w:tcPr>
            <w:vAlign w:val="center"/>
          </w:tcPr>
          <w:p>
            <w:pPr>
              <w:jc w:val="right"/>
            </w:pPr>
            <w:r>
              <w:rPr>
                <w:color w:val="000000"/>
                <w:sz w:val="24"/>
              </w:rPr>
              <w:t>400,000</w:t>
            </w:r>
          </w:p>
        </w:tc>
        <w:tc>
          <w:tcPr>
            <w:vAlign w:val="center"/>
          </w:tcPr>
          <w:p>
            <w:pPr>
              <w:jc w:val="right"/>
            </w:pPr>
            <w:r>
              <w:rPr>
                <w:color w:val="000000"/>
                <w:sz w:val="24"/>
              </w:rPr>
              <w:t>40,000,000.00</w:t>
            </w:r>
          </w:p>
        </w:tc>
        <w:tc>
          <w:tcPr>
            <w:vAlign w:val="center"/>
          </w:tcPr>
          <w:p>
            <w:pPr>
              <w:jc w:val="right"/>
            </w:pPr>
            <w:r>
              <w:rPr>
                <w:color w:val="000000"/>
                <w:sz w:val="24"/>
              </w:rPr>
              <w:t>2.09</w:t>
            </w:r>
          </w:p>
        </w:tc>
      </w:tr>
      <w:tr>
        <w:tc>
          <w:tcPr>
            <w:vAlign w:val="center"/>
          </w:tcPr>
          <w:p>
            <w:pPr>
              <w:jc w:val="center"/>
            </w:pPr>
            <w:r>
              <w:rPr>
                <w:color w:val="000000"/>
                <w:sz w:val="24"/>
              </w:rPr>
              <w:t>2</w:t>
            </w:r>
          </w:p>
        </w:tc>
        <w:tc>
          <w:tcPr>
            <w:vAlign w:val="center"/>
          </w:tcPr>
          <w:p>
            <w:pPr>
              <w:jc w:val="center"/>
            </w:pPr>
            <w:r>
              <w:rPr>
                <w:color w:val="000000"/>
                <w:sz w:val="24"/>
              </w:rPr>
              <w:t>159690</w:t>
            </w:r>
          </w:p>
        </w:tc>
        <w:tc>
          <w:tcPr>
            <w:vAlign w:val="center"/>
          </w:tcPr>
          <w:p>
            <w:pPr>
              <w:jc w:val="center"/>
            </w:pPr>
            <w:r>
              <w:rPr>
                <w:color w:val="000000"/>
                <w:sz w:val="24"/>
              </w:rPr>
              <w:t>璀璨10A</w:t>
            </w:r>
          </w:p>
        </w:tc>
        <w:tc>
          <w:tcPr>
            <w:vAlign w:val="center"/>
          </w:tcPr>
          <w:p>
            <w:pPr>
              <w:jc w:val="right"/>
            </w:pPr>
            <w:r>
              <w:rPr>
                <w:color w:val="000000"/>
                <w:sz w:val="24"/>
              </w:rPr>
              <w:t>200,000</w:t>
            </w:r>
          </w:p>
        </w:tc>
        <w:tc>
          <w:tcPr>
            <w:vAlign w:val="center"/>
          </w:tcPr>
          <w:p>
            <w:pPr>
              <w:jc w:val="right"/>
            </w:pPr>
            <w:r>
              <w:rPr>
                <w:color w:val="000000"/>
                <w:sz w:val="24"/>
              </w:rPr>
              <w:t>19,980,000.00</w:t>
            </w:r>
          </w:p>
        </w:tc>
        <w:tc>
          <w:tcPr>
            <w:vAlign w:val="center"/>
          </w:tcPr>
          <w:p>
            <w:pPr>
              <w:jc w:val="right"/>
            </w:pPr>
            <w:r>
              <w:rPr>
                <w:color w:val="000000"/>
                <w:sz w:val="24"/>
              </w:rPr>
              <w:t>1.05</w:t>
            </w:r>
          </w:p>
        </w:tc>
      </w:tr>
      <w:tr>
        <w:tc>
          <w:tcPr>
            <w:vAlign w:val="center"/>
          </w:tcPr>
          <w:p>
            <w:pPr>
              <w:jc w:val="center"/>
            </w:pPr>
            <w:r>
              <w:rPr>
                <w:color w:val="000000"/>
                <w:sz w:val="24"/>
              </w:rPr>
              <w:t>3</w:t>
            </w:r>
          </w:p>
        </w:tc>
        <w:tc>
          <w:tcPr>
            <w:vAlign w:val="center"/>
          </w:tcPr>
          <w:p>
            <w:pPr>
              <w:jc w:val="center"/>
            </w:pPr>
            <w:r>
              <w:rPr>
                <w:color w:val="000000"/>
                <w:sz w:val="24"/>
              </w:rPr>
              <w:t>168608</w:t>
            </w:r>
          </w:p>
        </w:tc>
        <w:tc>
          <w:tcPr>
            <w:vAlign w:val="center"/>
          </w:tcPr>
          <w:p>
            <w:pPr>
              <w:jc w:val="center"/>
            </w:pPr>
            <w:r>
              <w:rPr>
                <w:color w:val="000000"/>
                <w:sz w:val="24"/>
              </w:rPr>
              <w:t>健弘04A</w:t>
            </w:r>
          </w:p>
        </w:tc>
        <w:tc>
          <w:tcPr>
            <w:vAlign w:val="center"/>
          </w:tcPr>
          <w:p>
            <w:pPr>
              <w:jc w:val="right"/>
            </w:pPr>
            <w:r>
              <w:rPr>
                <w:color w:val="000000"/>
                <w:sz w:val="24"/>
              </w:rPr>
              <w:t>100,000</w:t>
            </w:r>
          </w:p>
        </w:tc>
        <w:tc>
          <w:tcPr>
            <w:vAlign w:val="center"/>
          </w:tcPr>
          <w:p>
            <w:pPr>
              <w:jc w:val="right"/>
            </w:pPr>
            <w:r>
              <w:rPr>
                <w:color w:val="000000"/>
                <w:sz w:val="24"/>
              </w:rPr>
              <w:t>10,000,000.00</w:t>
            </w:r>
          </w:p>
        </w:tc>
        <w:tc>
          <w:tcPr>
            <w:vAlign w:val="center"/>
          </w:tcPr>
          <w:p>
            <w:pPr>
              <w:jc w:val="right"/>
            </w:pPr>
            <w:r>
              <w:rPr>
                <w:color w:val="000000"/>
                <w:sz w:val="24"/>
              </w:rPr>
              <w:t>0.52</w:t>
            </w:r>
          </w:p>
        </w:tc>
      </w:tr>
      <w:tr>
        <w:tc>
          <w:tcPr>
            <w:vAlign w:val="center"/>
          </w:tcPr>
          <w:p>
            <w:pPr>
              <w:jc w:val="center"/>
            </w:pPr>
            <w:r>
              <w:rPr>
                <w:color w:val="000000"/>
                <w:sz w:val="24"/>
              </w:rPr>
              <w:t>3</w:t>
            </w:r>
          </w:p>
        </w:tc>
        <w:tc>
          <w:tcPr>
            <w:vAlign w:val="center"/>
          </w:tcPr>
          <w:p>
            <w:pPr>
              <w:jc w:val="center"/>
            </w:pPr>
            <w:r>
              <w:rPr>
                <w:color w:val="000000"/>
                <w:sz w:val="24"/>
              </w:rPr>
              <w:t>YA0131</w:t>
            </w:r>
          </w:p>
        </w:tc>
        <w:tc>
          <w:tcPr>
            <w:vAlign w:val="center"/>
          </w:tcPr>
          <w:p>
            <w:pPr>
              <w:jc w:val="center"/>
            </w:pPr>
            <w:r>
              <w:rPr>
                <w:color w:val="000000"/>
                <w:sz w:val="24"/>
              </w:rPr>
              <w:t>荟享041A</w:t>
            </w:r>
          </w:p>
        </w:tc>
        <w:tc>
          <w:tcPr>
            <w:vAlign w:val="center"/>
          </w:tcPr>
          <w:p>
            <w:pPr>
              <w:jc w:val="right"/>
            </w:pPr>
            <w:r>
              <w:rPr>
                <w:color w:val="000000"/>
                <w:sz w:val="24"/>
              </w:rPr>
              <w:t>100,000</w:t>
            </w:r>
          </w:p>
        </w:tc>
        <w:tc>
          <w:tcPr>
            <w:vAlign w:val="center"/>
          </w:tcPr>
          <w:p>
            <w:pPr>
              <w:jc w:val="right"/>
            </w:pPr>
            <w:r>
              <w:rPr>
                <w:color w:val="000000"/>
                <w:sz w:val="24"/>
              </w:rPr>
              <w:t>10,000,000.00</w:t>
            </w:r>
          </w:p>
        </w:tc>
        <w:tc>
          <w:tcPr>
            <w:vAlign w:val="center"/>
          </w:tcPr>
          <w:p>
            <w:pPr>
              <w:jc w:val="right"/>
            </w:pPr>
            <w:r>
              <w:rPr>
                <w:color w:val="000000"/>
                <w:sz w:val="24"/>
              </w:rPr>
              <w:t>0.52</w:t>
            </w:r>
          </w:p>
        </w:tc>
      </w:tr>
      <w:tr>
        <w:tc>
          <w:tcPr>
            <w:vAlign w:val="center"/>
          </w:tcPr>
          <w:p>
            <w:pPr>
              <w:jc w:val="center"/>
            </w:pPr>
            <w:r>
              <w:rPr>
                <w:color w:val="000000"/>
                <w:sz w:val="24"/>
              </w:rPr>
              <w:t>5</w:t>
            </w:r>
          </w:p>
        </w:tc>
        <w:tc>
          <w:tcPr>
            <w:vAlign w:val="center"/>
          </w:tcPr>
          <w:p>
            <w:pPr>
              <w:jc w:val="center"/>
            </w:pPr>
            <w:r>
              <w:rPr>
                <w:color w:val="000000"/>
                <w:sz w:val="24"/>
              </w:rPr>
              <w:t>168047</w:t>
            </w:r>
          </w:p>
        </w:tc>
        <w:tc>
          <w:tcPr>
            <w:vAlign w:val="center"/>
          </w:tcPr>
          <w:p>
            <w:pPr>
              <w:jc w:val="center"/>
            </w:pPr>
            <w:r>
              <w:rPr>
                <w:color w:val="000000"/>
                <w:sz w:val="24"/>
              </w:rPr>
              <w:t>远海租42</w:t>
            </w:r>
          </w:p>
        </w:tc>
        <w:tc>
          <w:tcPr>
            <w:vAlign w:val="center"/>
          </w:tcPr>
          <w:p>
            <w:pPr>
              <w:jc w:val="right"/>
            </w:pPr>
            <w:r>
              <w:rPr>
                <w:color w:val="000000"/>
                <w:sz w:val="24"/>
              </w:rPr>
              <w:t>100,000</w:t>
            </w:r>
          </w:p>
        </w:tc>
        <w:tc>
          <w:tcPr>
            <w:vAlign w:val="center"/>
          </w:tcPr>
          <w:p>
            <w:pPr>
              <w:jc w:val="right"/>
            </w:pPr>
            <w:r>
              <w:rPr>
                <w:color w:val="000000"/>
                <w:sz w:val="24"/>
              </w:rPr>
              <w:t>9,999,000.00</w:t>
            </w:r>
          </w:p>
        </w:tc>
        <w:tc>
          <w:tcPr>
            <w:vAlign w:val="center"/>
          </w:tcPr>
          <w:p>
            <w:pPr>
              <w:jc w:val="right"/>
            </w:pPr>
            <w:r>
              <w:rPr>
                <w:color w:val="000000"/>
                <w:sz w:val="24"/>
              </w:rPr>
              <w:t>0.52</w:t>
            </w:r>
          </w:p>
        </w:tc>
      </w:tr>
    </w:tbl>
    <w:p w:rsidP="006D462B" w:rsidR="00F016DD" w:rsidRDefault="00F016DD"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proofErr w:type="gramStart"/>
      <w:r w:rsidRPr="001B0A62">
        <w:rPr>
          <w:rFonts w:ascii="宋体" w:hAnsi="宋体"/>
          <w:b/>
          <w:bCs/>
          <w:color w:val="000000"/>
          <w:kern w:val="0"/>
          <w:sz w:val="24"/>
        </w:rPr>
        <w:t>.</w:t>
      </w:r>
      <w:proofErr w:type="gramEnd"/>
      <w:r w:rsidRPr="001B0A62">
        <w:rPr>
          <w:rFonts w:ascii="宋体" w:hAnsi="宋体"/>
          <w:b/>
          <w:bCs/>
          <w:color w:val="000000"/>
          <w:kern w:val="0"/>
          <w:sz w:val="24"/>
        </w:rPr>
        <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本基金本报告期末未持有贵金属。</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proofErr w:type="gramStart"/>
      <w:r>
        <w:rPr>
          <w:rFonts w:ascii="宋体" w:cs="Arial" w:hAnsi="宋体"/>
          <w:b/>
          <w:color w:val="000000"/>
          <w:kern w:val="0"/>
          <w:sz w:val="24"/>
        </w:rPr>
        <w:t/>
      </w:r>
      <w:proofErr w:type="gramEnd"/>
      <w:r>
        <w:rPr>
          <w:rFonts w:ascii="宋体" w:cs="Arial" w:hAnsi="宋体"/>
          <w:b/>
          <w:color w:val="000000"/>
          <w:kern w:val="0"/>
          <w:sz w:val="24"/>
        </w:rPr>
        <w:t>5</w:t>
      </w:r>
      <w:r w:rsidRPr="0078105B">
        <w:rPr>
          <w:rFonts w:ascii="宋体" w:cs="Arial"/>
          <w:b/>
          <w:color w:val="000000"/>
          <w:kern w:val="0"/>
          <w:sz w:val="24"/>
        </w:rPr>
        <w:t>.</w:t>
      </w:r>
      <w:r>
        <w:rPr>
          <w:rFonts w:ascii="宋体" w:cs="Arial"/>
          <w:b/>
          <w:color w:val="000000"/>
          <w:kern w:val="0"/>
          <w:sz w:val="24"/>
        </w:rPr>
        <w:t/>
      </w:r>
      <w:r>
        <w:rPr>
          <w:rFonts w:ascii="宋体" w:cs="Arial" w:hAnsi="宋体"/>
          <w:b/>
          <w:color w:val="000000"/>
          <w:kern w:val="0"/>
          <w:sz w:val="24"/>
        </w:rPr>
        <w:t>8</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的前五名权证投资明细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本基金本报告期末未持有权证。</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Pr>
          <w:rFonts w:ascii="宋体"/>
          <w:b/>
          <w:sz w:val="24"/>
        </w:rPr>
        <w:t/>
      </w:r>
      <w:proofErr w:type="gramStart"/>
      <w:r>
        <w:rPr>
          <w:rFonts w:ascii="宋体" w:hAnsi="宋体"/>
          <w:b/>
          <w:sz w:val="24"/>
        </w:rPr>
        <w:t/>
      </w:r>
      <w:proofErr w:type="gramEnd"/>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P="001F60E9" w:rsidR="001F60E9" w:rsidRDefault="001F60E9">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r>
        <w:rPr>
          <w:rFonts w:eastAsiaTheme="minorEastAsia"/>
          <w:color w:themeColor="text1" w:val="000000"/>
          <w:sz w:val="24"/>
        </w:rPr>
        <w:t/>
      </w:r>
      <w:proofErr w:type="spellEnd"/>
      <w:proofErr w:type="gramEnd"/>
      <w:r>
        <w:rPr>
          <w:rFonts w:eastAsiaTheme="minorEastAsia"/>
          <w:color w:themeColor="text1" w:val="000000"/>
          <w:sz w:val="24"/>
        </w:rPr>
        <w:t>本基金本报告期末未投资股指期货。</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proofErr w:type="gramStart"/>
      <w:r w:rsidRPr="00E85E29">
        <w:rPr>
          <w:rFonts w:ascii="宋体" w:hAnsi="宋体"/>
          <w:b/>
          <w:sz w:val="24"/>
        </w:rPr>
        <w:t/>
      </w:r>
      <w:proofErr w:type="gramEnd"/>
      <w:r w:rsidRPr="00E85E29">
        <w:rPr>
          <w:rFonts w:ascii="宋体" w:hAnsi="宋体"/>
          <w:b/>
          <w:sz w:val="24"/>
        </w:rPr>
        <w:t>5.10</w:t>
      </w:r>
      <w:r w:rsidRPr="00E85E29">
        <w:rPr>
          <w:rFonts w:ascii="宋体" w:hAnsi="宋体" w:hint="eastAsia"/>
          <w:b/>
          <w:sz w:val="24"/>
        </w:rPr>
        <w:t>报告期末本基金投资的国债期货交易情况说明</w:t>
      </w:r>
    </w:p>
    <w:p w:rsidP="001D5CD0" w:rsidR="00F016DD" w:rsidRDefault="00F016DD" w:rsidRPr="00E7356F">
      <w:pPr>
        <w:adjustRightInd w:val="0"/>
        <w:snapToGrid w:val="0"/>
        <w:spacing w:line="360" w:lineRule="auto"/>
        <w:rPr>
          <w:rFonts w:ascii="宋体" w:hAnsi="宋体"/>
          <w:sz w:val="24"/>
        </w:rPr>
      </w:pPr>
      <w:r w:rsidRPr="00E7356F">
        <w:rPr>
          <w:rFonts w:ascii="宋体"/>
          <w:sz w:val="24"/>
        </w:rPr>
        <w:t/>
      </w:r>
      <w:proofErr w:type="spellStart"/>
      <w:r w:rsidRPr="00E7356F">
        <w:rPr>
          <w:rFonts w:ascii="宋体" w:hAnsi="宋体"/>
          <w:sz w:val="24"/>
        </w:rPr>
        <w:t/>
      </w:r>
      <w:proofErr w:type="spellEnd"/>
      <w:r w:rsidRPr="00E7356F">
        <w:rPr>
          <w:rFonts w:ascii="宋体" w:hAnsi="宋体"/>
          <w:sz w:val="24"/>
        </w:rPr>
        <w:t/>
      </w:r>
      <w:proofErr w:type="gramStart"/>
      <w:r w:rsidRPr="00E7356F">
        <w:rPr>
          <w:rFonts w:ascii="宋体" w:hAnsi="宋体"/>
          <w:sz w:val="24"/>
        </w:rPr>
        <w:t/>
      </w:r>
      <w:proofErr w:type="gramEnd"/>
      <w:r w:rsidRPr="00E7356F">
        <w:rPr>
          <w:rFonts w:ascii="宋体" w:hAnsi="宋体"/>
          <w:sz w:val="24"/>
        </w:rPr>
        <w:t xml:space="preserve">5.10.1 </w:t>
      </w:r>
      <w:r w:rsidRPr="00E7356F">
        <w:rPr>
          <w:rFonts w:ascii="宋体" w:hAnsi="宋体" w:hint="eastAsia"/>
          <w:sz w:val="24"/>
        </w:rPr>
        <w:t>本期国债期货投资政策</w:t>
      </w:r>
      <w:r w:rsidRPr="00E7356F">
        <w:rPr>
          <w:rFonts w:ascii="宋体"/>
          <w:sz w:val="24"/>
        </w:rPr>
        <w:t/>
      </w:r>
      <w:proofErr w:type="spellStart"/>
      <w:r w:rsidRPr="00E7356F">
        <w:rPr>
          <w:rFonts w:ascii="宋体" w:hAnsi="宋体"/>
          <w:sz w:val="24"/>
        </w:rPr>
        <w:t/>
      </w:r>
      <w:proofErr w:type="spellEnd"/>
      <w:r w:rsidRPr="00E7356F">
        <w:rPr>
          <w:rFonts w:ascii="宋体" w:hAnsi="宋体"/>
          <w:sz w:val="24"/>
        </w:rPr>
        <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本基金根据风险管理的原则，主要选择流动性好的国债期货合约进行交易，以对冲投资组合的利率风险。</w:t>
      </w:r>
    </w:p>
    <w:p w:rsidP="00B249C0" w:rsidR="00B249C0" w:rsidRDefault="00F016DD">
      <w:pPr>
        <w:autoSpaceDE w:val="0"/>
        <w:autoSpaceDN w:val="0"/>
        <w:adjustRightInd w:val="0"/>
        <w:spacing w:line="360" w:lineRule="auto"/>
        <w:jc w:val="left"/>
        <w:rPr>
          <w:rFonts w:ascii="宋体" w:hAnsi="宋体"/>
          <w:bCs/>
          <w:color w:val="000000"/>
          <w:kern w:val="0"/>
          <w:sz w:val="24"/>
        </w:rPr>
      </w:pPr>
      <w:r w:rsidRPr="00E7356F">
        <w:rPr>
          <w:rFonts w:ascii="宋体"/>
          <w:sz w:val="24"/>
        </w:rPr>
        <w:t/>
      </w:r>
      <w:proofErr w:type="spellStart"/>
      <w:r w:rsidRPr="00E7356F">
        <w:rPr>
          <w:rFonts w:ascii="宋体" w:hAnsi="宋体"/>
          <w:sz w:val="24"/>
        </w:rPr>
        <w:t/>
      </w:r>
      <w:proofErr w:type="spellEnd"/>
      <w:r w:rsidRPr="00E7356F">
        <w:rPr>
          <w:rFonts w:ascii="宋体" w:hAnsi="宋体"/>
          <w:sz w:val="24"/>
        </w:rPr>
        <w:t/>
      </w:r>
      <w:proofErr w:type="gramStart"/>
      <w:r w:rsidRPr="00E7356F">
        <w:rPr>
          <w:rFonts w:ascii="宋体" w:hAnsi="宋体"/>
          <w:sz w:val="24"/>
        </w:rPr>
        <w:t/>
      </w:r>
      <w:proofErr w:type="gramEnd"/>
      <w:r w:rsidRPr="00E7356F">
        <w:rPr>
          <w:rFonts w:ascii="宋体" w:hAnsi="宋体"/>
          <w:sz w:val="24"/>
        </w:rPr>
        <w:t xml:space="preserve">5.10.2 </w:t>
      </w:r>
      <w:r w:rsidRPr="00E7356F">
        <w:rPr>
          <w:rFonts w:ascii="宋体" w:hAnsi="宋体" w:hint="eastAsia"/>
          <w:sz w:val="24"/>
        </w:rPr>
        <w:t>报告期末本基金投资的国债期货持仓和损益明细</w:t>
      </w:r>
      <w:r w:rsidRPr="00E7356F">
        <w:rPr>
          <w:rFonts w:ascii="宋体"/>
          <w:sz w:val="24"/>
        </w:rPr>
        <w:t/>
      </w:r>
      <w:proofErr w:type="spellStart"/>
      <w:r w:rsidRPr="00E7356F">
        <w:rPr>
          <w:rFonts w:ascii="宋体" w:hAnsi="宋体"/>
          <w:sz w:val="24"/>
        </w:rPr>
        <w:t/>
      </w:r>
      <w:proofErr w:type="spellEnd"/>
      <w:r w:rsidRPr="00E7356F">
        <w:rPr>
          <w:rFonts w:ascii="宋体" w:hAnsi="宋体"/>
          <w:sz w:val="24"/>
        </w:rPr>
        <w:t/>
      </w:r>
      <w:r w:rsidR="00B06246" w:rsidRPr="00B06246">
        <w:rPr>
          <w:rFonts w:ascii="宋体" w:hAnsi="宋体"/>
          <w:bCs/>
          <w:color w:val="000000"/>
          <w:kern w:val="0"/>
          <w:sz w:val="24"/>
        </w:rPr>
        <w:t xml:space="preserve"> </w:t>
      </w:r>
    </w:p>
    <w:tbl>
      <w:tblPr>
        <w:tblW w:type="auto" w:w="0"/>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101"/>
        <w:gridCol w:w="1331"/>
        <w:gridCol w:w="1220"/>
        <w:gridCol w:w="1418"/>
        <w:gridCol w:w="1701"/>
        <w:gridCol w:w="1984"/>
      </w:tblGrid>
      <w:tr w:rsidR="00B249C0" w:rsidTr="0001612A">
        <w:trPr>
          <w:jc w:val="center"/>
        </w:trPr>
        <w:tc>
          <w:tcPr>
            <w:tcW w:type="dxa" w:w="1101"/>
            <w:hideMark/>
          </w:tcPr>
          <w:p w:rsidR="00B249C0" w:rsidRDefault="00B249C0">
            <w:pPr>
              <w:pStyle w:val="Default"/>
              <w:jc w:val="center"/>
              <w:rPr>
                <w:rFonts w:ascii="Times New Roman" w:cs="Times New Roman" w:hAnsi="Times New Roman"/>
              </w:rPr>
            </w:pPr>
            <w:r>
              <w:rPr>
                <w:rFonts w:ascii="Times New Roman" w:cs="Times New Roman" w:hAnsi="Times New Roman" w:hint="eastAsia"/>
              </w:rPr>
              <w:t>代码</w:t>
            </w:r>
            <w:r>
              <w:rPr>
                <w:rFonts w:ascii="Times New Roman" w:cs="Times New Roman" w:hAnsi="Times New Roman"/>
                <w:b/>
              </w:rPr>
              <w:t/>
            </w:r>
            <w:proofErr w:type="spellStart"/>
            <w:r>
              <w:rPr>
                <w:rFonts w:ascii="Times New Roman" w:cs="Times New Roman" w:hAnsi="Times New Roman"/>
                <w:b/>
              </w:rPr>
              <w:t/>
            </w:r>
            <w:proofErr w:type="spellEnd"/>
            <w:r>
              <w:rPr>
                <w:rFonts w:ascii="Times New Roman" w:cs="Times New Roman" w:hAnsi="Times New Roman"/>
              </w:rPr>
              <w:t/>
            </w:r>
            <w:r>
              <w:t xml:space="preserve"> </w:t>
            </w:r>
            <w:r>
              <w:rPr>
                <w:rFonts w:ascii="Times New Roman" w:cs="Times New Roman" w:hAnsi="Times New Roman"/>
              </w:rPr>
              <w:t/>
            </w:r>
            <w:proofErr w:type="spellStart"/>
            <w:r>
              <w:rPr>
                <w:rFonts w:ascii="Times New Roman" w:cs="Times New Roman" w:hAnsi="Times New Roman"/>
              </w:rPr>
              <w:t/>
            </w:r>
            <w:proofErr w:type="spellEnd"/>
            <w:r>
              <w:rPr>
                <w:rFonts w:ascii="Times New Roman" w:cs="Times New Roman" w:hAnsi="Times New Roman"/>
              </w:rPr>
              <w:t/>
            </w:r>
          </w:p>
        </w:tc>
        <w:tc>
          <w:tcPr>
            <w:tcW w:type="dxa" w:w="1331"/>
            <w:hideMark/>
          </w:tcPr>
          <w:p w:rsidR="00B249C0" w:rsidRDefault="00B249C0">
            <w:pPr>
              <w:pStyle w:val="Default"/>
              <w:jc w:val="center"/>
              <w:rPr>
                <w:rFonts w:ascii="Times New Roman" w:cs="Times New Roman" w:hAnsi="Times New Roman"/>
              </w:rPr>
            </w:pPr>
            <w:r>
              <w:rPr>
                <w:rFonts w:ascii="Times New Roman" w:cs="Times New Roman" w:hAnsi="Times New Roman" w:hint="eastAsia"/>
              </w:rPr>
              <w:t>名称</w:t>
            </w:r>
          </w:p>
        </w:tc>
        <w:tc>
          <w:tcPr>
            <w:tcW w:type="dxa" w:w="1220"/>
            <w:hideMark/>
          </w:tcPr>
          <w:p w:rsidR="00B249C0" w:rsidRDefault="00B249C0">
            <w:pPr>
              <w:pStyle w:val="Default"/>
              <w:jc w:val="center"/>
              <w:rPr>
                <w:rFonts w:ascii="Times New Roman" w:cs="Times New Roman" w:hAnsi="Times New Roman"/>
              </w:rPr>
            </w:pPr>
            <w:r>
              <w:rPr>
                <w:rFonts w:ascii="Times New Roman" w:cs="Times New Roman" w:hAnsi="Times New Roman" w:hint="eastAsia"/>
              </w:rPr>
              <w:t>持仓量</w:t>
            </w:r>
          </w:p>
          <w:p w:rsidR="00B249C0" w:rsidRDefault="00B249C0">
            <w:pPr>
              <w:pStyle w:val="Default"/>
              <w:jc w:val="center"/>
              <w:rPr>
                <w:rFonts w:ascii="Times New Roman" w:cs="Times New Roman" w:hAnsi="Times New Roman"/>
              </w:rPr>
            </w:pPr>
            <w:r>
              <w:rPr>
                <w:rFonts w:ascii="Times New Roman" w:cs="Times New Roman" w:hAnsi="Times New Roman" w:hint="eastAsia"/>
              </w:rPr>
              <w:t>（买</w:t>
            </w:r>
            <w:r>
              <w:rPr>
                <w:rFonts w:ascii="Times New Roman" w:cs="Times New Roman" w:hAnsi="Times New Roman"/>
              </w:rPr>
              <w:t>/</w:t>
            </w:r>
            <w:r>
              <w:rPr>
                <w:rFonts w:ascii="Times New Roman" w:cs="Times New Roman" w:hAnsi="Times New Roman" w:hint="eastAsia"/>
              </w:rPr>
              <w:t>卖）</w:t>
            </w:r>
          </w:p>
        </w:tc>
        <w:tc>
          <w:tcPr>
            <w:tcW w:type="dxa" w:w="1418"/>
            <w:hideMark/>
          </w:tcPr>
          <w:p w:rsidR="00B249C0" w:rsidRDefault="00B249C0">
            <w:pPr>
              <w:pStyle w:val="Default"/>
              <w:jc w:val="center"/>
              <w:rPr>
                <w:rFonts w:ascii="Times New Roman" w:cs="Times New Roman" w:hAnsi="Times New Roman"/>
              </w:rPr>
            </w:pPr>
            <w:r>
              <w:rPr>
                <w:rFonts w:ascii="Times New Roman" w:cs="Times New Roman" w:hAnsi="Times New Roman" w:hint="eastAsia"/>
              </w:rPr>
              <w:t>合约市值</w:t>
            </w:r>
          </w:p>
          <w:p w:rsidR="00B249C0" w:rsidRDefault="00B249C0">
            <w:pPr>
              <w:pStyle w:val="Default"/>
              <w:jc w:val="center"/>
              <w:rPr>
                <w:rFonts w:ascii="Times New Roman" w:cs="Times New Roman" w:hAnsi="Times New Roman"/>
              </w:rPr>
            </w:pPr>
            <w:r>
              <w:rPr>
                <w:rFonts w:ascii="Times New Roman" w:cs="Times New Roman" w:hAnsi="Times New Roman" w:hint="eastAsia"/>
              </w:rPr>
              <w:t>（元）</w:t>
            </w:r>
          </w:p>
        </w:tc>
        <w:tc>
          <w:tcPr>
            <w:tcW w:type="dxa" w:w="1701"/>
            <w:hideMark/>
          </w:tcPr>
          <w:p w:rsidR="00B249C0" w:rsidRDefault="00B249C0">
            <w:pPr>
              <w:pStyle w:val="Default"/>
              <w:jc w:val="center"/>
              <w:rPr>
                <w:rFonts w:ascii="Times New Roman" w:cs="Times New Roman" w:hAnsi="Times New Roman"/>
              </w:rPr>
            </w:pPr>
            <w:r>
              <w:rPr>
                <w:rFonts w:ascii="Times New Roman" w:cs="Times New Roman" w:hAnsi="Times New Roman" w:hint="eastAsia"/>
              </w:rPr>
              <w:t>公允价值变动（元）</w:t>
            </w:r>
          </w:p>
        </w:tc>
        <w:tc>
          <w:tcPr>
            <w:tcW w:type="dxa" w:w="1984"/>
            <w:hideMark/>
          </w:tcPr>
          <w:p w:rsidR="00B249C0" w:rsidRDefault="00B249C0">
            <w:pPr>
              <w:pStyle w:val="Default"/>
              <w:jc w:val="center"/>
              <w:rPr>
                <w:rFonts w:ascii="Times New Roman" w:cs="Times New Roman" w:hAnsi="Times New Roman"/>
              </w:rPr>
            </w:pPr>
            <w:r>
              <w:rPr>
                <w:rFonts w:ascii="Times New Roman" w:cs="Times New Roman" w:hAnsi="Times New Roman" w:hint="eastAsia"/>
              </w:rPr>
              <w:t>风险指标说明</w:t>
            </w:r>
          </w:p>
        </w:tc>
      </w:tr>
      <w:tr>
        <w:tc>
          <w:tcPr>
            <w:vAlign w:val="center"/>
          </w:tcPr>
          <w:p>
            <w:pPr>
              <w:jc w:val="center"/>
            </w:pPr>
            <w:r>
              <w:rPr>
                <w:color w:val="000000"/>
                <w:sz w:val="24"/>
              </w:rPr>
              <w:t>TF2009</w:t>
            </w:r>
          </w:p>
        </w:tc>
        <w:tc>
          <w:tcPr>
            <w:vAlign w:val="center"/>
          </w:tcPr>
          <w:p>
            <w:pPr>
              <w:jc w:val="center"/>
            </w:pPr>
            <w:r>
              <w:rPr>
                <w:color w:val="000000"/>
                <w:sz w:val="24"/>
              </w:rPr>
              <w:t>TF2009</w:t>
            </w:r>
          </w:p>
        </w:tc>
        <w:tc>
          <w:tcPr>
            <w:vAlign w:val="center"/>
          </w:tcPr>
          <w:p>
            <w:pPr>
              <w:jc w:val="center"/>
            </w:pPr>
            <w:r>
              <w:rPr>
                <w:color w:val="000000"/>
                <w:sz w:val="24"/>
              </w:rPr>
              <w:t>-50</w:t>
            </w:r>
          </w:p>
        </w:tc>
        <w:tc>
          <w:tcPr>
            <w:vAlign w:val="center"/>
          </w:tcPr>
          <w:p>
            <w:pPr>
              <w:jc w:val="right"/>
            </w:pPr>
            <w:r>
              <w:rPr>
                <w:color w:val="000000"/>
                <w:sz w:val="24"/>
              </w:rPr>
              <w:t>-50,827,500.00</w:t>
            </w:r>
          </w:p>
        </w:tc>
        <w:tc>
          <w:tcPr>
            <w:vAlign w:val="center"/>
          </w:tcPr>
          <w:p>
            <w:pPr>
              <w:jc w:val="right"/>
            </w:pPr>
            <w:r>
              <w:rPr>
                <w:color w:val="000000"/>
                <w:sz w:val="24"/>
              </w:rPr>
              <w:t>48,000.00</w:t>
            </w:r>
          </w:p>
        </w:tc>
        <w:tc>
          <w:tcPr>
            <w:vAlign w:val="center"/>
          </w:tcPr>
          <w:p>
            <w:pPr>
              <w:jc w:val="left"/>
            </w:pPr>
            <w:r>
              <w:rPr>
                <w:color w:val="000000"/>
                <w:sz w:val="24"/>
              </w:rPr>
              <w:t>本交易期内通过国债期货进行套期保值，调整了组合久期水平。</w:t>
            </w:r>
          </w:p>
        </w:tc>
      </w:tr>
      <w:tr>
        <w:tc>
          <w:tcPr>
            <w:vAlign w:val="center"/>
          </w:tcPr>
          <w:p>
            <w:pPr>
              <w:jc w:val="center"/>
            </w:pPr>
            <w:r>
              <w:rPr>
                <w:color w:val="000000"/>
                <w:sz w:val="24"/>
              </w:rPr>
              <w:t>TS2009</w:t>
            </w:r>
          </w:p>
        </w:tc>
        <w:tc>
          <w:tcPr>
            <w:vAlign w:val="center"/>
          </w:tcPr>
          <w:p>
            <w:pPr>
              <w:jc w:val="center"/>
            </w:pPr>
            <w:r>
              <w:rPr>
                <w:color w:val="000000"/>
                <w:sz w:val="24"/>
              </w:rPr>
              <w:t>TS2009</w:t>
            </w:r>
          </w:p>
        </w:tc>
        <w:tc>
          <w:tcPr>
            <w:vAlign w:val="center"/>
          </w:tcPr>
          <w:p>
            <w:pPr>
              <w:jc w:val="center"/>
            </w:pPr>
            <w:r>
              <w:rPr>
                <w:color w:val="000000"/>
                <w:sz w:val="24"/>
              </w:rPr>
              <w:t>-100</w:t>
            </w:r>
          </w:p>
        </w:tc>
        <w:tc>
          <w:tcPr>
            <w:vAlign w:val="center"/>
          </w:tcPr>
          <w:p>
            <w:pPr>
              <w:jc w:val="right"/>
            </w:pPr>
            <w:r>
              <w:rPr>
                <w:color w:val="000000"/>
                <w:sz w:val="24"/>
              </w:rPr>
              <w:t>-202,430,000.00</w:t>
            </w:r>
          </w:p>
        </w:tc>
        <w:tc>
          <w:tcPr>
            <w:vAlign w:val="center"/>
          </w:tcPr>
          <w:p>
            <w:pPr>
              <w:jc w:val="right"/>
            </w:pPr>
            <w:r>
              <w:rPr>
                <w:color w:val="000000"/>
                <w:sz w:val="24"/>
              </w:rPr>
              <w:t>61,836.47</w:t>
            </w:r>
          </w:p>
        </w:tc>
        <w:tc>
          <w:tcPr>
            <w:vAlign w:val="center"/>
          </w:tcPr>
          <w:p>
            <w:pPr>
              <w:jc w:val="left"/>
            </w:pPr>
            <w:r>
              <w:rPr>
                <w:color w:val="000000"/>
                <w:sz w:val="24"/>
              </w:rPr>
              <w:t>本交易期内通过国债期货进行套期保值，调整了组合久期水平。</w:t>
            </w:r>
          </w:p>
        </w:tc>
      </w:tr>
      <w:tr w:rsidR="00B249C0" w:rsidTr="0001612A">
        <w:trPr>
          <w:jc w:val="center"/>
        </w:trPr>
        <w:tc>
          <w:tcPr>
            <w:tcW w:type="dxa" w:w="6771"/>
            <w:gridSpan w:val="5"/>
            <w:hideMark/>
          </w:tcPr>
          <w:p w:rsidR="00B249C0" w:rsidRDefault="00B249C0">
            <w:pPr>
              <w:pStyle w:val="Default"/>
              <w:jc w:val="both"/>
              <w:rPr>
                <w:rFonts w:ascii="Times New Roman" w:cs="Times New Roman" w:hAnsi="Times New Roman"/>
              </w:rPr>
            </w:pPr>
            <w:r>
              <w:rPr>
                <w:rFonts w:ascii="Times New Roman" w:cs="Times New Roman" w:hAnsi="Times New Roman" w:hint="eastAsia"/>
              </w:rPr>
              <w:t>公允价值变动总额合计（元）</w:t>
            </w:r>
          </w:p>
        </w:tc>
        <w:tc>
          <w:tcPr>
            <w:tcW w:type="dxa" w:w="1984"/>
            <w:hideMark/>
          </w:tcPr>
          <w:p w:rsidR="00B249C0" w:rsidRDefault="00B249C0">
            <w:pPr>
              <w:adjustRightInd w:val="0"/>
              <w:snapToGrid w:val="0"/>
              <w:spacing w:line="380" w:lineRule="exact"/>
              <w:jc w:val="right"/>
              <w:rPr>
                <w:color w:val="000000"/>
                <w:sz w:val="24"/>
              </w:rPr>
            </w:pPr>
            <w:r>
              <w:rPr>
                <w:color w:val="000000"/>
                <w:sz w:val="24"/>
              </w:rPr>
              <w:t/>
            </w:r>
            <w:proofErr w:type="spellStart"/>
            <w:r>
              <w:rPr>
                <w:color w:val="000000"/>
                <w:sz w:val="24"/>
              </w:rPr>
              <w:t/>
            </w:r>
            <w:proofErr w:type="spellEnd"/>
            <w:r>
              <w:rPr>
                <w:color w:val="000000"/>
                <w:sz w:val="24"/>
              </w:rPr>
              <w:t>109,836.47</w:t>
            </w:r>
          </w:p>
        </w:tc>
      </w:tr>
      <w:tr w:rsidR="00B249C0" w:rsidTr="0001612A">
        <w:trPr>
          <w:jc w:val="center"/>
        </w:trPr>
        <w:tc>
          <w:tcPr>
            <w:tcW w:type="dxa" w:w="6771"/>
            <w:gridSpan w:val="5"/>
            <w:hideMark/>
          </w:tcPr>
          <w:p w:rsidR="00B249C0" w:rsidRDefault="00B249C0">
            <w:pPr>
              <w:pStyle w:val="Default"/>
              <w:jc w:val="both"/>
              <w:rPr>
                <w:rFonts w:ascii="Times New Roman" w:cs="Times New Roman" w:hAnsi="Times New Roman"/>
              </w:rPr>
            </w:pPr>
            <w:r>
              <w:rPr>
                <w:rFonts w:ascii="Times New Roman" w:cs="Times New Roman" w:hAnsi="Times New Roman" w:hint="eastAsia"/>
              </w:rPr>
              <w:t>国债期货投资本期收益（元）</w:t>
            </w:r>
          </w:p>
        </w:tc>
        <w:tc>
          <w:tcPr>
            <w:tcW w:type="dxa" w:w="1984"/>
            <w:hideMark/>
          </w:tcPr>
          <w:p w:rsidR="00B249C0" w:rsidRDefault="00B249C0">
            <w:pPr>
              <w:adjustRightInd w:val="0"/>
              <w:snapToGrid w:val="0"/>
              <w:spacing w:line="380" w:lineRule="exact"/>
              <w:jc w:val="right"/>
              <w:rPr>
                <w:color w:val="000000"/>
                <w:sz w:val="24"/>
              </w:rPr>
            </w:pPr>
            <w:r>
              <w:rPr>
                <w:color w:val="000000"/>
                <w:sz w:val="24"/>
              </w:rPr>
              <w:t/>
            </w:r>
            <w:proofErr w:type="spellStart"/>
            <w:r>
              <w:rPr>
                <w:color w:val="000000"/>
                <w:sz w:val="24"/>
              </w:rPr>
              <w:t/>
            </w:r>
            <w:proofErr w:type="spellEnd"/>
            <w:r>
              <w:rPr>
                <w:color w:val="000000"/>
                <w:sz w:val="24"/>
              </w:rPr>
              <w:t>1,063,508.28</w:t>
            </w:r>
          </w:p>
        </w:tc>
      </w:tr>
      <w:tr w:rsidR="00B249C0" w:rsidTr="0001612A">
        <w:trPr>
          <w:jc w:val="center"/>
        </w:trPr>
        <w:tc>
          <w:tcPr>
            <w:tcW w:type="dxa" w:w="6771"/>
            <w:gridSpan w:val="5"/>
            <w:hideMark/>
          </w:tcPr>
          <w:p w:rsidR="00B249C0" w:rsidRDefault="00B249C0">
            <w:pPr>
              <w:pStyle w:val="Default"/>
              <w:jc w:val="both"/>
              <w:rPr>
                <w:rFonts w:ascii="Times New Roman" w:cs="Times New Roman" w:hAnsi="Times New Roman"/>
              </w:rPr>
            </w:pPr>
            <w:r>
              <w:rPr>
                <w:rFonts w:ascii="Times New Roman" w:cs="Times New Roman" w:hAnsi="Times New Roman" w:hint="eastAsia"/>
              </w:rPr>
              <w:t>国债期货投资本期公允价值变动（元）</w:t>
            </w:r>
          </w:p>
        </w:tc>
        <w:tc>
          <w:tcPr>
            <w:tcW w:type="dxa" w:w="1984"/>
            <w:hideMark/>
          </w:tcPr>
          <w:p w:rsidR="00B249C0" w:rsidRDefault="00B249C0">
            <w:pPr>
              <w:adjustRightInd w:val="0"/>
              <w:snapToGrid w:val="0"/>
              <w:spacing w:line="380" w:lineRule="exact"/>
              <w:jc w:val="right"/>
              <w:rPr>
                <w:color w:val="000000"/>
                <w:sz w:val="24"/>
              </w:rPr>
            </w:pPr>
            <w:r>
              <w:rPr>
                <w:color w:val="000000"/>
                <w:sz w:val="24"/>
              </w:rPr>
              <w:t/>
            </w:r>
            <w:proofErr w:type="spellStart"/>
            <w:r>
              <w:rPr>
                <w:color w:val="000000"/>
                <w:sz w:val="24"/>
              </w:rPr>
              <w:t/>
            </w:r>
            <w:proofErr w:type="spellEnd"/>
            <w:r>
              <w:rPr>
                <w:color w:val="000000"/>
                <w:sz w:val="24"/>
              </w:rPr>
              <w:t>234,886.47</w:t>
            </w:r>
          </w:p>
        </w:tc>
      </w:tr>
    </w:tbl>
    <w:p w:rsidP="00B249C0" w:rsidR="00F016DD" w:rsidRDefault="00F016DD" w:rsidRPr="00E7356F">
      <w:pPr>
        <w:autoSpaceDE w:val="0"/>
        <w:autoSpaceDN w:val="0"/>
        <w:adjustRightInd w:val="0"/>
        <w:spacing w:line="360" w:lineRule="auto"/>
        <w:jc w:val="left"/>
        <w:rPr>
          <w:rFonts w:ascii="宋体" w:hAnsi="宋体"/>
          <w:sz w:val="24"/>
        </w:rPr>
      </w:pPr>
      <w:r w:rsidRPr="00E7356F">
        <w:rPr>
          <w:rFonts w:ascii="宋体"/>
          <w:sz w:val="24"/>
        </w:rPr>
        <w:t/>
      </w:r>
      <w:proofErr w:type="spellStart"/>
      <w:r w:rsidRPr="00E7356F">
        <w:rPr>
          <w:rFonts w:ascii="宋体" w:hAnsi="宋体"/>
          <w:sz w:val="24"/>
        </w:rPr>
        <w:t/>
      </w:r>
      <w:proofErr w:type="spellEnd"/>
      <w:r w:rsidRPr="00E7356F">
        <w:rPr>
          <w:rFonts w:ascii="宋体" w:hAnsi="宋体"/>
          <w:sz w:val="24"/>
        </w:rPr>
        <w:t/>
      </w:r>
      <w:proofErr w:type="gramStart"/>
      <w:r w:rsidRPr="00E7356F">
        <w:rPr>
          <w:rFonts w:ascii="宋体" w:hAnsi="宋体"/>
          <w:sz w:val="24"/>
        </w:rPr>
        <w:t/>
      </w:r>
      <w:proofErr w:type="gramEnd"/>
      <w:r w:rsidRPr="00E7356F">
        <w:rPr>
          <w:rFonts w:ascii="宋体" w:hAnsi="宋体"/>
          <w:sz w:val="24"/>
        </w:rPr>
        <w:t xml:space="preserve">5.10.3 </w:t>
      </w:r>
      <w:r w:rsidRPr="00E7356F">
        <w:rPr>
          <w:rFonts w:ascii="宋体" w:hAnsi="宋体" w:hint="eastAsia"/>
          <w:sz w:val="24"/>
        </w:rPr>
        <w:t>本期国债期货投资评价</w:t>
      </w:r>
      <w:r w:rsidRPr="00E7356F">
        <w:rPr>
          <w:rFonts w:ascii="宋体"/>
          <w:sz w:val="24"/>
        </w:rPr>
        <w:t/>
      </w:r>
      <w:proofErr w:type="spellStart"/>
      <w:r w:rsidRPr="00E7356F">
        <w:rPr>
          <w:rFonts w:ascii="宋体" w:hAnsi="宋体"/>
          <w:sz w:val="24"/>
        </w:rPr>
        <w:t/>
      </w:r>
      <w:proofErr w:type="spellEnd"/>
      <w:r w:rsidRPr="00E7356F">
        <w:rPr>
          <w:rFonts w:ascii="宋体" w:hAnsi="宋体"/>
          <w:sz w:val="24"/>
        </w:rPr>
        <w:t/>
      </w:r>
    </w:p>
    <w:p w:rsidP="00EA6415" w:rsidR="00F016DD" w:rsidRDefault="00F016DD" w:rsidRPr="00EA6415">
      <w:pPr>
        <w:spacing w:line="360" w:lineRule="auto"/>
        <w:ind w:firstLine="480" w:firstLineChars="200"/>
        <w:rPr>
          <w:color w:val="000000"/>
          <w:sz w:val="24"/>
        </w:rPr>
      </w:pPr>
      <w:r w:rsidRPr="00EA6415">
        <w:rPr>
          <w:color w:val="000000"/>
          <w:sz w:val="24"/>
        </w:rPr>
        <w:t/>
      </w:r>
      <w:proofErr w:type="spellStart"/>
      <w:proofErr w:type="gramStart"/>
      <w:r w:rsidRPr="00EA6415">
        <w:rPr>
          <w:color w:val="000000"/>
          <w:sz w:val="24"/>
        </w:rPr>
        <w:t/>
      </w:r>
      <w:proofErr w:type="spellEnd"/>
      <w:proofErr w:type="gramEnd"/>
      <w:r w:rsidRPr="00EA6415">
        <w:rPr>
          <w:color w:val="000000"/>
          <w:sz w:val="24"/>
        </w:rPr>
        <w:t>本基金投资国债期货根据风险管理的原则，以套期保值策略为目的，调节组合的整体久期水平。本报告期内，本基金投资国债期货符合既定的投资政策和投资目的。</w:t>
      </w:r>
    </w:p>
    <w:p w:rsidP="001D5CD0" w:rsidR="00F016DD" w:rsidRDefault="00F016DD" w:rsidRPr="00E85E29">
      <w:pPr>
        <w:autoSpaceDE w:val="0"/>
        <w:autoSpaceDN w:val="0"/>
        <w:adjustRightInd w:val="0"/>
        <w:spacing w:line="360" w:lineRule="auto"/>
        <w:jc w:val="left"/>
        <w:rPr>
          <w:rFonts w:ascii="宋体" w:cs="Arial"/>
          <w:b/>
          <w:kern w:val="0"/>
          <w:sz w:val="24"/>
        </w:rPr>
      </w:pPr>
      <w:r w:rsidRPr="00E85E29">
        <w:rPr>
          <w:rFonts w:ascii="宋体" w:cs="Arial"/>
          <w:b/>
          <w:kern w:val="0"/>
          <w:sz w:val="24"/>
        </w:rPr>
        <w:t/>
      </w:r>
      <w:proofErr w:type="gramStart"/>
      <w:r w:rsidRPr="00E85E29">
        <w:rPr>
          <w:rFonts w:ascii="宋体" w:cs="Arial" w:hAnsi="宋体"/>
          <w:b/>
          <w:kern w:val="0"/>
          <w:sz w:val="24"/>
        </w:rPr>
        <w:t/>
      </w:r>
      <w:proofErr w:type="gramEnd"/>
      <w:r w:rsidRPr="00E85E29">
        <w:rPr>
          <w:rFonts w:ascii="宋体" w:cs="Arial" w:hAnsi="宋体"/>
          <w:b/>
          <w:kern w:val="0"/>
          <w:sz w:val="24"/>
        </w:rPr>
        <w:t>5.11</w:t>
      </w:r>
      <w:r w:rsidRPr="00E85E29">
        <w:rPr>
          <w:rFonts w:ascii="宋体" w:cs="Arial" w:hAnsi="宋体" w:hint="eastAsia"/>
          <w:b/>
          <w:kern w:val="0"/>
          <w:sz w:val="24"/>
        </w:rPr>
        <w:t>投资组合报告附注</w:t>
      </w:r>
    </w:p>
    <w:p w:rsidP="006456D3" w:rsidR="00F016DD" w:rsidRDefault="00B63F2B" w:rsidRPr="00414367">
      <w:pPr>
        <w:widowControl/>
        <w:spacing w:line="360" w:lineRule="auto"/>
        <w:rPr>
          <w:color w:val="00000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5.11.1</w:t>
      </w:r>
      <w:r w:rsidR="00293065">
        <w:rPr>
          <w:rFonts w:hint="eastAsia"/>
          <w:color w:val="000000"/>
          <w:sz w:val="24"/>
        </w:rPr>
        <w:t xml:space="preserve"> </w:t>
      </w:r>
      <w:r w:rsidR="00F016DD" w:rsidRPr="00414367">
        <w:rPr>
          <w:color w:val="000000"/>
          <w:sz w:val="24"/>
        </w:rPr>
        <w:t>本基金投资的前十名证券的发行主体本期没有出现被监管部门立案调查，或在报告编制日前一年内受到公开谴责、处罚的情形。</w:t>
      </w:r>
    </w:p>
    <w:p w:rsidP="006456D3" w:rsidR="00F016DD" w:rsidRDefault="00B63F2B" w:rsidRPr="00414367">
      <w:pPr>
        <w:widowControl/>
        <w:spacing w:line="360" w:lineRule="auto"/>
        <w:rPr>
          <w:color w:val="000000"/>
          <w:sz w:val="24"/>
        </w:rPr>
      </w:pPr>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5.11.2</w:t>
      </w:r>
      <w:r w:rsidR="00293065">
        <w:rPr>
          <w:rFonts w:hint="eastAsia"/>
          <w:color w:val="000000"/>
          <w:sz w:val="24"/>
        </w:rPr>
        <w:t xml:space="preserve"> </w:t>
      </w:r>
      <w:r w:rsidR="00F016DD" w:rsidRPr="00414367">
        <w:rPr>
          <w:color w:val="000000"/>
          <w:sz w:val="24"/>
        </w:rPr>
        <w:t>本基金本报告期没有投资股票，因此不存在投资的前十名股票超出基金合同规定的备选股票库情况。</w:t>
      </w:r>
    </w:p>
    <w:p w:rsidP="001D5CD0" w:rsidR="00F016DD" w:rsidRDefault="00F016DD" w:rsidRPr="00414367">
      <w:pPr>
        <w:autoSpaceDE w:val="0"/>
        <w:autoSpaceDN w:val="0"/>
        <w:adjustRightInd w:val="0"/>
        <w:spacing w:line="360" w:lineRule="auto"/>
        <w:rPr>
          <w:kern w:val="0"/>
          <w:sz w:val="24"/>
        </w:rPr>
      </w:pPr>
      <w:r w:rsidRPr="00414367">
        <w:rPr>
          <w:kern w:val="0"/>
          <w:sz w:val="24"/>
        </w:rPr>
        <w:t/>
      </w:r>
      <w:proofErr w:type="gramStart"/>
      <w:r w:rsidRPr="00414367">
        <w:rPr>
          <w:kern w:val="0"/>
          <w:sz w:val="24"/>
        </w:rPr>
        <w:t/>
      </w:r>
      <w:proofErr w:type="gramEnd"/>
      <w:r w:rsidRPr="00414367">
        <w:rPr>
          <w:kern w:val="0"/>
          <w:sz w:val="24"/>
        </w:rPr>
        <w:t>5.11.3</w:t>
      </w:r>
      <w:r w:rsidRPr="00414367">
        <w:rPr>
          <w:kern w:val="0"/>
          <w:sz w:val="24"/>
        </w:rPr>
        <w:t>其他资产构成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761"/>
        <w:gridCol w:w="4808"/>
      </w:tblGrid>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type="dxa" w:w="2761"/>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type="dxa" w:w="4808"/>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1,627,989.04</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2</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8,951,916.40</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3</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lastRenderedPageBreak/>
              <w:t>4</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48,573,546.83</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5</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6</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7</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8</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9</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59,153,452.27</w:t>
            </w:r>
          </w:p>
        </w:tc>
      </w:tr>
    </w:tbl>
    <w:p w:rsidP="001D5CD0" w:rsidR="00F016DD" w:rsidRDefault="00F016DD" w:rsidRPr="00E7356F">
      <w:pPr>
        <w:autoSpaceDE w:val="0"/>
        <w:autoSpaceDN w:val="0"/>
        <w:adjustRightInd w:val="0"/>
        <w:spacing w:line="360" w:lineRule="auto"/>
        <w:jc w:val="left"/>
        <w:rPr>
          <w:rFonts w:ascii="宋体" w:cs="Arial"/>
          <w:kern w:val="0"/>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5.11.4</w:t>
      </w:r>
      <w:r w:rsidRPr="00E7356F">
        <w:rPr>
          <w:rFonts w:ascii="宋体" w:cs="Arial" w:hAnsi="宋体" w:hint="eastAsia"/>
          <w:kern w:val="0"/>
          <w:sz w:val="24"/>
        </w:rPr>
        <w:t>报告期末持有的处于转股期的可转换债券明细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本基金本报告期末未持有处于转股期的可转换债券。</w:t>
      </w:r>
    </w:p>
    <w:p w:rsidP="001D5CD0" w:rsidR="00F016DD" w:rsidRDefault="00F016DD" w:rsidRPr="00E7356F">
      <w:pPr>
        <w:autoSpaceDE w:val="0"/>
        <w:autoSpaceDN w:val="0"/>
        <w:adjustRightInd w:val="0"/>
        <w:spacing w:line="360" w:lineRule="auto"/>
        <w:jc w:val="left"/>
        <w:rPr>
          <w:rFonts w:ascii="宋体"/>
          <w:bCs/>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5.11.5</w:t>
      </w:r>
      <w:r w:rsidRPr="00E7356F">
        <w:rPr>
          <w:rFonts w:ascii="宋体" w:hAnsi="宋体" w:hint="eastAsia"/>
          <w:bCs/>
          <w:sz w:val="24"/>
        </w:rPr>
        <w:t>报告期末前十名股票中存在流通受限情况的说明</w: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本基金本报告期末未持有股票。</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6  </w:t>
      </w:r>
      <w:r w:rsidRPr="0078105B">
        <w:rPr>
          <w:rFonts w:ascii="宋体" w:cs="Arial" w:hAnsi="宋体" w:hint="eastAsia"/>
          <w:color w:val="000000"/>
          <w:kern w:val="0"/>
          <w:sz w:val="24"/>
          <w:szCs w:val="24"/>
        </w:rPr>
        <w:t>开放式基金份额变动</w:t>
      </w:r>
    </w:p>
    <w:p w:rsidP="00302187"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F016DD" w:rsidRPr="0078105B" w:rsidTr="0001612A">
        <w:tc>
          <w:tcPr>
            <w:tcW w:type="dxa" w:w="3900"/>
            <w:vAlign w:val="center"/>
          </w:tcPr>
          <w:p w:rsidP="00B84643"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项目</w:t>
            </w:r>
            <w:r w:rsidRPr="00FA472B">
              <w:rPr>
                <w:color w:val="000000"/>
                <w:kern w:val="0"/>
              </w:rPr>
              <w:t/>
            </w:r>
            <w:proofErr w:type="spellStart"/>
            <w:r w:rsidRPr="00FA472B">
              <w:rPr>
                <w:color w:val="000000"/>
                <w:kern w:val="0"/>
              </w:rPr>
              <w:t/>
            </w:r>
            <w:proofErr w:type="spellEnd"/>
            <w:r w:rsidRPr="00FA472B">
              <w:rPr>
                <w:color w:val="000000"/>
                <w:kern w:val="0"/>
              </w:rPr>
              <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proofErr w:type="spellStart"/>
            <w:r w:rsidRPr="00FA472B">
              <w:rPr>
                <w:sz w:val="24"/>
              </w:rPr>
              <w:t/>
            </w:r>
            <w:proofErr w:type="spellEnd"/>
            <w:r w:rsidRPr="00FA472B">
              <w:rPr>
                <w:sz w:val="24"/>
              </w:rPr>
              <w:t>易方达年年恒夏纯债一年定开债券发起式A</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r w:rsidRPr="00FA472B">
              <w:rPr>
                <w:sz w:val="24"/>
              </w:rPr>
              <w:t>易方达年年恒夏纯债一年定开债券发起式C</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w:t>
            </w:r>
            <w:proofErr w:type="gramStart"/>
            <w:r w:rsidRPr="00FA472B">
              <w:rPr>
                <w:color w:val="000000"/>
                <w:kern w:val="0"/>
                <w:sz w:val="24"/>
              </w:rPr>
              <w:t>初基金</w:t>
            </w:r>
            <w:proofErr w:type="gramEnd"/>
            <w:r w:rsidRPr="00FA472B">
              <w:rPr>
                <w:color w:val="000000"/>
                <w:kern w:val="0"/>
                <w:sz w:val="24"/>
              </w:rPr>
              <w:t>份额总额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1,228,791,868.78</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157,922,331.37</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基金总申购份额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1,366,318,691.47</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8,738,039.87</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减：</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基金总赎回份额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748,441,634.34</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132,503,561.79</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type="dxa" w:w="2367"/>
            <w:vAlign w:val="center"/>
          </w:tcPr>
          <w:p w:rsidP="00B57BCF"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r w:rsidRPr="00FA472B">
              <w:rPr>
                <w:color w:val="000000"/>
                <w:sz w:val="24"/>
              </w:rPr>
              <w:lastRenderedPageBreak/>
              <w:t/>
            </w:r>
            <w:proofErr w:type="spellEnd"/>
            <w:r w:rsidRPr="00FA472B">
              <w:rPr>
                <w:color w:val="000000"/>
                <w:sz w:val="24"/>
              </w:rPr>
              <w:t>1,846,668,925.91</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lastRenderedPageBreak/>
              <w:t/>
            </w:r>
            <w:r w:rsidRPr="00FA472B">
              <w:rPr>
                <w:color w:val="000000"/>
                <w:sz w:val="24"/>
              </w:rPr>
              <w:lastRenderedPageBreak/>
              <w:t>34,156,809.45</w:t>
            </w:r>
          </w:p>
        </w:tc>
      </w:tr>
    </w:tbl>
    <w:p w:rsidP="00B54884" w:rsidR="00F016DD" w:rsidRDefault="00F016DD">
      <w:pPr>
        <w:pStyle w:val="1"/>
        <w:tabs>
          <w:tab w:pos="4156" w:val="center"/>
          <w:tab w:pos="8312" w:val="right"/>
        </w:tabs>
        <w:spacing w:after="312" w:afterLines="100" w:before="312" w:beforeLines="100" w:line="360" w:lineRule="auto"/>
        <w:jc w:val="center"/>
        <w:rPr>
          <w:rFonts w:ascii="方正仿宋简体"/>
          <w:sz w:val="24"/>
          <w:szCs w:val="24"/>
        </w:rPr>
      </w:pPr>
      <w:r w:rsidRPr="00AB67DE">
        <w:rPr>
          <w:rFonts w:ascii="宋体"/>
          <w:color w:val="000000"/>
          <w:kern w:val="0"/>
          <w:sz w:val="24"/>
          <w:szCs w:val="24"/>
        </w:rPr>
        <w:t/>
      </w:r>
      <w:proofErr w:type="spellStart"/>
      <w:r w:rsidRPr="00AB67DE">
        <w:rPr>
          <w:rFonts w:ascii="宋体" w:hAnsi="宋体"/>
          <w:color w:val="000000"/>
          <w:kern w:val="0"/>
          <w:sz w:val="24"/>
          <w:szCs w:val="24"/>
        </w:rPr>
        <w:t/>
      </w:r>
      <w:proofErr w:type="spellEnd"/>
      <w:r w:rsidRPr="00AB67DE">
        <w:rPr>
          <w:rFonts w:ascii="宋体" w:hAnsi="宋体"/>
          <w:color w:val="000000"/>
          <w:kern w:val="0"/>
          <w:sz w:val="24"/>
          <w:szCs w:val="24"/>
        </w:rPr>
        <w:t/>
      </w:r>
      <w:r w:rsidRPr="00AB67DE">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Pr="00AB67DE">
        <w:rPr>
          <w:rFonts w:ascii="宋体" w:cs="Arial"/>
          <w:color w:val="000000"/>
          <w:kern w:val="0"/>
          <w:sz w:val="24"/>
          <w:szCs w:val="24"/>
        </w:rPr>
        <w:t>7</w:t>
      </w:r>
      <w:r w:rsidR="0066098B" w:rsidRPr="0078105B">
        <w:rPr>
          <w:rFonts w:ascii="宋体" w:cs="Arial" w:hAnsi="宋体"/>
          <w:color w:val="000000"/>
          <w:kern w:val="0"/>
          <w:sz w:val="24"/>
          <w:szCs w:val="24"/>
        </w:rPr>
        <w:t xml:space="preserve">  </w:t>
      </w:r>
      <w:r w:rsidRPr="0016464C">
        <w:rPr>
          <w:rFonts w:ascii="方正仿宋简体" w:hint="eastAsia"/>
          <w:sz w:val="24"/>
          <w:szCs w:val="24"/>
        </w:rPr>
        <w:t>基金管理人运用</w:t>
      </w:r>
      <w:proofErr w:type="gramStart"/>
      <w:r w:rsidRPr="0016464C">
        <w:rPr>
          <w:rFonts w:ascii="方正仿宋简体" w:hint="eastAsia"/>
          <w:sz w:val="24"/>
          <w:szCs w:val="24"/>
        </w:rPr>
        <w:t>固有资金</w:t>
      </w:r>
      <w:proofErr w:type="gramEnd"/>
      <w:r w:rsidRPr="0016464C">
        <w:rPr>
          <w:rFonts w:ascii="方正仿宋简体" w:hint="eastAsia"/>
          <w:sz w:val="24"/>
          <w:szCs w:val="24"/>
        </w:rPr>
        <w:t>投资本基金情况</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7.1 </w:t>
      </w:r>
      <w:r>
        <w:rPr>
          <w:rFonts w:hint="eastAsia"/>
          <w:b/>
          <w:sz w:val="24"/>
        </w:rPr>
        <w:t>基</w:t>
      </w:r>
      <w:r w:rsidRPr="00B404F1">
        <w:rPr>
          <w:rFonts w:hint="eastAsia"/>
          <w:b/>
          <w:sz w:val="24"/>
        </w:rPr>
        <w:t>金管理人持有本基金份额变动情况</w:t>
      </w:r>
    </w:p>
    <w:p w:rsidP="00CC78C7" w:rsidR="00CC78C7" w:rsidRDefault="00CC78C7" w:rsidRPr="00266D4B">
      <w:pPr>
        <w:autoSpaceDE w:val="0"/>
        <w:autoSpaceDN w:val="0"/>
        <w:adjustRightInd w:val="0"/>
        <w:spacing w:before="29" w:line="288" w:lineRule="auto"/>
        <w:ind w:left="15" w:right="480"/>
        <w:jc w:val="right"/>
        <w:rPr>
          <w:color w:val="000000"/>
          <w:kern w:val="0"/>
          <w:sz w:val="24"/>
        </w:rPr>
      </w:pPr>
      <w:r w:rsidRPr="00266D4B">
        <w:rPr>
          <w:color w:val="000000"/>
          <w:kern w:val="0"/>
          <w:sz w:val="24"/>
        </w:rPr>
        <w:t/>
      </w:r>
      <w:proofErr w:type="spellStart"/>
      <w:r w:rsidRPr="00266D4B">
        <w:rPr>
          <w:color w:val="000000"/>
          <w:kern w:val="0"/>
          <w:sz w:val="24"/>
        </w:rPr>
        <w:t/>
      </w:r>
      <w:proofErr w:type="spellEnd"/>
      <w:r w:rsidRPr="00266D4B">
        <w:rPr>
          <w:color w:val="000000"/>
          <w:kern w:val="0"/>
          <w:sz w:val="24"/>
        </w:rPr>
        <w:t/>
      </w:r>
      <w:r w:rsidRPr="00266D4B">
        <w:rPr>
          <w:color w:val="000000"/>
          <w:kern w:val="0"/>
          <w:sz w:val="24"/>
        </w:rPr>
        <w:t>单位：份</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167"/>
        <w:gridCol w:w="2616"/>
        <w:gridCol w:w="2631"/>
      </w:tblGrid>
      <w:tr w:rsidR="00CC78C7" w:rsidRPr="00E90B39" w:rsidTr="0001612A">
        <w:trPr>
          <w:trHeight w:val="248"/>
        </w:trPr>
        <w:tc>
          <w:tcPr>
            <w:tcW w:type="dxa" w:w="3167"/>
            <w:vAlign w:val="center"/>
          </w:tcPr>
          <w:p w:rsidP="00964538" w:rsidR="00CC78C7" w:rsidRDefault="00CC78C7" w:rsidRPr="00FA472B">
            <w:pPr>
              <w:autoSpaceDE w:val="0"/>
              <w:autoSpaceDN w:val="0"/>
              <w:adjustRightInd w:val="0"/>
              <w:spacing w:before="29" w:line="360" w:lineRule="auto"/>
              <w:ind w:left="15"/>
              <w:jc w:val="center"/>
              <w:rPr>
                <w:color w:val="000000"/>
                <w:kern w:val="0"/>
                <w:sz w:val="24"/>
              </w:rPr>
            </w:pPr>
            <w:r w:rsidRPr="00FA472B">
              <w:rPr>
                <w:color w:val="000000"/>
                <w:kern w:val="0"/>
                <w:sz w:val="24"/>
              </w:rPr>
              <w:t>项目</w:t>
            </w:r>
            <w:r w:rsidRPr="003B42FF">
              <w:rPr>
                <w:rFonts w:eastAsiaTheme="minorEastAsia"/>
                <w:bCs/>
                <w:color w:val="000000"/>
              </w:rPr>
              <w:t/>
            </w:r>
            <w:proofErr w:type="spellStart"/>
            <w:r w:rsidRPr="003B42FF">
              <w:rPr>
                <w:rFonts w:eastAsiaTheme="minorEastAsia"/>
                <w:bCs/>
                <w:color w:val="000000"/>
              </w:rPr>
              <w:t/>
            </w:r>
            <w:proofErr w:type="spellEnd"/>
            <w:r w:rsidRPr="003B42FF">
              <w:rPr>
                <w:rFonts w:eastAsiaTheme="minorEastAsia"/>
                <w:bCs/>
                <w:color w:val="000000"/>
              </w:rPr>
              <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
            </w:r>
          </w:p>
        </w:tc>
        <w:tc>
          <w:tcPr>
            <w:tcW w:type="dxa" w:w="2616"/>
            <w:vAlign w:val="bottom"/>
          </w:tcPr>
          <w:p w:rsidP="00964538" w:rsidR="00CC78C7" w:rsidRDefault="00CC78C7" w:rsidRPr="00FA472B">
            <w:pPr>
              <w:jc w:val="center"/>
              <w:rPr>
                <w:sz w:val="24"/>
              </w:rPr>
            </w:pPr>
            <w:r w:rsidRPr="00FA472B">
              <w:rPr>
                <w:color w:val="000000"/>
                <w:kern w:val="0"/>
                <w:sz w:val="24"/>
              </w:rPr>
              <w:t/>
            </w:r>
            <w:proofErr w:type="spellStart"/>
            <w:r w:rsidRPr="00FA472B">
              <w:rPr>
                <w:sz w:val="24"/>
              </w:rPr>
              <w:t/>
            </w:r>
            <w:proofErr w:type="spellEnd"/>
            <w:r w:rsidRPr="00FA472B">
              <w:rPr>
                <w:sz w:val="24"/>
              </w:rPr>
              <w:t>易方达年年恒夏纯债一年定开债券发起式A</w:t>
            </w:r>
          </w:p>
        </w:tc>
        <w:tc>
          <w:tcPr>
            <w:tcW w:type="dxa" w:w="2631"/>
            <w:vAlign w:val="bottom"/>
          </w:tcPr>
          <w:p w:rsidP="00964538" w:rsidR="00CC78C7" w:rsidRDefault="00CC78C7" w:rsidRPr="00FA472B">
            <w:pPr>
              <w:jc w:val="center"/>
              <w:rPr>
                <w:sz w:val="24"/>
              </w:rPr>
            </w:pPr>
            <w:r w:rsidRPr="00FA472B">
              <w:rPr>
                <w:color w:val="000000"/>
                <w:kern w:val="0"/>
                <w:sz w:val="24"/>
              </w:rPr>
              <w:t/>
            </w:r>
            <w:r w:rsidRPr="00FA472B">
              <w:rPr>
                <w:sz w:val="24"/>
              </w:rPr>
              <w:t>易方达年年恒夏纯债一年定开债券发起式C</w:t>
            </w:r>
          </w:p>
        </w:tc>
      </w:tr>
      <w:tr w:rsidR="00CC78C7" w:rsidRPr="00E90B39" w:rsidTr="0001612A">
        <w:trPr>
          <w:trHeight w:val="247"/>
        </w:trPr>
        <w:tc>
          <w:tcPr>
            <w:tcW w:type="dxa" w:w="3167"/>
            <w:vAlign w:val="center"/>
          </w:tcPr>
          <w:p w:rsidP="00964538" w:rsidR="00CC78C7" w:rsidRDefault="00CC78C7" w:rsidRPr="00FA472B">
            <w:pPr>
              <w:pStyle w:val="ac"/>
              <w:adjustRightInd w:val="0"/>
              <w:snapToGrid w:val="0"/>
              <w:spacing w:line="360" w:lineRule="exact"/>
              <w:rPr>
                <w:color w:val="000000"/>
                <w:szCs w:val="24"/>
              </w:rPr>
            </w:pPr>
            <w:r w:rsidRPr="00FA472B">
              <w:rPr>
                <w:color w:val="000000"/>
                <w:szCs w:val="24"/>
              </w:rPr>
              <w:t>报告期期</w:t>
            </w:r>
            <w:proofErr w:type="gramStart"/>
            <w:r w:rsidRPr="00FA472B">
              <w:rPr>
                <w:color w:val="000000"/>
                <w:szCs w:val="24"/>
              </w:rPr>
              <w:t>初管理</w:t>
            </w:r>
            <w:proofErr w:type="gramEnd"/>
            <w:r w:rsidRPr="00FA472B">
              <w:rPr>
                <w:color w:val="000000"/>
                <w:szCs w:val="24"/>
              </w:rPr>
              <w:t>人持有的本基金份额</w:t>
            </w:r>
          </w:p>
        </w:tc>
        <w:tc>
          <w:tcPr>
            <w:tcW w:type="dxa" w:w="2616"/>
            <w:vAlign w:val="center"/>
          </w:tcPr>
          <w:p w:rsidP="00964538" w:rsidR="00CC78C7" w:rsidRDefault="00CC78C7" w:rsidRPr="00FA472B">
            <w:pPr>
              <w:jc w:val="right"/>
              <w:rPr>
                <w:sz w:val="24"/>
              </w:rPr>
            </w:pPr>
            <w:r w:rsidRPr="00FA472B">
              <w:rPr>
                <w:color w:val="000000"/>
                <w:sz w:val="24"/>
              </w:rPr>
              <w:t>10,000,000.00</w:t>
            </w:r>
          </w:p>
        </w:tc>
        <w:tc>
          <w:tcPr>
            <w:tcW w:type="dxa" w:w="2631"/>
            <w:vAlign w:val="center"/>
          </w:tcPr>
          <w:p w:rsidP="00964538" w:rsidR="00CC78C7" w:rsidRDefault="00CC78C7" w:rsidRPr="00FA472B">
            <w:pPr>
              <w:jc w:val="right"/>
              <w:rPr>
                <w:sz w:val="24"/>
              </w:rPr>
            </w:pPr>
            <w:r w:rsidRPr="00FA472B">
              <w:rPr>
                <w:color w:val="000000"/>
                <w:sz w:val="24"/>
              </w:rPr>
              <w:t>-</w:t>
            </w:r>
          </w:p>
        </w:tc>
      </w:tr>
      <w:tr w:rsidR="00CC78C7" w:rsidRPr="00E90B39" w:rsidTr="0001612A">
        <w:tc>
          <w:tcPr>
            <w:tcW w:type="dxa" w:w="3167"/>
            <w:vAlign w:val="center"/>
          </w:tcPr>
          <w:p w:rsidP="00964538" w:rsidR="00CC78C7" w:rsidRDefault="00CC78C7" w:rsidRPr="00FA472B">
            <w:pPr>
              <w:adjustRightInd w:val="0"/>
              <w:snapToGrid w:val="0"/>
              <w:spacing w:line="360" w:lineRule="exact"/>
              <w:rPr>
                <w:color w:val="000000"/>
                <w:sz w:val="24"/>
              </w:rPr>
            </w:pPr>
            <w:r w:rsidRPr="003B42FF">
              <w:rPr>
                <w:rFonts w:eastAsiaTheme="minorEastAsia"/>
                <w:color w:themeColor="text1" w:val="000000"/>
                <w:kern w:val="0"/>
                <w:sz w:val="24"/>
              </w:rPr>
              <w:t/>
            </w:r>
            <w:proofErr w:type="spellStart"/>
            <w:r w:rsidRPr="003B42FF">
              <w:rPr>
                <w:rFonts w:eastAsiaTheme="minorEastAsia"/>
                <w:color w:themeColor="text1" w:val="000000"/>
                <w:kern w:val="0"/>
                <w:sz w:val="24"/>
              </w:rPr>
              <w:t/>
            </w:r>
            <w:r w:rsidR="00AE68BC">
              <w:rPr>
                <w:color w:val="000000"/>
                <w:kern w:val="0"/>
                <w:sz w:val="24"/>
              </w:rPr>
              <w:t/>
            </w:r>
            <w:proofErr w:type="spellEnd"/>
            <w:r w:rsidRPr="003B42FF">
              <w:rPr>
                <w:rFonts w:eastAsiaTheme="minorEastAsia"/>
                <w:color w:themeColor="text1" w:val="000000"/>
                <w:kern w:val="0"/>
                <w:sz w:val="24"/>
              </w:rPr>
              <w:t>报告期</w:t>
            </w:r>
            <w:r w:rsidRPr="00FA472B">
              <w:rPr>
                <w:color w:val="000000"/>
                <w:kern w:val="0"/>
                <w:sz w:val="24"/>
              </w:rPr>
              <w:t>期间</w:t>
            </w:r>
            <w:r w:rsidRPr="00FA472B">
              <w:rPr>
                <w:color w:val="000000"/>
                <w:sz w:val="24"/>
              </w:rPr>
              <w:t>买入</w:t>
            </w:r>
            <w:r w:rsidRPr="00FA472B">
              <w:rPr>
                <w:color w:val="000000"/>
                <w:sz w:val="24"/>
              </w:rPr>
              <w:t>/</w:t>
            </w:r>
            <w:r w:rsidRPr="00FA472B">
              <w:rPr>
                <w:color w:val="000000"/>
                <w:sz w:val="24"/>
              </w:rPr>
              <w:t>申购</w:t>
            </w:r>
            <w:r w:rsidRPr="00FA472B">
              <w:rPr>
                <w:color w:val="000000"/>
                <w:sz w:val="24"/>
              </w:rPr>
              <w:lastRenderedPageBreak/>
              <w:t>总份额</w:t>
            </w:r>
          </w:p>
        </w:tc>
        <w:tc>
          <w:tcPr>
            <w:tcW w:type="dxa" w:w="2616"/>
            <w:vAlign w:val="center"/>
          </w:tcPr>
          <w:p w:rsidP="00964538" w:rsidR="00CC78C7" w:rsidRDefault="00CC78C7" w:rsidRPr="00FA472B">
            <w:pPr>
              <w:jc w:val="right"/>
              <w:rPr>
                <w:color w:val="000000"/>
                <w:kern w:val="0"/>
                <w:sz w:val="24"/>
              </w:rPr>
            </w:pPr>
            <w:r w:rsidRPr="00FA472B">
              <w:rPr>
                <w:color w:val="000000"/>
                <w:sz w:val="24"/>
              </w:rPr>
              <w:lastRenderedPageBreak/>
              <w:t/>
            </w:r>
            <w:proofErr w:type="spellStart"/>
            <w:r w:rsidRPr="00FA472B">
              <w:rPr>
                <w:color w:val="000000"/>
                <w:sz w:val="24"/>
              </w:rPr>
              <w:t/>
            </w:r>
            <w:r w:rsidRPr="00FA472B">
              <w:rPr>
                <w:color w:val="000000"/>
                <w:sz w:val="24"/>
              </w:rPr>
              <w:lastRenderedPageBreak/>
              <w:t/>
            </w:r>
            <w:proofErr w:type="spellEnd"/>
            <w:r w:rsidRPr="00FA472B">
              <w:rPr>
                <w:color w:val="000000"/>
                <w:sz w:val="24"/>
              </w:rPr>
              <w:t>-</w:t>
            </w:r>
          </w:p>
        </w:tc>
        <w:tc>
          <w:tcPr>
            <w:tcW w:type="dxa" w:w="2631"/>
            <w:vAlign w:val="center"/>
          </w:tcPr>
          <w:p w:rsidP="00964538" w:rsidR="00CC78C7" w:rsidRDefault="00CC78C7" w:rsidRPr="00FA472B">
            <w:pPr>
              <w:jc w:val="right"/>
              <w:rPr>
                <w:color w:val="000000"/>
                <w:kern w:val="0"/>
                <w:sz w:val="24"/>
              </w:rPr>
            </w:pPr>
            <w:r w:rsidRPr="00FA472B">
              <w:rPr>
                <w:color w:val="000000"/>
                <w:sz w:val="24"/>
              </w:rPr>
              <w:lastRenderedPageBreak/>
              <w:t/>
            </w:r>
            <w:r w:rsidRPr="00FA472B">
              <w:rPr>
                <w:color w:val="000000"/>
                <w:sz w:val="24"/>
              </w:rPr>
              <w:lastRenderedPageBreak/>
              <w:t>-</w:t>
            </w:r>
          </w:p>
        </w:tc>
      </w:tr>
      <w:tr w:rsidR="00CC78C7" w:rsidRPr="00E90B39" w:rsidTr="0001612A">
        <w:tc>
          <w:tcPr>
            <w:tcW w:type="dxa" w:w="3167"/>
            <w:vAlign w:val="center"/>
          </w:tcPr>
          <w:p w:rsidP="00964538" w:rsidR="00CC78C7" w:rsidRDefault="00CC78C7" w:rsidRPr="00FA472B">
            <w:pPr>
              <w:adjustRightInd w:val="0"/>
              <w:snapToGrid w:val="0"/>
              <w:spacing w:line="360" w:lineRule="exact"/>
              <w:rPr>
                <w:color w:val="000000"/>
                <w:sz w:val="24"/>
              </w:rPr>
            </w:pPr>
            <w:r w:rsidRPr="003B42FF">
              <w:rPr>
                <w:rFonts w:eastAsiaTheme="minorEastAsia"/>
                <w:color w:themeColor="text1" w:val="000000"/>
                <w:kern w:val="0"/>
                <w:sz w:val="24"/>
              </w:rPr>
              <w:lastRenderedPageBreak/>
              <w:t/>
            </w:r>
            <w:proofErr w:type="spellStart"/>
            <w:r w:rsidRPr="003B42FF">
              <w:rPr>
                <w:rFonts w:eastAsiaTheme="minorEastAsia"/>
                <w:color w:themeColor="text1" w:val="000000"/>
                <w:kern w:val="0"/>
                <w:sz w:val="24"/>
              </w:rPr>
              <w:t/>
            </w:r>
            <w:r w:rsidR="00AE68BC">
              <w:rPr>
                <w:color w:val="000000"/>
                <w:kern w:val="0"/>
                <w:sz w:val="24"/>
              </w:rPr>
              <w:t/>
            </w:r>
            <w:proofErr w:type="spellEnd"/>
            <w:r w:rsidRPr="003B42FF">
              <w:rPr>
                <w:rFonts w:eastAsiaTheme="minorEastAsia"/>
                <w:color w:themeColor="text1" w:val="000000"/>
                <w:kern w:val="0"/>
                <w:sz w:val="24"/>
              </w:rPr>
              <w:t>报告期</w:t>
            </w:r>
            <w:r w:rsidRPr="00FA472B">
              <w:rPr>
                <w:color w:val="000000"/>
                <w:kern w:val="0"/>
                <w:sz w:val="24"/>
              </w:rPr>
              <w:t>期间</w:t>
            </w:r>
            <w:r w:rsidRPr="00FA472B">
              <w:rPr>
                <w:color w:val="000000"/>
                <w:sz w:val="24"/>
              </w:rPr>
              <w:t>卖出</w:t>
            </w:r>
            <w:r w:rsidRPr="00FA472B">
              <w:rPr>
                <w:color w:val="000000"/>
                <w:sz w:val="24"/>
              </w:rPr>
              <w:t>/</w:t>
            </w:r>
            <w:r w:rsidRPr="00FA472B">
              <w:rPr>
                <w:color w:val="000000"/>
                <w:sz w:val="24"/>
              </w:rPr>
              <w:t>赎回总份额</w:t>
            </w:r>
          </w:p>
        </w:tc>
        <w:tc>
          <w:tcPr>
            <w:tcW w:type="dxa" w:w="2616"/>
            <w:vAlign w:val="center"/>
          </w:tcPr>
          <w:p w:rsidP="00964538" w:rsidR="00CC78C7" w:rsidRDefault="00CC78C7" w:rsidRPr="00FA472B">
            <w:pPr>
              <w:jc w:val="right"/>
              <w:rPr>
                <w:color w:val="000000"/>
                <w:kern w:val="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631"/>
            <w:vAlign w:val="center"/>
          </w:tcPr>
          <w:p w:rsidP="00964538" w:rsidR="00CC78C7" w:rsidRDefault="00CC78C7" w:rsidRPr="00FA472B">
            <w:pPr>
              <w:jc w:val="right"/>
              <w:rPr>
                <w:color w:val="000000"/>
                <w:kern w:val="0"/>
                <w:sz w:val="24"/>
              </w:rPr>
            </w:pPr>
            <w:r w:rsidRPr="00FA472B">
              <w:rPr>
                <w:color w:val="000000"/>
                <w:sz w:val="24"/>
              </w:rPr>
              <w:t>-</w:t>
            </w:r>
          </w:p>
        </w:tc>
      </w:tr>
      <w:tr w:rsidR="00CC78C7" w:rsidRPr="00E90B39" w:rsidTr="0001612A">
        <w:tc>
          <w:tcPr>
            <w:tcW w:type="dxa" w:w="3167"/>
            <w:vAlign w:val="center"/>
          </w:tcPr>
          <w:p w:rsidP="00964538" w:rsidR="00CC78C7" w:rsidRDefault="00CC78C7" w:rsidRPr="00FA472B">
            <w:pPr>
              <w:adjustRightInd w:val="0"/>
              <w:snapToGrid w:val="0"/>
              <w:spacing w:line="360" w:lineRule="exact"/>
              <w:rPr>
                <w:color w:val="000000"/>
                <w:sz w:val="24"/>
              </w:rPr>
            </w:pPr>
            <w:r w:rsidRPr="00FA472B">
              <w:rPr>
                <w:color w:val="000000"/>
                <w:sz w:val="24"/>
              </w:rPr>
              <w:t>报告期期末管理人持有的本基金份额</w:t>
            </w:r>
          </w:p>
        </w:tc>
        <w:tc>
          <w:tcPr>
            <w:tcW w:type="dxa" w:w="2616"/>
            <w:vAlign w:val="center"/>
          </w:tcPr>
          <w:p w:rsidP="00964538" w:rsidR="00CC78C7" w:rsidRDefault="00CC78C7" w:rsidRPr="00FA472B">
            <w:pPr>
              <w:jc w:val="right"/>
              <w:rPr>
                <w:sz w:val="24"/>
              </w:rPr>
            </w:pPr>
            <w:r w:rsidRPr="00FA472B">
              <w:rPr>
                <w:color w:val="000000"/>
                <w:sz w:val="24"/>
              </w:rPr>
              <w:t/>
            </w:r>
            <w:proofErr w:type="spellStart"/>
            <w:r w:rsidRPr="00FA472B">
              <w:rPr>
                <w:color w:val="000000"/>
                <w:sz w:val="24"/>
              </w:rPr>
              <w:t/>
            </w:r>
            <w:proofErr w:type="spellEnd"/>
            <w:r w:rsidRPr="00FA472B">
              <w:rPr>
                <w:color w:val="000000"/>
                <w:sz w:val="24"/>
              </w:rPr>
              <w:t>10,000,000.00</w:t>
            </w:r>
          </w:p>
        </w:tc>
        <w:tc>
          <w:tcPr>
            <w:tcW w:type="dxa" w:w="2631"/>
            <w:vAlign w:val="center"/>
          </w:tcPr>
          <w:p w:rsidP="00964538" w:rsidR="00CC78C7" w:rsidRDefault="00CC78C7" w:rsidRPr="00FA472B">
            <w:pPr>
              <w:jc w:val="right"/>
              <w:rPr>
                <w:sz w:val="24"/>
              </w:rPr>
            </w:pPr>
            <w:r w:rsidRPr="00FA472B">
              <w:rPr>
                <w:color w:val="000000"/>
                <w:sz w:val="24"/>
              </w:rPr>
              <w:t>-</w:t>
            </w:r>
          </w:p>
        </w:tc>
      </w:tr>
      <w:tr w:rsidR="00CC78C7" w:rsidRPr="00E90B39" w:rsidTr="0001612A">
        <w:tc>
          <w:tcPr>
            <w:tcW w:type="dxa" w:w="3167"/>
            <w:vAlign w:val="center"/>
          </w:tcPr>
          <w:p w:rsidP="00964538" w:rsidR="00CC78C7" w:rsidRDefault="00CC78C7" w:rsidRPr="00FA472B">
            <w:pPr>
              <w:adjustRightInd w:val="0"/>
              <w:snapToGrid w:val="0"/>
              <w:spacing w:line="360" w:lineRule="exact"/>
              <w:rPr>
                <w:color w:val="000000"/>
                <w:sz w:val="24"/>
              </w:rPr>
            </w:pPr>
            <w:r w:rsidRPr="00FA472B">
              <w:rPr>
                <w:color w:val="000000"/>
                <w:sz w:val="24"/>
              </w:rPr>
              <w:t>报告期期末持有的本基金份额占基金总份额比例（</w:t>
            </w:r>
            <w:r w:rsidRPr="00FA472B">
              <w:rPr>
                <w:color w:val="000000"/>
                <w:sz w:val="24"/>
              </w:rPr>
              <w:t>%</w:t>
            </w:r>
            <w:r w:rsidRPr="00FA472B">
              <w:rPr>
                <w:color w:val="000000"/>
                <w:sz w:val="24"/>
              </w:rPr>
              <w:t>）</w:t>
            </w:r>
          </w:p>
        </w:tc>
        <w:tc>
          <w:tcPr>
            <w:tcW w:type="dxa" w:w="2616"/>
            <w:vAlign w:val="center"/>
          </w:tcPr>
          <w:p w:rsidP="00964538" w:rsidR="00CC78C7" w:rsidRDefault="00CC78C7" w:rsidRPr="00FA472B">
            <w:pPr>
              <w:jc w:val="right"/>
              <w:rPr>
                <w:color w:val="000000"/>
                <w:kern w:val="0"/>
                <w:sz w:val="24"/>
              </w:rPr>
            </w:pPr>
            <w:r w:rsidRPr="00FA472B">
              <w:rPr>
                <w:color w:val="000000"/>
                <w:sz w:val="24"/>
              </w:rPr>
              <w:t>0.5415</w:t>
            </w:r>
          </w:p>
        </w:tc>
        <w:tc>
          <w:tcPr>
            <w:tcW w:type="dxa" w:w="2631"/>
            <w:vAlign w:val="center"/>
          </w:tcPr>
          <w:p w:rsidP="00964538" w:rsidR="00CC78C7" w:rsidRDefault="00CC78C7" w:rsidRPr="00FA472B">
            <w:pPr>
              <w:jc w:val="right"/>
              <w:rPr>
                <w:color w:val="000000"/>
                <w:kern w:val="0"/>
                <w:sz w:val="24"/>
              </w:rPr>
            </w:pPr>
            <w:r w:rsidRPr="00FA472B">
              <w:rPr>
                <w:color w:val="000000"/>
                <w:sz w:val="24"/>
              </w:rPr>
              <w:t>-</w:t>
            </w:r>
          </w:p>
        </w:tc>
      </w:tr>
    </w:tbl>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7.2 </w:t>
      </w:r>
      <w:r>
        <w:rPr>
          <w:rFonts w:hint="eastAsia"/>
          <w:b/>
          <w:sz w:val="24"/>
        </w:rPr>
        <w:t>基</w:t>
      </w:r>
      <w:r w:rsidRPr="00B404F1">
        <w:rPr>
          <w:rFonts w:hint="eastAsia"/>
          <w:b/>
          <w:sz w:val="24"/>
        </w:rPr>
        <w:t>金管理人运用固有资金投资本基金交易明细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本报告期内基金管理人未运用固有资金申购、赎回、买卖本基金份额。</w:t>
      </w:r>
    </w:p>
    <w:p w:rsidP="00B54884" w:rsidR="00F016DD" w:rsidRDefault="00F016DD" w:rsidRPr="0078105B">
      <w:pPr>
        <w:pStyle w:val="1"/>
        <w:spacing w:after="312" w:afterLines="100" w:before="312" w:beforeLines="100" w:line="360" w:lineRule="auto"/>
        <w:jc w:val="center"/>
        <w:rPr>
          <w:rFonts w:ascii="宋体"/>
          <w:b w:val="0"/>
          <w:color w:val="000000"/>
          <w:sz w:val="24"/>
        </w:rPr>
      </w:pPr>
      <w:r w:rsidRPr="0078105B">
        <w:rPr>
          <w:rFonts w:ascii="宋体" w:cs="Arial"/>
          <w:color w:val="000000"/>
          <w:kern w:val="0"/>
          <w:sz w:val="24"/>
          <w:szCs w:val="24"/>
        </w:rPr>
        <w:t/>
      </w:r>
      <w:proofErr w:type="spellStart"/>
      <w:r w:rsidRPr="0078105B">
        <w:rPr>
          <w:rFonts w:ascii="宋体" w:cs="Arial" w:hAnsi="宋体"/>
          <w:color w:val="000000"/>
          <w:kern w:val="0"/>
          <w:sz w:val="24"/>
          <w:szCs w:val="24"/>
        </w:rPr>
        <w:t/>
      </w:r>
      <w:proofErr w:type="spellEnd"/>
      <w:r w:rsidRPr="0078105B">
        <w:rPr>
          <w:rFonts w:ascii="宋体" w:cs="Arial" w:hAnsi="宋体"/>
          <w:color w:val="000000"/>
          <w:kern w:val="0"/>
          <w:sz w:val="24"/>
          <w:szCs w:val="24"/>
        </w:rPr>
        <w:t/>
      </w:r>
      <w:r w:rsidRPr="0078105B">
        <w:rPr>
          <w:rFonts w:ascii="宋体" w:cs="Arial" w:hAnsi="宋体" w:hint="eastAsia"/>
          <w:color w:val="000000"/>
          <w:kern w:val="0"/>
          <w:sz w:val="24"/>
          <w:szCs w:val="24"/>
        </w:rPr>
        <w:t>§</w:t>
      </w:r>
      <w:r w:rsidRPr="0078105B">
        <w:rPr>
          <w:rFonts w:ascii="宋体" w:cs="Arial"/>
          <w:color w:val="000000"/>
          <w:kern w:val="0"/>
          <w:sz w:val="24"/>
          <w:szCs w:val="24"/>
        </w:rPr>
        <w:t/>
      </w:r>
      <w:r w:rsidRPr="0078105B">
        <w:rPr>
          <w:rFonts w:ascii="宋体" w:cs="Arial" w:hAnsi="宋体"/>
          <w:color w:val="000000"/>
          <w:kern w:val="0"/>
          <w:sz w:val="24"/>
          <w:szCs w:val="24"/>
        </w:rPr>
        <w:t xml:space="preserve">8  </w:t>
      </w:r>
      <w:r>
        <w:rPr>
          <w:rFonts w:ascii="宋体" w:cs="Arial" w:hAnsi="宋体" w:hint="eastAsia"/>
          <w:color w:val="000000"/>
          <w:kern w:val="0"/>
          <w:sz w:val="24"/>
          <w:szCs w:val="24"/>
        </w:rPr>
        <w:t>报告期末</w:t>
      </w:r>
      <w:r w:rsidRPr="0078105B">
        <w:rPr>
          <w:rFonts w:ascii="宋体" w:cs="Arial" w:hAnsi="宋体" w:hint="eastAsia"/>
          <w:color w:val="000000"/>
          <w:kern w:val="0"/>
          <w:sz w:val="24"/>
          <w:szCs w:val="24"/>
        </w:rPr>
        <w:t>发起</w:t>
      </w:r>
      <w:proofErr w:type="gramStart"/>
      <w:r w:rsidRPr="0078105B">
        <w:rPr>
          <w:rFonts w:ascii="宋体" w:cs="Arial" w:hAnsi="宋体" w:hint="eastAsia"/>
          <w:color w:val="000000"/>
          <w:kern w:val="0"/>
          <w:sz w:val="24"/>
          <w:szCs w:val="24"/>
        </w:rPr>
        <w:t>式基金</w:t>
      </w:r>
      <w:proofErr w:type="gramEnd"/>
      <w:r w:rsidRPr="0078105B">
        <w:rPr>
          <w:rFonts w:ascii="宋体" w:cs="Arial" w:hAnsi="宋体" w:hint="eastAsia"/>
          <w:color w:val="000000"/>
          <w:kern w:val="0"/>
          <w:sz w:val="24"/>
          <w:szCs w:val="24"/>
        </w:rPr>
        <w:t>发起资金持有份额情况</w:t>
      </w:r>
    </w:p>
    <w:tbl>
      <w:tblPr>
        <w:tblW w:type="auto" w:w="0"/>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448"/>
        <w:gridCol w:w="1984"/>
        <w:gridCol w:w="1276"/>
        <w:gridCol w:w="1843"/>
        <w:gridCol w:w="1276"/>
        <w:gridCol w:w="1053"/>
      </w:tblGrid>
      <w:tr w:rsidR="00F016DD" w:rsidRPr="0078105B" w:rsidTr="009D0312">
        <w:trPr>
          <w:trHeight w:val="543"/>
          <w:jc w:val="center"/>
        </w:trPr>
        <w:tc>
          <w:tcPr>
            <w:tcW w:type="dxa" w:w="1448"/>
            <w:vAlign w:val="center"/>
          </w:tcPr>
          <w:p w:rsidP="00973B57" w:rsidR="00F016DD" w:rsidRDefault="00F016DD" w:rsidRPr="00FA472B">
            <w:pPr>
              <w:widowControl/>
              <w:jc w:val="left"/>
              <w:rPr>
                <w:color w:val="000000"/>
                <w:sz w:val="24"/>
              </w:rPr>
            </w:pPr>
            <w:r w:rsidRPr="00FA472B">
              <w:rPr>
                <w:color w:val="000000"/>
                <w:sz w:val="24"/>
              </w:rPr>
              <w:t>项目</w:t>
            </w:r>
            <w:r w:rsidRPr="00FA472B">
              <w:rPr>
                <w:color w:val="000000"/>
                <w:sz w:val="24"/>
              </w:rPr>
              <w:t/>
            </w:r>
            <w:proofErr w:type="spellStart"/>
            <w:r w:rsidRPr="00FA472B">
              <w:rPr>
                <w:color w:val="000000"/>
                <w:sz w:val="24"/>
              </w:rPr>
              <w:t/>
            </w:r>
            <w:proofErr w:type="spellEnd"/>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984"/>
          </w:tcPr>
          <w:p w:rsidP="00973B57" w:rsidR="00F016DD" w:rsidRDefault="00F016DD" w:rsidRPr="00FA472B">
            <w:pPr>
              <w:adjustRightInd w:val="0"/>
              <w:snapToGrid w:val="0"/>
              <w:spacing w:line="360" w:lineRule="exact"/>
              <w:rPr>
                <w:color w:val="000000"/>
                <w:sz w:val="24"/>
              </w:rPr>
            </w:pPr>
            <w:r w:rsidRPr="00FA472B">
              <w:rPr>
                <w:color w:val="000000"/>
                <w:sz w:val="24"/>
              </w:rPr>
              <w:t>持有份额总数</w:t>
            </w:r>
          </w:p>
        </w:tc>
        <w:tc>
          <w:tcPr>
            <w:tcW w:type="dxa" w:w="1276"/>
          </w:tcPr>
          <w:p w:rsidP="00973B57" w:rsidR="00F016DD" w:rsidRDefault="00F016DD" w:rsidRPr="00FA472B">
            <w:pPr>
              <w:adjustRightInd w:val="0"/>
              <w:snapToGrid w:val="0"/>
              <w:spacing w:line="360" w:lineRule="exact"/>
              <w:rPr>
                <w:color w:val="000000"/>
                <w:sz w:val="24"/>
              </w:rPr>
            </w:pPr>
            <w:r w:rsidRPr="00FA472B">
              <w:rPr>
                <w:color w:val="000000"/>
                <w:sz w:val="24"/>
              </w:rPr>
              <w:t>持有份额占基金总份额比例</w:t>
            </w:r>
          </w:p>
        </w:tc>
        <w:tc>
          <w:tcPr>
            <w:tcW w:type="dxa" w:w="1843"/>
          </w:tcPr>
          <w:p w:rsidP="00973B57" w:rsidR="00F016DD" w:rsidRDefault="00F016DD" w:rsidRPr="00FA472B">
            <w:pPr>
              <w:adjustRightInd w:val="0"/>
              <w:snapToGrid w:val="0"/>
              <w:spacing w:line="360" w:lineRule="exact"/>
              <w:rPr>
                <w:color w:val="000000"/>
                <w:sz w:val="24"/>
              </w:rPr>
            </w:pPr>
            <w:r w:rsidRPr="00FA472B">
              <w:rPr>
                <w:color w:val="000000"/>
                <w:sz w:val="24"/>
              </w:rPr>
              <w:t>发起份额总数</w:t>
            </w:r>
          </w:p>
        </w:tc>
        <w:tc>
          <w:tcPr>
            <w:tcW w:type="dxa" w:w="1276"/>
          </w:tcPr>
          <w:p w:rsidP="00973B57" w:rsidR="00F016DD" w:rsidRDefault="00F016DD" w:rsidRPr="00FA472B">
            <w:pPr>
              <w:adjustRightInd w:val="0"/>
              <w:snapToGrid w:val="0"/>
              <w:spacing w:line="360" w:lineRule="exact"/>
              <w:rPr>
                <w:color w:val="000000"/>
                <w:sz w:val="24"/>
              </w:rPr>
            </w:pPr>
            <w:r w:rsidRPr="00FA472B">
              <w:rPr>
                <w:color w:val="000000"/>
                <w:sz w:val="24"/>
              </w:rPr>
              <w:t>发起份额占基金总份额比例</w:t>
            </w:r>
          </w:p>
        </w:tc>
        <w:tc>
          <w:tcPr>
            <w:tcW w:type="dxa" w:w="1053"/>
          </w:tcPr>
          <w:p w:rsidP="00973B57" w:rsidR="00F016DD" w:rsidRDefault="00F016DD" w:rsidRPr="00FA472B">
            <w:pPr>
              <w:widowControl/>
              <w:jc w:val="left"/>
              <w:rPr>
                <w:color w:val="000000"/>
                <w:sz w:val="24"/>
              </w:rPr>
            </w:pPr>
            <w:r w:rsidRPr="00FA472B">
              <w:rPr>
                <w:color w:val="000000"/>
                <w:sz w:val="24"/>
              </w:rPr>
              <w:t>发起份额承诺持有期限</w:t>
            </w:r>
          </w:p>
        </w:tc>
      </w:tr>
      <w:tr w:rsidR="00F016DD" w:rsidRPr="0078105B" w:rsidTr="009D0312">
        <w:trPr>
          <w:jc w:val="center"/>
        </w:trPr>
        <w:tc>
          <w:tcPr>
            <w:tcW w:type="dxa" w:w="1448"/>
          </w:tcPr>
          <w:p w:rsidP="00973B57" w:rsidR="00F016DD" w:rsidRDefault="00F016DD" w:rsidRPr="00FA472B">
            <w:pPr>
              <w:adjustRightInd w:val="0"/>
              <w:snapToGrid w:val="0"/>
              <w:spacing w:line="360" w:lineRule="exact"/>
              <w:rPr>
                <w:color w:val="000000"/>
                <w:sz w:val="24"/>
              </w:rPr>
            </w:pPr>
            <w:r w:rsidRPr="00FA472B">
              <w:rPr>
                <w:color w:val="000000"/>
                <w:sz w:val="24"/>
              </w:rPr>
              <w:t>基金管理人</w:t>
            </w:r>
            <w:proofErr w:type="gramStart"/>
            <w:r w:rsidRPr="00FA472B">
              <w:rPr>
                <w:color w:val="000000"/>
                <w:sz w:val="24"/>
              </w:rPr>
              <w:t>固有资金</w:t>
            </w:r>
            <w:proofErr w:type="gramEnd"/>
          </w:p>
        </w:tc>
        <w:tc>
          <w:tcPr>
            <w:tcW w:type="dxa" w:w="1984"/>
          </w:tcPr>
          <w:p w:rsidP="00973B57" w:rsidR="00F016DD" w:rsidRDefault="00F016DD" w:rsidRPr="00FA472B">
            <w:pPr>
              <w:adjustRightInd w:val="0"/>
              <w:snapToGrid w:val="0"/>
              <w:spacing w:line="360" w:lineRule="exact"/>
              <w:jc w:val="right"/>
              <w:rPr>
                <w:kern w:val="0"/>
                <w:sz w:val="24"/>
              </w:rPr>
            </w:pPr>
            <w:r w:rsidRPr="00FA472B">
              <w:rPr>
                <w:kern w:val="0"/>
                <w:sz w:val="24"/>
              </w:rPr>
              <w:t/>
            </w:r>
            <w:r w:rsidRPr="00FA472B">
              <w:rPr>
                <w:kern w:val="0"/>
                <w:sz w:val="24"/>
              </w:rPr>
              <w:lastRenderedPageBreak/>
              <w:t>10,000,000.00</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lastRenderedPageBreak/>
              <w:t/>
            </w:r>
            <w:r w:rsidRPr="00FA472B">
              <w:rPr>
                <w:kern w:val="0"/>
                <w:sz w:val="24"/>
              </w:rPr>
              <w:lastRenderedPageBreak/>
              <w:t>0.5317%</w:t>
            </w:r>
          </w:p>
        </w:tc>
        <w:tc>
          <w:tcPr>
            <w:tcW w:type="dxa" w:w="1843"/>
          </w:tcPr>
          <w:p w:rsidP="00973B57" w:rsidR="00F016DD" w:rsidRDefault="00F016DD" w:rsidRPr="00FA472B">
            <w:pPr>
              <w:adjustRightInd w:val="0"/>
              <w:snapToGrid w:val="0"/>
              <w:spacing w:line="360" w:lineRule="exact"/>
              <w:jc w:val="right"/>
              <w:rPr>
                <w:kern w:val="0"/>
                <w:sz w:val="24"/>
              </w:rPr>
            </w:pPr>
            <w:r w:rsidRPr="00FA472B">
              <w:rPr>
                <w:kern w:val="0"/>
                <w:sz w:val="24"/>
              </w:rPr>
              <w:lastRenderedPageBreak/>
              <w:t/>
            </w:r>
            <w:r w:rsidRPr="00FA472B">
              <w:rPr>
                <w:kern w:val="0"/>
                <w:sz w:val="24"/>
              </w:rPr>
              <w:lastRenderedPageBreak/>
              <w:t>10,000,000.00</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lastRenderedPageBreak/>
              <w:t/>
            </w:r>
            <w:r w:rsidRPr="00FA472B">
              <w:rPr>
                <w:kern w:val="0"/>
                <w:sz w:val="24"/>
              </w:rPr>
              <w:lastRenderedPageBreak/>
              <w:t>0.5317%</w:t>
            </w:r>
          </w:p>
        </w:tc>
        <w:tc>
          <w:tcPr>
            <w:tcW w:type="dxa" w:w="1053"/>
          </w:tcPr>
          <w:p w:rsidP="00973B57" w:rsidR="00F016DD" w:rsidRDefault="00F016DD" w:rsidRPr="00FA472B">
            <w:pPr>
              <w:adjustRightInd w:val="0"/>
              <w:snapToGrid w:val="0"/>
              <w:spacing w:line="360" w:lineRule="exact"/>
              <w:jc w:val="right"/>
              <w:rPr>
                <w:kern w:val="0"/>
                <w:sz w:val="24"/>
              </w:rPr>
            </w:pPr>
            <w:r w:rsidRPr="00FA472B">
              <w:rPr>
                <w:kern w:val="0"/>
                <w:sz w:val="24"/>
              </w:rPr>
              <w:lastRenderedPageBreak/>
              <w:t/>
            </w:r>
            <w:r w:rsidRPr="00FA472B">
              <w:rPr>
                <w:kern w:val="0"/>
                <w:sz w:val="24"/>
              </w:rPr>
              <w:lastRenderedPageBreak/>
              <w:t>不少于3年</w:t>
            </w:r>
          </w:p>
        </w:tc>
      </w:tr>
      <w:tr w:rsidR="00F016DD" w:rsidRPr="0078105B" w:rsidTr="009D0312">
        <w:trPr>
          <w:trHeight w:val="790"/>
          <w:jc w:val="center"/>
        </w:trPr>
        <w:tc>
          <w:tcPr>
            <w:tcW w:type="dxa" w:w="1448"/>
          </w:tcPr>
          <w:p w:rsidP="00973B57" w:rsidR="00F016DD" w:rsidRDefault="00F016DD" w:rsidRPr="00FA472B">
            <w:pPr>
              <w:adjustRightInd w:val="0"/>
              <w:snapToGrid w:val="0"/>
              <w:spacing w:line="360" w:lineRule="exact"/>
              <w:rPr>
                <w:color w:val="000000"/>
                <w:sz w:val="24"/>
              </w:rPr>
            </w:pPr>
            <w:r w:rsidRPr="00FA472B">
              <w:rPr>
                <w:color w:val="000000"/>
                <w:sz w:val="24"/>
              </w:rPr>
              <w:lastRenderedPageBreak/>
              <w:t>基金管理人高级管理人员</w:t>
            </w:r>
          </w:p>
        </w:tc>
        <w:tc>
          <w:tcPr>
            <w:tcW w:type="dxa" w:w="1984"/>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843"/>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053"/>
          </w:tcPr>
          <w:p w:rsidP="00973B57" w:rsidR="00F016DD" w:rsidRDefault="00F016DD" w:rsidRPr="00FA472B">
            <w:pPr>
              <w:adjustRightInd w:val="0"/>
              <w:snapToGrid w:val="0"/>
              <w:spacing w:line="360" w:lineRule="exact"/>
              <w:jc w:val="right"/>
              <w:rPr>
                <w:kern w:val="0"/>
                <w:sz w:val="24"/>
              </w:rPr>
            </w:pPr>
            <w:r w:rsidRPr="00FA472B">
              <w:rPr>
                <w:kern w:val="0"/>
                <w:sz w:val="24"/>
              </w:rPr>
              <w:t>-</w:t>
            </w:r>
          </w:p>
        </w:tc>
      </w:tr>
      <w:tr w:rsidR="00F016DD" w:rsidRPr="0078105B" w:rsidTr="009D0312">
        <w:trPr>
          <w:jc w:val="center"/>
        </w:trPr>
        <w:tc>
          <w:tcPr>
            <w:tcW w:type="dxa" w:w="1448"/>
          </w:tcPr>
          <w:p w:rsidP="00973B57" w:rsidR="00F016DD" w:rsidRDefault="00F016DD" w:rsidRPr="00FA472B">
            <w:pPr>
              <w:adjustRightInd w:val="0"/>
              <w:snapToGrid w:val="0"/>
              <w:spacing w:line="360" w:lineRule="exact"/>
              <w:jc w:val="left"/>
              <w:rPr>
                <w:color w:val="000000"/>
                <w:sz w:val="24"/>
              </w:rPr>
            </w:pPr>
            <w:r w:rsidRPr="00FA472B">
              <w:rPr>
                <w:color w:val="000000"/>
                <w:sz w:val="24"/>
              </w:rPr>
              <w:t>基金经理等人员</w:t>
            </w:r>
          </w:p>
        </w:tc>
        <w:tc>
          <w:tcPr>
            <w:tcW w:type="dxa" w:w="1984"/>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843"/>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t/>
            </w:r>
            <w:r w:rsidRPr="00FA472B">
              <w:rPr>
                <w:kern w:val="0"/>
                <w:sz w:val="24"/>
              </w:rPr>
              <w:lastRenderedPageBreak/>
              <w:t>-</w:t>
            </w:r>
          </w:p>
        </w:tc>
        <w:tc>
          <w:tcPr>
            <w:tcW w:type="dxa" w:w="1053"/>
          </w:tcPr>
          <w:p w:rsidP="00973B57" w:rsidR="00F016DD" w:rsidRDefault="00F016DD" w:rsidRPr="00FA472B">
            <w:pPr>
              <w:adjustRightInd w:val="0"/>
              <w:snapToGrid w:val="0"/>
              <w:spacing w:line="360" w:lineRule="exact"/>
              <w:jc w:val="right"/>
              <w:rPr>
                <w:kern w:val="0"/>
                <w:sz w:val="24"/>
              </w:rPr>
            </w:pPr>
            <w:r w:rsidRPr="00FA472B">
              <w:rPr>
                <w:kern w:val="0"/>
                <w:sz w:val="24"/>
              </w:rPr>
              <w:lastRenderedPageBreak/>
              <w:t/>
            </w:r>
            <w:r w:rsidRPr="00FA472B">
              <w:rPr>
                <w:kern w:val="0"/>
                <w:sz w:val="24"/>
              </w:rPr>
              <w:lastRenderedPageBreak/>
              <w:t>-</w:t>
            </w:r>
          </w:p>
        </w:tc>
      </w:tr>
      <w:tr w:rsidR="00F016DD" w:rsidRPr="0078105B" w:rsidTr="009D0312">
        <w:trPr>
          <w:jc w:val="center"/>
        </w:trPr>
        <w:tc>
          <w:tcPr>
            <w:tcW w:type="dxa" w:w="1448"/>
          </w:tcPr>
          <w:p w:rsidP="00973B57" w:rsidR="00F016DD" w:rsidRDefault="00F016DD" w:rsidRPr="00FA472B">
            <w:pPr>
              <w:adjustRightInd w:val="0"/>
              <w:snapToGrid w:val="0"/>
              <w:spacing w:line="360" w:lineRule="exact"/>
              <w:jc w:val="left"/>
              <w:rPr>
                <w:color w:val="000000"/>
                <w:sz w:val="24"/>
              </w:rPr>
            </w:pPr>
            <w:r w:rsidRPr="00FA472B">
              <w:rPr>
                <w:color w:val="000000"/>
                <w:sz w:val="24"/>
              </w:rPr>
              <w:lastRenderedPageBreak/>
              <w:t>基金管理</w:t>
            </w:r>
            <w:proofErr w:type="gramStart"/>
            <w:r w:rsidRPr="00FA472B">
              <w:rPr>
                <w:color w:val="000000"/>
                <w:sz w:val="24"/>
              </w:rPr>
              <w:t>人股东</w:t>
            </w:r>
            <w:proofErr w:type="gramEnd"/>
          </w:p>
        </w:tc>
        <w:tc>
          <w:tcPr>
            <w:tcW w:type="dxa" w:w="1984"/>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843"/>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053"/>
          </w:tcPr>
          <w:p w:rsidP="00973B57" w:rsidR="00F016DD" w:rsidRDefault="00F016DD" w:rsidRPr="00FA472B">
            <w:pPr>
              <w:adjustRightInd w:val="0"/>
              <w:snapToGrid w:val="0"/>
              <w:spacing w:line="360" w:lineRule="exact"/>
              <w:jc w:val="right"/>
              <w:rPr>
                <w:kern w:val="0"/>
                <w:sz w:val="24"/>
              </w:rPr>
            </w:pPr>
            <w:r w:rsidRPr="00FA472B">
              <w:rPr>
                <w:kern w:val="0"/>
                <w:sz w:val="24"/>
              </w:rPr>
              <w:t>-</w:t>
            </w:r>
          </w:p>
        </w:tc>
      </w:tr>
      <w:tr w:rsidR="00F016DD" w:rsidRPr="0078105B" w:rsidTr="009D0312">
        <w:trPr>
          <w:jc w:val="center"/>
        </w:trPr>
        <w:tc>
          <w:tcPr>
            <w:tcW w:type="dxa" w:w="1448"/>
          </w:tcPr>
          <w:p w:rsidP="00973B57" w:rsidR="00F016DD" w:rsidRDefault="00F016DD" w:rsidRPr="00FA472B">
            <w:pPr>
              <w:adjustRightInd w:val="0"/>
              <w:snapToGrid w:val="0"/>
              <w:spacing w:line="360" w:lineRule="exact"/>
              <w:jc w:val="left"/>
              <w:rPr>
                <w:color w:val="000000"/>
                <w:sz w:val="24"/>
              </w:rPr>
            </w:pPr>
            <w:r w:rsidRPr="00FA472B">
              <w:rPr>
                <w:color w:val="000000"/>
                <w:sz w:val="24"/>
              </w:rPr>
              <w:t>其他</w:t>
            </w:r>
          </w:p>
        </w:tc>
        <w:tc>
          <w:tcPr>
            <w:tcW w:type="dxa" w:w="1984"/>
          </w:tcPr>
          <w:p w:rsidP="00973B57" w:rsidR="00F016DD" w:rsidRDefault="00F016DD" w:rsidRPr="00FA472B">
            <w:pPr>
              <w:adjustRightInd w:val="0"/>
              <w:snapToGrid w:val="0"/>
              <w:spacing w:line="360" w:lineRule="exact"/>
              <w:jc w:val="right"/>
              <w:rPr>
                <w:kern w:val="0"/>
                <w:sz w:val="24"/>
              </w:rPr>
            </w:pPr>
            <w:r w:rsidRPr="00FA472B">
              <w:rPr>
                <w:kern w:val="0"/>
                <w:sz w:val="24"/>
              </w:rPr>
              <w:t/>
            </w:r>
            <w:proofErr w:type="spellStart"/>
            <w:r w:rsidRPr="00FA472B">
              <w:rPr>
                <w:kern w:val="0"/>
                <w:sz w:val="24"/>
              </w:rPr>
              <w:t/>
            </w:r>
            <w:proofErr w:type="spellEnd"/>
            <w:r w:rsidRPr="00FA472B">
              <w:rPr>
                <w:kern w:val="0"/>
                <w:sz w:val="24"/>
              </w:rPr>
              <w:t>-</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843"/>
          </w:tcPr>
          <w:p w:rsidP="00973B57" w:rsidR="00F016DD" w:rsidRDefault="00F016DD" w:rsidRPr="00FA472B">
            <w:pPr>
              <w:adjustRightInd w:val="0"/>
              <w:snapToGrid w:val="0"/>
              <w:spacing w:line="360" w:lineRule="exact"/>
              <w:jc w:val="right"/>
              <w:rPr>
                <w:kern w:val="0"/>
                <w:sz w:val="24"/>
              </w:rPr>
            </w:pPr>
            <w:r w:rsidRPr="00FA472B">
              <w:rPr>
                <w:kern w:val="0"/>
                <w:sz w:val="24"/>
              </w:rPr>
              <w:t/>
            </w:r>
            <w:proofErr w:type="spellStart"/>
            <w:r w:rsidRPr="00FA472B">
              <w:rPr>
                <w:kern w:val="0"/>
                <w:sz w:val="24"/>
              </w:rPr>
              <w:t/>
            </w:r>
            <w:proofErr w:type="spellEnd"/>
            <w:r w:rsidRPr="00FA472B">
              <w:rPr>
                <w:kern w:val="0"/>
                <w:sz w:val="24"/>
              </w:rPr>
              <w:t>-</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053"/>
          </w:tcPr>
          <w:p w:rsidP="00973B57" w:rsidR="00F016DD" w:rsidRDefault="00F016DD" w:rsidRPr="00FA472B">
            <w:pPr>
              <w:adjustRightInd w:val="0"/>
              <w:snapToGrid w:val="0"/>
              <w:spacing w:line="360" w:lineRule="exact"/>
              <w:jc w:val="right"/>
              <w:rPr>
                <w:kern w:val="0"/>
                <w:sz w:val="24"/>
              </w:rPr>
            </w:pPr>
            <w:r w:rsidRPr="00FA472B">
              <w:rPr>
                <w:kern w:val="0"/>
                <w:sz w:val="24"/>
              </w:rPr>
              <w:t>-</w:t>
            </w:r>
          </w:p>
        </w:tc>
      </w:tr>
      <w:tr w:rsidR="00F016DD" w:rsidRPr="0078105B" w:rsidTr="009D0312">
        <w:trPr>
          <w:jc w:val="center"/>
        </w:trPr>
        <w:tc>
          <w:tcPr>
            <w:tcW w:type="dxa" w:w="1448"/>
          </w:tcPr>
          <w:p w:rsidP="00973B57" w:rsidR="00F016DD" w:rsidRDefault="00F016DD" w:rsidRPr="00FA472B">
            <w:pPr>
              <w:adjustRightInd w:val="0"/>
              <w:snapToGrid w:val="0"/>
              <w:spacing w:line="360" w:lineRule="exact"/>
              <w:jc w:val="left"/>
              <w:rPr>
                <w:color w:val="000000"/>
                <w:sz w:val="24"/>
              </w:rPr>
            </w:pPr>
            <w:r w:rsidRPr="00FA472B">
              <w:rPr>
                <w:color w:val="000000"/>
                <w:sz w:val="24"/>
              </w:rPr>
              <w:t>合计</w:t>
            </w:r>
          </w:p>
        </w:tc>
        <w:tc>
          <w:tcPr>
            <w:tcW w:type="dxa" w:w="1984"/>
          </w:tcPr>
          <w:p w:rsidP="00973B57" w:rsidR="00F016DD" w:rsidRDefault="00F016DD" w:rsidRPr="00FA472B">
            <w:pPr>
              <w:adjustRightInd w:val="0"/>
              <w:snapToGrid w:val="0"/>
              <w:spacing w:line="360" w:lineRule="exact"/>
              <w:jc w:val="right"/>
              <w:rPr>
                <w:kern w:val="0"/>
                <w:sz w:val="24"/>
              </w:rPr>
            </w:pPr>
            <w:r w:rsidRPr="00FA472B">
              <w:rPr>
                <w:kern w:val="0"/>
                <w:sz w:val="24"/>
              </w:rPr>
              <w:t/>
            </w:r>
            <w:proofErr w:type="spellStart"/>
            <w:r w:rsidRPr="00FA472B">
              <w:rPr>
                <w:kern w:val="0"/>
                <w:sz w:val="24"/>
              </w:rPr>
              <w:t/>
            </w:r>
            <w:proofErr w:type="spellEnd"/>
            <w:r w:rsidRPr="00FA472B">
              <w:rPr>
                <w:kern w:val="0"/>
                <w:sz w:val="24"/>
              </w:rPr>
              <w:t>10,000,000.00</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t>0.5317%</w:t>
            </w:r>
          </w:p>
        </w:tc>
        <w:tc>
          <w:tcPr>
            <w:tcW w:type="dxa" w:w="1843"/>
          </w:tcPr>
          <w:p w:rsidP="00973B57" w:rsidR="00F016DD" w:rsidRDefault="00F016DD" w:rsidRPr="00FA472B">
            <w:pPr>
              <w:adjustRightInd w:val="0"/>
              <w:snapToGrid w:val="0"/>
              <w:spacing w:line="360" w:lineRule="exact"/>
              <w:jc w:val="right"/>
              <w:rPr>
                <w:kern w:val="0"/>
                <w:sz w:val="24"/>
              </w:rPr>
            </w:pPr>
            <w:r w:rsidRPr="00FA472B">
              <w:rPr>
                <w:kern w:val="0"/>
                <w:sz w:val="24"/>
              </w:rPr>
              <w:t/>
            </w:r>
            <w:proofErr w:type="spellStart"/>
            <w:r w:rsidRPr="00FA472B">
              <w:rPr>
                <w:kern w:val="0"/>
                <w:sz w:val="24"/>
              </w:rPr>
              <w:t/>
            </w:r>
            <w:proofErr w:type="spellEnd"/>
            <w:r w:rsidRPr="00FA472B">
              <w:rPr>
                <w:kern w:val="0"/>
                <w:sz w:val="24"/>
              </w:rPr>
              <w:t>10,000,000.00</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t>0.5317%</w:t>
            </w:r>
          </w:p>
        </w:tc>
        <w:tc>
          <w:tcPr>
            <w:tcW w:type="dxa" w:w="1053"/>
          </w:tcPr>
          <w:p w:rsidP="00973B57" w:rsidR="00F016DD" w:rsidRDefault="00F016DD" w:rsidRPr="00FA472B">
            <w:pPr>
              <w:adjustRightInd w:val="0"/>
              <w:snapToGrid w:val="0"/>
              <w:spacing w:line="360" w:lineRule="exact"/>
              <w:jc w:val="right"/>
              <w:rPr>
                <w:kern w:val="0"/>
                <w:sz w:val="24"/>
              </w:rPr>
            </w:pPr>
            <w:r w:rsidRPr="00FA472B">
              <w:rPr>
                <w:kern w:val="0"/>
                <w:sz w:val="24"/>
              </w:rPr>
              <w:t/>
            </w:r>
            <w:r w:rsidRPr="00FA472B">
              <w:rPr>
                <w:kern w:val="0"/>
                <w:sz w:val="24"/>
              </w:rPr>
              <w:lastRenderedPageBreak/>
              <w:t>-</w:t>
            </w:r>
          </w:p>
        </w:tc>
      </w:tr>
    </w:tbl>
    <w:bookmarkEnd w:id="2"/>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color w:val="000000"/>
          <w:kern w:val="0"/>
          <w:sz w:val="24"/>
          <w:szCs w:val="24"/>
        </w:rPr>
        <w:t/>
      </w:r>
      <w:r w:rsidRPr="0078105B">
        <w:rPr>
          <w:rFonts w:ascii="宋体" w:cs="Arial" w:hAnsi="宋体"/>
          <w:color w:val="000000"/>
          <w:kern w:val="0"/>
          <w:sz w:val="24"/>
          <w:szCs w:val="24"/>
        </w:rPr>
        <w:t>9</w:t>
      </w:r>
      <w:r w:rsidR="0066098B" w:rsidRPr="0078105B">
        <w:rPr>
          <w:rFonts w:ascii="宋体" w:cs="Arial" w:hAnsi="宋体"/>
          <w:color w:val="000000"/>
          <w:kern w:val="0"/>
          <w:sz w:val="24"/>
          <w:szCs w:val="24"/>
        </w:rPr>
        <w:t xml:space="preserve">  </w:t>
      </w:r>
      <w:r w:rsidRPr="0078105B">
        <w:rPr>
          <w:rFonts w:ascii="宋体" w:cs="Arial" w:hAnsi="宋体" w:hint="eastAsia"/>
          <w:color w:val="000000"/>
          <w:kern w:val="0"/>
          <w:sz w:val="24"/>
          <w:szCs w:val="24"/>
        </w:rPr>
        <w:t>备查文件目录</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9.1</w:t>
      </w:r>
      <w:r w:rsidRPr="00E8153C">
        <w:rPr>
          <w:color w:val="000000"/>
          <w:kern w:val="0"/>
          <w:sz w:val="24"/>
        </w:rPr>
        <w:t>备查文件目录</w:t>
      </w:r>
    </w:p>
    <w:p>
      <w:pPr>
        <w:spacing w:line="360" w:lineRule="auto"/>
        <w:ind w:firstLine="480" w:firstLineChars="200"/>
        <w:rPr>
          <w:color w:val="000000"/>
          <w:sz w:val="24"/>
        </w:rPr>
      </w:pPr>
      <w:r>
        <w:rPr>
          <w:color w:val="000000"/>
          <w:sz w:val="24"/>
        </w:rPr>
        <w:t>1.中国证监会准予易方达年年恒夏纯债一年定期开放债券型发起式证券投资基金注册的文件；</w:t>
      </w:r>
    </w:p>
    <w:p>
      <w:pPr>
        <w:spacing w:line="360" w:lineRule="auto"/>
        <w:ind w:firstLine="480" w:firstLineChars="200"/>
        <w:rPr>
          <w:color w:val="000000"/>
          <w:sz w:val="24"/>
        </w:rPr>
      </w:pPr>
      <w:r>
        <w:rPr>
          <w:color w:val="000000"/>
          <w:sz w:val="24"/>
        </w:rPr>
        <w:t>2.《易方达年年恒夏纯债一年定期开放债券型发起式证券投资基金基金合同》；</w:t>
      </w:r>
    </w:p>
    <w:p>
      <w:pPr>
        <w:spacing w:line="360" w:lineRule="auto"/>
        <w:ind w:firstLine="480" w:firstLineChars="200"/>
        <w:rPr>
          <w:color w:val="000000"/>
          <w:sz w:val="24"/>
        </w:rPr>
      </w:pPr>
      <w:r>
        <w:rPr>
          <w:color w:val="000000"/>
          <w:sz w:val="24"/>
        </w:rPr>
        <w:t>3.《易方达年年恒夏纯债一年定期开放债券型发起式证券投资基金托管协议》；</w:t>
      </w:r>
    </w:p>
    <w:p>
      <w:pPr>
        <w:spacing w:line="360" w:lineRule="auto"/>
        <w:ind w:firstLine="480" w:firstLineChars="200"/>
        <w:rPr>
          <w:color w:val="000000"/>
          <w:sz w:val="24"/>
        </w:rPr>
      </w:pPr>
      <w:r>
        <w:rPr>
          <w:color w:val="000000"/>
          <w:sz w:val="24"/>
        </w:rPr>
        <w:t>4.《易方达基金管理有限公司开放式基金业务规则》；</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5.基金管理人业务资格批件、营业执照。</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9.2</w:t>
      </w:r>
      <w:r w:rsidRPr="00E8153C">
        <w:rPr>
          <w:color w:val="000000"/>
          <w:kern w:val="0"/>
          <w:sz w:val="24"/>
        </w:rPr>
        <w:t>存放地点</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广州市天河区珠江新城珠江东路30号广州银行大厦40-43楼。</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9.3</w:t>
      </w:r>
      <w:r w:rsidRPr="00E8153C">
        <w:rPr>
          <w:color w:val="000000"/>
          <w:kern w:val="0"/>
          <w:sz w:val="24"/>
        </w:rPr>
        <w:t>查阅方式</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投资者可在营业时间免费查阅，也可按工本费购买复印件。</w:t>
      </w:r>
    </w:p>
    <w:p w:rsidP="00FB3C94" w:rsidR="00F016DD" w:rsidRDefault="00F016DD" w:rsidRPr="0078105B">
      <w:pPr>
        <w:spacing w:line="360" w:lineRule="auto"/>
        <w:ind w:left="840"/>
        <w:jc w:val="right"/>
        <w:rPr>
          <w:rFonts w:ascii="宋体"/>
          <w:color w:val="000000"/>
          <w:sz w:val="24"/>
        </w:rPr>
      </w:pPr>
    </w:p>
    <w:p w:rsidP="00053FFD" w:rsidR="00F016DD" w:rsidRDefault="00F016DD" w:rsidRPr="0078105B">
      <w:pPr>
        <w:spacing w:line="360" w:lineRule="auto"/>
        <w:ind w:left="840"/>
        <w:jc w:val="center"/>
        <w:rPr>
          <w:rFonts w:ascii="宋体"/>
          <w:b/>
          <w:color w:val="000000"/>
          <w:sz w:val="24"/>
        </w:rPr>
      </w:pPr>
    </w:p>
    <w:p w:rsidP="00B1493B" w:rsidR="00F016DD" w:rsidRDefault="00F016DD" w:rsidRPr="0078105B">
      <w:pPr>
        <w:spacing w:line="360" w:lineRule="auto"/>
        <w:jc w:val="right"/>
        <w:rPr>
          <w:rFonts w:ascii="宋体" w:hAnsi="宋体"/>
          <w:b/>
          <w:bCs/>
          <w:sz w:val="24"/>
        </w:rPr>
      </w:pPr>
      <w:r w:rsidRPr="0078105B">
        <w:rPr>
          <w:rFonts w:asci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易方达基金管理有限公司</w:t>
      </w:r>
    </w:p>
    <w:p w:rsidP="00B1493B" w:rsidR="00F016DD" w:rsidRDefault="00F016DD" w:rsidRPr="0078105B">
      <w:pPr>
        <w:spacing w:line="360" w:lineRule="auto"/>
        <w:jc w:val="right"/>
        <w:rPr>
          <w:rFonts w:ascii="宋体" w:hAnsi="宋体"/>
          <w:b/>
          <w:bCs/>
          <w:sz w:val="24"/>
        </w:rPr>
      </w:pPr>
      <w:r w:rsidRPr="0078105B">
        <w:rPr>
          <w:rFonts w:ascii="宋体" w:hAns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二〇二〇年七月二十一日</w:t>
      </w:r>
    </w:p>
    <w:sectPr w:rsidR="00F016DD" w:rsidRPr="0078105B" w:rsidSect="00A8324F">
      <w:footerReference r:id="rId12" w:type="even"/>
      <w:footerReference r:id="rId13"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041" w:rsidRDefault="00901041">
      <w:r>
        <w:separator/>
      </w:r>
    </w:p>
  </w:endnote>
  <w:endnote w:type="continuationSeparator" w:id="0">
    <w:p w:rsidR="00901041" w:rsidRDefault="0090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611CB2" w:rsidRDefault="00611CB2" w:rsidRPr="001D0DB0">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01612A">
      <w:rPr>
        <w:noProof/>
        <w:szCs w:val="21"/>
      </w:rPr>
      <w:t>1</w:t>
    </w:r>
    <w:r w:rsidR="00F85FCB">
      <w:rPr>
        <w:szCs w:val="21"/>
      </w:rPr>
      <w:fldChar w:fldCharType="end"/>
    </w:r>
    <w:proofErr w:type="gramStart"/>
    <w:r>
      <w:rPr>
        <w:rFonts w:hint="eastAsia"/>
        <w:szCs w:val="21"/>
      </w:rPr>
      <w:t>页共</w:t>
    </w:r>
    <w:proofErr w:type="gramEnd"/>
    <w:r w:rsidR="00F85FCB">
      <w:rPr>
        <w:szCs w:val="21"/>
      </w:rPr>
      <w:fldChar w:fldCharType="begin"/>
    </w:r>
    <w:r>
      <w:rPr>
        <w:szCs w:val="21"/>
      </w:rPr>
      <w:instrText xml:space="preserve"> NUMPAGES </w:instrText>
    </w:r>
    <w:r w:rsidR="00F85FCB">
      <w:rPr>
        <w:szCs w:val="21"/>
      </w:rPr>
      <w:fldChar w:fldCharType="separate"/>
    </w:r>
    <w:r w:rsidR="0001612A">
      <w:rPr>
        <w:noProof/>
        <w:szCs w:val="21"/>
      </w:rPr>
      <w:t>1</w:t>
    </w:r>
    <w:r w:rsidR="00F85FCB">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separate"/>
    </w:r>
    <w:r w:rsidR="0001612A">
      <w:rPr>
        <w:rStyle w:val="a7"/>
        <w:noProof/>
      </w:rPr>
      <w:t>29</w:t>
    </w:r>
    <w:r>
      <w:rPr>
        <w:rStyle w:val="a7"/>
      </w:rPr>
      <w:fldChar w:fldCharType="end"/>
    </w:r>
  </w:p>
  <w:p w:rsidR="00611CB2" w:rsidRDefault="00611CB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901041" w:rsidRDefault="00901041">
      <w:r>
        <w:separator/>
      </w:r>
    </w:p>
  </w:footnote>
  <w:footnote w:id="0" w:type="continuationSeparator">
    <w:p w:rsidR="00901041" w:rsidRDefault="00901041">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611CB2" w:rsidRDefault="00611CB2" w:rsidRPr="00DA451D">
    <w:pPr>
      <w:pStyle w:val="a9"/>
      <w:pBdr>
        <w:bottom w:color="auto" w:space="0" w:sz="6" w:val="single"/>
      </w:pBdr>
      <w:jc w:val="right"/>
    </w:pPr>
    <w:r w:rsidRPr="00DA451D">
      <w:t/>
    </w:r>
    <w:proofErr w:type="spellStart"/>
    <w:proofErr w:type="gramStart"/>
    <w:r w:rsidRPr="00DA451D">
      <w:t/>
    </w:r>
    <w:proofErr w:type="spellEnd"/>
    <w:proofErr w:type="gramEnd"/>
    <w:r w:rsidRPr="00DA451D">
      <w:t>易方达年年恒夏纯债一年定期开放债券型发起式证券投资基金</w:t>
    </w:r>
    <w:proofErr w:type="spellStart"/>
    <w:r w:rsidRPr="00DA451D">
      <w:t/>
    </w:r>
    <w:proofErr w:type="spellEnd"/>
    <w:r w:rsidRPr="00DA451D">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cs="Times New Roman" w:hAnsi="宋体" w:hint="default"/>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rPr>
        <w:rFonts w:cs="Times New Roman"/>
      </w:rPr>
    </w:lvl>
    <w:lvl w:ilvl="1">
      <w:start w:val="1"/>
      <w:numFmt w:val="decimal"/>
      <w:lvlText w:val="%1.%2"/>
      <w:lvlJc w:val="left"/>
      <w:pPr>
        <w:tabs>
          <w:tab w:pos="992" w:val="num"/>
        </w:tabs>
        <w:ind w:hanging="567" w:left="992"/>
      </w:pPr>
      <w:rPr>
        <w:rFonts w:cs="Times New Roman"/>
      </w:rPr>
    </w:lvl>
    <w:lvl w:ilvl="2">
      <w:start w:val="1"/>
      <w:numFmt w:val="decimal"/>
      <w:lvlText w:val="%1.%2.%3"/>
      <w:lvlJc w:val="left"/>
      <w:pPr>
        <w:tabs>
          <w:tab w:pos="1418" w:val="num"/>
        </w:tabs>
        <w:ind w:hanging="567" w:left="1418"/>
      </w:pPr>
      <w:rPr>
        <w:rFonts w:cs="Times New Roman"/>
      </w:rPr>
    </w:lvl>
    <w:lvl w:ilvl="3">
      <w:start w:val="1"/>
      <w:numFmt w:val="decimal"/>
      <w:lvlText w:val="%1.%2.%3.%4"/>
      <w:lvlJc w:val="left"/>
      <w:pPr>
        <w:tabs>
          <w:tab w:pos="1984" w:val="num"/>
        </w:tabs>
        <w:ind w:hanging="708" w:left="1984"/>
      </w:pPr>
      <w:rPr>
        <w:rFonts w:cs="Times New Roman"/>
      </w:rPr>
    </w:lvl>
    <w:lvl w:ilvl="4">
      <w:start w:val="1"/>
      <w:numFmt w:val="decimal"/>
      <w:lvlText w:val="%1.%2.%3.%4.%5"/>
      <w:lvlJc w:val="left"/>
      <w:pPr>
        <w:tabs>
          <w:tab w:pos="2551" w:val="num"/>
        </w:tabs>
        <w:ind w:hanging="850" w:left="2551"/>
      </w:pPr>
      <w:rPr>
        <w:rFonts w:cs="Times New Roman"/>
      </w:rPr>
    </w:lvl>
    <w:lvl w:ilvl="5">
      <w:start w:val="1"/>
      <w:numFmt w:val="decimal"/>
      <w:lvlText w:val="%1.%2.%3.%4.%5.%6"/>
      <w:lvlJc w:val="left"/>
      <w:pPr>
        <w:tabs>
          <w:tab w:pos="3260" w:val="num"/>
        </w:tabs>
        <w:ind w:hanging="1134" w:left="3260"/>
      </w:pPr>
      <w:rPr>
        <w:rFonts w:cs="Times New Roman"/>
      </w:rPr>
    </w:lvl>
    <w:lvl w:ilvl="6">
      <w:start w:val="1"/>
      <w:numFmt w:val="decimal"/>
      <w:lvlText w:val="%1.%2.%3.%4.%5.%6.%7"/>
      <w:lvlJc w:val="left"/>
      <w:pPr>
        <w:tabs>
          <w:tab w:pos="3827" w:val="num"/>
        </w:tabs>
        <w:ind w:hanging="1276" w:left="3827"/>
      </w:pPr>
      <w:rPr>
        <w:rFonts w:cs="Times New Roman"/>
      </w:rPr>
    </w:lvl>
    <w:lvl w:ilvl="7">
      <w:start w:val="1"/>
      <w:numFmt w:val="decimal"/>
      <w:lvlText w:val="%1.%2.%3.%4.%5.%6.%7.%8"/>
      <w:lvlJc w:val="left"/>
      <w:pPr>
        <w:tabs>
          <w:tab w:pos="4394" w:val="num"/>
        </w:tabs>
        <w:ind w:hanging="1418" w:left="4394"/>
      </w:pPr>
      <w:rPr>
        <w:rFonts w:cs="Times New Roman"/>
      </w:rPr>
    </w:lvl>
    <w:lvl w:ilvl="8">
      <w:start w:val="1"/>
      <w:numFmt w:val="decimal"/>
      <w:lvlText w:val="%1.%2.%3.%4.%5.%6.%7.%8.%9"/>
      <w:lvlJc w:val="left"/>
      <w:pPr>
        <w:tabs>
          <w:tab w:pos="5102" w:val="num"/>
        </w:tabs>
        <w:ind w:hanging="1700" w:left="5102"/>
      </w:pPr>
      <w:rPr>
        <w:rFonts w:cs="Times New Roman"/>
      </w:r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pos="992" w:val="num"/>
          </w:tabs>
          <w:ind w:hanging="567" w:left="992"/>
        </w:pPr>
        <w:rPr>
          <w:rFonts w:cs="Times New Roman"/>
        </w:rPr>
      </w:lvl>
    </w:lvlOverride>
    <w:lvlOverride w:ilvl="2">
      <w:lvl w:ilvl="2">
        <w:start w:val="1"/>
        <w:numFmt w:val="decimal"/>
        <w:lvlText w:val="%1.%2.%3"/>
        <w:lvlJc w:val="left"/>
        <w:pPr>
          <w:tabs>
            <w:tab w:pos="1418" w:val="num"/>
          </w:tabs>
          <w:ind w:hanging="567" w:left="1418"/>
        </w:pPr>
        <w:rPr>
          <w:rFonts w:cs="Times New Roman"/>
        </w:r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Normal Indent" w:semiHidden="0" w:uiPriority="0" w:unhideWhenUsed="0"/>
    <w:lsdException w:name="annotation text" w:uiPriority="0"/>
    <w:lsdException w:locked="1" w:name="header" w:semiHidden="0" w:uiPriority="0" w:unhideWhenUsed="0"/>
    <w:lsdException w:locked="1" w:name="caption" w:qFormat="1" w:uiPriority="0"/>
    <w:lsdException w:name="annotation reference"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6A4828"/>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180952"/>
    <w:rPr>
      <w:b/>
      <w:kern w:val="44"/>
      <w:sz w:val="44"/>
    </w:rPr>
  </w:style>
  <w:style w:customStyle="1" w:styleId="2Char" w:type="character">
    <w:name w:val="标题 2 Char"/>
    <w:link w:val="2"/>
    <w:uiPriority w:val="99"/>
    <w:semiHidden/>
    <w:locked/>
    <w:rsid w:val="00AB1112"/>
    <w:rPr>
      <w:rFonts w:ascii="Cambria" w:eastAsia="宋体" w:hAnsi="Cambria"/>
      <w:b/>
      <w:sz w:val="32"/>
    </w:rPr>
  </w:style>
  <w:style w:styleId="a0" w:type="paragraph">
    <w:name w:val="Normal Indent"/>
    <w:basedOn w:val="a"/>
    <w:uiPriority w:val="99"/>
    <w:rsid w:val="006A4828"/>
    <w:pPr>
      <w:ind w:firstLine="420" w:firstLineChars="200"/>
    </w:pPr>
  </w:style>
  <w:style w:styleId="a4" w:type="paragraph">
    <w:name w:val="Body Text Indent"/>
    <w:basedOn w:val="a"/>
    <w:link w:val="Char"/>
    <w:uiPriority w:val="99"/>
    <w:rsid w:val="006A4828"/>
    <w:pPr>
      <w:widowControl/>
      <w:spacing w:after="100" w:afterAutospacing="1" w:before="100" w:beforeAutospacing="1"/>
      <w:jc w:val="left"/>
    </w:pPr>
    <w:rPr>
      <w:kern w:val="0"/>
      <w:sz w:val="24"/>
    </w:rPr>
  </w:style>
  <w:style w:customStyle="1" w:styleId="Char" w:type="character">
    <w:name w:val="正文文本缩进 Char"/>
    <w:link w:val="a4"/>
    <w:uiPriority w:val="99"/>
    <w:semiHidden/>
    <w:locked/>
    <w:rsid w:val="00AB1112"/>
    <w:rPr>
      <w:sz w:val="24"/>
    </w:rPr>
  </w:style>
  <w:style w:styleId="a5" w:type="paragraph">
    <w:name w:val="Plain Text"/>
    <w:basedOn w:val="a"/>
    <w:link w:val="Char0"/>
    <w:uiPriority w:val="99"/>
    <w:rsid w:val="006A4828"/>
    <w:rPr>
      <w:rFonts w:ascii="宋体" w:hAnsi="Courier New"/>
      <w:szCs w:val="21"/>
    </w:rPr>
  </w:style>
  <w:style w:customStyle="1" w:styleId="Char0" w:type="character">
    <w:name w:val="纯文本 Char"/>
    <w:link w:val="a5"/>
    <w:uiPriority w:val="99"/>
    <w:locked/>
    <w:rsid w:val="009A045B"/>
    <w:rPr>
      <w:rFonts w:ascii="宋体" w:hAnsi="Courier New"/>
      <w:kern w:val="2"/>
      <w:sz w:val="21"/>
    </w:rPr>
  </w:style>
  <w:style w:styleId="20" w:type="paragraph">
    <w:name w:val="Body Text Indent 2"/>
    <w:basedOn w:val="a"/>
    <w:link w:val="2Char0"/>
    <w:uiPriority w:val="99"/>
    <w:rsid w:val="006A4828"/>
    <w:pPr>
      <w:spacing w:line="560" w:lineRule="exact"/>
      <w:ind w:firstLine="480" w:firstLineChars="200"/>
    </w:pPr>
    <w:rPr>
      <w:kern w:val="0"/>
      <w:sz w:val="24"/>
    </w:rPr>
  </w:style>
  <w:style w:customStyle="1" w:styleId="2Char0" w:type="character">
    <w:name w:val="正文文本缩进 2 Char"/>
    <w:link w:val="20"/>
    <w:uiPriority w:val="99"/>
    <w:semiHidden/>
    <w:locked/>
    <w:rsid w:val="00AB1112"/>
    <w:rPr>
      <w:sz w:val="24"/>
    </w:rPr>
  </w:style>
  <w:style w:styleId="a6" w:type="paragraph">
    <w:name w:val="footer"/>
    <w:basedOn w:val="a"/>
    <w:link w:val="Char1"/>
    <w:uiPriority w:val="99"/>
    <w:rsid w:val="006A4828"/>
    <w:pPr>
      <w:tabs>
        <w:tab w:pos="4153" w:val="center"/>
        <w:tab w:pos="8306" w:val="right"/>
      </w:tabs>
      <w:snapToGrid w:val="0"/>
      <w:jc w:val="left"/>
    </w:pPr>
    <w:rPr>
      <w:kern w:val="0"/>
      <w:sz w:val="18"/>
      <w:szCs w:val="18"/>
    </w:rPr>
  </w:style>
  <w:style w:customStyle="1" w:styleId="Char1" w:type="character">
    <w:name w:val="页脚 Char"/>
    <w:link w:val="a6"/>
    <w:uiPriority w:val="99"/>
    <w:semiHidden/>
    <w:locked/>
    <w:rsid w:val="00AB1112"/>
    <w:rPr>
      <w:sz w:val="18"/>
    </w:rPr>
  </w:style>
  <w:style w:styleId="a7" w:type="character">
    <w:name w:val="page number"/>
    <w:uiPriority w:val="99"/>
    <w:rsid w:val="006A4828"/>
    <w:rPr>
      <w:rFonts w:cs="Times New Roman"/>
    </w:rPr>
  </w:style>
  <w:style w:styleId="a8" w:type="character">
    <w:name w:val="Hyperlink"/>
    <w:uiPriority w:val="99"/>
    <w:rsid w:val="006A4828"/>
    <w:rPr>
      <w:rFonts w:cs="Times New Roman"/>
      <w:color w:val="0000FF"/>
      <w:u w:val="single"/>
    </w:rPr>
  </w:style>
  <w:style w:styleId="3" w:type="paragraph">
    <w:name w:val="Body Text Indent 3"/>
    <w:basedOn w:val="a"/>
    <w:link w:val="3Char"/>
    <w:uiPriority w:val="99"/>
    <w:rsid w:val="006A4828"/>
    <w:pPr>
      <w:spacing w:line="560" w:lineRule="exact"/>
      <w:ind w:firstLine="420" w:firstLineChars="200"/>
    </w:pPr>
    <w:rPr>
      <w:kern w:val="0"/>
      <w:sz w:val="16"/>
      <w:szCs w:val="16"/>
    </w:rPr>
  </w:style>
  <w:style w:customStyle="1" w:styleId="3Char" w:type="character">
    <w:name w:val="正文文本缩进 3 Char"/>
    <w:link w:val="3"/>
    <w:uiPriority w:val="99"/>
    <w:semiHidden/>
    <w:locked/>
    <w:rsid w:val="00AB1112"/>
    <w:rPr>
      <w:sz w:val="16"/>
    </w:rPr>
  </w:style>
  <w:style w:styleId="a9" w:type="paragraph">
    <w:name w:val="header"/>
    <w:basedOn w:val="a"/>
    <w:link w:val="Char2"/>
    <w:uiPriority w:val="99"/>
    <w:rsid w:val="006A4828"/>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1207F2"/>
    <w:rPr>
      <w:kern w:val="2"/>
      <w:sz w:val="18"/>
    </w:rPr>
  </w:style>
  <w:style w:customStyle="1" w:styleId="10" w:type="character">
    <w:name w:val="已访问的超链接1"/>
    <w:uiPriority w:val="99"/>
    <w:rsid w:val="006A4828"/>
    <w:rPr>
      <w:color w:val="800080"/>
      <w:u w:val="single"/>
    </w:rPr>
  </w:style>
  <w:style w:styleId="aa" w:type="paragraph">
    <w:name w:val="List"/>
    <w:basedOn w:val="ab"/>
    <w:uiPriority w:val="99"/>
    <w:rsid w:val="006A4828"/>
    <w:pPr>
      <w:spacing w:after="220" w:line="220" w:lineRule="atLeast"/>
      <w:ind w:hanging="360" w:left="1440"/>
    </w:pPr>
    <w:rPr>
      <w:szCs w:val="20"/>
    </w:rPr>
  </w:style>
  <w:style w:styleId="ab" w:type="paragraph">
    <w:name w:val="Body Text"/>
    <w:basedOn w:val="a"/>
    <w:link w:val="Char3"/>
    <w:uiPriority w:val="99"/>
    <w:rsid w:val="006A4828"/>
    <w:pPr>
      <w:spacing w:after="120"/>
    </w:pPr>
    <w:rPr>
      <w:kern w:val="0"/>
      <w:sz w:val="24"/>
    </w:rPr>
  </w:style>
  <w:style w:customStyle="1" w:styleId="Char3" w:type="character">
    <w:name w:val="正文文本 Char"/>
    <w:link w:val="ab"/>
    <w:uiPriority w:val="99"/>
    <w:semiHidden/>
    <w:locked/>
    <w:rsid w:val="00AB1112"/>
    <w:rPr>
      <w:sz w:val="24"/>
    </w:rPr>
  </w:style>
  <w:style w:styleId="ac" w:type="paragraph">
    <w:name w:val="Date"/>
    <w:basedOn w:val="a"/>
    <w:next w:val="a"/>
    <w:link w:val="Char4"/>
    <w:uiPriority w:val="99"/>
    <w:rsid w:val="006A4828"/>
    <w:rPr>
      <w:sz w:val="24"/>
      <w:szCs w:val="20"/>
    </w:rPr>
  </w:style>
  <w:style w:customStyle="1" w:styleId="Char4" w:type="character">
    <w:name w:val="日期 Char"/>
    <w:link w:val="ac"/>
    <w:uiPriority w:val="99"/>
    <w:locked/>
    <w:rsid w:val="00D66685"/>
    <w:rPr>
      <w:kern w:val="2"/>
      <w:sz w:val="24"/>
    </w:rPr>
  </w:style>
  <w:style w:customStyle="1" w:styleId="c1" w:type="character">
    <w:name w:val="c1"/>
    <w:uiPriority w:val="99"/>
    <w:rsid w:val="006A4828"/>
    <w:rPr>
      <w:color w:val="000000"/>
      <w:sz w:val="18"/>
    </w:rPr>
  </w:style>
  <w:style w:styleId="11" w:type="paragraph">
    <w:name w:val="index 1"/>
    <w:basedOn w:val="a"/>
    <w:next w:val="a"/>
    <w:autoRedefine/>
    <w:uiPriority w:val="99"/>
    <w:semiHidden/>
    <w:rsid w:val="006A4828"/>
    <w:pPr>
      <w:jc w:val="right"/>
    </w:pPr>
    <w:rPr>
      <w:color w:val="008000"/>
    </w:rPr>
  </w:style>
  <w:style w:customStyle="1" w:styleId="font5" w:type="paragraph">
    <w:name w:val="font5"/>
    <w:basedOn w:val="a"/>
    <w:uiPriority w:val="99"/>
    <w:rsid w:val="006A4828"/>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link w:val="Char5"/>
    <w:uiPriority w:val="99"/>
    <w:semiHidden/>
    <w:rsid w:val="006A4828"/>
    <w:rPr>
      <w:kern w:val="0"/>
      <w:sz w:val="2"/>
      <w:szCs w:val="20"/>
    </w:rPr>
  </w:style>
  <w:style w:customStyle="1" w:styleId="Char5" w:type="character">
    <w:name w:val="批注框文本 Char"/>
    <w:link w:val="ad"/>
    <w:uiPriority w:val="99"/>
    <w:semiHidden/>
    <w:locked/>
    <w:rsid w:val="00AB1112"/>
    <w:rPr>
      <w:sz w:val="2"/>
    </w:rPr>
  </w:style>
  <w:style w:styleId="ae" w:type="character">
    <w:name w:val="annotation reference"/>
    <w:semiHidden/>
    <w:rsid w:val="006A4828"/>
    <w:rPr>
      <w:rFonts w:cs="Times New Roman"/>
      <w:sz w:val="21"/>
    </w:rPr>
  </w:style>
  <w:style w:styleId="af" w:type="paragraph">
    <w:name w:val="annotation text"/>
    <w:basedOn w:val="a"/>
    <w:link w:val="Char6"/>
    <w:semiHidden/>
    <w:rsid w:val="006A4828"/>
    <w:pPr>
      <w:jc w:val="left"/>
    </w:pPr>
    <w:rPr>
      <w:kern w:val="0"/>
      <w:sz w:val="24"/>
    </w:rPr>
  </w:style>
  <w:style w:customStyle="1" w:styleId="Char6" w:type="character">
    <w:name w:val="批注文字 Char"/>
    <w:link w:val="af"/>
    <w:uiPriority w:val="99"/>
    <w:semiHidden/>
    <w:locked/>
    <w:rsid w:val="00AB1112"/>
    <w:rPr>
      <w:sz w:val="24"/>
    </w:rPr>
  </w:style>
  <w:style w:styleId="af0" w:type="paragraph">
    <w:name w:val="annotation subject"/>
    <w:basedOn w:val="af"/>
    <w:next w:val="af"/>
    <w:link w:val="Char7"/>
    <w:uiPriority w:val="99"/>
    <w:semiHidden/>
    <w:rsid w:val="006A4828"/>
    <w:rPr>
      <w:b/>
      <w:bCs/>
    </w:rPr>
  </w:style>
  <w:style w:customStyle="1" w:styleId="Char7" w:type="character">
    <w:name w:val="批注主题 Char"/>
    <w:link w:val="af0"/>
    <w:uiPriority w:val="99"/>
    <w:semiHidden/>
    <w:locked/>
    <w:rsid w:val="00AB1112"/>
    <w:rPr>
      <w:b/>
      <w:sz w:val="24"/>
    </w:rPr>
  </w:style>
  <w:style w:customStyle="1" w:styleId="Char8" w:type="paragraph">
    <w:name w:val="Char"/>
    <w:basedOn w:val="a"/>
    <w:uiPriority w:val="99"/>
    <w:rsid w:val="006A4828"/>
  </w:style>
  <w:style w:styleId="af1" w:type="paragraph">
    <w:name w:val="Document Map"/>
    <w:basedOn w:val="a"/>
    <w:link w:val="Char9"/>
    <w:uiPriority w:val="99"/>
    <w:semiHidden/>
    <w:rsid w:val="000A549A"/>
    <w:pPr>
      <w:shd w:color="auto" w:fill="000080" w:val="clear"/>
    </w:pPr>
    <w:rPr>
      <w:kern w:val="0"/>
      <w:sz w:val="2"/>
      <w:szCs w:val="20"/>
    </w:rPr>
  </w:style>
  <w:style w:customStyle="1" w:styleId="Char9" w:type="character">
    <w:name w:val="文档结构图 Char"/>
    <w:link w:val="af1"/>
    <w:uiPriority w:val="99"/>
    <w:semiHidden/>
    <w:locked/>
    <w:rsid w:val="00AB1112"/>
    <w:rPr>
      <w:sz w:val="2"/>
    </w:r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a"/>
    <w:uiPriority w:val="99"/>
    <w:rsid w:val="000B251E"/>
    <w:pPr>
      <w:snapToGrid w:val="0"/>
      <w:jc w:val="left"/>
    </w:pPr>
    <w:rPr>
      <w:sz w:val="18"/>
      <w:szCs w:val="18"/>
    </w:rPr>
  </w:style>
  <w:style w:customStyle="1" w:styleId="Chara" w:type="character">
    <w:name w:val="脚注文本 Char"/>
    <w:link w:val="af3"/>
    <w:uiPriority w:val="99"/>
    <w:locked/>
    <w:rsid w:val="00CB481C"/>
    <w:rPr>
      <w:kern w:val="2"/>
      <w:sz w:val="18"/>
    </w:rPr>
  </w:style>
  <w:style w:styleId="af4" w:type="character">
    <w:name w:val="footnote reference"/>
    <w:uiPriority w:val="99"/>
    <w:rsid w:val="000B251E"/>
    <w:rPr>
      <w:rFonts w:cs="Times New Roman"/>
      <w:vertAlign w:val="superscript"/>
    </w:rPr>
  </w:style>
  <w:style w:styleId="af5" w:type="paragraph">
    <w:name w:val="Normal (Web)"/>
    <w:basedOn w:val="a"/>
    <w:uiPriority w:val="99"/>
    <w:rsid w:val="00B25807"/>
    <w:pPr>
      <w:widowControl/>
      <w:spacing w:after="100" w:afterAutospacing="1" w:before="100" w:beforeAutospacing="1"/>
      <w:jc w:val="left"/>
    </w:pPr>
    <w:rPr>
      <w:rFonts w:ascii="宋体" w:hAnsi="宋体"/>
      <w:kern w:val="0"/>
      <w:sz w:val="24"/>
    </w:rPr>
  </w:style>
  <w:style w:customStyle="1" w:styleId="Char10" w:type="paragraph">
    <w:name w:val="Char1"/>
    <w:basedOn w:val="a"/>
    <w:uiPriority w:val="99"/>
    <w:rsid w:val="00D97213"/>
  </w:style>
  <w:style w:customStyle="1" w:styleId="t1" w:type="character">
    <w:name w:val="t1"/>
    <w:uiPriority w:val="99"/>
    <w:rsid w:val="002D2A00"/>
    <w:rPr>
      <w:color w:val="990000"/>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5" w:type="numbering">
    <w:name w:val="样式5"/>
    <w:rsid w:val="00C00FED"/>
    <w:pPr>
      <w:numPr>
        <w:numId w:val="8"/>
      </w:numPr>
    </w:pPr>
  </w:style>
  <w:style w:styleId="af6" w:type="character">
    <w:name w:val="Strong"/>
    <w:uiPriority w:val="22"/>
    <w:qFormat/>
    <w:locked/>
    <w:rsid w:val="00AE248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Char">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footer2.xml" Type="http://schemas.openxmlformats.org/officeDocument/2006/relationships/footer"/>
<Relationship Id="rId13" Target="footer3.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407</TotalTime>
  <Pages>29</Pages>
  <Words>4352</Words>
  <Characters>24809</Characters>
  <Application>Microsoft Office Word</Application>
  <DocSecurity>0</DocSecurity>
  <Lines>206</Lines>
  <Paragraphs>58</Paragraphs>
  <ScaleCrop>false</ScaleCrop>
  <Company>TRT. Ltd. Co.</Company>
  <LinksUpToDate>false</LinksUpToDate>
  <CharactersWithSpaces>29103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2013-06-21T06:56:00Z</dcterms:created>
  <dc:creator>bonnieliu</dc:creator>
  <cp:lastModifiedBy>swinghan</cp:lastModifiedBy>
  <cp:lastPrinted>2007-07-19T00:46:00Z</cp:lastPrinted>
  <dcterms:modified xsi:type="dcterms:W3CDTF">2020-06-21T03:01:00Z</dcterms:modified>
  <cp:revision>173</cp:revision>
</cp:coreProperties>
</file>