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易方达恒兴3个月定期开放债券型发起式证券投资基金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兴业银行股份有限公司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基金托管人兴业银行股份有限公司根据本基金合同规定，于2020年7月17日复核了本报告中的财务指标、净值表现和投资组合报告等内容，保证复核内容不存在虚假记载、误导性陈述或者重大遗漏。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易方达恒兴3个月定开债券发起式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007451</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007451</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2019年10月15日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1,009,999,000.00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本基金为纯债基金，管理人主要通过分析影响债券市场的各类要素，对债券组合的平均久期、期限结构、类属品种进行有效配置，力争为投资人提供长期稳定的投资回报。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封闭运作期与开放运作期采取不同的投资策略。封闭运作期本基金在债券投资上主要通过久期配置、类属配置、期限结构配置和个券选择四个层次进行投资管理。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中债新综合指数（全价）收益率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兴业银行股份有限公司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14,915,260.62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-384,964.68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1,011,545,772.35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1.0015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-0.04%</w:t>
            </w:r>
          </w:p>
        </w:tc>
        <w:tc>
          <w:tcPr>
            <w:vAlign w:val="center"/>
          </w:tcPr>
          <w:p>
            <w:pPr>
              <w:jc w:val="center"/>
            </w:pPr>
            <w:r>
              <w:rPr>
                <w:color w:val="000000"/>
                <w:kern w:val="0"/>
                <w:sz w:val="24"/>
                <w:szCs w:val="24"/>
              </w:rPr>
              <w:t>0.14%</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1.99%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1.20%</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2.54%</w:t>
            </w:r>
          </w:p>
        </w:tc>
        <w:tc>
          <w:tcPr>
            <w:vAlign w:val="center"/>
          </w:tcPr>
          <w:p>
            <w:pPr>
              <w:jc w:val="center"/>
            </w:pPr>
            <w:r>
              <w:rPr>
                <w:color w:val="000000"/>
                <w:kern w:val="0"/>
                <w:sz w:val="24"/>
                <w:szCs w:val="24"/>
              </w:rPr>
              <w:t>0.09%</w:t>
            </w:r>
          </w:p>
        </w:tc>
        <w:tc>
          <w:tcPr>
            <w:vAlign w:val="center"/>
          </w:tcPr>
          <w:p>
            <w:pPr>
              <w:jc w:val="center"/>
            </w:pPr>
            <w:r>
              <w:rPr>
                <w:color w:val="000000"/>
                <w:kern w:val="0"/>
                <w:sz w:val="24"/>
                <w:szCs w:val="24"/>
              </w:rPr>
              <w:t>1.35%</w:t>
            </w:r>
          </w:p>
        </w:tc>
        <w:tc>
          <w:tcPr>
            <w:vAlign w:val="center"/>
          </w:tcPr>
          <w:p>
            <w:pPr>
              <w:jc w:val="center"/>
            </w:pPr>
            <w:r>
              <w:rPr>
                <w:color w:val="000000"/>
                <w:kern w:val="0"/>
                <w:sz w:val="24"/>
                <w:szCs w:val="24"/>
              </w:rPr>
              <w:t>0.09%</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0.00%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易方达恒兴3个月定期开放债券型发起式证券投资基金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2019年10月15日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注：1.本基金合同于2019年10月15日生效，截至报告期末本基金合同生效未满一年。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2.按基金合同和招募说明书的约定，本基金的建仓期为六个月，建仓期结束时各项资产配置比例符合基金合同（第十二部分二、投资范围，三、投资策略和四、投资限制）的有关约定。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3.自基金合同生效至报告期末，基金份额净值增长率为2.54%，同期业绩比较基准收益率为1.35%。</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张雅君</w:t>
            </w:r>
          </w:p>
        </w:tc>
        <w:tc>
          <w:tcPr>
            <w:vAlign w:val="center"/>
          </w:tcPr>
          <w:p>
            <w:pPr>
              <w:jc w:val="left"/>
            </w:pPr>
            <w:r>
              <w:rPr>
                <w:color w:val="000000"/>
                <w:sz w:val="24"/>
              </w:rPr>
              <w:t>本基金的基金经理、易方达增强回报债券型证券投资基金的基金经理（自2014年07月19日至2020年05月26日）、易方达纯债债券型证券投资基金的基金经理、易方达裕丰回报债券型证券投资基金的基金经理、易方达富财纯债债券型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易方达恒久添利1年定期开放债券型证券投资基金的基金经理助理（自2019年04月04日至2020年05月21日）、混合资产投资部总经理助理</w:t>
            </w:r>
          </w:p>
        </w:tc>
        <w:tc>
          <w:tcPr>
            <w:vAlign w:val="center"/>
          </w:tcPr>
          <w:p>
            <w:pPr>
              <w:jc w:val="center"/>
            </w:pPr>
            <w:r>
              <w:rPr>
                <w:color w:val="000000"/>
                <w:sz w:val="24"/>
              </w:rPr>
              <w:t>2019-10-15</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中债3-5年期国债指数证券投资基金基金经理、易方达中债7-10年期国开行债券指数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2019-10-15</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szCs w:val="24"/>
        </w:rPr>
      </w:pPr>
      <w:r>
        <w:rPr>
          <w:color w:val="000000"/>
          <w:sz w:val="24"/>
          <w:szCs w:val="24"/>
        </w:rPr>
        <w:t>2.证券从业的含义遵从《证券业从业人员资格管理办法》的相关规定。</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3.本基金基金经理王晓晨曾因休产假超过30日，在其休假期间，本基金由同为基金经理的张雅君继续进行管理。在本报告期内，基金经理王晓晨已结束休假恢复履职。</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操作上，组合主要以配置中等期限的高评级信用债为主，组合杠杆及有效久期均保持在中性略偏高水平。受到债券市场剧烈波动的影响，组合净值有所回撤。</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截至报告期末，本基金份额净值为1.0015元，本报告期份额净值增长率为-0.04%，同期业绩比较基准收益率为-1.04%。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1,279,348,860.00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97.04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1,233,682,000.00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93.58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45,666,860.00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3.46</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20,980,682.58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1.59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17,997,075.90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1,318,326,618.48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38,936,000.00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3.85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19,560,000.00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1.93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524,626,000.00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51.86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30,081,000.00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2.97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640,039,000.00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63.27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1,233,682,000.00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121.96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155773</w:t>
            </w:r>
          </w:p>
        </w:tc>
        <w:tc>
          <w:tcPr>
            <w:vAlign w:val="center"/>
          </w:tcPr>
          <w:p>
            <w:pPr>
              <w:jc w:val="center"/>
            </w:pPr>
            <w:r>
              <w:rPr>
                <w:color w:val="000000"/>
                <w:kern w:val="0"/>
                <w:sz w:val="24"/>
                <w:szCs w:val="24"/>
              </w:rPr>
              <w:t>19津投23</w:t>
            </w:r>
          </w:p>
        </w:tc>
        <w:tc>
          <w:tcPr>
            <w:vAlign w:val="center"/>
          </w:tcPr>
          <w:p>
            <w:pPr>
              <w:jc w:val="right"/>
            </w:pPr>
            <w:r>
              <w:rPr>
                <w:color w:val="000000"/>
                <w:kern w:val="0"/>
                <w:sz w:val="24"/>
                <w:szCs w:val="24"/>
              </w:rPr>
              <w:t>600,000</w:t>
            </w:r>
          </w:p>
        </w:tc>
        <w:tc>
          <w:tcPr>
            <w:vAlign w:val="center"/>
          </w:tcPr>
          <w:p>
            <w:pPr>
              <w:jc w:val="right"/>
            </w:pPr>
            <w:r>
              <w:rPr>
                <w:color w:val="000000"/>
                <w:kern w:val="0"/>
                <w:sz w:val="24"/>
                <w:szCs w:val="24"/>
              </w:rPr>
              <w:t>60,504,000.00</w:t>
            </w:r>
          </w:p>
        </w:tc>
        <w:tc>
          <w:tcPr>
            <w:vAlign w:val="center"/>
          </w:tcPr>
          <w:p>
            <w:pPr>
              <w:jc w:val="right"/>
            </w:pPr>
            <w:r>
              <w:rPr>
                <w:color w:val="000000"/>
                <w:kern w:val="0"/>
                <w:sz w:val="24"/>
                <w:szCs w:val="24"/>
              </w:rPr>
              <w:t>5.98</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101783012</w:t>
            </w:r>
          </w:p>
        </w:tc>
        <w:tc>
          <w:tcPr>
            <w:vAlign w:val="center"/>
          </w:tcPr>
          <w:p>
            <w:pPr>
              <w:jc w:val="center"/>
            </w:pPr>
            <w:r>
              <w:rPr>
                <w:color w:val="000000"/>
                <w:kern w:val="0"/>
                <w:sz w:val="24"/>
                <w:szCs w:val="24"/>
              </w:rPr>
              <w:t>17沈阳地铁MTN001</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53,205,000.00</w:t>
            </w:r>
          </w:p>
        </w:tc>
        <w:tc>
          <w:tcPr>
            <w:vAlign w:val="center"/>
          </w:tcPr>
          <w:p>
            <w:pPr>
              <w:jc w:val="right"/>
            </w:pPr>
            <w:r>
              <w:rPr>
                <w:color w:val="000000"/>
                <w:kern w:val="0"/>
                <w:sz w:val="24"/>
                <w:szCs w:val="24"/>
              </w:rPr>
              <w:t>5.26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101901528</w:t>
            </w:r>
          </w:p>
        </w:tc>
        <w:tc>
          <w:tcPr>
            <w:vAlign w:val="center"/>
          </w:tcPr>
          <w:p>
            <w:pPr>
              <w:jc w:val="center"/>
            </w:pPr>
            <w:r>
              <w:rPr>
                <w:color w:val="000000"/>
                <w:kern w:val="0"/>
                <w:sz w:val="24"/>
                <w:szCs w:val="24"/>
              </w:rPr>
              <w:t>19晋焦煤MTN004</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50,820,000.00</w:t>
            </w:r>
          </w:p>
        </w:tc>
        <w:tc>
          <w:tcPr>
            <w:vAlign w:val="center"/>
          </w:tcPr>
          <w:p>
            <w:pPr>
              <w:jc w:val="right"/>
            </w:pPr>
            <w:r>
              <w:rPr>
                <w:color w:val="000000"/>
                <w:kern w:val="0"/>
                <w:sz w:val="24"/>
                <w:szCs w:val="24"/>
              </w:rPr>
              <w:t>5.02</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101764057</w:t>
            </w:r>
          </w:p>
        </w:tc>
        <w:tc>
          <w:tcPr>
            <w:vAlign w:val="center"/>
          </w:tcPr>
          <w:p>
            <w:pPr>
              <w:jc w:val="center"/>
            </w:pPr>
            <w:r>
              <w:rPr>
                <w:color w:val="000000"/>
                <w:kern w:val="0"/>
                <w:sz w:val="24"/>
                <w:szCs w:val="24"/>
              </w:rPr>
              <w:t>17宁夏国资MTN001</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50,595,000.00</w:t>
            </w:r>
          </w:p>
        </w:tc>
        <w:tc>
          <w:tcPr>
            <w:vAlign w:val="center"/>
          </w:tcPr>
          <w:p>
            <w:pPr>
              <w:jc w:val="right"/>
            </w:pPr>
            <w:r>
              <w:rPr>
                <w:color w:val="000000"/>
                <w:kern w:val="0"/>
                <w:sz w:val="24"/>
                <w:szCs w:val="24"/>
              </w:rPr>
              <w:t>5.00</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155342</w:t>
            </w:r>
          </w:p>
        </w:tc>
        <w:tc>
          <w:tcPr>
            <w:vAlign w:val="center"/>
          </w:tcPr>
          <w:p>
            <w:pPr>
              <w:jc w:val="center"/>
            </w:pPr>
            <w:r>
              <w:rPr>
                <w:color w:val="000000"/>
                <w:kern w:val="0"/>
                <w:sz w:val="24"/>
                <w:szCs w:val="24"/>
              </w:rPr>
              <w:t>19建材07</w:t>
            </w:r>
          </w:p>
        </w:tc>
        <w:tc>
          <w:tcPr>
            <w:vAlign w:val="center"/>
          </w:tcPr>
          <w:p>
            <w:pPr>
              <w:jc w:val="right"/>
            </w:pPr>
            <w:r>
              <w:rPr>
                <w:color w:val="000000"/>
                <w:kern w:val="0"/>
                <w:sz w:val="24"/>
                <w:szCs w:val="24"/>
              </w:rPr>
              <w:t>400,000</w:t>
            </w:r>
          </w:p>
        </w:tc>
        <w:tc>
          <w:tcPr>
            <w:vAlign w:val="center"/>
          </w:tcPr>
          <w:p>
            <w:pPr>
              <w:jc w:val="right"/>
            </w:pPr>
            <w:r>
              <w:rPr>
                <w:color w:val="000000"/>
                <w:kern w:val="0"/>
                <w:sz w:val="24"/>
                <w:szCs w:val="24"/>
              </w:rPr>
              <w:t>40,600,000.00</w:t>
            </w:r>
          </w:p>
        </w:tc>
        <w:tc>
          <w:tcPr>
            <w:vAlign w:val="center"/>
          </w:tcPr>
          <w:p>
            <w:pPr>
              <w:jc w:val="right"/>
            </w:pPr>
            <w:r>
              <w:rPr>
                <w:color w:val="000000"/>
                <w:kern w:val="0"/>
                <w:sz w:val="24"/>
                <w:szCs w:val="24"/>
              </w:rPr>
              <w:t>4.01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168022</w:t>
            </w:r>
          </w:p>
        </w:tc>
        <w:tc>
          <w:tcPr>
            <w:vAlign w:val="center"/>
          </w:tcPr>
          <w:p>
            <w:pPr>
              <w:jc w:val="center"/>
            </w:pPr>
            <w:r>
              <w:rPr>
                <w:color w:val="000000"/>
                <w:kern w:val="0"/>
                <w:sz w:val="24"/>
                <w:szCs w:val="24"/>
              </w:rPr>
              <w:t>兆玺01优</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19,970,000.00</w:t>
            </w:r>
          </w:p>
        </w:tc>
        <w:tc>
          <w:tcPr>
            <w:vAlign w:val="center"/>
          </w:tcPr>
          <w:p>
            <w:pPr>
              <w:jc w:val="right"/>
            </w:pPr>
            <w:r>
              <w:rPr>
                <w:color w:val="000000"/>
                <w:kern w:val="0"/>
                <w:sz w:val="24"/>
                <w:szCs w:val="24"/>
              </w:rPr>
              <w:t>1.97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165849</w:t>
            </w:r>
          </w:p>
        </w:tc>
        <w:tc>
          <w:tcPr>
            <w:vAlign w:val="center"/>
          </w:tcPr>
          <w:p>
            <w:pPr>
              <w:jc w:val="center"/>
            </w:pPr>
            <w:r>
              <w:rPr>
                <w:color w:val="000000"/>
                <w:kern w:val="0"/>
                <w:sz w:val="24"/>
                <w:szCs w:val="24"/>
              </w:rPr>
              <w:t>金诚01A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9,999,000.00</w:t>
            </w:r>
          </w:p>
        </w:tc>
        <w:tc>
          <w:tcPr>
            <w:vAlign w:val="center"/>
          </w:tcPr>
          <w:p>
            <w:pPr>
              <w:jc w:val="right"/>
            </w:pPr>
            <w:r>
              <w:rPr>
                <w:color w:val="000000"/>
                <w:kern w:val="0"/>
                <w:sz w:val="24"/>
                <w:szCs w:val="24"/>
              </w:rPr>
              <w:t>0.99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168047</w:t>
            </w:r>
          </w:p>
        </w:tc>
        <w:tc>
          <w:tcPr>
            <w:vAlign w:val="center"/>
          </w:tcPr>
          <w:p>
            <w:pPr>
              <w:jc w:val="center"/>
            </w:pPr>
            <w:r>
              <w:rPr>
                <w:color w:val="000000"/>
                <w:kern w:val="0"/>
                <w:sz w:val="24"/>
                <w:szCs w:val="24"/>
              </w:rPr>
              <w:t>远海租42</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9,999,000.00</w:t>
            </w:r>
          </w:p>
        </w:tc>
        <w:tc>
          <w:tcPr>
            <w:vAlign w:val="center"/>
          </w:tcPr>
          <w:p>
            <w:pPr>
              <w:jc w:val="right"/>
            </w:pPr>
            <w:r>
              <w:rPr>
                <w:color w:val="000000"/>
                <w:kern w:val="0"/>
                <w:sz w:val="24"/>
                <w:szCs w:val="24"/>
              </w:rPr>
              <w:t>0.99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165857</w:t>
            </w:r>
          </w:p>
        </w:tc>
        <w:tc>
          <w:tcPr>
            <w:vAlign w:val="center"/>
          </w:tcPr>
          <w:p>
            <w:pPr>
              <w:jc w:val="center"/>
            </w:pPr>
            <w:r>
              <w:rPr>
                <w:color w:val="000000"/>
                <w:kern w:val="0"/>
                <w:sz w:val="24"/>
                <w:szCs w:val="24"/>
              </w:rPr>
              <w:t>链科06优</w:t>
            </w:r>
          </w:p>
        </w:tc>
        <w:tc>
          <w:tcPr>
            <w:vAlign w:val="center"/>
          </w:tcPr>
          <w:p>
            <w:pPr>
              <w:jc w:val="right"/>
            </w:pPr>
            <w:r>
              <w:rPr>
                <w:color w:val="000000"/>
                <w:kern w:val="0"/>
                <w:sz w:val="24"/>
                <w:szCs w:val="24"/>
              </w:rPr>
              <w:t>57,000</w:t>
            </w:r>
          </w:p>
        </w:tc>
        <w:tc>
          <w:tcPr>
            <w:vAlign w:val="center"/>
          </w:tcPr>
          <w:p>
            <w:pPr>
              <w:jc w:val="right"/>
            </w:pPr>
            <w:r>
              <w:rPr>
                <w:color w:val="000000"/>
                <w:kern w:val="0"/>
                <w:sz w:val="24"/>
                <w:szCs w:val="24"/>
              </w:rPr>
              <w:t>5,698,860.00</w:t>
            </w:r>
          </w:p>
        </w:tc>
        <w:tc>
          <w:tcPr>
            <w:vAlign w:val="center"/>
          </w:tcPr>
          <w:p>
            <w:pPr>
              <w:jc w:val="right"/>
            </w:pPr>
            <w:r>
              <w:rPr>
                <w:color w:val="000000"/>
                <w:kern w:val="0"/>
                <w:sz w:val="24"/>
                <w:szCs w:val="24"/>
              </w:rPr>
              <w:t>0.56</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125,698.29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17,871,377.61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17,997,075.90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1,009,999,000.00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1,009,999,000.00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0.9901</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 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0.9901%</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0.9901%</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0.9901%</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0.9901%</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999,999,000.00</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999,999,000.00</w:t>
            </w:r>
          </w:p>
        </w:tc>
        <w:tc>
          <w:tcPr>
            <w:vAlign w:val="center"/>
          </w:tcPr>
          <w:p>
            <w:pPr>
              <w:jc w:val="center"/>
            </w:pPr>
            <w:r>
              <w:rPr>
                <w:sz w:val="24"/>
                <w:szCs w:val="24"/>
              </w:rPr>
              <w:t>99.01%</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1、定期开放运作的风险</w:t>
      </w:r>
    </w:p>
    <w:p>
      <w:pPr>
        <w:spacing w:line="360" w:lineRule="auto"/>
        <w:ind w:firstLine="480" w:firstLineChars="200"/>
        <w:rPr>
          <w:color w:val="000000"/>
          <w:sz w:val="24"/>
          <w:szCs w:val="24"/>
        </w:rPr>
      </w:pPr>
      <w:r>
        <w:rPr>
          <w:rFonts w:eastAsiaTheme="minorEastAsia"/>
          <w:color w:themeColor="text1" w:val="000000"/>
          <w:sz w:val="24"/>
          <w:szCs w:val="24"/>
        </w:rPr>
        <w:t>（1）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（2）基金合同生效后的首个运作期为封闭运作期，自基金合同生效日至基金管理人规定的时间，首个封闭运作期可能少于或者超过3个月，投资者应仔细阅读相关法律文件及公告，并及时行使相关权利。</w:t>
      </w:r>
    </w:p>
    <w:p>
      <w:pPr>
        <w:spacing w:line="360" w:lineRule="auto"/>
        <w:ind w:firstLine="480" w:firstLineChars="200"/>
        <w:rPr>
          <w:color w:val="000000"/>
          <w:sz w:val="24"/>
          <w:szCs w:val="24"/>
        </w:rPr>
      </w:pPr>
      <w:r>
        <w:rPr>
          <w:rFonts w:eastAsiaTheme="minorEastAsia"/>
          <w:color w:themeColor="text1" w:val="000000"/>
          <w:sz w:val="24"/>
          <w:szCs w:val="24"/>
        </w:rPr>
        <w:t>（3）除首个运作期封闭运作外，本基金的运作期包含“封闭运作期”和“开放运作期”，运作期期限3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2、单一投资者或者构成一致行动人的多个投资者持有基金份额可达到或者超过50%的风险</w:t>
      </w:r>
    </w:p>
    <w:p>
      <w:pPr>
        <w:spacing w:line="360" w:lineRule="auto"/>
        <w:ind w:firstLine="480" w:firstLineChars="200"/>
        <w:rPr>
          <w:color w:val="000000"/>
          <w:sz w:val="24"/>
          <w:szCs w:val="24"/>
        </w:rPr>
      </w:pPr>
      <w:r>
        <w:rPr>
          <w:rFonts w:eastAsiaTheme="minorEastAsia"/>
          <w:color w:themeColor="text1" w:val="000000"/>
          <w:sz w:val="24"/>
          <w:szCs w:val="24"/>
        </w:rPr>
        <w:t>（1）本基金单一投资者或者构成一致行动人的多个投资者持有基金份额可达到或者超过50%，单一投资者或者构成一致行动人的多个投资者大额赎回时，可能会对本基金资产运作及净值表现产生较大影响。</w:t>
      </w:r>
    </w:p>
    <w:p>
      <w:pPr>
        <w:spacing w:line="360" w:lineRule="auto"/>
        <w:ind w:firstLine="480" w:firstLineChars="200"/>
        <w:rPr>
          <w:color w:val="000000"/>
          <w:sz w:val="24"/>
          <w:szCs w:val="24"/>
        </w:rPr>
      </w:pPr>
      <w:r>
        <w:rPr>
          <w:rFonts w:eastAsiaTheme="minorEastAsia"/>
          <w:color w:themeColor="text1" w:val="000000"/>
          <w:sz w:val="24"/>
          <w:szCs w:val="24"/>
        </w:rPr>
        <w:t>（2）巨额赎回的风险</w:t>
      </w:r>
    </w:p>
    <w:p>
      <w:pPr>
        <w:spacing w:line="360" w:lineRule="auto"/>
        <w:ind w:firstLine="480" w:firstLineChars="200"/>
        <w:rPr>
          <w:color w:val="000000"/>
          <w:sz w:val="24"/>
          <w:szCs w:val="24"/>
        </w:rPr>
      </w:pPr>
      <w:r>
        <w:rPr>
          <w:rFonts w:eastAsiaTheme="minorEastAsia"/>
          <w:color w:themeColor="text1" w:val="000000"/>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pPr>
        <w:spacing w:line="360" w:lineRule="auto"/>
        <w:ind w:firstLine="480" w:firstLineChars="200"/>
        <w:rPr>
          <w:color w:val="000000"/>
          <w:sz w:val="24"/>
          <w:szCs w:val="24"/>
        </w:rPr>
      </w:pPr>
      <w:r>
        <w:rPr>
          <w:rFonts w:eastAsiaTheme="minorEastAsia"/>
          <w:color w:themeColor="text1" w:val="000000"/>
          <w:sz w:val="24"/>
          <w:szCs w:val="24"/>
        </w:rPr>
        <w:t>3、转换运作方式、与其他基金合并或者终止基金合同的风险</w:t>
      </w:r>
    </w:p>
    <w:p>
      <w:pPr>
        <w:spacing w:line="360" w:lineRule="auto"/>
        <w:ind w:firstLine="480" w:firstLineChars="200"/>
        <w:rPr>
          <w:color w:val="000000"/>
          <w:sz w:val="24"/>
          <w:szCs w:val="24"/>
        </w:rPr>
      </w:pPr>
      <w:r>
        <w:rPr>
          <w:rFonts w:eastAsiaTheme="minorEastAsia"/>
          <w:color w:themeColor="text1" w:val="000000"/>
          <w:sz w:val="24"/>
          <w:szCs w:val="24"/>
        </w:rPr>
        <w:t>（1）本基金的销售对象主要为机构投资者，不向个人投资者公开发售，基金持续营销及募集规模可能受到影响，若基金合同生效之日起三年后的对应日基金资产净值低于2亿元，基金合同自动终止且不得通过召开基金份额持有人大会延续，投资者将面临基金合同终止的风险。</w:t>
      </w:r>
    </w:p>
    <w:p>
      <w:pPr>
        <w:spacing w:line="360" w:lineRule="auto"/>
        <w:ind w:firstLine="480" w:firstLineChars="200"/>
        <w:rPr>
          <w:color w:val="000000"/>
          <w:sz w:val="24"/>
          <w:szCs w:val="24"/>
        </w:rPr>
      </w:pPr>
      <w:r>
        <w:rPr>
          <w:rFonts w:eastAsiaTheme="minorEastAsia"/>
          <w:color w:themeColor="text1" w:val="000000"/>
          <w:sz w:val="24"/>
          <w:szCs w:val="24"/>
        </w:rPr>
        <w:t>（2）本基金基金合同生效满三年后继续存续的，若连续60个工作日出现基金份额持有人数量不满二百人或者基金资产净值低于5000万元情形，基金管理人应当向中国证监会报告并提出解决方案，如转换运作方式、与其他基金合并等，并召开基金份额持有人大会进行表决。投资者面临转换基金运作方式、与其他基金合并或终止基金合同的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基金合同》生效满三年后的存续期内，若连续六十个工作日基金资产净值低于五千万元，经与基金托管人协商一致，基金管理人有权终止基金合同。若管理人与托管人根据实际情况决定终止基金合同，本基金面临终止清盘的风险。</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1.中国证监会准予易方达恒兴3个月定期开放债券型发起式证券投资基金注册的文件；</w:t>
      </w:r>
    </w:p>
    <w:p>
      <w:pPr>
        <w:spacing w:line="360" w:lineRule="auto"/>
        <w:ind w:firstLine="480" w:firstLineChars="200"/>
        <w:rPr>
          <w:color w:val="000000"/>
          <w:sz w:val="24"/>
          <w:szCs w:val="24"/>
        </w:rPr>
      </w:pPr>
      <w:r>
        <w:rPr>
          <w:color w:val="000000"/>
          <w:sz w:val="24"/>
          <w:szCs w:val="24"/>
        </w:rPr>
        <w:t>2.《易方达恒兴3个月定期开放债券型发起式证券投资基金基金合同》；</w:t>
      </w:r>
    </w:p>
    <w:p>
      <w:pPr>
        <w:spacing w:line="360" w:lineRule="auto"/>
        <w:ind w:firstLine="480" w:firstLineChars="200"/>
        <w:rPr>
          <w:color w:val="000000"/>
          <w:sz w:val="24"/>
          <w:szCs w:val="24"/>
        </w:rPr>
      </w:pPr>
      <w:r>
        <w:rPr>
          <w:color w:val="000000"/>
          <w:sz w:val="24"/>
          <w:szCs w:val="24"/>
        </w:rPr>
        <w:t>3.《易方达恒兴3个月定期开放债券型发起式证券投资基金托管协议》；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易方达恒兴3个月定期开放债券型发起式证券投资基金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