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易方达上证50交易型开放式指数证券投资基金发起式联接基金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招商银行股份有限公司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易方达上证50ETF联接发起式</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007379</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2019年9月9日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111,287,661.05</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紧密跟踪业绩比较基准，追求跟踪偏离度和跟踪误差的最小化。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本基金为易方达上证50ETF（以下简称“目标 ETF”）的联接基金，主要通过投资于目标ETF实现对业绩比较基准的紧密跟踪，力争将日均跟踪偏离度控制在0.35%以内，年化跟踪误差控制在4%以内。本基金将在综合考虑合规、风险、效率、成本等因素的基础上，决定采用申购、赎回的方式或二级市场方式进行目标ETF的投资。本基金将根据风险管理的原则，主要选择流动性好、交易活跃的股指期货合约进行交易，以对冲特殊情况下的流动风险；利用杠杆作用以降低股票仓位调整的交易成本，提高投资效率，从而更好地跟踪标的指数，实现投资目标。</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上证50指数收益率×95%+活期存款利率（税后）×5%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ETF联接基金，预期风险与预期收益水平高于混合型基金、债券型基金与货币市场基金。本基金主要通过投资于易方达上证50ETF实现对业绩比较基准的紧密跟踪。因此，本基金的业绩表现与上证50指数的表现密切相关。</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招商银行股份有限公司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易方达上证50ETF联接发起式A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易方达上证50ETF联接发起式C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007379</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007380</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56,943,426.70</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54,344,234.35</w:t>
            </w:r>
            <w:r w:rsidR="00D305C9" w:rsidRPr="00B34368">
              <w:rPr>
                <w:rFonts w:eastAsiaTheme="minorEastAsia" w:hAnsiTheme="minorEastAsia"/>
                <w:color w:themeColor="text1" w:val="000000"/>
                <w:kern w:val="0"/>
                <w:sz w:val="24"/>
              </w:rPr>
              <w:t>份</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易方达上证50交易型开放式指数证券投资基金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510100</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2019年9月6日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2019年10月9日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招商银行股份有限公司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紧密跟踪标的指数，追求跟踪偏离度和跟踪误差的最小化。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为更好地实现投资目标，本基金可投资股指期货、股票期权和其他经中国证监会允许的金融衍生产品。本基金将根据风险管理的原则，主要选择流动性好、交易活跃的股指期货合约进行交易，以对冲特殊情况下的流动风险；利用杠杆作用以降低股票仓位调整的交易成本，提高投资效率，从而更好地跟踪标的指数，实现投资目标。在正常市场情况下，本基金力争将日均跟踪偏离度的绝对值控制在0.2%以内，年化跟踪误差控制在2%以内。</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上证50指数收益率</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易方达上证50ETF联接发起式A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易方达上证50ETF联接发起式C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134,175.50</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84,528.90</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7,175,999.78</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8,086,487.57</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0.1172</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0.1201</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61,729,044.65</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58,851,920.94</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1.0840</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1.0829</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易方达上证50ETF联接发起式A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12.19%</w:t>
            </w:r>
          </w:p>
        </w:tc>
        <w:tc>
          <w:tcPr>
            <w:vAlign w:val="center"/>
          </w:tcPr>
          <w:p>
            <w:pPr>
              <w:jc w:val="right"/>
            </w:pPr>
            <w:r>
              <w:rPr>
                <w:rFonts w:eastAsiaTheme="minorEastAsia"/>
                <w:color w:themeColor="text1" w:val="000000"/>
                <w:sz w:val="24"/>
              </w:rPr>
              <w:t>0.81%</w:t>
            </w:r>
          </w:p>
        </w:tc>
        <w:tc>
          <w:tcPr>
            <w:vAlign w:val="center"/>
          </w:tcPr>
          <w:p>
            <w:pPr>
              <w:jc w:val="right"/>
            </w:pPr>
            <w:r>
              <w:rPr>
                <w:rFonts w:eastAsiaTheme="minorEastAsia"/>
                <w:color w:themeColor="text1" w:val="000000"/>
                <w:sz w:val="24"/>
              </w:rPr>
              <w:t>8.92%</w:t>
            </w:r>
          </w:p>
        </w:tc>
        <w:tc>
          <w:tcPr>
            <w:vAlign w:val="center"/>
          </w:tcPr>
          <w:p>
            <w:pPr>
              <w:jc w:val="right"/>
            </w:pPr>
            <w:r>
              <w:rPr>
                <w:rFonts w:eastAsiaTheme="minorEastAsia"/>
                <w:color w:themeColor="text1" w:val="000000"/>
                <w:sz w:val="24"/>
              </w:rPr>
              <w:t>0.81%</w:t>
            </w:r>
          </w:p>
        </w:tc>
        <w:tc>
          <w:tcPr>
            <w:vAlign w:val="center"/>
          </w:tcPr>
          <w:p>
            <w:pPr>
              <w:jc w:val="right"/>
            </w:pPr>
            <w:r>
              <w:rPr>
                <w:rFonts w:eastAsiaTheme="minorEastAsia"/>
                <w:color w:themeColor="text1" w:val="000000"/>
                <w:sz w:val="24"/>
              </w:rPr>
              <w:t>3.27%</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2.89%</w:t>
            </w:r>
          </w:p>
        </w:tc>
        <w:tc>
          <w:tcPr>
            <w:vAlign w:val="center"/>
          </w:tcPr>
          <w:p>
            <w:pPr>
              <w:jc w:val="right"/>
            </w:pPr>
            <w:r>
              <w:rPr>
                <w:rFonts w:eastAsiaTheme="minorEastAsia"/>
                <w:color w:themeColor="text1" w:val="000000"/>
                <w:sz w:val="24"/>
              </w:rPr>
              <w:t>1.31%</w:t>
            </w:r>
          </w:p>
        </w:tc>
        <w:tc>
          <w:tcPr>
            <w:vAlign w:val="center"/>
          </w:tcPr>
          <w:p>
            <w:pPr>
              <w:jc w:val="right"/>
            </w:pPr>
            <w:r>
              <w:rPr>
                <w:rFonts w:eastAsiaTheme="minorEastAsia"/>
                <w:color w:themeColor="text1" w:val="000000"/>
                <w:sz w:val="24"/>
              </w:rPr>
              <w:t>-3.70%</w:t>
            </w:r>
          </w:p>
        </w:tc>
        <w:tc>
          <w:tcPr>
            <w:vAlign w:val="center"/>
          </w:tcPr>
          <w:p>
            <w:pPr>
              <w:jc w:val="right"/>
            </w:pPr>
            <w:r>
              <w:rPr>
                <w:rFonts w:eastAsiaTheme="minorEastAsia"/>
                <w:color w:themeColor="text1" w:val="000000"/>
                <w:sz w:val="24"/>
              </w:rPr>
              <w:t>1.34%</w:t>
            </w:r>
          </w:p>
        </w:tc>
        <w:tc>
          <w:tcPr>
            <w:vAlign w:val="center"/>
          </w:tcPr>
          <w:p>
            <w:pPr>
              <w:jc w:val="right"/>
            </w:pPr>
            <w:r>
              <w:rPr>
                <w:rFonts w:eastAsiaTheme="minorEastAsia"/>
                <w:color w:themeColor="text1" w:val="000000"/>
                <w:sz w:val="24"/>
              </w:rPr>
              <w:t>6.59%</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8.40%</w:t>
            </w:r>
          </w:p>
        </w:tc>
        <w:tc>
          <w:tcPr>
            <w:vAlign w:val="center"/>
          </w:tcPr>
          <w:p>
            <w:pPr>
              <w:jc w:val="right"/>
            </w:pPr>
            <w:r>
              <w:rPr>
                <w:rFonts w:eastAsiaTheme="minorEastAsia"/>
                <w:color w:themeColor="text1" w:val="000000"/>
                <w:sz w:val="24"/>
              </w:rPr>
              <w:t>1.09%</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1.13%</w:t>
            </w:r>
          </w:p>
        </w:tc>
        <w:tc>
          <w:tcPr>
            <w:vAlign w:val="center"/>
          </w:tcPr>
          <w:p>
            <w:pPr>
              <w:jc w:val="right"/>
            </w:pPr>
            <w:r>
              <w:rPr>
                <w:rFonts w:eastAsiaTheme="minorEastAsia"/>
                <w:color w:themeColor="text1" w:val="000000"/>
                <w:sz w:val="24"/>
              </w:rPr>
              <w:t>9.56%</w:t>
            </w:r>
          </w:p>
        </w:tc>
        <w:tc>
          <w:tcPr>
            <w:vAlign w:val="center"/>
          </w:tcPr>
          <w:p>
            <w:pPr>
              <w:jc w:val="right"/>
            </w:pPr>
            <w:r>
              <w:rPr>
                <w:rFonts w:eastAsiaTheme="minorEastAsia"/>
                <w:color w:themeColor="text1" w:val="000000"/>
                <w:sz w:val="24"/>
              </w:rPr>
              <w:t>-0.04%</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易方达上证50ETF联接发起式C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12.16%</w:t>
            </w:r>
          </w:p>
        </w:tc>
        <w:tc>
          <w:tcPr>
            <w:vAlign w:val="center"/>
          </w:tcPr>
          <w:p>
            <w:pPr>
              <w:jc w:val="right"/>
            </w:pPr>
            <w:r>
              <w:rPr>
                <w:rFonts w:eastAsiaTheme="minorEastAsia"/>
                <w:color w:themeColor="text1" w:val="000000"/>
                <w:sz w:val="24"/>
              </w:rPr>
              <w:t>0.81%</w:t>
            </w:r>
          </w:p>
        </w:tc>
        <w:tc>
          <w:tcPr>
            <w:vAlign w:val="center"/>
          </w:tcPr>
          <w:p>
            <w:pPr>
              <w:jc w:val="right"/>
            </w:pPr>
            <w:r>
              <w:rPr>
                <w:rFonts w:eastAsiaTheme="minorEastAsia"/>
                <w:color w:themeColor="text1" w:val="000000"/>
                <w:sz w:val="24"/>
              </w:rPr>
              <w:t>8.92%</w:t>
            </w:r>
          </w:p>
        </w:tc>
        <w:tc>
          <w:tcPr>
            <w:vAlign w:val="center"/>
          </w:tcPr>
          <w:p>
            <w:pPr>
              <w:jc w:val="right"/>
            </w:pPr>
            <w:r>
              <w:rPr>
                <w:rFonts w:eastAsiaTheme="minorEastAsia"/>
                <w:color w:themeColor="text1" w:val="000000"/>
                <w:sz w:val="24"/>
              </w:rPr>
              <w:t>0.81%</w:t>
            </w:r>
          </w:p>
        </w:tc>
        <w:tc>
          <w:tcPr>
            <w:vAlign w:val="center"/>
          </w:tcPr>
          <w:p>
            <w:pPr>
              <w:jc w:val="right"/>
            </w:pPr>
            <w:r>
              <w:rPr>
                <w:rFonts w:eastAsiaTheme="minorEastAsia"/>
                <w:color w:themeColor="text1" w:val="000000"/>
                <w:sz w:val="24"/>
              </w:rPr>
              <w:t>3.24%</w:t>
            </w:r>
          </w:p>
        </w:tc>
        <w:tc>
          <w:tcPr>
            <w:vAlign w:val="center"/>
          </w:tcPr>
          <w:p>
            <w:pPr>
              <w:jc w:val="right"/>
            </w:pPr>
            <w:r>
              <w:rPr>
                <w:rFonts w:eastAsiaTheme="minorEastAsia"/>
                <w:color w:themeColor="text1" w:val="000000"/>
                <w:sz w:val="24"/>
              </w:rPr>
              <w:t>0.00%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2.83%</w:t>
            </w:r>
          </w:p>
        </w:tc>
        <w:tc>
          <w:tcPr>
            <w:vAlign w:val="center"/>
          </w:tcPr>
          <w:p>
            <w:pPr>
              <w:jc w:val="right"/>
            </w:pPr>
            <w:r>
              <w:rPr>
                <w:rFonts w:eastAsiaTheme="minorEastAsia"/>
                <w:color w:themeColor="text1" w:val="000000"/>
                <w:sz w:val="24"/>
              </w:rPr>
              <w:t>1.31%</w:t>
            </w:r>
          </w:p>
        </w:tc>
        <w:tc>
          <w:tcPr>
            <w:vAlign w:val="center"/>
          </w:tcPr>
          <w:p>
            <w:pPr>
              <w:jc w:val="right"/>
            </w:pPr>
            <w:r>
              <w:rPr>
                <w:rFonts w:eastAsiaTheme="minorEastAsia"/>
                <w:color w:themeColor="text1" w:val="000000"/>
                <w:sz w:val="24"/>
              </w:rPr>
              <w:t>-3.70%</w:t>
            </w:r>
          </w:p>
        </w:tc>
        <w:tc>
          <w:tcPr>
            <w:vAlign w:val="center"/>
          </w:tcPr>
          <w:p>
            <w:pPr>
              <w:jc w:val="right"/>
            </w:pPr>
            <w:r>
              <w:rPr>
                <w:rFonts w:eastAsiaTheme="minorEastAsia"/>
                <w:color w:themeColor="text1" w:val="000000"/>
                <w:sz w:val="24"/>
              </w:rPr>
              <w:t>1.34%</w:t>
            </w:r>
          </w:p>
        </w:tc>
        <w:tc>
          <w:tcPr>
            <w:vAlign w:val="center"/>
          </w:tcPr>
          <w:p>
            <w:pPr>
              <w:jc w:val="right"/>
            </w:pPr>
            <w:r>
              <w:rPr>
                <w:rFonts w:eastAsiaTheme="minorEastAsia"/>
                <w:color w:themeColor="text1" w:val="000000"/>
                <w:sz w:val="24"/>
              </w:rPr>
              <w:t>6.53%</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8.29%</w:t>
            </w:r>
          </w:p>
        </w:tc>
        <w:tc>
          <w:tcPr>
            <w:vAlign w:val="center"/>
          </w:tcPr>
          <w:p>
            <w:pPr>
              <w:jc w:val="right"/>
            </w:pPr>
            <w:r>
              <w:rPr>
                <w:rFonts w:eastAsiaTheme="minorEastAsia"/>
                <w:color w:themeColor="text1" w:val="000000"/>
                <w:sz w:val="24"/>
              </w:rPr>
              <w:t>1.09%</w:t>
            </w:r>
          </w:p>
        </w:tc>
        <w:tc>
          <w:tcPr>
            <w:vAlign w:val="center"/>
          </w:tcPr>
          <w:p>
            <w:pPr>
              <w:jc w:val="right"/>
            </w:pPr>
            <w:r>
              <w:rPr>
                <w:rFonts w:eastAsiaTheme="minorEastAsia"/>
                <w:color w:themeColor="text1" w:val="000000"/>
                <w:sz w:val="24"/>
              </w:rPr>
              <w:t>-1.16%</w:t>
            </w:r>
          </w:p>
        </w:tc>
        <w:tc>
          <w:tcPr>
            <w:vAlign w:val="center"/>
          </w:tcPr>
          <w:p>
            <w:pPr>
              <w:jc w:val="right"/>
            </w:pPr>
            <w:r>
              <w:rPr>
                <w:rFonts w:eastAsiaTheme="minorEastAsia"/>
                <w:color w:themeColor="text1" w:val="000000"/>
                <w:sz w:val="24"/>
              </w:rPr>
              <w:t>1.13%</w:t>
            </w:r>
          </w:p>
        </w:tc>
        <w:tc>
          <w:tcPr>
            <w:vAlign w:val="center"/>
          </w:tcPr>
          <w:p>
            <w:pPr>
              <w:jc w:val="right"/>
            </w:pPr>
            <w:r>
              <w:rPr>
                <w:rFonts w:eastAsiaTheme="minorEastAsia"/>
                <w:color w:themeColor="text1" w:val="000000"/>
                <w:sz w:val="24"/>
              </w:rPr>
              <w:t>9.45%</w:t>
            </w:r>
          </w:p>
        </w:tc>
        <w:tc>
          <w:tcPr>
            <w:vAlign w:val="center"/>
          </w:tcPr>
          <w:p>
            <w:pPr>
              <w:jc w:val="right"/>
            </w:pPr>
            <w:r>
              <w:rPr>
                <w:rFonts w:eastAsiaTheme="minorEastAsia"/>
                <w:color w:themeColor="text1" w:val="000000"/>
                <w:sz w:val="24"/>
              </w:rPr>
              <w:t>-0.04%</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易方达上证50交易型开放式指数证券投资基金发起式联接基金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937445" w:rsidR="00F84D52" w:rsidRDefault="00F84D52">
      <w:pPr>
        <w:pStyle w:val="a5"/>
        <w:snapToGrid w:val="0"/>
        <w:spacing w:line="360" w:lineRule="auto"/>
        <w:jc w:val="center"/>
        <w:rPr>
          <w:rFonts w:ascii="Times New Roman" w:hAnsi="Times New Roman"/>
          <w:sz w:val="24"/>
          <w:szCs w:val="24"/>
        </w:rPr>
      </w:pPr>
      <w:r>
        <w:rPr>
          <w:rFonts w:ascii="Times New Roman" w:hAnsi="Times New Roman"/>
          <w:sz w:val="24"/>
          <w:szCs w:val="24"/>
        </w:rPr>
        <w:t/>
      </w:r>
      <w:proofErr w:type="spellStart"/>
      <w:proofErr w:type="gramStart"/>
      <w:r>
        <w:rPr>
          <w:rFonts w:ascii="Times New Roman" w:hAnsi="Times New Roman"/>
          <w:sz w:val="24"/>
          <w:szCs w:val="24"/>
        </w:rPr>
        <w:t/>
      </w:r>
      <w:proofErr w:type="spellEnd"/>
      <w:r>
        <w:rPr>
          <w:rFonts w:ascii="Times New Roman" w:hAnsi="Times New Roman"/>
          <w:sz w:val="24"/>
          <w:szCs w:val="24"/>
        </w:rPr>
        <w:t/>
      </w:r>
      <w:proofErr w:type="gramEnd"/>
      <w:r>
        <w:rPr>
          <w:rFonts w:ascii="Times New Roman" w:hAnsi="Times New Roman"/>
          <w:sz w:val="24"/>
          <w:szCs w:val="24"/>
        </w:rPr>
        <w:t>（2019年9月9日至2020年6月30日）</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易方达上证50ETF联接发起式A</w:t>
      </w:r>
      <w:r w:rsidR="009238DB" w:rsidRPr="00B34368">
        <w:rPr>
          <w:rFonts w:eastAsiaTheme="minorEastAsia" w:hAnsiTheme="minorEastAsia"/>
          <w:color w:themeColor="text1" w:val="000000"/>
          <w:sz w:val="24"/>
        </w:rPr>
        <w:t>：</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易方达上证50ETF联接发起式C</w:t>
      </w:r>
      <w:r w:rsidRPr="00B34368">
        <w:rPr>
          <w:rFonts w:eastAsiaTheme="minorEastAsia" w:hAnsiTheme="minorEastAsia"/>
          <w:color w:themeColor="text1" w:val="000000"/>
          <w:sz w:val="24"/>
        </w:rPr>
        <w:t>：</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注：1.本基金合同于2019年9月9日生效，截至报告期末本基金合同生效未满一年。</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根据法律法规和基金合同规定，本基金的建仓期为六个月，建仓期结束时由于市场大幅波动本基金投资于目标ETF的比例略低于基金资产净值的90%，已在下一交易日内调整完毕，其他各项资产配置比例符合基金合同（第十二部分二、投资范围，三、投资策略和四、投资限制）的有关约定。</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3.自基金合同生效至报告期末，A类基金份额净值增长率为8.40%，C类基金份额净值增长率为8.29%，同期业绩比较基准收益率为-1.16%。</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沪深300交易型开放式指数发起式证券投资基金联接基金的基金经理、易方达中证500交易型开放式指数证券投资基金的基金经理、易方达沪深300交易型开放式指数发起式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联接基金的基金经理、易方达黄金交易型开放式证券投资基金联接基金的基金经理、易方达黄金交易型开放式证券投资基金的基金经理、易方达恒生中国企业交易型开放式指数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指数投资部副总经理</w:t>
            </w:r>
          </w:p>
        </w:tc>
        <w:tc>
          <w:tcPr>
            <w:vAlign w:val="center"/>
          </w:tcPr>
          <w:p>
            <w:pPr>
              <w:jc w:val="center"/>
            </w:pPr>
            <w:r>
              <w:rPr>
                <w:color w:val="000000"/>
                <w:sz w:val="24"/>
              </w:rPr>
              <w:t>2019-09-09</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深证100交易型开放式指数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深证100交易型开放式指数证券投资基金联接基金的基金经理、易方达创业板交易型开放式指数证券投资基金联接基金的基金经理、易方达创业板交易型开放式指数证券投资基金的基金经理、易方达MSCI中国A股国际通交易型开放式指数证券投资基金的基金经理（自2018年05月17日至2020年04月22日）、易方达纳斯达克100指数证券投资基金（LOF）的基金经理（自2018年08月11日至2020年04月22日）、易方达恒生中国企业交易型开放式指数证券投资基金的基金经理、易方达原油证券投资基金（QDII）的基金经理、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中证香港证券投资主题交易型开放式指数证券投资基金的基金经理</w:t>
            </w:r>
          </w:p>
        </w:tc>
        <w:tc>
          <w:tcPr>
            <w:vAlign w:val="center"/>
          </w:tcPr>
          <w:p>
            <w:pPr>
              <w:jc w:val="center"/>
            </w:pPr>
            <w:r>
              <w:rPr>
                <w:color w:val="000000"/>
                <w:sz w:val="24"/>
              </w:rPr>
              <w:t>2019-09-09</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上证50ETF的联接基金，主要投资于上证50ETF。报告期内本基金为正常运作期，在操作中，我们严格遵守基金合同，依据基金申购赎回变动的情况进行日常操作，控制跟踪误差和跟踪偏离度在较低水平上。</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截至报告期末，本基金A类基金份额净值为1.0840元，本报告期份额净值增长率为12.19%，同期业绩比较基准收益率为8.92%；C类基金份额净值为1.0829元，本报告期份额净值增长率为12.16%，同期业绩比较基准收益率为8.92%。</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报告期内本基金日跟踪偏离度的均值为0.06%，年化跟踪误差为1.238%，各项指标均在合同规定的目标控制范围之内。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526,397.56</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0.43</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526,397.56</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0.43</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113,008,486.94</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93.20</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6,381,641.65</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5.26</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1,341,342.04</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1.11</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121,257,868.19</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易方达上证50交易型开放式指数证券投资基金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113,008,486.94</w:t>
            </w:r>
          </w:p>
        </w:tc>
        <w:tc>
          <w:tcPr>
            <w:vAlign w:val="center"/>
          </w:tcPr>
          <w:p>
            <w:pPr>
              <w:jc w:val="right"/>
            </w:pPr>
            <w:r>
              <w:rPr>
                <w:rFonts w:eastAsiaTheme="minorEastAsia"/>
                <w:color w:themeColor="text1" w:val="000000"/>
                <w:sz w:val="24"/>
              </w:rPr>
              <w:t>93.72</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3135"/>
        <w:gridCol w:w="1365"/>
      </w:tblGrid>
      <w:tr w:rsidR="00D3639B" w:rsidRPr="00B34368" w:rsidTr="004E70B7">
        <w:trPr>
          <w:trHeight w:val="390"/>
        </w:trPr>
        <w:tc>
          <w:tcPr>
            <w:tcW w:type="dxa" w:w="540"/>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代码</w:t>
            </w:r>
            <w:r w:rsidR="00FA0527" w:rsidRPr="00B34368">
              <w:rPr>
                <w:rFonts w:eastAsiaTheme="minorEastAsia"/>
                <w:color w:themeColor="text1" w:val="000000"/>
                <w:sz w:val="24"/>
              </w:rPr>
              <w:t/>
            </w:r>
            <w:proofErr w:type="spellStart"/>
            <w:r w:rsidR="00FA0527" w:rsidRPr="00B34368">
              <w:rPr>
                <w:rFonts w:eastAsiaTheme="minorEastAsia"/>
                <w:color w:themeColor="text1" w:val="000000"/>
                <w:sz w:val="24"/>
              </w:rPr>
              <w:t/>
            </w:r>
            <w:proofErr w:type="spellEnd"/>
            <w:r w:rsidR="00FA0527" w:rsidRPr="00B34368">
              <w:rPr>
                <w:rFonts w:eastAsiaTheme="minorEastAsia"/>
                <w:color w:themeColor="text1" w:val="000000"/>
                <w:sz w:val="24"/>
              </w:rPr>
              <w:t/>
            </w:r>
          </w:p>
        </w:tc>
        <w:tc>
          <w:tcPr>
            <w:tcW w:type="dxa" w:w="3691"/>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行业类别</w:t>
            </w:r>
          </w:p>
        </w:tc>
        <w:tc>
          <w:tcPr>
            <w:tcW w:type="dxa" w:w="3135"/>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公允价值（元）</w:t>
            </w:r>
          </w:p>
        </w:tc>
        <w:tc>
          <w:tcPr>
            <w:tcW w:type="dxa" w:w="1365"/>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A</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农、林、牧、渔业</w:t>
            </w:r>
          </w:p>
        </w:tc>
        <w:tc>
          <w:tcPr>
            <w:tcW w:type="dxa" w:w="3135"/>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B</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采矿业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C</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制造业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526,397.56</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0.44</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D</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电力、热力、燃气及水生产和供应业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E</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建筑业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F</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批发和零售业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G</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交通运输、仓储和邮政业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H</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住宿和餐饮业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I</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信息传输、软件和信息技术服务业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J</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金融业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K</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房地产业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L</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租赁和商务服务业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M</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科学研究和技术服务业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N</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水利、环境和公共设施管理业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O</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居民服务、修理和其他服务业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P</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教育</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Q</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卫生和社会工作</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R</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文化、体育和娱乐业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S</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综合</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526,397.56</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0.44</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1276"/>
        <w:gridCol w:w="1701"/>
        <w:gridCol w:w="1276"/>
        <w:gridCol w:w="1842"/>
        <w:gridCol w:w="1616"/>
      </w:tblGrid>
      <w:tr w:rsidR="00D3639B" w:rsidRPr="00B34368" w:rsidTr="00975D18">
        <w:tc>
          <w:tcPr>
            <w:tcW w:type="dxa" w:w="817"/>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701"/>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数量</w:t>
            </w:r>
            <w:r w:rsidRPr="00B34368">
              <w:rPr>
                <w:rFonts w:eastAsiaTheme="minorEastAsia"/>
                <w:color w:themeColor="text1" w:val="000000"/>
                <w:sz w:val="24"/>
              </w:rPr>
              <w:t>(</w:t>
            </w:r>
            <w:r w:rsidRPr="00B34368">
              <w:rPr>
                <w:rFonts w:eastAsiaTheme="minorEastAsia" w:hAnsiTheme="minorEastAsia"/>
                <w:color w:themeColor="text1" w:val="000000"/>
                <w:sz w:val="24"/>
              </w:rPr>
              <w:t>股</w:t>
            </w:r>
            <w:r w:rsidRPr="00B34368">
              <w:rPr>
                <w:rFonts w:eastAsiaTheme="minorEastAsia"/>
                <w:color w:themeColor="text1" w:val="000000"/>
                <w:sz w:val="24"/>
              </w:rPr>
              <w:t>)</w:t>
            </w:r>
          </w:p>
        </w:tc>
        <w:tc>
          <w:tcPr>
            <w:tcW w:type="dxa" w:w="1842"/>
            <w:vAlign w:val="center"/>
          </w:tcPr>
          <w:p w:rsidP="000871DB" w:rsidR="000871DB" w:rsidRDefault="000871DB" w:rsidRPr="00B34368">
            <w:pPr>
              <w:autoSpaceDE w:val="0"/>
              <w:autoSpaceDN w:val="0"/>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1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688278</w:t>
            </w:r>
          </w:p>
        </w:tc>
        <w:tc>
          <w:tcPr>
            <w:vAlign w:val="center"/>
          </w:tcPr>
          <w:p>
            <w:pPr>
              <w:jc w:val="center"/>
            </w:pPr>
            <w:r>
              <w:rPr>
                <w:rFonts w:eastAsiaTheme="minorEastAsia"/>
                <w:color w:themeColor="text1" w:val="000000"/>
                <w:sz w:val="24"/>
              </w:rPr>
              <w:t>特宝生物</w:t>
            </w:r>
          </w:p>
        </w:tc>
        <w:tc>
          <w:tcPr>
            <w:vAlign w:val="center"/>
          </w:tcPr>
          <w:p>
            <w:pPr>
              <w:jc w:val="right"/>
            </w:pPr>
            <w:r>
              <w:rPr>
                <w:rFonts w:eastAsiaTheme="minorEastAsia"/>
                <w:color w:themeColor="text1" w:val="000000"/>
                <w:sz w:val="24"/>
              </w:rPr>
              <w:t>7,772</w:t>
            </w:r>
          </w:p>
        </w:tc>
        <w:tc>
          <w:tcPr>
            <w:vAlign w:val="center"/>
          </w:tcPr>
          <w:p>
            <w:pPr>
              <w:jc w:val="right"/>
            </w:pPr>
            <w:r>
              <w:rPr>
                <w:rFonts w:eastAsiaTheme="minorEastAsia"/>
                <w:color w:themeColor="text1" w:val="000000"/>
                <w:sz w:val="24"/>
              </w:rPr>
              <w:t>526,397.56</w:t>
            </w:r>
          </w:p>
        </w:tc>
        <w:tc>
          <w:tcPr>
            <w:vAlign w:val="center"/>
          </w:tcPr>
          <w:p>
            <w:pPr>
              <w:jc w:val="right"/>
            </w:pPr>
            <w:r>
              <w:rPr>
                <w:rFonts w:eastAsiaTheme="minorEastAsia"/>
                <w:color w:themeColor="text1" w:val="000000"/>
                <w:sz w:val="24"/>
              </w:rPr>
              <w:t>0.44</w:t>
            </w:r>
          </w:p>
        </w:tc>
      </w:tr>
    </w:tbl>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w:t>
      </w:r>
    </w:p>
    <w:p>
      <w:pPr>
        <w:widowControl/>
        <w:spacing w:line="360" w:lineRule="auto"/>
        <w:rPr>
          <w:rFonts w:eastAsiaTheme="minorEastAsia"/>
          <w:color w:themeColor="text1" w:val="000000"/>
          <w:sz w:val="24"/>
        </w:rPr>
      </w:pPr>
      <w:r>
        <w:rPr>
          <w:rFonts w:eastAsiaTheme="minorEastAsia"/>
          <w:color w:themeColor="text1" w:val="000000"/>
          <w:sz w:val="24"/>
        </w:rPr>
        <w:t>2019年12月27日，中国银行保险监督管理委员会对交通银行股份有限公司如下违法违规行为作出“罚款150万元”的行政处罚：1、授信审批不审慎；2、总行对分支机构管控不力承担管理责任。</w:t>
      </w:r>
    </w:p>
    <w:p>
      <w:pPr>
        <w:widowControl/>
        <w:spacing w:line="360" w:lineRule="auto"/>
        <w:rPr>
          <w:rFonts w:eastAsiaTheme="minorEastAsia"/>
          <w:color w:themeColor="text1" w:val="000000"/>
          <w:sz w:val="24"/>
        </w:rPr>
      </w:pPr>
      <w:r>
        <w:rPr>
          <w:rFonts w:eastAsiaTheme="minorEastAsia"/>
          <w:color w:themeColor="text1" w:val="000000"/>
          <w:sz w:val="24"/>
        </w:rPr>
        <w:t>2020年4月20日，中国银行保险监督管理委员会针对交通银行股份有限公司监管标准化数据（EAST）系统数据质量及数据报送存在以下违法违规行为：1、理财产品数量漏报；2、资金交易信息漏报严重；3、贸易融资业务漏报；4、信贷业务担保合同漏报；5、分户账明细记录应报未报；6、分户账账户数据应报未报；7、关键且应报字段漏报或填报错误，处以责令改正，并处罚款260万元的行政处罚。</w:t>
      </w:r>
    </w:p>
    <w:p>
      <w:pPr>
        <w:widowControl/>
        <w:spacing w:line="360" w:lineRule="auto"/>
        <w:rPr>
          <w:rFonts w:eastAsiaTheme="minorEastAsia"/>
          <w:color w:themeColor="text1" w:val="000000"/>
          <w:sz w:val="24"/>
        </w:rPr>
      </w:pPr>
      <w:r>
        <w:rPr>
          <w:rFonts w:eastAsiaTheme="minorEastAsia"/>
          <w:color w:themeColor="text1" w:val="000000"/>
          <w:sz w:val="24"/>
        </w:rPr>
        <w:t>2020年4月20日，中国银行保险监督管理委员会针对中国工商银行股份有限公司监管标准化数据（EAST）系统数据质量及数据报送存在以下违法违规行为：1、理财产品数量漏报；2、资金交易信息漏报严重；3、信贷资产转让业务漏报；4、贷款核销业务漏报；5、分户账明细记录应报未报；6、分户账账户数据应报未报；7、委托贷款业务应报未报；8、关键且应报字段漏报或填报错误，处以责令改正，并处罚款270万元的行政处罚。</w:t>
      </w:r>
    </w:p>
    <w:p>
      <w:pPr>
        <w:widowControl/>
        <w:spacing w:line="360" w:lineRule="auto"/>
        <w:rPr>
          <w:rFonts w:eastAsiaTheme="minorEastAsia"/>
          <w:color w:themeColor="text1" w:val="000000"/>
          <w:sz w:val="24"/>
        </w:rPr>
      </w:pPr>
      <w:r>
        <w:rPr>
          <w:rFonts w:eastAsiaTheme="minorEastAsia"/>
          <w:color w:themeColor="text1" w:val="000000"/>
          <w:sz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widowControl/>
        <w:spacing w:line="360" w:lineRule="auto"/>
        <w:rPr>
          <w:rFonts w:eastAsiaTheme="minorEastAsia"/>
          <w:color w:themeColor="text1" w:val="000000"/>
          <w:sz w:val="24"/>
        </w:rPr>
      </w:pPr>
      <w:r>
        <w:rPr>
          <w:rFonts w:eastAsiaTheme="minorEastAsia"/>
          <w:color w:themeColor="text1" w:val="000000"/>
          <w:sz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widowControl/>
        <w:spacing w:line="360" w:lineRule="auto"/>
        <w:rPr>
          <w:rFonts w:eastAsiaTheme="minorEastAsia"/>
          <w:color w:themeColor="text1" w:val="000000"/>
          <w:sz w:val="24"/>
        </w:rPr>
      </w:pPr>
      <w:r>
        <w:rPr>
          <w:rFonts w:eastAsiaTheme="minorEastAsia"/>
          <w:color w:themeColor="text1" w:val="000000"/>
          <w:sz w:val="24"/>
        </w:rPr>
        <w:t>本基金为目标ETF的联接基金，上述股票系标的指数成份股，上述股票的投资决策程序符合公司投资制度的规定。除招商银行、交通银行、工商银行、兴业银行外，本基金的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本基金投资的前十名股票没有超出基金合同规定的备选股票库。</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28,430.31</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662.76</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1,312,248.97</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1,341,342.04</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tbl>
      <w:tblPr>
        <w:tblStyle w:val="af2"/>
        <w:tblW w:type="auto" w:w="0"/>
        <w:tblInd w:type="dxa" w:w="108"/>
        <w:tblLayout w:type="fixed"/>
        <w:tblLook w:firstColumn="1" w:firstRow="1" w:lastColumn="0" w:lastRow="0" w:noHBand="0" w:noVBand="1" w:val="04A0"/>
      </w:tblPr>
      <w:tblGrid>
        <w:gridCol w:w="1083"/>
        <w:gridCol w:w="1302"/>
        <w:gridCol w:w="1301"/>
        <w:gridCol w:w="1805"/>
        <w:gridCol w:w="1655"/>
        <w:gridCol w:w="1367"/>
      </w:tblGrid>
      <w:tr w:rsidR="00D3639B" w:rsidRPr="00B34368" w:rsidTr="00975D18">
        <w:tc>
          <w:tcPr>
            <w:tcW w:type="dxa" w:w="1083"/>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lastRenderedPageBreak/>
              <w:t>序号</w:t>
            </w:r>
          </w:p>
        </w:tc>
        <w:tc>
          <w:tcPr>
            <w:tcW w:type="dxa" w:w="1302"/>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301"/>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805"/>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流通受限部分的公允价值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55"/>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p>
        </w:tc>
        <w:tc>
          <w:tcPr>
            <w:tcW w:type="dxa" w:w="1367"/>
            <w:vAlign w:val="center"/>
          </w:tcPr>
          <w:p w:rsidP="00AE2AD2" w:rsidR="001D5CD0" w:rsidRDefault="001D5CD0"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流通受限情况说明</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688278</w:t>
            </w:r>
          </w:p>
        </w:tc>
        <w:tc>
          <w:tcPr>
            <w:vAlign w:val="center"/>
          </w:tcPr>
          <w:p>
            <w:pPr>
              <w:jc w:val="center"/>
            </w:pPr>
            <w:r>
              <w:rPr>
                <w:rFonts w:eastAsiaTheme="minorEastAsia"/>
                <w:color w:themeColor="text1" w:val="000000"/>
                <w:sz w:val="24"/>
              </w:rPr>
              <w:t>特宝生物</w:t>
            </w:r>
          </w:p>
        </w:tc>
        <w:tc>
          <w:tcPr>
            <w:vAlign w:val="center"/>
          </w:tcPr>
          <w:p>
            <w:pPr>
              <w:jc w:val="right"/>
            </w:pPr>
            <w:r>
              <w:rPr>
                <w:rFonts w:eastAsiaTheme="minorEastAsia"/>
                <w:color w:themeColor="text1" w:val="000000"/>
                <w:sz w:val="24"/>
              </w:rPr>
              <w:t>526,397.56</w:t>
            </w:r>
          </w:p>
        </w:tc>
        <w:tc>
          <w:tcPr>
            <w:vAlign w:val="center"/>
          </w:tcPr>
          <w:p>
            <w:pPr>
              <w:jc w:val="right"/>
            </w:pPr>
            <w:r>
              <w:rPr>
                <w:rFonts w:eastAsiaTheme="minorEastAsia"/>
                <w:color w:themeColor="text1" w:val="000000"/>
                <w:sz w:val="24"/>
              </w:rPr>
              <w:t>0.44</w:t>
            </w:r>
          </w:p>
        </w:tc>
        <w:tc>
          <w:tcPr>
            <w:vAlign w:val="center"/>
          </w:tcPr>
          <w:p>
            <w:pPr>
              <w:jc w:val="right"/>
            </w:pPr>
            <w:r>
              <w:rPr>
                <w:rFonts w:eastAsiaTheme="minorEastAsia"/>
                <w:color w:themeColor="text1" w:val="000000"/>
                <w:sz w:val="24"/>
              </w:rPr>
              <w:t>新股流通受限</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易方达上证50ETF联接发起式A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易方达上证50ETF联接发起式C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61,097,189.84</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82,581,631.25</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15,883,167.18</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25,384,300.57</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20,036,930.32</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53,621,697.47</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56,943,426.70</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54,344,234.35</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A01C74" w:rsidR="00A01C74" w:rsidRDefault="00A01C74"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A01C74" w:rsidRPr="00E90B39" w:rsidTr="004E70B7">
        <w:trPr>
          <w:trHeight w:val="248"/>
        </w:trPr>
        <w:tc>
          <w:tcPr>
            <w:tcW w:type="dxa" w:w="3167"/>
            <w:vAlign w:val="center"/>
          </w:tcPr>
          <w:p w:rsidP="00202439" w:rsidR="00A01C74" w:rsidRDefault="00A01C74"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202439" w:rsidR="00A01C74" w:rsidRDefault="00A01C74"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易方达上证50ETF联接发起式A</w:t>
            </w:r>
          </w:p>
        </w:tc>
        <w:tc>
          <w:tcPr>
            <w:tcW w:type="dxa" w:w="2631"/>
            <w:vAlign w:val="bottom"/>
          </w:tcPr>
          <w:p w:rsidP="00202439" w:rsidR="00A01C74" w:rsidRDefault="00A01C74" w:rsidRPr="00FA472B">
            <w:pPr>
              <w:jc w:val="center"/>
              <w:rPr>
                <w:sz w:val="24"/>
              </w:rPr>
            </w:pPr>
            <w:r w:rsidRPr="00FA472B">
              <w:rPr>
                <w:color w:val="000000"/>
                <w:kern w:val="0"/>
                <w:sz w:val="24"/>
              </w:rPr>
              <w:t/>
            </w:r>
            <w:r w:rsidRPr="00FA472B">
              <w:rPr>
                <w:sz w:val="24"/>
              </w:rPr>
              <w:t>易方达上证50ETF联接发起式C</w:t>
            </w:r>
          </w:p>
        </w:tc>
      </w:tr>
      <w:tr w:rsidR="00A01C74" w:rsidRPr="00E90B39" w:rsidTr="004E70B7">
        <w:trPr>
          <w:trHeight w:val="247"/>
        </w:trPr>
        <w:tc>
          <w:tcPr>
            <w:tcW w:type="dxa" w:w="3167"/>
            <w:vAlign w:val="center"/>
          </w:tcPr>
          <w:p w:rsidP="00202439" w:rsidR="00A01C74" w:rsidRDefault="00A01C74"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202439" w:rsidR="00A01C74" w:rsidRDefault="00A01C74" w:rsidRPr="00FA472B">
            <w:pPr>
              <w:jc w:val="right"/>
              <w:rPr>
                <w:sz w:val="24"/>
              </w:rPr>
            </w:pPr>
            <w:r w:rsidRPr="00FA472B">
              <w:rPr>
                <w:color w:val="000000"/>
                <w:sz w:val="24"/>
              </w:rPr>
              <w:t>10,000,000.00</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202439" w:rsidR="00A01C74" w:rsidRDefault="00A01C74"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202439" w:rsidR="00A01C74" w:rsidRDefault="00A01C74" w:rsidRPr="00FA472B">
            <w:pPr>
              <w:jc w:val="right"/>
              <w:rPr>
                <w:color w:val="000000"/>
                <w:kern w:val="0"/>
                <w:sz w:val="24"/>
              </w:rPr>
            </w:pPr>
            <w:r w:rsidRPr="00FA472B">
              <w:rPr>
                <w:color w:val="000000"/>
                <w:sz w:val="24"/>
              </w:rPr>
              <w:t>17.5613</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bl>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B47574" w:rsidRDefault="006B046C" w:rsidRPr="00B34368">
      <w:pPr>
        <w:pStyle w:val="1"/>
        <w:spacing w:after="312" w:afterLines="100" w:before="312" w:beforeLines="100" w:line="360" w:lineRule="auto"/>
        <w:jc w:val="center"/>
        <w:rPr>
          <w:rFonts w:eastAsiaTheme="minorEastAsia"/>
          <w:b w:val="0"/>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
      </w:r>
      <w:r w:rsidR="00B47574" w:rsidRPr="00B34368">
        <w:rPr>
          <w:rFonts w:eastAsiaTheme="minorEastAsia"/>
          <w:color w:themeColor="text1" w:val="000000"/>
          <w:kern w:val="0"/>
          <w:sz w:val="24"/>
          <w:szCs w:val="24"/>
        </w:rPr>
        <w:t>§</w:t>
      </w:r>
      <w:r w:rsidR="00D66685" w:rsidRPr="00B34368">
        <w:rPr>
          <w:rFonts w:eastAsiaTheme="minorEastAsia"/>
          <w:color w:themeColor="text1" w:val="000000"/>
          <w:kern w:val="0"/>
          <w:sz w:val="24"/>
          <w:szCs w:val="24"/>
        </w:rPr>
        <w:t/>
      </w:r>
      <w:r w:rsidR="00B47574" w:rsidRPr="00B34368">
        <w:rPr>
          <w:rFonts w:eastAsiaTheme="minorEastAsia"/>
          <w:color w:themeColor="text1" w:val="000000"/>
          <w:kern w:val="0"/>
          <w:sz w:val="24"/>
          <w:szCs w:val="24"/>
        </w:rPr>
        <w:t xml:space="preserve">8  </w:t>
      </w:r>
      <w:r w:rsidR="00EA7533" w:rsidRPr="00B34368">
        <w:rPr>
          <w:rFonts w:eastAsiaTheme="minorEastAsia" w:hAnsiTheme="minorEastAsia"/>
          <w:color w:themeColor="text1" w:val="000000"/>
          <w:kern w:val="0"/>
          <w:sz w:val="24"/>
          <w:szCs w:val="24"/>
        </w:rPr>
        <w:t>报告期末</w:t>
      </w:r>
      <w:r w:rsidR="00B47574" w:rsidRPr="00B34368">
        <w:rPr>
          <w:rFonts w:eastAsiaTheme="minorEastAsia" w:hAnsiTheme="minorEastAsia"/>
          <w:color w:themeColor="text1" w:val="000000"/>
          <w:kern w:val="0"/>
          <w:sz w:val="24"/>
          <w:szCs w:val="24"/>
        </w:rPr>
        <w:t>发起</w:t>
      </w:r>
      <w:proofErr w:type="gramStart"/>
      <w:r w:rsidR="00B47574" w:rsidRPr="00B34368">
        <w:rPr>
          <w:rFonts w:eastAsiaTheme="minorEastAsia" w:hAnsiTheme="minorEastAsia"/>
          <w:color w:themeColor="text1" w:val="000000"/>
          <w:kern w:val="0"/>
          <w:sz w:val="24"/>
          <w:szCs w:val="24"/>
        </w:rPr>
        <w:t>式基金</w:t>
      </w:r>
      <w:proofErr w:type="gramEnd"/>
      <w:r w:rsidR="00B47574" w:rsidRPr="00B34368">
        <w:rPr>
          <w:rFonts w:eastAsiaTheme="minorEastAsia" w:hAnsiTheme="minorEastAsia"/>
          <w:color w:themeColor="text1" w:val="000000"/>
          <w:kern w:val="0"/>
          <w:sz w:val="24"/>
          <w:szCs w:val="24"/>
        </w:rPr>
        <w:t>发起资金持有份额情况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2391"/>
        <w:gridCol w:w="1157"/>
        <w:gridCol w:w="1314"/>
        <w:gridCol w:w="1065"/>
        <w:gridCol w:w="1458"/>
        <w:gridCol w:w="1495"/>
      </w:tblGrid>
      <w:tr w:rsidR="00D3639B" w:rsidRPr="00B34368" w:rsidTr="004E70B7">
        <w:trPr>
          <w:trHeight w:val="543"/>
        </w:trPr>
        <w:tc>
          <w:tcPr>
            <w:tcW w:type="dxa" w:w="2391"/>
            <w:vAlign w:val="center"/>
            <w:hideMark/>
          </w:tcPr>
          <w:p w:rsidP="00973B57" w:rsidR="00B47574" w:rsidRDefault="00B47574" w:rsidRPr="00B34368">
            <w:pPr>
              <w:widowControl/>
              <w:jc w:val="left"/>
              <w:rPr>
                <w:rFonts w:eastAsiaTheme="minorEastAsia"/>
                <w:color w:themeColor="text1" w:val="000000"/>
                <w:sz w:val="24"/>
              </w:rPr>
            </w:pPr>
            <w:r w:rsidRPr="00B34368">
              <w:rPr>
                <w:rFonts w:eastAsiaTheme="minorEastAsia" w:hAnsiTheme="minorEastAsia"/>
                <w:color w:themeColor="text1" w:val="000000"/>
                <w:sz w:val="24"/>
              </w:rPr>
              <w:t>项目</w:t>
            </w:r>
            <w:r w:rsidR="00FB6808" w:rsidRPr="00B34368">
              <w:rPr>
                <w:rFonts w:eastAsiaTheme="minorEastAsia"/>
                <w:color w:themeColor="text1" w:val="000000"/>
                <w:sz w:val="24"/>
              </w:rPr>
              <w:t/>
            </w:r>
            <w:proofErr w:type="spellStart"/>
            <w:r w:rsidR="00FB6808" w:rsidRPr="00B34368">
              <w:rPr>
                <w:rFonts w:eastAsiaTheme="minorEastAsia"/>
                <w:color w:themeColor="text1" w:val="000000"/>
                <w:sz w:val="24"/>
              </w:rPr>
              <w:t/>
            </w:r>
            <w:proofErr w:type="spellEnd"/>
            <w:r w:rsidR="00FB6808" w:rsidRPr="00B34368">
              <w:rPr>
                <w:rFonts w:eastAsiaTheme="minorEastAsia"/>
                <w:color w:themeColor="text1" w:val="000000"/>
                <w:sz w:val="24"/>
              </w:rPr>
              <w:t/>
            </w:r>
            <w:r w:rsidR="00FC60F6" w:rsidRPr="00B34368">
              <w:rPr>
                <w:rFonts w:eastAsiaTheme="minorEastAsia"/>
                <w:color w:themeColor="text1" w:val="000000"/>
                <w:sz w:val="24"/>
              </w:rPr>
              <w:t/>
            </w:r>
            <w:proofErr w:type="spellStart"/>
            <w:r w:rsidR="00FC60F6" w:rsidRPr="00B34368">
              <w:rPr>
                <w:rFonts w:eastAsiaTheme="minorEastAsia"/>
                <w:color w:themeColor="text1" w:val="000000"/>
                <w:sz w:val="24"/>
              </w:rPr>
              <w:t/>
            </w:r>
            <w:proofErr w:type="spellEnd"/>
            <w:r w:rsidR="00FC60F6" w:rsidRPr="00B34368">
              <w:rPr>
                <w:rFonts w:eastAsiaTheme="minorEastAsia"/>
                <w:color w:themeColor="text1" w:val="000000"/>
                <w:sz w:val="24"/>
              </w:rPr>
              <w:t/>
            </w:r>
          </w:p>
        </w:tc>
        <w:tc>
          <w:tcPr>
            <w:tcW w:type="dxa" w:w="1157"/>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持有份额总数</w:t>
            </w:r>
          </w:p>
        </w:tc>
        <w:tc>
          <w:tcPr>
            <w:tcW w:type="dxa" w:w="1314"/>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持有份额占基金总份额比例</w:t>
            </w:r>
          </w:p>
        </w:tc>
        <w:tc>
          <w:tcPr>
            <w:tcW w:type="dxa" w:w="1065"/>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发起份额总数</w:t>
            </w:r>
          </w:p>
        </w:tc>
        <w:tc>
          <w:tcPr>
            <w:tcW w:type="dxa" w:w="1458"/>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发起份额占基金总份额比例</w:t>
            </w:r>
          </w:p>
        </w:tc>
        <w:tc>
          <w:tcPr>
            <w:tcW w:type="dxa" w:w="1495"/>
            <w:hideMark/>
          </w:tcPr>
          <w:p w:rsidP="00973B57" w:rsidR="00B47574" w:rsidRDefault="00B47574" w:rsidRPr="00B34368">
            <w:pPr>
              <w:widowControl/>
              <w:jc w:val="left"/>
              <w:rPr>
                <w:rFonts w:eastAsiaTheme="minorEastAsia"/>
                <w:color w:themeColor="text1" w:val="000000"/>
                <w:sz w:val="24"/>
              </w:rPr>
            </w:pPr>
            <w:r w:rsidRPr="00B34368">
              <w:rPr>
                <w:rFonts w:eastAsiaTheme="minorEastAsia" w:hAnsiTheme="minorEastAsia"/>
                <w:color w:themeColor="text1" w:val="000000"/>
                <w:sz w:val="24"/>
              </w:rPr>
              <w:t>发起份额承诺持有期限</w:t>
            </w:r>
          </w:p>
        </w:tc>
      </w:tr>
      <w:tr w:rsidR="00D3639B" w:rsidRPr="00B34368" w:rsidTr="004E70B7">
        <w:tc>
          <w:tcPr>
            <w:tcW w:type="dxa" w:w="2391"/>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基金管理人</w:t>
            </w:r>
            <w:proofErr w:type="gramStart"/>
            <w:r w:rsidRPr="00B34368">
              <w:rPr>
                <w:rFonts w:eastAsiaTheme="minorEastAsia" w:hAnsiTheme="minorEastAsia"/>
                <w:color w:themeColor="text1" w:val="000000"/>
                <w:sz w:val="24"/>
              </w:rPr>
              <w:t>固有资金</w:t>
            </w:r>
            <w:proofErr w:type="gramEnd"/>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10,000,000.00</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8.9857%</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10,000,000.00</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8.9857%</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不少于3年</w:t>
            </w:r>
          </w:p>
        </w:tc>
      </w:tr>
      <w:tr w:rsidR="00D3639B" w:rsidRPr="00B34368" w:rsidTr="004E70B7">
        <w:trPr>
          <w:trHeight w:val="790"/>
        </w:trPr>
        <w:tc>
          <w:tcPr>
            <w:tcW w:type="dxa" w:w="2391"/>
            <w:hideMark/>
          </w:tcPr>
          <w:p w:rsidP="00973B57" w:rsidR="00B47574" w:rsidRDefault="00B47574" w:rsidRPr="00B34368">
            <w:pPr>
              <w:adjustRightInd w:val="0"/>
              <w:snapToGrid w:val="0"/>
              <w:spacing w:line="360" w:lineRule="exact"/>
              <w:rPr>
                <w:rFonts w:eastAsiaTheme="minorEastAsia"/>
                <w:color w:themeColor="text1" w:val="000000"/>
                <w:sz w:val="24"/>
              </w:rPr>
            </w:pPr>
            <w:r w:rsidRPr="00B34368">
              <w:rPr>
                <w:rFonts w:eastAsiaTheme="minorEastAsia" w:hAnsiTheme="minorEastAsia"/>
                <w:color w:themeColor="text1" w:val="000000"/>
                <w:sz w:val="24"/>
              </w:rPr>
              <w:t>基金管理人高级管理人员</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基金经理等人员</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lastRenderedPageBreak/>
              <w:t>基金管理</w:t>
            </w:r>
            <w:proofErr w:type="gramStart"/>
            <w:r w:rsidRPr="00B34368">
              <w:rPr>
                <w:rFonts w:eastAsiaTheme="minorEastAsia" w:hAnsiTheme="minorEastAsia"/>
                <w:color w:themeColor="text1" w:val="000000"/>
                <w:sz w:val="24"/>
              </w:rPr>
              <w:t>人股东</w:t>
            </w:r>
            <w:proofErr w:type="gramEnd"/>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其他</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w:t>
            </w:r>
          </w:p>
        </w:tc>
      </w:tr>
      <w:tr w:rsidR="00D3639B" w:rsidRPr="00B34368" w:rsidTr="004E70B7">
        <w:tc>
          <w:tcPr>
            <w:tcW w:type="dxa" w:w="2391"/>
            <w:hideMark/>
          </w:tcPr>
          <w:p w:rsidP="00973B57" w:rsidR="00B47574" w:rsidRDefault="00B47574" w:rsidRPr="00B34368">
            <w:pPr>
              <w:adjustRightInd w:val="0"/>
              <w:snapToGrid w:val="0"/>
              <w:spacing w:line="360" w:lineRule="exact"/>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1157"/>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
            </w:r>
            <w:proofErr w:type="spellEnd"/>
            <w:r w:rsidRPr="00B34368">
              <w:rPr>
                <w:rFonts w:eastAsiaTheme="minorEastAsia"/>
                <w:color w:themeColor="text1" w:val="000000"/>
                <w:kern w:val="0"/>
                <w:sz w:val="24"/>
              </w:rPr>
              <w:t>10,000,000.00</w:t>
            </w:r>
          </w:p>
        </w:tc>
        <w:tc>
          <w:tcPr>
            <w:tcW w:type="dxa" w:w="1314"/>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8.9857%</w:t>
            </w:r>
          </w:p>
        </w:tc>
        <w:tc>
          <w:tcPr>
            <w:tcW w:type="dxa" w:w="106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kern w:val="0"/>
                <w:sz w:val="24"/>
              </w:rPr>
              <w:t/>
            </w:r>
            <w:r w:rsidRPr="00B34368">
              <w:rPr>
                <w:rFonts w:eastAsiaTheme="minorEastAsia"/>
                <w:color w:themeColor="text1" w:val="000000"/>
                <w:kern w:val="0"/>
                <w:sz w:val="24"/>
              </w:rPr>
              <w:lastRenderedPageBreak/>
              <w:t/>
            </w:r>
            <w:proofErr w:type="spellEnd"/>
            <w:r w:rsidRPr="00B34368">
              <w:rPr>
                <w:rFonts w:eastAsiaTheme="minorEastAsia"/>
                <w:color w:themeColor="text1" w:val="000000"/>
                <w:kern w:val="0"/>
                <w:sz w:val="24"/>
              </w:rPr>
              <w:t>10,000,000.00</w:t>
            </w:r>
          </w:p>
        </w:tc>
        <w:tc>
          <w:tcPr>
            <w:tcW w:type="dxa" w:w="1458"/>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
            </w:r>
            <w:r w:rsidRPr="00B34368">
              <w:rPr>
                <w:rFonts w:eastAsiaTheme="minorEastAsia"/>
                <w:color w:themeColor="text1" w:val="000000"/>
                <w:kern w:val="0"/>
                <w:sz w:val="24"/>
              </w:rPr>
              <w:lastRenderedPageBreak/>
              <w:t>8.9857%</w:t>
            </w:r>
          </w:p>
        </w:tc>
        <w:tc>
          <w:tcPr>
            <w:tcW w:type="dxa" w:w="1495"/>
            <w:hideMark/>
          </w:tcPr>
          <w:p w:rsidP="00973B57" w:rsidR="00B47574" w:rsidRDefault="00B47574" w:rsidRPr="00B34368">
            <w:pPr>
              <w:adjustRightInd w:val="0"/>
              <w:snapToGrid w:val="0"/>
              <w:spacing w:line="360" w:lineRule="exact"/>
              <w:jc w:val="right"/>
              <w:rPr>
                <w:rFonts w:eastAsiaTheme="minorEastAsia"/>
                <w:color w:themeColor="text1" w:val="000000"/>
                <w:kern w:val="0"/>
                <w:sz w:val="24"/>
              </w:rPr>
            </w:pPr>
            <w:r w:rsidRPr="00B34368">
              <w:rPr>
                <w:rFonts w:eastAsiaTheme="minorEastAsia"/>
                <w:color w:themeColor="text1" w:val="000000"/>
                <w:kern w:val="0"/>
                <w:sz w:val="24"/>
              </w:rPr>
              <w:lastRenderedPageBreak/>
              <w:t>-</w:t>
            </w:r>
          </w:p>
        </w:tc>
      </w:tr>
    </w:tbl>
    <w:p w:rsidP="00024FB8" w:rsidR="00024FB8" w:rsidRDefault="00024FB8" w:rsidRPr="007E75F6">
      <w:pPr>
        <w:pStyle w:val="1"/>
        <w:spacing w:after="312" w:afterLines="100" w:before="312" w:beforeLines="100" w:line="360" w:lineRule="auto"/>
        <w:jc w:val="center"/>
        <w:rPr>
          <w:rFonts w:eastAsiaTheme="minorEastAsia"/>
          <w:color w:themeColor="text1" w:val="000000"/>
          <w:kern w:val="0"/>
          <w:sz w:val="24"/>
          <w:szCs w:val="24"/>
        </w:rPr>
      </w:pPr>
      <w:r w:rsidRPr="007E75F6">
        <w:rPr>
          <w:rFonts w:eastAsiaTheme="minorEastAsia"/>
          <w:color w:themeColor="text1" w:val="000000"/>
          <w:kern w:val="0"/>
          <w:sz w:val="24"/>
          <w:szCs w:val="24"/>
        </w:rPr>
        <w:t/>
      </w:r>
      <w:proofErr w:type="spellStart"/>
      <w:r w:rsidRPr="007E75F6">
        <w:rPr>
          <w:rFonts w:eastAsiaTheme="minorEastAsia"/>
          <w:color w:themeColor="text1" w:val="000000"/>
          <w:kern w:val="0"/>
          <w:sz w:val="24"/>
          <w:szCs w:val="24"/>
        </w:rPr>
        <w:t/>
      </w:r>
      <w:proofErr w:type="spellEnd"/>
      <w:r w:rsidRPr="007E75F6">
        <w:rPr>
          <w:rFonts w:eastAsiaTheme="minorEastAsia"/>
          <w:color w:themeColor="text1" w:val="000000"/>
          <w:kern w:val="0"/>
          <w:sz w:val="24"/>
          <w:szCs w:val="24"/>
        </w:rPr>
        <w:t>§9</w:t>
      </w:r>
      <w:r w:rsidR="007661B8" w:rsidRPr="00B34368">
        <w:rPr>
          <w:rFonts w:eastAsiaTheme="minorEastAsia"/>
          <w:color w:themeColor="text1" w:val="000000"/>
          <w:kern w:val="0"/>
          <w:sz w:val="24"/>
          <w:szCs w:val="24"/>
        </w:rPr>
        <w:t xml:space="preserve">  </w:t>
      </w:r>
      <w:r w:rsidRPr="007E75F6">
        <w:rPr>
          <w:rFonts w:eastAsiaTheme="minorEastAsia"/>
          <w:color w:themeColor="text1" w:val="000000"/>
          <w:kern w:val="0"/>
          <w:sz w:val="24"/>
          <w:szCs w:val="24"/>
        </w:rPr>
        <w:t>影响投资者决策的其他重要信息</w:t>
      </w:r>
    </w:p>
    <w:p w:rsidP="006D3BC4" w:rsidR="006D3BC4" w:rsidRDefault="006D3BC4"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9.1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6D3BC4" w:rsidRPr="00FC0759" w:rsidTr="00CD72D6">
        <w:trPr>
          <w:jc w:val="center"/>
        </w:trPr>
        <w:tc>
          <w:tcPr>
            <w:tcW w:type="dxa" w:w="709"/>
            <w:vMerge w:val="restart"/>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6D3BC4" w:rsidRDefault="006D3BC4"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6D3BC4" w:rsidRPr="00FC0759" w:rsidTr="00CD72D6">
        <w:trPr>
          <w:jc w:val="center"/>
        </w:trPr>
        <w:tc>
          <w:tcPr>
            <w:tcW w:type="dxa" w:w="709"/>
            <w:vMerge/>
            <w:vAlign w:val="center"/>
          </w:tcPr>
          <w:p w:rsidP="00CD72D6" w:rsidR="006D3BC4" w:rsidRDefault="006D3BC4"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2020年05月22日~2020年05月24日,2020年06月02日~2020年06月30日</w:t>
            </w:r>
          </w:p>
        </w:tc>
        <w:tc>
          <w:tcPr>
            <w:vAlign w:val="center"/>
          </w:tcPr>
          <w:p>
            <w:pPr>
              <w:jc w:val="center"/>
            </w:pPr>
            <w:r>
              <w:rPr>
                <w:sz w:val="24"/>
              </w:rPr>
              <w:t>24,781,919.11</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24,781,919.11</w:t>
            </w:r>
          </w:p>
        </w:tc>
        <w:tc>
          <w:tcPr>
            <w:vAlign w:val="center"/>
          </w:tcPr>
          <w:p>
            <w:pPr>
              <w:jc w:val="center"/>
            </w:pPr>
            <w:r>
              <w:rPr>
                <w:sz w:val="24"/>
              </w:rPr>
              <w:t>22.27%</w:t>
            </w:r>
          </w:p>
        </w:tc>
      </w:tr>
    </w:tbl>
    <w:tbl>
      <w:tblPr>
        <w:tblStyle w:val="af2"/>
        <w:tblW w:type="dxa" w:w="9637"/>
        <w:jc w:val="center"/>
        <w:tblLayout w:type="fixed"/>
        <w:tblLook w:firstColumn="1" w:firstRow="1" w:lastColumn="0" w:lastRow="0" w:noHBand="0" w:noVBand="1" w:val="04A0"/>
      </w:tblPr>
      <w:tblGrid>
        <w:gridCol w:w="9637"/>
      </w:tblGrid>
      <w:tr w:rsidR="006D3BC4" w:rsidRPr="00FC0759" w:rsidTr="00CD72D6">
        <w:trPr>
          <w:jc w:val="center"/>
        </w:trPr>
        <w:tc>
          <w:tcPr>
            <w:tcW w:type="dxa" w:w="9637"/>
            <w:vAlign w:val="center"/>
          </w:tcPr>
          <w:p w:rsidP="00782390" w:rsidR="006D3BC4" w:rsidRDefault="006D3BC4" w:rsidRPr="00FC0759">
            <w:pPr>
              <w:autoSpaceDE w:val="0"/>
              <w:autoSpaceDN w:val="0"/>
              <w:adjustRightInd w:val="0"/>
              <w:jc w:val="center"/>
              <w:rPr>
                <w:sz w:val="24"/>
              </w:rPr>
            </w:pPr>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6D3BC4" w:rsidRPr="00FC0759" w:rsidTr="00CD72D6">
        <w:trPr>
          <w:jc w:val="center"/>
        </w:trPr>
        <w:tc>
          <w:tcPr>
            <w:tcW w:type="dxa" w:w="9637"/>
            <w:vAlign w:val="center"/>
          </w:tcPr>
          <w:p w:rsidP="00CD72D6" w:rsidR="006D3BC4" w:rsidRDefault="006D3BC4"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10</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10.</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1.中国证监会准予易方达上证50交易型开放式指数证券投资基金发起式联接基金注册的文件；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2.《易方达上证50交易型开放式指数证券投资基金发起式联接基金基金合同》；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3.《易方达上证50交易型开放式指数证券投资基金发起式联接基金托管协议》；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10.2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10.3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易方达上证50交易型开放式指数证券投资基金发起式联接基金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