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易方达中债3-5年政策性金融债指数证券投资基金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易方达中债3-5年政金债指数</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007366</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2019年12月4日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1,213,862,293.45</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本基金通过指数化投资，争取获得与标的指数相似的总回报，追求跟踪偏离度及跟踪误差的最小化。</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中债-3-5年政策性金融债指数收益率×95%+银行活期存款利率(税后) ×5%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易方达中债3-5年政金债指数A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易方达中债3-5年政金债指数C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007366</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007367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1,209,907,988.03</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3,954,305.42</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易方达中债3-5年政金债指数A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易方达中债3-5年政金债指数C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28,409,742.17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112,236.10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-1,733,008.78</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-102,502.97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-0.0011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-0.0141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1,221,630,282.73</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3,990,277.66</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1.0097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1.0091</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易方达中债3-5年政金债指数A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-0.54%</w:t>
            </w:r>
          </w:p>
        </w:tc>
        <w:tc>
          <w:tcPr>
            <w:vAlign w:val="center"/>
          </w:tcPr>
          <w:p>
            <w:pPr>
              <w:jc w:val="center"/>
            </w:pPr>
            <w:r>
              <w:rPr>
                <w:color w:val="000000"/>
                <w:sz w:val="24"/>
              </w:rPr>
              <w:t>0.21%</w:t>
            </w:r>
          </w:p>
        </w:tc>
        <w:tc>
          <w:tcPr>
            <w:vAlign w:val="center"/>
          </w:tcPr>
          <w:p>
            <w:pPr>
              <w:jc w:val="center"/>
            </w:pPr>
            <w:r>
              <w:rPr>
                <w:color w:val="000000"/>
                <w:sz w:val="24"/>
              </w:rPr>
              <w:t>-0.68%</w:t>
            </w:r>
          </w:p>
        </w:tc>
        <w:tc>
          <w:tcPr>
            <w:vAlign w:val="center"/>
          </w:tcPr>
          <w:p>
            <w:pPr>
              <w:jc w:val="center"/>
            </w:pPr>
            <w:r>
              <w:rPr>
                <w:color w:val="000000"/>
                <w:sz w:val="24"/>
              </w:rPr>
              <w:t>0.19%</w:t>
            </w:r>
          </w:p>
        </w:tc>
        <w:tc>
          <w:tcPr>
            <w:vAlign w:val="center"/>
          </w:tcPr>
          <w:p>
            <w:pPr>
              <w:jc w:val="center"/>
            </w:pPr>
            <w:r>
              <w:rPr>
                <w:color w:val="000000"/>
                <w:sz w:val="24"/>
              </w:rPr>
              <w:t>0.14%</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2.07%</w:t>
            </w:r>
          </w:p>
        </w:tc>
        <w:tc>
          <w:tcPr>
            <w:vAlign w:val="center"/>
          </w:tcPr>
          <w:p>
            <w:pPr>
              <w:jc w:val="center"/>
            </w:pPr>
            <w:r>
              <w:rPr>
                <w:color w:val="000000"/>
                <w:sz w:val="24"/>
              </w:rPr>
              <w:t>0.16%</w:t>
            </w:r>
          </w:p>
        </w:tc>
        <w:tc>
          <w:tcPr>
            <w:vAlign w:val="center"/>
          </w:tcPr>
          <w:p>
            <w:pPr>
              <w:jc w:val="center"/>
            </w:pPr>
            <w:r>
              <w:rPr>
                <w:color w:val="000000"/>
                <w:sz w:val="24"/>
              </w:rPr>
              <w:t>1.97%</w:t>
            </w:r>
          </w:p>
        </w:tc>
        <w:tc>
          <w:tcPr>
            <w:vAlign w:val="center"/>
          </w:tcPr>
          <w:p>
            <w:pPr>
              <w:jc w:val="center"/>
            </w:pPr>
            <w:r>
              <w:rPr>
                <w:color w:val="000000"/>
                <w:sz w:val="24"/>
              </w:rPr>
              <w:t>0.15%</w:t>
            </w:r>
          </w:p>
        </w:tc>
        <w:tc>
          <w:tcPr>
            <w:vAlign w:val="center"/>
          </w:tcPr>
          <w:p>
            <w:pPr>
              <w:jc w:val="center"/>
            </w:pPr>
            <w:r>
              <w:rPr>
                <w:color w:val="000000"/>
                <w:sz w:val="24"/>
              </w:rPr>
              <w:t>0.10%</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2.46%</w:t>
            </w:r>
          </w:p>
        </w:tc>
        <w:tc>
          <w:tcPr>
            <w:vAlign w:val="center"/>
          </w:tcPr>
          <w:p>
            <w:pPr>
              <w:jc w:val="center"/>
            </w:pPr>
            <w:r>
              <w:rPr>
                <w:color w:val="000000"/>
                <w:sz w:val="24"/>
              </w:rPr>
              <w:t>0.15%</w:t>
            </w:r>
          </w:p>
        </w:tc>
        <w:tc>
          <w:tcPr>
            <w:vAlign w:val="center"/>
          </w:tcPr>
          <w:p>
            <w:pPr>
              <w:jc w:val="center"/>
            </w:pPr>
            <w:r>
              <w:rPr>
                <w:color w:val="000000"/>
                <w:sz w:val="24"/>
              </w:rPr>
              <w:t>2.70%</w:t>
            </w:r>
          </w:p>
        </w:tc>
        <w:tc>
          <w:tcPr>
            <w:vAlign w:val="center"/>
          </w:tcPr>
          <w:p>
            <w:pPr>
              <w:jc w:val="center"/>
            </w:pPr>
            <w:r>
              <w:rPr>
                <w:color w:val="000000"/>
                <w:sz w:val="24"/>
              </w:rPr>
              <w:t>0.14%</w:t>
            </w:r>
          </w:p>
        </w:tc>
        <w:tc>
          <w:tcPr>
            <w:vAlign w:val="center"/>
          </w:tcPr>
          <w:p>
            <w:pPr>
              <w:jc w:val="center"/>
            </w:pPr>
            <w:r>
              <w:rPr>
                <w:color w:val="000000"/>
                <w:sz w:val="24"/>
              </w:rPr>
              <w:t>-0.24%</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易方达中债3-5年政金债指数C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-0.58%</w:t>
            </w:r>
          </w:p>
        </w:tc>
        <w:tc>
          <w:tcPr>
            <w:vAlign w:val="center"/>
          </w:tcPr>
          <w:p>
            <w:pPr>
              <w:jc w:val="center"/>
            </w:pPr>
            <w:r>
              <w:rPr>
                <w:color w:val="000000"/>
                <w:sz w:val="24"/>
              </w:rPr>
              <w:t>0.21%</w:t>
            </w:r>
          </w:p>
        </w:tc>
        <w:tc>
          <w:tcPr>
            <w:vAlign w:val="center"/>
          </w:tcPr>
          <w:p>
            <w:pPr>
              <w:jc w:val="center"/>
            </w:pPr>
            <w:r>
              <w:rPr>
                <w:color w:val="000000"/>
                <w:sz w:val="24"/>
              </w:rPr>
              <w:t>-0.68%</w:t>
            </w:r>
          </w:p>
        </w:tc>
        <w:tc>
          <w:tcPr>
            <w:vAlign w:val="center"/>
          </w:tcPr>
          <w:p>
            <w:pPr>
              <w:jc w:val="center"/>
            </w:pPr>
            <w:r>
              <w:rPr>
                <w:color w:val="000000"/>
                <w:sz w:val="24"/>
              </w:rPr>
              <w:t>0.19%</w:t>
            </w:r>
          </w:p>
        </w:tc>
        <w:tc>
          <w:tcPr>
            <w:vAlign w:val="center"/>
          </w:tcPr>
          <w:p>
            <w:pPr>
              <w:jc w:val="center"/>
            </w:pPr>
            <w:r>
              <w:rPr>
                <w:color w:val="000000"/>
                <w:sz w:val="24"/>
              </w:rPr>
              <w:t>0.10%</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2.02%</w:t>
            </w:r>
          </w:p>
        </w:tc>
        <w:tc>
          <w:tcPr>
            <w:vAlign w:val="center"/>
          </w:tcPr>
          <w:p>
            <w:pPr>
              <w:jc w:val="center"/>
            </w:pPr>
            <w:r>
              <w:rPr>
                <w:color w:val="000000"/>
                <w:sz w:val="24"/>
              </w:rPr>
              <w:t>0.16%</w:t>
            </w:r>
          </w:p>
        </w:tc>
        <w:tc>
          <w:tcPr>
            <w:vAlign w:val="center"/>
          </w:tcPr>
          <w:p>
            <w:pPr>
              <w:jc w:val="center"/>
            </w:pPr>
            <w:r>
              <w:rPr>
                <w:color w:val="000000"/>
                <w:sz w:val="24"/>
              </w:rPr>
              <w:t>1.97%</w:t>
            </w:r>
          </w:p>
        </w:tc>
        <w:tc>
          <w:tcPr>
            <w:vAlign w:val="center"/>
          </w:tcPr>
          <w:p>
            <w:pPr>
              <w:jc w:val="center"/>
            </w:pPr>
            <w:r>
              <w:rPr>
                <w:color w:val="000000"/>
                <w:sz w:val="24"/>
              </w:rPr>
              <w:t>0.15%</w:t>
            </w:r>
          </w:p>
        </w:tc>
        <w:tc>
          <w:tcPr>
            <w:vAlign w:val="center"/>
          </w:tcPr>
          <w:p>
            <w:pPr>
              <w:jc w:val="center"/>
            </w:pPr>
            <w:r>
              <w:rPr>
                <w:color w:val="000000"/>
                <w:sz w:val="24"/>
              </w:rPr>
              <w:t>0.05%</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2.40%</w:t>
            </w:r>
          </w:p>
        </w:tc>
        <w:tc>
          <w:tcPr>
            <w:vAlign w:val="center"/>
          </w:tcPr>
          <w:p>
            <w:pPr>
              <w:jc w:val="center"/>
            </w:pPr>
            <w:r>
              <w:rPr>
                <w:color w:val="000000"/>
                <w:sz w:val="24"/>
              </w:rPr>
              <w:t>0.15%</w:t>
            </w:r>
          </w:p>
        </w:tc>
        <w:tc>
          <w:tcPr>
            <w:vAlign w:val="center"/>
          </w:tcPr>
          <w:p>
            <w:pPr>
              <w:jc w:val="center"/>
            </w:pPr>
            <w:r>
              <w:rPr>
                <w:color w:val="000000"/>
                <w:sz w:val="24"/>
              </w:rPr>
              <w:t>2.70%</w:t>
            </w:r>
          </w:p>
        </w:tc>
        <w:tc>
          <w:tcPr>
            <w:vAlign w:val="center"/>
          </w:tcPr>
          <w:p>
            <w:pPr>
              <w:jc w:val="center"/>
            </w:pPr>
            <w:r>
              <w:rPr>
                <w:color w:val="000000"/>
                <w:sz w:val="24"/>
              </w:rPr>
              <w:t>0.14%</w:t>
            </w:r>
          </w:p>
        </w:tc>
        <w:tc>
          <w:tcPr>
            <w:vAlign w:val="center"/>
          </w:tcPr>
          <w:p>
            <w:pPr>
              <w:jc w:val="center"/>
            </w:pPr>
            <w:r>
              <w:rPr>
                <w:color w:val="000000"/>
                <w:sz w:val="24"/>
              </w:rPr>
              <w:t>-0.30%</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易方达中债3-5年政策性金融债指数证券投资基金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（2019年12月4日至2020年6月30日）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易方达中债3-5年政金债指数A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易方达中债3-5年政金债指数C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注：1.本基金合同于2019年12月4日生效，截至报告期末本基金合同生效未满一年。</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2.按基金合同和招募说明书的约定，本基金的建仓期为六个月，建仓期结束时各项资产配置比例符合基金合同（第十二部分二、投资范围，三、投资策略和四、投资限制）的有关约定。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3.自基金合同生效至报告期末，A类基金份额净值增长率为2.46%，C类基金份额净值增长率为2.40%，同期业绩比较基准收益率为2.70%。</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2019-12-04</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报告期内本基金主要以抽样复制的方式跟踪指数为主。操作上，基金总体上按照指数的结构和久期进行配置。</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1.0097元，本报告期份额净值增长率为-0.54%，同期业绩比较基准收益率为-0.68%；C类基金份额净值为1.0091元，本报告期份额净值增长率为-0.58%，同期业绩比较基准收益率为-0.68%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1,300,689,000.00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95.69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1,300,689,000.00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95.69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1,952,152.92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0.14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56,576,664.93</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4.16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1,359,217,817.85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1,300,689,000.00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106.12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1,300,689,000.00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106.12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1,300,689,000.00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106.12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190404</w:t>
            </w:r>
          </w:p>
        </w:tc>
        <w:tc>
          <w:tcPr>
            <w:vAlign w:val="center"/>
          </w:tcPr>
          <w:p>
            <w:pPr>
              <w:jc w:val="center"/>
            </w:pPr>
            <w:r>
              <w:rPr>
                <w:color w:val="000000"/>
                <w:sz w:val="24"/>
              </w:rPr>
              <w:t>19农发04</w:t>
            </w:r>
          </w:p>
        </w:tc>
        <w:tc>
          <w:tcPr>
            <w:vAlign w:val="center"/>
          </w:tcPr>
          <w:p>
            <w:pPr>
              <w:jc w:val="right"/>
            </w:pPr>
            <w:r>
              <w:rPr>
                <w:color w:val="000000"/>
                <w:sz w:val="24"/>
              </w:rPr>
              <w:t>1,900,000</w:t>
            </w:r>
          </w:p>
        </w:tc>
        <w:tc>
          <w:tcPr>
            <w:vAlign w:val="center"/>
          </w:tcPr>
          <w:p>
            <w:pPr>
              <w:jc w:val="right"/>
            </w:pPr>
            <w:r>
              <w:rPr>
                <w:color w:val="000000"/>
                <w:sz w:val="24"/>
              </w:rPr>
              <w:t>193,306,000.00</w:t>
            </w:r>
          </w:p>
        </w:tc>
        <w:tc>
          <w:tcPr>
            <w:vAlign w:val="center"/>
          </w:tcPr>
          <w:p>
            <w:pPr>
              <w:jc w:val="right"/>
            </w:pPr>
            <w:r>
              <w:rPr>
                <w:color w:val="000000"/>
                <w:sz w:val="24"/>
              </w:rPr>
              <w:t>15.77</w:t>
            </w:r>
          </w:p>
        </w:tc>
      </w:tr>
      <w:tr>
        <w:tc>
          <w:tcPr>
            <w:vAlign w:val="center"/>
          </w:tcPr>
          <w:p>
            <w:pPr>
              <w:jc w:val="center"/>
            </w:pPr>
            <w:r>
              <w:rPr>
                <w:color w:val="000000"/>
                <w:sz w:val="24"/>
              </w:rPr>
              <w:t>2</w:t>
            </w:r>
          </w:p>
        </w:tc>
        <w:tc>
          <w:tcPr>
            <w:vAlign w:val="center"/>
          </w:tcPr>
          <w:p>
            <w:pPr>
              <w:jc w:val="center"/>
            </w:pPr>
            <w:r>
              <w:rPr>
                <w:color w:val="000000"/>
                <w:sz w:val="24"/>
              </w:rPr>
              <w:t>190305</w:t>
            </w:r>
          </w:p>
        </w:tc>
        <w:tc>
          <w:tcPr>
            <w:vAlign w:val="center"/>
          </w:tcPr>
          <w:p>
            <w:pPr>
              <w:jc w:val="center"/>
            </w:pPr>
            <w:r>
              <w:rPr>
                <w:color w:val="000000"/>
                <w:sz w:val="24"/>
              </w:rPr>
              <w:t>19进出05</w:t>
            </w:r>
          </w:p>
        </w:tc>
        <w:tc>
          <w:tcPr>
            <w:vAlign w:val="center"/>
          </w:tcPr>
          <w:p>
            <w:pPr>
              <w:jc w:val="right"/>
            </w:pPr>
            <w:r>
              <w:rPr>
                <w:color w:val="000000"/>
                <w:sz w:val="24"/>
              </w:rPr>
              <w:t>1,800,000</w:t>
            </w:r>
          </w:p>
        </w:tc>
        <w:tc>
          <w:tcPr>
            <w:vAlign w:val="center"/>
          </w:tcPr>
          <w:p>
            <w:pPr>
              <w:jc w:val="right"/>
            </w:pPr>
            <w:r>
              <w:rPr>
                <w:color w:val="000000"/>
                <w:sz w:val="24"/>
              </w:rPr>
              <w:t>181,980,000.00</w:t>
            </w:r>
          </w:p>
        </w:tc>
        <w:tc>
          <w:tcPr>
            <w:vAlign w:val="center"/>
          </w:tcPr>
          <w:p>
            <w:pPr>
              <w:jc w:val="right"/>
            </w:pPr>
            <w:r>
              <w:rPr>
                <w:color w:val="000000"/>
                <w:sz w:val="24"/>
              </w:rPr>
              <w:t>14.85</w:t>
            </w:r>
          </w:p>
        </w:tc>
      </w:tr>
      <w:tr>
        <w:tc>
          <w:tcPr>
            <w:vAlign w:val="center"/>
          </w:tcPr>
          <w:p>
            <w:pPr>
              <w:jc w:val="center"/>
            </w:pPr>
            <w:r>
              <w:rPr>
                <w:color w:val="000000"/>
                <w:sz w:val="24"/>
              </w:rPr>
              <w:t>3</w:t>
            </w:r>
          </w:p>
        </w:tc>
        <w:tc>
          <w:tcPr>
            <w:vAlign w:val="center"/>
          </w:tcPr>
          <w:p>
            <w:pPr>
              <w:jc w:val="center"/>
            </w:pPr>
            <w:r>
              <w:rPr>
                <w:color w:val="000000"/>
                <w:sz w:val="24"/>
              </w:rPr>
              <w:t>180211</w:t>
            </w:r>
          </w:p>
        </w:tc>
        <w:tc>
          <w:tcPr>
            <w:vAlign w:val="center"/>
          </w:tcPr>
          <w:p>
            <w:pPr>
              <w:jc w:val="center"/>
            </w:pPr>
            <w:r>
              <w:rPr>
                <w:color w:val="000000"/>
                <w:sz w:val="24"/>
              </w:rPr>
              <w:t>18国开11</w:t>
            </w:r>
          </w:p>
        </w:tc>
        <w:tc>
          <w:tcPr>
            <w:vAlign w:val="center"/>
          </w:tcPr>
          <w:p>
            <w:pPr>
              <w:jc w:val="right"/>
            </w:pPr>
            <w:r>
              <w:rPr>
                <w:color w:val="000000"/>
                <w:sz w:val="24"/>
              </w:rPr>
              <w:t>1,700,000</w:t>
            </w:r>
          </w:p>
        </w:tc>
        <w:tc>
          <w:tcPr>
            <w:vAlign w:val="center"/>
          </w:tcPr>
          <w:p>
            <w:pPr>
              <w:jc w:val="right"/>
            </w:pPr>
            <w:r>
              <w:rPr>
                <w:color w:val="000000"/>
                <w:sz w:val="24"/>
              </w:rPr>
              <w:t>174,811,000.00</w:t>
            </w:r>
          </w:p>
        </w:tc>
        <w:tc>
          <w:tcPr>
            <w:vAlign w:val="center"/>
          </w:tcPr>
          <w:p>
            <w:pPr>
              <w:jc w:val="right"/>
            </w:pPr>
            <w:r>
              <w:rPr>
                <w:color w:val="000000"/>
                <w:sz w:val="24"/>
              </w:rPr>
              <w:t>14.26</w:t>
            </w:r>
          </w:p>
        </w:tc>
      </w:tr>
      <w:tr>
        <w:tc>
          <w:tcPr>
            <w:vAlign w:val="center"/>
          </w:tcPr>
          <w:p>
            <w:pPr>
              <w:jc w:val="center"/>
            </w:pPr>
            <w:r>
              <w:rPr>
                <w:color w:val="000000"/>
                <w:sz w:val="24"/>
              </w:rPr>
              <w:t>4</w:t>
            </w:r>
          </w:p>
        </w:tc>
        <w:tc>
          <w:tcPr>
            <w:vAlign w:val="center"/>
          </w:tcPr>
          <w:p>
            <w:pPr>
              <w:jc w:val="center"/>
            </w:pPr>
            <w:r>
              <w:rPr>
                <w:color w:val="000000"/>
                <w:sz w:val="24"/>
              </w:rPr>
              <w:t>170404</w:t>
            </w:r>
          </w:p>
        </w:tc>
        <w:tc>
          <w:tcPr>
            <w:vAlign w:val="center"/>
          </w:tcPr>
          <w:p>
            <w:pPr>
              <w:jc w:val="center"/>
            </w:pPr>
            <w:r>
              <w:rPr>
                <w:color w:val="000000"/>
                <w:sz w:val="24"/>
              </w:rPr>
              <w:t>17农发04</w:t>
            </w:r>
          </w:p>
        </w:tc>
        <w:tc>
          <w:tcPr>
            <w:vAlign w:val="center"/>
          </w:tcPr>
          <w:p>
            <w:pPr>
              <w:jc w:val="right"/>
            </w:pPr>
            <w:r>
              <w:rPr>
                <w:color w:val="000000"/>
                <w:sz w:val="24"/>
              </w:rPr>
              <w:t>1,600,000</w:t>
            </w:r>
          </w:p>
        </w:tc>
        <w:tc>
          <w:tcPr>
            <w:vAlign w:val="center"/>
          </w:tcPr>
          <w:p>
            <w:pPr>
              <w:jc w:val="right"/>
            </w:pPr>
            <w:r>
              <w:rPr>
                <w:color w:val="000000"/>
                <w:sz w:val="24"/>
              </w:rPr>
              <w:t>164,640,000.00</w:t>
            </w:r>
          </w:p>
        </w:tc>
        <w:tc>
          <w:tcPr>
            <w:vAlign w:val="center"/>
          </w:tcPr>
          <w:p>
            <w:pPr>
              <w:jc w:val="right"/>
            </w:pPr>
            <w:r>
              <w:rPr>
                <w:color w:val="000000"/>
                <w:sz w:val="24"/>
              </w:rPr>
              <w:t>13.43</w:t>
            </w:r>
          </w:p>
        </w:tc>
      </w:tr>
      <w:tr>
        <w:tc>
          <w:tcPr>
            <w:vAlign w:val="center"/>
          </w:tcPr>
          <w:p>
            <w:pPr>
              <w:jc w:val="center"/>
            </w:pPr>
            <w:r>
              <w:rPr>
                <w:color w:val="000000"/>
                <w:sz w:val="24"/>
              </w:rPr>
              <w:t>5</w:t>
            </w:r>
          </w:p>
        </w:tc>
        <w:tc>
          <w:tcPr>
            <w:vAlign w:val="center"/>
          </w:tcPr>
          <w:p>
            <w:pPr>
              <w:jc w:val="center"/>
            </w:pPr>
            <w:r>
              <w:rPr>
                <w:color w:val="000000"/>
                <w:sz w:val="24"/>
              </w:rPr>
              <w:t>170201</w:t>
            </w:r>
          </w:p>
        </w:tc>
        <w:tc>
          <w:tcPr>
            <w:vAlign w:val="center"/>
          </w:tcPr>
          <w:p>
            <w:pPr>
              <w:jc w:val="center"/>
            </w:pPr>
            <w:r>
              <w:rPr>
                <w:color w:val="000000"/>
                <w:sz w:val="24"/>
              </w:rPr>
              <w:t>17国开01</w:t>
            </w:r>
          </w:p>
        </w:tc>
        <w:tc>
          <w:tcPr>
            <w:vAlign w:val="center"/>
          </w:tcPr>
          <w:p>
            <w:pPr>
              <w:jc w:val="right"/>
            </w:pPr>
            <w:r>
              <w:rPr>
                <w:color w:val="000000"/>
                <w:sz w:val="24"/>
              </w:rPr>
              <w:t>1,300,000</w:t>
            </w:r>
          </w:p>
        </w:tc>
        <w:tc>
          <w:tcPr>
            <w:vAlign w:val="center"/>
          </w:tcPr>
          <w:p>
            <w:pPr>
              <w:jc w:val="right"/>
            </w:pPr>
            <w:r>
              <w:rPr>
                <w:color w:val="000000"/>
                <w:sz w:val="24"/>
              </w:rPr>
              <w:t>133,614,000.00</w:t>
            </w:r>
          </w:p>
        </w:tc>
        <w:tc>
          <w:tcPr>
            <w:vAlign w:val="center"/>
          </w:tcPr>
          <w:p>
            <w:pPr>
              <w:jc w:val="right"/>
            </w:pPr>
            <w:r>
              <w:rPr>
                <w:color w:val="000000"/>
                <w:sz w:val="24"/>
              </w:rPr>
              <w:t>10.90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color w:val="000000"/>
          <w:sz w:val="24"/>
        </w:rPr>
        <w:t>本基金投资19农发04、17农发04的投资决策程序符合公司投资制度的规定。</w:t>
      </w:r>
    </w:p>
    <w:p>
      <w:pPr>
        <w:widowControl/>
        <w:spacing w:line="360" w:lineRule="auto"/>
        <w:rPr>
          <w:color w:val="000000"/>
          <w:sz w:val="24"/>
        </w:rPr>
      </w:pPr>
      <w:r>
        <w:rPr>
          <w:color w:val="000000"/>
          <w:sz w:val="24"/>
        </w:rPr>
        <w:t>除19农发04、17农发04外，本基金投资的前十名证券的发行主体本期没有出现被监管部门立案调查，或在报告编制日前一年内受到公开谴责、处罚的情形。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33,694,318.69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22,860,276.24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22,070.00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56,576,664.93</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易方达中债3-5年政金债指数A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易方达中债3-5年政金债指数C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1,927,433,613.80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4,800,801.71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465,639,815.55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6,972,963.08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1,183,165,441.32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7,819,459.37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1,209,907,988.03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3,954,305.42</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2020年05月28日~2020年06月29日</w:t>
            </w:r>
          </w:p>
        </w:tc>
        <w:tc>
          <w:tcPr>
            <w:vAlign w:val="center"/>
          </w:tcPr>
          <w:p>
            <w:pPr>
              <w:jc w:val="center"/>
            </w:pPr>
            <w:r>
              <w:rPr>
                <w:sz w:val="24"/>
              </w:rPr>
              <w:t>299,221,034.07</w:t>
            </w:r>
          </w:p>
        </w:tc>
        <w:tc>
          <w:tcPr>
            <w:vAlign w:val="center"/>
          </w:tcPr>
          <w:p>
            <w:pPr>
              <w:jc w:val="center"/>
            </w:pPr>
            <w:r>
              <w:rPr>
                <w:sz w:val="24"/>
              </w:rPr>
              <w:t>-</w:t>
            </w:r>
          </w:p>
        </w:tc>
        <w:tc>
          <w:tcPr>
            <w:vAlign w:val="center"/>
          </w:tcPr>
          <w:p>
            <w:pPr>
              <w:jc w:val="center"/>
            </w:pPr>
            <w:r>
              <w:rPr>
                <w:sz w:val="24"/>
              </w:rPr>
              <w:t>99,999,000.00</w:t>
            </w:r>
          </w:p>
        </w:tc>
        <w:tc>
          <w:tcPr>
            <w:vAlign w:val="center"/>
          </w:tcPr>
          <w:p>
            <w:pPr>
              <w:jc w:val="center"/>
            </w:pPr>
            <w:r>
              <w:rPr>
                <w:sz w:val="24"/>
              </w:rPr>
              <w:t>199,222,034.07</w:t>
            </w:r>
          </w:p>
        </w:tc>
        <w:tc>
          <w:tcPr>
            <w:vAlign w:val="center"/>
          </w:tcPr>
          <w:p>
            <w:pPr>
              <w:jc w:val="center"/>
            </w:pPr>
            <w:r>
              <w:rPr>
                <w:sz w:val="24"/>
              </w:rPr>
              <w:t>16.41%</w:t>
            </w:r>
          </w:p>
        </w:tc>
      </w:tr>
      <w:tr>
        <w:tc>
          <w:tcPr>
            <w:vMerge/>
          </w:tcPr>
          <w:p/>
        </w:tc>
        <w:tc>
          <w:tcPr>
            <w:vAlign w:val="center"/>
          </w:tcPr>
          <w:p>
            <w:pPr>
              <w:jc w:val="center"/>
            </w:pPr>
            <w:r>
              <w:rPr>
                <w:sz w:val="24"/>
              </w:rPr>
              <w:t>2</w:t>
            </w:r>
          </w:p>
        </w:tc>
        <w:tc>
          <w:tcPr>
            <w:vAlign w:val="center"/>
          </w:tcPr>
          <w:p>
            <w:pPr>
              <w:jc w:val="center"/>
            </w:pPr>
            <w:r>
              <w:rPr>
                <w:sz w:val="24"/>
              </w:rPr>
              <w:t>2020年04月24日~2020年05月28日</w:t>
            </w:r>
          </w:p>
        </w:tc>
        <w:tc>
          <w:tcPr>
            <w:vAlign w:val="center"/>
          </w:tcPr>
          <w:p>
            <w:pPr>
              <w:jc w:val="center"/>
            </w:pPr>
            <w:r>
              <w:rPr>
                <w:sz w:val="24"/>
              </w:rPr>
              <w:t>295,769,360.22</w:t>
            </w:r>
          </w:p>
        </w:tc>
        <w:tc>
          <w:tcPr>
            <w:vAlign w:val="center"/>
          </w:tcPr>
          <w:p>
            <w:pPr>
              <w:jc w:val="center"/>
            </w:pPr>
            <w:r>
              <w:rPr>
                <w:sz w:val="24"/>
              </w:rPr>
              <w:t>390,593,476.23</w:t>
            </w:r>
          </w:p>
        </w:tc>
        <w:tc>
          <w:tcPr>
            <w:vAlign w:val="center"/>
          </w:tcPr>
          <w:p>
            <w:pPr>
              <w:jc w:val="center"/>
            </w:pPr>
            <w:r>
              <w:rPr>
                <w:sz w:val="24"/>
              </w:rPr>
              <w:t>488,930,457.38</w:t>
            </w:r>
          </w:p>
        </w:tc>
        <w:tc>
          <w:tcPr>
            <w:vAlign w:val="center"/>
          </w:tcPr>
          <w:p>
            <w:pPr>
              <w:jc w:val="center"/>
            </w:pPr>
            <w:r>
              <w:rPr>
                <w:sz w:val="24"/>
              </w:rPr>
              <w:t>197,432,379.07</w:t>
            </w:r>
          </w:p>
        </w:tc>
        <w:tc>
          <w:tcPr>
            <w:vAlign w:val="center"/>
          </w:tcPr>
          <w:p>
            <w:pPr>
              <w:jc w:val="center"/>
            </w:pPr>
            <w:r>
              <w:rPr>
                <w:sz w:val="24"/>
              </w:rPr>
              <w:t>16.26%</w:t>
            </w:r>
          </w:p>
        </w:tc>
      </w:tr>
      <w:tr>
        <w:tc>
          <w:tcPr>
            <w:vMerge/>
          </w:tcPr>
          <w:p/>
        </w:tc>
        <w:tc>
          <w:tcPr>
            <w:vAlign w:val="center"/>
          </w:tcPr>
          <w:p>
            <w:pPr>
              <w:jc w:val="center"/>
            </w:pPr>
            <w:r>
              <w:rPr>
                <w:sz w:val="24"/>
              </w:rPr>
              <w:t>3</w:t>
            </w:r>
          </w:p>
        </w:tc>
        <w:tc>
          <w:tcPr>
            <w:vAlign w:val="center"/>
          </w:tcPr>
          <w:p>
            <w:pPr>
              <w:jc w:val="center"/>
            </w:pPr>
            <w:r>
              <w:rPr>
                <w:sz w:val="24"/>
              </w:rPr>
              <w:t>2020年04月01日~2020年04月21日</w:t>
            </w:r>
          </w:p>
        </w:tc>
        <w:tc>
          <w:tcPr>
            <w:vAlign w:val="center"/>
          </w:tcPr>
          <w:p>
            <w:pPr>
              <w:jc w:val="center"/>
            </w:pPr>
            <w:r>
              <w:rPr>
                <w:sz w:val="24"/>
              </w:rPr>
              <w:t>499,999,000.00</w:t>
            </w:r>
          </w:p>
        </w:tc>
        <w:tc>
          <w:tcPr>
            <w:vAlign w:val="center"/>
          </w:tcPr>
          <w:p>
            <w:pPr>
              <w:jc w:val="center"/>
            </w:pPr>
            <w:r>
              <w:rPr>
                <w:sz w:val="24"/>
              </w:rPr>
              <w:t>-</w:t>
            </w:r>
          </w:p>
        </w:tc>
        <w:tc>
          <w:tcPr>
            <w:vAlign w:val="center"/>
          </w:tcPr>
          <w:p>
            <w:pPr>
              <w:jc w:val="center"/>
            </w:pPr>
            <w:r>
              <w:rPr>
                <w:sz w:val="24"/>
              </w:rPr>
              <w:t>499,999,000.00</w:t>
            </w:r>
          </w:p>
        </w:tc>
        <w:tc>
          <w:tcPr>
            <w:vAlign w:val="center"/>
          </w:tcPr>
          <w:p>
            <w:pPr>
              <w:jc w:val="center"/>
            </w:pPr>
            <w:r>
              <w:rPr>
                <w:sz w:val="24"/>
              </w:rPr>
              <w:t>-</w:t>
            </w:r>
          </w:p>
        </w:tc>
        <w:tc>
          <w:tcPr>
            <w:vAlign w:val="center"/>
          </w:tcPr>
          <w:p>
            <w:pPr>
              <w:jc w:val="center"/>
            </w:pPr>
            <w:r>
              <w:rPr>
                <w:sz w:val="24"/>
              </w:rPr>
              <w:t>-</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本基金将根据基金合同的约定进行基金财产清算并终止而无需召开基金份额持有人大会；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1.中国证监会准予易方达中债3-5年政策性金融债指数证券投资基金注册的文件；</w:t>
      </w:r>
    </w:p>
    <w:p>
      <w:pPr>
        <w:spacing w:line="360" w:lineRule="auto"/>
        <w:ind w:firstLine="480" w:firstLineChars="200"/>
        <w:rPr>
          <w:color w:val="000000"/>
          <w:sz w:val="24"/>
        </w:rPr>
      </w:pPr>
      <w:r>
        <w:rPr>
          <w:color w:val="000000"/>
          <w:sz w:val="24"/>
        </w:rPr>
        <w:t>2.《易方达中债3-5年政策性金融债指数证券投资基金基金合同》；</w:t>
      </w:r>
    </w:p>
    <w:p>
      <w:pPr>
        <w:spacing w:line="360" w:lineRule="auto"/>
        <w:ind w:firstLine="480" w:firstLineChars="200"/>
        <w:rPr>
          <w:color w:val="000000"/>
          <w:sz w:val="24"/>
        </w:rPr>
      </w:pPr>
      <w:r>
        <w:rPr>
          <w:color w:val="000000"/>
          <w:sz w:val="24"/>
        </w:rPr>
        <w:t>3.《易方达中债3-5年政策性金融债指数证券投资基金托管协议》；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易方达中债3-5年政策性金融债指数证券投资基金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