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易方达中债1-3年政策性金融债指数证券投资基金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易方达中债1-3年政金债指数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007364</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2019年12月3日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1,975,664,507.35</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本基金通过指数化投资，争取获得与标的指数相似的总回报，追求跟踪偏离度及跟踪误差的最小化。</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中债-1-3 年政策性金融债指数收益率×95%+银行活期存款利率(税后)×5%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易方达中债1-3年政金债指数A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易方达中债1-3年政金债指数C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007364</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007365</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1,974,640,910.65</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1,023,596.70</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易方达中债1-3年政金债指数A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易方达中债1-3年政金债指数C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31,392,586.47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35,758.62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8,522,243.83</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7,395.60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0.0035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0.0030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1,991,995,361.10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1,032,109.71</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1.0088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1.0083</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易方达中债1-3年政金债指数A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0.09%</w:t>
            </w:r>
          </w:p>
        </w:tc>
        <w:tc>
          <w:tcPr>
            <w:vAlign w:val="center"/>
          </w:tcPr>
          <w:p>
            <w:pPr>
              <w:jc w:val="center"/>
            </w:pPr>
            <w:r>
              <w:rPr>
                <w:color w:val="000000"/>
                <w:sz w:val="24"/>
              </w:rPr>
              <w:t>0.12%</w:t>
            </w:r>
          </w:p>
        </w:tc>
        <w:tc>
          <w:tcPr>
            <w:vAlign w:val="center"/>
          </w:tcPr>
          <w:p>
            <w:pPr>
              <w:jc w:val="center"/>
            </w:pPr>
            <w:r>
              <w:rPr>
                <w:color w:val="000000"/>
                <w:sz w:val="24"/>
              </w:rPr>
              <w:t>-0.01%</w:t>
            </w:r>
          </w:p>
        </w:tc>
        <w:tc>
          <w:tcPr>
            <w:vAlign w:val="center"/>
          </w:tcPr>
          <w:p>
            <w:pPr>
              <w:jc w:val="center"/>
            </w:pPr>
            <w:r>
              <w:rPr>
                <w:color w:val="000000"/>
                <w:sz w:val="24"/>
              </w:rPr>
              <w:t>0.09%</w:t>
            </w:r>
          </w:p>
        </w:tc>
        <w:tc>
          <w:tcPr>
            <w:vAlign w:val="center"/>
          </w:tcPr>
          <w:p>
            <w:pPr>
              <w:jc w:val="center"/>
            </w:pPr>
            <w:r>
              <w:rPr>
                <w:color w:val="000000"/>
                <w:sz w:val="24"/>
              </w:rPr>
              <w:t>0.10%</w:t>
            </w:r>
          </w:p>
        </w:tc>
        <w:tc>
          <w:tcPr>
            <w:vAlign w:val="center"/>
          </w:tcPr>
          <w:p>
            <w:pPr>
              <w:jc w:val="center"/>
            </w:pPr>
            <w:r>
              <w:rPr>
                <w:color w:val="000000"/>
                <w:sz w:val="24"/>
              </w:rPr>
              <w:t>0.03%</w:t>
            </w:r>
          </w:p>
        </w:tc>
      </w:tr>
      <w:tr>
        <w:tc>
          <w:tcPr>
            <w:vAlign w:val="center"/>
          </w:tcPr>
          <w:p>
            <w:pPr>
              <w:jc w:val="left"/>
            </w:pPr>
            <w:r>
              <w:rPr>
                <w:color w:val="000000"/>
                <w:sz w:val="24"/>
              </w:rPr>
              <w:t>过去六个月</w:t>
            </w:r>
          </w:p>
        </w:tc>
        <w:tc>
          <w:tcPr>
            <w:vAlign w:val="center"/>
          </w:tcPr>
          <w:p>
            <w:pPr>
              <w:jc w:val="center"/>
            </w:pPr>
            <w:r>
              <w:rPr>
                <w:color w:val="000000"/>
                <w:sz w:val="24"/>
              </w:rPr>
              <w:t>1.79%</w:t>
            </w:r>
          </w:p>
        </w:tc>
        <w:tc>
          <w:tcPr>
            <w:vAlign w:val="center"/>
          </w:tcPr>
          <w:p>
            <w:pPr>
              <w:jc w:val="center"/>
            </w:pPr>
            <w:r>
              <w:rPr>
                <w:color w:val="000000"/>
                <w:sz w:val="24"/>
              </w:rPr>
              <w:t>0.09%</w:t>
            </w:r>
          </w:p>
        </w:tc>
        <w:tc>
          <w:tcPr>
            <w:vAlign w:val="center"/>
          </w:tcPr>
          <w:p>
            <w:pPr>
              <w:jc w:val="center"/>
            </w:pPr>
            <w:r>
              <w:rPr>
                <w:color w:val="000000"/>
                <w:sz w:val="24"/>
              </w:rPr>
              <w:t>1.54%</w:t>
            </w:r>
          </w:p>
        </w:tc>
        <w:tc>
          <w:tcPr>
            <w:vAlign w:val="center"/>
          </w:tcPr>
          <w:p>
            <w:pPr>
              <w:jc w:val="center"/>
            </w:pPr>
            <w:r>
              <w:rPr>
                <w:color w:val="000000"/>
                <w:sz w:val="24"/>
              </w:rPr>
              <w:t>0.08%</w:t>
            </w:r>
          </w:p>
        </w:tc>
        <w:tc>
          <w:tcPr>
            <w:vAlign w:val="center"/>
          </w:tcPr>
          <w:p>
            <w:pPr>
              <w:jc w:val="center"/>
            </w:pPr>
            <w:r>
              <w:rPr>
                <w:color w:val="000000"/>
                <w:sz w:val="24"/>
              </w:rPr>
              <w:t>0.25%</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2.18%</w:t>
            </w:r>
          </w:p>
        </w:tc>
        <w:tc>
          <w:tcPr>
            <w:vAlign w:val="center"/>
          </w:tcPr>
          <w:p>
            <w:pPr>
              <w:jc w:val="center"/>
            </w:pPr>
            <w:r>
              <w:rPr>
                <w:color w:val="000000"/>
                <w:sz w:val="24"/>
              </w:rPr>
              <w:t>0.08%</w:t>
            </w:r>
          </w:p>
        </w:tc>
        <w:tc>
          <w:tcPr>
            <w:vAlign w:val="center"/>
          </w:tcPr>
          <w:p>
            <w:pPr>
              <w:jc w:val="center"/>
            </w:pPr>
            <w:r>
              <w:rPr>
                <w:color w:val="000000"/>
                <w:sz w:val="24"/>
              </w:rPr>
              <w:t>2.10%</w:t>
            </w:r>
          </w:p>
        </w:tc>
        <w:tc>
          <w:tcPr>
            <w:vAlign w:val="center"/>
          </w:tcPr>
          <w:p>
            <w:pPr>
              <w:jc w:val="center"/>
            </w:pPr>
            <w:r>
              <w:rPr>
                <w:color w:val="000000"/>
                <w:sz w:val="24"/>
              </w:rPr>
              <w:t>0.07%</w:t>
            </w:r>
          </w:p>
        </w:tc>
        <w:tc>
          <w:tcPr>
            <w:vAlign w:val="center"/>
          </w:tcPr>
          <w:p>
            <w:pPr>
              <w:jc w:val="center"/>
            </w:pPr>
            <w:r>
              <w:rPr>
                <w:color w:val="000000"/>
                <w:sz w:val="24"/>
              </w:rPr>
              <w:t>0.08%</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易方达中债1-3年政金债指数C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0.07%</w:t>
            </w:r>
          </w:p>
        </w:tc>
        <w:tc>
          <w:tcPr>
            <w:vAlign w:val="center"/>
          </w:tcPr>
          <w:p>
            <w:pPr>
              <w:jc w:val="center"/>
            </w:pPr>
            <w:r>
              <w:rPr>
                <w:color w:val="000000"/>
                <w:sz w:val="24"/>
              </w:rPr>
              <w:t>0.12%</w:t>
            </w:r>
          </w:p>
        </w:tc>
        <w:tc>
          <w:tcPr>
            <w:vAlign w:val="center"/>
          </w:tcPr>
          <w:p>
            <w:pPr>
              <w:jc w:val="center"/>
            </w:pPr>
            <w:r>
              <w:rPr>
                <w:color w:val="000000"/>
                <w:sz w:val="24"/>
              </w:rPr>
              <w:t>-0.01%</w:t>
            </w:r>
          </w:p>
        </w:tc>
        <w:tc>
          <w:tcPr>
            <w:vAlign w:val="center"/>
          </w:tcPr>
          <w:p>
            <w:pPr>
              <w:jc w:val="center"/>
            </w:pPr>
            <w:r>
              <w:rPr>
                <w:color w:val="000000"/>
                <w:sz w:val="24"/>
              </w:rPr>
              <w:t>0.09%</w:t>
            </w:r>
          </w:p>
        </w:tc>
        <w:tc>
          <w:tcPr>
            <w:vAlign w:val="center"/>
          </w:tcPr>
          <w:p>
            <w:pPr>
              <w:jc w:val="center"/>
            </w:pPr>
            <w:r>
              <w:rPr>
                <w:color w:val="000000"/>
                <w:sz w:val="24"/>
              </w:rPr>
              <w:t>0.08%</w:t>
            </w:r>
          </w:p>
        </w:tc>
        <w:tc>
          <w:tcPr>
            <w:vAlign w:val="center"/>
          </w:tcPr>
          <w:p>
            <w:pPr>
              <w:jc w:val="center"/>
            </w:pPr>
            <w:r>
              <w:rPr>
                <w:color w:val="000000"/>
                <w:sz w:val="24"/>
              </w:rPr>
              <w:t>0.03%</w:t>
            </w:r>
          </w:p>
        </w:tc>
      </w:tr>
      <w:tr>
        <w:tc>
          <w:tcPr>
            <w:vAlign w:val="center"/>
          </w:tcPr>
          <w:p>
            <w:pPr>
              <w:jc w:val="left"/>
            </w:pPr>
            <w:r>
              <w:rPr>
                <w:color w:val="000000"/>
                <w:sz w:val="24"/>
              </w:rPr>
              <w:t>过去六个月</w:t>
            </w:r>
          </w:p>
        </w:tc>
        <w:tc>
          <w:tcPr>
            <w:vAlign w:val="center"/>
          </w:tcPr>
          <w:p>
            <w:pPr>
              <w:jc w:val="center"/>
            </w:pPr>
            <w:r>
              <w:rPr>
                <w:color w:val="000000"/>
                <w:sz w:val="24"/>
              </w:rPr>
              <w:t>1.75%</w:t>
            </w:r>
          </w:p>
        </w:tc>
        <w:tc>
          <w:tcPr>
            <w:vAlign w:val="center"/>
          </w:tcPr>
          <w:p>
            <w:pPr>
              <w:jc w:val="center"/>
            </w:pPr>
            <w:r>
              <w:rPr>
                <w:color w:val="000000"/>
                <w:sz w:val="24"/>
              </w:rPr>
              <w:t>0.09%</w:t>
            </w:r>
          </w:p>
        </w:tc>
        <w:tc>
          <w:tcPr>
            <w:vAlign w:val="center"/>
          </w:tcPr>
          <w:p>
            <w:pPr>
              <w:jc w:val="center"/>
            </w:pPr>
            <w:r>
              <w:rPr>
                <w:color w:val="000000"/>
                <w:sz w:val="24"/>
              </w:rPr>
              <w:t>1.54%</w:t>
            </w:r>
          </w:p>
        </w:tc>
        <w:tc>
          <w:tcPr>
            <w:vAlign w:val="center"/>
          </w:tcPr>
          <w:p>
            <w:pPr>
              <w:jc w:val="center"/>
            </w:pPr>
            <w:r>
              <w:rPr>
                <w:color w:val="000000"/>
                <w:sz w:val="24"/>
              </w:rPr>
              <w:t>0.08%</w:t>
            </w:r>
          </w:p>
        </w:tc>
        <w:tc>
          <w:tcPr>
            <w:vAlign w:val="center"/>
          </w:tcPr>
          <w:p>
            <w:pPr>
              <w:jc w:val="center"/>
            </w:pPr>
            <w:r>
              <w:rPr>
                <w:color w:val="000000"/>
                <w:sz w:val="24"/>
              </w:rPr>
              <w:t>0.21%</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2.13%</w:t>
            </w:r>
          </w:p>
        </w:tc>
        <w:tc>
          <w:tcPr>
            <w:vAlign w:val="center"/>
          </w:tcPr>
          <w:p>
            <w:pPr>
              <w:jc w:val="center"/>
            </w:pPr>
            <w:r>
              <w:rPr>
                <w:color w:val="000000"/>
                <w:sz w:val="24"/>
              </w:rPr>
              <w:t>0.08%</w:t>
            </w:r>
          </w:p>
        </w:tc>
        <w:tc>
          <w:tcPr>
            <w:vAlign w:val="center"/>
          </w:tcPr>
          <w:p>
            <w:pPr>
              <w:jc w:val="center"/>
            </w:pPr>
            <w:r>
              <w:rPr>
                <w:color w:val="000000"/>
                <w:sz w:val="24"/>
              </w:rPr>
              <w:t>2.10%</w:t>
            </w:r>
          </w:p>
        </w:tc>
        <w:tc>
          <w:tcPr>
            <w:vAlign w:val="center"/>
          </w:tcPr>
          <w:p>
            <w:pPr>
              <w:jc w:val="center"/>
            </w:pPr>
            <w:r>
              <w:rPr>
                <w:color w:val="000000"/>
                <w:sz w:val="24"/>
              </w:rPr>
              <w:t>0.07%</w:t>
            </w:r>
          </w:p>
        </w:tc>
        <w:tc>
          <w:tcPr>
            <w:vAlign w:val="center"/>
          </w:tcPr>
          <w:p>
            <w:pPr>
              <w:jc w:val="center"/>
            </w:pPr>
            <w:r>
              <w:rPr>
                <w:color w:val="000000"/>
                <w:sz w:val="24"/>
              </w:rPr>
              <w:t>0.03%</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易方达中债1-3年政策性金融债指数证券投资基金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（2019年12月3日至2020年6月30日）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易方达中债1-3年政金债指数A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易方达中债1-3年政金债指数C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注：1.本基金合同于2019年12月3日生效，截至报告期末本基金合同生效未满一年。</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3.自基金合同生效至报告期末，A类基金份额净值增长率为2.18%，C类基金份额净值增长率为2.13%，同期业绩比较基准收益率为2.10%。</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2019-12-03</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报告期内本基金主要以抽样复制的方式跟踪指数为主。操作上，基金总体上按照指数的结构和久期进行配置。</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1.0088元，本报告期份额净值增长率为0.09%，同期业绩比较基准收益率为-0.01%；C类基金份额净值为1.0083元，本报告期份额净值增长率为0.07%，同期业绩比较基准收益率为-0.01%。</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2,225,751,000.00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96.32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2,225,751,000.00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96.32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1,991,647.44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83,004,815.52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2,310,747,462.96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2,225,751,000.00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111.68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2,225,751,000.00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111.68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2,225,751,000.00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111.68</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190303</w:t>
            </w:r>
          </w:p>
        </w:tc>
        <w:tc>
          <w:tcPr>
            <w:vAlign w:val="center"/>
          </w:tcPr>
          <w:p>
            <w:pPr>
              <w:jc w:val="center"/>
            </w:pPr>
            <w:r>
              <w:rPr>
                <w:color w:val="000000"/>
                <w:sz w:val="24"/>
              </w:rPr>
              <w:t>19进出03</w:t>
            </w:r>
          </w:p>
        </w:tc>
        <w:tc>
          <w:tcPr>
            <w:vAlign w:val="center"/>
          </w:tcPr>
          <w:p>
            <w:pPr>
              <w:jc w:val="right"/>
            </w:pPr>
            <w:r>
              <w:rPr>
                <w:color w:val="000000"/>
                <w:sz w:val="24"/>
              </w:rPr>
              <w:t>2,400,000</w:t>
            </w:r>
          </w:p>
        </w:tc>
        <w:tc>
          <w:tcPr>
            <w:vAlign w:val="center"/>
          </w:tcPr>
          <w:p>
            <w:pPr>
              <w:jc w:val="right"/>
            </w:pPr>
            <w:r>
              <w:rPr>
                <w:color w:val="000000"/>
                <w:sz w:val="24"/>
              </w:rPr>
              <w:t>241,560,000.00</w:t>
            </w:r>
          </w:p>
        </w:tc>
        <w:tc>
          <w:tcPr>
            <w:vAlign w:val="center"/>
          </w:tcPr>
          <w:p>
            <w:pPr>
              <w:jc w:val="right"/>
            </w:pPr>
            <w:r>
              <w:rPr>
                <w:color w:val="000000"/>
                <w:sz w:val="24"/>
              </w:rPr>
              <w:t>12.12</w:t>
            </w:r>
          </w:p>
        </w:tc>
      </w:tr>
      <w:tr>
        <w:tc>
          <w:tcPr>
            <w:vAlign w:val="center"/>
          </w:tcPr>
          <w:p>
            <w:pPr>
              <w:jc w:val="center"/>
            </w:pPr>
            <w:r>
              <w:rPr>
                <w:color w:val="000000"/>
                <w:sz w:val="24"/>
              </w:rPr>
              <w:t>2</w:t>
            </w:r>
          </w:p>
        </w:tc>
        <w:tc>
          <w:tcPr>
            <w:vAlign w:val="center"/>
          </w:tcPr>
          <w:p>
            <w:pPr>
              <w:jc w:val="center"/>
            </w:pPr>
            <w:r>
              <w:rPr>
                <w:color w:val="000000"/>
                <w:sz w:val="24"/>
              </w:rPr>
              <w:t>180212</w:t>
            </w:r>
          </w:p>
        </w:tc>
        <w:tc>
          <w:tcPr>
            <w:vAlign w:val="center"/>
          </w:tcPr>
          <w:p>
            <w:pPr>
              <w:jc w:val="center"/>
            </w:pPr>
            <w:r>
              <w:rPr>
                <w:color w:val="000000"/>
                <w:sz w:val="24"/>
              </w:rPr>
              <w:t>18国开12</w:t>
            </w:r>
          </w:p>
        </w:tc>
        <w:tc>
          <w:tcPr>
            <w:vAlign w:val="center"/>
          </w:tcPr>
          <w:p>
            <w:pPr>
              <w:jc w:val="right"/>
            </w:pPr>
            <w:r>
              <w:rPr>
                <w:color w:val="000000"/>
                <w:sz w:val="24"/>
              </w:rPr>
              <w:t>2,200,000</w:t>
            </w:r>
          </w:p>
        </w:tc>
        <w:tc>
          <w:tcPr>
            <w:vAlign w:val="center"/>
          </w:tcPr>
          <w:p>
            <w:pPr>
              <w:jc w:val="right"/>
            </w:pPr>
            <w:r>
              <w:rPr>
                <w:color w:val="000000"/>
                <w:sz w:val="24"/>
              </w:rPr>
              <w:t>223,454,000.00</w:t>
            </w:r>
          </w:p>
        </w:tc>
        <w:tc>
          <w:tcPr>
            <w:vAlign w:val="center"/>
          </w:tcPr>
          <w:p>
            <w:pPr>
              <w:jc w:val="right"/>
            </w:pPr>
            <w:r>
              <w:rPr>
                <w:color w:val="000000"/>
                <w:sz w:val="24"/>
              </w:rPr>
              <w:t>11.21</w:t>
            </w:r>
          </w:p>
        </w:tc>
      </w:tr>
      <w:tr>
        <w:tc>
          <w:tcPr>
            <w:vAlign w:val="center"/>
          </w:tcPr>
          <w:p>
            <w:pPr>
              <w:jc w:val="center"/>
            </w:pPr>
            <w:r>
              <w:rPr>
                <w:color w:val="000000"/>
                <w:sz w:val="24"/>
              </w:rPr>
              <w:t>3</w:t>
            </w:r>
          </w:p>
        </w:tc>
        <w:tc>
          <w:tcPr>
            <w:vAlign w:val="center"/>
          </w:tcPr>
          <w:p>
            <w:pPr>
              <w:jc w:val="center"/>
            </w:pPr>
            <w:r>
              <w:rPr>
                <w:color w:val="000000"/>
                <w:sz w:val="24"/>
              </w:rPr>
              <w:t>190309</w:t>
            </w:r>
          </w:p>
        </w:tc>
        <w:tc>
          <w:tcPr>
            <w:vAlign w:val="center"/>
          </w:tcPr>
          <w:p>
            <w:pPr>
              <w:jc w:val="center"/>
            </w:pPr>
            <w:r>
              <w:rPr>
                <w:color w:val="000000"/>
                <w:sz w:val="24"/>
              </w:rPr>
              <w:t>19进出09</w:t>
            </w:r>
          </w:p>
        </w:tc>
        <w:tc>
          <w:tcPr>
            <w:vAlign w:val="center"/>
          </w:tcPr>
          <w:p>
            <w:pPr>
              <w:jc w:val="right"/>
            </w:pPr>
            <w:r>
              <w:rPr>
                <w:color w:val="000000"/>
                <w:sz w:val="24"/>
              </w:rPr>
              <w:t>1,700,000</w:t>
            </w:r>
          </w:p>
        </w:tc>
        <w:tc>
          <w:tcPr>
            <w:vAlign w:val="center"/>
          </w:tcPr>
          <w:p>
            <w:pPr>
              <w:jc w:val="right"/>
            </w:pPr>
            <w:r>
              <w:rPr>
                <w:color w:val="000000"/>
                <w:sz w:val="24"/>
              </w:rPr>
              <w:t>171,088,000.00</w:t>
            </w:r>
          </w:p>
        </w:tc>
        <w:tc>
          <w:tcPr>
            <w:vAlign w:val="center"/>
          </w:tcPr>
          <w:p>
            <w:pPr>
              <w:jc w:val="right"/>
            </w:pPr>
            <w:r>
              <w:rPr>
                <w:color w:val="000000"/>
                <w:sz w:val="24"/>
              </w:rPr>
              <w:t>8.58</w:t>
            </w:r>
          </w:p>
        </w:tc>
      </w:tr>
      <w:tr>
        <w:tc>
          <w:tcPr>
            <w:vAlign w:val="center"/>
          </w:tcPr>
          <w:p>
            <w:pPr>
              <w:jc w:val="center"/>
            </w:pPr>
            <w:r>
              <w:rPr>
                <w:color w:val="000000"/>
                <w:sz w:val="24"/>
              </w:rPr>
              <w:t>4</w:t>
            </w:r>
          </w:p>
        </w:tc>
        <w:tc>
          <w:tcPr>
            <w:vAlign w:val="center"/>
          </w:tcPr>
          <w:p>
            <w:pPr>
              <w:jc w:val="center"/>
            </w:pPr>
            <w:r>
              <w:rPr>
                <w:color w:val="000000"/>
                <w:sz w:val="24"/>
              </w:rPr>
              <w:t>180313</w:t>
            </w:r>
          </w:p>
        </w:tc>
        <w:tc>
          <w:tcPr>
            <w:vAlign w:val="center"/>
          </w:tcPr>
          <w:p>
            <w:pPr>
              <w:jc w:val="center"/>
            </w:pPr>
            <w:r>
              <w:rPr>
                <w:color w:val="000000"/>
                <w:sz w:val="24"/>
              </w:rPr>
              <w:t>18进出13</w:t>
            </w:r>
          </w:p>
        </w:tc>
        <w:tc>
          <w:tcPr>
            <w:vAlign w:val="center"/>
          </w:tcPr>
          <w:p>
            <w:pPr>
              <w:jc w:val="right"/>
            </w:pPr>
            <w:r>
              <w:rPr>
                <w:color w:val="000000"/>
                <w:sz w:val="24"/>
              </w:rPr>
              <w:t>1,500,000</w:t>
            </w:r>
          </w:p>
        </w:tc>
        <w:tc>
          <w:tcPr>
            <w:vAlign w:val="center"/>
          </w:tcPr>
          <w:p>
            <w:pPr>
              <w:jc w:val="right"/>
            </w:pPr>
            <w:r>
              <w:rPr>
                <w:color w:val="000000"/>
                <w:sz w:val="24"/>
              </w:rPr>
              <w:t>152,490,000.00</w:t>
            </w:r>
          </w:p>
        </w:tc>
        <w:tc>
          <w:tcPr>
            <w:vAlign w:val="center"/>
          </w:tcPr>
          <w:p>
            <w:pPr>
              <w:jc w:val="right"/>
            </w:pPr>
            <w:r>
              <w:rPr>
                <w:color w:val="000000"/>
                <w:sz w:val="24"/>
              </w:rPr>
              <w:t>7.65</w:t>
            </w:r>
          </w:p>
        </w:tc>
      </w:tr>
      <w:tr>
        <w:tc>
          <w:tcPr>
            <w:vAlign w:val="center"/>
          </w:tcPr>
          <w:p>
            <w:pPr>
              <w:jc w:val="center"/>
            </w:pPr>
            <w:r>
              <w:rPr>
                <w:color w:val="000000"/>
                <w:sz w:val="24"/>
              </w:rPr>
              <w:t>5</w:t>
            </w:r>
          </w:p>
        </w:tc>
        <w:tc>
          <w:tcPr>
            <w:vAlign w:val="center"/>
          </w:tcPr>
          <w:p>
            <w:pPr>
              <w:jc w:val="center"/>
            </w:pPr>
            <w:r>
              <w:rPr>
                <w:color w:val="000000"/>
                <w:sz w:val="24"/>
              </w:rPr>
              <w:t>190403</w:t>
            </w:r>
          </w:p>
        </w:tc>
        <w:tc>
          <w:tcPr>
            <w:vAlign w:val="center"/>
          </w:tcPr>
          <w:p>
            <w:pPr>
              <w:jc w:val="center"/>
            </w:pPr>
            <w:r>
              <w:rPr>
                <w:color w:val="000000"/>
                <w:sz w:val="24"/>
              </w:rPr>
              <w:t>19农发03</w:t>
            </w:r>
          </w:p>
        </w:tc>
        <w:tc>
          <w:tcPr>
            <w:vAlign w:val="center"/>
          </w:tcPr>
          <w:p>
            <w:pPr>
              <w:jc w:val="right"/>
            </w:pPr>
            <w:r>
              <w:rPr>
                <w:color w:val="000000"/>
                <w:sz w:val="24"/>
              </w:rPr>
              <w:t>1,500,000</w:t>
            </w:r>
          </w:p>
        </w:tc>
        <w:tc>
          <w:tcPr>
            <w:vAlign w:val="center"/>
          </w:tcPr>
          <w:p>
            <w:pPr>
              <w:jc w:val="right"/>
            </w:pPr>
            <w:r>
              <w:rPr>
                <w:color w:val="000000"/>
                <w:sz w:val="24"/>
              </w:rPr>
              <w:t>151,590,000.00</w:t>
            </w:r>
          </w:p>
        </w:tc>
        <w:tc>
          <w:tcPr>
            <w:vAlign w:val="center"/>
          </w:tcPr>
          <w:p>
            <w:pPr>
              <w:jc w:val="right"/>
            </w:pPr>
            <w:r>
              <w:rPr>
                <w:color w:val="000000"/>
                <w:sz w:val="24"/>
              </w:rPr>
              <w:t>7.61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本基金投资19农发03的投资决策程序符合公司投资制度的规定。</w:t>
      </w:r>
    </w:p>
    <w:p>
      <w:pPr>
        <w:widowControl/>
        <w:spacing w:line="360" w:lineRule="auto"/>
        <w:rPr>
          <w:color w:val="000000"/>
          <w:sz w:val="24"/>
        </w:rPr>
      </w:pPr>
      <w:r>
        <w:rPr>
          <w:color w:val="000000"/>
          <w:sz w:val="24"/>
        </w:rPr>
        <w:t>除19农发03外，本基金投资的前十名证券的发行主体本期没有出现被监管部门立案调查，或在报告编制日前一年内受到公开谴责、处罚的情形。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50,783,657.92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32,208,457.60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12,700.00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83,004,815.52</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易方达中债1-3年政金债指数A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易方达中债1-3年政金债指数C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2,708,669,019.18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2,554,242.60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843,530,269.18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1,826,510.54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1,577,558,377.71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3,357,156.44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1,974,640,910.65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1,023,596.70</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2020年06月30日</w:t>
            </w:r>
          </w:p>
        </w:tc>
        <w:tc>
          <w:tcPr>
            <w:vAlign w:val="center"/>
          </w:tcPr>
          <w:p>
            <w:pPr>
              <w:jc w:val="center"/>
            </w:pPr>
            <w:r>
              <w:rPr>
                <w:sz w:val="24"/>
              </w:rPr>
              <w:t>-</w:t>
            </w:r>
          </w:p>
        </w:tc>
        <w:tc>
          <w:tcPr>
            <w:vAlign w:val="center"/>
          </w:tcPr>
          <w:p>
            <w:pPr>
              <w:jc w:val="center"/>
            </w:pPr>
            <w:r>
              <w:rPr>
                <w:sz w:val="24"/>
              </w:rPr>
              <w:t>496,375,459.15</w:t>
            </w:r>
          </w:p>
        </w:tc>
        <w:tc>
          <w:tcPr>
            <w:vAlign w:val="center"/>
          </w:tcPr>
          <w:p>
            <w:pPr>
              <w:jc w:val="center"/>
            </w:pPr>
            <w:r>
              <w:rPr>
                <w:sz w:val="24"/>
              </w:rPr>
              <w:t>-</w:t>
            </w:r>
          </w:p>
        </w:tc>
        <w:tc>
          <w:tcPr>
            <w:vAlign w:val="center"/>
          </w:tcPr>
          <w:p>
            <w:pPr>
              <w:jc w:val="center"/>
            </w:pPr>
            <w:r>
              <w:rPr>
                <w:sz w:val="24"/>
              </w:rPr>
              <w:t>496,375,459.15</w:t>
            </w:r>
          </w:p>
        </w:tc>
        <w:tc>
          <w:tcPr>
            <w:vAlign w:val="center"/>
          </w:tcPr>
          <w:p>
            <w:pPr>
              <w:jc w:val="center"/>
            </w:pPr>
            <w:r>
              <w:rPr>
                <w:sz w:val="24"/>
              </w:rPr>
              <w:t>25.12%</w:t>
            </w:r>
          </w:p>
        </w:tc>
      </w:tr>
      <w:tr>
        <w:tc>
          <w:tcPr>
            <w:vMerge/>
          </w:tcPr>
          <w:p/>
        </w:tc>
        <w:tc>
          <w:tcPr>
            <w:vAlign w:val="center"/>
          </w:tcPr>
          <w:p>
            <w:pPr>
              <w:jc w:val="center"/>
            </w:pPr>
            <w:r>
              <w:rPr>
                <w:sz w:val="24"/>
              </w:rPr>
              <w:t>2</w:t>
            </w:r>
          </w:p>
        </w:tc>
        <w:tc>
          <w:tcPr>
            <w:vAlign w:val="center"/>
          </w:tcPr>
          <w:p>
            <w:pPr>
              <w:jc w:val="center"/>
            </w:pPr>
            <w:r>
              <w:rPr>
                <w:sz w:val="24"/>
              </w:rPr>
              <w:t>2020年06月03日~2020年06月21日,2020年06月30日</w:t>
            </w:r>
          </w:p>
        </w:tc>
        <w:tc>
          <w:tcPr>
            <w:vAlign w:val="center"/>
          </w:tcPr>
          <w:p>
            <w:pPr>
              <w:jc w:val="center"/>
            </w:pPr>
            <w:r>
              <w:rPr>
                <w:sz w:val="24"/>
              </w:rPr>
              <w:t>399,999,000.00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399,999,000.00</w:t>
            </w:r>
          </w:p>
        </w:tc>
        <w:tc>
          <w:tcPr>
            <w:vAlign w:val="center"/>
          </w:tcPr>
          <w:p>
            <w:pPr>
              <w:jc w:val="center"/>
            </w:pPr>
            <w:r>
              <w:rPr>
                <w:sz w:val="24"/>
              </w:rPr>
              <w:t>20.25%</w:t>
            </w:r>
          </w:p>
        </w:tc>
      </w:tr>
      <w:tr>
        <w:tc>
          <w:tcPr>
            <w:vMerge/>
          </w:tcPr>
          <w:p/>
        </w:tc>
        <w:tc>
          <w:tcPr>
            <w:vAlign w:val="center"/>
          </w:tcPr>
          <w:p>
            <w:pPr>
              <w:jc w:val="center"/>
            </w:pPr>
            <w:r>
              <w:rPr>
                <w:sz w:val="24"/>
              </w:rPr>
              <w:t>3</w:t>
            </w:r>
          </w:p>
        </w:tc>
        <w:tc>
          <w:tcPr>
            <w:vAlign w:val="center"/>
          </w:tcPr>
          <w:p>
            <w:pPr>
              <w:jc w:val="center"/>
            </w:pPr>
            <w:r>
              <w:rPr>
                <w:sz w:val="24"/>
              </w:rPr>
              <w:t>2020年05月27日~2020年06月28日</w:t>
            </w:r>
          </w:p>
        </w:tc>
        <w:tc>
          <w:tcPr>
            <w:vAlign w:val="center"/>
          </w:tcPr>
          <w:p>
            <w:pPr>
              <w:jc w:val="center"/>
            </w:pPr>
            <w:r>
              <w:rPr>
                <w:sz w:val="24"/>
              </w:rPr>
              <w:t>498,832,549.16</w:t>
            </w:r>
          </w:p>
        </w:tc>
        <w:tc>
          <w:tcPr>
            <w:vAlign w:val="center"/>
          </w:tcPr>
          <w:p>
            <w:pPr>
              <w:jc w:val="center"/>
            </w:pPr>
            <w:r>
              <w:rPr>
                <w:sz w:val="24"/>
              </w:rPr>
              <w:t>-</w:t>
            </w:r>
          </w:p>
        </w:tc>
        <w:tc>
          <w:tcPr>
            <w:vAlign w:val="center"/>
          </w:tcPr>
          <w:p>
            <w:pPr>
              <w:jc w:val="center"/>
            </w:pPr>
            <w:r>
              <w:rPr>
                <w:sz w:val="24"/>
              </w:rPr>
              <w:t>199,999,000.00</w:t>
            </w:r>
          </w:p>
        </w:tc>
        <w:tc>
          <w:tcPr>
            <w:vAlign w:val="center"/>
          </w:tcPr>
          <w:p>
            <w:pPr>
              <w:jc w:val="center"/>
            </w:pPr>
            <w:r>
              <w:rPr>
                <w:sz w:val="24"/>
              </w:rPr>
              <w:t>298,833,549.16</w:t>
            </w:r>
          </w:p>
        </w:tc>
        <w:tc>
          <w:tcPr>
            <w:vAlign w:val="center"/>
          </w:tcPr>
          <w:p>
            <w:pPr>
              <w:jc w:val="center"/>
            </w:pPr>
            <w:r>
              <w:rPr>
                <w:sz w:val="24"/>
              </w:rPr>
              <w:t>15.13%</w:t>
            </w:r>
          </w:p>
        </w:tc>
      </w:tr>
      <w:tr>
        <w:tc>
          <w:tcPr>
            <w:vMerge/>
          </w:tcPr>
          <w:p/>
        </w:tc>
        <w:tc>
          <w:tcPr>
            <w:vAlign w:val="center"/>
          </w:tcPr>
          <w:p>
            <w:pPr>
              <w:jc w:val="center"/>
            </w:pPr>
            <w:r>
              <w:rPr>
                <w:sz w:val="24"/>
              </w:rPr>
              <w:t>4</w:t>
            </w:r>
          </w:p>
        </w:tc>
        <w:tc>
          <w:tcPr>
            <w:vAlign w:val="center"/>
          </w:tcPr>
          <w:p>
            <w:pPr>
              <w:jc w:val="center"/>
            </w:pPr>
            <w:r>
              <w:rPr>
                <w:sz w:val="24"/>
              </w:rPr>
              <w:t>2020年05月27日</w:t>
            </w:r>
          </w:p>
        </w:tc>
        <w:tc>
          <w:tcPr>
            <w:vAlign w:val="center"/>
          </w:tcPr>
          <w:p>
            <w:pPr>
              <w:jc w:val="center"/>
            </w:pPr>
            <w:r>
              <w:rPr>
                <w:sz w:val="24"/>
              </w:rPr>
              <w:t>499,999,000.00</w:t>
            </w:r>
          </w:p>
        </w:tc>
        <w:tc>
          <w:tcPr>
            <w:vAlign w:val="center"/>
          </w:tcPr>
          <w:p>
            <w:pPr>
              <w:jc w:val="center"/>
            </w:pPr>
            <w:r>
              <w:rPr>
                <w:sz w:val="24"/>
              </w:rPr>
              <w:t>198,549,588.01</w:t>
            </w:r>
          </w:p>
        </w:tc>
        <w:tc>
          <w:tcPr>
            <w:vAlign w:val="center"/>
          </w:tcPr>
          <w:p>
            <w:pPr>
              <w:jc w:val="center"/>
            </w:pPr>
            <w:r>
              <w:rPr>
                <w:sz w:val="24"/>
              </w:rPr>
              <w:t>499,999,000.00</w:t>
            </w:r>
          </w:p>
        </w:tc>
        <w:tc>
          <w:tcPr>
            <w:vAlign w:val="center"/>
          </w:tcPr>
          <w:p>
            <w:pPr>
              <w:jc w:val="center"/>
            </w:pPr>
            <w:r>
              <w:rPr>
                <w:sz w:val="24"/>
              </w:rPr>
              <w:t>198,549,588.01</w:t>
            </w:r>
          </w:p>
        </w:tc>
        <w:tc>
          <w:tcPr>
            <w:vAlign w:val="center"/>
          </w:tcPr>
          <w:p>
            <w:pPr>
              <w:jc w:val="center"/>
            </w:pPr>
            <w:r>
              <w:rPr>
                <w:sz w:val="24"/>
              </w:rPr>
              <w:t>10.05%</w:t>
            </w:r>
          </w:p>
        </w:tc>
      </w:tr>
      <w:tr>
        <w:tc>
          <w:tcPr>
            <w:vMerge/>
          </w:tcPr>
          <w:p/>
        </w:tc>
        <w:tc>
          <w:tcPr>
            <w:vAlign w:val="center"/>
          </w:tcPr>
          <w:p>
            <w:pPr>
              <w:jc w:val="center"/>
            </w:pPr>
            <w:r>
              <w:rPr>
                <w:sz w:val="24"/>
              </w:rPr>
              <w:t>5</w:t>
            </w:r>
          </w:p>
        </w:tc>
        <w:tc>
          <w:tcPr>
            <w:vAlign w:val="center"/>
          </w:tcPr>
          <w:p>
            <w:pPr>
              <w:jc w:val="center"/>
            </w:pPr>
            <w:r>
              <w:rPr>
                <w:sz w:val="24"/>
              </w:rPr>
              <w:t>2020年05月27日~2020年06月28日</w:t>
            </w:r>
          </w:p>
        </w:tc>
        <w:tc>
          <w:tcPr>
            <w:vAlign w:val="center"/>
          </w:tcPr>
          <w:p>
            <w:pPr>
              <w:jc w:val="center"/>
            </w:pPr>
            <w:r>
              <w:rPr>
                <w:sz w:val="24"/>
              </w:rPr>
              <w:t>495,244,546.70</w:t>
            </w:r>
          </w:p>
        </w:tc>
        <w:tc>
          <w:tcPr>
            <w:vAlign w:val="center"/>
          </w:tcPr>
          <w:p>
            <w:pPr>
              <w:jc w:val="center"/>
            </w:pPr>
            <w:r>
              <w:rPr>
                <w:sz w:val="24"/>
              </w:rPr>
              <w:t>-</w:t>
            </w:r>
          </w:p>
        </w:tc>
        <w:tc>
          <w:tcPr>
            <w:vAlign w:val="center"/>
          </w:tcPr>
          <w:p>
            <w:pPr>
              <w:jc w:val="center"/>
            </w:pPr>
            <w:r>
              <w:rPr>
                <w:sz w:val="24"/>
              </w:rPr>
              <w:t>495,244,546.70</w:t>
            </w:r>
          </w:p>
        </w:tc>
        <w:tc>
          <w:tcPr>
            <w:vAlign w:val="center"/>
          </w:tcPr>
          <w:p>
            <w:pPr>
              <w:jc w:val="center"/>
            </w:pPr>
            <w:r>
              <w:rPr>
                <w:sz w:val="24"/>
              </w:rPr>
              <w:t>-</w:t>
            </w:r>
          </w:p>
        </w:tc>
        <w:tc>
          <w:tcPr>
            <w:vAlign w:val="center"/>
          </w:tcPr>
          <w:p>
            <w:pPr>
              <w:jc w:val="center"/>
            </w:pPr>
            <w:r>
              <w:rPr>
                <w:sz w:val="24"/>
              </w:rPr>
              <w:t>-</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本基金将根据基金合同的约定进行基金财产清算并终止而无需召开基金份额持有人大会；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1.中国证监会准予易方达中债1-3年政策性金融债指数证券投资基金注册的文件；</w:t>
      </w:r>
    </w:p>
    <w:p>
      <w:pPr>
        <w:spacing w:line="360" w:lineRule="auto"/>
        <w:ind w:firstLine="480" w:firstLineChars="200"/>
        <w:rPr>
          <w:color w:val="000000"/>
          <w:sz w:val="24"/>
        </w:rPr>
      </w:pPr>
      <w:r>
        <w:rPr>
          <w:color w:val="000000"/>
          <w:sz w:val="24"/>
        </w:rPr>
        <w:t>2.《易方达中债1-3年政策性金融债指数证券投资基金基金合同》；</w:t>
      </w:r>
    </w:p>
    <w:p>
      <w:pPr>
        <w:spacing w:line="360" w:lineRule="auto"/>
        <w:ind w:firstLine="480" w:firstLineChars="200"/>
        <w:rPr>
          <w:color w:val="000000"/>
          <w:sz w:val="24"/>
        </w:rPr>
      </w:pPr>
      <w:r>
        <w:rPr>
          <w:color w:val="000000"/>
          <w:sz w:val="24"/>
        </w:rPr>
        <w:t>3.《易方达中债1-3年政策性金融债指数证券投资基金托管协议》；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易方达中债1-3年政策性金融债指数证券投资基金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