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F22F00" w:rsidRPr="008277FF" w:rsidRDefault="00F22F00" w:rsidP="00F22F00">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F22F00" w:rsidRPr="008277FF" w:rsidRDefault="00F22F00" w:rsidP="00506D57">
      <w:pPr>
        <w:spacing w:line="360" w:lineRule="auto"/>
        <w:jc w:val="center"/>
        <w:rPr>
          <w:rFonts w:asciiTheme="minorEastAsia" w:eastAsiaTheme="minorEastAsia" w:hAnsiTheme="minorEastAsia"/>
          <w:b/>
          <w:color w:val="000000" w:themeColor="text1"/>
          <w:sz w:val="36"/>
          <w:szCs w:val="36"/>
        </w:rPr>
      </w:pPr>
      <w:r w:rsidRPr="008277FF">
        <w:rPr>
          <w:rFonts w:asciiTheme="minorEastAsia" w:eastAsiaTheme="minorEastAsia" w:hAnsiTheme="minorEastAsia" w:hint="eastAsia"/>
          <w:b/>
          <w:color w:val="000000" w:themeColor="text1"/>
          <w:sz w:val="36"/>
          <w:szCs w:val="36"/>
        </w:rPr>
        <w:t>易方达中短期美元债债券型证券投资基金（QDII）</w:t>
      </w:r>
    </w:p>
    <w:p w:rsidR="00F22F00" w:rsidRPr="008277FF" w:rsidRDefault="00F22F00" w:rsidP="00506D57">
      <w:pPr>
        <w:spacing w:line="360" w:lineRule="auto"/>
        <w:jc w:val="center"/>
        <w:rPr>
          <w:rFonts w:asciiTheme="minorEastAsia" w:eastAsiaTheme="minorEastAsia" w:hAnsiTheme="minorEastAsia"/>
          <w:b/>
          <w:color w:val="000000" w:themeColor="text1"/>
          <w:sz w:val="36"/>
          <w:szCs w:val="36"/>
        </w:rPr>
      </w:pPr>
      <w:r w:rsidRPr="008277FF">
        <w:rPr>
          <w:rFonts w:asciiTheme="minorEastAsia" w:eastAsiaTheme="minorEastAsia" w:hAnsiTheme="minorEastAsia" w:hint="eastAsia"/>
          <w:b/>
          <w:color w:val="000000" w:themeColor="text1"/>
          <w:sz w:val="36"/>
          <w:szCs w:val="36"/>
        </w:rPr>
        <w:t>2020年第2季度报告</w:t>
      </w:r>
    </w:p>
    <w:p w:rsidR="00397616" w:rsidRPr="008277FF" w:rsidRDefault="00623556" w:rsidP="00506D57">
      <w:pPr>
        <w:spacing w:line="360" w:lineRule="auto"/>
        <w:jc w:val="center"/>
        <w:rPr>
          <w:rFonts w:asciiTheme="minorEastAsia" w:eastAsiaTheme="minorEastAsia" w:hAnsiTheme="minorEastAsia"/>
          <w:b/>
          <w:color w:val="000000" w:themeColor="text1"/>
          <w:sz w:val="24"/>
        </w:rPr>
      </w:pPr>
      <w:r w:rsidRPr="008277FF">
        <w:rPr>
          <w:rFonts w:asciiTheme="minorEastAsia" w:eastAsiaTheme="minorEastAsia" w:hAnsiTheme="minorEastAsia"/>
          <w:b/>
          <w:color w:val="000000" w:themeColor="text1"/>
          <w:sz w:val="24"/>
        </w:rPr>
        <w:t>2020年6月30日</w:t>
      </w: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826B12">
      <w:pPr>
        <w:spacing w:line="288" w:lineRule="auto"/>
        <w:ind w:firstLineChars="900" w:firstLine="2168"/>
        <w:rPr>
          <w:rFonts w:asciiTheme="minorEastAsia" w:eastAsiaTheme="minorEastAsia" w:hAnsiTheme="minorEastAsia"/>
          <w:b/>
          <w:color w:val="000000" w:themeColor="text1"/>
          <w:sz w:val="24"/>
        </w:rPr>
      </w:pP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pPr>
      <w:r w:rsidRPr="008277FF">
        <w:rPr>
          <w:rFonts w:asciiTheme="minorEastAsia" w:eastAsiaTheme="minorEastAsia" w:hAnsiTheme="minorEastAsia" w:hint="eastAsia"/>
          <w:b/>
          <w:color w:val="000000" w:themeColor="text1"/>
          <w:sz w:val="24"/>
        </w:rPr>
        <w:t>基金管理人：</w:t>
      </w:r>
      <w:r w:rsidRPr="008277FF">
        <w:rPr>
          <w:rFonts w:asciiTheme="minorEastAsia" w:eastAsiaTheme="minorEastAsia" w:hAnsiTheme="minorEastAsia"/>
          <w:b/>
          <w:color w:val="000000" w:themeColor="text1"/>
          <w:sz w:val="24"/>
        </w:rPr>
        <w:t>易方达基金管理有限公司</w:t>
      </w: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pPr>
      <w:r w:rsidRPr="008277FF">
        <w:rPr>
          <w:rFonts w:asciiTheme="minorEastAsia" w:eastAsiaTheme="minorEastAsia" w:hAnsiTheme="minorEastAsia" w:hint="eastAsia"/>
          <w:b/>
          <w:color w:val="000000" w:themeColor="text1"/>
          <w:sz w:val="24"/>
        </w:rPr>
        <w:t>基金托管人：</w:t>
      </w:r>
      <w:r w:rsidRPr="008277FF">
        <w:rPr>
          <w:rFonts w:asciiTheme="minorEastAsia" w:eastAsiaTheme="minorEastAsia" w:hAnsiTheme="minorEastAsia"/>
          <w:b/>
          <w:color w:val="000000" w:themeColor="text1"/>
          <w:sz w:val="24"/>
        </w:rPr>
        <w:t>招商银行股份有限公司</w:t>
      </w: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sectPr w:rsidR="007D1292" w:rsidRPr="008277FF" w:rsidSect="00B918B8">
          <w:headerReference w:type="default" r:id="rId7"/>
          <w:footerReference w:type="default" r:id="rId8"/>
          <w:pgSz w:w="11926" w:h="15840"/>
          <w:pgMar w:top="1418" w:right="1418" w:bottom="851" w:left="1418" w:header="851" w:footer="992" w:gutter="0"/>
          <w:cols w:space="720"/>
          <w:noEndnote/>
        </w:sectPr>
      </w:pPr>
      <w:r w:rsidRPr="008277FF">
        <w:rPr>
          <w:rFonts w:asciiTheme="minorEastAsia" w:eastAsiaTheme="minorEastAsia" w:hAnsiTheme="minorEastAsia" w:hint="eastAsia"/>
          <w:b/>
          <w:color w:val="000000" w:themeColor="text1"/>
          <w:sz w:val="24"/>
        </w:rPr>
        <w:t>报告送出日期：</w:t>
      </w:r>
      <w:r w:rsidR="00CB44DE" w:rsidRPr="008277FF">
        <w:rPr>
          <w:rFonts w:asciiTheme="minorEastAsia" w:eastAsiaTheme="minorEastAsia" w:hAnsiTheme="minorEastAsia"/>
          <w:b/>
          <w:color w:val="000000" w:themeColor="text1"/>
          <w:sz w:val="24"/>
        </w:rPr>
        <w:t>二〇二〇年七月二十一日</w:t>
      </w:r>
    </w:p>
    <w:p w:rsidR="0076518F" w:rsidRPr="00A67563" w:rsidRDefault="0076518F" w:rsidP="00775284">
      <w:pPr>
        <w:pStyle w:val="1"/>
        <w:spacing w:beforeLines="100" w:before="312" w:afterLines="100" w:after="312" w:line="360" w:lineRule="auto"/>
        <w:jc w:val="center"/>
        <w:rPr>
          <w:b w:val="0"/>
          <w:color w:val="000000" w:themeColor="text1"/>
          <w:kern w:val="0"/>
          <w:sz w:val="24"/>
          <w:szCs w:val="24"/>
        </w:rPr>
      </w:pPr>
      <w:r w:rsidRPr="00A67563">
        <w:rPr>
          <w:color w:val="000000" w:themeColor="text1"/>
          <w:kern w:val="0"/>
          <w:sz w:val="24"/>
          <w:szCs w:val="24"/>
        </w:rPr>
        <w:lastRenderedPageBreak/>
        <w:t xml:space="preserve">§1  </w:t>
      </w:r>
      <w:r w:rsidRPr="00A67563">
        <w:rPr>
          <w:color w:val="000000" w:themeColor="text1"/>
          <w:kern w:val="0"/>
          <w:sz w:val="24"/>
          <w:szCs w:val="24"/>
        </w:rPr>
        <w:t>重要提示</w:t>
      </w:r>
    </w:p>
    <w:p w:rsidR="009960A0" w:rsidRDefault="00C41D5F">
      <w:pPr>
        <w:spacing w:line="360" w:lineRule="auto"/>
        <w:ind w:firstLineChars="200" w:firstLine="480"/>
        <w:rPr>
          <w:color w:val="000000" w:themeColor="text1"/>
          <w:sz w:val="24"/>
        </w:rPr>
      </w:pPr>
      <w:r>
        <w:rPr>
          <w:color w:val="000000" w:themeColor="text1"/>
          <w:sz w:val="24"/>
        </w:rPr>
        <w:t>基金管理人的董事会及董事保证本报告所载资料不存在虚假记载、误导性陈述或重大遗漏，并对其内容的真实性、准确性和完整性承担个别及连带责任。</w:t>
      </w:r>
      <w:r>
        <w:rPr>
          <w:color w:val="000000" w:themeColor="text1"/>
          <w:sz w:val="24"/>
        </w:rPr>
        <w:t xml:space="preserve"> </w:t>
      </w:r>
    </w:p>
    <w:p w:rsidR="009960A0" w:rsidRDefault="00C41D5F">
      <w:pPr>
        <w:spacing w:line="360" w:lineRule="auto"/>
        <w:ind w:firstLineChars="200" w:firstLine="480"/>
        <w:rPr>
          <w:color w:val="000000" w:themeColor="text1"/>
          <w:sz w:val="24"/>
        </w:rPr>
      </w:pPr>
      <w:r>
        <w:rPr>
          <w:color w:val="000000" w:themeColor="text1"/>
          <w:sz w:val="24"/>
        </w:rPr>
        <w:t>基金托管人招商银行股份有限公司根据本基金合同规定，于</w:t>
      </w:r>
      <w:r>
        <w:rPr>
          <w:color w:val="000000" w:themeColor="text1"/>
          <w:sz w:val="24"/>
        </w:rPr>
        <w:t>2020</w:t>
      </w:r>
      <w:r>
        <w:rPr>
          <w:color w:val="000000" w:themeColor="text1"/>
          <w:sz w:val="24"/>
        </w:rPr>
        <w:t>年</w:t>
      </w:r>
      <w:r>
        <w:rPr>
          <w:color w:val="000000" w:themeColor="text1"/>
          <w:sz w:val="24"/>
        </w:rPr>
        <w:t>7</w:t>
      </w:r>
      <w:r>
        <w:rPr>
          <w:color w:val="000000" w:themeColor="text1"/>
          <w:sz w:val="24"/>
        </w:rPr>
        <w:t>月</w:t>
      </w:r>
      <w:r>
        <w:rPr>
          <w:color w:val="000000" w:themeColor="text1"/>
          <w:sz w:val="24"/>
        </w:rPr>
        <w:t>17</w:t>
      </w:r>
      <w:r>
        <w:rPr>
          <w:color w:val="000000" w:themeColor="text1"/>
          <w:sz w:val="24"/>
        </w:rPr>
        <w:t>日复核了本报告中的财务指标、净值表现和投资组合报告等内容，保证复核内容不存在虚假记载、误导性陈述或者重大遗漏。</w:t>
      </w:r>
      <w:r>
        <w:rPr>
          <w:color w:val="000000" w:themeColor="text1"/>
          <w:sz w:val="24"/>
        </w:rPr>
        <w:t xml:space="preserve"> </w:t>
      </w:r>
    </w:p>
    <w:p w:rsidR="009960A0" w:rsidRDefault="00C41D5F">
      <w:pPr>
        <w:spacing w:line="360" w:lineRule="auto"/>
        <w:ind w:firstLineChars="200" w:firstLine="480"/>
        <w:rPr>
          <w:color w:val="000000" w:themeColor="text1"/>
          <w:sz w:val="24"/>
        </w:rPr>
      </w:pPr>
      <w:r>
        <w:rPr>
          <w:color w:val="000000" w:themeColor="text1"/>
          <w:sz w:val="24"/>
        </w:rPr>
        <w:t>基金管理人承诺以诚实信用、勤勉尽责的原则管理和运用基金资产，但不保证基金一定盈利。</w:t>
      </w:r>
      <w:r>
        <w:rPr>
          <w:color w:val="000000" w:themeColor="text1"/>
          <w:sz w:val="24"/>
        </w:rPr>
        <w:t xml:space="preserve"> </w:t>
      </w:r>
    </w:p>
    <w:p w:rsidR="009960A0" w:rsidRDefault="00C41D5F">
      <w:pPr>
        <w:spacing w:line="360" w:lineRule="auto"/>
        <w:ind w:firstLineChars="200" w:firstLine="480"/>
        <w:rPr>
          <w:color w:val="000000" w:themeColor="text1"/>
          <w:sz w:val="24"/>
        </w:rPr>
      </w:pPr>
      <w:r>
        <w:rPr>
          <w:color w:val="000000" w:themeColor="text1"/>
          <w:sz w:val="24"/>
        </w:rPr>
        <w:t>基金的过往业绩并不代表其未来表现。投资有风险，投资者在作出投资决策前应仔细阅读本基金的招募说明书。</w:t>
      </w:r>
      <w:r>
        <w:rPr>
          <w:color w:val="000000" w:themeColor="text1"/>
          <w:sz w:val="24"/>
        </w:rPr>
        <w:t xml:space="preserve"> </w:t>
      </w:r>
    </w:p>
    <w:p w:rsidR="009960A0" w:rsidRDefault="00C41D5F">
      <w:pPr>
        <w:spacing w:line="360" w:lineRule="auto"/>
        <w:ind w:firstLineChars="200" w:firstLine="480"/>
        <w:rPr>
          <w:color w:val="000000" w:themeColor="text1"/>
          <w:sz w:val="24"/>
        </w:rPr>
      </w:pPr>
      <w:r>
        <w:rPr>
          <w:color w:val="000000" w:themeColor="text1"/>
          <w:sz w:val="24"/>
        </w:rPr>
        <w:t>本报告中财务资料未经审计。</w:t>
      </w:r>
    </w:p>
    <w:p w:rsidR="007D1292" w:rsidRPr="00A67563" w:rsidRDefault="007D1292" w:rsidP="006669C9">
      <w:pPr>
        <w:spacing w:line="360" w:lineRule="auto"/>
        <w:ind w:firstLineChars="200" w:firstLine="480"/>
        <w:rPr>
          <w:color w:val="000000" w:themeColor="text1"/>
          <w:sz w:val="24"/>
        </w:rPr>
      </w:pPr>
      <w:r w:rsidRPr="00A67563">
        <w:rPr>
          <w:color w:val="000000" w:themeColor="text1"/>
          <w:sz w:val="24"/>
        </w:rPr>
        <w:t>本报告期自</w:t>
      </w:r>
      <w:r w:rsidRPr="00A67563">
        <w:rPr>
          <w:color w:val="000000" w:themeColor="text1"/>
          <w:sz w:val="24"/>
        </w:rPr>
        <w:t>2020</w:t>
      </w:r>
      <w:r w:rsidRPr="00A67563">
        <w:rPr>
          <w:color w:val="000000" w:themeColor="text1"/>
          <w:sz w:val="24"/>
        </w:rPr>
        <w:t>年</w:t>
      </w:r>
      <w:r w:rsidRPr="00A67563">
        <w:rPr>
          <w:color w:val="000000" w:themeColor="text1"/>
          <w:sz w:val="24"/>
        </w:rPr>
        <w:t>4</w:t>
      </w:r>
      <w:r w:rsidRPr="00A67563">
        <w:rPr>
          <w:color w:val="000000" w:themeColor="text1"/>
          <w:sz w:val="24"/>
        </w:rPr>
        <w:t>月</w:t>
      </w:r>
      <w:r w:rsidRPr="00A67563">
        <w:rPr>
          <w:color w:val="000000" w:themeColor="text1"/>
          <w:sz w:val="24"/>
        </w:rPr>
        <w:t>1</w:t>
      </w:r>
      <w:r w:rsidRPr="00A67563">
        <w:rPr>
          <w:color w:val="000000" w:themeColor="text1"/>
          <w:sz w:val="24"/>
        </w:rPr>
        <w:t>日起至</w:t>
      </w:r>
      <w:r w:rsidRPr="00A67563">
        <w:rPr>
          <w:color w:val="000000" w:themeColor="text1"/>
          <w:sz w:val="24"/>
        </w:rPr>
        <w:t>6</w:t>
      </w:r>
      <w:r w:rsidRPr="00A67563">
        <w:rPr>
          <w:color w:val="000000" w:themeColor="text1"/>
          <w:sz w:val="24"/>
        </w:rPr>
        <w:t>月</w:t>
      </w:r>
      <w:r w:rsidRPr="00A67563">
        <w:rPr>
          <w:color w:val="000000" w:themeColor="text1"/>
          <w:sz w:val="24"/>
        </w:rPr>
        <w:t>30</w:t>
      </w:r>
      <w:r w:rsidRPr="00A67563">
        <w:rPr>
          <w:color w:val="000000" w:themeColor="text1"/>
          <w:sz w:val="24"/>
        </w:rPr>
        <w:t>日止。</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§2  </w:t>
      </w:r>
      <w:r w:rsidRPr="00A67563">
        <w:rPr>
          <w:color w:val="000000" w:themeColor="text1"/>
          <w:kern w:val="0"/>
          <w:sz w:val="24"/>
          <w:szCs w:val="24"/>
        </w:rPr>
        <w:t>基金产品概况</w:t>
      </w:r>
    </w:p>
    <w:tbl>
      <w:tblPr>
        <w:tblW w:w="8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0"/>
        <w:gridCol w:w="2780"/>
        <w:gridCol w:w="2663"/>
      </w:tblGrid>
      <w:tr w:rsidR="008277FF" w:rsidRPr="00A67563" w:rsidTr="003376D5">
        <w:tc>
          <w:tcPr>
            <w:tcW w:w="2980" w:type="dxa"/>
            <w:vAlign w:val="center"/>
          </w:tcPr>
          <w:p w:rsidR="00363E15" w:rsidRPr="00A67563" w:rsidRDefault="00363E15" w:rsidP="003376D5">
            <w:pPr>
              <w:adjustRightInd w:val="0"/>
              <w:spacing w:before="29" w:line="360" w:lineRule="auto"/>
              <w:ind w:left="17"/>
              <w:rPr>
                <w:color w:val="000000" w:themeColor="text1"/>
                <w:kern w:val="0"/>
                <w:sz w:val="24"/>
              </w:rPr>
            </w:pPr>
            <w:r w:rsidRPr="00A67563">
              <w:rPr>
                <w:color w:val="000000" w:themeColor="text1"/>
                <w:kern w:val="0"/>
                <w:sz w:val="24"/>
              </w:rPr>
              <w:t>基金简称</w:t>
            </w:r>
          </w:p>
        </w:tc>
        <w:tc>
          <w:tcPr>
            <w:tcW w:w="5443" w:type="dxa"/>
            <w:gridSpan w:val="2"/>
            <w:vAlign w:val="center"/>
          </w:tcPr>
          <w:p w:rsidR="00363E15" w:rsidRPr="00A67563" w:rsidRDefault="00363E15" w:rsidP="003376D5">
            <w:pPr>
              <w:adjustRightInd w:val="0"/>
              <w:spacing w:before="29" w:line="360" w:lineRule="auto"/>
              <w:ind w:left="17"/>
              <w:rPr>
                <w:color w:val="000000" w:themeColor="text1"/>
                <w:kern w:val="0"/>
                <w:sz w:val="24"/>
              </w:rPr>
            </w:pPr>
            <w:r w:rsidRPr="00A67563">
              <w:rPr>
                <w:color w:val="000000" w:themeColor="text1"/>
                <w:kern w:val="0"/>
                <w:sz w:val="24"/>
              </w:rPr>
              <w:t>易方达中短期美元债债券（</w:t>
            </w:r>
            <w:r w:rsidRPr="00A67563">
              <w:rPr>
                <w:color w:val="000000" w:themeColor="text1"/>
                <w:kern w:val="0"/>
                <w:sz w:val="24"/>
              </w:rPr>
              <w:t>QDII</w:t>
            </w:r>
            <w:r w:rsidRPr="00A67563">
              <w:rPr>
                <w:color w:val="000000" w:themeColor="text1"/>
                <w:kern w:val="0"/>
                <w:sz w:val="24"/>
              </w:rPr>
              <w:t>）</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基金主代码</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007360</w:t>
            </w:r>
          </w:p>
        </w:tc>
      </w:tr>
      <w:tr w:rsidR="008277FF" w:rsidRPr="00A67563" w:rsidTr="003376D5">
        <w:tc>
          <w:tcPr>
            <w:tcW w:w="2980" w:type="dxa"/>
            <w:vAlign w:val="center"/>
          </w:tcPr>
          <w:p w:rsidR="005837E4" w:rsidRPr="00A67563" w:rsidRDefault="005837E4" w:rsidP="003376D5">
            <w:pPr>
              <w:adjustRightInd w:val="0"/>
              <w:spacing w:before="29" w:line="360" w:lineRule="auto"/>
              <w:ind w:left="17"/>
              <w:rPr>
                <w:color w:val="000000" w:themeColor="text1"/>
                <w:kern w:val="0"/>
                <w:sz w:val="24"/>
              </w:rPr>
            </w:pPr>
            <w:r w:rsidRPr="00A67563">
              <w:rPr>
                <w:color w:val="000000" w:themeColor="text1"/>
                <w:kern w:val="0"/>
                <w:sz w:val="24"/>
              </w:rPr>
              <w:t>交易代码</w:t>
            </w:r>
          </w:p>
        </w:tc>
        <w:tc>
          <w:tcPr>
            <w:tcW w:w="5443" w:type="dxa"/>
            <w:gridSpan w:val="2"/>
            <w:vAlign w:val="center"/>
          </w:tcPr>
          <w:p w:rsidR="005837E4" w:rsidRPr="00A67563" w:rsidRDefault="005837E4" w:rsidP="003376D5">
            <w:pPr>
              <w:adjustRightInd w:val="0"/>
              <w:spacing w:before="29" w:line="360" w:lineRule="auto"/>
              <w:ind w:left="17"/>
              <w:rPr>
                <w:color w:val="000000" w:themeColor="text1"/>
                <w:kern w:val="0"/>
                <w:sz w:val="24"/>
              </w:rPr>
            </w:pPr>
            <w:r w:rsidRPr="00A67563">
              <w:rPr>
                <w:color w:val="000000" w:themeColor="text1"/>
                <w:kern w:val="0"/>
                <w:sz w:val="24"/>
              </w:rPr>
              <w:t>007360</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基金运作方式</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契约型开放式</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基金合同生效日</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2019</w:t>
            </w:r>
            <w:r w:rsidRPr="00A67563">
              <w:rPr>
                <w:color w:val="000000" w:themeColor="text1"/>
                <w:kern w:val="0"/>
                <w:sz w:val="24"/>
              </w:rPr>
              <w:t>年</w:t>
            </w:r>
            <w:r w:rsidRPr="00A67563">
              <w:rPr>
                <w:color w:val="000000" w:themeColor="text1"/>
                <w:kern w:val="0"/>
                <w:sz w:val="24"/>
              </w:rPr>
              <w:t>6</w:t>
            </w:r>
            <w:r w:rsidRPr="00A67563">
              <w:rPr>
                <w:color w:val="000000" w:themeColor="text1"/>
                <w:kern w:val="0"/>
                <w:sz w:val="24"/>
              </w:rPr>
              <w:t>月</w:t>
            </w:r>
            <w:r w:rsidRPr="00A67563">
              <w:rPr>
                <w:color w:val="000000" w:themeColor="text1"/>
                <w:kern w:val="0"/>
                <w:sz w:val="24"/>
              </w:rPr>
              <w:t>5</w:t>
            </w:r>
            <w:r w:rsidRPr="00A67563">
              <w:rPr>
                <w:color w:val="000000" w:themeColor="text1"/>
                <w:kern w:val="0"/>
                <w:sz w:val="24"/>
              </w:rPr>
              <w:t>日</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报告期末基金份额总额</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490,024,152.24</w:t>
            </w:r>
            <w:r w:rsidRPr="00A67563">
              <w:rPr>
                <w:color w:val="000000" w:themeColor="text1"/>
                <w:kern w:val="0"/>
                <w:sz w:val="24"/>
              </w:rPr>
              <w:t>份</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投资目标</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本基金主要投资中短期美元债券，在严格控制风险和保持较高流动性的基础上，力求获得超越业绩比较基准的投资回报。</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投资策略</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本基金基于对宏观形势和信用主体的深入研究，有选择地在国别与地域间灵活配置，通过久期策略、期限结构策略、个券精选策略进行债券配置，并根据其他固收资产的相对价值，在投资范围允许的范</w:t>
            </w:r>
            <w:r w:rsidRPr="00A67563">
              <w:rPr>
                <w:color w:val="000000" w:themeColor="text1"/>
                <w:kern w:val="0"/>
                <w:sz w:val="24"/>
              </w:rPr>
              <w:lastRenderedPageBreak/>
              <w:t>围内，对存款、存单、基金、资产支持证券及衍生品间进行固收资产的配置。</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lastRenderedPageBreak/>
              <w:t>业绩比较基准</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摩根大通</w:t>
            </w:r>
            <w:r w:rsidRPr="00A67563">
              <w:rPr>
                <w:color w:val="000000" w:themeColor="text1"/>
                <w:kern w:val="0"/>
                <w:sz w:val="24"/>
              </w:rPr>
              <w:t>1-3</w:t>
            </w:r>
            <w:r w:rsidRPr="00A67563">
              <w:rPr>
                <w:color w:val="000000" w:themeColor="text1"/>
                <w:kern w:val="0"/>
                <w:sz w:val="24"/>
              </w:rPr>
              <w:t>年全球投资级美元债总回报指数（</w:t>
            </w:r>
            <w:r w:rsidRPr="00A67563">
              <w:rPr>
                <w:color w:val="000000" w:themeColor="text1"/>
                <w:kern w:val="0"/>
                <w:sz w:val="24"/>
              </w:rPr>
              <w:t xml:space="preserve">J.P. Morgan Global Aggregate US IG 1-3 Total Return Index </w:t>
            </w:r>
            <w:r w:rsidRPr="00A67563">
              <w:rPr>
                <w:color w:val="000000" w:themeColor="text1"/>
                <w:kern w:val="0"/>
                <w:sz w:val="24"/>
              </w:rPr>
              <w:t>）（按照估值汇率折算）收益率</w:t>
            </w:r>
            <w:r w:rsidRPr="00A67563">
              <w:rPr>
                <w:color w:val="000000" w:themeColor="text1"/>
                <w:kern w:val="0"/>
                <w:sz w:val="24"/>
              </w:rPr>
              <w:t>×90%+</w:t>
            </w:r>
            <w:r w:rsidRPr="00A67563">
              <w:rPr>
                <w:color w:val="000000" w:themeColor="text1"/>
                <w:kern w:val="0"/>
                <w:sz w:val="24"/>
              </w:rPr>
              <w:t>人民币活期存款利率（税后）</w:t>
            </w:r>
            <w:r w:rsidRPr="00A67563">
              <w:rPr>
                <w:color w:val="000000" w:themeColor="text1"/>
                <w:kern w:val="0"/>
                <w:sz w:val="24"/>
              </w:rPr>
              <w:t>×10%</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风险收益特征</w:t>
            </w:r>
          </w:p>
        </w:tc>
        <w:tc>
          <w:tcPr>
            <w:tcW w:w="5443" w:type="dxa"/>
            <w:gridSpan w:val="2"/>
            <w:vAlign w:val="center"/>
          </w:tcPr>
          <w:p w:rsidR="009960A0" w:rsidRDefault="00C41D5F">
            <w:pPr>
              <w:adjustRightInd w:val="0"/>
              <w:spacing w:before="29" w:line="360" w:lineRule="auto"/>
              <w:ind w:left="17"/>
              <w:rPr>
                <w:color w:val="000000" w:themeColor="text1"/>
                <w:sz w:val="24"/>
              </w:rPr>
            </w:pPr>
            <w:r>
              <w:rPr>
                <w:color w:val="000000" w:themeColor="text1"/>
                <w:kern w:val="0"/>
                <w:sz w:val="24"/>
              </w:rPr>
              <w:t>本基金为债券基金，理论上其预期风险与预期收益水平低于股票基金、混合基金，高于货币市场基金。</w:t>
            </w:r>
          </w:p>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本基金投资境外市场，除了需要承担与境内证券投资基金类似的市场波动风险等一般投资风险之外，本基金还面临汇率风险、国家</w:t>
            </w:r>
            <w:r w:rsidRPr="00A67563">
              <w:rPr>
                <w:color w:val="000000" w:themeColor="text1"/>
                <w:kern w:val="0"/>
                <w:sz w:val="24"/>
              </w:rPr>
              <w:t>/</w:t>
            </w:r>
            <w:r w:rsidRPr="00A67563">
              <w:rPr>
                <w:color w:val="000000" w:themeColor="text1"/>
                <w:kern w:val="0"/>
                <w:sz w:val="24"/>
              </w:rPr>
              <w:t>地区风险等境外投资面临的特有风险。</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基金管理人</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易方达基金管理有限公司</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基金托管人</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招商银行股份有限公司</w:t>
            </w:r>
          </w:p>
        </w:tc>
      </w:tr>
      <w:tr w:rsidR="007F4CD3" w:rsidRPr="00A67563" w:rsidTr="003376D5">
        <w:tc>
          <w:tcPr>
            <w:tcW w:w="2980" w:type="dxa"/>
            <w:vMerge w:val="restart"/>
            <w:vAlign w:val="center"/>
          </w:tcPr>
          <w:p w:rsidR="007F4CD3" w:rsidRPr="00A67563" w:rsidRDefault="007F4CD3" w:rsidP="007F4CD3">
            <w:pPr>
              <w:adjustRightInd w:val="0"/>
              <w:spacing w:before="29" w:line="360" w:lineRule="auto"/>
              <w:ind w:left="17"/>
              <w:rPr>
                <w:color w:val="000000" w:themeColor="text1"/>
                <w:kern w:val="0"/>
                <w:sz w:val="24"/>
              </w:rPr>
            </w:pPr>
            <w:r w:rsidRPr="00A67563">
              <w:rPr>
                <w:color w:val="000000" w:themeColor="text1"/>
                <w:kern w:val="0"/>
                <w:sz w:val="24"/>
              </w:rPr>
              <w:t>境外投资顾问</w:t>
            </w: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英文名称</w:t>
            </w:r>
            <w:r w:rsidR="00801249">
              <w:rPr>
                <w:rFonts w:hint="eastAsia"/>
                <w:color w:val="000000" w:themeColor="text1"/>
                <w:kern w:val="0"/>
                <w:sz w:val="24"/>
              </w:rPr>
              <w:t>：</w:t>
            </w:r>
            <w:r w:rsidRPr="00A67563">
              <w:rPr>
                <w:color w:val="000000" w:themeColor="text1"/>
                <w:kern w:val="0"/>
                <w:sz w:val="24"/>
              </w:rPr>
              <w:t>无</w:t>
            </w:r>
          </w:p>
        </w:tc>
      </w:tr>
      <w:tr w:rsidR="007F4CD3" w:rsidRPr="00A67563" w:rsidTr="003376D5">
        <w:tc>
          <w:tcPr>
            <w:tcW w:w="2980" w:type="dxa"/>
            <w:vMerge/>
            <w:vAlign w:val="center"/>
          </w:tcPr>
          <w:p w:rsidR="007F4CD3" w:rsidRPr="00A67563" w:rsidRDefault="007F4CD3" w:rsidP="007F4CD3">
            <w:pPr>
              <w:adjustRightInd w:val="0"/>
              <w:spacing w:before="29" w:line="360" w:lineRule="auto"/>
              <w:ind w:left="17"/>
              <w:rPr>
                <w:color w:val="000000" w:themeColor="text1"/>
                <w:kern w:val="0"/>
                <w:sz w:val="24"/>
              </w:rPr>
            </w:pP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Pr>
                <w:rFonts w:hint="eastAsia"/>
                <w:color w:val="000000" w:themeColor="text1"/>
                <w:kern w:val="0"/>
                <w:sz w:val="24"/>
              </w:rPr>
              <w:t>中文</w:t>
            </w:r>
            <w:r>
              <w:rPr>
                <w:color w:val="000000" w:themeColor="text1"/>
                <w:kern w:val="0"/>
                <w:sz w:val="24"/>
              </w:rPr>
              <w:t>名称</w:t>
            </w:r>
            <w:r>
              <w:rPr>
                <w:rFonts w:hint="eastAsia"/>
                <w:color w:val="000000" w:themeColor="text1"/>
                <w:kern w:val="0"/>
                <w:sz w:val="24"/>
              </w:rPr>
              <w:t>：</w:t>
            </w:r>
            <w:r w:rsidRPr="00A67563">
              <w:rPr>
                <w:color w:val="000000" w:themeColor="text1"/>
                <w:kern w:val="0"/>
                <w:sz w:val="24"/>
              </w:rPr>
              <w:t>无</w:t>
            </w:r>
          </w:p>
        </w:tc>
      </w:tr>
      <w:tr w:rsidR="007F4CD3" w:rsidRPr="00A67563" w:rsidTr="0031104D">
        <w:tc>
          <w:tcPr>
            <w:tcW w:w="2980" w:type="dxa"/>
            <w:vMerge w:val="restart"/>
            <w:vAlign w:val="center"/>
          </w:tcPr>
          <w:p w:rsidR="007F4CD3" w:rsidRPr="00A67563" w:rsidRDefault="007F4CD3" w:rsidP="007F4CD3">
            <w:pPr>
              <w:adjustRightInd w:val="0"/>
              <w:spacing w:before="29" w:line="360" w:lineRule="auto"/>
              <w:ind w:left="17"/>
              <w:rPr>
                <w:color w:val="000000" w:themeColor="text1"/>
                <w:kern w:val="0"/>
                <w:sz w:val="24"/>
              </w:rPr>
            </w:pPr>
            <w:r w:rsidRPr="00A67563">
              <w:rPr>
                <w:color w:val="000000" w:themeColor="text1"/>
                <w:kern w:val="0"/>
                <w:sz w:val="24"/>
              </w:rPr>
              <w:t>境外资产托管人</w:t>
            </w: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英文名称</w:t>
            </w:r>
            <w:r>
              <w:rPr>
                <w:rFonts w:hint="eastAsia"/>
                <w:color w:val="000000" w:themeColor="text1"/>
                <w:kern w:val="0"/>
                <w:sz w:val="24"/>
              </w:rPr>
              <w:t>：</w:t>
            </w:r>
            <w:r w:rsidRPr="00A67563">
              <w:rPr>
                <w:color w:val="000000" w:themeColor="text1"/>
                <w:kern w:val="0"/>
                <w:sz w:val="24"/>
              </w:rPr>
              <w:t>The Hongkong and Shanghai Banking Corporation Limited</w:t>
            </w:r>
          </w:p>
        </w:tc>
      </w:tr>
      <w:tr w:rsidR="007F4CD3" w:rsidRPr="00A67563" w:rsidTr="0031104D">
        <w:tc>
          <w:tcPr>
            <w:tcW w:w="2980" w:type="dxa"/>
            <w:vMerge/>
            <w:vAlign w:val="center"/>
          </w:tcPr>
          <w:p w:rsidR="007F4CD3" w:rsidRPr="00A67563" w:rsidRDefault="007F4CD3" w:rsidP="007F4CD3">
            <w:pPr>
              <w:adjustRightInd w:val="0"/>
              <w:spacing w:before="29" w:line="360" w:lineRule="auto"/>
              <w:ind w:left="17"/>
              <w:rPr>
                <w:color w:val="000000" w:themeColor="text1"/>
                <w:kern w:val="0"/>
                <w:sz w:val="24"/>
              </w:rPr>
            </w:pP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中文名称</w:t>
            </w:r>
            <w:r>
              <w:rPr>
                <w:rFonts w:hint="eastAsia"/>
                <w:color w:val="000000" w:themeColor="text1"/>
                <w:kern w:val="0"/>
                <w:sz w:val="24"/>
              </w:rPr>
              <w:t>：</w:t>
            </w:r>
            <w:r w:rsidRPr="00A67563">
              <w:rPr>
                <w:color w:val="000000" w:themeColor="text1"/>
                <w:kern w:val="0"/>
                <w:sz w:val="24"/>
              </w:rPr>
              <w:t>香港上海汇丰银行有限公司</w:t>
            </w:r>
          </w:p>
        </w:tc>
      </w:tr>
      <w:tr w:rsidR="00070DD6" w:rsidRPr="00A67563" w:rsidTr="00845292">
        <w:tblPrEx>
          <w:tblLook w:val="0000" w:firstRow="0" w:lastRow="0" w:firstColumn="0" w:lastColumn="0" w:noHBand="0" w:noVBand="0"/>
        </w:tblPrEx>
        <w:trPr>
          <w:trHeight w:val="866"/>
        </w:trPr>
        <w:tc>
          <w:tcPr>
            <w:tcW w:w="2980" w:type="dxa"/>
          </w:tcPr>
          <w:p w:rsidR="00070DD6" w:rsidRPr="00A67563" w:rsidRDefault="00070DD6" w:rsidP="00845292">
            <w:pPr>
              <w:adjustRightInd w:val="0"/>
              <w:spacing w:before="29" w:line="360" w:lineRule="auto"/>
              <w:ind w:left="17"/>
              <w:jc w:val="left"/>
              <w:rPr>
                <w:color w:val="000000" w:themeColor="text1"/>
                <w:kern w:val="0"/>
                <w:sz w:val="24"/>
              </w:rPr>
            </w:pPr>
            <w:r w:rsidRPr="00A67563">
              <w:rPr>
                <w:color w:val="000000" w:themeColor="text1"/>
                <w:sz w:val="24"/>
              </w:rPr>
              <w:t>下属分级基金的基金简称</w:t>
            </w:r>
          </w:p>
        </w:tc>
        <w:tc>
          <w:tcPr>
            <w:tcW w:w="2780" w:type="dxa"/>
            <w:vAlign w:val="center"/>
          </w:tcPr>
          <w:p w:rsidR="00070DD6" w:rsidRPr="00A67563" w:rsidRDefault="00070DD6" w:rsidP="00845292">
            <w:pPr>
              <w:jc w:val="left"/>
              <w:rPr>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A</w:t>
            </w:r>
          </w:p>
        </w:tc>
        <w:tc>
          <w:tcPr>
            <w:tcW w:w="2663" w:type="dxa"/>
            <w:vAlign w:val="center"/>
          </w:tcPr>
          <w:p w:rsidR="00070DD6" w:rsidRPr="00A67563" w:rsidRDefault="00070DD6" w:rsidP="00845292">
            <w:pPr>
              <w:jc w:val="left"/>
              <w:rPr>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C</w:t>
            </w:r>
          </w:p>
        </w:tc>
      </w:tr>
      <w:tr w:rsidR="00070DD6" w:rsidRPr="00A67563" w:rsidTr="00845292">
        <w:tblPrEx>
          <w:tblLook w:val="0000" w:firstRow="0" w:lastRow="0" w:firstColumn="0" w:lastColumn="0" w:noHBand="0" w:noVBand="0"/>
        </w:tblPrEx>
        <w:trPr>
          <w:trHeight w:val="628"/>
        </w:trPr>
        <w:tc>
          <w:tcPr>
            <w:tcW w:w="2980" w:type="dxa"/>
          </w:tcPr>
          <w:p w:rsidR="00070DD6" w:rsidRPr="00A67563" w:rsidRDefault="00070DD6" w:rsidP="00845292">
            <w:pPr>
              <w:adjustRightInd w:val="0"/>
              <w:spacing w:before="29" w:line="360" w:lineRule="auto"/>
              <w:ind w:left="17"/>
              <w:jc w:val="left"/>
              <w:rPr>
                <w:color w:val="000000" w:themeColor="text1"/>
                <w:sz w:val="24"/>
              </w:rPr>
            </w:pPr>
            <w:r w:rsidRPr="00A67563">
              <w:rPr>
                <w:color w:val="000000" w:themeColor="text1"/>
                <w:sz w:val="24"/>
              </w:rPr>
              <w:t>下属分级基金的交易代码</w:t>
            </w:r>
          </w:p>
        </w:tc>
        <w:tc>
          <w:tcPr>
            <w:tcW w:w="2780" w:type="dxa"/>
            <w:vAlign w:val="center"/>
          </w:tcPr>
          <w:p w:rsidR="00070DD6" w:rsidRPr="00A67563" w:rsidRDefault="00070DD6" w:rsidP="00845292">
            <w:pPr>
              <w:jc w:val="left"/>
              <w:rPr>
                <w:color w:val="000000" w:themeColor="text1"/>
                <w:sz w:val="24"/>
              </w:rPr>
            </w:pPr>
            <w:r w:rsidRPr="00A67563">
              <w:rPr>
                <w:color w:val="000000" w:themeColor="text1"/>
                <w:sz w:val="24"/>
              </w:rPr>
              <w:t>007360</w:t>
            </w:r>
          </w:p>
        </w:tc>
        <w:tc>
          <w:tcPr>
            <w:tcW w:w="2663" w:type="dxa"/>
            <w:vAlign w:val="center"/>
          </w:tcPr>
          <w:p w:rsidR="00070DD6" w:rsidRPr="00A67563" w:rsidRDefault="00070DD6" w:rsidP="00845292">
            <w:pPr>
              <w:jc w:val="left"/>
              <w:rPr>
                <w:color w:val="000000" w:themeColor="text1"/>
                <w:sz w:val="24"/>
              </w:rPr>
            </w:pPr>
            <w:r w:rsidRPr="00A67563">
              <w:rPr>
                <w:color w:val="000000" w:themeColor="text1"/>
                <w:sz w:val="24"/>
              </w:rPr>
              <w:t>007361</w:t>
            </w:r>
          </w:p>
        </w:tc>
      </w:tr>
      <w:tr w:rsidR="00322A5E" w:rsidRPr="00A67563" w:rsidTr="0031104D">
        <w:tblPrEx>
          <w:tblLook w:val="0000" w:firstRow="0" w:lastRow="0" w:firstColumn="0" w:lastColumn="0" w:noHBand="0" w:noVBand="0"/>
        </w:tblPrEx>
        <w:trPr>
          <w:trHeight w:val="555"/>
        </w:trPr>
        <w:tc>
          <w:tcPr>
            <w:tcW w:w="2980" w:type="dxa"/>
            <w:vAlign w:val="center"/>
          </w:tcPr>
          <w:p w:rsidR="00322A5E" w:rsidRPr="00A67563" w:rsidRDefault="00322A5E" w:rsidP="00845292">
            <w:pPr>
              <w:adjustRightInd w:val="0"/>
              <w:spacing w:before="29" w:line="360" w:lineRule="auto"/>
              <w:ind w:left="17"/>
              <w:rPr>
                <w:color w:val="000000" w:themeColor="text1"/>
                <w:sz w:val="24"/>
              </w:rPr>
            </w:pPr>
            <w:r w:rsidRPr="00A67563">
              <w:rPr>
                <w:color w:val="000000" w:themeColor="text1"/>
                <w:sz w:val="24"/>
              </w:rPr>
              <w:t>报告期末下属分级基金的份额总额</w:t>
            </w:r>
          </w:p>
        </w:tc>
        <w:tc>
          <w:tcPr>
            <w:tcW w:w="2780" w:type="dxa"/>
            <w:vAlign w:val="center"/>
          </w:tcPr>
          <w:p w:rsidR="00322A5E" w:rsidRPr="00A67563" w:rsidRDefault="00322A5E" w:rsidP="00845292">
            <w:pPr>
              <w:rPr>
                <w:color w:val="000000" w:themeColor="text1"/>
                <w:sz w:val="24"/>
              </w:rPr>
            </w:pPr>
            <w:r w:rsidRPr="00A67563">
              <w:rPr>
                <w:color w:val="000000" w:themeColor="text1"/>
                <w:sz w:val="24"/>
              </w:rPr>
              <w:t>330,931,113.34</w:t>
            </w:r>
            <w:r w:rsidRPr="00A67563">
              <w:rPr>
                <w:color w:val="000000" w:themeColor="text1"/>
                <w:kern w:val="0"/>
                <w:sz w:val="24"/>
              </w:rPr>
              <w:t>份</w:t>
            </w:r>
          </w:p>
        </w:tc>
        <w:tc>
          <w:tcPr>
            <w:tcW w:w="2663" w:type="dxa"/>
            <w:vAlign w:val="center"/>
          </w:tcPr>
          <w:p w:rsidR="00322A5E" w:rsidRPr="00A67563" w:rsidRDefault="00322A5E" w:rsidP="00845292">
            <w:pPr>
              <w:rPr>
                <w:color w:val="000000" w:themeColor="text1"/>
                <w:sz w:val="24"/>
              </w:rPr>
            </w:pPr>
            <w:r w:rsidRPr="00A67563">
              <w:rPr>
                <w:color w:val="000000" w:themeColor="text1"/>
                <w:sz w:val="24"/>
              </w:rPr>
              <w:t>159,093,038.90</w:t>
            </w:r>
            <w:r w:rsidRPr="00A67563">
              <w:rPr>
                <w:color w:val="000000" w:themeColor="text1"/>
                <w:kern w:val="0"/>
                <w:sz w:val="24"/>
              </w:rPr>
              <w:t>份</w:t>
            </w:r>
          </w:p>
        </w:tc>
      </w:tr>
    </w:tbl>
    <w:p w:rsidR="00363E15" w:rsidRPr="00A67563" w:rsidRDefault="00363E15"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注：易方达中短期美元债债券（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A</w:t>
      </w:r>
      <w:r w:rsidRPr="00A67563">
        <w:rPr>
          <w:color w:val="000000" w:themeColor="text1"/>
          <w:sz w:val="24"/>
        </w:rPr>
        <w:t>含</w:t>
      </w:r>
      <w:r w:rsidRPr="00A67563">
        <w:rPr>
          <w:color w:val="000000" w:themeColor="text1"/>
          <w:sz w:val="24"/>
        </w:rPr>
        <w:t>A</w:t>
      </w:r>
      <w:r w:rsidRPr="00A67563">
        <w:rPr>
          <w:color w:val="000000" w:themeColor="text1"/>
          <w:sz w:val="24"/>
        </w:rPr>
        <w:t>类人民币份额（份额代码：</w:t>
      </w:r>
      <w:r w:rsidRPr="00A67563">
        <w:rPr>
          <w:color w:val="000000" w:themeColor="text1"/>
          <w:sz w:val="24"/>
        </w:rPr>
        <w:t>007360</w:t>
      </w:r>
      <w:r w:rsidRPr="00A67563">
        <w:rPr>
          <w:color w:val="000000" w:themeColor="text1"/>
          <w:sz w:val="24"/>
        </w:rPr>
        <w:t>）及</w:t>
      </w:r>
      <w:r w:rsidRPr="00A67563">
        <w:rPr>
          <w:color w:val="000000" w:themeColor="text1"/>
          <w:sz w:val="24"/>
        </w:rPr>
        <w:t>A</w:t>
      </w:r>
      <w:r w:rsidRPr="00A67563">
        <w:rPr>
          <w:color w:val="000000" w:themeColor="text1"/>
          <w:sz w:val="24"/>
        </w:rPr>
        <w:t>类美元现汇份额（份额代码：</w:t>
      </w:r>
      <w:r w:rsidRPr="00A67563">
        <w:rPr>
          <w:color w:val="000000" w:themeColor="text1"/>
          <w:sz w:val="24"/>
        </w:rPr>
        <w:t>007362</w:t>
      </w:r>
      <w:r w:rsidRPr="00A67563">
        <w:rPr>
          <w:color w:val="000000" w:themeColor="text1"/>
          <w:sz w:val="24"/>
        </w:rPr>
        <w:t>），交易代码仅列示</w:t>
      </w:r>
      <w:r w:rsidRPr="00A67563">
        <w:rPr>
          <w:color w:val="000000" w:themeColor="text1"/>
          <w:sz w:val="24"/>
        </w:rPr>
        <w:t>A</w:t>
      </w:r>
      <w:r w:rsidRPr="00A67563">
        <w:rPr>
          <w:color w:val="000000" w:themeColor="text1"/>
          <w:sz w:val="24"/>
        </w:rPr>
        <w:t>类人民币份额代码；易方达中短期美元债债券（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C</w:t>
      </w:r>
      <w:r w:rsidRPr="00A67563">
        <w:rPr>
          <w:color w:val="000000" w:themeColor="text1"/>
          <w:sz w:val="24"/>
        </w:rPr>
        <w:t>含</w:t>
      </w:r>
      <w:r w:rsidRPr="00A67563">
        <w:rPr>
          <w:color w:val="000000" w:themeColor="text1"/>
          <w:sz w:val="24"/>
        </w:rPr>
        <w:t>C</w:t>
      </w:r>
      <w:r w:rsidRPr="00A67563">
        <w:rPr>
          <w:color w:val="000000" w:themeColor="text1"/>
          <w:sz w:val="24"/>
        </w:rPr>
        <w:t>类人民币份额（份额代码：</w:t>
      </w:r>
      <w:r w:rsidRPr="00A67563">
        <w:rPr>
          <w:color w:val="000000" w:themeColor="text1"/>
          <w:sz w:val="24"/>
        </w:rPr>
        <w:t>007361</w:t>
      </w:r>
      <w:r w:rsidRPr="00A67563">
        <w:rPr>
          <w:color w:val="000000" w:themeColor="text1"/>
          <w:sz w:val="24"/>
        </w:rPr>
        <w:t>）及</w:t>
      </w:r>
      <w:r w:rsidRPr="00A67563">
        <w:rPr>
          <w:color w:val="000000" w:themeColor="text1"/>
          <w:sz w:val="24"/>
        </w:rPr>
        <w:t>C</w:t>
      </w:r>
      <w:r w:rsidRPr="00A67563">
        <w:rPr>
          <w:color w:val="000000" w:themeColor="text1"/>
          <w:sz w:val="24"/>
        </w:rPr>
        <w:t>类美元现汇份额（份额代码：</w:t>
      </w:r>
      <w:r w:rsidRPr="00A67563">
        <w:rPr>
          <w:color w:val="000000" w:themeColor="text1"/>
          <w:sz w:val="24"/>
        </w:rPr>
        <w:t>007363</w:t>
      </w:r>
      <w:r w:rsidRPr="00A67563">
        <w:rPr>
          <w:color w:val="000000" w:themeColor="text1"/>
          <w:sz w:val="24"/>
        </w:rPr>
        <w:t>），交易代码仅列示</w:t>
      </w:r>
      <w:r w:rsidRPr="00A67563">
        <w:rPr>
          <w:color w:val="000000" w:themeColor="text1"/>
          <w:sz w:val="24"/>
        </w:rPr>
        <w:t>C</w:t>
      </w:r>
      <w:r w:rsidRPr="00A67563">
        <w:rPr>
          <w:color w:val="000000" w:themeColor="text1"/>
          <w:sz w:val="24"/>
        </w:rPr>
        <w:t>类人民币份额代码。</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lastRenderedPageBreak/>
        <w:t xml:space="preserve">§3  </w:t>
      </w:r>
      <w:r w:rsidRPr="00A67563">
        <w:rPr>
          <w:color w:val="000000" w:themeColor="text1"/>
          <w:kern w:val="0"/>
          <w:sz w:val="24"/>
          <w:szCs w:val="24"/>
        </w:rPr>
        <w:t>主要财务指标和基金净值表现</w:t>
      </w:r>
    </w:p>
    <w:p w:rsidR="0076518F" w:rsidRPr="00A67563" w:rsidRDefault="0076518F" w:rsidP="00506D57">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3.1 </w:t>
      </w:r>
      <w:r w:rsidRPr="00A67563">
        <w:rPr>
          <w:b/>
          <w:color w:val="000000" w:themeColor="text1"/>
          <w:kern w:val="0"/>
          <w:sz w:val="24"/>
        </w:rPr>
        <w:t>主要财务指标</w:t>
      </w:r>
    </w:p>
    <w:p w:rsidR="0076518F" w:rsidRPr="00A67563" w:rsidRDefault="0076518F" w:rsidP="008B6A4A">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225051" w:rsidRPr="00A67563" w:rsidTr="00845292">
        <w:tc>
          <w:tcPr>
            <w:tcW w:w="3402" w:type="dxa"/>
            <w:vMerge w:val="restart"/>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主要财务指标</w:t>
            </w:r>
          </w:p>
        </w:tc>
        <w:tc>
          <w:tcPr>
            <w:tcW w:w="4962" w:type="dxa"/>
            <w:gridSpan w:val="2"/>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报告期</w:t>
            </w:r>
          </w:p>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(2020</w:t>
            </w:r>
            <w:r w:rsidRPr="00A67563">
              <w:rPr>
                <w:color w:val="000000" w:themeColor="text1"/>
                <w:sz w:val="24"/>
              </w:rPr>
              <w:t>年</w:t>
            </w:r>
            <w:r w:rsidRPr="00A67563">
              <w:rPr>
                <w:color w:val="000000" w:themeColor="text1"/>
                <w:sz w:val="24"/>
              </w:rPr>
              <w:t>4</w:t>
            </w:r>
            <w:r w:rsidRPr="00A67563">
              <w:rPr>
                <w:color w:val="000000" w:themeColor="text1"/>
                <w:sz w:val="24"/>
              </w:rPr>
              <w:t>月</w:t>
            </w:r>
            <w:r w:rsidRPr="00A67563">
              <w:rPr>
                <w:color w:val="000000" w:themeColor="text1"/>
                <w:sz w:val="24"/>
              </w:rPr>
              <w:t>1</w:t>
            </w:r>
            <w:r w:rsidRPr="00A67563">
              <w:rPr>
                <w:color w:val="000000" w:themeColor="text1"/>
                <w:sz w:val="24"/>
              </w:rPr>
              <w:t>日</w:t>
            </w:r>
            <w:r w:rsidRPr="00A67563">
              <w:rPr>
                <w:color w:val="000000" w:themeColor="text1"/>
                <w:sz w:val="24"/>
              </w:rPr>
              <w:t>-2020</w:t>
            </w:r>
            <w:r w:rsidRPr="00A67563">
              <w:rPr>
                <w:color w:val="000000" w:themeColor="text1"/>
                <w:sz w:val="24"/>
              </w:rPr>
              <w:t>年</w:t>
            </w:r>
            <w:r w:rsidRPr="00A67563">
              <w:rPr>
                <w:color w:val="000000" w:themeColor="text1"/>
                <w:sz w:val="24"/>
              </w:rPr>
              <w:t>6</w:t>
            </w:r>
            <w:r w:rsidRPr="00A67563">
              <w:rPr>
                <w:color w:val="000000" w:themeColor="text1"/>
                <w:sz w:val="24"/>
              </w:rPr>
              <w:t>月</w:t>
            </w:r>
            <w:r w:rsidRPr="00A67563">
              <w:rPr>
                <w:color w:val="000000" w:themeColor="text1"/>
                <w:sz w:val="24"/>
              </w:rPr>
              <w:t>30</w:t>
            </w:r>
            <w:r w:rsidRPr="00A67563">
              <w:rPr>
                <w:color w:val="000000" w:themeColor="text1"/>
                <w:sz w:val="24"/>
              </w:rPr>
              <w:t>日</w:t>
            </w:r>
            <w:r w:rsidRPr="00A67563">
              <w:rPr>
                <w:color w:val="000000" w:themeColor="text1"/>
                <w:sz w:val="24"/>
              </w:rPr>
              <w:t>)</w:t>
            </w:r>
          </w:p>
        </w:tc>
      </w:tr>
      <w:tr w:rsidR="00225051" w:rsidRPr="00A67563" w:rsidTr="00845292">
        <w:tc>
          <w:tcPr>
            <w:tcW w:w="3402" w:type="dxa"/>
            <w:vMerge/>
            <w:vAlign w:val="center"/>
          </w:tcPr>
          <w:p w:rsidR="00225051" w:rsidRPr="00A67563" w:rsidRDefault="00225051" w:rsidP="00845292">
            <w:pPr>
              <w:adjustRightInd w:val="0"/>
              <w:spacing w:before="29" w:line="360" w:lineRule="auto"/>
              <w:ind w:left="17"/>
              <w:rPr>
                <w:color w:val="000000" w:themeColor="text1"/>
                <w:kern w:val="0"/>
                <w:sz w:val="24"/>
              </w:rPr>
            </w:pPr>
          </w:p>
        </w:tc>
        <w:tc>
          <w:tcPr>
            <w:tcW w:w="2481" w:type="dxa"/>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A</w:t>
            </w:r>
          </w:p>
        </w:tc>
        <w:tc>
          <w:tcPr>
            <w:tcW w:w="2481" w:type="dxa"/>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C</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1.</w:t>
            </w:r>
            <w:r w:rsidRPr="00A67563">
              <w:rPr>
                <w:color w:val="000000" w:themeColor="text1"/>
                <w:kern w:val="0"/>
                <w:sz w:val="24"/>
              </w:rPr>
              <w:t>本期已实现收益</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4,190,406.89</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2,020,464.94</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2.</w:t>
            </w:r>
            <w:r w:rsidRPr="00A67563">
              <w:rPr>
                <w:color w:val="000000" w:themeColor="text1"/>
                <w:kern w:val="0"/>
                <w:sz w:val="24"/>
              </w:rPr>
              <w:t>本期利润</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11,934,452.82</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5,802,105.66</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3.</w:t>
            </w:r>
            <w:r w:rsidRPr="00A67563">
              <w:rPr>
                <w:color w:val="000000" w:themeColor="text1"/>
                <w:kern w:val="0"/>
                <w:sz w:val="24"/>
              </w:rPr>
              <w:t>加权平均基金份额本期利润</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0.0343</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0.0329</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4.</w:t>
            </w:r>
            <w:r w:rsidRPr="00A67563">
              <w:rPr>
                <w:color w:val="000000" w:themeColor="text1"/>
                <w:kern w:val="0"/>
                <w:sz w:val="24"/>
              </w:rPr>
              <w:t>期末基金资产净值</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355,365,165.80</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170,362,694.20</w:t>
            </w:r>
          </w:p>
        </w:tc>
      </w:tr>
      <w:tr w:rsidR="00225051" w:rsidRPr="00A67563" w:rsidTr="00845292">
        <w:trPr>
          <w:trHeight w:val="158"/>
        </w:trPr>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5.</w:t>
            </w:r>
            <w:r w:rsidRPr="00A67563">
              <w:rPr>
                <w:color w:val="000000" w:themeColor="text1"/>
                <w:kern w:val="0"/>
                <w:sz w:val="24"/>
              </w:rPr>
              <w:t>期末基金份额净值</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1.0738</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1.0708</w:t>
            </w:r>
          </w:p>
        </w:tc>
      </w:tr>
    </w:tbl>
    <w:p w:rsidR="009960A0" w:rsidRDefault="00C41D5F">
      <w:pPr>
        <w:autoSpaceDE w:val="0"/>
        <w:autoSpaceDN w:val="0"/>
        <w:adjustRightInd w:val="0"/>
        <w:spacing w:line="360" w:lineRule="auto"/>
        <w:ind w:firstLineChars="200" w:firstLine="480"/>
        <w:jc w:val="left"/>
        <w:rPr>
          <w:color w:val="000000" w:themeColor="text1"/>
          <w:kern w:val="0"/>
          <w:sz w:val="24"/>
        </w:rPr>
      </w:pPr>
      <w:r>
        <w:rPr>
          <w:color w:val="000000" w:themeColor="text1"/>
          <w:sz w:val="24"/>
        </w:rPr>
        <w:t>注：</w:t>
      </w:r>
      <w:r>
        <w:rPr>
          <w:color w:val="000000" w:themeColor="text1"/>
          <w:sz w:val="24"/>
        </w:rPr>
        <w:t>1.</w:t>
      </w:r>
      <w:r>
        <w:rPr>
          <w:color w:val="000000" w:themeColor="text1"/>
          <w:sz w:val="24"/>
        </w:rPr>
        <w:t>所述基金业绩指标不包括持有人认购或交易基金的各项费用，计入费用后实际收益水平要低于所列数字。</w:t>
      </w:r>
    </w:p>
    <w:p w:rsidR="0076518F" w:rsidRPr="00A67563" w:rsidRDefault="007D1292" w:rsidP="0062493E">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2.</w:t>
      </w:r>
      <w:r w:rsidRPr="00A67563">
        <w:rPr>
          <w:color w:val="000000" w:themeColor="text1"/>
          <w:sz w:val="24"/>
        </w:rPr>
        <w:t>本期已实现收益指基金本期利息收入、投资收益、其他收入（不含公允价值变动收益）扣除相关费用后的余额，本期利润为本期已实现收益加上本期公允价值变动收益。</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3.2 </w:t>
      </w:r>
      <w:r w:rsidRPr="00A67563">
        <w:rPr>
          <w:b/>
          <w:color w:val="000000" w:themeColor="text1"/>
          <w:kern w:val="0"/>
          <w:sz w:val="24"/>
        </w:rPr>
        <w:t>基金净值表现</w:t>
      </w:r>
    </w:p>
    <w:p w:rsidR="0076518F" w:rsidRPr="00A67563" w:rsidRDefault="0076518F" w:rsidP="00EC4BA3">
      <w:pPr>
        <w:autoSpaceDE w:val="0"/>
        <w:autoSpaceDN w:val="0"/>
        <w:adjustRightInd w:val="0"/>
        <w:spacing w:line="360" w:lineRule="auto"/>
        <w:jc w:val="left"/>
        <w:rPr>
          <w:b/>
          <w:color w:val="000000" w:themeColor="text1"/>
          <w:kern w:val="0"/>
          <w:sz w:val="24"/>
        </w:rPr>
      </w:pPr>
      <w:smartTag w:uri="urn:schemas-microsoft-com:office:smarttags" w:element="chsdate">
        <w:smartTagPr>
          <w:attr w:name="Year" w:val="1899"/>
          <w:attr w:name="Month" w:val="12"/>
          <w:attr w:name="Day" w:val="30"/>
          <w:attr w:name="IsLunarDate" w:val="False"/>
          <w:attr w:name="IsROCDate" w:val="False"/>
        </w:smartTagPr>
        <w:r w:rsidRPr="00A67563">
          <w:rPr>
            <w:b/>
            <w:color w:val="000000" w:themeColor="text1"/>
            <w:kern w:val="0"/>
            <w:sz w:val="24"/>
          </w:rPr>
          <w:t>3.2.1</w:t>
        </w:r>
      </w:smartTag>
      <w:r w:rsidRPr="00A67563">
        <w:rPr>
          <w:b/>
          <w:color w:val="000000" w:themeColor="text1"/>
          <w:kern w:val="0"/>
          <w:sz w:val="24"/>
        </w:rPr>
        <w:t>本报告期基金份额净值增长率及其与同期业绩比较基准收益率的比较</w:t>
      </w:r>
    </w:p>
    <w:p w:rsidR="0065601A" w:rsidRPr="00A67563" w:rsidRDefault="0065601A" w:rsidP="0065601A">
      <w:pPr>
        <w:spacing w:line="360" w:lineRule="auto"/>
        <w:rPr>
          <w:b/>
          <w:color w:val="000000" w:themeColor="text1"/>
          <w:sz w:val="24"/>
        </w:rPr>
      </w:pPr>
      <w:r w:rsidRPr="00A67563">
        <w:rPr>
          <w:b/>
          <w:color w:val="000000" w:themeColor="text1"/>
          <w:kern w:val="0"/>
          <w:sz w:val="24"/>
        </w:rPr>
        <w:t>易方达中短期美元债债券（</w:t>
      </w:r>
      <w:r w:rsidRPr="00A67563">
        <w:rPr>
          <w:b/>
          <w:color w:val="000000" w:themeColor="text1"/>
          <w:kern w:val="0"/>
          <w:sz w:val="24"/>
        </w:rPr>
        <w:t>QDII</w:t>
      </w:r>
      <w:r w:rsidRPr="00A67563">
        <w:rPr>
          <w:b/>
          <w:color w:val="000000" w:themeColor="text1"/>
          <w:kern w:val="0"/>
          <w:sz w:val="24"/>
        </w:rPr>
        <w:t>）</w:t>
      </w:r>
      <w:r w:rsidRPr="00A67563">
        <w:rPr>
          <w:b/>
          <w:color w:val="000000" w:themeColor="text1"/>
          <w:kern w:val="0"/>
          <w:sz w:val="24"/>
        </w:rPr>
        <w:t>A</w:t>
      </w:r>
    </w:p>
    <w:tbl>
      <w:tblPr>
        <w:tblStyle w:val="af7"/>
        <w:tblW w:w="0" w:type="auto"/>
        <w:tblInd w:w="108" w:type="dxa"/>
        <w:tblLayout w:type="fixed"/>
        <w:tblLook w:val="04A0" w:firstRow="1" w:lastRow="0" w:firstColumn="1" w:lastColumn="0" w:noHBand="0" w:noVBand="1"/>
      </w:tblPr>
      <w:tblGrid>
        <w:gridCol w:w="1290"/>
        <w:gridCol w:w="1291"/>
        <w:gridCol w:w="1291"/>
        <w:gridCol w:w="1291"/>
        <w:gridCol w:w="1291"/>
        <w:gridCol w:w="1291"/>
        <w:gridCol w:w="1291"/>
      </w:tblGrid>
      <w:tr w:rsidR="0065601A" w:rsidRPr="00A67563" w:rsidTr="00845292">
        <w:tc>
          <w:tcPr>
            <w:tcW w:w="1290"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阶段</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净值增长率</w:t>
            </w:r>
            <w:r w:rsidRPr="00A67563">
              <w:rPr>
                <w:rFonts w:ascii="宋体" w:hAnsi="宋体" w:cs="宋体" w:hint="eastAsia"/>
                <w:color w:val="000000" w:themeColor="text1"/>
                <w:sz w:val="24"/>
              </w:rPr>
              <w:t>①</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净值增长率标准差</w:t>
            </w:r>
            <w:r w:rsidRPr="00A67563">
              <w:rPr>
                <w:rFonts w:ascii="宋体" w:hAnsi="宋体" w:cs="宋体" w:hint="eastAsia"/>
                <w:color w:val="000000" w:themeColor="text1"/>
                <w:sz w:val="24"/>
              </w:rPr>
              <w:t>②</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业绩比较基准收益率标准差</w:t>
            </w:r>
            <w:r w:rsidRPr="00A67563">
              <w:rPr>
                <w:rFonts w:ascii="宋体" w:hAnsi="宋体" w:cs="宋体" w:hint="eastAsia"/>
                <w:color w:val="000000" w:themeColor="text1"/>
                <w:sz w:val="24"/>
              </w:rPr>
              <w:t>④</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①</w:t>
            </w:r>
            <w:r w:rsidRPr="00A67563">
              <w:rPr>
                <w:color w:val="000000" w:themeColor="text1"/>
                <w:sz w:val="24"/>
              </w:rPr>
              <w:t>－</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②</w:t>
            </w:r>
            <w:r w:rsidRPr="00A67563">
              <w:rPr>
                <w:color w:val="000000" w:themeColor="text1"/>
                <w:sz w:val="24"/>
              </w:rPr>
              <w:t>－</w:t>
            </w:r>
            <w:r w:rsidRPr="00A67563">
              <w:rPr>
                <w:rFonts w:ascii="宋体" w:hAnsi="宋体" w:cs="宋体" w:hint="eastAsia"/>
                <w:color w:val="000000" w:themeColor="text1"/>
                <w:sz w:val="24"/>
              </w:rPr>
              <w:t>④</w:t>
            </w:r>
          </w:p>
        </w:tc>
      </w:tr>
      <w:tr w:rsidR="009960A0">
        <w:tc>
          <w:tcPr>
            <w:tcW w:w="1290" w:type="dxa"/>
            <w:vAlign w:val="center"/>
          </w:tcPr>
          <w:p w:rsidR="009960A0" w:rsidRDefault="00C41D5F">
            <w:pPr>
              <w:jc w:val="left"/>
            </w:pPr>
            <w:r>
              <w:rPr>
                <w:color w:val="000000" w:themeColor="text1"/>
                <w:sz w:val="24"/>
              </w:rPr>
              <w:t>过去三个月</w:t>
            </w:r>
          </w:p>
        </w:tc>
        <w:tc>
          <w:tcPr>
            <w:tcW w:w="1291" w:type="dxa"/>
            <w:vAlign w:val="center"/>
          </w:tcPr>
          <w:p w:rsidR="009960A0" w:rsidRDefault="00C41D5F">
            <w:pPr>
              <w:jc w:val="right"/>
            </w:pPr>
            <w:r>
              <w:rPr>
                <w:color w:val="000000" w:themeColor="text1"/>
                <w:sz w:val="24"/>
              </w:rPr>
              <w:t>3.29%</w:t>
            </w:r>
          </w:p>
        </w:tc>
        <w:tc>
          <w:tcPr>
            <w:tcW w:w="1291" w:type="dxa"/>
            <w:vAlign w:val="center"/>
          </w:tcPr>
          <w:p w:rsidR="009960A0" w:rsidRDefault="00C41D5F">
            <w:pPr>
              <w:jc w:val="right"/>
            </w:pPr>
            <w:r>
              <w:rPr>
                <w:color w:val="000000" w:themeColor="text1"/>
                <w:sz w:val="24"/>
              </w:rPr>
              <w:t>0.21%</w:t>
            </w:r>
          </w:p>
        </w:tc>
        <w:tc>
          <w:tcPr>
            <w:tcW w:w="1291" w:type="dxa"/>
            <w:vAlign w:val="center"/>
          </w:tcPr>
          <w:p w:rsidR="009960A0" w:rsidRDefault="00C41D5F">
            <w:pPr>
              <w:jc w:val="right"/>
            </w:pPr>
            <w:r>
              <w:rPr>
                <w:color w:val="000000" w:themeColor="text1"/>
                <w:sz w:val="24"/>
              </w:rPr>
              <w:t>1.41%</w:t>
            </w:r>
          </w:p>
        </w:tc>
        <w:tc>
          <w:tcPr>
            <w:tcW w:w="1291" w:type="dxa"/>
            <w:vAlign w:val="center"/>
          </w:tcPr>
          <w:p w:rsidR="009960A0" w:rsidRDefault="00C41D5F">
            <w:pPr>
              <w:jc w:val="right"/>
            </w:pPr>
            <w:r>
              <w:rPr>
                <w:color w:val="000000" w:themeColor="text1"/>
                <w:sz w:val="24"/>
              </w:rPr>
              <w:t>0.19%</w:t>
            </w:r>
          </w:p>
        </w:tc>
        <w:tc>
          <w:tcPr>
            <w:tcW w:w="1291" w:type="dxa"/>
            <w:vAlign w:val="center"/>
          </w:tcPr>
          <w:p w:rsidR="009960A0" w:rsidRDefault="00C41D5F">
            <w:pPr>
              <w:jc w:val="right"/>
            </w:pPr>
            <w:r>
              <w:rPr>
                <w:color w:val="000000" w:themeColor="text1"/>
                <w:sz w:val="24"/>
              </w:rPr>
              <w:t>1.88%</w:t>
            </w:r>
          </w:p>
        </w:tc>
        <w:tc>
          <w:tcPr>
            <w:tcW w:w="1291" w:type="dxa"/>
            <w:vAlign w:val="center"/>
          </w:tcPr>
          <w:p w:rsidR="009960A0" w:rsidRDefault="00C41D5F">
            <w:pPr>
              <w:jc w:val="right"/>
            </w:pPr>
            <w:r>
              <w:rPr>
                <w:color w:val="000000" w:themeColor="text1"/>
                <w:sz w:val="24"/>
              </w:rPr>
              <w:t>0.02%</w:t>
            </w:r>
          </w:p>
        </w:tc>
      </w:tr>
      <w:tr w:rsidR="009960A0">
        <w:tc>
          <w:tcPr>
            <w:tcW w:w="1290" w:type="dxa"/>
            <w:vAlign w:val="center"/>
          </w:tcPr>
          <w:p w:rsidR="009960A0" w:rsidRDefault="00C41D5F">
            <w:pPr>
              <w:jc w:val="left"/>
            </w:pPr>
            <w:r>
              <w:rPr>
                <w:color w:val="000000" w:themeColor="text1"/>
                <w:sz w:val="24"/>
              </w:rPr>
              <w:t>过去六个月</w:t>
            </w:r>
          </w:p>
        </w:tc>
        <w:tc>
          <w:tcPr>
            <w:tcW w:w="1291" w:type="dxa"/>
            <w:vAlign w:val="center"/>
          </w:tcPr>
          <w:p w:rsidR="009960A0" w:rsidRDefault="00C41D5F">
            <w:pPr>
              <w:jc w:val="right"/>
            </w:pPr>
            <w:r>
              <w:rPr>
                <w:color w:val="000000" w:themeColor="text1"/>
                <w:sz w:val="24"/>
              </w:rPr>
              <w:t>3.57%</w:t>
            </w:r>
          </w:p>
        </w:tc>
        <w:tc>
          <w:tcPr>
            <w:tcW w:w="1291" w:type="dxa"/>
            <w:vAlign w:val="center"/>
          </w:tcPr>
          <w:p w:rsidR="009960A0" w:rsidRDefault="00C41D5F">
            <w:pPr>
              <w:jc w:val="right"/>
            </w:pPr>
            <w:r>
              <w:rPr>
                <w:color w:val="000000" w:themeColor="text1"/>
                <w:sz w:val="24"/>
              </w:rPr>
              <w:t>0.25%</w:t>
            </w:r>
          </w:p>
        </w:tc>
        <w:tc>
          <w:tcPr>
            <w:tcW w:w="1291" w:type="dxa"/>
            <w:vAlign w:val="center"/>
          </w:tcPr>
          <w:p w:rsidR="009960A0" w:rsidRDefault="00C41D5F">
            <w:pPr>
              <w:jc w:val="right"/>
            </w:pPr>
            <w:r>
              <w:rPr>
                <w:color w:val="000000" w:themeColor="text1"/>
                <w:sz w:val="24"/>
              </w:rPr>
              <w:t>3.69%</w:t>
            </w:r>
          </w:p>
        </w:tc>
        <w:tc>
          <w:tcPr>
            <w:tcW w:w="1291" w:type="dxa"/>
            <w:vAlign w:val="center"/>
          </w:tcPr>
          <w:p w:rsidR="009960A0" w:rsidRDefault="00C41D5F">
            <w:pPr>
              <w:jc w:val="right"/>
            </w:pPr>
            <w:r>
              <w:rPr>
                <w:color w:val="000000" w:themeColor="text1"/>
                <w:sz w:val="24"/>
              </w:rPr>
              <w:t>0.22%</w:t>
            </w:r>
          </w:p>
        </w:tc>
        <w:tc>
          <w:tcPr>
            <w:tcW w:w="1291" w:type="dxa"/>
            <w:vAlign w:val="center"/>
          </w:tcPr>
          <w:p w:rsidR="009960A0" w:rsidRDefault="00C41D5F">
            <w:pPr>
              <w:jc w:val="right"/>
            </w:pPr>
            <w:r>
              <w:rPr>
                <w:color w:val="000000" w:themeColor="text1"/>
                <w:sz w:val="24"/>
              </w:rPr>
              <w:t>-0.12%</w:t>
            </w:r>
          </w:p>
        </w:tc>
        <w:tc>
          <w:tcPr>
            <w:tcW w:w="1291" w:type="dxa"/>
            <w:vAlign w:val="center"/>
          </w:tcPr>
          <w:p w:rsidR="009960A0" w:rsidRDefault="00C41D5F">
            <w:pPr>
              <w:jc w:val="right"/>
            </w:pPr>
            <w:r>
              <w:rPr>
                <w:color w:val="000000" w:themeColor="text1"/>
                <w:sz w:val="24"/>
              </w:rPr>
              <w:t>0.03%</w:t>
            </w:r>
          </w:p>
        </w:tc>
      </w:tr>
      <w:tr w:rsidR="009960A0">
        <w:tc>
          <w:tcPr>
            <w:tcW w:w="1290" w:type="dxa"/>
            <w:vAlign w:val="center"/>
          </w:tcPr>
          <w:p w:rsidR="009960A0" w:rsidRDefault="00C41D5F">
            <w:pPr>
              <w:jc w:val="left"/>
            </w:pPr>
            <w:r>
              <w:rPr>
                <w:color w:val="000000" w:themeColor="text1"/>
                <w:sz w:val="24"/>
              </w:rPr>
              <w:t>过去一年</w:t>
            </w:r>
          </w:p>
        </w:tc>
        <w:tc>
          <w:tcPr>
            <w:tcW w:w="1291" w:type="dxa"/>
            <w:vAlign w:val="center"/>
          </w:tcPr>
          <w:p w:rsidR="009960A0" w:rsidRDefault="00C41D5F">
            <w:pPr>
              <w:jc w:val="right"/>
            </w:pPr>
            <w:r>
              <w:rPr>
                <w:color w:val="000000" w:themeColor="text1"/>
                <w:sz w:val="24"/>
              </w:rPr>
              <w:t>7.60%</w:t>
            </w:r>
          </w:p>
        </w:tc>
        <w:tc>
          <w:tcPr>
            <w:tcW w:w="1291" w:type="dxa"/>
            <w:vAlign w:val="center"/>
          </w:tcPr>
          <w:p w:rsidR="009960A0" w:rsidRDefault="00C41D5F">
            <w:pPr>
              <w:jc w:val="right"/>
            </w:pPr>
            <w:r>
              <w:rPr>
                <w:color w:val="000000" w:themeColor="text1"/>
                <w:sz w:val="24"/>
              </w:rPr>
              <w:t>0.20%</w:t>
            </w:r>
          </w:p>
        </w:tc>
        <w:tc>
          <w:tcPr>
            <w:tcW w:w="1291" w:type="dxa"/>
            <w:vAlign w:val="center"/>
          </w:tcPr>
          <w:p w:rsidR="009960A0" w:rsidRDefault="00C41D5F">
            <w:pPr>
              <w:jc w:val="right"/>
            </w:pPr>
            <w:r>
              <w:rPr>
                <w:color w:val="000000" w:themeColor="text1"/>
                <w:sz w:val="24"/>
              </w:rPr>
              <w:t>6.39%</w:t>
            </w:r>
          </w:p>
        </w:tc>
        <w:tc>
          <w:tcPr>
            <w:tcW w:w="1291" w:type="dxa"/>
            <w:vAlign w:val="center"/>
          </w:tcPr>
          <w:p w:rsidR="009960A0" w:rsidRDefault="00C41D5F">
            <w:pPr>
              <w:jc w:val="right"/>
            </w:pPr>
            <w:r>
              <w:rPr>
                <w:color w:val="000000" w:themeColor="text1"/>
                <w:sz w:val="24"/>
              </w:rPr>
              <w:t>0.19%</w:t>
            </w:r>
          </w:p>
        </w:tc>
        <w:tc>
          <w:tcPr>
            <w:tcW w:w="1291" w:type="dxa"/>
            <w:vAlign w:val="center"/>
          </w:tcPr>
          <w:p w:rsidR="009960A0" w:rsidRDefault="00C41D5F">
            <w:pPr>
              <w:jc w:val="right"/>
            </w:pPr>
            <w:r>
              <w:rPr>
                <w:color w:val="000000" w:themeColor="text1"/>
                <w:sz w:val="24"/>
              </w:rPr>
              <w:t>1.21%</w:t>
            </w:r>
          </w:p>
        </w:tc>
        <w:tc>
          <w:tcPr>
            <w:tcW w:w="1291" w:type="dxa"/>
            <w:vAlign w:val="center"/>
          </w:tcPr>
          <w:p w:rsidR="009960A0" w:rsidRDefault="00C41D5F">
            <w:pPr>
              <w:jc w:val="right"/>
            </w:pPr>
            <w:r>
              <w:rPr>
                <w:color w:val="000000" w:themeColor="text1"/>
                <w:sz w:val="24"/>
              </w:rPr>
              <w:t>0.01%</w:t>
            </w:r>
          </w:p>
        </w:tc>
      </w:tr>
      <w:tr w:rsidR="009960A0">
        <w:tc>
          <w:tcPr>
            <w:tcW w:w="1290" w:type="dxa"/>
            <w:vAlign w:val="center"/>
          </w:tcPr>
          <w:p w:rsidR="009960A0" w:rsidRDefault="00C41D5F">
            <w:pPr>
              <w:jc w:val="left"/>
            </w:pPr>
            <w:r>
              <w:rPr>
                <w:color w:val="000000" w:themeColor="text1"/>
                <w:sz w:val="24"/>
              </w:rPr>
              <w:t>过去三年</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r>
      <w:tr w:rsidR="009960A0">
        <w:tc>
          <w:tcPr>
            <w:tcW w:w="1290" w:type="dxa"/>
            <w:vAlign w:val="center"/>
          </w:tcPr>
          <w:p w:rsidR="009960A0" w:rsidRDefault="00C41D5F">
            <w:pPr>
              <w:jc w:val="left"/>
            </w:pPr>
            <w:r>
              <w:rPr>
                <w:color w:val="000000" w:themeColor="text1"/>
                <w:sz w:val="24"/>
              </w:rPr>
              <w:t>过去五年</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r>
      <w:tr w:rsidR="009960A0">
        <w:tc>
          <w:tcPr>
            <w:tcW w:w="1290" w:type="dxa"/>
            <w:vAlign w:val="center"/>
          </w:tcPr>
          <w:p w:rsidR="009960A0" w:rsidRDefault="00C41D5F">
            <w:pPr>
              <w:jc w:val="left"/>
            </w:pPr>
            <w:r>
              <w:rPr>
                <w:color w:val="000000" w:themeColor="text1"/>
                <w:sz w:val="24"/>
              </w:rPr>
              <w:lastRenderedPageBreak/>
              <w:t>自基金合同生效起至今</w:t>
            </w:r>
          </w:p>
        </w:tc>
        <w:tc>
          <w:tcPr>
            <w:tcW w:w="1291" w:type="dxa"/>
            <w:vAlign w:val="center"/>
          </w:tcPr>
          <w:p w:rsidR="009960A0" w:rsidRDefault="00C41D5F">
            <w:pPr>
              <w:jc w:val="right"/>
            </w:pPr>
            <w:r>
              <w:rPr>
                <w:color w:val="000000" w:themeColor="text1"/>
                <w:sz w:val="24"/>
              </w:rPr>
              <w:t>7.38%</w:t>
            </w:r>
          </w:p>
        </w:tc>
        <w:tc>
          <w:tcPr>
            <w:tcW w:w="1291" w:type="dxa"/>
            <w:vAlign w:val="center"/>
          </w:tcPr>
          <w:p w:rsidR="009960A0" w:rsidRDefault="00C41D5F">
            <w:pPr>
              <w:jc w:val="right"/>
            </w:pPr>
            <w:r>
              <w:rPr>
                <w:color w:val="000000" w:themeColor="text1"/>
                <w:sz w:val="24"/>
              </w:rPr>
              <w:t>0.20%</w:t>
            </w:r>
          </w:p>
        </w:tc>
        <w:tc>
          <w:tcPr>
            <w:tcW w:w="1291" w:type="dxa"/>
            <w:vAlign w:val="center"/>
          </w:tcPr>
          <w:p w:rsidR="009960A0" w:rsidRDefault="00C41D5F">
            <w:pPr>
              <w:jc w:val="right"/>
            </w:pPr>
            <w:r>
              <w:rPr>
                <w:color w:val="000000" w:themeColor="text1"/>
                <w:sz w:val="24"/>
              </w:rPr>
              <w:t>6.75%</w:t>
            </w:r>
          </w:p>
        </w:tc>
        <w:tc>
          <w:tcPr>
            <w:tcW w:w="1291" w:type="dxa"/>
            <w:vAlign w:val="center"/>
          </w:tcPr>
          <w:p w:rsidR="009960A0" w:rsidRDefault="00C41D5F">
            <w:pPr>
              <w:jc w:val="right"/>
            </w:pPr>
            <w:r>
              <w:rPr>
                <w:color w:val="000000" w:themeColor="text1"/>
                <w:sz w:val="24"/>
              </w:rPr>
              <w:t>0.18%</w:t>
            </w:r>
          </w:p>
        </w:tc>
        <w:tc>
          <w:tcPr>
            <w:tcW w:w="1291" w:type="dxa"/>
            <w:vAlign w:val="center"/>
          </w:tcPr>
          <w:p w:rsidR="009960A0" w:rsidRDefault="00C41D5F">
            <w:pPr>
              <w:jc w:val="right"/>
            </w:pPr>
            <w:r>
              <w:rPr>
                <w:color w:val="000000" w:themeColor="text1"/>
                <w:sz w:val="24"/>
              </w:rPr>
              <w:t>0.63%</w:t>
            </w:r>
          </w:p>
        </w:tc>
        <w:tc>
          <w:tcPr>
            <w:tcW w:w="1291" w:type="dxa"/>
            <w:vAlign w:val="center"/>
          </w:tcPr>
          <w:p w:rsidR="009960A0" w:rsidRDefault="00C41D5F">
            <w:pPr>
              <w:jc w:val="right"/>
            </w:pPr>
            <w:r>
              <w:rPr>
                <w:color w:val="000000" w:themeColor="text1"/>
                <w:sz w:val="24"/>
              </w:rPr>
              <w:t>0.02%</w:t>
            </w:r>
          </w:p>
        </w:tc>
      </w:tr>
    </w:tbl>
    <w:p w:rsidR="0065601A" w:rsidRPr="00A67563" w:rsidRDefault="0065601A" w:rsidP="00775284">
      <w:pPr>
        <w:adjustRightInd w:val="0"/>
        <w:spacing w:beforeLines="50" w:before="156" w:line="360" w:lineRule="auto"/>
        <w:rPr>
          <w:b/>
          <w:color w:val="000000" w:themeColor="text1"/>
          <w:kern w:val="0"/>
          <w:sz w:val="24"/>
        </w:rPr>
      </w:pPr>
      <w:r w:rsidRPr="00A67563">
        <w:rPr>
          <w:b/>
          <w:color w:val="000000" w:themeColor="text1"/>
          <w:kern w:val="0"/>
          <w:sz w:val="24"/>
        </w:rPr>
        <w:t>易方达中短期美元债债券（</w:t>
      </w:r>
      <w:r w:rsidRPr="00A67563">
        <w:rPr>
          <w:b/>
          <w:color w:val="000000" w:themeColor="text1"/>
          <w:kern w:val="0"/>
          <w:sz w:val="24"/>
        </w:rPr>
        <w:t>QDII</w:t>
      </w:r>
      <w:r w:rsidRPr="00A67563">
        <w:rPr>
          <w:b/>
          <w:color w:val="000000" w:themeColor="text1"/>
          <w:kern w:val="0"/>
          <w:sz w:val="24"/>
        </w:rPr>
        <w:t>）</w:t>
      </w:r>
      <w:r w:rsidRPr="00A67563">
        <w:rPr>
          <w:b/>
          <w:color w:val="000000" w:themeColor="text1"/>
          <w:kern w:val="0"/>
          <w:sz w:val="24"/>
        </w:rPr>
        <w:t>C</w:t>
      </w:r>
    </w:p>
    <w:tbl>
      <w:tblPr>
        <w:tblStyle w:val="af7"/>
        <w:tblW w:w="0" w:type="auto"/>
        <w:tblInd w:w="108" w:type="dxa"/>
        <w:tblLayout w:type="fixed"/>
        <w:tblLook w:val="04A0" w:firstRow="1" w:lastRow="0" w:firstColumn="1" w:lastColumn="0" w:noHBand="0" w:noVBand="1"/>
      </w:tblPr>
      <w:tblGrid>
        <w:gridCol w:w="1290"/>
        <w:gridCol w:w="1291"/>
        <w:gridCol w:w="1291"/>
        <w:gridCol w:w="1291"/>
        <w:gridCol w:w="1291"/>
        <w:gridCol w:w="1291"/>
        <w:gridCol w:w="1291"/>
      </w:tblGrid>
      <w:tr w:rsidR="0065601A" w:rsidRPr="00A67563" w:rsidTr="00845292">
        <w:tc>
          <w:tcPr>
            <w:tcW w:w="1290"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阶段</w:t>
            </w:r>
          </w:p>
        </w:tc>
        <w:tc>
          <w:tcPr>
            <w:tcW w:w="1291" w:type="dxa"/>
            <w:vAlign w:val="center"/>
          </w:tcPr>
          <w:p w:rsidR="0065601A" w:rsidRPr="00A67563" w:rsidRDefault="0065601A" w:rsidP="00845292">
            <w:pPr>
              <w:snapToGrid w:val="0"/>
              <w:spacing w:line="288" w:lineRule="auto"/>
              <w:jc w:val="center"/>
              <w:rPr>
                <w:color w:val="000000" w:themeColor="text1"/>
                <w:sz w:val="24"/>
                <w:highlight w:val="green"/>
              </w:rPr>
            </w:pPr>
            <w:r w:rsidRPr="00A67563">
              <w:rPr>
                <w:color w:val="000000" w:themeColor="text1"/>
                <w:sz w:val="24"/>
              </w:rPr>
              <w:t>净值增长率</w:t>
            </w:r>
            <w:r w:rsidRPr="00A67563">
              <w:rPr>
                <w:rFonts w:ascii="宋体" w:hAnsi="宋体" w:cs="宋体" w:hint="eastAsia"/>
                <w:color w:val="000000" w:themeColor="text1"/>
                <w:sz w:val="24"/>
              </w:rPr>
              <w:t>①</w:t>
            </w:r>
          </w:p>
        </w:tc>
        <w:tc>
          <w:tcPr>
            <w:tcW w:w="1291" w:type="dxa"/>
            <w:vAlign w:val="center"/>
          </w:tcPr>
          <w:p w:rsidR="0065601A" w:rsidRPr="00A67563" w:rsidRDefault="0065601A" w:rsidP="00845292">
            <w:pPr>
              <w:snapToGrid w:val="0"/>
              <w:spacing w:line="288" w:lineRule="auto"/>
              <w:jc w:val="center"/>
              <w:rPr>
                <w:color w:val="000000" w:themeColor="text1"/>
                <w:sz w:val="24"/>
                <w:highlight w:val="green"/>
              </w:rPr>
            </w:pPr>
            <w:r w:rsidRPr="00A67563">
              <w:rPr>
                <w:color w:val="000000" w:themeColor="text1"/>
                <w:sz w:val="24"/>
              </w:rPr>
              <w:t>净值增长率标准差</w:t>
            </w:r>
            <w:r w:rsidRPr="00A67563">
              <w:rPr>
                <w:rFonts w:ascii="宋体" w:hAnsi="宋体" w:cs="宋体" w:hint="eastAsia"/>
                <w:color w:val="000000" w:themeColor="text1"/>
                <w:sz w:val="24"/>
              </w:rPr>
              <w:t>②</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业绩比较基准收益率标准差</w:t>
            </w:r>
            <w:r w:rsidRPr="00A67563">
              <w:rPr>
                <w:rFonts w:ascii="宋体" w:hAnsi="宋体" w:cs="宋体" w:hint="eastAsia"/>
                <w:color w:val="000000" w:themeColor="text1"/>
                <w:sz w:val="24"/>
              </w:rPr>
              <w:t>④</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①</w:t>
            </w:r>
            <w:r w:rsidRPr="00A67563">
              <w:rPr>
                <w:color w:val="000000" w:themeColor="text1"/>
                <w:sz w:val="24"/>
              </w:rPr>
              <w:t>－</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②</w:t>
            </w:r>
            <w:r w:rsidRPr="00A67563">
              <w:rPr>
                <w:color w:val="000000" w:themeColor="text1"/>
                <w:sz w:val="24"/>
              </w:rPr>
              <w:t>－</w:t>
            </w:r>
            <w:r w:rsidRPr="00A67563">
              <w:rPr>
                <w:rFonts w:ascii="宋体" w:hAnsi="宋体" w:cs="宋体" w:hint="eastAsia"/>
                <w:color w:val="000000" w:themeColor="text1"/>
                <w:sz w:val="24"/>
              </w:rPr>
              <w:t>④</w:t>
            </w:r>
          </w:p>
        </w:tc>
      </w:tr>
      <w:tr w:rsidR="009960A0">
        <w:tc>
          <w:tcPr>
            <w:tcW w:w="1290" w:type="dxa"/>
            <w:vAlign w:val="center"/>
          </w:tcPr>
          <w:p w:rsidR="009960A0" w:rsidRDefault="00C41D5F">
            <w:pPr>
              <w:jc w:val="left"/>
            </w:pPr>
            <w:r>
              <w:rPr>
                <w:color w:val="000000" w:themeColor="text1"/>
                <w:sz w:val="24"/>
              </w:rPr>
              <w:t>过去三个月</w:t>
            </w:r>
          </w:p>
        </w:tc>
        <w:tc>
          <w:tcPr>
            <w:tcW w:w="1291" w:type="dxa"/>
            <w:vAlign w:val="center"/>
          </w:tcPr>
          <w:p w:rsidR="009960A0" w:rsidRDefault="00C41D5F">
            <w:pPr>
              <w:jc w:val="right"/>
            </w:pPr>
            <w:r>
              <w:rPr>
                <w:color w:val="000000" w:themeColor="text1"/>
                <w:sz w:val="24"/>
              </w:rPr>
              <w:t>3.21%</w:t>
            </w:r>
          </w:p>
        </w:tc>
        <w:tc>
          <w:tcPr>
            <w:tcW w:w="1291" w:type="dxa"/>
            <w:vAlign w:val="center"/>
          </w:tcPr>
          <w:p w:rsidR="009960A0" w:rsidRDefault="00C41D5F">
            <w:pPr>
              <w:jc w:val="right"/>
            </w:pPr>
            <w:r>
              <w:rPr>
                <w:color w:val="000000" w:themeColor="text1"/>
                <w:sz w:val="24"/>
              </w:rPr>
              <w:t>0.21%</w:t>
            </w:r>
          </w:p>
        </w:tc>
        <w:tc>
          <w:tcPr>
            <w:tcW w:w="1291" w:type="dxa"/>
            <w:vAlign w:val="center"/>
          </w:tcPr>
          <w:p w:rsidR="009960A0" w:rsidRDefault="00C41D5F">
            <w:pPr>
              <w:jc w:val="right"/>
            </w:pPr>
            <w:r>
              <w:rPr>
                <w:color w:val="000000" w:themeColor="text1"/>
                <w:sz w:val="24"/>
              </w:rPr>
              <w:t>1.41%</w:t>
            </w:r>
          </w:p>
        </w:tc>
        <w:tc>
          <w:tcPr>
            <w:tcW w:w="1291" w:type="dxa"/>
            <w:vAlign w:val="center"/>
          </w:tcPr>
          <w:p w:rsidR="009960A0" w:rsidRDefault="00C41D5F">
            <w:pPr>
              <w:jc w:val="right"/>
            </w:pPr>
            <w:r>
              <w:rPr>
                <w:color w:val="000000" w:themeColor="text1"/>
                <w:sz w:val="24"/>
              </w:rPr>
              <w:t>0.19%</w:t>
            </w:r>
          </w:p>
        </w:tc>
        <w:tc>
          <w:tcPr>
            <w:tcW w:w="1291" w:type="dxa"/>
            <w:vAlign w:val="center"/>
          </w:tcPr>
          <w:p w:rsidR="009960A0" w:rsidRDefault="00C41D5F">
            <w:pPr>
              <w:jc w:val="right"/>
            </w:pPr>
            <w:r>
              <w:rPr>
                <w:color w:val="000000" w:themeColor="text1"/>
                <w:sz w:val="24"/>
              </w:rPr>
              <w:t>1.80%</w:t>
            </w:r>
          </w:p>
        </w:tc>
        <w:tc>
          <w:tcPr>
            <w:tcW w:w="1291" w:type="dxa"/>
            <w:vAlign w:val="center"/>
          </w:tcPr>
          <w:p w:rsidR="009960A0" w:rsidRDefault="00C41D5F">
            <w:pPr>
              <w:jc w:val="right"/>
            </w:pPr>
            <w:r>
              <w:rPr>
                <w:color w:val="000000" w:themeColor="text1"/>
                <w:sz w:val="24"/>
              </w:rPr>
              <w:t>0.02%</w:t>
            </w:r>
          </w:p>
        </w:tc>
      </w:tr>
      <w:tr w:rsidR="009960A0">
        <w:tc>
          <w:tcPr>
            <w:tcW w:w="1290" w:type="dxa"/>
            <w:vAlign w:val="center"/>
          </w:tcPr>
          <w:p w:rsidR="009960A0" w:rsidRDefault="00C41D5F">
            <w:pPr>
              <w:jc w:val="left"/>
            </w:pPr>
            <w:r>
              <w:rPr>
                <w:color w:val="000000" w:themeColor="text1"/>
                <w:sz w:val="24"/>
              </w:rPr>
              <w:t>过去六个月</w:t>
            </w:r>
          </w:p>
        </w:tc>
        <w:tc>
          <w:tcPr>
            <w:tcW w:w="1291" w:type="dxa"/>
            <w:vAlign w:val="center"/>
          </w:tcPr>
          <w:p w:rsidR="009960A0" w:rsidRDefault="00C41D5F">
            <w:pPr>
              <w:jc w:val="right"/>
            </w:pPr>
            <w:r>
              <w:rPr>
                <w:color w:val="000000" w:themeColor="text1"/>
                <w:sz w:val="24"/>
              </w:rPr>
              <w:t>3.42%</w:t>
            </w:r>
          </w:p>
        </w:tc>
        <w:tc>
          <w:tcPr>
            <w:tcW w:w="1291" w:type="dxa"/>
            <w:vAlign w:val="center"/>
          </w:tcPr>
          <w:p w:rsidR="009960A0" w:rsidRDefault="00C41D5F">
            <w:pPr>
              <w:jc w:val="right"/>
            </w:pPr>
            <w:r>
              <w:rPr>
                <w:color w:val="000000" w:themeColor="text1"/>
                <w:sz w:val="24"/>
              </w:rPr>
              <w:t>0.25%</w:t>
            </w:r>
          </w:p>
        </w:tc>
        <w:tc>
          <w:tcPr>
            <w:tcW w:w="1291" w:type="dxa"/>
            <w:vAlign w:val="center"/>
          </w:tcPr>
          <w:p w:rsidR="009960A0" w:rsidRDefault="00C41D5F">
            <w:pPr>
              <w:jc w:val="right"/>
            </w:pPr>
            <w:r>
              <w:rPr>
                <w:color w:val="000000" w:themeColor="text1"/>
                <w:sz w:val="24"/>
              </w:rPr>
              <w:t>3.69%</w:t>
            </w:r>
          </w:p>
        </w:tc>
        <w:tc>
          <w:tcPr>
            <w:tcW w:w="1291" w:type="dxa"/>
            <w:vAlign w:val="center"/>
          </w:tcPr>
          <w:p w:rsidR="009960A0" w:rsidRDefault="00C41D5F">
            <w:pPr>
              <w:jc w:val="right"/>
            </w:pPr>
            <w:r>
              <w:rPr>
                <w:color w:val="000000" w:themeColor="text1"/>
                <w:sz w:val="24"/>
              </w:rPr>
              <w:t>0.22%</w:t>
            </w:r>
          </w:p>
        </w:tc>
        <w:tc>
          <w:tcPr>
            <w:tcW w:w="1291" w:type="dxa"/>
            <w:vAlign w:val="center"/>
          </w:tcPr>
          <w:p w:rsidR="009960A0" w:rsidRDefault="00C41D5F">
            <w:pPr>
              <w:jc w:val="right"/>
            </w:pPr>
            <w:r>
              <w:rPr>
                <w:color w:val="000000" w:themeColor="text1"/>
                <w:sz w:val="24"/>
              </w:rPr>
              <w:t>-0.27%</w:t>
            </w:r>
          </w:p>
        </w:tc>
        <w:tc>
          <w:tcPr>
            <w:tcW w:w="1291" w:type="dxa"/>
            <w:vAlign w:val="center"/>
          </w:tcPr>
          <w:p w:rsidR="009960A0" w:rsidRDefault="00C41D5F">
            <w:pPr>
              <w:jc w:val="right"/>
            </w:pPr>
            <w:r>
              <w:rPr>
                <w:color w:val="000000" w:themeColor="text1"/>
                <w:sz w:val="24"/>
              </w:rPr>
              <w:t>0.03%</w:t>
            </w:r>
          </w:p>
        </w:tc>
      </w:tr>
      <w:tr w:rsidR="009960A0">
        <w:tc>
          <w:tcPr>
            <w:tcW w:w="1290" w:type="dxa"/>
            <w:vAlign w:val="center"/>
          </w:tcPr>
          <w:p w:rsidR="009960A0" w:rsidRDefault="00C41D5F">
            <w:pPr>
              <w:jc w:val="left"/>
            </w:pPr>
            <w:r>
              <w:rPr>
                <w:color w:val="000000" w:themeColor="text1"/>
                <w:sz w:val="24"/>
              </w:rPr>
              <w:t>过去一年</w:t>
            </w:r>
          </w:p>
        </w:tc>
        <w:tc>
          <w:tcPr>
            <w:tcW w:w="1291" w:type="dxa"/>
            <w:vAlign w:val="center"/>
          </w:tcPr>
          <w:p w:rsidR="009960A0" w:rsidRDefault="00C41D5F">
            <w:pPr>
              <w:jc w:val="right"/>
            </w:pPr>
            <w:r>
              <w:rPr>
                <w:color w:val="000000" w:themeColor="text1"/>
                <w:sz w:val="24"/>
              </w:rPr>
              <w:t>7.29%</w:t>
            </w:r>
          </w:p>
        </w:tc>
        <w:tc>
          <w:tcPr>
            <w:tcW w:w="1291" w:type="dxa"/>
            <w:vAlign w:val="center"/>
          </w:tcPr>
          <w:p w:rsidR="009960A0" w:rsidRDefault="00C41D5F">
            <w:pPr>
              <w:jc w:val="right"/>
            </w:pPr>
            <w:r>
              <w:rPr>
                <w:color w:val="000000" w:themeColor="text1"/>
                <w:sz w:val="24"/>
              </w:rPr>
              <w:t>0.20%</w:t>
            </w:r>
          </w:p>
        </w:tc>
        <w:tc>
          <w:tcPr>
            <w:tcW w:w="1291" w:type="dxa"/>
            <w:vAlign w:val="center"/>
          </w:tcPr>
          <w:p w:rsidR="009960A0" w:rsidRDefault="00C41D5F">
            <w:pPr>
              <w:jc w:val="right"/>
            </w:pPr>
            <w:r>
              <w:rPr>
                <w:color w:val="000000" w:themeColor="text1"/>
                <w:sz w:val="24"/>
              </w:rPr>
              <w:t>6.39%</w:t>
            </w:r>
          </w:p>
        </w:tc>
        <w:tc>
          <w:tcPr>
            <w:tcW w:w="1291" w:type="dxa"/>
            <w:vAlign w:val="center"/>
          </w:tcPr>
          <w:p w:rsidR="009960A0" w:rsidRDefault="00C41D5F">
            <w:pPr>
              <w:jc w:val="right"/>
            </w:pPr>
            <w:r>
              <w:rPr>
                <w:color w:val="000000" w:themeColor="text1"/>
                <w:sz w:val="24"/>
              </w:rPr>
              <w:t>0.19%</w:t>
            </w:r>
          </w:p>
        </w:tc>
        <w:tc>
          <w:tcPr>
            <w:tcW w:w="1291" w:type="dxa"/>
            <w:vAlign w:val="center"/>
          </w:tcPr>
          <w:p w:rsidR="009960A0" w:rsidRDefault="00C41D5F">
            <w:pPr>
              <w:jc w:val="right"/>
            </w:pPr>
            <w:r>
              <w:rPr>
                <w:color w:val="000000" w:themeColor="text1"/>
                <w:sz w:val="24"/>
              </w:rPr>
              <w:t>0.90%</w:t>
            </w:r>
          </w:p>
        </w:tc>
        <w:tc>
          <w:tcPr>
            <w:tcW w:w="1291" w:type="dxa"/>
            <w:vAlign w:val="center"/>
          </w:tcPr>
          <w:p w:rsidR="009960A0" w:rsidRDefault="00C41D5F">
            <w:pPr>
              <w:jc w:val="right"/>
            </w:pPr>
            <w:r>
              <w:rPr>
                <w:color w:val="000000" w:themeColor="text1"/>
                <w:sz w:val="24"/>
              </w:rPr>
              <w:t>0.01%</w:t>
            </w:r>
          </w:p>
        </w:tc>
      </w:tr>
      <w:tr w:rsidR="009960A0">
        <w:tc>
          <w:tcPr>
            <w:tcW w:w="1290" w:type="dxa"/>
            <w:vAlign w:val="center"/>
          </w:tcPr>
          <w:p w:rsidR="009960A0" w:rsidRDefault="00C41D5F">
            <w:pPr>
              <w:jc w:val="left"/>
            </w:pPr>
            <w:r>
              <w:rPr>
                <w:color w:val="000000" w:themeColor="text1"/>
                <w:sz w:val="24"/>
              </w:rPr>
              <w:t>过去三年</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r>
      <w:tr w:rsidR="009960A0">
        <w:tc>
          <w:tcPr>
            <w:tcW w:w="1290" w:type="dxa"/>
            <w:vAlign w:val="center"/>
          </w:tcPr>
          <w:p w:rsidR="009960A0" w:rsidRDefault="00C41D5F">
            <w:pPr>
              <w:jc w:val="left"/>
            </w:pPr>
            <w:r>
              <w:rPr>
                <w:color w:val="000000" w:themeColor="text1"/>
                <w:sz w:val="24"/>
              </w:rPr>
              <w:t>过去五年</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c>
          <w:tcPr>
            <w:tcW w:w="1291" w:type="dxa"/>
            <w:vAlign w:val="center"/>
          </w:tcPr>
          <w:p w:rsidR="009960A0" w:rsidRDefault="00C41D5F">
            <w:pPr>
              <w:jc w:val="right"/>
            </w:pPr>
            <w:r>
              <w:rPr>
                <w:color w:val="000000" w:themeColor="text1"/>
                <w:sz w:val="24"/>
              </w:rPr>
              <w:t>-</w:t>
            </w:r>
          </w:p>
        </w:tc>
      </w:tr>
      <w:tr w:rsidR="009960A0">
        <w:tc>
          <w:tcPr>
            <w:tcW w:w="1290" w:type="dxa"/>
            <w:vAlign w:val="center"/>
          </w:tcPr>
          <w:p w:rsidR="009960A0" w:rsidRDefault="00C41D5F">
            <w:pPr>
              <w:jc w:val="left"/>
            </w:pPr>
            <w:r>
              <w:rPr>
                <w:color w:val="000000" w:themeColor="text1"/>
                <w:sz w:val="24"/>
              </w:rPr>
              <w:t>自基金合同生效起至今</w:t>
            </w:r>
          </w:p>
        </w:tc>
        <w:tc>
          <w:tcPr>
            <w:tcW w:w="1291" w:type="dxa"/>
            <w:vAlign w:val="center"/>
          </w:tcPr>
          <w:p w:rsidR="009960A0" w:rsidRDefault="00C41D5F">
            <w:pPr>
              <w:jc w:val="right"/>
            </w:pPr>
            <w:r>
              <w:rPr>
                <w:color w:val="000000" w:themeColor="text1"/>
                <w:sz w:val="24"/>
              </w:rPr>
              <w:t>7.08%</w:t>
            </w:r>
          </w:p>
        </w:tc>
        <w:tc>
          <w:tcPr>
            <w:tcW w:w="1291" w:type="dxa"/>
            <w:vAlign w:val="center"/>
          </w:tcPr>
          <w:p w:rsidR="009960A0" w:rsidRDefault="00C41D5F">
            <w:pPr>
              <w:jc w:val="right"/>
            </w:pPr>
            <w:r>
              <w:rPr>
                <w:color w:val="000000" w:themeColor="text1"/>
                <w:sz w:val="24"/>
              </w:rPr>
              <w:t>0.20%</w:t>
            </w:r>
          </w:p>
        </w:tc>
        <w:tc>
          <w:tcPr>
            <w:tcW w:w="1291" w:type="dxa"/>
            <w:vAlign w:val="center"/>
          </w:tcPr>
          <w:p w:rsidR="009960A0" w:rsidRDefault="00C41D5F">
            <w:pPr>
              <w:jc w:val="right"/>
            </w:pPr>
            <w:r>
              <w:rPr>
                <w:color w:val="000000" w:themeColor="text1"/>
                <w:sz w:val="24"/>
              </w:rPr>
              <w:t>6.75%</w:t>
            </w:r>
          </w:p>
        </w:tc>
        <w:tc>
          <w:tcPr>
            <w:tcW w:w="1291" w:type="dxa"/>
            <w:vAlign w:val="center"/>
          </w:tcPr>
          <w:p w:rsidR="009960A0" w:rsidRDefault="00C41D5F">
            <w:pPr>
              <w:jc w:val="right"/>
            </w:pPr>
            <w:r>
              <w:rPr>
                <w:color w:val="000000" w:themeColor="text1"/>
                <w:sz w:val="24"/>
              </w:rPr>
              <w:t>0.18%</w:t>
            </w:r>
          </w:p>
        </w:tc>
        <w:tc>
          <w:tcPr>
            <w:tcW w:w="1291" w:type="dxa"/>
            <w:vAlign w:val="center"/>
          </w:tcPr>
          <w:p w:rsidR="009960A0" w:rsidRDefault="00C41D5F">
            <w:pPr>
              <w:jc w:val="right"/>
            </w:pPr>
            <w:r>
              <w:rPr>
                <w:color w:val="000000" w:themeColor="text1"/>
                <w:sz w:val="24"/>
              </w:rPr>
              <w:t>0.33%</w:t>
            </w:r>
          </w:p>
        </w:tc>
        <w:tc>
          <w:tcPr>
            <w:tcW w:w="1291" w:type="dxa"/>
            <w:vAlign w:val="center"/>
          </w:tcPr>
          <w:p w:rsidR="009960A0" w:rsidRDefault="00C41D5F">
            <w:pPr>
              <w:jc w:val="right"/>
            </w:pPr>
            <w:r>
              <w:rPr>
                <w:color w:val="000000" w:themeColor="text1"/>
                <w:sz w:val="24"/>
              </w:rPr>
              <w:t>0.02%</w:t>
            </w:r>
          </w:p>
        </w:tc>
      </w:tr>
    </w:tbl>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3.2.2</w:t>
      </w:r>
      <w:r w:rsidRPr="00A67563">
        <w:rPr>
          <w:b/>
          <w:color w:val="000000" w:themeColor="text1"/>
          <w:kern w:val="0"/>
          <w:sz w:val="24"/>
        </w:rPr>
        <w:t xml:space="preserve">　</w:t>
      </w:r>
      <w:r w:rsidR="009779FD" w:rsidRPr="00A67563">
        <w:rPr>
          <w:rStyle w:val="af8"/>
          <w:color w:val="000000" w:themeColor="text1"/>
          <w:sz w:val="24"/>
          <w:shd w:val="clear" w:color="auto" w:fill="FFFFFF"/>
        </w:rPr>
        <w:t>自基金合同生效以来</w:t>
      </w:r>
      <w:r w:rsidRPr="00A67563">
        <w:rPr>
          <w:b/>
          <w:color w:val="000000" w:themeColor="text1"/>
          <w:kern w:val="0"/>
          <w:sz w:val="24"/>
        </w:rPr>
        <w:t>基金累计</w:t>
      </w:r>
      <w:r w:rsidR="004339D9" w:rsidRPr="00A67563">
        <w:rPr>
          <w:b/>
          <w:color w:val="000000" w:themeColor="text1"/>
          <w:kern w:val="0"/>
          <w:sz w:val="24"/>
        </w:rPr>
        <w:t>份额</w:t>
      </w:r>
      <w:r w:rsidRPr="00A67563">
        <w:rPr>
          <w:b/>
          <w:color w:val="000000" w:themeColor="text1"/>
          <w:kern w:val="0"/>
          <w:sz w:val="24"/>
        </w:rPr>
        <w:t>净值增长率变动及其与同期业绩比较基准收益率变动的比较</w:t>
      </w:r>
    </w:p>
    <w:p w:rsidR="00A96FD9" w:rsidRPr="00A67563" w:rsidRDefault="00A96FD9" w:rsidP="00EC4BA3">
      <w:pPr>
        <w:spacing w:line="360" w:lineRule="auto"/>
        <w:jc w:val="center"/>
        <w:rPr>
          <w:color w:val="000000" w:themeColor="text1"/>
          <w:sz w:val="24"/>
        </w:rPr>
      </w:pPr>
      <w:r w:rsidRPr="00A67563">
        <w:rPr>
          <w:color w:val="000000" w:themeColor="text1"/>
          <w:sz w:val="24"/>
        </w:rPr>
        <w:t>易方达中短期美元债债券型证券投资基金（</w:t>
      </w:r>
      <w:r w:rsidRPr="00A67563">
        <w:rPr>
          <w:color w:val="000000" w:themeColor="text1"/>
          <w:sz w:val="24"/>
        </w:rPr>
        <w:t>QDII</w:t>
      </w:r>
      <w:r w:rsidRPr="00A67563">
        <w:rPr>
          <w:color w:val="000000" w:themeColor="text1"/>
          <w:sz w:val="24"/>
        </w:rPr>
        <w:t>）</w:t>
      </w:r>
    </w:p>
    <w:p w:rsidR="00520D90" w:rsidRDefault="0008610C" w:rsidP="00520D90">
      <w:pPr>
        <w:pStyle w:val="a5"/>
        <w:snapToGrid w:val="0"/>
        <w:spacing w:line="360" w:lineRule="auto"/>
        <w:ind w:firstLine="480"/>
        <w:jc w:val="center"/>
        <w:rPr>
          <w:rFonts w:ascii="Times New Roman" w:eastAsiaTheme="minorEastAsia" w:hAnsi="Times New Roman"/>
          <w:color w:val="000000" w:themeColor="text1"/>
          <w:sz w:val="24"/>
          <w:szCs w:val="24"/>
        </w:rPr>
      </w:pPr>
      <w:r>
        <w:rPr>
          <w:rFonts w:ascii="Times New Roman" w:hAnsi="Times New Roman" w:hint="eastAsia"/>
          <w:color w:val="000000"/>
          <w:sz w:val="24"/>
          <w:szCs w:val="24"/>
        </w:rPr>
        <w:t>累计净值增长率与业绩比较基准收益率的历史走势对比图</w:t>
      </w:r>
    </w:p>
    <w:p w:rsidR="00520D90" w:rsidRDefault="00520D90" w:rsidP="00520D90">
      <w:pPr>
        <w:pStyle w:val="a5"/>
        <w:snapToGrid w:val="0"/>
        <w:spacing w:line="36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2019</w:t>
      </w:r>
      <w:r>
        <w:rPr>
          <w:rFonts w:ascii="Times New Roman" w:hAnsi="Times New Roman"/>
          <w:sz w:val="24"/>
          <w:szCs w:val="24"/>
        </w:rPr>
        <w:t>年</w:t>
      </w:r>
      <w:r>
        <w:rPr>
          <w:rFonts w:ascii="Times New Roman" w:hAnsi="Times New Roman"/>
          <w:sz w:val="24"/>
          <w:szCs w:val="24"/>
        </w:rPr>
        <w:t>6</w:t>
      </w:r>
      <w:r>
        <w:rPr>
          <w:rFonts w:ascii="Times New Roman" w:hAnsi="Times New Roman"/>
          <w:sz w:val="24"/>
          <w:szCs w:val="24"/>
        </w:rPr>
        <w:t>月</w:t>
      </w:r>
      <w:r>
        <w:rPr>
          <w:rFonts w:ascii="Times New Roman" w:hAnsi="Times New Roman"/>
          <w:sz w:val="24"/>
          <w:szCs w:val="24"/>
        </w:rPr>
        <w:t>5</w:t>
      </w:r>
      <w:r>
        <w:rPr>
          <w:rFonts w:ascii="Times New Roman" w:hAnsi="Times New Roman"/>
          <w:sz w:val="24"/>
          <w:szCs w:val="24"/>
        </w:rPr>
        <w:t>日至</w:t>
      </w:r>
      <w:r>
        <w:rPr>
          <w:rFonts w:ascii="Times New Roman" w:hAnsi="Times New Roman"/>
          <w:sz w:val="24"/>
          <w:szCs w:val="24"/>
        </w:rPr>
        <w:t>2020</w:t>
      </w:r>
      <w:r>
        <w:rPr>
          <w:rFonts w:ascii="Times New Roman" w:hAnsi="Times New Roman"/>
          <w:sz w:val="24"/>
          <w:szCs w:val="24"/>
        </w:rPr>
        <w:t>年</w:t>
      </w:r>
      <w:r>
        <w:rPr>
          <w:rFonts w:ascii="Times New Roman" w:hAnsi="Times New Roman"/>
          <w:sz w:val="24"/>
          <w:szCs w:val="24"/>
        </w:rPr>
        <w:t>6</w:t>
      </w:r>
      <w:r>
        <w:rPr>
          <w:rFonts w:ascii="Times New Roman" w:hAnsi="Times New Roman"/>
          <w:sz w:val="24"/>
          <w:szCs w:val="24"/>
        </w:rPr>
        <w:t>月</w:t>
      </w:r>
      <w:r>
        <w:rPr>
          <w:rFonts w:ascii="Times New Roman" w:hAnsi="Times New Roman"/>
          <w:sz w:val="24"/>
          <w:szCs w:val="24"/>
        </w:rPr>
        <w:t>30</w:t>
      </w:r>
      <w:r>
        <w:rPr>
          <w:rFonts w:ascii="Times New Roman" w:hAnsi="Times New Roman"/>
          <w:sz w:val="24"/>
          <w:szCs w:val="24"/>
        </w:rPr>
        <w:t>日）</w:t>
      </w:r>
    </w:p>
    <w:p w:rsidR="00520D90" w:rsidRDefault="0065601A" w:rsidP="00520D90">
      <w:pPr>
        <w:snapToGrid w:val="0"/>
        <w:spacing w:line="360" w:lineRule="auto"/>
        <w:rPr>
          <w:rFonts w:eastAsiaTheme="minorEastAsia" w:hAnsiTheme="minorEastAsia"/>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A</w:t>
      </w:r>
    </w:p>
    <w:p w:rsidR="0065601A" w:rsidRPr="00A67563" w:rsidRDefault="0065601A" w:rsidP="0065601A">
      <w:pPr>
        <w:pStyle w:val="20"/>
        <w:spacing w:line="288" w:lineRule="auto"/>
        <w:ind w:firstLineChars="0" w:firstLine="0"/>
        <w:jc w:val="center"/>
        <w:rPr>
          <w:rFonts w:ascii="Times New Roman" w:hAnsi="Times New Roman"/>
          <w:color w:val="000000" w:themeColor="text1"/>
        </w:rPr>
      </w:pPr>
      <w:r w:rsidRPr="00A67563">
        <w:rPr>
          <w:rFonts w:ascii="Times New Roman" w:hAnsi="Times New Roman"/>
          <w:noProof/>
          <w:color w:val="000000" w:themeColor="text1"/>
        </w:rPr>
        <w:lastRenderedPageBreak/>
        <w:drawing>
          <wp:inline distT="0" distB="0" distL="0" distR="0">
            <wp:extent cx="5591175" cy="3276600"/>
            <wp:effectExtent l="0" t="0" r="0" b="0"/>
            <wp:docPr id="2" name="图片 2" descr="D:\浏览器下载\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浏览器下载\走势图柱状图\走势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R="00520D90" w:rsidRDefault="0065601A" w:rsidP="00520D90">
      <w:pPr>
        <w:snapToGrid w:val="0"/>
        <w:spacing w:beforeLines="100" w:before="312" w:line="360" w:lineRule="auto"/>
        <w:rPr>
          <w:rFonts w:eastAsiaTheme="minorEastAsia" w:hAnsiTheme="minorEastAsia"/>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C</w:t>
      </w:r>
    </w:p>
    <w:p w:rsidR="0065601A" w:rsidRPr="00A67563" w:rsidRDefault="0065601A" w:rsidP="0065601A">
      <w:pPr>
        <w:pStyle w:val="20"/>
        <w:spacing w:line="288" w:lineRule="auto"/>
        <w:ind w:firstLineChars="0" w:firstLine="0"/>
        <w:jc w:val="center"/>
        <w:rPr>
          <w:rFonts w:ascii="Times New Roman" w:hAnsi="Times New Roman"/>
          <w:color w:val="000000" w:themeColor="text1"/>
        </w:rPr>
      </w:pPr>
      <w:r w:rsidRPr="00A67563">
        <w:rPr>
          <w:rFonts w:ascii="Times New Roman" w:hAnsi="Times New Roman"/>
          <w:noProof/>
          <w:color w:val="000000" w:themeColor="text1"/>
        </w:rPr>
        <w:drawing>
          <wp:inline distT="0" distB="0" distL="0" distR="0">
            <wp:extent cx="5591175" cy="3276600"/>
            <wp:effectExtent l="0" t="0" r="0" b="0"/>
            <wp:docPr id="3" name="图片 3" descr="D:\浏览器下载\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浏览器下载\走势图柱状图\走势图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R="009960A0" w:rsidRDefault="00C41D5F">
      <w:pPr>
        <w:autoSpaceDE w:val="0"/>
        <w:autoSpaceDN w:val="0"/>
        <w:adjustRightInd w:val="0"/>
        <w:spacing w:line="360" w:lineRule="auto"/>
        <w:ind w:firstLineChars="200" w:firstLine="480"/>
        <w:jc w:val="left"/>
        <w:rPr>
          <w:color w:val="000000" w:themeColor="text1"/>
          <w:sz w:val="24"/>
        </w:rPr>
      </w:pPr>
      <w:r>
        <w:rPr>
          <w:color w:val="000000" w:themeColor="text1"/>
          <w:sz w:val="24"/>
        </w:rPr>
        <w:t>注：</w:t>
      </w:r>
      <w:r>
        <w:rPr>
          <w:color w:val="000000" w:themeColor="text1"/>
          <w:sz w:val="24"/>
        </w:rPr>
        <w:t>1.</w:t>
      </w:r>
      <w:r>
        <w:rPr>
          <w:color w:val="000000" w:themeColor="text1"/>
          <w:sz w:val="24"/>
        </w:rPr>
        <w:t>本基金的业绩比较基准已经转换为以人民币计价。</w:t>
      </w:r>
    </w:p>
    <w:p w:rsidR="009960A0" w:rsidRDefault="00C41D5F">
      <w:pPr>
        <w:autoSpaceDE w:val="0"/>
        <w:autoSpaceDN w:val="0"/>
        <w:adjustRightInd w:val="0"/>
        <w:spacing w:line="360" w:lineRule="auto"/>
        <w:ind w:firstLineChars="200" w:firstLine="480"/>
        <w:jc w:val="left"/>
        <w:rPr>
          <w:color w:val="000000" w:themeColor="text1"/>
          <w:sz w:val="24"/>
        </w:rPr>
      </w:pPr>
      <w:r>
        <w:rPr>
          <w:color w:val="000000" w:themeColor="text1"/>
          <w:sz w:val="24"/>
        </w:rPr>
        <w:t>2.</w:t>
      </w:r>
      <w:r>
        <w:rPr>
          <w:color w:val="000000" w:themeColor="text1"/>
          <w:sz w:val="24"/>
        </w:rPr>
        <w:t>按基金合同和招募说明书的约定，本基金的建仓期为六个月，建仓期结束时各项资产配置比例符合基金合同（第十二部分二、投资范围，三、投资策略和四、投资限制）的有关约定。</w:t>
      </w:r>
    </w:p>
    <w:p w:rsidR="00845292" w:rsidRPr="00A67563" w:rsidRDefault="0065601A" w:rsidP="0062493E">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3.</w:t>
      </w:r>
      <w:r w:rsidRPr="00A67563">
        <w:rPr>
          <w:color w:val="000000" w:themeColor="text1"/>
          <w:sz w:val="24"/>
        </w:rPr>
        <w:t>自基金合同生效至报告期末，</w:t>
      </w:r>
      <w:r w:rsidRPr="00A67563">
        <w:rPr>
          <w:color w:val="000000" w:themeColor="text1"/>
          <w:sz w:val="24"/>
        </w:rPr>
        <w:t>A</w:t>
      </w:r>
      <w:r w:rsidRPr="00A67563">
        <w:rPr>
          <w:color w:val="000000" w:themeColor="text1"/>
          <w:sz w:val="24"/>
        </w:rPr>
        <w:t>类基金份额净值增长率为</w:t>
      </w:r>
      <w:r w:rsidRPr="00A67563">
        <w:rPr>
          <w:color w:val="000000" w:themeColor="text1"/>
          <w:sz w:val="24"/>
        </w:rPr>
        <w:t>7.38%</w:t>
      </w:r>
      <w:r w:rsidRPr="00A67563">
        <w:rPr>
          <w:color w:val="000000" w:themeColor="text1"/>
          <w:sz w:val="24"/>
        </w:rPr>
        <w:t>，</w:t>
      </w:r>
      <w:r w:rsidRPr="00A67563">
        <w:rPr>
          <w:color w:val="000000" w:themeColor="text1"/>
          <w:sz w:val="24"/>
        </w:rPr>
        <w:t>C</w:t>
      </w:r>
      <w:r w:rsidRPr="00A67563">
        <w:rPr>
          <w:color w:val="000000" w:themeColor="text1"/>
          <w:sz w:val="24"/>
        </w:rPr>
        <w:t>类基金</w:t>
      </w:r>
      <w:r w:rsidRPr="00A67563">
        <w:rPr>
          <w:color w:val="000000" w:themeColor="text1"/>
          <w:sz w:val="24"/>
        </w:rPr>
        <w:lastRenderedPageBreak/>
        <w:t>份额净值增长率为</w:t>
      </w:r>
      <w:r w:rsidRPr="00A67563">
        <w:rPr>
          <w:color w:val="000000" w:themeColor="text1"/>
          <w:sz w:val="24"/>
        </w:rPr>
        <w:t>7.08%</w:t>
      </w:r>
      <w:r w:rsidRPr="00A67563">
        <w:rPr>
          <w:color w:val="000000" w:themeColor="text1"/>
          <w:sz w:val="24"/>
        </w:rPr>
        <w:t>，同期业绩比较基准收益率为</w:t>
      </w:r>
      <w:r w:rsidRPr="00A67563">
        <w:rPr>
          <w:color w:val="000000" w:themeColor="text1"/>
          <w:sz w:val="24"/>
        </w:rPr>
        <w:t>6.75%</w:t>
      </w:r>
      <w:r w:rsidRPr="00A67563">
        <w:rPr>
          <w:color w:val="000000" w:themeColor="text1"/>
          <w:sz w:val="24"/>
        </w:rPr>
        <w:t>。</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§4  </w:t>
      </w:r>
      <w:r w:rsidRPr="00A67563">
        <w:rPr>
          <w:color w:val="000000" w:themeColor="text1"/>
          <w:kern w:val="0"/>
          <w:sz w:val="24"/>
          <w:szCs w:val="24"/>
        </w:rPr>
        <w:t>管理人报告</w:t>
      </w:r>
    </w:p>
    <w:p w:rsidR="0040617F" w:rsidRPr="006506EF" w:rsidRDefault="0076518F" w:rsidP="0040617F">
      <w:pPr>
        <w:autoSpaceDE w:val="0"/>
        <w:autoSpaceDN w:val="0"/>
        <w:adjustRightInd w:val="0"/>
        <w:spacing w:line="360" w:lineRule="auto"/>
        <w:jc w:val="left"/>
        <w:rPr>
          <w:b/>
          <w:color w:val="000000"/>
          <w:kern w:val="0"/>
          <w:sz w:val="24"/>
        </w:rPr>
      </w:pPr>
      <w:r w:rsidRPr="00A67563">
        <w:rPr>
          <w:b/>
          <w:color w:val="000000" w:themeColor="text1"/>
          <w:kern w:val="0"/>
          <w:sz w:val="24"/>
        </w:rPr>
        <w:t xml:space="preserve">4.1 </w:t>
      </w:r>
      <w:r w:rsidRPr="00A67563">
        <w:rPr>
          <w:b/>
          <w:color w:val="000000" w:themeColor="text1"/>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0"/>
        <w:gridCol w:w="1276"/>
        <w:gridCol w:w="1276"/>
        <w:gridCol w:w="850"/>
        <w:gridCol w:w="1418"/>
      </w:tblGrid>
      <w:tr w:rsidR="0040617F" w:rsidRPr="006506EF" w:rsidTr="003A661A">
        <w:trPr>
          <w:cantSplit/>
          <w:trHeight w:val="292"/>
        </w:trPr>
        <w:tc>
          <w:tcPr>
            <w:tcW w:w="851"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姓名</w:t>
            </w:r>
          </w:p>
        </w:tc>
        <w:tc>
          <w:tcPr>
            <w:tcW w:w="3260"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职务</w:t>
            </w:r>
          </w:p>
        </w:tc>
        <w:tc>
          <w:tcPr>
            <w:tcW w:w="2552" w:type="dxa"/>
            <w:gridSpan w:val="2"/>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w="850" w:type="dxa"/>
            <w:vMerge w:val="restart"/>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w="1418"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3A661A">
        <w:trPr>
          <w:cantSplit/>
        </w:trPr>
        <w:tc>
          <w:tcPr>
            <w:tcW w:w="851" w:type="dxa"/>
            <w:vMerge/>
            <w:vAlign w:val="center"/>
          </w:tcPr>
          <w:p w:rsidR="0040617F" w:rsidRPr="006506EF" w:rsidRDefault="0040617F" w:rsidP="003A661A">
            <w:pPr>
              <w:widowControl/>
              <w:spacing w:line="360" w:lineRule="auto"/>
              <w:jc w:val="left"/>
              <w:rPr>
                <w:color w:val="000000"/>
                <w:kern w:val="0"/>
                <w:sz w:val="24"/>
              </w:rPr>
            </w:pPr>
          </w:p>
        </w:tc>
        <w:tc>
          <w:tcPr>
            <w:tcW w:w="3260" w:type="dxa"/>
            <w:vMerge/>
            <w:vAlign w:val="center"/>
          </w:tcPr>
          <w:p w:rsidR="0040617F" w:rsidRPr="006506EF" w:rsidRDefault="0040617F" w:rsidP="003A661A">
            <w:pPr>
              <w:widowControl/>
              <w:spacing w:line="360" w:lineRule="auto"/>
              <w:jc w:val="left"/>
              <w:rPr>
                <w:color w:val="000000"/>
                <w:kern w:val="0"/>
                <w:sz w:val="24"/>
              </w:rPr>
            </w:pPr>
          </w:p>
        </w:tc>
        <w:tc>
          <w:tcPr>
            <w:tcW w:w="1276" w:type="dxa"/>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w="1276" w:type="dxa"/>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w="850" w:type="dxa"/>
            <w:vMerge/>
            <w:vAlign w:val="center"/>
          </w:tcPr>
          <w:p w:rsidR="0040617F" w:rsidRPr="006506EF" w:rsidRDefault="0040617F" w:rsidP="003A661A">
            <w:pPr>
              <w:widowControl/>
              <w:spacing w:line="360" w:lineRule="auto"/>
              <w:jc w:val="left"/>
              <w:rPr>
                <w:color w:val="000000"/>
                <w:kern w:val="0"/>
                <w:sz w:val="24"/>
              </w:rPr>
            </w:pPr>
          </w:p>
        </w:tc>
        <w:tc>
          <w:tcPr>
            <w:tcW w:w="1418" w:type="dxa"/>
            <w:vMerge/>
            <w:vAlign w:val="center"/>
          </w:tcPr>
          <w:p w:rsidR="0040617F" w:rsidRPr="006506EF" w:rsidRDefault="0040617F" w:rsidP="003A661A">
            <w:pPr>
              <w:widowControl/>
              <w:spacing w:line="360" w:lineRule="auto"/>
              <w:jc w:val="left"/>
              <w:rPr>
                <w:color w:val="000000"/>
                <w:kern w:val="0"/>
                <w:sz w:val="24"/>
              </w:rPr>
            </w:pPr>
          </w:p>
        </w:tc>
      </w:tr>
      <w:tr w:rsidR="009960A0">
        <w:tc>
          <w:tcPr>
            <w:tcW w:w="851" w:type="dxa"/>
            <w:vAlign w:val="center"/>
          </w:tcPr>
          <w:p w:rsidR="009960A0" w:rsidRDefault="00C41D5F">
            <w:pPr>
              <w:jc w:val="center"/>
            </w:pPr>
            <w:r>
              <w:rPr>
                <w:color w:val="000000"/>
                <w:sz w:val="24"/>
              </w:rPr>
              <w:t>周怡</w:t>
            </w:r>
          </w:p>
        </w:tc>
        <w:tc>
          <w:tcPr>
            <w:tcW w:w="3260" w:type="dxa"/>
            <w:vAlign w:val="center"/>
          </w:tcPr>
          <w:p w:rsidR="009960A0" w:rsidRDefault="00C41D5F">
            <w:pPr>
              <w:jc w:val="left"/>
            </w:pPr>
            <w:r>
              <w:rPr>
                <w:color w:val="000000"/>
                <w:sz w:val="24"/>
              </w:rPr>
              <w:t>本基金的基金经理、易方达资产管理（香港）有限公司国际投资部基金经理</w:t>
            </w:r>
          </w:p>
        </w:tc>
        <w:tc>
          <w:tcPr>
            <w:tcW w:w="1276" w:type="dxa"/>
            <w:vAlign w:val="center"/>
          </w:tcPr>
          <w:p w:rsidR="009960A0" w:rsidRDefault="00C41D5F">
            <w:pPr>
              <w:jc w:val="center"/>
            </w:pPr>
            <w:r>
              <w:rPr>
                <w:color w:val="000000"/>
                <w:sz w:val="24"/>
              </w:rPr>
              <w:t>2019-06-05</w:t>
            </w:r>
          </w:p>
        </w:tc>
        <w:tc>
          <w:tcPr>
            <w:tcW w:w="1276" w:type="dxa"/>
            <w:vAlign w:val="center"/>
          </w:tcPr>
          <w:p w:rsidR="009960A0" w:rsidRDefault="00C41D5F">
            <w:pPr>
              <w:jc w:val="center"/>
            </w:pPr>
            <w:r>
              <w:rPr>
                <w:color w:val="000000"/>
                <w:sz w:val="24"/>
              </w:rPr>
              <w:t>-</w:t>
            </w:r>
          </w:p>
        </w:tc>
        <w:tc>
          <w:tcPr>
            <w:tcW w:w="850" w:type="dxa"/>
            <w:vAlign w:val="center"/>
          </w:tcPr>
          <w:p w:rsidR="009960A0" w:rsidRDefault="00C41D5F">
            <w:pPr>
              <w:jc w:val="center"/>
            </w:pPr>
            <w:r>
              <w:rPr>
                <w:color w:val="000000"/>
                <w:sz w:val="24"/>
              </w:rPr>
              <w:t>10</w:t>
            </w:r>
            <w:r>
              <w:rPr>
                <w:color w:val="000000"/>
                <w:sz w:val="24"/>
              </w:rPr>
              <w:t>年</w:t>
            </w:r>
          </w:p>
        </w:tc>
        <w:tc>
          <w:tcPr>
            <w:tcW w:w="1418" w:type="dxa"/>
            <w:vAlign w:val="center"/>
          </w:tcPr>
          <w:p w:rsidR="009960A0" w:rsidRDefault="00C41D5F">
            <w:pPr>
              <w:jc w:val="left"/>
            </w:pPr>
            <w:r>
              <w:rPr>
                <w:color w:val="000000"/>
                <w:sz w:val="24"/>
              </w:rPr>
              <w:t>硕士研究生，具有基金从业资格。曾任平安银行总行对公业务企划部管理培训生，招商银行总行金融市场部风险经理、资产管理部外币理财团队负责人、资产管理部投资经理，易方达资产管理（香港）有限公司国际投资部投资经理。</w:t>
            </w:r>
          </w:p>
        </w:tc>
      </w:tr>
      <w:tr w:rsidR="009960A0">
        <w:tc>
          <w:tcPr>
            <w:tcW w:w="851" w:type="dxa"/>
            <w:vAlign w:val="center"/>
          </w:tcPr>
          <w:p w:rsidR="009960A0" w:rsidRDefault="00C41D5F">
            <w:pPr>
              <w:jc w:val="center"/>
            </w:pPr>
            <w:r>
              <w:rPr>
                <w:color w:val="000000"/>
                <w:sz w:val="24"/>
              </w:rPr>
              <w:t>祁广东</w:t>
            </w:r>
          </w:p>
        </w:tc>
        <w:tc>
          <w:tcPr>
            <w:tcW w:w="3260" w:type="dxa"/>
            <w:vAlign w:val="center"/>
          </w:tcPr>
          <w:p w:rsidR="009960A0" w:rsidRDefault="00C41D5F">
            <w:pPr>
              <w:jc w:val="left"/>
            </w:pPr>
            <w:r>
              <w:rPr>
                <w:color w:val="000000"/>
                <w:sz w:val="24"/>
              </w:rPr>
              <w:t>本基金的基金经理、投资经理、易方达资产管理（香港）有限公司国际固定收益部总经理、就证券提供意见负责人员（</w:t>
            </w:r>
            <w:r>
              <w:rPr>
                <w:color w:val="000000"/>
                <w:sz w:val="24"/>
              </w:rPr>
              <w:t>RO</w:t>
            </w:r>
            <w:r>
              <w:rPr>
                <w:color w:val="000000"/>
                <w:sz w:val="24"/>
              </w:rPr>
              <w:t>）、提供资产管理负责人员（</w:t>
            </w:r>
            <w:r>
              <w:rPr>
                <w:color w:val="000000"/>
                <w:sz w:val="24"/>
              </w:rPr>
              <w:t>RO</w:t>
            </w:r>
            <w:r>
              <w:rPr>
                <w:color w:val="000000"/>
                <w:sz w:val="24"/>
              </w:rPr>
              <w:t>）、固定收益投资决策委员会委员、基金经理</w:t>
            </w:r>
          </w:p>
        </w:tc>
        <w:tc>
          <w:tcPr>
            <w:tcW w:w="1276" w:type="dxa"/>
            <w:vAlign w:val="center"/>
          </w:tcPr>
          <w:p w:rsidR="009960A0" w:rsidRDefault="00C41D5F">
            <w:pPr>
              <w:jc w:val="center"/>
            </w:pPr>
            <w:r>
              <w:rPr>
                <w:color w:val="000000"/>
                <w:sz w:val="24"/>
              </w:rPr>
              <w:t>2019-06-05</w:t>
            </w:r>
          </w:p>
        </w:tc>
        <w:tc>
          <w:tcPr>
            <w:tcW w:w="1276" w:type="dxa"/>
            <w:vAlign w:val="center"/>
          </w:tcPr>
          <w:p w:rsidR="009960A0" w:rsidRDefault="00C41D5F">
            <w:pPr>
              <w:jc w:val="center"/>
            </w:pPr>
            <w:r>
              <w:rPr>
                <w:color w:val="000000"/>
                <w:sz w:val="24"/>
              </w:rPr>
              <w:t>-</w:t>
            </w:r>
          </w:p>
        </w:tc>
        <w:tc>
          <w:tcPr>
            <w:tcW w:w="850" w:type="dxa"/>
            <w:vAlign w:val="center"/>
          </w:tcPr>
          <w:p w:rsidR="009960A0" w:rsidRDefault="00C41D5F">
            <w:pPr>
              <w:jc w:val="center"/>
            </w:pPr>
            <w:r>
              <w:rPr>
                <w:color w:val="000000"/>
                <w:sz w:val="24"/>
              </w:rPr>
              <w:t>11</w:t>
            </w:r>
            <w:r>
              <w:rPr>
                <w:color w:val="000000"/>
                <w:sz w:val="24"/>
              </w:rPr>
              <w:t>年</w:t>
            </w:r>
          </w:p>
        </w:tc>
        <w:tc>
          <w:tcPr>
            <w:tcW w:w="1418" w:type="dxa"/>
            <w:vAlign w:val="center"/>
          </w:tcPr>
          <w:p w:rsidR="009960A0" w:rsidRDefault="00C41D5F">
            <w:pPr>
              <w:jc w:val="left"/>
            </w:pPr>
            <w:r>
              <w:rPr>
                <w:color w:val="000000"/>
                <w:sz w:val="24"/>
              </w:rPr>
              <w:t>硕士研究生，具有基金从业资格。曾任申银万国证券固定收益总部助理分析师、交易员、助理投资经理，申银万国投资管理（亚洲）有</w:t>
            </w:r>
            <w:r>
              <w:rPr>
                <w:color w:val="000000"/>
                <w:sz w:val="24"/>
              </w:rPr>
              <w:lastRenderedPageBreak/>
              <w:t>限公司基金经理，易方达基金管理有限公司投资经理，易方达资产管理（香港）有限公司投资经理。</w:t>
            </w:r>
          </w:p>
        </w:tc>
      </w:tr>
    </w:tbl>
    <w:p w:rsidR="0076518F" w:rsidRPr="00A67563" w:rsidRDefault="0044512E" w:rsidP="00697319">
      <w:pPr>
        <w:autoSpaceDE w:val="0"/>
        <w:autoSpaceDN w:val="0"/>
        <w:adjustRightInd w:val="0"/>
        <w:spacing w:line="360" w:lineRule="auto"/>
        <w:jc w:val="left"/>
        <w:rPr>
          <w:color w:val="000000" w:themeColor="text1"/>
          <w:kern w:val="0"/>
          <w:sz w:val="24"/>
        </w:rPr>
      </w:pPr>
      <w:r w:rsidRPr="0044512E">
        <w:rPr>
          <w:noProof/>
          <w:color w:val="000000" w:themeColor="text1"/>
          <w:kern w:val="0"/>
          <w:sz w:val="24"/>
        </w:rPr>
        <w:lastRenderedPageBreak/>
        <w:drawing>
          <wp:inline distT="0" distB="0" distL="0" distR="0">
            <wp:extent cx="5278120" cy="3152441"/>
            <wp:effectExtent l="0" t="0" r="0" b="0"/>
            <wp:docPr id="1" name="图片 1" descr="d:\Users\wenxueqian\Desktop\20200716-截图更新\祁广东.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wenxueqian\Desktop\20200716-截图更新\祁广东.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152441"/>
                    </a:xfrm>
                    <a:prstGeom prst="rect">
                      <a:avLst/>
                    </a:prstGeom>
                    <a:noFill/>
                    <a:ln>
                      <a:noFill/>
                    </a:ln>
                  </pic:spPr>
                </pic:pic>
              </a:graphicData>
            </a:graphic>
          </wp:inline>
        </w:drawing>
      </w:r>
      <w:bookmarkStart w:id="0" w:name="_GoBack"/>
      <w:bookmarkEnd w:id="0"/>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4.</w:t>
      </w:r>
      <w:r w:rsidR="00F077D2" w:rsidRPr="00A67563">
        <w:rPr>
          <w:b/>
          <w:color w:val="000000" w:themeColor="text1"/>
          <w:kern w:val="0"/>
          <w:sz w:val="24"/>
        </w:rPr>
        <w:t>2</w:t>
      </w:r>
      <w:r w:rsidR="00A32FDA" w:rsidRPr="00A67563">
        <w:rPr>
          <w:b/>
          <w:color w:val="000000" w:themeColor="text1"/>
          <w:kern w:val="0"/>
          <w:sz w:val="24"/>
        </w:rPr>
        <w:t xml:space="preserve"> </w:t>
      </w:r>
      <w:r w:rsidRPr="00A67563">
        <w:rPr>
          <w:b/>
          <w:color w:val="000000" w:themeColor="text1"/>
          <w:kern w:val="0"/>
          <w:sz w:val="24"/>
        </w:rPr>
        <w:t>境外投资顾问为本基金提供投资建议的主要成员简介</w:t>
      </w:r>
    </w:p>
    <w:p w:rsidR="00FB47E0" w:rsidRPr="00A67563" w:rsidRDefault="00363E15" w:rsidP="0062493E">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本基金没有聘请境外投资顾问。</w:t>
      </w:r>
    </w:p>
    <w:p w:rsidR="0008610C" w:rsidRDefault="0076518F" w:rsidP="0008610C">
      <w:pPr>
        <w:autoSpaceDE w:val="0"/>
        <w:autoSpaceDN w:val="0"/>
        <w:adjustRightInd w:val="0"/>
        <w:spacing w:line="360" w:lineRule="auto"/>
        <w:jc w:val="left"/>
        <w:rPr>
          <w:b/>
          <w:color w:val="000000"/>
          <w:kern w:val="0"/>
          <w:sz w:val="24"/>
        </w:rPr>
      </w:pPr>
      <w:r w:rsidRPr="00A67563">
        <w:rPr>
          <w:b/>
          <w:color w:val="000000" w:themeColor="text1"/>
          <w:kern w:val="0"/>
          <w:sz w:val="24"/>
        </w:rPr>
        <w:t>4.</w:t>
      </w:r>
      <w:r w:rsidR="00A32FDA" w:rsidRPr="00A67563">
        <w:rPr>
          <w:b/>
          <w:color w:val="000000" w:themeColor="text1"/>
          <w:kern w:val="0"/>
          <w:sz w:val="24"/>
        </w:rPr>
        <w:t>3</w:t>
      </w:r>
      <w:r w:rsidR="0008610C">
        <w:rPr>
          <w:rFonts w:hint="eastAsia"/>
          <w:b/>
          <w:color w:val="000000"/>
          <w:kern w:val="0"/>
          <w:sz w:val="24"/>
        </w:rPr>
        <w:t>报告期内本基金运作遵规守信情况说明</w:t>
      </w:r>
    </w:p>
    <w:p w:rsidR="0076518F" w:rsidRPr="00A67563" w:rsidRDefault="00363E15" w:rsidP="0062493E">
      <w:pPr>
        <w:spacing w:line="360" w:lineRule="auto"/>
        <w:ind w:firstLineChars="200" w:firstLine="480"/>
        <w:rPr>
          <w:color w:val="000000" w:themeColor="text1"/>
          <w:kern w:val="0"/>
          <w:sz w:val="24"/>
        </w:rPr>
      </w:pPr>
      <w:r w:rsidRPr="00A67563">
        <w:rPr>
          <w:color w:val="000000" w:themeColor="text1"/>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6518F" w:rsidRPr="00A67563" w:rsidRDefault="0076518F" w:rsidP="00A70E2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4.</w:t>
      </w:r>
      <w:r w:rsidR="00A32FDA" w:rsidRPr="00A67563">
        <w:rPr>
          <w:b/>
          <w:color w:val="000000" w:themeColor="text1"/>
          <w:kern w:val="0"/>
          <w:sz w:val="24"/>
        </w:rPr>
        <w:t>4</w:t>
      </w:r>
      <w:r w:rsidRPr="00A67563">
        <w:rPr>
          <w:b/>
          <w:color w:val="000000" w:themeColor="text1"/>
          <w:kern w:val="0"/>
          <w:sz w:val="24"/>
        </w:rPr>
        <w:t xml:space="preserve"> </w:t>
      </w:r>
      <w:r w:rsidRPr="00A67563">
        <w:rPr>
          <w:b/>
          <w:color w:val="000000" w:themeColor="text1"/>
          <w:kern w:val="0"/>
          <w:sz w:val="24"/>
        </w:rPr>
        <w:t>公平交易专项说明</w:t>
      </w:r>
    </w:p>
    <w:p w:rsidR="00AB42E2" w:rsidRPr="00A67563" w:rsidRDefault="00AB42E2" w:rsidP="00A70E23">
      <w:pPr>
        <w:spacing w:line="360" w:lineRule="auto"/>
        <w:rPr>
          <w:color w:val="000000" w:themeColor="text1"/>
          <w:sz w:val="24"/>
        </w:rPr>
      </w:pPr>
      <w:r w:rsidRPr="00A67563">
        <w:rPr>
          <w:color w:val="000000" w:themeColor="text1"/>
          <w:sz w:val="24"/>
        </w:rPr>
        <w:t>4.</w:t>
      </w:r>
      <w:r w:rsidR="00A32FDA" w:rsidRPr="00A67563">
        <w:rPr>
          <w:color w:val="000000" w:themeColor="text1"/>
          <w:sz w:val="24"/>
        </w:rPr>
        <w:t>4.1</w:t>
      </w:r>
      <w:r w:rsidRPr="00A67563">
        <w:rPr>
          <w:color w:val="000000" w:themeColor="text1"/>
          <w:sz w:val="24"/>
        </w:rPr>
        <w:t>公平交易制度的执行情况</w:t>
      </w:r>
    </w:p>
    <w:p w:rsidR="00AB42E2" w:rsidRPr="00A67563" w:rsidRDefault="001F3C28" w:rsidP="00797DD2">
      <w:pPr>
        <w:spacing w:line="360" w:lineRule="auto"/>
        <w:ind w:firstLineChars="200" w:firstLine="480"/>
        <w:rPr>
          <w:color w:val="000000" w:themeColor="text1"/>
          <w:sz w:val="24"/>
        </w:rPr>
      </w:pPr>
      <w:r w:rsidRPr="00A67563">
        <w:rPr>
          <w:color w:val="000000" w:themeColor="text1"/>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w:t>
      </w:r>
      <w:r w:rsidRPr="00A67563">
        <w:rPr>
          <w:color w:val="000000" w:themeColor="text1"/>
          <w:sz w:val="24"/>
        </w:rPr>
        <w:lastRenderedPageBreak/>
        <w:t>交易模块，同时依据境外市场的交易特点规范交易委托方式，以尽可能确保公平对待各投资组合。本报告期内，公平交易制度总体执行情况良好。</w:t>
      </w:r>
    </w:p>
    <w:p w:rsidR="00AB42E2" w:rsidRPr="00A67563" w:rsidRDefault="00AB42E2" w:rsidP="00A70E23">
      <w:pPr>
        <w:spacing w:line="360" w:lineRule="auto"/>
        <w:rPr>
          <w:color w:val="000000" w:themeColor="text1"/>
          <w:sz w:val="24"/>
        </w:rPr>
      </w:pPr>
      <w:r w:rsidRPr="00A67563">
        <w:rPr>
          <w:color w:val="000000" w:themeColor="text1"/>
          <w:sz w:val="24"/>
        </w:rPr>
        <w:t>4.</w:t>
      </w:r>
      <w:r w:rsidR="00A32FDA" w:rsidRPr="00A67563">
        <w:rPr>
          <w:color w:val="000000" w:themeColor="text1"/>
          <w:sz w:val="24"/>
        </w:rPr>
        <w:t>4</w:t>
      </w:r>
      <w:r w:rsidRPr="00A67563">
        <w:rPr>
          <w:color w:val="000000" w:themeColor="text1"/>
          <w:sz w:val="24"/>
        </w:rPr>
        <w:t>.</w:t>
      </w:r>
      <w:r w:rsidR="00A32FDA" w:rsidRPr="00A67563">
        <w:rPr>
          <w:color w:val="000000" w:themeColor="text1"/>
          <w:sz w:val="24"/>
        </w:rPr>
        <w:t>2</w:t>
      </w:r>
      <w:r w:rsidRPr="00A67563">
        <w:rPr>
          <w:color w:val="000000" w:themeColor="text1"/>
          <w:sz w:val="24"/>
        </w:rPr>
        <w:t>异常交易行为的专项说明</w:t>
      </w:r>
    </w:p>
    <w:p w:rsidR="009960A0" w:rsidRDefault="00C41D5F">
      <w:pPr>
        <w:spacing w:line="360" w:lineRule="auto"/>
        <w:ind w:firstLineChars="200" w:firstLine="480"/>
        <w:rPr>
          <w:color w:val="000000" w:themeColor="text1"/>
          <w:kern w:val="0"/>
          <w:sz w:val="24"/>
        </w:rPr>
      </w:pPr>
      <w:r>
        <w:rPr>
          <w:color w:val="000000" w:themeColor="text1"/>
          <w:sz w:val="24"/>
        </w:rPr>
        <w:t>本报告期内，公司旗下所有投资组合参与的交易所公开竞价交易中，同日反向交易成交较少的单边交易量超过该证券当日成交量的</w:t>
      </w:r>
      <w:r>
        <w:rPr>
          <w:color w:val="000000" w:themeColor="text1"/>
          <w:sz w:val="24"/>
        </w:rPr>
        <w:t>5%</w:t>
      </w:r>
      <w:r>
        <w:rPr>
          <w:color w:val="000000" w:themeColor="text1"/>
          <w:sz w:val="24"/>
        </w:rPr>
        <w:t>的交易共</w:t>
      </w:r>
      <w:r>
        <w:rPr>
          <w:color w:val="000000" w:themeColor="text1"/>
          <w:sz w:val="24"/>
        </w:rPr>
        <w:t>42</w:t>
      </w:r>
      <w:r>
        <w:rPr>
          <w:color w:val="000000" w:themeColor="text1"/>
          <w:sz w:val="24"/>
        </w:rPr>
        <w:t>次，均为指数量化投资组合因投资策略需要和其他组合发生的反向交易。</w:t>
      </w:r>
    </w:p>
    <w:p w:rsidR="0076518F" w:rsidRPr="00A67563" w:rsidRDefault="001F3C28" w:rsidP="0062493E">
      <w:pPr>
        <w:spacing w:line="360" w:lineRule="auto"/>
        <w:ind w:firstLineChars="200" w:firstLine="480"/>
        <w:rPr>
          <w:color w:val="000000" w:themeColor="text1"/>
          <w:kern w:val="0"/>
          <w:sz w:val="24"/>
        </w:rPr>
      </w:pPr>
      <w:r w:rsidRPr="00A67563">
        <w:rPr>
          <w:color w:val="000000" w:themeColor="text1"/>
          <w:sz w:val="24"/>
        </w:rPr>
        <w:t>本报告期内，未发现本基金有可能导致不公平交易和利益输送的异常交易。</w:t>
      </w:r>
    </w:p>
    <w:p w:rsidR="0067094A" w:rsidRDefault="0076518F" w:rsidP="0067094A">
      <w:pPr>
        <w:autoSpaceDE w:val="0"/>
        <w:autoSpaceDN w:val="0"/>
        <w:adjustRightInd w:val="0"/>
        <w:spacing w:line="360" w:lineRule="auto"/>
        <w:jc w:val="left"/>
        <w:rPr>
          <w:sz w:val="24"/>
        </w:rPr>
      </w:pPr>
      <w:r w:rsidRPr="00A67563">
        <w:rPr>
          <w:b/>
          <w:color w:val="000000" w:themeColor="text1"/>
          <w:kern w:val="0"/>
          <w:sz w:val="24"/>
        </w:rPr>
        <w:t>4.</w:t>
      </w:r>
      <w:r w:rsidR="00A32FDA" w:rsidRPr="00A67563">
        <w:rPr>
          <w:b/>
          <w:color w:val="000000" w:themeColor="text1"/>
          <w:kern w:val="0"/>
          <w:sz w:val="24"/>
        </w:rPr>
        <w:t>5</w:t>
      </w:r>
      <w:r w:rsidRPr="00A67563">
        <w:rPr>
          <w:b/>
          <w:color w:val="000000" w:themeColor="text1"/>
          <w:kern w:val="0"/>
          <w:sz w:val="24"/>
        </w:rPr>
        <w:t xml:space="preserve"> </w:t>
      </w:r>
      <w:r w:rsidR="0067094A">
        <w:rPr>
          <w:rFonts w:hint="eastAsia"/>
          <w:b/>
          <w:color w:val="000000"/>
          <w:kern w:val="0"/>
          <w:sz w:val="24"/>
        </w:rPr>
        <w:t>报告期内基金的投资策略和业绩表现说明</w:t>
      </w:r>
    </w:p>
    <w:p w:rsidR="009960A0" w:rsidRDefault="00C41D5F">
      <w:pPr>
        <w:spacing w:line="360" w:lineRule="auto"/>
        <w:ind w:firstLineChars="200" w:firstLine="480"/>
        <w:rPr>
          <w:color w:val="000000" w:themeColor="text1"/>
          <w:sz w:val="24"/>
        </w:rPr>
      </w:pPr>
      <w:r>
        <w:rPr>
          <w:color w:val="000000" w:themeColor="text1"/>
          <w:sz w:val="24"/>
        </w:rPr>
        <w:t>2020</w:t>
      </w:r>
      <w:r>
        <w:rPr>
          <w:color w:val="000000" w:themeColor="text1"/>
          <w:sz w:val="24"/>
        </w:rPr>
        <w:t>年二季度，在美联储</w:t>
      </w:r>
      <w:r>
        <w:rPr>
          <w:color w:val="000000" w:themeColor="text1"/>
          <w:sz w:val="24"/>
        </w:rPr>
        <w:t>“</w:t>
      </w:r>
      <w:r>
        <w:rPr>
          <w:color w:val="000000" w:themeColor="text1"/>
          <w:sz w:val="24"/>
        </w:rPr>
        <w:t>有力、主动、积极</w:t>
      </w:r>
      <w:r>
        <w:rPr>
          <w:color w:val="000000" w:themeColor="text1"/>
          <w:sz w:val="24"/>
        </w:rPr>
        <w:t>”</w:t>
      </w:r>
      <w:r>
        <w:rPr>
          <w:color w:val="000000" w:themeColor="text1"/>
          <w:sz w:val="24"/>
        </w:rPr>
        <w:t>的货币政策支持下，全球美元债券市场从前期流动性危机中迅速缓解，尽管全球疫情数据尤其是美国和新兴市场国家的新增病例数居高不下，但经济活动在逐渐恢复，市场进入财政、货币政策积极，经济基本面复苏的最佳环境下，风险情绪大幅好转。二季度全球金融市场均有较好表现。</w:t>
      </w:r>
    </w:p>
    <w:p w:rsidR="009960A0" w:rsidRDefault="00C41D5F">
      <w:pPr>
        <w:spacing w:line="360" w:lineRule="auto"/>
        <w:ind w:firstLineChars="200" w:firstLine="480"/>
        <w:rPr>
          <w:color w:val="000000" w:themeColor="text1"/>
          <w:sz w:val="24"/>
        </w:rPr>
      </w:pPr>
      <w:r>
        <w:rPr>
          <w:color w:val="000000" w:themeColor="text1"/>
          <w:sz w:val="24"/>
        </w:rPr>
        <w:t>本基金在季度初保持了中性久期，并分散配置了部分国内土地储备能级较高的房地产公司短债。随着市场逐渐复苏，卖出部分风险头寸实现浮盈。</w:t>
      </w:r>
    </w:p>
    <w:p w:rsidR="00C736BB" w:rsidRPr="00A67563" w:rsidRDefault="0067094A" w:rsidP="00A70E23">
      <w:pPr>
        <w:spacing w:line="360" w:lineRule="auto"/>
        <w:ind w:firstLineChars="200" w:firstLine="480"/>
        <w:rPr>
          <w:color w:val="000000" w:themeColor="text1"/>
          <w:sz w:val="24"/>
        </w:rPr>
      </w:pPr>
      <w:r w:rsidRPr="00F47E2F">
        <w:rPr>
          <w:color w:val="000000" w:themeColor="text1"/>
          <w:sz w:val="24"/>
        </w:rPr>
        <w:t>截至报告期末，本基金</w:t>
      </w:r>
      <w:r w:rsidRPr="00F47E2F">
        <w:rPr>
          <w:color w:val="000000" w:themeColor="text1"/>
          <w:sz w:val="24"/>
        </w:rPr>
        <w:t>A</w:t>
      </w:r>
      <w:r w:rsidRPr="00F47E2F">
        <w:rPr>
          <w:color w:val="000000" w:themeColor="text1"/>
          <w:sz w:val="24"/>
        </w:rPr>
        <w:t>类基金份额净值为</w:t>
      </w:r>
      <w:r w:rsidRPr="00F47E2F">
        <w:rPr>
          <w:color w:val="000000" w:themeColor="text1"/>
          <w:sz w:val="24"/>
        </w:rPr>
        <w:t>1.0738</w:t>
      </w:r>
      <w:r w:rsidRPr="00F47E2F">
        <w:rPr>
          <w:color w:val="000000" w:themeColor="text1"/>
          <w:sz w:val="24"/>
        </w:rPr>
        <w:t>元，本报告期份额净值增长率为</w:t>
      </w:r>
      <w:r w:rsidRPr="00F47E2F">
        <w:rPr>
          <w:color w:val="000000" w:themeColor="text1"/>
          <w:sz w:val="24"/>
        </w:rPr>
        <w:t>3.29%</w:t>
      </w:r>
      <w:r w:rsidRPr="00F47E2F">
        <w:rPr>
          <w:color w:val="000000" w:themeColor="text1"/>
          <w:sz w:val="24"/>
        </w:rPr>
        <w:t>，同期业绩比较基准收益率为</w:t>
      </w:r>
      <w:r w:rsidRPr="00F47E2F">
        <w:rPr>
          <w:color w:val="000000" w:themeColor="text1"/>
          <w:sz w:val="24"/>
        </w:rPr>
        <w:t>1.41%</w:t>
      </w:r>
      <w:r w:rsidRPr="00F47E2F">
        <w:rPr>
          <w:color w:val="000000" w:themeColor="text1"/>
          <w:sz w:val="24"/>
        </w:rPr>
        <w:t>；</w:t>
      </w:r>
      <w:r w:rsidRPr="00F47E2F">
        <w:rPr>
          <w:color w:val="000000" w:themeColor="text1"/>
          <w:sz w:val="24"/>
        </w:rPr>
        <w:t>C</w:t>
      </w:r>
      <w:r w:rsidRPr="00F47E2F">
        <w:rPr>
          <w:color w:val="000000" w:themeColor="text1"/>
          <w:sz w:val="24"/>
        </w:rPr>
        <w:t>类基金份额净值为</w:t>
      </w:r>
      <w:r w:rsidRPr="00F47E2F">
        <w:rPr>
          <w:color w:val="000000" w:themeColor="text1"/>
          <w:sz w:val="24"/>
        </w:rPr>
        <w:t>1.0708</w:t>
      </w:r>
      <w:r w:rsidRPr="00F47E2F">
        <w:rPr>
          <w:color w:val="000000" w:themeColor="text1"/>
          <w:sz w:val="24"/>
        </w:rPr>
        <w:t>元，本报告期份额净值增长率为</w:t>
      </w:r>
      <w:r w:rsidRPr="00F47E2F">
        <w:rPr>
          <w:color w:val="000000" w:themeColor="text1"/>
          <w:sz w:val="24"/>
        </w:rPr>
        <w:t>3.21%</w:t>
      </w:r>
      <w:r w:rsidRPr="00F47E2F">
        <w:rPr>
          <w:color w:val="000000" w:themeColor="text1"/>
          <w:sz w:val="24"/>
        </w:rPr>
        <w:t>，同期业绩比较基准收益率为</w:t>
      </w:r>
      <w:r w:rsidRPr="00F47E2F">
        <w:rPr>
          <w:color w:val="000000" w:themeColor="text1"/>
          <w:sz w:val="24"/>
        </w:rPr>
        <w:t>1.41%</w:t>
      </w:r>
      <w:r w:rsidRPr="00F47E2F">
        <w:rPr>
          <w:color w:val="000000" w:themeColor="text1"/>
          <w:sz w:val="24"/>
        </w:rPr>
        <w:t>。</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§5  </w:t>
      </w:r>
      <w:r w:rsidRPr="00A67563">
        <w:rPr>
          <w:color w:val="000000" w:themeColor="text1"/>
          <w:kern w:val="0"/>
          <w:sz w:val="24"/>
          <w:szCs w:val="24"/>
        </w:rPr>
        <w:t>投资组合报告</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5.1 </w:t>
      </w:r>
      <w:r w:rsidRPr="00A67563">
        <w:rPr>
          <w:b/>
          <w:color w:val="000000" w:themeColor="text1"/>
          <w:kern w:val="0"/>
          <w:sz w:val="24"/>
        </w:rPr>
        <w:t>报告期末基金资产组合情况</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3"/>
        <w:gridCol w:w="2835"/>
        <w:gridCol w:w="1559"/>
      </w:tblGrid>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序号</w:t>
            </w:r>
          </w:p>
        </w:tc>
        <w:tc>
          <w:tcPr>
            <w:tcW w:w="4253"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项目</w:t>
            </w:r>
          </w:p>
        </w:tc>
        <w:tc>
          <w:tcPr>
            <w:tcW w:w="2835"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金额</w:t>
            </w:r>
            <w:r w:rsidRPr="00A67563">
              <w:rPr>
                <w:color w:val="000000" w:themeColor="text1"/>
                <w:sz w:val="24"/>
              </w:rPr>
              <w:t>(</w:t>
            </w:r>
            <w:r w:rsidR="002655D4" w:rsidRPr="00A67563">
              <w:rPr>
                <w:color w:val="000000" w:themeColor="text1"/>
                <w:sz w:val="24"/>
              </w:rPr>
              <w:t>人民币</w:t>
            </w:r>
            <w:r w:rsidRPr="00A67563">
              <w:rPr>
                <w:color w:val="000000" w:themeColor="text1"/>
                <w:sz w:val="24"/>
              </w:rPr>
              <w:t>元</w:t>
            </w:r>
            <w:r w:rsidRPr="00A67563">
              <w:rPr>
                <w:color w:val="000000" w:themeColor="text1"/>
                <w:sz w:val="24"/>
              </w:rPr>
              <w:t>)</w:t>
            </w:r>
          </w:p>
        </w:tc>
        <w:tc>
          <w:tcPr>
            <w:tcW w:w="1559"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占基金总资产的比例</w:t>
            </w:r>
            <w:r w:rsidRPr="00A67563">
              <w:rPr>
                <w:color w:val="000000" w:themeColor="text1"/>
                <w:sz w:val="24"/>
              </w:rPr>
              <w:t>(%)</w:t>
            </w:r>
          </w:p>
        </w:tc>
      </w:tr>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1</w:t>
            </w:r>
          </w:p>
        </w:tc>
        <w:tc>
          <w:tcPr>
            <w:tcW w:w="4253" w:type="dxa"/>
            <w:shd w:val="clear" w:color="auto" w:fill="auto"/>
            <w:vAlign w:val="center"/>
          </w:tcPr>
          <w:p w:rsidR="00363E15" w:rsidRPr="00A67563" w:rsidRDefault="00363E15" w:rsidP="00877D98">
            <w:pPr>
              <w:spacing w:before="29" w:line="360" w:lineRule="auto"/>
              <w:ind w:left="17"/>
              <w:rPr>
                <w:color w:val="000000" w:themeColor="text1"/>
                <w:sz w:val="24"/>
              </w:rPr>
            </w:pPr>
            <w:r w:rsidRPr="00A67563">
              <w:rPr>
                <w:color w:val="000000" w:themeColor="text1"/>
                <w:sz w:val="24"/>
              </w:rPr>
              <w:t>权益投资</w:t>
            </w:r>
          </w:p>
        </w:tc>
        <w:tc>
          <w:tcPr>
            <w:tcW w:w="2835"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p>
        </w:tc>
        <w:tc>
          <w:tcPr>
            <w:tcW w:w="4253" w:type="dxa"/>
            <w:shd w:val="clear" w:color="auto" w:fill="auto"/>
            <w:vAlign w:val="center"/>
          </w:tcPr>
          <w:p w:rsidR="00363E15" w:rsidRPr="00A67563" w:rsidRDefault="00363E15" w:rsidP="00877D98">
            <w:pPr>
              <w:spacing w:before="29" w:line="360" w:lineRule="auto"/>
              <w:ind w:left="17"/>
              <w:rPr>
                <w:color w:val="000000" w:themeColor="text1"/>
                <w:sz w:val="24"/>
              </w:rPr>
            </w:pPr>
            <w:r w:rsidRPr="00A67563">
              <w:rPr>
                <w:color w:val="000000" w:themeColor="text1"/>
                <w:sz w:val="24"/>
              </w:rPr>
              <w:t>其中：</w:t>
            </w:r>
            <w:r w:rsidR="00E462F4" w:rsidRPr="00A67563">
              <w:rPr>
                <w:color w:val="000000" w:themeColor="text1"/>
                <w:sz w:val="24"/>
              </w:rPr>
              <w:t>普通股</w:t>
            </w:r>
          </w:p>
        </w:tc>
        <w:tc>
          <w:tcPr>
            <w:tcW w:w="2835"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firstLineChars="300" w:firstLine="720"/>
              <w:rPr>
                <w:color w:val="000000" w:themeColor="text1"/>
                <w:sz w:val="24"/>
              </w:rPr>
            </w:pPr>
            <w:r w:rsidRPr="00A67563">
              <w:rPr>
                <w:color w:val="000000" w:themeColor="text1"/>
                <w:sz w:val="24"/>
              </w:rPr>
              <w:t>存托凭证</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CE4499" w:rsidRPr="00A67563" w:rsidRDefault="00CE4499" w:rsidP="00877D98">
            <w:pPr>
              <w:spacing w:before="29" w:line="360" w:lineRule="auto"/>
              <w:ind w:left="17"/>
              <w:jc w:val="center"/>
              <w:rPr>
                <w:color w:val="000000" w:themeColor="text1"/>
                <w:sz w:val="24"/>
              </w:rPr>
            </w:pPr>
          </w:p>
        </w:tc>
        <w:tc>
          <w:tcPr>
            <w:tcW w:w="4253" w:type="dxa"/>
            <w:shd w:val="clear" w:color="auto" w:fill="auto"/>
            <w:vAlign w:val="center"/>
          </w:tcPr>
          <w:p w:rsidR="00CE4499" w:rsidRPr="00A67563" w:rsidRDefault="00CE4499" w:rsidP="00877D98">
            <w:pPr>
              <w:spacing w:before="29" w:line="360" w:lineRule="auto"/>
              <w:ind w:left="17" w:firstLineChars="300" w:firstLine="720"/>
              <w:rPr>
                <w:color w:val="000000" w:themeColor="text1"/>
                <w:sz w:val="24"/>
              </w:rPr>
            </w:pPr>
            <w:r w:rsidRPr="00A67563">
              <w:rPr>
                <w:color w:val="000000" w:themeColor="text1"/>
                <w:sz w:val="24"/>
              </w:rPr>
              <w:t>优先股</w:t>
            </w:r>
          </w:p>
        </w:tc>
        <w:tc>
          <w:tcPr>
            <w:tcW w:w="2835"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CE4499" w:rsidRPr="00A67563" w:rsidRDefault="00CE4499" w:rsidP="00877D98">
            <w:pPr>
              <w:spacing w:before="29" w:line="360" w:lineRule="auto"/>
              <w:ind w:left="17"/>
              <w:jc w:val="center"/>
              <w:rPr>
                <w:color w:val="000000" w:themeColor="text1"/>
                <w:sz w:val="24"/>
              </w:rPr>
            </w:pPr>
          </w:p>
        </w:tc>
        <w:tc>
          <w:tcPr>
            <w:tcW w:w="4253" w:type="dxa"/>
            <w:shd w:val="clear" w:color="auto" w:fill="auto"/>
            <w:vAlign w:val="center"/>
          </w:tcPr>
          <w:p w:rsidR="00CE4499" w:rsidRPr="00A67563" w:rsidRDefault="00CE4499" w:rsidP="00877D98">
            <w:pPr>
              <w:spacing w:before="29" w:line="360" w:lineRule="auto"/>
              <w:ind w:left="17" w:firstLineChars="300" w:firstLine="720"/>
              <w:rPr>
                <w:color w:val="000000" w:themeColor="text1"/>
                <w:sz w:val="24"/>
              </w:rPr>
            </w:pPr>
            <w:r w:rsidRPr="00A67563">
              <w:rPr>
                <w:color w:val="000000" w:themeColor="text1"/>
                <w:sz w:val="24"/>
              </w:rPr>
              <w:t>房地产信托</w:t>
            </w:r>
          </w:p>
        </w:tc>
        <w:tc>
          <w:tcPr>
            <w:tcW w:w="2835"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adjustRightInd w:val="0"/>
              <w:snapToGrid w:val="0"/>
              <w:spacing w:line="400" w:lineRule="exact"/>
              <w:jc w:val="center"/>
              <w:rPr>
                <w:color w:val="000000" w:themeColor="text1"/>
                <w:sz w:val="24"/>
              </w:rPr>
            </w:pPr>
            <w:r w:rsidRPr="00A67563">
              <w:rPr>
                <w:color w:val="000000" w:themeColor="text1"/>
                <w:sz w:val="24"/>
              </w:rPr>
              <w:lastRenderedPageBreak/>
              <w:t>2</w:t>
            </w: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基金投资</w:t>
            </w:r>
          </w:p>
        </w:tc>
        <w:tc>
          <w:tcPr>
            <w:tcW w:w="2835" w:type="dxa"/>
            <w:shd w:val="clear" w:color="auto" w:fill="auto"/>
            <w:vAlign w:val="center"/>
          </w:tcPr>
          <w:p w:rsidR="00E462F4" w:rsidRPr="00A67563" w:rsidRDefault="006C4E16"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C4E16"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r w:rsidRPr="00A67563">
              <w:rPr>
                <w:color w:val="000000" w:themeColor="text1"/>
                <w:sz w:val="24"/>
              </w:rPr>
              <w:t>3</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固定收益投资</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494,648,669.62</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93.23</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其中：债券</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494,648,669.62</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93.23</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utoSpaceDE w:val="0"/>
              <w:autoSpaceDN w:val="0"/>
              <w:adjustRightInd w:val="0"/>
              <w:spacing w:before="29" w:line="360" w:lineRule="auto"/>
              <w:ind w:left="17" w:firstLineChars="300" w:firstLine="720"/>
              <w:rPr>
                <w:color w:val="000000" w:themeColor="text1"/>
                <w:sz w:val="24"/>
              </w:rPr>
            </w:pPr>
            <w:r w:rsidRPr="00A67563">
              <w:rPr>
                <w:color w:val="000000" w:themeColor="text1"/>
                <w:sz w:val="24"/>
              </w:rPr>
              <w:t>资产支持证券</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r w:rsidRPr="00A67563">
              <w:rPr>
                <w:color w:val="000000" w:themeColor="text1"/>
                <w:sz w:val="24"/>
              </w:rPr>
              <w:t>4</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金融衍生品投资</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其中：远期</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Del="00455464" w:rsidRDefault="00E462F4" w:rsidP="00877D98">
            <w:pPr>
              <w:adjustRightInd w:val="0"/>
              <w:snapToGrid w:val="0"/>
              <w:spacing w:line="400" w:lineRule="exact"/>
              <w:ind w:firstLineChars="300" w:firstLine="720"/>
              <w:rPr>
                <w:color w:val="000000" w:themeColor="text1"/>
                <w:sz w:val="24"/>
              </w:rPr>
            </w:pPr>
            <w:r w:rsidRPr="00A67563">
              <w:rPr>
                <w:color w:val="000000" w:themeColor="text1"/>
                <w:sz w:val="24"/>
              </w:rPr>
              <w:t>期货</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ind w:firstLineChars="300" w:firstLine="720"/>
              <w:rPr>
                <w:color w:val="000000" w:themeColor="text1"/>
                <w:sz w:val="24"/>
              </w:rPr>
            </w:pPr>
            <w:r w:rsidRPr="00A67563">
              <w:rPr>
                <w:color w:val="000000" w:themeColor="text1"/>
                <w:sz w:val="24"/>
              </w:rPr>
              <w:t>期权</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ind w:firstLineChars="298" w:firstLine="715"/>
              <w:rPr>
                <w:color w:val="000000" w:themeColor="text1"/>
                <w:sz w:val="24"/>
              </w:rPr>
            </w:pPr>
            <w:r w:rsidRPr="00A67563">
              <w:rPr>
                <w:color w:val="000000" w:themeColor="text1"/>
                <w:sz w:val="24"/>
              </w:rPr>
              <w:t>权证</w:t>
            </w:r>
          </w:p>
        </w:tc>
        <w:tc>
          <w:tcPr>
            <w:tcW w:w="2835" w:type="dxa"/>
            <w:shd w:val="clear" w:color="auto" w:fill="auto"/>
            <w:vAlign w:val="center"/>
          </w:tcPr>
          <w:p w:rsidR="00E462F4" w:rsidRPr="00A67563" w:rsidRDefault="00664F49" w:rsidP="00877D98">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877D98">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r w:rsidRPr="00A67563">
              <w:rPr>
                <w:color w:val="000000" w:themeColor="text1"/>
                <w:sz w:val="24"/>
              </w:rPr>
              <w:t>5</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买入返售金融资产</w:t>
            </w:r>
          </w:p>
        </w:tc>
        <w:tc>
          <w:tcPr>
            <w:tcW w:w="2835" w:type="dxa"/>
            <w:shd w:val="clear" w:color="auto" w:fill="auto"/>
            <w:vAlign w:val="center"/>
          </w:tcPr>
          <w:p w:rsidR="00E462F4" w:rsidRPr="00A67563" w:rsidRDefault="00E462F4" w:rsidP="00877D98">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877D98">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其中：买断式回购的买入返售金融资产</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adjustRightInd w:val="0"/>
              <w:snapToGrid w:val="0"/>
              <w:spacing w:line="400" w:lineRule="exact"/>
              <w:jc w:val="center"/>
              <w:rPr>
                <w:color w:val="000000" w:themeColor="text1"/>
                <w:sz w:val="24"/>
              </w:rPr>
            </w:pPr>
            <w:r w:rsidRPr="00A67563">
              <w:rPr>
                <w:color w:val="000000" w:themeColor="text1"/>
                <w:sz w:val="24"/>
              </w:rPr>
              <w:t>6</w:t>
            </w: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货币市场工具</w:t>
            </w:r>
          </w:p>
        </w:tc>
        <w:tc>
          <w:tcPr>
            <w:tcW w:w="2835" w:type="dxa"/>
            <w:shd w:val="clear" w:color="auto" w:fill="auto"/>
            <w:vAlign w:val="center"/>
          </w:tcPr>
          <w:p w:rsidR="00E462F4" w:rsidRPr="00A67563" w:rsidRDefault="00CE7FC6"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CE7FC6"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r w:rsidRPr="00A67563">
              <w:rPr>
                <w:color w:val="000000" w:themeColor="text1"/>
                <w:sz w:val="24"/>
              </w:rPr>
              <w:t>7</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银行存款和结算备付金合计</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26,262,477.20</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4.95</w:t>
            </w:r>
          </w:p>
        </w:tc>
      </w:tr>
      <w:tr w:rsidR="008277FF" w:rsidRPr="00A67563" w:rsidTr="006C750F">
        <w:trPr>
          <w:jc w:val="center"/>
        </w:trPr>
        <w:tc>
          <w:tcPr>
            <w:tcW w:w="851" w:type="dxa"/>
            <w:shd w:val="clear" w:color="auto" w:fill="auto"/>
            <w:vAlign w:val="center"/>
          </w:tcPr>
          <w:p w:rsidR="00E462F4" w:rsidRPr="00A67563" w:rsidRDefault="00E462F4" w:rsidP="00466B17">
            <w:pPr>
              <w:spacing w:before="29" w:line="360" w:lineRule="auto"/>
              <w:ind w:left="17"/>
              <w:jc w:val="center"/>
              <w:rPr>
                <w:color w:val="000000" w:themeColor="text1"/>
                <w:sz w:val="24"/>
              </w:rPr>
            </w:pPr>
            <w:r w:rsidRPr="00A67563">
              <w:rPr>
                <w:color w:val="000000" w:themeColor="text1"/>
                <w:sz w:val="24"/>
              </w:rPr>
              <w:t>8</w:t>
            </w:r>
          </w:p>
        </w:tc>
        <w:tc>
          <w:tcPr>
            <w:tcW w:w="4253" w:type="dxa"/>
            <w:shd w:val="clear" w:color="auto" w:fill="auto"/>
            <w:vAlign w:val="center"/>
          </w:tcPr>
          <w:p w:rsidR="00E462F4" w:rsidRPr="00A67563" w:rsidRDefault="001457F4" w:rsidP="00797DD2">
            <w:pPr>
              <w:rPr>
                <w:color w:val="000000" w:themeColor="text1"/>
                <w:sz w:val="24"/>
              </w:rPr>
            </w:pPr>
            <w:r>
              <w:rPr>
                <w:color w:val="000000" w:themeColor="text1"/>
                <w:sz w:val="24"/>
              </w:rPr>
              <w:t>其他</w:t>
            </w:r>
            <w:r w:rsidR="00E462F4" w:rsidRPr="00A67563">
              <w:rPr>
                <w:color w:val="000000" w:themeColor="text1"/>
                <w:sz w:val="24"/>
              </w:rPr>
              <w:t>资产</w:t>
            </w:r>
          </w:p>
        </w:tc>
        <w:tc>
          <w:tcPr>
            <w:tcW w:w="2835"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9,637,148.37</w:t>
            </w:r>
          </w:p>
        </w:tc>
        <w:tc>
          <w:tcPr>
            <w:tcW w:w="1559"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1.82</w:t>
            </w:r>
          </w:p>
        </w:tc>
      </w:tr>
      <w:tr w:rsidR="008277FF" w:rsidRPr="00A67563" w:rsidTr="006C750F">
        <w:trPr>
          <w:jc w:val="center"/>
        </w:trPr>
        <w:tc>
          <w:tcPr>
            <w:tcW w:w="851" w:type="dxa"/>
            <w:shd w:val="clear" w:color="auto" w:fill="auto"/>
            <w:vAlign w:val="center"/>
          </w:tcPr>
          <w:p w:rsidR="00E462F4" w:rsidRPr="00A67563" w:rsidRDefault="00E462F4" w:rsidP="00466B17">
            <w:pPr>
              <w:spacing w:before="29" w:line="360" w:lineRule="auto"/>
              <w:ind w:left="17"/>
              <w:jc w:val="center"/>
              <w:rPr>
                <w:color w:val="000000" w:themeColor="text1"/>
                <w:sz w:val="24"/>
              </w:rPr>
            </w:pPr>
            <w:r w:rsidRPr="00A67563">
              <w:rPr>
                <w:color w:val="000000" w:themeColor="text1"/>
                <w:sz w:val="24"/>
              </w:rPr>
              <w:t>9</w:t>
            </w:r>
          </w:p>
        </w:tc>
        <w:tc>
          <w:tcPr>
            <w:tcW w:w="4253" w:type="dxa"/>
            <w:shd w:val="clear" w:color="auto" w:fill="auto"/>
            <w:vAlign w:val="center"/>
          </w:tcPr>
          <w:p w:rsidR="00E462F4" w:rsidRPr="00A67563" w:rsidRDefault="00E462F4" w:rsidP="00797DD2">
            <w:pPr>
              <w:rPr>
                <w:color w:val="000000" w:themeColor="text1"/>
                <w:sz w:val="24"/>
              </w:rPr>
            </w:pPr>
            <w:r w:rsidRPr="00A67563">
              <w:rPr>
                <w:color w:val="000000" w:themeColor="text1"/>
                <w:sz w:val="24"/>
              </w:rPr>
              <w:t>合计</w:t>
            </w:r>
          </w:p>
        </w:tc>
        <w:tc>
          <w:tcPr>
            <w:tcW w:w="2835"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530,548,295.19</w:t>
            </w:r>
          </w:p>
        </w:tc>
        <w:tc>
          <w:tcPr>
            <w:tcW w:w="1559"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100.00</w:t>
            </w:r>
          </w:p>
        </w:tc>
      </w:tr>
    </w:tbl>
    <w:p w:rsidR="0076518F" w:rsidRPr="00A67563" w:rsidRDefault="00A82C02"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2</w:t>
      </w:r>
      <w:r w:rsidRPr="00A67563">
        <w:rPr>
          <w:b/>
          <w:color w:val="000000" w:themeColor="text1"/>
          <w:kern w:val="0"/>
          <w:sz w:val="24"/>
        </w:rPr>
        <w:t xml:space="preserve"> </w:t>
      </w:r>
      <w:r w:rsidR="0076518F" w:rsidRPr="00A67563">
        <w:rPr>
          <w:b/>
          <w:color w:val="000000" w:themeColor="text1"/>
          <w:kern w:val="0"/>
          <w:sz w:val="24"/>
        </w:rPr>
        <w:t>报告期末在各个国家（地区）证券市场的股票及存托凭证投资分布</w:t>
      </w:r>
    </w:p>
    <w:p w:rsidR="0076518F" w:rsidRPr="00A67563" w:rsidRDefault="00363E15"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本基金本报告期末未持有权益投资。</w:t>
      </w:r>
    </w:p>
    <w:p w:rsidR="00C37E98"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3</w:t>
      </w:r>
      <w:r w:rsidR="0076518F" w:rsidRPr="00A67563">
        <w:rPr>
          <w:b/>
          <w:color w:val="000000" w:themeColor="text1"/>
          <w:kern w:val="0"/>
          <w:sz w:val="24"/>
        </w:rPr>
        <w:t xml:space="preserve"> </w:t>
      </w:r>
      <w:r w:rsidR="0076518F" w:rsidRPr="00A67563">
        <w:rPr>
          <w:b/>
          <w:color w:val="000000" w:themeColor="text1"/>
          <w:kern w:val="0"/>
          <w:sz w:val="24"/>
        </w:rPr>
        <w:t>报告期末按行业分类的股票及存托凭证投资组合</w:t>
      </w:r>
    </w:p>
    <w:p w:rsidR="000A521D" w:rsidRPr="00A67563" w:rsidRDefault="000A521D"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本基金本报告期末未持有权益投资。</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4</w:t>
      </w:r>
      <w:r w:rsidR="0076518F"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报告期末按公允价值占基金资产净值比例大小排序的前十名股票及存托凭证投资明细</w:t>
      </w:r>
    </w:p>
    <w:p w:rsidR="00521EDE" w:rsidRPr="00A67563" w:rsidRDefault="00E73C41"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本基金本报告期末未持有权益投资。</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5</w:t>
      </w:r>
      <w:r w:rsidR="0076518F" w:rsidRPr="00A67563">
        <w:rPr>
          <w:b/>
          <w:color w:val="000000" w:themeColor="text1"/>
          <w:kern w:val="0"/>
          <w:sz w:val="24"/>
        </w:rPr>
        <w:t xml:space="preserve"> </w:t>
      </w:r>
      <w:r w:rsidR="0076518F" w:rsidRPr="00A67563">
        <w:rPr>
          <w:b/>
          <w:color w:val="000000" w:themeColor="text1"/>
          <w:kern w:val="0"/>
          <w:sz w:val="24"/>
        </w:rPr>
        <w:t>报告期末按债券信用等级分类的债券投资组合</w:t>
      </w:r>
    </w:p>
    <w:tbl>
      <w:tblPr>
        <w:tblStyle w:val="af7"/>
        <w:tblW w:w="0" w:type="auto"/>
        <w:tblInd w:w="15" w:type="dxa"/>
        <w:tblLook w:val="04A0" w:firstRow="1" w:lastRow="0" w:firstColumn="1" w:lastColumn="0" w:noHBand="0" w:noVBand="1"/>
      </w:tblPr>
      <w:tblGrid>
        <w:gridCol w:w="2837"/>
        <w:gridCol w:w="2838"/>
        <w:gridCol w:w="2838"/>
      </w:tblGrid>
      <w:tr w:rsidR="008277FF" w:rsidRPr="00A67563" w:rsidTr="00797DD2">
        <w:tc>
          <w:tcPr>
            <w:tcW w:w="2837" w:type="dxa"/>
            <w:vAlign w:val="center"/>
          </w:tcPr>
          <w:p w:rsidR="00E73C41" w:rsidRPr="00A67563" w:rsidRDefault="00E73C41"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债券信用等级</w:t>
            </w:r>
          </w:p>
        </w:tc>
        <w:tc>
          <w:tcPr>
            <w:tcW w:w="2838" w:type="dxa"/>
            <w:vAlign w:val="center"/>
          </w:tcPr>
          <w:p w:rsidR="00E73C41" w:rsidRPr="00A67563" w:rsidRDefault="00E73C41"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公允价值</w:t>
            </w:r>
            <w:r w:rsidRPr="00A67563">
              <w:rPr>
                <w:color w:val="000000" w:themeColor="text1"/>
                <w:kern w:val="0"/>
                <w:sz w:val="24"/>
              </w:rPr>
              <w:t>(</w:t>
            </w:r>
            <w:r w:rsidRPr="00A67563">
              <w:rPr>
                <w:color w:val="000000" w:themeColor="text1"/>
                <w:kern w:val="0"/>
                <w:sz w:val="24"/>
              </w:rPr>
              <w:t>人民币元</w:t>
            </w:r>
            <w:r w:rsidRPr="00A67563">
              <w:rPr>
                <w:color w:val="000000" w:themeColor="text1"/>
                <w:kern w:val="0"/>
                <w:sz w:val="24"/>
              </w:rPr>
              <w:t>)</w:t>
            </w:r>
          </w:p>
        </w:tc>
        <w:tc>
          <w:tcPr>
            <w:tcW w:w="2838" w:type="dxa"/>
            <w:vAlign w:val="center"/>
          </w:tcPr>
          <w:p w:rsidR="00E73C41" w:rsidRPr="00A67563" w:rsidRDefault="00E73C41"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占基金资产净值比例（％）</w:t>
            </w:r>
          </w:p>
        </w:tc>
      </w:tr>
      <w:tr w:rsidR="009960A0">
        <w:tc>
          <w:tcPr>
            <w:tcW w:w="0" w:type="auto"/>
            <w:vAlign w:val="center"/>
          </w:tcPr>
          <w:p w:rsidR="009960A0" w:rsidRDefault="00C41D5F">
            <w:pPr>
              <w:jc w:val="left"/>
            </w:pPr>
            <w:r>
              <w:rPr>
                <w:color w:val="000000" w:themeColor="text1"/>
                <w:sz w:val="24"/>
              </w:rPr>
              <w:t>AAA+</w:t>
            </w:r>
            <w:r>
              <w:rPr>
                <w:color w:val="000000" w:themeColor="text1"/>
                <w:sz w:val="24"/>
              </w:rPr>
              <w:t>至</w:t>
            </w:r>
            <w:r>
              <w:rPr>
                <w:color w:val="000000" w:themeColor="text1"/>
                <w:sz w:val="24"/>
              </w:rPr>
              <w:t>AAA-</w:t>
            </w:r>
          </w:p>
        </w:tc>
        <w:tc>
          <w:tcPr>
            <w:tcW w:w="0" w:type="auto"/>
            <w:vAlign w:val="center"/>
          </w:tcPr>
          <w:p w:rsidR="009960A0" w:rsidRDefault="00C41D5F">
            <w:pPr>
              <w:jc w:val="right"/>
            </w:pPr>
            <w:r>
              <w:rPr>
                <w:color w:val="000000" w:themeColor="text1"/>
                <w:sz w:val="24"/>
              </w:rPr>
              <w:t>0.00</w:t>
            </w:r>
          </w:p>
        </w:tc>
        <w:tc>
          <w:tcPr>
            <w:tcW w:w="0" w:type="auto"/>
            <w:vAlign w:val="center"/>
          </w:tcPr>
          <w:p w:rsidR="009960A0" w:rsidRDefault="00C41D5F">
            <w:pPr>
              <w:jc w:val="right"/>
            </w:pPr>
            <w:r>
              <w:rPr>
                <w:color w:val="000000" w:themeColor="text1"/>
                <w:sz w:val="24"/>
              </w:rPr>
              <w:t>0.00</w:t>
            </w:r>
          </w:p>
        </w:tc>
      </w:tr>
      <w:tr w:rsidR="009960A0">
        <w:tc>
          <w:tcPr>
            <w:tcW w:w="0" w:type="auto"/>
            <w:vAlign w:val="center"/>
          </w:tcPr>
          <w:p w:rsidR="009960A0" w:rsidRDefault="00C41D5F">
            <w:pPr>
              <w:jc w:val="left"/>
            </w:pPr>
            <w:r>
              <w:rPr>
                <w:color w:val="000000" w:themeColor="text1"/>
                <w:sz w:val="24"/>
              </w:rPr>
              <w:t>AA+</w:t>
            </w:r>
            <w:r>
              <w:rPr>
                <w:color w:val="000000" w:themeColor="text1"/>
                <w:sz w:val="24"/>
              </w:rPr>
              <w:t>至</w:t>
            </w:r>
            <w:r>
              <w:rPr>
                <w:color w:val="000000" w:themeColor="text1"/>
                <w:sz w:val="24"/>
              </w:rPr>
              <w:t>AA-</w:t>
            </w:r>
          </w:p>
        </w:tc>
        <w:tc>
          <w:tcPr>
            <w:tcW w:w="0" w:type="auto"/>
            <w:vAlign w:val="center"/>
          </w:tcPr>
          <w:p w:rsidR="009960A0" w:rsidRDefault="00C41D5F">
            <w:pPr>
              <w:jc w:val="right"/>
            </w:pPr>
            <w:r>
              <w:rPr>
                <w:color w:val="000000" w:themeColor="text1"/>
                <w:sz w:val="24"/>
              </w:rPr>
              <w:t>0.00</w:t>
            </w:r>
          </w:p>
        </w:tc>
        <w:tc>
          <w:tcPr>
            <w:tcW w:w="0" w:type="auto"/>
            <w:vAlign w:val="center"/>
          </w:tcPr>
          <w:p w:rsidR="009960A0" w:rsidRDefault="00C41D5F">
            <w:pPr>
              <w:jc w:val="right"/>
            </w:pPr>
            <w:r>
              <w:rPr>
                <w:color w:val="000000" w:themeColor="text1"/>
                <w:sz w:val="24"/>
              </w:rPr>
              <w:t>0.00</w:t>
            </w:r>
          </w:p>
        </w:tc>
      </w:tr>
      <w:tr w:rsidR="009960A0">
        <w:tc>
          <w:tcPr>
            <w:tcW w:w="0" w:type="auto"/>
            <w:vAlign w:val="center"/>
          </w:tcPr>
          <w:p w:rsidR="009960A0" w:rsidRDefault="00C41D5F">
            <w:pPr>
              <w:jc w:val="left"/>
            </w:pPr>
            <w:r>
              <w:rPr>
                <w:color w:val="000000" w:themeColor="text1"/>
                <w:sz w:val="24"/>
              </w:rPr>
              <w:t>A+</w:t>
            </w:r>
            <w:r>
              <w:rPr>
                <w:color w:val="000000" w:themeColor="text1"/>
                <w:sz w:val="24"/>
              </w:rPr>
              <w:t>至</w:t>
            </w:r>
            <w:r>
              <w:rPr>
                <w:color w:val="000000" w:themeColor="text1"/>
                <w:sz w:val="24"/>
              </w:rPr>
              <w:t>A-</w:t>
            </w:r>
          </w:p>
        </w:tc>
        <w:tc>
          <w:tcPr>
            <w:tcW w:w="0" w:type="auto"/>
            <w:vAlign w:val="center"/>
          </w:tcPr>
          <w:p w:rsidR="009960A0" w:rsidRDefault="00C41D5F">
            <w:pPr>
              <w:jc w:val="right"/>
            </w:pPr>
            <w:r>
              <w:rPr>
                <w:color w:val="000000" w:themeColor="text1"/>
                <w:sz w:val="24"/>
              </w:rPr>
              <w:t>58,400,315.97</w:t>
            </w:r>
          </w:p>
        </w:tc>
        <w:tc>
          <w:tcPr>
            <w:tcW w:w="0" w:type="auto"/>
            <w:vAlign w:val="center"/>
          </w:tcPr>
          <w:p w:rsidR="009960A0" w:rsidRDefault="00C41D5F">
            <w:pPr>
              <w:jc w:val="right"/>
            </w:pPr>
            <w:r>
              <w:rPr>
                <w:color w:val="000000" w:themeColor="text1"/>
                <w:sz w:val="24"/>
              </w:rPr>
              <w:t>11.11</w:t>
            </w:r>
          </w:p>
        </w:tc>
      </w:tr>
      <w:tr w:rsidR="009960A0">
        <w:tc>
          <w:tcPr>
            <w:tcW w:w="0" w:type="auto"/>
            <w:vAlign w:val="center"/>
          </w:tcPr>
          <w:p w:rsidR="009960A0" w:rsidRDefault="00C41D5F">
            <w:pPr>
              <w:jc w:val="left"/>
            </w:pPr>
            <w:r>
              <w:rPr>
                <w:color w:val="000000" w:themeColor="text1"/>
                <w:sz w:val="24"/>
              </w:rPr>
              <w:t>BBB+</w:t>
            </w:r>
            <w:r>
              <w:rPr>
                <w:color w:val="000000" w:themeColor="text1"/>
                <w:sz w:val="24"/>
              </w:rPr>
              <w:t>至</w:t>
            </w:r>
            <w:r>
              <w:rPr>
                <w:color w:val="000000" w:themeColor="text1"/>
                <w:sz w:val="24"/>
              </w:rPr>
              <w:t>BBB-</w:t>
            </w:r>
          </w:p>
        </w:tc>
        <w:tc>
          <w:tcPr>
            <w:tcW w:w="0" w:type="auto"/>
            <w:vAlign w:val="center"/>
          </w:tcPr>
          <w:p w:rsidR="009960A0" w:rsidRDefault="00C41D5F">
            <w:pPr>
              <w:jc w:val="right"/>
            </w:pPr>
            <w:r>
              <w:rPr>
                <w:color w:val="000000" w:themeColor="text1"/>
                <w:sz w:val="24"/>
              </w:rPr>
              <w:t>334,669,389.26</w:t>
            </w:r>
          </w:p>
        </w:tc>
        <w:tc>
          <w:tcPr>
            <w:tcW w:w="0" w:type="auto"/>
            <w:vAlign w:val="center"/>
          </w:tcPr>
          <w:p w:rsidR="009960A0" w:rsidRDefault="00C41D5F">
            <w:pPr>
              <w:jc w:val="right"/>
            </w:pPr>
            <w:r>
              <w:rPr>
                <w:color w:val="000000" w:themeColor="text1"/>
                <w:sz w:val="24"/>
              </w:rPr>
              <w:t>63.66</w:t>
            </w:r>
          </w:p>
        </w:tc>
      </w:tr>
      <w:tr w:rsidR="009960A0">
        <w:tc>
          <w:tcPr>
            <w:tcW w:w="0" w:type="auto"/>
            <w:vAlign w:val="center"/>
          </w:tcPr>
          <w:p w:rsidR="009960A0" w:rsidRDefault="00C41D5F">
            <w:pPr>
              <w:jc w:val="left"/>
            </w:pPr>
            <w:r>
              <w:rPr>
                <w:color w:val="000000" w:themeColor="text1"/>
                <w:sz w:val="24"/>
              </w:rPr>
              <w:t>BB+</w:t>
            </w:r>
            <w:r>
              <w:rPr>
                <w:color w:val="000000" w:themeColor="text1"/>
                <w:sz w:val="24"/>
              </w:rPr>
              <w:t>至</w:t>
            </w:r>
            <w:r>
              <w:rPr>
                <w:color w:val="000000" w:themeColor="text1"/>
                <w:sz w:val="24"/>
              </w:rPr>
              <w:t>BB-</w:t>
            </w:r>
          </w:p>
        </w:tc>
        <w:tc>
          <w:tcPr>
            <w:tcW w:w="0" w:type="auto"/>
            <w:vAlign w:val="center"/>
          </w:tcPr>
          <w:p w:rsidR="009960A0" w:rsidRDefault="00C41D5F">
            <w:pPr>
              <w:jc w:val="right"/>
            </w:pPr>
            <w:r>
              <w:rPr>
                <w:color w:val="000000" w:themeColor="text1"/>
                <w:sz w:val="24"/>
              </w:rPr>
              <w:t>90,364,537.13</w:t>
            </w:r>
          </w:p>
        </w:tc>
        <w:tc>
          <w:tcPr>
            <w:tcW w:w="0" w:type="auto"/>
            <w:vAlign w:val="center"/>
          </w:tcPr>
          <w:p w:rsidR="009960A0" w:rsidRDefault="00C41D5F">
            <w:pPr>
              <w:jc w:val="right"/>
            </w:pPr>
            <w:r>
              <w:rPr>
                <w:color w:val="000000" w:themeColor="text1"/>
                <w:sz w:val="24"/>
              </w:rPr>
              <w:t>17.19</w:t>
            </w:r>
          </w:p>
        </w:tc>
      </w:tr>
      <w:tr w:rsidR="009960A0">
        <w:tc>
          <w:tcPr>
            <w:tcW w:w="0" w:type="auto"/>
            <w:vAlign w:val="center"/>
          </w:tcPr>
          <w:p w:rsidR="009960A0" w:rsidRDefault="00C41D5F">
            <w:pPr>
              <w:jc w:val="left"/>
            </w:pPr>
            <w:r>
              <w:rPr>
                <w:color w:val="000000" w:themeColor="text1"/>
                <w:sz w:val="24"/>
              </w:rPr>
              <w:lastRenderedPageBreak/>
              <w:t>B+</w:t>
            </w:r>
            <w:r>
              <w:rPr>
                <w:color w:val="000000" w:themeColor="text1"/>
                <w:sz w:val="24"/>
              </w:rPr>
              <w:t>至</w:t>
            </w:r>
            <w:r>
              <w:rPr>
                <w:color w:val="000000" w:themeColor="text1"/>
                <w:sz w:val="24"/>
              </w:rPr>
              <w:t>B-</w:t>
            </w:r>
          </w:p>
        </w:tc>
        <w:tc>
          <w:tcPr>
            <w:tcW w:w="0" w:type="auto"/>
            <w:vAlign w:val="center"/>
          </w:tcPr>
          <w:p w:rsidR="009960A0" w:rsidRDefault="00C41D5F">
            <w:pPr>
              <w:jc w:val="right"/>
            </w:pPr>
            <w:r>
              <w:rPr>
                <w:color w:val="000000" w:themeColor="text1"/>
                <w:sz w:val="24"/>
              </w:rPr>
              <w:t>5,273,489.46</w:t>
            </w:r>
          </w:p>
        </w:tc>
        <w:tc>
          <w:tcPr>
            <w:tcW w:w="0" w:type="auto"/>
            <w:vAlign w:val="center"/>
          </w:tcPr>
          <w:p w:rsidR="009960A0" w:rsidRDefault="00C41D5F">
            <w:pPr>
              <w:jc w:val="right"/>
            </w:pPr>
            <w:r>
              <w:rPr>
                <w:color w:val="000000" w:themeColor="text1"/>
                <w:sz w:val="24"/>
              </w:rPr>
              <w:t>1.00</w:t>
            </w:r>
          </w:p>
        </w:tc>
      </w:tr>
      <w:tr w:rsidR="009960A0">
        <w:tc>
          <w:tcPr>
            <w:tcW w:w="0" w:type="auto"/>
            <w:vAlign w:val="center"/>
          </w:tcPr>
          <w:p w:rsidR="009960A0" w:rsidRDefault="00C41D5F">
            <w:pPr>
              <w:jc w:val="left"/>
            </w:pPr>
            <w:r>
              <w:rPr>
                <w:color w:val="000000" w:themeColor="text1"/>
                <w:sz w:val="24"/>
              </w:rPr>
              <w:t>CCC+</w:t>
            </w:r>
            <w:r>
              <w:rPr>
                <w:color w:val="000000" w:themeColor="text1"/>
                <w:sz w:val="24"/>
              </w:rPr>
              <w:t>至</w:t>
            </w:r>
            <w:r>
              <w:rPr>
                <w:color w:val="000000" w:themeColor="text1"/>
                <w:sz w:val="24"/>
              </w:rPr>
              <w:t>CCC</w:t>
            </w:r>
          </w:p>
        </w:tc>
        <w:tc>
          <w:tcPr>
            <w:tcW w:w="0" w:type="auto"/>
            <w:vAlign w:val="center"/>
          </w:tcPr>
          <w:p w:rsidR="009960A0" w:rsidRDefault="00C41D5F">
            <w:pPr>
              <w:jc w:val="right"/>
            </w:pPr>
            <w:r>
              <w:rPr>
                <w:color w:val="000000" w:themeColor="text1"/>
                <w:sz w:val="24"/>
              </w:rPr>
              <w:t>0.00</w:t>
            </w:r>
          </w:p>
        </w:tc>
        <w:tc>
          <w:tcPr>
            <w:tcW w:w="0" w:type="auto"/>
            <w:vAlign w:val="center"/>
          </w:tcPr>
          <w:p w:rsidR="009960A0" w:rsidRDefault="00C41D5F">
            <w:pPr>
              <w:jc w:val="right"/>
            </w:pPr>
            <w:r>
              <w:rPr>
                <w:color w:val="000000" w:themeColor="text1"/>
                <w:sz w:val="24"/>
              </w:rPr>
              <w:t>0.00</w:t>
            </w:r>
          </w:p>
        </w:tc>
      </w:tr>
      <w:tr w:rsidR="009960A0">
        <w:tc>
          <w:tcPr>
            <w:tcW w:w="0" w:type="auto"/>
            <w:vAlign w:val="center"/>
          </w:tcPr>
          <w:p w:rsidR="009960A0" w:rsidRDefault="00C41D5F">
            <w:pPr>
              <w:jc w:val="left"/>
            </w:pPr>
            <w:r>
              <w:rPr>
                <w:color w:val="000000" w:themeColor="text1"/>
                <w:sz w:val="24"/>
              </w:rPr>
              <w:t>未评级</w:t>
            </w:r>
          </w:p>
        </w:tc>
        <w:tc>
          <w:tcPr>
            <w:tcW w:w="0" w:type="auto"/>
            <w:vAlign w:val="center"/>
          </w:tcPr>
          <w:p w:rsidR="009960A0" w:rsidRDefault="00C41D5F">
            <w:pPr>
              <w:jc w:val="right"/>
            </w:pPr>
            <w:r>
              <w:rPr>
                <w:color w:val="000000" w:themeColor="text1"/>
                <w:sz w:val="24"/>
              </w:rPr>
              <w:t>11,861,990.96</w:t>
            </w:r>
          </w:p>
        </w:tc>
        <w:tc>
          <w:tcPr>
            <w:tcW w:w="0" w:type="auto"/>
            <w:vAlign w:val="center"/>
          </w:tcPr>
          <w:p w:rsidR="009960A0" w:rsidRDefault="00C41D5F">
            <w:pPr>
              <w:jc w:val="right"/>
            </w:pPr>
            <w:r>
              <w:rPr>
                <w:color w:val="000000" w:themeColor="text1"/>
                <w:sz w:val="24"/>
              </w:rPr>
              <w:t>2.26</w:t>
            </w:r>
          </w:p>
        </w:tc>
      </w:tr>
    </w:tbl>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注：本债券投资组合主要采用标准普尔、惠誉、穆迪提供的债券信用评级信息，债券投资以全价列示。</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6</w:t>
      </w:r>
      <w:r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310"/>
        <w:gridCol w:w="1282"/>
        <w:gridCol w:w="1426"/>
        <w:gridCol w:w="1646"/>
        <w:gridCol w:w="1612"/>
      </w:tblGrid>
      <w:tr w:rsidR="008277FF" w:rsidRPr="00A67563" w:rsidTr="00B918B8">
        <w:tc>
          <w:tcPr>
            <w:tcW w:w="1252"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序号</w:t>
            </w:r>
          </w:p>
        </w:tc>
        <w:tc>
          <w:tcPr>
            <w:tcW w:w="1310"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债券代码</w:t>
            </w:r>
          </w:p>
        </w:tc>
        <w:tc>
          <w:tcPr>
            <w:tcW w:w="1282"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债券名称</w:t>
            </w:r>
          </w:p>
        </w:tc>
        <w:tc>
          <w:tcPr>
            <w:tcW w:w="1426"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数量</w:t>
            </w:r>
            <w:r w:rsidRPr="00A67563">
              <w:rPr>
                <w:color w:val="000000" w:themeColor="text1"/>
                <w:sz w:val="24"/>
              </w:rPr>
              <w:t>(</w:t>
            </w:r>
            <w:r w:rsidRPr="00A67563">
              <w:rPr>
                <w:color w:val="000000" w:themeColor="text1"/>
                <w:sz w:val="24"/>
              </w:rPr>
              <w:t>张</w:t>
            </w:r>
            <w:r w:rsidRPr="00A67563">
              <w:rPr>
                <w:color w:val="000000" w:themeColor="text1"/>
                <w:sz w:val="24"/>
              </w:rPr>
              <w:t>)</w:t>
            </w:r>
          </w:p>
        </w:tc>
        <w:tc>
          <w:tcPr>
            <w:tcW w:w="1646"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公允价值</w:t>
            </w:r>
            <w:r w:rsidRPr="00A67563">
              <w:rPr>
                <w:color w:val="000000" w:themeColor="text1"/>
                <w:sz w:val="24"/>
              </w:rPr>
              <w:t>(</w:t>
            </w:r>
            <w:r w:rsidR="006E0BCB">
              <w:rPr>
                <w:color w:val="000000" w:themeColor="text1"/>
                <w:sz w:val="24"/>
              </w:rPr>
              <w:t>人民币</w:t>
            </w:r>
            <w:r w:rsidRPr="00A67563">
              <w:rPr>
                <w:color w:val="000000" w:themeColor="text1"/>
                <w:sz w:val="24"/>
              </w:rPr>
              <w:t>元</w:t>
            </w:r>
            <w:r w:rsidRPr="00A67563">
              <w:rPr>
                <w:color w:val="000000" w:themeColor="text1"/>
                <w:sz w:val="24"/>
              </w:rPr>
              <w:t>)</w:t>
            </w:r>
          </w:p>
        </w:tc>
        <w:tc>
          <w:tcPr>
            <w:tcW w:w="1612"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占基金资产净值比例</w:t>
            </w:r>
            <w:r w:rsidRPr="00A67563">
              <w:rPr>
                <w:color w:val="000000" w:themeColor="text1"/>
                <w:sz w:val="24"/>
              </w:rPr>
              <w:t>(</w:t>
            </w:r>
            <w:r w:rsidRPr="00A67563">
              <w:rPr>
                <w:color w:val="000000" w:themeColor="text1"/>
                <w:sz w:val="24"/>
              </w:rPr>
              <w:t>％</w:t>
            </w:r>
            <w:r w:rsidRPr="00A67563">
              <w:rPr>
                <w:color w:val="000000" w:themeColor="text1"/>
                <w:sz w:val="24"/>
              </w:rPr>
              <w:t>)</w:t>
            </w:r>
          </w:p>
        </w:tc>
      </w:tr>
      <w:tr w:rsidR="009960A0">
        <w:tc>
          <w:tcPr>
            <w:tcW w:w="1252" w:type="dxa"/>
            <w:vAlign w:val="center"/>
          </w:tcPr>
          <w:p w:rsidR="009960A0" w:rsidRDefault="00C41D5F">
            <w:pPr>
              <w:jc w:val="center"/>
            </w:pPr>
            <w:r>
              <w:rPr>
                <w:color w:val="000000" w:themeColor="text1"/>
                <w:sz w:val="24"/>
              </w:rPr>
              <w:t>1</w:t>
            </w:r>
          </w:p>
        </w:tc>
        <w:tc>
          <w:tcPr>
            <w:tcW w:w="1310" w:type="dxa"/>
            <w:vAlign w:val="center"/>
          </w:tcPr>
          <w:p w:rsidR="009960A0" w:rsidRDefault="00C41D5F">
            <w:pPr>
              <w:jc w:val="center"/>
            </w:pPr>
            <w:r>
              <w:rPr>
                <w:color w:val="000000" w:themeColor="text1"/>
                <w:sz w:val="24"/>
              </w:rPr>
              <w:t>XS1555076162</w:t>
            </w:r>
          </w:p>
        </w:tc>
        <w:tc>
          <w:tcPr>
            <w:tcW w:w="1282" w:type="dxa"/>
            <w:vAlign w:val="center"/>
          </w:tcPr>
          <w:p w:rsidR="009960A0" w:rsidRDefault="00C41D5F">
            <w:pPr>
              <w:jc w:val="center"/>
            </w:pPr>
            <w:r>
              <w:rPr>
                <w:color w:val="000000" w:themeColor="text1"/>
                <w:sz w:val="24"/>
              </w:rPr>
              <w:t>HRINTH 4 1/2 PERP</w:t>
            </w:r>
          </w:p>
        </w:tc>
        <w:tc>
          <w:tcPr>
            <w:tcW w:w="1426" w:type="dxa"/>
            <w:vAlign w:val="center"/>
          </w:tcPr>
          <w:p w:rsidR="009960A0" w:rsidRDefault="00C41D5F">
            <w:pPr>
              <w:jc w:val="right"/>
            </w:pPr>
            <w:r>
              <w:rPr>
                <w:color w:val="000000" w:themeColor="text1"/>
                <w:sz w:val="24"/>
              </w:rPr>
              <w:t>17,698,750</w:t>
            </w:r>
          </w:p>
        </w:tc>
        <w:tc>
          <w:tcPr>
            <w:tcW w:w="1646" w:type="dxa"/>
            <w:vAlign w:val="center"/>
          </w:tcPr>
          <w:p w:rsidR="009960A0" w:rsidRDefault="00C41D5F">
            <w:pPr>
              <w:jc w:val="right"/>
            </w:pPr>
            <w:r>
              <w:rPr>
                <w:color w:val="000000" w:themeColor="text1"/>
                <w:sz w:val="24"/>
              </w:rPr>
              <w:t>17,852,552.14</w:t>
            </w:r>
          </w:p>
        </w:tc>
        <w:tc>
          <w:tcPr>
            <w:tcW w:w="1612" w:type="dxa"/>
            <w:vAlign w:val="center"/>
          </w:tcPr>
          <w:p w:rsidR="009960A0" w:rsidRDefault="00C41D5F">
            <w:pPr>
              <w:jc w:val="right"/>
            </w:pPr>
            <w:r>
              <w:rPr>
                <w:color w:val="000000" w:themeColor="text1"/>
                <w:sz w:val="24"/>
              </w:rPr>
              <w:t>3.40</w:t>
            </w:r>
          </w:p>
        </w:tc>
      </w:tr>
      <w:tr w:rsidR="009960A0">
        <w:tc>
          <w:tcPr>
            <w:tcW w:w="1252" w:type="dxa"/>
            <w:vAlign w:val="center"/>
          </w:tcPr>
          <w:p w:rsidR="009960A0" w:rsidRDefault="00C41D5F">
            <w:pPr>
              <w:jc w:val="center"/>
            </w:pPr>
            <w:r>
              <w:rPr>
                <w:color w:val="000000" w:themeColor="text1"/>
                <w:sz w:val="24"/>
              </w:rPr>
              <w:t>2</w:t>
            </w:r>
          </w:p>
        </w:tc>
        <w:tc>
          <w:tcPr>
            <w:tcW w:w="1310" w:type="dxa"/>
            <w:vAlign w:val="center"/>
          </w:tcPr>
          <w:p w:rsidR="009960A0" w:rsidRDefault="00C41D5F">
            <w:pPr>
              <w:jc w:val="center"/>
            </w:pPr>
            <w:r>
              <w:rPr>
                <w:color w:val="000000" w:themeColor="text1"/>
                <w:sz w:val="24"/>
              </w:rPr>
              <w:t>XS2051351893</w:t>
            </w:r>
          </w:p>
        </w:tc>
        <w:tc>
          <w:tcPr>
            <w:tcW w:w="1282" w:type="dxa"/>
            <w:vAlign w:val="center"/>
          </w:tcPr>
          <w:p w:rsidR="009960A0" w:rsidRDefault="00C41D5F">
            <w:pPr>
              <w:jc w:val="center"/>
            </w:pPr>
            <w:r>
              <w:rPr>
                <w:color w:val="000000" w:themeColor="text1"/>
                <w:sz w:val="24"/>
              </w:rPr>
              <w:t>ZZREAL 3.95 10/09/22</w:t>
            </w:r>
          </w:p>
        </w:tc>
        <w:tc>
          <w:tcPr>
            <w:tcW w:w="1426" w:type="dxa"/>
            <w:vAlign w:val="center"/>
          </w:tcPr>
          <w:p w:rsidR="009960A0" w:rsidRDefault="00C41D5F">
            <w:pPr>
              <w:jc w:val="right"/>
            </w:pPr>
            <w:r>
              <w:rPr>
                <w:color w:val="000000" w:themeColor="text1"/>
                <w:sz w:val="24"/>
              </w:rPr>
              <w:t>17,698,750</w:t>
            </w:r>
          </w:p>
        </w:tc>
        <w:tc>
          <w:tcPr>
            <w:tcW w:w="1646" w:type="dxa"/>
            <w:vAlign w:val="center"/>
          </w:tcPr>
          <w:p w:rsidR="009960A0" w:rsidRDefault="00C41D5F">
            <w:pPr>
              <w:jc w:val="right"/>
            </w:pPr>
            <w:r>
              <w:rPr>
                <w:color w:val="000000" w:themeColor="text1"/>
                <w:sz w:val="24"/>
              </w:rPr>
              <w:t>17,756,447.93</w:t>
            </w:r>
          </w:p>
        </w:tc>
        <w:tc>
          <w:tcPr>
            <w:tcW w:w="1612" w:type="dxa"/>
            <w:vAlign w:val="center"/>
          </w:tcPr>
          <w:p w:rsidR="009960A0" w:rsidRDefault="00C41D5F">
            <w:pPr>
              <w:jc w:val="right"/>
            </w:pPr>
            <w:r>
              <w:rPr>
                <w:color w:val="000000" w:themeColor="text1"/>
                <w:sz w:val="24"/>
              </w:rPr>
              <w:t>3.38</w:t>
            </w:r>
          </w:p>
        </w:tc>
      </w:tr>
      <w:tr w:rsidR="009960A0">
        <w:tc>
          <w:tcPr>
            <w:tcW w:w="1252" w:type="dxa"/>
            <w:vAlign w:val="center"/>
          </w:tcPr>
          <w:p w:rsidR="009960A0" w:rsidRDefault="00C41D5F">
            <w:pPr>
              <w:jc w:val="center"/>
            </w:pPr>
            <w:r>
              <w:rPr>
                <w:color w:val="000000" w:themeColor="text1"/>
                <w:sz w:val="24"/>
              </w:rPr>
              <w:t>3</w:t>
            </w:r>
          </w:p>
        </w:tc>
        <w:tc>
          <w:tcPr>
            <w:tcW w:w="1310" w:type="dxa"/>
            <w:vAlign w:val="center"/>
          </w:tcPr>
          <w:p w:rsidR="009960A0" w:rsidRDefault="00C41D5F">
            <w:pPr>
              <w:jc w:val="center"/>
            </w:pPr>
            <w:r>
              <w:rPr>
                <w:color w:val="000000" w:themeColor="text1"/>
                <w:sz w:val="24"/>
              </w:rPr>
              <w:t>XS1908374322</w:t>
            </w:r>
          </w:p>
        </w:tc>
        <w:tc>
          <w:tcPr>
            <w:tcW w:w="1282" w:type="dxa"/>
            <w:vAlign w:val="center"/>
          </w:tcPr>
          <w:p w:rsidR="009960A0" w:rsidRDefault="00C41D5F">
            <w:pPr>
              <w:jc w:val="center"/>
            </w:pPr>
            <w:r>
              <w:rPr>
                <w:color w:val="000000" w:themeColor="text1"/>
                <w:sz w:val="24"/>
              </w:rPr>
              <w:t>WHMTR 5.98 PERP</w:t>
            </w:r>
          </w:p>
        </w:tc>
        <w:tc>
          <w:tcPr>
            <w:tcW w:w="1426" w:type="dxa"/>
            <w:vAlign w:val="center"/>
          </w:tcPr>
          <w:p w:rsidR="009960A0" w:rsidRDefault="00C41D5F">
            <w:pPr>
              <w:jc w:val="right"/>
            </w:pPr>
            <w:r>
              <w:rPr>
                <w:color w:val="000000" w:themeColor="text1"/>
                <w:sz w:val="24"/>
              </w:rPr>
              <w:t>16,990,800</w:t>
            </w:r>
          </w:p>
        </w:tc>
        <w:tc>
          <w:tcPr>
            <w:tcW w:w="1646" w:type="dxa"/>
            <w:vAlign w:val="center"/>
          </w:tcPr>
          <w:p w:rsidR="009960A0" w:rsidRDefault="00C41D5F">
            <w:pPr>
              <w:jc w:val="right"/>
            </w:pPr>
            <w:r>
              <w:rPr>
                <w:color w:val="000000" w:themeColor="text1"/>
                <w:sz w:val="24"/>
              </w:rPr>
              <w:t>17,491,518.88</w:t>
            </w:r>
          </w:p>
        </w:tc>
        <w:tc>
          <w:tcPr>
            <w:tcW w:w="1612" w:type="dxa"/>
            <w:vAlign w:val="center"/>
          </w:tcPr>
          <w:p w:rsidR="009960A0" w:rsidRDefault="00C41D5F">
            <w:pPr>
              <w:jc w:val="right"/>
            </w:pPr>
            <w:r>
              <w:rPr>
                <w:color w:val="000000" w:themeColor="text1"/>
                <w:sz w:val="24"/>
              </w:rPr>
              <w:t>3.33</w:t>
            </w:r>
          </w:p>
        </w:tc>
      </w:tr>
      <w:tr w:rsidR="009960A0">
        <w:tc>
          <w:tcPr>
            <w:tcW w:w="1252" w:type="dxa"/>
            <w:vAlign w:val="center"/>
          </w:tcPr>
          <w:p w:rsidR="009960A0" w:rsidRDefault="00C41D5F">
            <w:pPr>
              <w:jc w:val="center"/>
            </w:pPr>
            <w:r>
              <w:rPr>
                <w:color w:val="000000" w:themeColor="text1"/>
                <w:sz w:val="24"/>
              </w:rPr>
              <w:t>4</w:t>
            </w:r>
          </w:p>
        </w:tc>
        <w:tc>
          <w:tcPr>
            <w:tcW w:w="1310" w:type="dxa"/>
            <w:vAlign w:val="center"/>
          </w:tcPr>
          <w:p w:rsidR="009960A0" w:rsidRDefault="00C41D5F">
            <w:pPr>
              <w:jc w:val="center"/>
            </w:pPr>
            <w:r>
              <w:rPr>
                <w:color w:val="000000" w:themeColor="text1"/>
                <w:sz w:val="24"/>
              </w:rPr>
              <w:t>XS1649890891</w:t>
            </w:r>
          </w:p>
        </w:tc>
        <w:tc>
          <w:tcPr>
            <w:tcW w:w="1282" w:type="dxa"/>
            <w:vAlign w:val="center"/>
          </w:tcPr>
          <w:p w:rsidR="009960A0" w:rsidRDefault="00C41D5F">
            <w:pPr>
              <w:jc w:val="center"/>
            </w:pPr>
            <w:r>
              <w:rPr>
                <w:color w:val="000000" w:themeColor="text1"/>
                <w:sz w:val="24"/>
              </w:rPr>
              <w:t>CHPWCN 4 1/4 PERP</w:t>
            </w:r>
          </w:p>
        </w:tc>
        <w:tc>
          <w:tcPr>
            <w:tcW w:w="1426" w:type="dxa"/>
            <w:vAlign w:val="center"/>
          </w:tcPr>
          <w:p w:rsidR="009960A0" w:rsidRDefault="00C41D5F">
            <w:pPr>
              <w:jc w:val="right"/>
            </w:pPr>
            <w:r>
              <w:rPr>
                <w:color w:val="000000" w:themeColor="text1"/>
                <w:sz w:val="24"/>
              </w:rPr>
              <w:t>14,159,000</w:t>
            </w:r>
          </w:p>
        </w:tc>
        <w:tc>
          <w:tcPr>
            <w:tcW w:w="1646" w:type="dxa"/>
            <w:vAlign w:val="center"/>
          </w:tcPr>
          <w:p w:rsidR="009960A0" w:rsidRDefault="00C41D5F">
            <w:pPr>
              <w:jc w:val="right"/>
            </w:pPr>
            <w:r>
              <w:rPr>
                <w:color w:val="000000" w:themeColor="text1"/>
                <w:sz w:val="24"/>
              </w:rPr>
              <w:t>14,316,589.67</w:t>
            </w:r>
          </w:p>
        </w:tc>
        <w:tc>
          <w:tcPr>
            <w:tcW w:w="1612" w:type="dxa"/>
            <w:vAlign w:val="center"/>
          </w:tcPr>
          <w:p w:rsidR="009960A0" w:rsidRDefault="00C41D5F">
            <w:pPr>
              <w:jc w:val="right"/>
            </w:pPr>
            <w:r>
              <w:rPr>
                <w:color w:val="000000" w:themeColor="text1"/>
                <w:sz w:val="24"/>
              </w:rPr>
              <w:t>2.72</w:t>
            </w:r>
          </w:p>
        </w:tc>
      </w:tr>
      <w:tr w:rsidR="009960A0">
        <w:tc>
          <w:tcPr>
            <w:tcW w:w="1252" w:type="dxa"/>
            <w:vAlign w:val="center"/>
          </w:tcPr>
          <w:p w:rsidR="009960A0" w:rsidRDefault="00C41D5F">
            <w:pPr>
              <w:jc w:val="center"/>
            </w:pPr>
            <w:r>
              <w:rPr>
                <w:color w:val="000000" w:themeColor="text1"/>
                <w:sz w:val="24"/>
              </w:rPr>
              <w:t>5</w:t>
            </w:r>
          </w:p>
        </w:tc>
        <w:tc>
          <w:tcPr>
            <w:tcW w:w="1310" w:type="dxa"/>
            <w:vAlign w:val="center"/>
          </w:tcPr>
          <w:p w:rsidR="009960A0" w:rsidRDefault="00C41D5F">
            <w:pPr>
              <w:jc w:val="center"/>
            </w:pPr>
            <w:r>
              <w:rPr>
                <w:color w:val="000000" w:themeColor="text1"/>
                <w:sz w:val="24"/>
              </w:rPr>
              <w:t>XS1720499588</w:t>
            </w:r>
          </w:p>
        </w:tc>
        <w:tc>
          <w:tcPr>
            <w:tcW w:w="1282" w:type="dxa"/>
            <w:vAlign w:val="center"/>
          </w:tcPr>
          <w:p w:rsidR="009960A0" w:rsidRDefault="00C41D5F">
            <w:pPr>
              <w:jc w:val="center"/>
            </w:pPr>
            <w:r>
              <w:rPr>
                <w:color w:val="000000" w:themeColor="text1"/>
                <w:sz w:val="24"/>
              </w:rPr>
              <w:t>SZIHL 3.95 PERP</w:t>
            </w:r>
          </w:p>
        </w:tc>
        <w:tc>
          <w:tcPr>
            <w:tcW w:w="1426" w:type="dxa"/>
            <w:vAlign w:val="center"/>
          </w:tcPr>
          <w:p w:rsidR="009960A0" w:rsidRDefault="00C41D5F">
            <w:pPr>
              <w:jc w:val="right"/>
            </w:pPr>
            <w:r>
              <w:rPr>
                <w:color w:val="000000" w:themeColor="text1"/>
                <w:sz w:val="24"/>
              </w:rPr>
              <w:t>14,159,000</w:t>
            </w:r>
          </w:p>
        </w:tc>
        <w:tc>
          <w:tcPr>
            <w:tcW w:w="1646" w:type="dxa"/>
            <w:vAlign w:val="center"/>
          </w:tcPr>
          <w:p w:rsidR="009960A0" w:rsidRDefault="00C41D5F">
            <w:pPr>
              <w:jc w:val="right"/>
            </w:pPr>
            <w:r>
              <w:rPr>
                <w:color w:val="000000" w:themeColor="text1"/>
                <w:sz w:val="24"/>
              </w:rPr>
              <w:t>14,261,369.57</w:t>
            </w:r>
          </w:p>
        </w:tc>
        <w:tc>
          <w:tcPr>
            <w:tcW w:w="1612" w:type="dxa"/>
            <w:vAlign w:val="center"/>
          </w:tcPr>
          <w:p w:rsidR="009960A0" w:rsidRDefault="00C41D5F">
            <w:pPr>
              <w:jc w:val="right"/>
            </w:pPr>
            <w:r>
              <w:rPr>
                <w:color w:val="000000" w:themeColor="text1"/>
                <w:sz w:val="24"/>
              </w:rPr>
              <w:t>2.71</w:t>
            </w:r>
          </w:p>
        </w:tc>
      </w:tr>
    </w:tbl>
    <w:p w:rsidR="009960A0" w:rsidRDefault="00C41D5F">
      <w:pPr>
        <w:autoSpaceDE w:val="0"/>
        <w:autoSpaceDN w:val="0"/>
        <w:adjustRightInd w:val="0"/>
        <w:spacing w:line="360" w:lineRule="auto"/>
        <w:ind w:firstLineChars="200" w:firstLine="480"/>
        <w:jc w:val="left"/>
        <w:rPr>
          <w:color w:val="000000" w:themeColor="text1"/>
          <w:kern w:val="0"/>
          <w:sz w:val="24"/>
        </w:rPr>
      </w:pPr>
      <w:r>
        <w:rPr>
          <w:color w:val="000000" w:themeColor="text1"/>
          <w:sz w:val="24"/>
        </w:rPr>
        <w:t>注：</w:t>
      </w:r>
      <w:r>
        <w:rPr>
          <w:color w:val="000000" w:themeColor="text1"/>
          <w:sz w:val="24"/>
        </w:rPr>
        <w:t>1.</w:t>
      </w:r>
      <w:r>
        <w:rPr>
          <w:color w:val="000000" w:themeColor="text1"/>
          <w:sz w:val="24"/>
        </w:rPr>
        <w:t>债券代码为</w:t>
      </w:r>
      <w:r>
        <w:rPr>
          <w:color w:val="000000" w:themeColor="text1"/>
          <w:sz w:val="24"/>
        </w:rPr>
        <w:t>ISIN</w:t>
      </w:r>
      <w:r>
        <w:rPr>
          <w:color w:val="000000" w:themeColor="text1"/>
          <w:sz w:val="24"/>
        </w:rPr>
        <w:t>码。</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2.</w:t>
      </w:r>
      <w:r w:rsidRPr="00A67563">
        <w:rPr>
          <w:color w:val="000000" w:themeColor="text1"/>
          <w:sz w:val="24"/>
        </w:rPr>
        <w:t>数量列示债券面值，外币按照期末估值汇率折为人民币，四舍五入保留整数。</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7</w:t>
      </w:r>
      <w:r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的前十名资产支持证券投资明细</w:t>
      </w:r>
    </w:p>
    <w:p w:rsidR="00521EDE" w:rsidRPr="00A67563" w:rsidRDefault="00521EDE"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本基金本报告期末未持有资产支持证券。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5.8</w:t>
      </w:r>
      <w:r w:rsidR="0076518F"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的前五名金融衍生品投资明细</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本基金本报告期末未持有金融衍生品。</w:t>
      </w:r>
    </w:p>
    <w:p w:rsidR="0076518F" w:rsidRPr="00A67563" w:rsidRDefault="00B22A61"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5.9</w:t>
      </w:r>
      <w:r w:rsidR="0076518F" w:rsidRPr="00A67563">
        <w:rPr>
          <w:b/>
          <w:color w:val="000000" w:themeColor="text1"/>
          <w:kern w:val="0"/>
          <w:sz w:val="24"/>
        </w:rPr>
        <w:t>报告期末按公允价值占基金资产净值比例大小排序的前十名基金投资明细</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本基金本报告期末未持有基金。</w:t>
      </w:r>
    </w:p>
    <w:p w:rsidR="0076518F" w:rsidRPr="00A67563" w:rsidRDefault="00B55EA7" w:rsidP="0049659A">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76518F" w:rsidRPr="00A67563">
        <w:rPr>
          <w:b/>
          <w:color w:val="000000" w:themeColor="text1"/>
          <w:kern w:val="0"/>
          <w:sz w:val="24"/>
        </w:rPr>
        <w:t>.</w:t>
      </w:r>
      <w:r w:rsidRPr="00A67563">
        <w:rPr>
          <w:b/>
          <w:color w:val="000000" w:themeColor="text1"/>
          <w:kern w:val="0"/>
          <w:sz w:val="24"/>
        </w:rPr>
        <w:t>10</w:t>
      </w:r>
      <w:r w:rsidR="0076518F" w:rsidRPr="00A67563">
        <w:rPr>
          <w:b/>
          <w:color w:val="000000" w:themeColor="text1"/>
          <w:kern w:val="0"/>
          <w:sz w:val="24"/>
        </w:rPr>
        <w:t xml:space="preserve"> </w:t>
      </w:r>
      <w:r w:rsidR="0076518F" w:rsidRPr="00A67563">
        <w:rPr>
          <w:b/>
          <w:color w:val="000000" w:themeColor="text1"/>
          <w:kern w:val="0"/>
          <w:sz w:val="24"/>
        </w:rPr>
        <w:t>投资组合报告附注</w:t>
      </w:r>
    </w:p>
    <w:p w:rsidR="00B55EA7" w:rsidRPr="00A67563" w:rsidRDefault="00B55EA7" w:rsidP="000E3F11">
      <w:pPr>
        <w:widowControl/>
        <w:spacing w:line="360" w:lineRule="auto"/>
        <w:ind w:left="120" w:hangingChars="50" w:hanging="120"/>
        <w:rPr>
          <w:color w:val="000000" w:themeColor="text1"/>
          <w:sz w:val="24"/>
        </w:rPr>
      </w:pPr>
      <w:r w:rsidRPr="00A67563">
        <w:rPr>
          <w:color w:val="000000" w:themeColor="text1"/>
          <w:sz w:val="24"/>
        </w:rPr>
        <w:t>5.10.1</w:t>
      </w:r>
      <w:r w:rsidR="008212BF">
        <w:rPr>
          <w:rFonts w:hint="eastAsia"/>
          <w:color w:val="000000" w:themeColor="text1"/>
          <w:sz w:val="24"/>
        </w:rPr>
        <w:t xml:space="preserve"> </w:t>
      </w:r>
      <w:r w:rsidRPr="00A67563">
        <w:rPr>
          <w:color w:val="000000" w:themeColor="text1"/>
          <w:sz w:val="24"/>
        </w:rPr>
        <w:t>本基金投资的前十名证券的发行主体本期没有出现被监管部门立案调查，或在报告编制日前一年内受到公开谴责、处罚的情形。</w:t>
      </w:r>
    </w:p>
    <w:p w:rsidR="00B55EA7" w:rsidRPr="00A67563" w:rsidRDefault="00B55EA7" w:rsidP="00B55EA7">
      <w:pPr>
        <w:widowControl/>
        <w:spacing w:line="360" w:lineRule="auto"/>
        <w:rPr>
          <w:color w:val="000000" w:themeColor="text1"/>
          <w:sz w:val="24"/>
        </w:rPr>
      </w:pPr>
      <w:r w:rsidRPr="00A67563">
        <w:rPr>
          <w:color w:val="000000" w:themeColor="text1"/>
          <w:sz w:val="24"/>
        </w:rPr>
        <w:lastRenderedPageBreak/>
        <w:t>5.10.2</w:t>
      </w:r>
      <w:r w:rsidR="008212BF">
        <w:rPr>
          <w:rFonts w:hint="eastAsia"/>
          <w:color w:val="000000" w:themeColor="text1"/>
          <w:sz w:val="24"/>
        </w:rPr>
        <w:t xml:space="preserve"> </w:t>
      </w:r>
      <w:r w:rsidRPr="00A67563">
        <w:rPr>
          <w:color w:val="000000" w:themeColor="text1"/>
          <w:sz w:val="24"/>
        </w:rPr>
        <w:t>本基金本报告期没有投资股票，不存在投资的前十名股票超出基金合同规定的备选股票库情况。</w:t>
      </w:r>
    </w:p>
    <w:p w:rsidR="0076518F" w:rsidRPr="00A67563" w:rsidRDefault="008C71EB" w:rsidP="0049659A">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.3</w:t>
      </w:r>
      <w:r w:rsidR="0076518F" w:rsidRPr="00A67563">
        <w:rPr>
          <w:b/>
          <w:color w:val="000000" w:themeColor="text1"/>
          <w:kern w:val="0"/>
          <w:sz w:val="24"/>
        </w:rPr>
        <w:t>其他资产构成</w:t>
      </w:r>
    </w:p>
    <w:tbl>
      <w:tblPr>
        <w:tblStyle w:val="af7"/>
        <w:tblW w:w="0" w:type="auto"/>
        <w:tblInd w:w="15" w:type="dxa"/>
        <w:tblLayout w:type="fixed"/>
        <w:tblLook w:val="04A0" w:firstRow="1" w:lastRow="0" w:firstColumn="1" w:lastColumn="0" w:noHBand="0" w:noVBand="1"/>
      </w:tblPr>
      <w:tblGrid>
        <w:gridCol w:w="802"/>
        <w:gridCol w:w="2903"/>
        <w:gridCol w:w="4808"/>
      </w:tblGrid>
      <w:tr w:rsidR="008277FF" w:rsidRPr="00A67563" w:rsidTr="004C05F3">
        <w:tc>
          <w:tcPr>
            <w:tcW w:w="802"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序号</w:t>
            </w:r>
          </w:p>
        </w:tc>
        <w:tc>
          <w:tcPr>
            <w:tcW w:w="2903"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名称</w:t>
            </w:r>
          </w:p>
        </w:tc>
        <w:tc>
          <w:tcPr>
            <w:tcW w:w="4808"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金额</w:t>
            </w:r>
            <w:r w:rsidRPr="00A67563">
              <w:rPr>
                <w:color w:val="000000" w:themeColor="text1"/>
                <w:kern w:val="0"/>
                <w:sz w:val="24"/>
              </w:rPr>
              <w:t>(</w:t>
            </w:r>
            <w:r w:rsidR="00C42431" w:rsidRPr="00A67563">
              <w:rPr>
                <w:color w:val="000000" w:themeColor="text1"/>
                <w:kern w:val="0"/>
                <w:sz w:val="24"/>
              </w:rPr>
              <w:t>人民币</w:t>
            </w:r>
            <w:r w:rsidRPr="00A67563">
              <w:rPr>
                <w:color w:val="000000" w:themeColor="text1"/>
                <w:kern w:val="0"/>
                <w:sz w:val="24"/>
              </w:rPr>
              <w:t>元</w:t>
            </w: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sz w:val="24"/>
              </w:rPr>
              <w:t>1</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存出保证金</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2</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应收证券清算款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3,627,394.21</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3</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应收股利</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4</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应收利息</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5,921,145.87</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5</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应收申购款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88,608.29</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6</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其他应收款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7</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sz w:val="24"/>
              </w:rPr>
            </w:pPr>
            <w:r w:rsidRPr="00A67563">
              <w:rPr>
                <w:color w:val="000000" w:themeColor="text1"/>
                <w:sz w:val="24"/>
              </w:rPr>
              <w:t>待摊费用</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sz w:val="24"/>
              </w:rPr>
            </w:pPr>
            <w:r w:rsidRPr="00A67563">
              <w:rPr>
                <w:color w:val="000000" w:themeColor="text1"/>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8</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其他</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9</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合计</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9,637,148.37</w:t>
            </w:r>
          </w:p>
        </w:tc>
      </w:tr>
    </w:tbl>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.4</w:t>
      </w:r>
      <w:r w:rsidR="0076518F" w:rsidRPr="00A67563">
        <w:rPr>
          <w:b/>
          <w:color w:val="000000" w:themeColor="text1"/>
          <w:kern w:val="0"/>
          <w:sz w:val="24"/>
        </w:rPr>
        <w:t>报告期末持有的处于转股期的可转换债券明细</w:t>
      </w:r>
    </w:p>
    <w:p w:rsidR="009E3391" w:rsidRPr="00A67563" w:rsidRDefault="000A55BD"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本基金本报告期末未持有处于转股期的可转换债券。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 xml:space="preserve">.5 </w:t>
      </w:r>
      <w:r w:rsidR="0076518F" w:rsidRPr="00A67563">
        <w:rPr>
          <w:b/>
          <w:color w:val="000000" w:themeColor="text1"/>
          <w:kern w:val="0"/>
          <w:sz w:val="24"/>
        </w:rPr>
        <w:t>报告期末前十名股票中存在流通受限情况的说明</w:t>
      </w:r>
    </w:p>
    <w:p w:rsidR="000A55BD" w:rsidRPr="00A67563" w:rsidRDefault="000A55BD"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本基金本报告期末未持有股票。</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§6  </w:t>
      </w:r>
      <w:r w:rsidRPr="00A67563">
        <w:rPr>
          <w:color w:val="000000" w:themeColor="text1"/>
          <w:kern w:val="0"/>
          <w:sz w:val="24"/>
          <w:szCs w:val="24"/>
        </w:rPr>
        <w:t>开放式基金份额变动</w:t>
      </w:r>
    </w:p>
    <w:p w:rsidR="0076518F" w:rsidRPr="00A67563" w:rsidRDefault="0076518F" w:rsidP="008B6A4A">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单位：份</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225051" w:rsidRPr="00A67563" w:rsidTr="006C750F">
        <w:trPr>
          <w:jc w:val="center"/>
        </w:trPr>
        <w:tc>
          <w:tcPr>
            <w:tcW w:w="3900" w:type="dxa"/>
            <w:vAlign w:val="center"/>
          </w:tcPr>
          <w:p w:rsidR="00225051" w:rsidRPr="00A67563" w:rsidRDefault="00225051" w:rsidP="0084529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项目</w:t>
            </w:r>
          </w:p>
        </w:tc>
        <w:tc>
          <w:tcPr>
            <w:tcW w:w="2367" w:type="dxa"/>
            <w:vAlign w:val="center"/>
          </w:tcPr>
          <w:p w:rsidR="00225051" w:rsidRPr="00A67563" w:rsidRDefault="0022505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A</w:t>
            </w:r>
          </w:p>
        </w:tc>
        <w:tc>
          <w:tcPr>
            <w:tcW w:w="2367" w:type="dxa"/>
            <w:vAlign w:val="center"/>
          </w:tcPr>
          <w:p w:rsidR="00225051" w:rsidRPr="00A67563" w:rsidRDefault="0022505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易方达中短期美元债债券（</w:t>
            </w:r>
            <w:r w:rsidRPr="00A67563">
              <w:rPr>
                <w:color w:val="000000" w:themeColor="text1"/>
                <w:sz w:val="24"/>
              </w:rPr>
              <w:t>QDII</w:t>
            </w:r>
            <w:r w:rsidRPr="00A67563">
              <w:rPr>
                <w:color w:val="000000" w:themeColor="text1"/>
                <w:sz w:val="24"/>
              </w:rPr>
              <w:t>）</w:t>
            </w:r>
            <w:r w:rsidRPr="00A67563">
              <w:rPr>
                <w:color w:val="000000" w:themeColor="text1"/>
                <w:sz w:val="24"/>
              </w:rPr>
              <w:t>C</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报告期期初基金份额总额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363,918,885.53</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204,536,350.14</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报告期基金总申购份额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656,037.64</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665,650.56</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减：报告期基金总赎回份额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33,643,809.83</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46,108,961.80</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报告期基金拆分变动份额</w:t>
            </w:r>
            <w:r w:rsidR="00A40508">
              <w:rPr>
                <w:rFonts w:hint="eastAsia"/>
                <w:color w:val="000000"/>
                <w:kern w:val="0"/>
                <w:sz w:val="24"/>
              </w:rPr>
              <w:t>（份额减少以“</w:t>
            </w:r>
            <w:r w:rsidR="00A40508">
              <w:rPr>
                <w:color w:val="000000"/>
                <w:kern w:val="0"/>
                <w:sz w:val="24"/>
              </w:rPr>
              <w:t>-</w:t>
            </w:r>
            <w:r w:rsidR="00A40508">
              <w:rPr>
                <w:rFonts w:hint="eastAsia"/>
                <w:color w:val="000000"/>
                <w:kern w:val="0"/>
                <w:sz w:val="24"/>
              </w:rPr>
              <w:t>”填列）</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报告期期末基金份额总额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330,931,113.34</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159,093,038.90</w:t>
            </w:r>
          </w:p>
        </w:tc>
      </w:tr>
    </w:tbl>
    <w:p w:rsidR="00322A5E" w:rsidRPr="00A67563" w:rsidRDefault="00322A5E" w:rsidP="002D6955">
      <w:pPr>
        <w:autoSpaceDE w:val="0"/>
        <w:autoSpaceDN w:val="0"/>
        <w:adjustRightInd w:val="0"/>
        <w:spacing w:line="360" w:lineRule="auto"/>
        <w:jc w:val="left"/>
        <w:rPr>
          <w:color w:val="000000" w:themeColor="text1"/>
          <w:sz w:val="24"/>
        </w:rPr>
      </w:pPr>
      <w:r w:rsidRPr="00A67563">
        <w:rPr>
          <w:color w:val="000000" w:themeColor="text1"/>
          <w:sz w:val="24"/>
        </w:rPr>
        <w:lastRenderedPageBreak/>
        <w:t>注：易方达中短期美元债债券型证券投资基金（</w:t>
      </w:r>
      <w:r w:rsidRPr="00A67563">
        <w:rPr>
          <w:color w:val="000000" w:themeColor="text1"/>
          <w:sz w:val="24"/>
        </w:rPr>
        <w:t>QDII</w:t>
      </w:r>
      <w:r w:rsidRPr="00A67563">
        <w:rPr>
          <w:color w:val="000000" w:themeColor="text1"/>
          <w:sz w:val="24"/>
        </w:rPr>
        <w:t>）</w:t>
      </w:r>
      <w:r w:rsidRPr="00A67563">
        <w:rPr>
          <w:color w:val="000000" w:themeColor="text1"/>
          <w:sz w:val="24"/>
        </w:rPr>
        <w:t>A</w:t>
      </w:r>
      <w:r w:rsidRPr="00A67563">
        <w:rPr>
          <w:color w:val="000000" w:themeColor="text1"/>
          <w:sz w:val="24"/>
        </w:rPr>
        <w:t>份额变动含</w:t>
      </w:r>
      <w:r w:rsidRPr="00A67563">
        <w:rPr>
          <w:color w:val="000000" w:themeColor="text1"/>
          <w:sz w:val="24"/>
        </w:rPr>
        <w:t>A</w:t>
      </w:r>
      <w:r w:rsidRPr="00A67563">
        <w:rPr>
          <w:color w:val="000000" w:themeColor="text1"/>
          <w:sz w:val="24"/>
        </w:rPr>
        <w:t>类人民币份额及</w:t>
      </w:r>
      <w:r w:rsidRPr="00A67563">
        <w:rPr>
          <w:color w:val="000000" w:themeColor="text1"/>
          <w:sz w:val="24"/>
        </w:rPr>
        <w:t>A</w:t>
      </w:r>
      <w:r w:rsidRPr="00A67563">
        <w:rPr>
          <w:color w:val="000000" w:themeColor="text1"/>
          <w:sz w:val="24"/>
        </w:rPr>
        <w:t>类美元份额；易方达中短期美元债债券型证券投资基金（</w:t>
      </w:r>
      <w:r w:rsidRPr="00A67563">
        <w:rPr>
          <w:color w:val="000000" w:themeColor="text1"/>
          <w:sz w:val="24"/>
        </w:rPr>
        <w:t>QDII</w:t>
      </w:r>
      <w:r w:rsidRPr="00A67563">
        <w:rPr>
          <w:color w:val="000000" w:themeColor="text1"/>
          <w:sz w:val="24"/>
        </w:rPr>
        <w:t>）</w:t>
      </w:r>
      <w:r w:rsidRPr="00A67563">
        <w:rPr>
          <w:color w:val="000000" w:themeColor="text1"/>
          <w:sz w:val="24"/>
        </w:rPr>
        <w:t>C</w:t>
      </w:r>
      <w:r w:rsidRPr="00A67563">
        <w:rPr>
          <w:color w:val="000000" w:themeColor="text1"/>
          <w:sz w:val="24"/>
        </w:rPr>
        <w:t>份额变动含</w:t>
      </w:r>
      <w:r w:rsidRPr="00A67563">
        <w:rPr>
          <w:color w:val="000000" w:themeColor="text1"/>
          <w:sz w:val="24"/>
        </w:rPr>
        <w:t>C</w:t>
      </w:r>
      <w:r w:rsidRPr="00A67563">
        <w:rPr>
          <w:color w:val="000000" w:themeColor="text1"/>
          <w:sz w:val="24"/>
        </w:rPr>
        <w:t>类人民币份额及</w:t>
      </w:r>
      <w:r w:rsidRPr="00A67563">
        <w:rPr>
          <w:color w:val="000000" w:themeColor="text1"/>
          <w:sz w:val="24"/>
        </w:rPr>
        <w:t>C</w:t>
      </w:r>
      <w:r w:rsidRPr="00A67563">
        <w:rPr>
          <w:color w:val="000000" w:themeColor="text1"/>
          <w:sz w:val="24"/>
        </w:rPr>
        <w:t>类美元份额。</w:t>
      </w:r>
    </w:p>
    <w:p w:rsidR="00BB5F3D" w:rsidRPr="00A67563" w:rsidRDefault="00BB5F3D" w:rsidP="00775284">
      <w:pPr>
        <w:pStyle w:val="1"/>
        <w:tabs>
          <w:tab w:val="center" w:pos="4156"/>
          <w:tab w:val="right" w:pos="8312"/>
        </w:tabs>
        <w:spacing w:beforeLines="100" w:before="312" w:afterLines="100" w:after="312" w:line="360" w:lineRule="auto"/>
        <w:jc w:val="center"/>
        <w:rPr>
          <w:color w:val="000000" w:themeColor="text1"/>
          <w:sz w:val="24"/>
        </w:rPr>
      </w:pPr>
      <w:r w:rsidRPr="00A67563">
        <w:rPr>
          <w:color w:val="000000" w:themeColor="text1"/>
          <w:kern w:val="0"/>
          <w:sz w:val="24"/>
          <w:szCs w:val="24"/>
        </w:rPr>
        <w:t xml:space="preserve">§7  </w:t>
      </w:r>
      <w:r w:rsidRPr="00A67563">
        <w:rPr>
          <w:color w:val="000000" w:themeColor="text1"/>
          <w:sz w:val="24"/>
          <w:szCs w:val="24"/>
        </w:rPr>
        <w:t>基金管理人运用固有资金投资本基金</w:t>
      </w:r>
      <w:r w:rsidR="00775284">
        <w:rPr>
          <w:rFonts w:hint="eastAsia"/>
          <w:color w:val="000000"/>
          <w:kern w:val="0"/>
          <w:sz w:val="24"/>
        </w:rPr>
        <w:t>交易明细</w:t>
      </w:r>
    </w:p>
    <w:p w:rsidR="005E64DA" w:rsidRPr="00A67563" w:rsidRDefault="00BB5F3D" w:rsidP="00E2281D">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本报告期内基金管理人未运用固有资金申购、赎回、买卖本基金份额。</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w:t>
      </w:r>
      <w:r w:rsidR="002711AA" w:rsidRPr="00A67563">
        <w:rPr>
          <w:color w:val="000000" w:themeColor="text1"/>
          <w:kern w:val="0"/>
          <w:sz w:val="24"/>
          <w:szCs w:val="24"/>
        </w:rPr>
        <w:t>8</w:t>
      </w:r>
      <w:r w:rsidR="00BD7FC1" w:rsidRPr="00A67563">
        <w:rPr>
          <w:bCs w:val="0"/>
          <w:color w:val="000000" w:themeColor="text1"/>
          <w:kern w:val="2"/>
          <w:sz w:val="24"/>
          <w:szCs w:val="24"/>
        </w:rPr>
        <w:t xml:space="preserve">  </w:t>
      </w:r>
      <w:r w:rsidRPr="00A67563">
        <w:rPr>
          <w:color w:val="000000" w:themeColor="text1"/>
          <w:kern w:val="0"/>
          <w:sz w:val="24"/>
          <w:szCs w:val="24"/>
        </w:rPr>
        <w:t>备查文件目录</w:t>
      </w: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1</w:t>
      </w:r>
      <w:r w:rsidR="008975BC" w:rsidRPr="00A67563">
        <w:rPr>
          <w:b/>
          <w:bCs/>
          <w:color w:val="000000" w:themeColor="text1"/>
          <w:kern w:val="0"/>
          <w:sz w:val="24"/>
        </w:rPr>
        <w:t xml:space="preserve"> </w:t>
      </w:r>
      <w:r w:rsidR="008975BC" w:rsidRPr="00A67563">
        <w:rPr>
          <w:b/>
          <w:bCs/>
          <w:color w:val="000000" w:themeColor="text1"/>
          <w:kern w:val="0"/>
          <w:sz w:val="24"/>
        </w:rPr>
        <w:t>备查文件目录</w:t>
      </w:r>
    </w:p>
    <w:p w:rsidR="009960A0" w:rsidRDefault="00C41D5F">
      <w:pPr>
        <w:spacing w:line="360" w:lineRule="auto"/>
        <w:ind w:firstLineChars="200" w:firstLine="480"/>
        <w:rPr>
          <w:color w:val="000000" w:themeColor="text1"/>
          <w:sz w:val="24"/>
        </w:rPr>
      </w:pPr>
      <w:r>
        <w:rPr>
          <w:color w:val="000000" w:themeColor="text1"/>
          <w:sz w:val="24"/>
        </w:rPr>
        <w:t>1.</w:t>
      </w:r>
      <w:r>
        <w:rPr>
          <w:color w:val="000000" w:themeColor="text1"/>
          <w:sz w:val="24"/>
        </w:rPr>
        <w:t>中国证监会准予易方达中短期美元债债券型证券投资基金（</w:t>
      </w:r>
      <w:r>
        <w:rPr>
          <w:color w:val="000000" w:themeColor="text1"/>
          <w:sz w:val="24"/>
        </w:rPr>
        <w:t>QDII</w:t>
      </w:r>
      <w:r>
        <w:rPr>
          <w:color w:val="000000" w:themeColor="text1"/>
          <w:sz w:val="24"/>
        </w:rPr>
        <w:t>）注册的文件；</w:t>
      </w:r>
    </w:p>
    <w:p w:rsidR="009960A0" w:rsidRDefault="00C41D5F">
      <w:pPr>
        <w:spacing w:line="360" w:lineRule="auto"/>
        <w:ind w:firstLineChars="200" w:firstLine="480"/>
        <w:rPr>
          <w:color w:val="000000" w:themeColor="text1"/>
          <w:sz w:val="24"/>
        </w:rPr>
      </w:pPr>
      <w:r>
        <w:rPr>
          <w:color w:val="000000" w:themeColor="text1"/>
          <w:sz w:val="24"/>
        </w:rPr>
        <w:t>2.</w:t>
      </w:r>
      <w:r>
        <w:rPr>
          <w:color w:val="000000" w:themeColor="text1"/>
          <w:sz w:val="24"/>
        </w:rPr>
        <w:t>《易方达中短期美元债债券型证券投资基金（</w:t>
      </w:r>
      <w:r>
        <w:rPr>
          <w:color w:val="000000" w:themeColor="text1"/>
          <w:sz w:val="24"/>
        </w:rPr>
        <w:t>QDII</w:t>
      </w:r>
      <w:r>
        <w:rPr>
          <w:color w:val="000000" w:themeColor="text1"/>
          <w:sz w:val="24"/>
        </w:rPr>
        <w:t>）基金合同》；</w:t>
      </w:r>
      <w:r>
        <w:rPr>
          <w:color w:val="000000" w:themeColor="text1"/>
          <w:sz w:val="24"/>
        </w:rPr>
        <w:t xml:space="preserve"> </w:t>
      </w:r>
    </w:p>
    <w:p w:rsidR="009960A0" w:rsidRDefault="00C41D5F">
      <w:pPr>
        <w:spacing w:line="360" w:lineRule="auto"/>
        <w:ind w:firstLineChars="200" w:firstLine="480"/>
        <w:rPr>
          <w:color w:val="000000" w:themeColor="text1"/>
          <w:sz w:val="24"/>
        </w:rPr>
      </w:pPr>
      <w:r>
        <w:rPr>
          <w:color w:val="000000" w:themeColor="text1"/>
          <w:sz w:val="24"/>
        </w:rPr>
        <w:t>3.</w:t>
      </w:r>
      <w:r>
        <w:rPr>
          <w:color w:val="000000" w:themeColor="text1"/>
          <w:sz w:val="24"/>
        </w:rPr>
        <w:t>《易方达中短期美元债债券型证券投资基金（</w:t>
      </w:r>
      <w:r>
        <w:rPr>
          <w:color w:val="000000" w:themeColor="text1"/>
          <w:sz w:val="24"/>
        </w:rPr>
        <w:t>QDII</w:t>
      </w:r>
      <w:r>
        <w:rPr>
          <w:color w:val="000000" w:themeColor="text1"/>
          <w:sz w:val="24"/>
        </w:rPr>
        <w:t>）托管协议》；</w:t>
      </w:r>
    </w:p>
    <w:p w:rsidR="009960A0" w:rsidRDefault="00C41D5F">
      <w:pPr>
        <w:spacing w:line="360" w:lineRule="auto"/>
        <w:ind w:firstLineChars="200" w:firstLine="480"/>
        <w:rPr>
          <w:color w:val="000000" w:themeColor="text1"/>
          <w:sz w:val="24"/>
        </w:rPr>
      </w:pPr>
      <w:r>
        <w:rPr>
          <w:color w:val="000000" w:themeColor="text1"/>
          <w:sz w:val="24"/>
        </w:rPr>
        <w:t>4.</w:t>
      </w:r>
      <w:r>
        <w:rPr>
          <w:color w:val="000000" w:themeColor="text1"/>
          <w:sz w:val="24"/>
        </w:rPr>
        <w:t>《易方达基金管理有限公司开放式基金业务规则》；</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5.</w:t>
      </w:r>
      <w:r w:rsidRPr="00A67563">
        <w:rPr>
          <w:color w:val="000000" w:themeColor="text1"/>
          <w:sz w:val="24"/>
        </w:rPr>
        <w:t>基金管理人业务资格批件和营业执照。</w:t>
      </w:r>
    </w:p>
    <w:p w:rsidR="008A2EC6" w:rsidRPr="00A67563" w:rsidRDefault="008A2EC6" w:rsidP="000C7596">
      <w:pPr>
        <w:spacing w:line="360" w:lineRule="auto"/>
        <w:ind w:firstLineChars="200" w:firstLine="480"/>
        <w:rPr>
          <w:color w:val="000000" w:themeColor="text1"/>
          <w:sz w:val="24"/>
        </w:rPr>
      </w:pP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2</w:t>
      </w:r>
      <w:r w:rsidR="008975BC" w:rsidRPr="00A67563">
        <w:rPr>
          <w:b/>
          <w:bCs/>
          <w:color w:val="000000" w:themeColor="text1"/>
          <w:kern w:val="0"/>
          <w:sz w:val="24"/>
        </w:rPr>
        <w:t xml:space="preserve"> </w:t>
      </w:r>
      <w:r w:rsidR="008975BC" w:rsidRPr="00A67563">
        <w:rPr>
          <w:b/>
          <w:bCs/>
          <w:color w:val="000000" w:themeColor="text1"/>
          <w:kern w:val="0"/>
          <w:sz w:val="24"/>
        </w:rPr>
        <w:t>存放地点</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广州市天河区珠江新城珠江东路</w:t>
      </w:r>
      <w:r w:rsidRPr="00A67563">
        <w:rPr>
          <w:color w:val="000000" w:themeColor="text1"/>
          <w:sz w:val="24"/>
        </w:rPr>
        <w:t>30</w:t>
      </w:r>
      <w:r w:rsidRPr="00A67563">
        <w:rPr>
          <w:color w:val="000000" w:themeColor="text1"/>
          <w:sz w:val="24"/>
        </w:rPr>
        <w:t>号广州银行大厦</w:t>
      </w:r>
      <w:r w:rsidRPr="00A67563">
        <w:rPr>
          <w:color w:val="000000" w:themeColor="text1"/>
          <w:sz w:val="24"/>
        </w:rPr>
        <w:t>40-43</w:t>
      </w:r>
      <w:r w:rsidRPr="00A67563">
        <w:rPr>
          <w:color w:val="000000" w:themeColor="text1"/>
          <w:sz w:val="24"/>
        </w:rPr>
        <w:t>楼。</w:t>
      </w:r>
    </w:p>
    <w:p w:rsidR="008A2EC6" w:rsidRPr="00A67563" w:rsidRDefault="008A2EC6" w:rsidP="000C7596">
      <w:pPr>
        <w:spacing w:line="360" w:lineRule="auto"/>
        <w:ind w:firstLineChars="200" w:firstLine="480"/>
        <w:rPr>
          <w:color w:val="000000" w:themeColor="text1"/>
          <w:sz w:val="24"/>
        </w:rPr>
      </w:pP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3</w:t>
      </w:r>
      <w:r w:rsidR="008975BC" w:rsidRPr="00A67563">
        <w:rPr>
          <w:b/>
          <w:bCs/>
          <w:color w:val="000000" w:themeColor="text1"/>
          <w:kern w:val="0"/>
          <w:sz w:val="24"/>
        </w:rPr>
        <w:t xml:space="preserve"> </w:t>
      </w:r>
      <w:r w:rsidR="008975BC" w:rsidRPr="00A67563">
        <w:rPr>
          <w:b/>
          <w:bCs/>
          <w:color w:val="000000" w:themeColor="text1"/>
          <w:kern w:val="0"/>
          <w:sz w:val="24"/>
        </w:rPr>
        <w:t>查阅方式</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投资者可在营业时间免费查阅，也可按工本费购买复印件。</w:t>
      </w:r>
    </w:p>
    <w:p w:rsidR="0076518F" w:rsidRPr="00A67563" w:rsidRDefault="0076518F" w:rsidP="008B6A4A">
      <w:pPr>
        <w:spacing w:line="360" w:lineRule="auto"/>
        <w:ind w:firstLineChars="200" w:firstLine="480"/>
        <w:rPr>
          <w:color w:val="000000" w:themeColor="text1"/>
          <w:sz w:val="24"/>
        </w:rPr>
      </w:pPr>
    </w:p>
    <w:p w:rsidR="008A2EC6" w:rsidRPr="00A67563" w:rsidRDefault="008A2EC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76518F" w:rsidRPr="00A67563" w:rsidRDefault="0076518F" w:rsidP="008B6A4A">
      <w:pPr>
        <w:spacing w:line="360" w:lineRule="auto"/>
        <w:ind w:firstLineChars="200" w:firstLine="480"/>
        <w:rPr>
          <w:color w:val="000000" w:themeColor="text1"/>
          <w:sz w:val="24"/>
        </w:rPr>
      </w:pPr>
    </w:p>
    <w:p w:rsidR="008975BC" w:rsidRPr="00A67563" w:rsidRDefault="008975BC" w:rsidP="000C7596">
      <w:pPr>
        <w:spacing w:line="360" w:lineRule="auto"/>
        <w:jc w:val="right"/>
        <w:rPr>
          <w:b/>
          <w:bCs/>
          <w:color w:val="000000" w:themeColor="text1"/>
          <w:sz w:val="24"/>
        </w:rPr>
      </w:pPr>
      <w:r w:rsidRPr="00A67563">
        <w:rPr>
          <w:b/>
          <w:bCs/>
          <w:color w:val="000000" w:themeColor="text1"/>
          <w:sz w:val="24"/>
        </w:rPr>
        <w:t>易方达基金管理有限公司</w:t>
      </w:r>
    </w:p>
    <w:p w:rsidR="0076518F" w:rsidRPr="00A67563" w:rsidRDefault="00623556" w:rsidP="000C7596">
      <w:pPr>
        <w:spacing w:line="360" w:lineRule="auto"/>
        <w:jc w:val="right"/>
        <w:rPr>
          <w:b/>
          <w:bCs/>
          <w:color w:val="000000" w:themeColor="text1"/>
          <w:sz w:val="24"/>
        </w:rPr>
      </w:pPr>
      <w:r w:rsidRPr="00A67563">
        <w:rPr>
          <w:b/>
          <w:bCs/>
          <w:color w:val="000000" w:themeColor="text1"/>
          <w:sz w:val="24"/>
        </w:rPr>
        <w:lastRenderedPageBreak/>
        <w:t>二〇二〇年七月二十一日</w:t>
      </w:r>
    </w:p>
    <w:sectPr w:rsidR="0076518F" w:rsidRPr="00A67563" w:rsidSect="00DB4450">
      <w:headerReference w:type="even" r:id="rId12"/>
      <w:footerReference w:type="even" r:id="rId13"/>
      <w:footerReference w:type="default" r:id="rId14"/>
      <w:headerReference w:type="first" r:id="rId15"/>
      <w:footerReference w:type="first" r:id="rId16"/>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23D" w:rsidRDefault="00CF723D">
      <w:r>
        <w:separator/>
      </w:r>
    </w:p>
  </w:endnote>
  <w:endnote w:type="continuationSeparator" w:id="0">
    <w:p w:rsidR="00CF723D" w:rsidRDefault="00CF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Pr="001D0DB0" w:rsidRDefault="003A661A" w:rsidP="00B918B8">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4512E">
      <w:rPr>
        <w:noProof/>
        <w:kern w:val="0"/>
        <w:szCs w:val="21"/>
      </w:rPr>
      <w:t>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4512E">
      <w:rPr>
        <w:noProof/>
        <w:kern w:val="0"/>
        <w:szCs w:val="21"/>
      </w:rPr>
      <w:t>14</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A661A" w:rsidRDefault="003A661A">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4512E">
      <w:rPr>
        <w:rStyle w:val="a7"/>
        <w:noProof/>
      </w:rPr>
      <w:t>9</w:t>
    </w:r>
    <w:r>
      <w:rPr>
        <w:rStyle w:val="a7"/>
      </w:rPr>
      <w:fldChar w:fldCharType="end"/>
    </w:r>
  </w:p>
  <w:p w:rsidR="003A661A" w:rsidRDefault="003A661A">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23D" w:rsidRDefault="00CF723D">
      <w:r>
        <w:separator/>
      </w:r>
    </w:p>
  </w:footnote>
  <w:footnote w:type="continuationSeparator" w:id="0">
    <w:p w:rsidR="00CF723D" w:rsidRDefault="00CF7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Pr="006669C9" w:rsidRDefault="003A661A" w:rsidP="001D1356">
    <w:pPr>
      <w:pStyle w:val="a9"/>
      <w:pBdr>
        <w:bottom w:val="single" w:sz="6" w:space="0" w:color="auto"/>
      </w:pBdr>
      <w:jc w:val="right"/>
    </w:pPr>
    <w:r w:rsidRPr="006669C9">
      <w:t>易方达中短期美元债债券型证券投资基金（</w:t>
    </w:r>
    <w:r w:rsidRPr="006669C9">
      <w:t>QDII</w:t>
    </w:r>
    <w:r w:rsidRPr="006669C9">
      <w:t>）</w:t>
    </w:r>
    <w:r w:rsidRPr="006669C9">
      <w:t>2020</w:t>
    </w:r>
    <w:r w:rsidRPr="006669C9">
      <w:t>年第</w:t>
    </w:r>
    <w:r w:rsidRPr="006669C9">
      <w:t>2</w:t>
    </w:r>
    <w:r w:rsidRPr="006669C9">
      <w:t>季度报告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hint="eastAsia"/>
        <w:sz w:val="24"/>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hint="eastAsia"/>
        <w:color w:val="auto"/>
      </w:rPr>
    </w:lvl>
    <w:lvl w:ilvl="1" w:tplc="D5ACC954">
      <w:start w:val="1"/>
      <w:numFmt w:val="japaneseCounting"/>
      <w:lvlText w:val="(%2)"/>
      <w:lvlJc w:val="left"/>
      <w:pPr>
        <w:tabs>
          <w:tab w:val="num" w:pos="810"/>
        </w:tabs>
        <w:ind w:left="810" w:hanging="390"/>
      </w:pPr>
      <w:rPr>
        <w:rFonts w:hint="eastAsia"/>
      </w:rPr>
    </w:lvl>
    <w:lvl w:ilvl="2" w:tplc="E2F6B948">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1DD4"/>
    <w:rsid w:val="0002303F"/>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610C"/>
    <w:rsid w:val="000876A0"/>
    <w:rsid w:val="00087CF7"/>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76"/>
    <w:rsid w:val="000C7596"/>
    <w:rsid w:val="000D01F4"/>
    <w:rsid w:val="000D121F"/>
    <w:rsid w:val="000D1519"/>
    <w:rsid w:val="000E1F7C"/>
    <w:rsid w:val="000E26E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7F4"/>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325A"/>
    <w:rsid w:val="00184DA0"/>
    <w:rsid w:val="00186199"/>
    <w:rsid w:val="0018734E"/>
    <w:rsid w:val="001928F7"/>
    <w:rsid w:val="00194537"/>
    <w:rsid w:val="00194F40"/>
    <w:rsid w:val="001A21A9"/>
    <w:rsid w:val="001A2E94"/>
    <w:rsid w:val="001A59D8"/>
    <w:rsid w:val="001A5FA6"/>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55D4"/>
    <w:rsid w:val="00265865"/>
    <w:rsid w:val="00267D54"/>
    <w:rsid w:val="002711AA"/>
    <w:rsid w:val="00273F86"/>
    <w:rsid w:val="002758B5"/>
    <w:rsid w:val="00276834"/>
    <w:rsid w:val="002774F0"/>
    <w:rsid w:val="00280566"/>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09D1"/>
    <w:rsid w:val="0031104D"/>
    <w:rsid w:val="00311094"/>
    <w:rsid w:val="0031598C"/>
    <w:rsid w:val="00316339"/>
    <w:rsid w:val="003204E9"/>
    <w:rsid w:val="00321E8C"/>
    <w:rsid w:val="00322A5E"/>
    <w:rsid w:val="00322A86"/>
    <w:rsid w:val="00323AE8"/>
    <w:rsid w:val="00324548"/>
    <w:rsid w:val="003251F4"/>
    <w:rsid w:val="003303E3"/>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61E7E"/>
    <w:rsid w:val="00363E15"/>
    <w:rsid w:val="00370AA4"/>
    <w:rsid w:val="00371FF4"/>
    <w:rsid w:val="003745DA"/>
    <w:rsid w:val="0037468D"/>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BC4"/>
    <w:rsid w:val="003A458A"/>
    <w:rsid w:val="003A661A"/>
    <w:rsid w:val="003B2F13"/>
    <w:rsid w:val="003B405E"/>
    <w:rsid w:val="003B57D3"/>
    <w:rsid w:val="003C1F58"/>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1E6A"/>
    <w:rsid w:val="00443C8F"/>
    <w:rsid w:val="0044512E"/>
    <w:rsid w:val="00450AA3"/>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6C8B"/>
    <w:rsid w:val="00497079"/>
    <w:rsid w:val="00497E38"/>
    <w:rsid w:val="004A0BD6"/>
    <w:rsid w:val="004A1493"/>
    <w:rsid w:val="004A1BBA"/>
    <w:rsid w:val="004A3039"/>
    <w:rsid w:val="004A3E3C"/>
    <w:rsid w:val="004B0E6D"/>
    <w:rsid w:val="004B16E8"/>
    <w:rsid w:val="004B254D"/>
    <w:rsid w:val="004B327C"/>
    <w:rsid w:val="004B38A1"/>
    <w:rsid w:val="004B3F56"/>
    <w:rsid w:val="004B6250"/>
    <w:rsid w:val="004B76B1"/>
    <w:rsid w:val="004C0057"/>
    <w:rsid w:val="004C0541"/>
    <w:rsid w:val="004C05F3"/>
    <w:rsid w:val="004C2C46"/>
    <w:rsid w:val="004C30D5"/>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0D90"/>
    <w:rsid w:val="00521EDE"/>
    <w:rsid w:val="00525E59"/>
    <w:rsid w:val="005318CC"/>
    <w:rsid w:val="005346F1"/>
    <w:rsid w:val="005349B1"/>
    <w:rsid w:val="005374BC"/>
    <w:rsid w:val="00543367"/>
    <w:rsid w:val="00543BFA"/>
    <w:rsid w:val="0054649D"/>
    <w:rsid w:val="00547D9C"/>
    <w:rsid w:val="00547DA1"/>
    <w:rsid w:val="00550511"/>
    <w:rsid w:val="0055513C"/>
    <w:rsid w:val="00560C94"/>
    <w:rsid w:val="0056133A"/>
    <w:rsid w:val="0056291C"/>
    <w:rsid w:val="00565A63"/>
    <w:rsid w:val="00566588"/>
    <w:rsid w:val="00571BD3"/>
    <w:rsid w:val="0057275D"/>
    <w:rsid w:val="005749DF"/>
    <w:rsid w:val="005800A9"/>
    <w:rsid w:val="00580488"/>
    <w:rsid w:val="0058074D"/>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68CB"/>
    <w:rsid w:val="005F7085"/>
    <w:rsid w:val="005F79F9"/>
    <w:rsid w:val="00602ACD"/>
    <w:rsid w:val="006033E3"/>
    <w:rsid w:val="00605748"/>
    <w:rsid w:val="00610C82"/>
    <w:rsid w:val="0061321C"/>
    <w:rsid w:val="0062145B"/>
    <w:rsid w:val="00623556"/>
    <w:rsid w:val="0062386E"/>
    <w:rsid w:val="00623F01"/>
    <w:rsid w:val="00624407"/>
    <w:rsid w:val="0062493E"/>
    <w:rsid w:val="00626E2D"/>
    <w:rsid w:val="00627D94"/>
    <w:rsid w:val="00630B42"/>
    <w:rsid w:val="0063181A"/>
    <w:rsid w:val="00636CF5"/>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094A"/>
    <w:rsid w:val="00671124"/>
    <w:rsid w:val="006727B0"/>
    <w:rsid w:val="0067307E"/>
    <w:rsid w:val="00686EC0"/>
    <w:rsid w:val="00687AD5"/>
    <w:rsid w:val="00691153"/>
    <w:rsid w:val="00695251"/>
    <w:rsid w:val="00695ADE"/>
    <w:rsid w:val="00695C0D"/>
    <w:rsid w:val="00696356"/>
    <w:rsid w:val="00697319"/>
    <w:rsid w:val="006A1DAE"/>
    <w:rsid w:val="006A2C8E"/>
    <w:rsid w:val="006A72C6"/>
    <w:rsid w:val="006B02DA"/>
    <w:rsid w:val="006B077E"/>
    <w:rsid w:val="006B1FD1"/>
    <w:rsid w:val="006B2065"/>
    <w:rsid w:val="006B2E18"/>
    <w:rsid w:val="006B2F2B"/>
    <w:rsid w:val="006B3940"/>
    <w:rsid w:val="006B47D1"/>
    <w:rsid w:val="006C0411"/>
    <w:rsid w:val="006C124D"/>
    <w:rsid w:val="006C168D"/>
    <w:rsid w:val="006C1D52"/>
    <w:rsid w:val="006C4E16"/>
    <w:rsid w:val="006C55C8"/>
    <w:rsid w:val="006C5E36"/>
    <w:rsid w:val="006C642C"/>
    <w:rsid w:val="006C6FC6"/>
    <w:rsid w:val="006C750F"/>
    <w:rsid w:val="006D00D5"/>
    <w:rsid w:val="006E0BCB"/>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284"/>
    <w:rsid w:val="007756ED"/>
    <w:rsid w:val="007870FC"/>
    <w:rsid w:val="00787CD0"/>
    <w:rsid w:val="00791053"/>
    <w:rsid w:val="00791A3A"/>
    <w:rsid w:val="00791BB9"/>
    <w:rsid w:val="00794196"/>
    <w:rsid w:val="00794251"/>
    <w:rsid w:val="00795592"/>
    <w:rsid w:val="00796EC9"/>
    <w:rsid w:val="00797637"/>
    <w:rsid w:val="00797DD2"/>
    <w:rsid w:val="007A3680"/>
    <w:rsid w:val="007A59B8"/>
    <w:rsid w:val="007A75F5"/>
    <w:rsid w:val="007B2862"/>
    <w:rsid w:val="007B662A"/>
    <w:rsid w:val="007B73ED"/>
    <w:rsid w:val="007C273E"/>
    <w:rsid w:val="007D1292"/>
    <w:rsid w:val="007D28C9"/>
    <w:rsid w:val="007D3CC8"/>
    <w:rsid w:val="007D5584"/>
    <w:rsid w:val="007D62A3"/>
    <w:rsid w:val="007D62F9"/>
    <w:rsid w:val="007D63A4"/>
    <w:rsid w:val="007E1AA2"/>
    <w:rsid w:val="007E303C"/>
    <w:rsid w:val="007E4C1F"/>
    <w:rsid w:val="007F0759"/>
    <w:rsid w:val="007F25C0"/>
    <w:rsid w:val="007F26D5"/>
    <w:rsid w:val="007F4CD3"/>
    <w:rsid w:val="007F5F52"/>
    <w:rsid w:val="007F768B"/>
    <w:rsid w:val="007F77C6"/>
    <w:rsid w:val="008003A1"/>
    <w:rsid w:val="008006B7"/>
    <w:rsid w:val="00800FDB"/>
    <w:rsid w:val="00801249"/>
    <w:rsid w:val="00802081"/>
    <w:rsid w:val="00806461"/>
    <w:rsid w:val="0081096D"/>
    <w:rsid w:val="00810EAD"/>
    <w:rsid w:val="00811833"/>
    <w:rsid w:val="008118B6"/>
    <w:rsid w:val="008174D4"/>
    <w:rsid w:val="00820FE6"/>
    <w:rsid w:val="008212BF"/>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712A3"/>
    <w:rsid w:val="00871E07"/>
    <w:rsid w:val="00872CE4"/>
    <w:rsid w:val="00877B62"/>
    <w:rsid w:val="00877D98"/>
    <w:rsid w:val="00881015"/>
    <w:rsid w:val="008810B0"/>
    <w:rsid w:val="008819B6"/>
    <w:rsid w:val="00881AAC"/>
    <w:rsid w:val="0088256A"/>
    <w:rsid w:val="008836B7"/>
    <w:rsid w:val="008841D3"/>
    <w:rsid w:val="00884359"/>
    <w:rsid w:val="00887C7E"/>
    <w:rsid w:val="00887DE6"/>
    <w:rsid w:val="00890172"/>
    <w:rsid w:val="008911D2"/>
    <w:rsid w:val="00893048"/>
    <w:rsid w:val="00894C2A"/>
    <w:rsid w:val="008975BC"/>
    <w:rsid w:val="00897708"/>
    <w:rsid w:val="00897D88"/>
    <w:rsid w:val="00897E6F"/>
    <w:rsid w:val="008A2EC6"/>
    <w:rsid w:val="008A2F16"/>
    <w:rsid w:val="008A6D69"/>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2509"/>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545C"/>
    <w:rsid w:val="00985BF7"/>
    <w:rsid w:val="00990071"/>
    <w:rsid w:val="00991EA9"/>
    <w:rsid w:val="00992BA2"/>
    <w:rsid w:val="00992F83"/>
    <w:rsid w:val="00993250"/>
    <w:rsid w:val="0099508A"/>
    <w:rsid w:val="009960A0"/>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4AE3"/>
    <w:rsid w:val="00A16675"/>
    <w:rsid w:val="00A22CD6"/>
    <w:rsid w:val="00A22D4B"/>
    <w:rsid w:val="00A234EC"/>
    <w:rsid w:val="00A2417A"/>
    <w:rsid w:val="00A27804"/>
    <w:rsid w:val="00A32FDA"/>
    <w:rsid w:val="00A35A8D"/>
    <w:rsid w:val="00A36AB5"/>
    <w:rsid w:val="00A37DDA"/>
    <w:rsid w:val="00A40508"/>
    <w:rsid w:val="00A411D1"/>
    <w:rsid w:val="00A41566"/>
    <w:rsid w:val="00A421B6"/>
    <w:rsid w:val="00A43389"/>
    <w:rsid w:val="00A43C40"/>
    <w:rsid w:val="00A43E71"/>
    <w:rsid w:val="00A45753"/>
    <w:rsid w:val="00A47B15"/>
    <w:rsid w:val="00A47E47"/>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5C5"/>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26CF4"/>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EFD"/>
    <w:rsid w:val="00C013E1"/>
    <w:rsid w:val="00C01611"/>
    <w:rsid w:val="00C01C01"/>
    <w:rsid w:val="00C02C6D"/>
    <w:rsid w:val="00C02D59"/>
    <w:rsid w:val="00C030B6"/>
    <w:rsid w:val="00C03284"/>
    <w:rsid w:val="00C04855"/>
    <w:rsid w:val="00C050D7"/>
    <w:rsid w:val="00C05B5F"/>
    <w:rsid w:val="00C0667A"/>
    <w:rsid w:val="00C104CC"/>
    <w:rsid w:val="00C130C1"/>
    <w:rsid w:val="00C147DA"/>
    <w:rsid w:val="00C152FE"/>
    <w:rsid w:val="00C16739"/>
    <w:rsid w:val="00C22CCE"/>
    <w:rsid w:val="00C23BA2"/>
    <w:rsid w:val="00C2458C"/>
    <w:rsid w:val="00C25D0C"/>
    <w:rsid w:val="00C32AF2"/>
    <w:rsid w:val="00C33204"/>
    <w:rsid w:val="00C338EB"/>
    <w:rsid w:val="00C33E2E"/>
    <w:rsid w:val="00C3465D"/>
    <w:rsid w:val="00C379E9"/>
    <w:rsid w:val="00C37E98"/>
    <w:rsid w:val="00C412BF"/>
    <w:rsid w:val="00C41D5F"/>
    <w:rsid w:val="00C42431"/>
    <w:rsid w:val="00C439FB"/>
    <w:rsid w:val="00C43F23"/>
    <w:rsid w:val="00C442A1"/>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A4F"/>
    <w:rsid w:val="00CA3977"/>
    <w:rsid w:val="00CA5927"/>
    <w:rsid w:val="00CA79EC"/>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CF723D"/>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81D"/>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5548D"/>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08A3"/>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F00"/>
    <w:rsid w:val="00F23155"/>
    <w:rsid w:val="00F24E0E"/>
    <w:rsid w:val="00F26693"/>
    <w:rsid w:val="00F36130"/>
    <w:rsid w:val="00F40444"/>
    <w:rsid w:val="00F423BD"/>
    <w:rsid w:val="00F432FF"/>
    <w:rsid w:val="00F4715C"/>
    <w:rsid w:val="00F47E2F"/>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6E0"/>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D1C3C"/>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42DFE09C-3CAA-4A6D-9422-C667F946F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D31"/>
    <w:pPr>
      <w:widowControl w:val="0"/>
      <w:jc w:val="both"/>
    </w:pPr>
    <w:rPr>
      <w:kern w:val="2"/>
      <w:sz w:val="21"/>
      <w:szCs w:val="24"/>
    </w:rPr>
  </w:style>
  <w:style w:type="paragraph" w:styleId="1">
    <w:name w:val="heading 1"/>
    <w:basedOn w:val="a"/>
    <w:next w:val="a"/>
    <w:link w:val="1Char"/>
    <w:qFormat/>
    <w:rsid w:val="00A7634D"/>
    <w:pPr>
      <w:keepNext/>
      <w:keepLines/>
      <w:spacing w:before="340" w:after="330" w:line="578" w:lineRule="auto"/>
      <w:outlineLvl w:val="0"/>
    </w:pPr>
    <w:rPr>
      <w:b/>
      <w:bCs/>
      <w:kern w:val="44"/>
      <w:sz w:val="44"/>
      <w:szCs w:val="44"/>
    </w:rPr>
  </w:style>
  <w:style w:type="paragraph" w:styleId="2">
    <w:name w:val="heading 2"/>
    <w:basedOn w:val="a"/>
    <w:next w:val="a0"/>
    <w:qFormat/>
    <w:rsid w:val="00EB72C1"/>
    <w:pPr>
      <w:keepNext/>
      <w:keepLines/>
      <w:spacing w:before="260" w:after="260" w:line="360" w:lineRule="auto"/>
      <w:outlineLvl w:val="1"/>
    </w:pPr>
    <w:rPr>
      <w:rFonts w:ascii="Arial" w:hAnsi="Arial" w:cs="Arial"/>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EB72C1"/>
    <w:pPr>
      <w:ind w:firstLineChars="200" w:firstLine="420"/>
    </w:pPr>
  </w:style>
  <w:style w:type="paragraph" w:styleId="a4">
    <w:name w:val="Body Text Indent"/>
    <w:basedOn w:val="a"/>
    <w:rsid w:val="00EB72C1"/>
    <w:pPr>
      <w:widowControl/>
      <w:spacing w:before="100" w:beforeAutospacing="1" w:after="100" w:afterAutospacing="1"/>
      <w:jc w:val="left"/>
    </w:pPr>
    <w:rPr>
      <w:rFonts w:ascii="Arial Unicode MS" w:eastAsia="Arial Unicode MS" w:hAnsi="Arial Unicode MS" w:cs="Arial Unicode MS"/>
      <w:kern w:val="0"/>
      <w:sz w:val="24"/>
    </w:rPr>
  </w:style>
  <w:style w:type="paragraph" w:styleId="a5">
    <w:name w:val="Plain Text"/>
    <w:basedOn w:val="a"/>
    <w:link w:val="Char"/>
    <w:uiPriority w:val="99"/>
    <w:rsid w:val="00EB72C1"/>
    <w:rPr>
      <w:rFonts w:ascii="宋体" w:hAnsi="Courier New"/>
      <w:szCs w:val="21"/>
    </w:rPr>
  </w:style>
  <w:style w:type="paragraph" w:styleId="20">
    <w:name w:val="Body Text Indent 2"/>
    <w:basedOn w:val="a"/>
    <w:rsid w:val="00EB72C1"/>
    <w:pPr>
      <w:spacing w:line="560" w:lineRule="exact"/>
      <w:ind w:firstLineChars="200" w:firstLine="480"/>
    </w:pPr>
    <w:rPr>
      <w:rFonts w:ascii="宋体" w:hAnsi="宋体"/>
      <w:color w:val="FF0000"/>
      <w:sz w:val="24"/>
    </w:rPr>
  </w:style>
  <w:style w:type="paragraph" w:styleId="a6">
    <w:name w:val="footer"/>
    <w:basedOn w:val="a"/>
    <w:rsid w:val="00EB72C1"/>
    <w:pPr>
      <w:tabs>
        <w:tab w:val="center" w:pos="4153"/>
        <w:tab w:val="right" w:pos="8306"/>
      </w:tabs>
      <w:snapToGrid w:val="0"/>
      <w:jc w:val="left"/>
    </w:pPr>
    <w:rPr>
      <w:sz w:val="18"/>
      <w:szCs w:val="18"/>
    </w:rPr>
  </w:style>
  <w:style w:type="character" w:styleId="a7">
    <w:name w:val="page number"/>
    <w:basedOn w:val="a1"/>
    <w:rsid w:val="00EB72C1"/>
  </w:style>
  <w:style w:type="character" w:styleId="a8">
    <w:name w:val="Hyperlink"/>
    <w:rsid w:val="00EB72C1"/>
    <w:rPr>
      <w:color w:val="0000FF"/>
      <w:u w:val="single"/>
    </w:rPr>
  </w:style>
  <w:style w:type="paragraph" w:styleId="3">
    <w:name w:val="Body Text Indent 3"/>
    <w:basedOn w:val="a"/>
    <w:rsid w:val="00EB72C1"/>
    <w:pPr>
      <w:spacing w:line="560" w:lineRule="exact"/>
      <w:ind w:firstLineChars="200" w:firstLine="420"/>
    </w:pPr>
    <w:rPr>
      <w:rFonts w:ascii="Arial" w:hAnsi="Arial" w:cs="Arial"/>
      <w:color w:val="FF0000"/>
    </w:rPr>
  </w:style>
  <w:style w:type="paragraph" w:styleId="a9">
    <w:name w:val="header"/>
    <w:basedOn w:val="a"/>
    <w:link w:val="Char0"/>
    <w:uiPriority w:val="99"/>
    <w:rsid w:val="00EB72C1"/>
    <w:pPr>
      <w:pBdr>
        <w:bottom w:val="single" w:sz="6" w:space="1" w:color="auto"/>
      </w:pBdr>
      <w:tabs>
        <w:tab w:val="center" w:pos="4153"/>
        <w:tab w:val="right" w:pos="8306"/>
      </w:tabs>
      <w:snapToGrid w:val="0"/>
      <w:jc w:val="center"/>
    </w:pPr>
    <w:rPr>
      <w:sz w:val="18"/>
      <w:szCs w:val="18"/>
    </w:rPr>
  </w:style>
  <w:style w:type="character" w:styleId="aa">
    <w:name w:val="FollowedHyperlink"/>
    <w:rsid w:val="00EB72C1"/>
    <w:rPr>
      <w:color w:val="800080"/>
      <w:u w:val="single"/>
    </w:rPr>
  </w:style>
  <w:style w:type="paragraph" w:styleId="ab">
    <w:name w:val="List"/>
    <w:basedOn w:val="ac"/>
    <w:rsid w:val="00EB72C1"/>
    <w:pPr>
      <w:spacing w:after="220" w:line="220" w:lineRule="atLeast"/>
      <w:ind w:left="1440" w:hanging="360"/>
    </w:pPr>
    <w:rPr>
      <w:szCs w:val="20"/>
    </w:rPr>
  </w:style>
  <w:style w:type="paragraph" w:styleId="ac">
    <w:name w:val="Body Text"/>
    <w:basedOn w:val="a"/>
    <w:rsid w:val="00EB72C1"/>
    <w:pPr>
      <w:spacing w:after="120"/>
    </w:pPr>
  </w:style>
  <w:style w:type="paragraph" w:styleId="ad">
    <w:name w:val="Date"/>
    <w:basedOn w:val="a"/>
    <w:next w:val="a"/>
    <w:link w:val="Char1"/>
    <w:uiPriority w:val="99"/>
    <w:rsid w:val="00EB72C1"/>
    <w:rPr>
      <w:sz w:val="24"/>
      <w:szCs w:val="20"/>
    </w:rPr>
  </w:style>
  <w:style w:type="character" w:customStyle="1" w:styleId="c1">
    <w:name w:val="c1"/>
    <w:rsid w:val="00EB72C1"/>
    <w:rPr>
      <w:color w:val="000000"/>
      <w:sz w:val="18"/>
      <w:szCs w:val="18"/>
    </w:rPr>
  </w:style>
  <w:style w:type="paragraph" w:styleId="10">
    <w:name w:val="index 1"/>
    <w:basedOn w:val="a"/>
    <w:next w:val="a"/>
    <w:autoRedefine/>
    <w:semiHidden/>
    <w:rsid w:val="00EB72C1"/>
    <w:pPr>
      <w:jc w:val="right"/>
    </w:pPr>
    <w:rPr>
      <w:color w:val="008000"/>
    </w:rPr>
  </w:style>
  <w:style w:type="paragraph" w:customStyle="1" w:styleId="font5">
    <w:name w:val="font5"/>
    <w:basedOn w:val="a"/>
    <w:rsid w:val="00EB72C1"/>
    <w:pPr>
      <w:widowControl/>
      <w:spacing w:before="100" w:beforeAutospacing="1" w:after="100" w:afterAutospacing="1"/>
      <w:jc w:val="left"/>
    </w:pPr>
    <w:rPr>
      <w:rFonts w:ascii="宋体" w:hAnsi="宋体" w:cs="Arial Unicode MS" w:hint="eastAsia"/>
      <w:kern w:val="0"/>
      <w:sz w:val="18"/>
      <w:szCs w:val="18"/>
    </w:rPr>
  </w:style>
  <w:style w:type="paragraph" w:customStyle="1" w:styleId="xl24">
    <w:name w:val="xl24"/>
    <w:basedOn w:val="a"/>
    <w:rsid w:val="00EB72C1"/>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semiHidden/>
    <w:rsid w:val="00EB72C1"/>
    <w:rPr>
      <w:sz w:val="18"/>
      <w:szCs w:val="18"/>
    </w:rPr>
  </w:style>
  <w:style w:type="character" w:styleId="af">
    <w:name w:val="annotation reference"/>
    <w:semiHidden/>
    <w:rsid w:val="00EB72C1"/>
    <w:rPr>
      <w:sz w:val="21"/>
      <w:szCs w:val="21"/>
    </w:rPr>
  </w:style>
  <w:style w:type="paragraph" w:styleId="af0">
    <w:name w:val="annotation text"/>
    <w:basedOn w:val="a"/>
    <w:semiHidden/>
    <w:rsid w:val="00EB72C1"/>
    <w:pPr>
      <w:jc w:val="left"/>
    </w:pPr>
  </w:style>
  <w:style w:type="paragraph" w:styleId="af1">
    <w:name w:val="annotation subject"/>
    <w:basedOn w:val="af0"/>
    <w:next w:val="af0"/>
    <w:semiHidden/>
    <w:rsid w:val="00EB72C1"/>
    <w:rPr>
      <w:b/>
      <w:bCs/>
    </w:rPr>
  </w:style>
  <w:style w:type="paragraph" w:customStyle="1" w:styleId="Char2">
    <w:name w:val="Char"/>
    <w:basedOn w:val="a"/>
    <w:rsid w:val="00EB72C1"/>
  </w:style>
  <w:style w:type="paragraph" w:styleId="af2">
    <w:name w:val="Document Map"/>
    <w:basedOn w:val="a"/>
    <w:semiHidden/>
    <w:rsid w:val="000A549A"/>
    <w:pPr>
      <w:shd w:val="clear" w:color="auto" w:fill="000080"/>
    </w:pPr>
  </w:style>
  <w:style w:type="paragraph" w:customStyle="1" w:styleId="af3">
    <w:name w:val="正文 + (符号) 宋体"/>
    <w:aliases w:val="小四,紧缩量  0.2 磅"/>
    <w:basedOn w:val="a"/>
    <w:rsid w:val="00C22CCE"/>
    <w:pPr>
      <w:autoSpaceDE w:val="0"/>
      <w:autoSpaceDN w:val="0"/>
      <w:adjustRightInd w:val="0"/>
      <w:ind w:rightChars="671" w:right="1409" w:firstLineChars="512" w:firstLine="1229"/>
      <w:jc w:val="distribute"/>
    </w:pPr>
    <w:rPr>
      <w:sz w:val="24"/>
    </w:rPr>
  </w:style>
  <w:style w:type="paragraph" w:styleId="af4">
    <w:name w:val="footnote text"/>
    <w:basedOn w:val="a"/>
    <w:semiHidden/>
    <w:rsid w:val="00547D9C"/>
    <w:pPr>
      <w:snapToGrid w:val="0"/>
      <w:jc w:val="left"/>
    </w:pPr>
    <w:rPr>
      <w:sz w:val="18"/>
      <w:szCs w:val="18"/>
    </w:rPr>
  </w:style>
  <w:style w:type="character" w:styleId="af5">
    <w:name w:val="footnote reference"/>
    <w:semiHidden/>
    <w:rsid w:val="00547D9C"/>
    <w:rPr>
      <w:vertAlign w:val="superscript"/>
    </w:rPr>
  </w:style>
  <w:style w:type="paragraph" w:styleId="af6">
    <w:name w:val="Normal (Web)"/>
    <w:basedOn w:val="a"/>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basedOn w:val="a"/>
    <w:rsid w:val="00043ABF"/>
  </w:style>
  <w:style w:type="paragraph" w:customStyle="1" w:styleId="CharCharCharCharCharChar1CharCharChar">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type="character" w:customStyle="1" w:styleId="Char">
    <w:name w:val="纯文本 Char"/>
    <w:link w:val="a5"/>
    <w:uiPriority w:val="99"/>
    <w:rsid w:val="00A96FD9"/>
    <w:rPr>
      <w:rFonts w:ascii="宋体" w:hAnsi="Courier New"/>
      <w:kern w:val="2"/>
      <w:sz w:val="21"/>
      <w:szCs w:val="21"/>
    </w:rPr>
  </w:style>
  <w:style w:type="character" w:customStyle="1" w:styleId="Char0">
    <w:name w:val="页眉 Char"/>
    <w:basedOn w:val="a1"/>
    <w:link w:val="a9"/>
    <w:uiPriority w:val="99"/>
    <w:rsid w:val="001D1356"/>
    <w:rPr>
      <w:kern w:val="2"/>
      <w:sz w:val="18"/>
      <w:szCs w:val="18"/>
    </w:rPr>
  </w:style>
  <w:style w:type="character" w:customStyle="1" w:styleId="1Char">
    <w:name w:val="标题 1 Char"/>
    <w:basedOn w:val="a1"/>
    <w:link w:val="1"/>
    <w:rsid w:val="00A7634D"/>
    <w:rPr>
      <w:b/>
      <w:bCs/>
      <w:kern w:val="44"/>
      <w:sz w:val="44"/>
      <w:szCs w:val="44"/>
    </w:rPr>
  </w:style>
  <w:style w:type="character" w:customStyle="1" w:styleId="Char1">
    <w:name w:val="日期 Char"/>
    <w:basedOn w:val="a1"/>
    <w:link w:val="ad"/>
    <w:uiPriority w:val="99"/>
    <w:rsid w:val="00C503D3"/>
    <w:rPr>
      <w:kern w:val="2"/>
      <w:sz w:val="24"/>
    </w:rPr>
  </w:style>
  <w:style w:type="character" w:styleId="af8">
    <w:name w:val="Strong"/>
    <w:basedOn w:val="a1"/>
    <w:uiPriority w:val="22"/>
    <w:qFormat/>
    <w:rsid w:val="009779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9648">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73522549">
      <w:bodyDiv w:val="1"/>
      <w:marLeft w:val="0"/>
      <w:marRight w:val="0"/>
      <w:marTop w:val="0"/>
      <w:marBottom w:val="0"/>
      <w:divBdr>
        <w:top w:val="none" w:sz="0" w:space="0" w:color="auto"/>
        <w:left w:val="none" w:sz="0" w:space="0" w:color="auto"/>
        <w:bottom w:val="none" w:sz="0" w:space="0" w:color="auto"/>
        <w:right w:val="none" w:sz="0" w:space="0" w:color="auto"/>
      </w:divBdr>
    </w:div>
    <w:div w:id="4967272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64007311">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5093356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776706476">
      <w:bodyDiv w:val="1"/>
      <w:marLeft w:val="0"/>
      <w:marRight w:val="0"/>
      <w:marTop w:val="0"/>
      <w:marBottom w:val="0"/>
      <w:divBdr>
        <w:top w:val="none" w:sz="0" w:space="0" w:color="auto"/>
        <w:left w:val="none" w:sz="0" w:space="0" w:color="auto"/>
        <w:bottom w:val="none" w:sz="0" w:space="0" w:color="auto"/>
        <w:right w:val="none" w:sz="0" w:space="0" w:color="auto"/>
      </w:divBdr>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03641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qdii.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209</TotalTime>
  <Pages>14</Pages>
  <Words>1003</Words>
  <Characters>5718</Characters>
  <Application>Microsoft Office Word</Application>
  <DocSecurity>0</DocSecurity>
  <Lines>47</Lines>
  <Paragraphs>13</Paragraphs>
  <ScaleCrop>false</ScaleCrop>
  <Company>TRT. Ltd. Co.</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70</cp:revision>
  <cp:lastPrinted>2007-07-19T00:46:00Z</cp:lastPrinted>
  <dcterms:created xsi:type="dcterms:W3CDTF">2014-12-16T02:40:00Z</dcterms:created>
  <dcterms:modified xsi:type="dcterms:W3CDTF">2020-07-16T10:47:00Z</dcterms:modified>
</cp:coreProperties>
</file>