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易方达科技创新混合型证券投资基金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易方达科技创新混合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007346</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007346</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2019年4月29日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389,368,792.07</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本基金在控制风险的前提下，追求基金资产的长期增值。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综合虑宏观经济环境、政策形势、市场估值与流动性、科创板市场发展情况等因素，确定组合中股票、债券等资产类别的配置比例。本基金界定的科技创新企业是指坚持面向世界科技前沿、面向经济主战场、面向国家重大需求，主要服务于符合国家战略、突破关键核心技术、市场认可度高的企业，重点关注新一代信息技术高端装备、新材料、新能源、节能环保以及生物医药等高新技术产业和战略性新兴产业。本基金在识别科技创新主题相关企业的基础上，通过自上而下和自下而上相结合的方法，挖掘优质投资标的，构建股票投资组合。债券投资方面，本基金将主要通过类属配置与券种选择两个层次进行投资管理。</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中国战略新兴产业成份指数收益率×70%+中证港股通综合指数收益率×10%+中债总指数收益率×20%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pPr>
              <w:adjustRightInd w:val="0"/>
              <w:spacing w:before="29" w:line="360" w:lineRule="auto"/>
              <w:ind w:left="17"/>
              <w:jc w:val="left"/>
              <w:rPr>
                <w:color w:val="000000"/>
                <w:sz w:val="24"/>
                <w:szCs w:val="24"/>
              </w:rPr>
            </w:pPr>
            <w:r>
              <w:rPr>
                <w:color w:val="000000"/>
                <w:kern w:val="0"/>
                <w:sz w:val="24"/>
                <w:szCs w:val="24"/>
              </w:rPr>
              <w:t>本基金为混合基金，理论上其预期风险与预期收益水平低于股票基金，高于债券基金和货币市场基金。</w:t>
            </w:r>
          </w:p>
          <w:p>
            <w:pPr>
              <w:adjustRightInd w:val="0"/>
              <w:spacing w:before="29" w:line="360" w:lineRule="auto"/>
              <w:ind w:left="17"/>
              <w:jc w:val="left"/>
              <w:rPr>
                <w:color w:val="000000"/>
                <w:sz w:val="24"/>
                <w:szCs w:val="24"/>
              </w:rPr>
            </w:pPr>
            <w:r>
              <w:rPr>
                <w:color w:val="000000"/>
                <w:kern w:val="0"/>
                <w:sz w:val="24"/>
                <w:szCs w:val="24"/>
              </w:rPr>
              <w:t>本基金可投资于科创板上市的股票，除了需要承担与证券投资基金类似的市场波动风险等一般投资风险之外，本基金还面临投资科创板股票的特殊风险，本基金投资科创板的风险详见招募说明书。</w:t>
            </w:r>
          </w:p>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63,377,013.88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245,112,708.93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0.5827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765,345,784.93</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1.9656</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43.12%</w:t>
            </w:r>
          </w:p>
        </w:tc>
        <w:tc>
          <w:tcPr>
            <w:vAlign w:val="center"/>
          </w:tcPr>
          <w:p>
            <w:pPr>
              <w:jc w:val="center"/>
            </w:pPr>
            <w:r>
              <w:rPr>
                <w:color w:val="000000"/>
                <w:kern w:val="0"/>
                <w:sz w:val="24"/>
                <w:szCs w:val="24"/>
              </w:rPr>
              <w:t>1.66%</w:t>
            </w:r>
          </w:p>
        </w:tc>
        <w:tc>
          <w:tcPr>
            <w:vAlign w:val="center"/>
          </w:tcPr>
          <w:p>
            <w:pPr>
              <w:jc w:val="center"/>
            </w:pPr>
            <w:r>
              <w:rPr>
                <w:color w:val="000000"/>
                <w:kern w:val="0"/>
                <w:sz w:val="24"/>
                <w:szCs w:val="24"/>
              </w:rPr>
              <w:t>20.78%</w:t>
            </w:r>
          </w:p>
        </w:tc>
        <w:tc>
          <w:tcPr>
            <w:vAlign w:val="center"/>
          </w:tcPr>
          <w:p>
            <w:pPr>
              <w:jc w:val="center"/>
            </w:pPr>
            <w:r>
              <w:rPr>
                <w:color w:val="000000"/>
                <w:kern w:val="0"/>
                <w:sz w:val="24"/>
                <w:szCs w:val="24"/>
              </w:rPr>
              <w:t>1.02%</w:t>
            </w:r>
          </w:p>
        </w:tc>
        <w:tc>
          <w:tcPr>
            <w:vAlign w:val="center"/>
          </w:tcPr>
          <w:p>
            <w:pPr>
              <w:jc w:val="center"/>
            </w:pPr>
            <w:r>
              <w:rPr>
                <w:color w:val="000000"/>
                <w:kern w:val="0"/>
                <w:sz w:val="24"/>
                <w:szCs w:val="24"/>
              </w:rPr>
              <w:t>22.34%</w:t>
            </w:r>
          </w:p>
        </w:tc>
        <w:tc>
          <w:tcPr>
            <w:vAlign w:val="center"/>
          </w:tcPr>
          <w:p>
            <w:pPr>
              <w:jc w:val="center"/>
            </w:pPr>
            <w:r>
              <w:rPr>
                <w:color w:val="000000"/>
                <w:kern w:val="0"/>
                <w:sz w:val="24"/>
                <w:szCs w:val="24"/>
              </w:rPr>
              <w:t>0.64%</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48.58%</w:t>
            </w:r>
          </w:p>
        </w:tc>
        <w:tc>
          <w:tcPr>
            <w:vAlign w:val="center"/>
          </w:tcPr>
          <w:p>
            <w:pPr>
              <w:jc w:val="center"/>
            </w:pPr>
            <w:r>
              <w:rPr>
                <w:color w:val="000000"/>
                <w:kern w:val="0"/>
                <w:sz w:val="24"/>
                <w:szCs w:val="24"/>
              </w:rPr>
              <w:t>2.34%</w:t>
            </w:r>
          </w:p>
        </w:tc>
        <w:tc>
          <w:tcPr>
            <w:vAlign w:val="center"/>
          </w:tcPr>
          <w:p>
            <w:pPr>
              <w:jc w:val="center"/>
            </w:pPr>
            <w:r>
              <w:rPr>
                <w:color w:val="000000"/>
                <w:kern w:val="0"/>
                <w:sz w:val="24"/>
                <w:szCs w:val="24"/>
              </w:rPr>
              <w:t>22.44%</w:t>
            </w:r>
          </w:p>
        </w:tc>
        <w:tc>
          <w:tcPr>
            <w:vAlign w:val="center"/>
          </w:tcPr>
          <w:p>
            <w:pPr>
              <w:jc w:val="center"/>
            </w:pPr>
            <w:r>
              <w:rPr>
                <w:color w:val="000000"/>
                <w:kern w:val="0"/>
                <w:sz w:val="24"/>
                <w:szCs w:val="24"/>
              </w:rPr>
              <w:t>1.48%</w:t>
            </w:r>
          </w:p>
        </w:tc>
        <w:tc>
          <w:tcPr>
            <w:vAlign w:val="center"/>
          </w:tcPr>
          <w:p>
            <w:pPr>
              <w:jc w:val="center"/>
            </w:pPr>
            <w:r>
              <w:rPr>
                <w:color w:val="000000"/>
                <w:kern w:val="0"/>
                <w:sz w:val="24"/>
                <w:szCs w:val="24"/>
              </w:rPr>
              <w:t>26.14%</w:t>
            </w:r>
          </w:p>
        </w:tc>
        <w:tc>
          <w:tcPr>
            <w:vAlign w:val="center"/>
          </w:tcPr>
          <w:p>
            <w:pPr>
              <w:jc w:val="center"/>
            </w:pPr>
            <w:r>
              <w:rPr>
                <w:color w:val="000000"/>
                <w:kern w:val="0"/>
                <w:sz w:val="24"/>
                <w:szCs w:val="24"/>
              </w:rPr>
              <w:t>0.86%</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96.93%</w:t>
            </w:r>
          </w:p>
        </w:tc>
        <w:tc>
          <w:tcPr>
            <w:vAlign w:val="center"/>
          </w:tcPr>
          <w:p>
            <w:pPr>
              <w:jc w:val="center"/>
            </w:pPr>
            <w:r>
              <w:rPr>
                <w:color w:val="000000"/>
                <w:kern w:val="0"/>
                <w:sz w:val="24"/>
                <w:szCs w:val="24"/>
              </w:rPr>
              <w:t>1.77%</w:t>
            </w:r>
          </w:p>
        </w:tc>
        <w:tc>
          <w:tcPr>
            <w:vAlign w:val="center"/>
          </w:tcPr>
          <w:p>
            <w:pPr>
              <w:jc w:val="center"/>
            </w:pPr>
            <w:r>
              <w:rPr>
                <w:color w:val="000000"/>
                <w:kern w:val="0"/>
                <w:sz w:val="24"/>
                <w:szCs w:val="24"/>
              </w:rPr>
              <w:t>39.45%</w:t>
            </w:r>
          </w:p>
        </w:tc>
        <w:tc>
          <w:tcPr>
            <w:vAlign w:val="center"/>
          </w:tcPr>
          <w:p>
            <w:pPr>
              <w:jc w:val="center"/>
            </w:pPr>
            <w:r>
              <w:rPr>
                <w:color w:val="000000"/>
                <w:kern w:val="0"/>
                <w:sz w:val="24"/>
                <w:szCs w:val="24"/>
              </w:rPr>
              <w:t>1.17%</w:t>
            </w:r>
          </w:p>
        </w:tc>
        <w:tc>
          <w:tcPr>
            <w:vAlign w:val="center"/>
          </w:tcPr>
          <w:p>
            <w:pPr>
              <w:jc w:val="center"/>
            </w:pPr>
            <w:r>
              <w:rPr>
                <w:color w:val="000000"/>
                <w:kern w:val="0"/>
                <w:sz w:val="24"/>
                <w:szCs w:val="24"/>
              </w:rPr>
              <w:t>57.48%</w:t>
            </w:r>
          </w:p>
        </w:tc>
        <w:tc>
          <w:tcPr>
            <w:vAlign w:val="center"/>
          </w:tcPr>
          <w:p>
            <w:pPr>
              <w:jc w:val="center"/>
            </w:pPr>
            <w:r>
              <w:rPr>
                <w:color w:val="000000"/>
                <w:kern w:val="0"/>
                <w:sz w:val="24"/>
                <w:szCs w:val="24"/>
              </w:rPr>
              <w:t>0.60%</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96.56%</w:t>
            </w:r>
          </w:p>
        </w:tc>
        <w:tc>
          <w:tcPr>
            <w:vAlign w:val="center"/>
          </w:tcPr>
          <w:p>
            <w:pPr>
              <w:jc w:val="center"/>
            </w:pPr>
            <w:r>
              <w:rPr>
                <w:color w:val="000000"/>
                <w:kern w:val="0"/>
                <w:sz w:val="24"/>
                <w:szCs w:val="24"/>
              </w:rPr>
              <w:t>1.64%</w:t>
            </w:r>
          </w:p>
        </w:tc>
        <w:tc>
          <w:tcPr>
            <w:vAlign w:val="center"/>
          </w:tcPr>
          <w:p>
            <w:pPr>
              <w:jc w:val="center"/>
            </w:pPr>
            <w:r>
              <w:rPr>
                <w:color w:val="000000"/>
                <w:kern w:val="0"/>
                <w:sz w:val="24"/>
                <w:szCs w:val="24"/>
              </w:rPr>
              <w:t>35.18%</w:t>
            </w:r>
          </w:p>
        </w:tc>
        <w:tc>
          <w:tcPr>
            <w:vAlign w:val="center"/>
          </w:tcPr>
          <w:p>
            <w:pPr>
              <w:jc w:val="center"/>
            </w:pPr>
            <w:r>
              <w:rPr>
                <w:color w:val="000000"/>
                <w:kern w:val="0"/>
                <w:sz w:val="24"/>
                <w:szCs w:val="24"/>
              </w:rPr>
              <w:t>1.19%</w:t>
            </w:r>
          </w:p>
        </w:tc>
        <w:tc>
          <w:tcPr>
            <w:vAlign w:val="center"/>
          </w:tcPr>
          <w:p>
            <w:pPr>
              <w:jc w:val="center"/>
            </w:pPr>
            <w:r>
              <w:rPr>
                <w:color w:val="000000"/>
                <w:kern w:val="0"/>
                <w:sz w:val="24"/>
                <w:szCs w:val="24"/>
              </w:rPr>
              <w:t>61.38%</w:t>
            </w:r>
          </w:p>
        </w:tc>
        <w:tc>
          <w:tcPr>
            <w:vAlign w:val="center"/>
          </w:tcPr>
          <w:p>
            <w:pPr>
              <w:jc w:val="center"/>
            </w:pPr>
            <w:r>
              <w:rPr>
                <w:color w:val="000000"/>
                <w:kern w:val="0"/>
                <w:sz w:val="24"/>
                <w:szCs w:val="24"/>
              </w:rPr>
              <w:t>0.45%</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易方达科技创新混合型证券投资基金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2019年4月29日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注：1.按基金合同和招募说明书的约定,本基金的建仓期为六个月,建仓期结束时各项资产配置比例符合基金合同(第十二部分二、投资范围,三、投资策略和四、投资限制)的有关约定。</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2.自基金合同生效至报告期末，基金份额净值增长率为96.56%，同期业绩比较基准收益率为35.18%。</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刘武</w:t>
            </w:r>
          </w:p>
        </w:tc>
        <w:tc>
          <w:tcPr>
            <w:vAlign w:val="center"/>
          </w:tcPr>
          <w:p>
            <w:pPr>
              <w:jc w:val="left"/>
            </w:pPr>
            <w:r>
              <w:rPr>
                <w:color w:val="000000"/>
                <w:sz w:val="24"/>
              </w:rPr>
              <w:t>本基金的基金经理、易方达新兴成长灵活配置混合型证券投资基金的基金经理</w:t>
            </w:r>
          </w:p>
        </w:tc>
        <w:tc>
          <w:tcPr>
            <w:vAlign w:val="center"/>
          </w:tcPr>
          <w:p>
            <w:pPr>
              <w:jc w:val="center"/>
            </w:pPr>
            <w:r>
              <w:rPr>
                <w:color w:val="000000"/>
                <w:sz w:val="24"/>
              </w:rPr>
              <w:t>2019-04-29</w:t>
            </w:r>
          </w:p>
        </w:tc>
        <w:tc>
          <w:tcPr>
            <w:vAlign w:val="center"/>
          </w:tcPr>
          <w:p>
            <w:pPr>
              <w:jc w:val="center"/>
            </w:pPr>
            <w:r>
              <w:rPr>
                <w:color w:val="000000"/>
                <w:sz w:val="24"/>
              </w:rPr>
              <w:t>-</w:t>
            </w:r>
          </w:p>
        </w:tc>
        <w:tc>
          <w:tcPr>
            <w:vAlign w:val="center"/>
          </w:tcPr>
          <w:p>
            <w:pPr>
              <w:jc w:val="center"/>
            </w:pPr>
            <w:r>
              <w:rPr>
                <w:color w:val="000000"/>
                <w:sz w:val="24"/>
              </w:rPr>
              <w:t>6年</w:t>
            </w:r>
          </w:p>
        </w:tc>
        <w:tc>
          <w:tcPr>
            <w:vAlign w:val="center"/>
          </w:tcPr>
          <w:p>
            <w:pPr>
              <w:jc w:val="both"/>
            </w:pPr>
            <w:r>
              <w:rPr>
                <w:color w:val="000000"/>
                <w:sz w:val="24"/>
              </w:rPr>
              <w:t>硕士研究生，具有基金从业资格。曾任华夏基金管理有限公司投资研究部研究员，易方达基金管理有限公司行业研究员、投资经理。</w:t>
            </w:r>
          </w:p>
        </w:tc>
      </w:tr>
      <w:tr>
        <w:tc>
          <w:tcPr>
            <w:vAlign w:val="center"/>
          </w:tcPr>
          <w:p>
            <w:pPr>
              <w:jc w:val="center"/>
            </w:pPr>
            <w:r>
              <w:rPr>
                <w:color w:val="000000"/>
                <w:sz w:val="24"/>
              </w:rPr>
              <w:t>蔡荣成</w:t>
            </w:r>
          </w:p>
        </w:tc>
        <w:tc>
          <w:tcPr>
            <w:vAlign w:val="center"/>
          </w:tcPr>
          <w:p>
            <w:pPr>
              <w:jc w:val="left"/>
            </w:pPr>
            <w:r>
              <w:rPr>
                <w:color w:val="000000"/>
                <w:sz w:val="24"/>
              </w:rPr>
              <w:t>本基金的基金经理、易方达策略成长证券投资基金的基金经理、易方达策略成长二号混合型证券投资基金的基金经理、易方达新丝路灵活配置混合型证券投资基金的基金经理助理（自2019年11月28日至2020年06月05日）、行业研究员</w:t>
            </w:r>
          </w:p>
        </w:tc>
        <w:tc>
          <w:tcPr>
            <w:vAlign w:val="center"/>
          </w:tcPr>
          <w:p>
            <w:pPr>
              <w:jc w:val="center"/>
            </w:pPr>
            <w:r>
              <w:rPr>
                <w:color w:val="000000"/>
                <w:sz w:val="24"/>
              </w:rPr>
              <w:t>2019-04-29</w:t>
            </w:r>
          </w:p>
        </w:tc>
        <w:tc>
          <w:tcPr>
            <w:vAlign w:val="center"/>
          </w:tcPr>
          <w:p>
            <w:pPr>
              <w:jc w:val="center"/>
            </w:pPr>
            <w:r>
              <w:rPr>
                <w:color w:val="000000"/>
                <w:sz w:val="24"/>
              </w:rPr>
              <w:t>2020-06-06</w:t>
            </w:r>
          </w:p>
        </w:tc>
        <w:tc>
          <w:tcPr>
            <w:vAlign w:val="center"/>
          </w:tcPr>
          <w:p>
            <w:pPr>
              <w:jc w:val="center"/>
            </w:pPr>
            <w:r>
              <w:rPr>
                <w:color w:val="000000"/>
                <w:sz w:val="24"/>
              </w:rPr>
              <w:t>5年</w:t>
            </w:r>
          </w:p>
        </w:tc>
        <w:tc>
          <w:tcPr>
            <w:vAlign w:val="center"/>
          </w:tcPr>
          <w:p>
            <w:pPr>
              <w:jc w:val="both"/>
            </w:pPr>
            <w:r>
              <w:rPr>
                <w:color w:val="000000"/>
                <w:sz w:val="24"/>
              </w:rPr>
              <w:t>硕士研究生，具有基金从业资格。</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二季度，国内疫情得到有效控制，经济生产秩序得以逐步恢复，市场开始修复反弹。为应对疫情对经济的影响，全球流动性进一步宽松，并成为推动全球股市反弹的核心驱动力。报告期内，上证综指涨幅8.52%，中证500涨幅16.32%，创业板指数涨幅30.25%，医药和休闲食品成为走势最强的板块。</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前期，受海外疫情蔓延影响，市场担心全球需求下滑，新能源汽车板块和消费电子板块下跌较多。二季度，本基金仍然坚持在新能源汽车产业链和电子产业链的较大配置，随着海外经济活动的逐步恢复，该两板块的股价得以修复和上涨。同时，本基金加大对A股和港股中的云计算龙头公司的配置。整体看，报告期内本基金相对指数和基准取得了较好的超额收益。</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截至报告期末，本基金份额净值为1.9656元，本报告期份额净值增长率为43.12%，同期业绩比较基准收益率为20.78%。</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708,017,453.15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91.83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708,017,453.15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91.83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45,047,725.23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5.84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17,935,359.81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2.33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771,000,538.19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注：本基金本报告期末通过港股通交易机制投资的港股市值为95,557,132.38元,占净值比例12.49%。 </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395,248,381.01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51.64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0.73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179,234,112.42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23.42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32,371,733.90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4.23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612,460,320.77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80.02</w:t>
            </w:r>
          </w:p>
        </w:tc>
      </w:tr>
    </w:tbl>
    <w:p w:rsidP="008C2A4F" w:rsidR="008C2A4F" w:rsidRDefault="008C2A4F" w:rsidRPr="008C2A4F">
      <w:pPr>
        <w:jc w:val="left"/>
        <w:rPr>
          <w:rFonts w:eastAsiaTheme="minorEastAsia"/>
          <w:b/>
          <w:bCs/>
          <w:color w:themeColor="text1" w:val="000000"/>
          <w:kern w:val="0"/>
          <w:sz w:val="24"/>
          <w:szCs w:val="24"/>
        </w:rPr>
      </w:pPr>
      <w:r w:rsidRPr="008C2A4F">
        <w:rPr>
          <w:rFonts w:eastAsiaTheme="minorEastAsia"/>
          <w:b/>
          <w:bCs/>
          <w:color w:themeColor="text1" w:val="000000"/>
          <w:kern w:val="0"/>
          <w:sz w:val="24"/>
          <w:szCs w:val="24"/>
        </w:rPr>
        <w:t xml:space="preserve"> </w:t>
      </w:r>
      <w:proofErr w:type="spellStart"/>
      <w:r w:rsidRPr="008C2A4F">
        <w:rPr>
          <w:rFonts w:eastAsiaTheme="minorEastAsia"/>
          <w:b/>
          <w:bCs/>
          <w:color w:themeColor="text1" w:val="000000"/>
          <w:kern w:val="0"/>
          <w:sz w:val="24"/>
          <w:szCs w:val="24"/>
        </w:rPr>
        <w:t/>
      </w:r>
      <w:proofErr w:type="spellEnd"/>
      <w:r w:rsidRPr="008C2A4F">
        <w:rPr>
          <w:rFonts w:eastAsiaTheme="minorEastAsia"/>
          <w:b/>
          <w:bCs/>
          <w:color w:themeColor="text1" w:val="000000"/>
          <w:kern w:val="0"/>
          <w:sz w:val="24"/>
          <w:szCs w:val="24"/>
        </w:rPr>
        <w:t>5.2.2</w:t>
      </w:r>
      <w:r w:rsidR="00B912D0">
        <w:rPr>
          <w:rFonts w:eastAsiaTheme="minorEastAsia"/>
          <w:b/>
          <w:bCs/>
          <w:color w:themeColor="text1" w:val="000000"/>
          <w:kern w:val="0"/>
          <w:sz w:val="24"/>
          <w:szCs w:val="24"/>
        </w:rPr>
        <w:t>报告期末按行业分类的</w:t>
      </w:r>
      <w:r w:rsidR="00B912D0">
        <w:rPr>
          <w:rFonts w:eastAsiaTheme="minorEastAsia" w:hint="eastAsia"/>
          <w:b/>
          <w:bCs/>
          <w:color w:themeColor="text1" w:val="000000"/>
          <w:kern w:val="0"/>
          <w:sz w:val="24"/>
          <w:szCs w:val="24"/>
        </w:rPr>
        <w:t>港股通</w:t>
      </w:r>
      <w:r w:rsidRPr="008C2A4F">
        <w:rPr>
          <w:rFonts w:eastAsiaTheme="minorEastAsia"/>
          <w:b/>
          <w:bCs/>
          <w:color w:themeColor="text1" w:val="000000"/>
          <w:kern w:val="0"/>
          <w:sz w:val="24"/>
          <w:szCs w:val="24"/>
        </w:rPr>
        <w:t>投资股票投资组合</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2397"/>
        <w:gridCol w:w="3119"/>
        <w:gridCol w:w="3118"/>
      </w:tblGrid>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119"/>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公允价值（人民币）</w:t>
            </w:r>
          </w:p>
        </w:tc>
        <w:tc>
          <w:tcPr>
            <w:tcW w:type="dxa" w:w="3118"/>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r w:rsidRPr="008C2A4F">
              <w:rPr>
                <w:rFonts w:eastAsiaTheme="minorEastAsia"/>
                <w:color w:themeColor="text1" w:val="000000"/>
                <w:kern w:val="0"/>
                <w:sz w:val="24"/>
                <w:szCs w:val="24"/>
              </w:rPr>
              <w:t>%</w:t>
            </w:r>
            <w:r w:rsidRPr="008C2A4F">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能源</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材料</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工业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非必需消费品</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必需消费品</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保健</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金融</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信息技术</w:t>
            </w:r>
          </w:p>
        </w:tc>
        <w:tc>
          <w:tcPr>
            <w:vAlign w:val="center"/>
          </w:tcPr>
          <w:p>
            <w:pPr>
              <w:jc w:val="center"/>
            </w:pPr>
            <w:r>
              <w:rPr>
                <w:rFonts w:eastAsiaTheme="minorEastAsia"/>
                <w:color w:themeColor="text1" w:val="000000"/>
                <w:kern w:val="0"/>
                <w:sz w:val="24"/>
                <w:szCs w:val="24"/>
              </w:rPr>
              <w:t>81,438,455.68</w:t>
            </w:r>
          </w:p>
        </w:tc>
        <w:tc>
          <w:tcPr>
            <w:vAlign w:val="center"/>
          </w:tcPr>
          <w:p>
            <w:pPr>
              <w:jc w:val="center"/>
            </w:pPr>
            <w:r>
              <w:rPr>
                <w:rFonts w:eastAsiaTheme="minorEastAsia"/>
                <w:color w:themeColor="text1" w:val="000000"/>
                <w:kern w:val="0"/>
                <w:sz w:val="24"/>
                <w:szCs w:val="24"/>
              </w:rPr>
              <w:t>10.64</w:t>
            </w:r>
          </w:p>
        </w:tc>
      </w:tr>
      <w:tr>
        <w:tc>
          <w:tcPr>
            <w:vAlign w:val="center"/>
          </w:tcPr>
          <w:p>
            <w:pPr>
              <w:jc w:val="center"/>
            </w:pPr>
            <w:r>
              <w:rPr>
                <w:rFonts w:eastAsiaTheme="minorEastAsia"/>
                <w:color w:themeColor="text1" w:val="000000"/>
                <w:kern w:val="0"/>
                <w:sz w:val="24"/>
                <w:szCs w:val="24"/>
              </w:rPr>
              <w:t>电信服务</w:t>
            </w:r>
          </w:p>
        </w:tc>
        <w:tc>
          <w:tcPr>
            <w:vAlign w:val="center"/>
          </w:tcPr>
          <w:p>
            <w:pPr>
              <w:jc w:val="center"/>
            </w:pPr>
            <w:r>
              <w:rPr>
                <w:rFonts w:eastAsiaTheme="minorEastAsia"/>
                <w:color w:themeColor="text1" w:val="000000"/>
                <w:kern w:val="0"/>
                <w:sz w:val="24"/>
                <w:szCs w:val="24"/>
              </w:rPr>
              <w:t>14,118,676.70</w:t>
            </w:r>
          </w:p>
        </w:tc>
        <w:tc>
          <w:tcPr>
            <w:vAlign w:val="center"/>
          </w:tcPr>
          <w:p>
            <w:pPr>
              <w:jc w:val="center"/>
            </w:pPr>
            <w:r>
              <w:rPr>
                <w:rFonts w:eastAsiaTheme="minorEastAsia"/>
                <w:color w:themeColor="text1" w:val="000000"/>
                <w:kern w:val="0"/>
                <w:sz w:val="24"/>
                <w:szCs w:val="24"/>
              </w:rPr>
              <w:t>1.84</w:t>
            </w:r>
          </w:p>
        </w:tc>
      </w:tr>
      <w:tr>
        <w:tc>
          <w:tcPr>
            <w:vAlign w:val="center"/>
          </w:tcPr>
          <w:p>
            <w:pPr>
              <w:jc w:val="center"/>
            </w:pPr>
            <w:r>
              <w:rPr>
                <w:rFonts w:eastAsiaTheme="minorEastAsia"/>
                <w:color w:themeColor="text1" w:val="000000"/>
                <w:kern w:val="0"/>
                <w:sz w:val="24"/>
                <w:szCs w:val="24"/>
              </w:rPr>
              <w:t>公用事业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房地产</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311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95,557,132.38</w:t>
            </w:r>
          </w:p>
        </w:tc>
        <w:tc>
          <w:tcPr>
            <w:tcW w:type="dxa" w:w="3118"/>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12.49</w:t>
            </w:r>
          </w:p>
        </w:tc>
      </w:tr>
    </w:tbl>
    <w:p w:rsidP="008C2A4F" w:rsidR="00750D48" w:rsidRDefault="008C2A4F" w:rsidRPr="008C2A4F">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注：以上分类采用全球行业分类标准（GICS）。</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300253</w:t>
            </w:r>
          </w:p>
        </w:tc>
        <w:tc>
          <w:tcPr>
            <w:vAlign w:val="center"/>
          </w:tcPr>
          <w:p>
            <w:pPr>
              <w:jc w:val="center"/>
            </w:pPr>
            <w:r>
              <w:rPr>
                <w:color w:val="000000"/>
                <w:kern w:val="0"/>
                <w:sz w:val="24"/>
                <w:szCs w:val="24"/>
              </w:rPr>
              <w:t>卫宁健康</w:t>
            </w:r>
          </w:p>
        </w:tc>
        <w:tc>
          <w:tcPr>
            <w:vAlign w:val="center"/>
          </w:tcPr>
          <w:p>
            <w:pPr>
              <w:jc w:val="right"/>
            </w:pPr>
            <w:r>
              <w:rPr>
                <w:color w:val="000000"/>
                <w:kern w:val="0"/>
                <w:sz w:val="24"/>
                <w:szCs w:val="24"/>
              </w:rPr>
              <w:t>3,315,621</w:t>
            </w:r>
          </w:p>
        </w:tc>
        <w:tc>
          <w:tcPr>
            <w:vAlign w:val="center"/>
          </w:tcPr>
          <w:p>
            <w:pPr>
              <w:jc w:val="right"/>
            </w:pPr>
            <w:r>
              <w:rPr>
                <w:color w:val="000000"/>
                <w:kern w:val="0"/>
                <w:sz w:val="24"/>
                <w:szCs w:val="24"/>
              </w:rPr>
              <w:t>76,060,345.74</w:t>
            </w:r>
          </w:p>
        </w:tc>
        <w:tc>
          <w:tcPr>
            <w:vAlign w:val="center"/>
          </w:tcPr>
          <w:p>
            <w:pPr>
              <w:jc w:val="right"/>
            </w:pPr>
            <w:r>
              <w:rPr>
                <w:color w:val="000000"/>
                <w:kern w:val="0"/>
                <w:sz w:val="24"/>
                <w:szCs w:val="24"/>
              </w:rPr>
              <w:t>9.94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002050</w:t>
            </w:r>
          </w:p>
        </w:tc>
        <w:tc>
          <w:tcPr>
            <w:vAlign w:val="center"/>
          </w:tcPr>
          <w:p>
            <w:pPr>
              <w:jc w:val="center"/>
            </w:pPr>
            <w:r>
              <w:rPr>
                <w:color w:val="000000"/>
                <w:kern w:val="0"/>
                <w:sz w:val="24"/>
                <w:szCs w:val="24"/>
              </w:rPr>
              <w:t>三花智控</w:t>
            </w:r>
          </w:p>
        </w:tc>
        <w:tc>
          <w:tcPr>
            <w:vAlign w:val="center"/>
          </w:tcPr>
          <w:p>
            <w:pPr>
              <w:jc w:val="right"/>
            </w:pPr>
            <w:r>
              <w:rPr>
                <w:color w:val="000000"/>
                <w:kern w:val="0"/>
                <w:sz w:val="24"/>
                <w:szCs w:val="24"/>
              </w:rPr>
              <w:t>3,442,804</w:t>
            </w:r>
          </w:p>
        </w:tc>
        <w:tc>
          <w:tcPr>
            <w:vAlign w:val="center"/>
          </w:tcPr>
          <w:p>
            <w:pPr>
              <w:jc w:val="right"/>
            </w:pPr>
            <w:r>
              <w:rPr>
                <w:color w:val="000000"/>
                <w:kern w:val="0"/>
                <w:sz w:val="24"/>
                <w:szCs w:val="24"/>
              </w:rPr>
              <w:t>75,397,407.60</w:t>
            </w:r>
          </w:p>
        </w:tc>
        <w:tc>
          <w:tcPr>
            <w:vAlign w:val="center"/>
          </w:tcPr>
          <w:p>
            <w:pPr>
              <w:jc w:val="right"/>
            </w:pPr>
            <w:r>
              <w:rPr>
                <w:color w:val="000000"/>
                <w:kern w:val="0"/>
                <w:sz w:val="24"/>
                <w:szCs w:val="24"/>
              </w:rPr>
              <w:t>9.85</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002850</w:t>
            </w:r>
          </w:p>
        </w:tc>
        <w:tc>
          <w:tcPr>
            <w:vAlign w:val="center"/>
          </w:tcPr>
          <w:p>
            <w:pPr>
              <w:jc w:val="center"/>
            </w:pPr>
            <w:r>
              <w:rPr>
                <w:color w:val="000000"/>
                <w:kern w:val="0"/>
                <w:sz w:val="24"/>
                <w:szCs w:val="24"/>
              </w:rPr>
              <w:t>科达利</w:t>
            </w:r>
          </w:p>
        </w:tc>
        <w:tc>
          <w:tcPr>
            <w:vAlign w:val="center"/>
          </w:tcPr>
          <w:p>
            <w:pPr>
              <w:jc w:val="right"/>
            </w:pPr>
            <w:r>
              <w:rPr>
                <w:color w:val="000000"/>
                <w:kern w:val="0"/>
                <w:sz w:val="24"/>
                <w:szCs w:val="24"/>
              </w:rPr>
              <w:t>1,024,988</w:t>
            </w:r>
          </w:p>
        </w:tc>
        <w:tc>
          <w:tcPr>
            <w:vAlign w:val="center"/>
          </w:tcPr>
          <w:p>
            <w:pPr>
              <w:jc w:val="right"/>
            </w:pPr>
            <w:r>
              <w:rPr>
                <w:color w:val="000000"/>
                <w:kern w:val="0"/>
                <w:sz w:val="24"/>
                <w:szCs w:val="24"/>
              </w:rPr>
              <w:t>70,929,169.60</w:t>
            </w:r>
          </w:p>
        </w:tc>
        <w:tc>
          <w:tcPr>
            <w:vAlign w:val="center"/>
          </w:tcPr>
          <w:p>
            <w:pPr>
              <w:jc w:val="right"/>
            </w:pPr>
            <w:r>
              <w:rPr>
                <w:color w:val="000000"/>
                <w:kern w:val="0"/>
                <w:sz w:val="24"/>
                <w:szCs w:val="24"/>
              </w:rPr>
              <w:t>9.27</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00268</w:t>
            </w:r>
          </w:p>
        </w:tc>
        <w:tc>
          <w:tcPr>
            <w:vAlign w:val="center"/>
          </w:tcPr>
          <w:p>
            <w:pPr>
              <w:jc w:val="center"/>
            </w:pPr>
            <w:r>
              <w:rPr>
                <w:color w:val="000000"/>
                <w:kern w:val="0"/>
                <w:sz w:val="24"/>
                <w:szCs w:val="24"/>
              </w:rPr>
              <w:t>金蝶国际</w:t>
            </w:r>
          </w:p>
        </w:tc>
        <w:tc>
          <w:tcPr>
            <w:vAlign w:val="center"/>
          </w:tcPr>
          <w:p>
            <w:pPr>
              <w:jc w:val="right"/>
            </w:pPr>
            <w:r>
              <w:rPr>
                <w:color w:val="000000"/>
                <w:kern w:val="0"/>
                <w:sz w:val="24"/>
                <w:szCs w:val="24"/>
              </w:rPr>
              <w:t>3,689,000</w:t>
            </w:r>
          </w:p>
        </w:tc>
        <w:tc>
          <w:tcPr>
            <w:vAlign w:val="center"/>
          </w:tcPr>
          <w:p>
            <w:pPr>
              <w:jc w:val="right"/>
            </w:pPr>
            <w:r>
              <w:rPr>
                <w:color w:val="000000"/>
                <w:kern w:val="0"/>
                <w:sz w:val="24"/>
                <w:szCs w:val="24"/>
              </w:rPr>
              <w:t>60,721,636.48</w:t>
            </w:r>
          </w:p>
        </w:tc>
        <w:tc>
          <w:tcPr>
            <w:vAlign w:val="center"/>
          </w:tcPr>
          <w:p>
            <w:pPr>
              <w:jc w:val="right"/>
            </w:pPr>
            <w:r>
              <w:rPr>
                <w:color w:val="000000"/>
                <w:kern w:val="0"/>
                <w:sz w:val="24"/>
                <w:szCs w:val="24"/>
              </w:rPr>
              <w:t>7.93</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300037</w:t>
            </w:r>
          </w:p>
        </w:tc>
        <w:tc>
          <w:tcPr>
            <w:vAlign w:val="center"/>
          </w:tcPr>
          <w:p>
            <w:pPr>
              <w:jc w:val="center"/>
            </w:pPr>
            <w:r>
              <w:rPr>
                <w:color w:val="000000"/>
                <w:kern w:val="0"/>
                <w:sz w:val="24"/>
                <w:szCs w:val="24"/>
              </w:rPr>
              <w:t>新宙邦</w:t>
            </w:r>
          </w:p>
        </w:tc>
        <w:tc>
          <w:tcPr>
            <w:vAlign w:val="center"/>
          </w:tcPr>
          <w:p>
            <w:pPr>
              <w:jc w:val="right"/>
            </w:pPr>
            <w:r>
              <w:rPr>
                <w:color w:val="000000"/>
                <w:kern w:val="0"/>
                <w:sz w:val="24"/>
                <w:szCs w:val="24"/>
              </w:rPr>
              <w:t>772,102</w:t>
            </w:r>
          </w:p>
        </w:tc>
        <w:tc>
          <w:tcPr>
            <w:vAlign w:val="center"/>
          </w:tcPr>
          <w:p>
            <w:pPr>
              <w:jc w:val="right"/>
            </w:pPr>
            <w:r>
              <w:rPr>
                <w:color w:val="000000"/>
                <w:kern w:val="0"/>
                <w:sz w:val="24"/>
                <w:szCs w:val="24"/>
              </w:rPr>
              <w:t>42,511,936.12</w:t>
            </w:r>
          </w:p>
        </w:tc>
        <w:tc>
          <w:tcPr>
            <w:vAlign w:val="center"/>
          </w:tcPr>
          <w:p>
            <w:pPr>
              <w:jc w:val="right"/>
            </w:pPr>
            <w:r>
              <w:rPr>
                <w:color w:val="000000"/>
                <w:kern w:val="0"/>
                <w:sz w:val="24"/>
                <w:szCs w:val="24"/>
              </w:rPr>
              <w:t>5.55</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300770</w:t>
            </w:r>
          </w:p>
        </w:tc>
        <w:tc>
          <w:tcPr>
            <w:vAlign w:val="center"/>
          </w:tcPr>
          <w:p>
            <w:pPr>
              <w:jc w:val="center"/>
            </w:pPr>
            <w:r>
              <w:rPr>
                <w:color w:val="000000"/>
                <w:kern w:val="0"/>
                <w:sz w:val="24"/>
                <w:szCs w:val="24"/>
              </w:rPr>
              <w:t>新媒股份</w:t>
            </w:r>
          </w:p>
        </w:tc>
        <w:tc>
          <w:tcPr>
            <w:vAlign w:val="center"/>
          </w:tcPr>
          <w:p>
            <w:pPr>
              <w:jc w:val="right"/>
            </w:pPr>
            <w:r>
              <w:rPr>
                <w:color w:val="000000"/>
                <w:kern w:val="0"/>
                <w:sz w:val="24"/>
                <w:szCs w:val="24"/>
              </w:rPr>
              <w:t>182,078</w:t>
            </w:r>
          </w:p>
        </w:tc>
        <w:tc>
          <w:tcPr>
            <w:vAlign w:val="center"/>
          </w:tcPr>
          <w:p>
            <w:pPr>
              <w:jc w:val="right"/>
            </w:pPr>
            <w:r>
              <w:rPr>
                <w:color w:val="000000"/>
                <w:kern w:val="0"/>
                <w:sz w:val="24"/>
                <w:szCs w:val="24"/>
              </w:rPr>
              <w:t>40,723,565.48</w:t>
            </w:r>
          </w:p>
        </w:tc>
        <w:tc>
          <w:tcPr>
            <w:vAlign w:val="center"/>
          </w:tcPr>
          <w:p>
            <w:pPr>
              <w:jc w:val="right"/>
            </w:pPr>
            <w:r>
              <w:rPr>
                <w:color w:val="000000"/>
                <w:kern w:val="0"/>
                <w:sz w:val="24"/>
                <w:szCs w:val="24"/>
              </w:rPr>
              <w:t>5.32</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600380</w:t>
            </w:r>
          </w:p>
        </w:tc>
        <w:tc>
          <w:tcPr>
            <w:vAlign w:val="center"/>
          </w:tcPr>
          <w:p>
            <w:pPr>
              <w:jc w:val="center"/>
            </w:pPr>
            <w:r>
              <w:rPr>
                <w:color w:val="000000"/>
                <w:kern w:val="0"/>
                <w:sz w:val="24"/>
                <w:szCs w:val="24"/>
              </w:rPr>
              <w:t>健康元</w:t>
            </w:r>
          </w:p>
        </w:tc>
        <w:tc>
          <w:tcPr>
            <w:vAlign w:val="center"/>
          </w:tcPr>
          <w:p>
            <w:pPr>
              <w:jc w:val="right"/>
            </w:pPr>
            <w:r>
              <w:rPr>
                <w:color w:val="000000"/>
                <w:kern w:val="0"/>
                <w:sz w:val="24"/>
                <w:szCs w:val="24"/>
              </w:rPr>
              <w:t>2,477,788</w:t>
            </w:r>
          </w:p>
        </w:tc>
        <w:tc>
          <w:tcPr>
            <w:vAlign w:val="center"/>
          </w:tcPr>
          <w:p>
            <w:pPr>
              <w:jc w:val="right"/>
            </w:pPr>
            <w:r>
              <w:rPr>
                <w:color w:val="000000"/>
                <w:kern w:val="0"/>
                <w:sz w:val="24"/>
                <w:szCs w:val="24"/>
              </w:rPr>
              <w:t>40,239,277.12</w:t>
            </w:r>
          </w:p>
        </w:tc>
        <w:tc>
          <w:tcPr>
            <w:vAlign w:val="center"/>
          </w:tcPr>
          <w:p>
            <w:pPr>
              <w:jc w:val="right"/>
            </w:pPr>
            <w:r>
              <w:rPr>
                <w:color w:val="000000"/>
                <w:kern w:val="0"/>
                <w:sz w:val="24"/>
                <w:szCs w:val="24"/>
              </w:rPr>
              <w:t>5.26</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300750</w:t>
            </w:r>
          </w:p>
        </w:tc>
        <w:tc>
          <w:tcPr>
            <w:vAlign w:val="center"/>
          </w:tcPr>
          <w:p>
            <w:pPr>
              <w:jc w:val="center"/>
            </w:pPr>
            <w:r>
              <w:rPr>
                <w:color w:val="000000"/>
                <w:kern w:val="0"/>
                <w:sz w:val="24"/>
                <w:szCs w:val="24"/>
              </w:rPr>
              <w:t>宁德时代</w:t>
            </w:r>
          </w:p>
        </w:tc>
        <w:tc>
          <w:tcPr>
            <w:vAlign w:val="center"/>
          </w:tcPr>
          <w:p>
            <w:pPr>
              <w:jc w:val="right"/>
            </w:pPr>
            <w:r>
              <w:rPr>
                <w:color w:val="000000"/>
                <w:kern w:val="0"/>
                <w:sz w:val="24"/>
                <w:szCs w:val="24"/>
              </w:rPr>
              <w:t>224,896</w:t>
            </w:r>
          </w:p>
        </w:tc>
        <w:tc>
          <w:tcPr>
            <w:vAlign w:val="center"/>
          </w:tcPr>
          <w:p>
            <w:pPr>
              <w:jc w:val="right"/>
            </w:pPr>
            <w:r>
              <w:rPr>
                <w:color w:val="000000"/>
                <w:kern w:val="0"/>
                <w:sz w:val="24"/>
                <w:szCs w:val="24"/>
              </w:rPr>
              <w:t>39,212,866.56</w:t>
            </w:r>
          </w:p>
        </w:tc>
        <w:tc>
          <w:tcPr>
            <w:vAlign w:val="center"/>
          </w:tcPr>
          <w:p>
            <w:pPr>
              <w:jc w:val="right"/>
            </w:pPr>
            <w:r>
              <w:rPr>
                <w:color w:val="000000"/>
                <w:kern w:val="0"/>
                <w:sz w:val="24"/>
                <w:szCs w:val="24"/>
              </w:rPr>
              <w:t>5.12</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300785</w:t>
            </w:r>
          </w:p>
        </w:tc>
        <w:tc>
          <w:tcPr>
            <w:vAlign w:val="center"/>
          </w:tcPr>
          <w:p>
            <w:pPr>
              <w:jc w:val="center"/>
            </w:pPr>
            <w:r>
              <w:rPr>
                <w:color w:val="000000"/>
                <w:kern w:val="0"/>
                <w:sz w:val="24"/>
                <w:szCs w:val="24"/>
              </w:rPr>
              <w:t>值得买</w:t>
            </w:r>
          </w:p>
        </w:tc>
        <w:tc>
          <w:tcPr>
            <w:vAlign w:val="center"/>
          </w:tcPr>
          <w:p>
            <w:pPr>
              <w:jc w:val="right"/>
            </w:pPr>
            <w:r>
              <w:rPr>
                <w:color w:val="000000"/>
                <w:kern w:val="0"/>
                <w:sz w:val="24"/>
                <w:szCs w:val="24"/>
              </w:rPr>
              <w:t>225,233</w:t>
            </w:r>
          </w:p>
        </w:tc>
        <w:tc>
          <w:tcPr>
            <w:vAlign w:val="center"/>
          </w:tcPr>
          <w:p>
            <w:pPr>
              <w:jc w:val="right"/>
            </w:pPr>
            <w:r>
              <w:rPr>
                <w:color w:val="000000"/>
                <w:kern w:val="0"/>
                <w:sz w:val="24"/>
                <w:szCs w:val="24"/>
              </w:rPr>
              <w:t>28,314,040.43</w:t>
            </w:r>
          </w:p>
        </w:tc>
        <w:tc>
          <w:tcPr>
            <w:vAlign w:val="center"/>
          </w:tcPr>
          <w:p>
            <w:pPr>
              <w:jc w:val="right"/>
            </w:pPr>
            <w:r>
              <w:rPr>
                <w:color w:val="000000"/>
                <w:kern w:val="0"/>
                <w:sz w:val="24"/>
                <w:szCs w:val="24"/>
              </w:rPr>
              <w:t>3.70</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002384</w:t>
            </w:r>
          </w:p>
        </w:tc>
        <w:tc>
          <w:tcPr>
            <w:vAlign w:val="center"/>
          </w:tcPr>
          <w:p>
            <w:pPr>
              <w:jc w:val="center"/>
            </w:pPr>
            <w:r>
              <w:rPr>
                <w:color w:val="000000"/>
                <w:kern w:val="0"/>
                <w:sz w:val="24"/>
                <w:szCs w:val="24"/>
              </w:rPr>
              <w:t>东山精密</w:t>
            </w:r>
          </w:p>
        </w:tc>
        <w:tc>
          <w:tcPr>
            <w:vAlign w:val="center"/>
          </w:tcPr>
          <w:p>
            <w:pPr>
              <w:jc w:val="right"/>
            </w:pPr>
            <w:r>
              <w:rPr>
                <w:color w:val="000000"/>
                <w:kern w:val="0"/>
                <w:sz w:val="24"/>
                <w:szCs w:val="24"/>
              </w:rPr>
              <w:t>808,400</w:t>
            </w:r>
          </w:p>
        </w:tc>
        <w:tc>
          <w:tcPr>
            <w:vAlign w:val="center"/>
          </w:tcPr>
          <w:p>
            <w:pPr>
              <w:jc w:val="right"/>
            </w:pPr>
            <w:r>
              <w:rPr>
                <w:color w:val="000000"/>
                <w:kern w:val="0"/>
                <w:sz w:val="24"/>
                <w:szCs w:val="24"/>
              </w:rPr>
              <w:t>24,211,580.00</w:t>
            </w:r>
          </w:p>
        </w:tc>
        <w:tc>
          <w:tcPr>
            <w:vAlign w:val="center"/>
          </w:tcPr>
          <w:p>
            <w:pPr>
              <w:jc w:val="right"/>
            </w:pPr>
            <w:r>
              <w:rPr>
                <w:color w:val="000000"/>
                <w:kern w:val="0"/>
                <w:sz w:val="24"/>
                <w:szCs w:val="24"/>
              </w:rPr>
              <w:t>3.16</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277,270.50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17,548,654.19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104,366.08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5,069.04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17,935,359.81</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446,630,619.97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57,261,827.90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389,368,792.07</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1.中国证监会准予易方达科技创新混合型证券投资基金注册的文件；</w:t>
      </w:r>
    </w:p>
    <w:p>
      <w:pPr>
        <w:spacing w:line="360" w:lineRule="auto"/>
        <w:ind w:firstLine="480" w:firstLineChars="200"/>
        <w:rPr>
          <w:color w:val="000000"/>
          <w:sz w:val="24"/>
          <w:szCs w:val="24"/>
        </w:rPr>
      </w:pPr>
      <w:r>
        <w:rPr>
          <w:color w:val="000000"/>
          <w:sz w:val="24"/>
          <w:szCs w:val="24"/>
        </w:rPr>
        <w:t>2.《易方达科技创新混合型证券投资基金基金合同》；</w:t>
      </w:r>
    </w:p>
    <w:p>
      <w:pPr>
        <w:spacing w:line="360" w:lineRule="auto"/>
        <w:ind w:firstLine="480" w:firstLineChars="200"/>
        <w:rPr>
          <w:color w:val="000000"/>
          <w:sz w:val="24"/>
          <w:szCs w:val="24"/>
        </w:rPr>
      </w:pPr>
      <w:r>
        <w:rPr>
          <w:color w:val="000000"/>
          <w:sz w:val="24"/>
          <w:szCs w:val="24"/>
        </w:rPr>
        <w:t>3.《易方达科技创新混合型证券投资基金托管协议》；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易方达科技创新混合型证券投资基金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