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易方达中债3-5年国开行债券指数证券投资基金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易方达中债3-5年国开行债券指数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007171</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2019年7月8日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2,424,702,944.98</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本基金通过指数化投资，争取获得与标的指数相似的总回报，追求跟踪偏离度及跟踪误差的最小化。</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中债3-5年国开行债券指数收益率×95%+银行活期存款利率(税后)×5%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易方达中债3-5年国开行债券指数A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易方达中债3-5年国开行债券指数C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007171</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007172</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2,409,337,232.42</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15,365,712.56</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易方达中债3-5年国开行债券指数A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易方达中债3-5年国开行债券指数C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46,163,980.57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1,017,669.42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-8,759,524.27</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-148,781.99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-0.0039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-0.0045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2,449,747,745.85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15,625,139.64</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1.0168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1.0169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易方达中债3-5年国开行债券指数A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-0.48%</w:t>
            </w:r>
          </w:p>
        </w:tc>
        <w:tc>
          <w:tcPr>
            <w:vAlign w:val="center"/>
          </w:tcPr>
          <w:p>
            <w:pPr>
              <w:jc w:val="center"/>
            </w:pPr>
            <w:r>
              <w:rPr>
                <w:color w:val="000000"/>
                <w:sz w:val="24"/>
              </w:rPr>
              <w:t>0.23%</w:t>
            </w:r>
          </w:p>
        </w:tc>
        <w:tc>
          <w:tcPr>
            <w:vAlign w:val="center"/>
          </w:tcPr>
          <w:p>
            <w:pPr>
              <w:jc w:val="center"/>
            </w:pPr>
            <w:r>
              <w:rPr>
                <w:color w:val="000000"/>
                <w:sz w:val="24"/>
              </w:rPr>
              <w:t>-0.68%</w:t>
            </w:r>
          </w:p>
        </w:tc>
        <w:tc>
          <w:tcPr>
            <w:vAlign w:val="center"/>
          </w:tcPr>
          <w:p>
            <w:pPr>
              <w:jc w:val="center"/>
            </w:pPr>
            <w:r>
              <w:rPr>
                <w:color w:val="000000"/>
                <w:sz w:val="24"/>
              </w:rPr>
              <w:t>0.20%</w:t>
            </w:r>
          </w:p>
        </w:tc>
        <w:tc>
          <w:tcPr>
            <w:vAlign w:val="center"/>
          </w:tcPr>
          <w:p>
            <w:pPr>
              <w:jc w:val="center"/>
            </w:pPr>
            <w:r>
              <w:rPr>
                <w:color w:val="000000"/>
                <w:sz w:val="24"/>
              </w:rPr>
              <w:t>0.20%</w:t>
            </w:r>
          </w:p>
        </w:tc>
        <w:tc>
          <w:tcPr>
            <w:vAlign w:val="center"/>
          </w:tcPr>
          <w:p>
            <w:pPr>
              <w:jc w:val="center"/>
            </w:pPr>
            <w:r>
              <w:rPr>
                <w:color w:val="000000"/>
                <w:sz w:val="24"/>
              </w:rPr>
              <w:t>0.03%</w:t>
            </w:r>
          </w:p>
        </w:tc>
      </w:tr>
      <w:tr>
        <w:tc>
          <w:tcPr>
            <w:vAlign w:val="center"/>
          </w:tcPr>
          <w:p>
            <w:pPr>
              <w:jc w:val="left"/>
            </w:pPr>
            <w:r>
              <w:rPr>
                <w:color w:val="000000"/>
                <w:sz w:val="24"/>
              </w:rPr>
              <w:t>过去六个月</w:t>
            </w:r>
          </w:p>
        </w:tc>
        <w:tc>
          <w:tcPr>
            <w:vAlign w:val="center"/>
          </w:tcPr>
          <w:p>
            <w:pPr>
              <w:jc w:val="center"/>
            </w:pPr>
            <w:r>
              <w:rPr>
                <w:color w:val="000000"/>
                <w:sz w:val="24"/>
              </w:rPr>
              <w:t>2.40%</w:t>
            </w:r>
          </w:p>
        </w:tc>
        <w:tc>
          <w:tcPr>
            <w:vAlign w:val="center"/>
          </w:tcPr>
          <w:p>
            <w:pPr>
              <w:jc w:val="center"/>
            </w:pPr>
            <w:r>
              <w:rPr>
                <w:color w:val="000000"/>
                <w:sz w:val="24"/>
              </w:rPr>
              <w:t>0.18%</w:t>
            </w:r>
          </w:p>
        </w:tc>
        <w:tc>
          <w:tcPr>
            <w:vAlign w:val="center"/>
          </w:tcPr>
          <w:p>
            <w:pPr>
              <w:jc w:val="center"/>
            </w:pPr>
            <w:r>
              <w:rPr>
                <w:color w:val="000000"/>
                <w:sz w:val="24"/>
              </w:rPr>
              <w:t>2.00%</w:t>
            </w:r>
          </w:p>
        </w:tc>
        <w:tc>
          <w:tcPr>
            <w:vAlign w:val="center"/>
          </w:tcPr>
          <w:p>
            <w:pPr>
              <w:jc w:val="center"/>
            </w:pPr>
            <w:r>
              <w:rPr>
                <w:color w:val="000000"/>
                <w:sz w:val="24"/>
              </w:rPr>
              <w:t>0.16%</w:t>
            </w:r>
          </w:p>
        </w:tc>
        <w:tc>
          <w:tcPr>
            <w:vAlign w:val="center"/>
          </w:tcPr>
          <w:p>
            <w:pPr>
              <w:jc w:val="center"/>
            </w:pPr>
            <w:r>
              <w:rPr>
                <w:color w:val="000000"/>
                <w:sz w:val="24"/>
              </w:rPr>
              <w:t>0.40%</w:t>
            </w:r>
          </w:p>
        </w:tc>
        <w:tc>
          <w:tcPr>
            <w:vAlign w:val="center"/>
          </w:tcPr>
          <w:p>
            <w:pPr>
              <w:jc w:val="center"/>
            </w:pPr>
            <w:r>
              <w:rPr>
                <w:color w:val="000000"/>
                <w:sz w:val="24"/>
              </w:rPr>
              <w:t>0.02%</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4.60%</w:t>
            </w:r>
          </w:p>
        </w:tc>
        <w:tc>
          <w:tcPr>
            <w:vAlign w:val="center"/>
          </w:tcPr>
          <w:p>
            <w:pPr>
              <w:jc w:val="center"/>
            </w:pPr>
            <w:r>
              <w:rPr>
                <w:color w:val="000000"/>
                <w:sz w:val="24"/>
              </w:rPr>
              <w:t>0.13%</w:t>
            </w:r>
          </w:p>
        </w:tc>
        <w:tc>
          <w:tcPr>
            <w:vAlign w:val="center"/>
          </w:tcPr>
          <w:p>
            <w:pPr>
              <w:jc w:val="center"/>
            </w:pPr>
            <w:r>
              <w:rPr>
                <w:color w:val="000000"/>
                <w:sz w:val="24"/>
              </w:rPr>
              <w:t>4.33%</w:t>
            </w:r>
          </w:p>
        </w:tc>
        <w:tc>
          <w:tcPr>
            <w:vAlign w:val="center"/>
          </w:tcPr>
          <w:p>
            <w:pPr>
              <w:jc w:val="center"/>
            </w:pPr>
            <w:r>
              <w:rPr>
                <w:color w:val="000000"/>
                <w:sz w:val="24"/>
              </w:rPr>
              <w:t>0.12%</w:t>
            </w:r>
          </w:p>
        </w:tc>
        <w:tc>
          <w:tcPr>
            <w:vAlign w:val="center"/>
          </w:tcPr>
          <w:p>
            <w:pPr>
              <w:jc w:val="center"/>
            </w:pPr>
            <w:r>
              <w:rPr>
                <w:color w:val="000000"/>
                <w:sz w:val="24"/>
              </w:rPr>
              <w:t>0.27%</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易方达中债3-5年国开行债券指数C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-0.50%</w:t>
            </w:r>
          </w:p>
        </w:tc>
        <w:tc>
          <w:tcPr>
            <w:vAlign w:val="center"/>
          </w:tcPr>
          <w:p>
            <w:pPr>
              <w:jc w:val="center"/>
            </w:pPr>
            <w:r>
              <w:rPr>
                <w:color w:val="000000"/>
                <w:sz w:val="24"/>
              </w:rPr>
              <w:t>0.23%</w:t>
            </w:r>
          </w:p>
        </w:tc>
        <w:tc>
          <w:tcPr>
            <w:vAlign w:val="center"/>
          </w:tcPr>
          <w:p>
            <w:pPr>
              <w:jc w:val="center"/>
            </w:pPr>
            <w:r>
              <w:rPr>
                <w:color w:val="000000"/>
                <w:sz w:val="24"/>
              </w:rPr>
              <w:t>-0.68%</w:t>
            </w:r>
          </w:p>
        </w:tc>
        <w:tc>
          <w:tcPr>
            <w:vAlign w:val="center"/>
          </w:tcPr>
          <w:p>
            <w:pPr>
              <w:jc w:val="center"/>
            </w:pPr>
            <w:r>
              <w:rPr>
                <w:color w:val="000000"/>
                <w:sz w:val="24"/>
              </w:rPr>
              <w:t>0.20%</w:t>
            </w:r>
          </w:p>
        </w:tc>
        <w:tc>
          <w:tcPr>
            <w:vAlign w:val="center"/>
          </w:tcPr>
          <w:p>
            <w:pPr>
              <w:jc w:val="center"/>
            </w:pPr>
            <w:r>
              <w:rPr>
                <w:color w:val="000000"/>
                <w:sz w:val="24"/>
              </w:rPr>
              <w:t>0.18%</w:t>
            </w:r>
          </w:p>
        </w:tc>
        <w:tc>
          <w:tcPr>
            <w:vAlign w:val="center"/>
          </w:tcPr>
          <w:p>
            <w:pPr>
              <w:jc w:val="center"/>
            </w:pPr>
            <w:r>
              <w:rPr>
                <w:color w:val="000000"/>
                <w:sz w:val="24"/>
              </w:rPr>
              <w:t>0.03%</w:t>
            </w:r>
          </w:p>
        </w:tc>
      </w:tr>
      <w:tr>
        <w:tc>
          <w:tcPr>
            <w:vAlign w:val="center"/>
          </w:tcPr>
          <w:p>
            <w:pPr>
              <w:jc w:val="left"/>
            </w:pPr>
            <w:r>
              <w:rPr>
                <w:color w:val="000000"/>
                <w:sz w:val="24"/>
              </w:rPr>
              <w:t>过去六个月</w:t>
            </w:r>
          </w:p>
        </w:tc>
        <w:tc>
          <w:tcPr>
            <w:vAlign w:val="center"/>
          </w:tcPr>
          <w:p>
            <w:pPr>
              <w:jc w:val="center"/>
            </w:pPr>
            <w:r>
              <w:rPr>
                <w:color w:val="000000"/>
                <w:sz w:val="24"/>
              </w:rPr>
              <w:t>2.36%</w:t>
            </w:r>
          </w:p>
        </w:tc>
        <w:tc>
          <w:tcPr>
            <w:vAlign w:val="center"/>
          </w:tcPr>
          <w:p>
            <w:pPr>
              <w:jc w:val="center"/>
            </w:pPr>
            <w:r>
              <w:rPr>
                <w:color w:val="000000"/>
                <w:sz w:val="24"/>
              </w:rPr>
              <w:t>0.18%</w:t>
            </w:r>
          </w:p>
        </w:tc>
        <w:tc>
          <w:tcPr>
            <w:vAlign w:val="center"/>
          </w:tcPr>
          <w:p>
            <w:pPr>
              <w:jc w:val="center"/>
            </w:pPr>
            <w:r>
              <w:rPr>
                <w:color w:val="000000"/>
                <w:sz w:val="24"/>
              </w:rPr>
              <w:t>2.00%</w:t>
            </w:r>
          </w:p>
        </w:tc>
        <w:tc>
          <w:tcPr>
            <w:vAlign w:val="center"/>
          </w:tcPr>
          <w:p>
            <w:pPr>
              <w:jc w:val="center"/>
            </w:pPr>
            <w:r>
              <w:rPr>
                <w:color w:val="000000"/>
                <w:sz w:val="24"/>
              </w:rPr>
              <w:t>0.16%</w:t>
            </w:r>
          </w:p>
        </w:tc>
        <w:tc>
          <w:tcPr>
            <w:vAlign w:val="center"/>
          </w:tcPr>
          <w:p>
            <w:pPr>
              <w:jc w:val="center"/>
            </w:pPr>
            <w:r>
              <w:rPr>
                <w:color w:val="000000"/>
                <w:sz w:val="24"/>
              </w:rPr>
              <w:t>0.36%</w:t>
            </w:r>
          </w:p>
        </w:tc>
        <w:tc>
          <w:tcPr>
            <w:vAlign w:val="center"/>
          </w:tcPr>
          <w:p>
            <w:pPr>
              <w:jc w:val="center"/>
            </w:pPr>
            <w:r>
              <w:rPr>
                <w:color w:val="000000"/>
                <w:sz w:val="24"/>
              </w:rPr>
              <w:t>0.02%</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4.51%</w:t>
            </w:r>
          </w:p>
        </w:tc>
        <w:tc>
          <w:tcPr>
            <w:vAlign w:val="center"/>
          </w:tcPr>
          <w:p>
            <w:pPr>
              <w:jc w:val="center"/>
            </w:pPr>
            <w:r>
              <w:rPr>
                <w:color w:val="000000"/>
                <w:sz w:val="24"/>
              </w:rPr>
              <w:t>0.13%</w:t>
            </w:r>
          </w:p>
        </w:tc>
        <w:tc>
          <w:tcPr>
            <w:vAlign w:val="center"/>
          </w:tcPr>
          <w:p>
            <w:pPr>
              <w:jc w:val="center"/>
            </w:pPr>
            <w:r>
              <w:rPr>
                <w:color w:val="000000"/>
                <w:sz w:val="24"/>
              </w:rPr>
              <w:t>4.33%</w:t>
            </w:r>
          </w:p>
        </w:tc>
        <w:tc>
          <w:tcPr>
            <w:vAlign w:val="center"/>
          </w:tcPr>
          <w:p>
            <w:pPr>
              <w:jc w:val="center"/>
            </w:pPr>
            <w:r>
              <w:rPr>
                <w:color w:val="000000"/>
                <w:sz w:val="24"/>
              </w:rPr>
              <w:t>0.12%</w:t>
            </w:r>
          </w:p>
        </w:tc>
        <w:tc>
          <w:tcPr>
            <w:vAlign w:val="center"/>
          </w:tcPr>
          <w:p>
            <w:pPr>
              <w:jc w:val="center"/>
            </w:pPr>
            <w:r>
              <w:rPr>
                <w:color w:val="000000"/>
                <w:sz w:val="24"/>
              </w:rPr>
              <w:t>0.18%</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易方达中债3-5年国开行债券指数证券投资基金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（2019年7月8日至2020年6月30日）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易方达中债3-5年国开行债券指数A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易方达中债3-5年国开行债券指数C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注：1.本基金合同于2019年7月8日生效，截至报告期末本基金合同生效未满一年。</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3.自基金合同生效至报告期末，A类基金份额净值增长率为4.60%，C类基金份额净值增长率为4.51%，同期业绩比较基准收益率为4.33%。</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2019-07-08</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报告期内本基金主要以抽样复制的方式跟踪指数为主。操作上，基金总体上按照指数的结构和久期进行配置。</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1.0168元，本报告期份额净值增长率为-0.48%，同期业绩比较基准收益率为-0.68%；C类基金份额净值为1.0169元，本报告期份额净值增长率为-0.50%，同期业绩比较基准收益率为-0.68%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2,546,496,000.00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95.60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2,546,496,000.00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95.60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2,302,501.37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115,022,852.79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2,663,821,354.16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2,546,496,000.00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103.29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2,546,496,000.00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103.29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2,546,496,000.00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103.29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190203</w:t>
            </w:r>
          </w:p>
        </w:tc>
        <w:tc>
          <w:tcPr>
            <w:vAlign w:val="center"/>
          </w:tcPr>
          <w:p>
            <w:pPr>
              <w:jc w:val="center"/>
            </w:pPr>
            <w:r>
              <w:rPr>
                <w:color w:val="000000"/>
                <w:sz w:val="24"/>
              </w:rPr>
              <w:t>19国开03</w:t>
            </w:r>
          </w:p>
        </w:tc>
        <w:tc>
          <w:tcPr>
            <w:vAlign w:val="center"/>
          </w:tcPr>
          <w:p>
            <w:pPr>
              <w:jc w:val="right"/>
            </w:pPr>
            <w:r>
              <w:rPr>
                <w:color w:val="000000"/>
                <w:sz w:val="24"/>
              </w:rPr>
              <w:t>6,900,000</w:t>
            </w:r>
          </w:p>
        </w:tc>
        <w:tc>
          <w:tcPr>
            <w:vAlign w:val="center"/>
          </w:tcPr>
          <w:p>
            <w:pPr>
              <w:jc w:val="right"/>
            </w:pPr>
            <w:r>
              <w:rPr>
                <w:color w:val="000000"/>
                <w:sz w:val="24"/>
              </w:rPr>
              <w:t>699,591,000.00</w:t>
            </w:r>
          </w:p>
        </w:tc>
        <w:tc>
          <w:tcPr>
            <w:vAlign w:val="center"/>
          </w:tcPr>
          <w:p>
            <w:pPr>
              <w:jc w:val="right"/>
            </w:pPr>
            <w:r>
              <w:rPr>
                <w:color w:val="000000"/>
                <w:sz w:val="24"/>
              </w:rPr>
              <w:t>28.38</w:t>
            </w:r>
          </w:p>
        </w:tc>
      </w:tr>
      <w:tr>
        <w:tc>
          <w:tcPr>
            <w:vAlign w:val="center"/>
          </w:tcPr>
          <w:p>
            <w:pPr>
              <w:jc w:val="center"/>
            </w:pPr>
            <w:r>
              <w:rPr>
                <w:color w:val="000000"/>
                <w:sz w:val="24"/>
              </w:rPr>
              <w:t>2</w:t>
            </w:r>
          </w:p>
        </w:tc>
        <w:tc>
          <w:tcPr>
            <w:vAlign w:val="center"/>
          </w:tcPr>
          <w:p>
            <w:pPr>
              <w:jc w:val="center"/>
            </w:pPr>
            <w:r>
              <w:rPr>
                <w:color w:val="000000"/>
                <w:sz w:val="24"/>
              </w:rPr>
              <w:t>180211</w:t>
            </w:r>
          </w:p>
        </w:tc>
        <w:tc>
          <w:tcPr>
            <w:vAlign w:val="center"/>
          </w:tcPr>
          <w:p>
            <w:pPr>
              <w:jc w:val="center"/>
            </w:pPr>
            <w:r>
              <w:rPr>
                <w:color w:val="000000"/>
                <w:sz w:val="24"/>
              </w:rPr>
              <w:t>18国开11</w:t>
            </w:r>
          </w:p>
        </w:tc>
        <w:tc>
          <w:tcPr>
            <w:vAlign w:val="center"/>
          </w:tcPr>
          <w:p>
            <w:pPr>
              <w:jc w:val="right"/>
            </w:pPr>
            <w:r>
              <w:rPr>
                <w:color w:val="000000"/>
                <w:sz w:val="24"/>
              </w:rPr>
              <w:t>6,600,000</w:t>
            </w:r>
          </w:p>
        </w:tc>
        <w:tc>
          <w:tcPr>
            <w:vAlign w:val="center"/>
          </w:tcPr>
          <w:p>
            <w:pPr>
              <w:jc w:val="right"/>
            </w:pPr>
            <w:r>
              <w:rPr>
                <w:color w:val="000000"/>
                <w:sz w:val="24"/>
              </w:rPr>
              <w:t>678,678,000.00</w:t>
            </w:r>
          </w:p>
        </w:tc>
        <w:tc>
          <w:tcPr>
            <w:vAlign w:val="center"/>
          </w:tcPr>
          <w:p>
            <w:pPr>
              <w:jc w:val="right"/>
            </w:pPr>
            <w:r>
              <w:rPr>
                <w:color w:val="000000"/>
                <w:sz w:val="24"/>
              </w:rPr>
              <w:t>27.53</w:t>
            </w:r>
          </w:p>
        </w:tc>
      </w:tr>
      <w:tr>
        <w:tc>
          <w:tcPr>
            <w:vAlign w:val="center"/>
          </w:tcPr>
          <w:p>
            <w:pPr>
              <w:jc w:val="center"/>
            </w:pPr>
            <w:r>
              <w:rPr>
                <w:color w:val="000000"/>
                <w:sz w:val="24"/>
              </w:rPr>
              <w:t>3</w:t>
            </w:r>
          </w:p>
        </w:tc>
        <w:tc>
          <w:tcPr>
            <w:vAlign w:val="center"/>
          </w:tcPr>
          <w:p>
            <w:pPr>
              <w:jc w:val="center"/>
            </w:pPr>
            <w:r>
              <w:rPr>
                <w:color w:val="000000"/>
                <w:sz w:val="24"/>
              </w:rPr>
              <w:t>170201</w:t>
            </w:r>
          </w:p>
        </w:tc>
        <w:tc>
          <w:tcPr>
            <w:vAlign w:val="center"/>
          </w:tcPr>
          <w:p>
            <w:pPr>
              <w:jc w:val="center"/>
            </w:pPr>
            <w:r>
              <w:rPr>
                <w:color w:val="000000"/>
                <w:sz w:val="24"/>
              </w:rPr>
              <w:t>17国开01</w:t>
            </w:r>
          </w:p>
        </w:tc>
        <w:tc>
          <w:tcPr>
            <w:vAlign w:val="center"/>
          </w:tcPr>
          <w:p>
            <w:pPr>
              <w:jc w:val="right"/>
            </w:pPr>
            <w:r>
              <w:rPr>
                <w:color w:val="000000"/>
                <w:sz w:val="24"/>
              </w:rPr>
              <w:t>2,400,000</w:t>
            </w:r>
          </w:p>
        </w:tc>
        <w:tc>
          <w:tcPr>
            <w:vAlign w:val="center"/>
          </w:tcPr>
          <w:p>
            <w:pPr>
              <w:jc w:val="right"/>
            </w:pPr>
            <w:r>
              <w:rPr>
                <w:color w:val="000000"/>
                <w:sz w:val="24"/>
              </w:rPr>
              <w:t>246,672,000.00</w:t>
            </w:r>
          </w:p>
        </w:tc>
        <w:tc>
          <w:tcPr>
            <w:vAlign w:val="center"/>
          </w:tcPr>
          <w:p>
            <w:pPr>
              <w:jc w:val="right"/>
            </w:pPr>
            <w:r>
              <w:rPr>
                <w:color w:val="000000"/>
                <w:sz w:val="24"/>
              </w:rPr>
              <w:t>10.01</w:t>
            </w:r>
          </w:p>
        </w:tc>
      </w:tr>
      <w:tr>
        <w:tc>
          <w:tcPr>
            <w:vAlign w:val="center"/>
          </w:tcPr>
          <w:p>
            <w:pPr>
              <w:jc w:val="center"/>
            </w:pPr>
            <w:r>
              <w:rPr>
                <w:color w:val="000000"/>
                <w:sz w:val="24"/>
              </w:rPr>
              <w:t>4</w:t>
            </w:r>
          </w:p>
        </w:tc>
        <w:tc>
          <w:tcPr>
            <w:vAlign w:val="center"/>
          </w:tcPr>
          <w:p>
            <w:pPr>
              <w:jc w:val="center"/>
            </w:pPr>
            <w:r>
              <w:rPr>
                <w:color w:val="000000"/>
                <w:sz w:val="24"/>
              </w:rPr>
              <w:t>130231</w:t>
            </w:r>
          </w:p>
        </w:tc>
        <w:tc>
          <w:tcPr>
            <w:vAlign w:val="center"/>
          </w:tcPr>
          <w:p>
            <w:pPr>
              <w:jc w:val="center"/>
            </w:pPr>
            <w:r>
              <w:rPr>
                <w:color w:val="000000"/>
                <w:sz w:val="24"/>
              </w:rPr>
              <w:t>13国开31</w:t>
            </w:r>
          </w:p>
        </w:tc>
        <w:tc>
          <w:tcPr>
            <w:vAlign w:val="center"/>
          </w:tcPr>
          <w:p>
            <w:pPr>
              <w:jc w:val="right"/>
            </w:pPr>
            <w:r>
              <w:rPr>
                <w:color w:val="000000"/>
                <w:sz w:val="24"/>
              </w:rPr>
              <w:t>2,200,000</w:t>
            </w:r>
          </w:p>
        </w:tc>
        <w:tc>
          <w:tcPr>
            <w:vAlign w:val="center"/>
          </w:tcPr>
          <w:p>
            <w:pPr>
              <w:jc w:val="right"/>
            </w:pPr>
            <w:r>
              <w:rPr>
                <w:color w:val="000000"/>
                <w:sz w:val="24"/>
              </w:rPr>
              <w:t>228,602,000.00</w:t>
            </w:r>
          </w:p>
        </w:tc>
        <w:tc>
          <w:tcPr>
            <w:vAlign w:val="center"/>
          </w:tcPr>
          <w:p>
            <w:pPr>
              <w:jc w:val="right"/>
            </w:pPr>
            <w:r>
              <w:rPr>
                <w:color w:val="000000"/>
                <w:sz w:val="24"/>
              </w:rPr>
              <w:t>9.27</w:t>
            </w:r>
          </w:p>
        </w:tc>
      </w:tr>
      <w:tr>
        <w:tc>
          <w:tcPr>
            <w:vAlign w:val="center"/>
          </w:tcPr>
          <w:p>
            <w:pPr>
              <w:jc w:val="center"/>
            </w:pPr>
            <w:r>
              <w:rPr>
                <w:color w:val="000000"/>
                <w:sz w:val="24"/>
              </w:rPr>
              <w:t>5</w:t>
            </w:r>
          </w:p>
        </w:tc>
        <w:tc>
          <w:tcPr>
            <w:vAlign w:val="center"/>
          </w:tcPr>
          <w:p>
            <w:pPr>
              <w:jc w:val="center"/>
            </w:pPr>
            <w:r>
              <w:rPr>
                <w:color w:val="000000"/>
                <w:sz w:val="24"/>
              </w:rPr>
              <w:t>170208</w:t>
            </w:r>
          </w:p>
        </w:tc>
        <w:tc>
          <w:tcPr>
            <w:vAlign w:val="center"/>
          </w:tcPr>
          <w:p>
            <w:pPr>
              <w:jc w:val="center"/>
            </w:pPr>
            <w:r>
              <w:rPr>
                <w:color w:val="000000"/>
                <w:sz w:val="24"/>
              </w:rPr>
              <w:t>17国开08</w:t>
            </w:r>
          </w:p>
        </w:tc>
        <w:tc>
          <w:tcPr>
            <w:vAlign w:val="center"/>
          </w:tcPr>
          <w:p>
            <w:pPr>
              <w:jc w:val="right"/>
            </w:pPr>
            <w:r>
              <w:rPr>
                <w:color w:val="000000"/>
                <w:sz w:val="24"/>
              </w:rPr>
              <w:t>1,100,000</w:t>
            </w:r>
          </w:p>
        </w:tc>
        <w:tc>
          <w:tcPr>
            <w:vAlign w:val="center"/>
          </w:tcPr>
          <w:p>
            <w:pPr>
              <w:jc w:val="right"/>
            </w:pPr>
            <w:r>
              <w:rPr>
                <w:color w:val="000000"/>
                <w:sz w:val="24"/>
              </w:rPr>
              <w:t>115,038,000.00</w:t>
            </w:r>
          </w:p>
        </w:tc>
        <w:tc>
          <w:tcPr>
            <w:vAlign w:val="center"/>
          </w:tcPr>
          <w:p>
            <w:pPr>
              <w:jc w:val="right"/>
            </w:pPr>
            <w:r>
              <w:rPr>
                <w:color w:val="000000"/>
                <w:sz w:val="24"/>
              </w:rPr>
              <w:t>4.67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56,157,197.81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58,686,367.73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179,287.25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115,022,852.79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易方达中债3-5年国开行债券指数A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易方达中债3-5年国开行债券指数C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2,294,784,688.15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16,412,382.97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741,937,256.04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58,567,439.75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627,384,711.77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59,614,110.16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2,409,337,232.42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15,365,712.56</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949,999,000.00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949,999,000.00</w:t>
            </w:r>
          </w:p>
        </w:tc>
        <w:tc>
          <w:tcPr>
            <w:vAlign w:val="center"/>
          </w:tcPr>
          <w:p>
            <w:pPr>
              <w:jc w:val="center"/>
            </w:pPr>
            <w:r>
              <w:rPr>
                <w:sz w:val="24"/>
              </w:rPr>
              <w:t>39.18%</w:t>
            </w:r>
          </w:p>
        </w:tc>
      </w:tr>
      <w:tr>
        <w:tc>
          <w:tcPr>
            <w:vMerge/>
          </w:tcPr>
          <w:p/>
        </w:tc>
        <w:tc>
          <w:tcPr>
            <w:vAlign w:val="center"/>
          </w:tcPr>
          <w:p>
            <w:pPr>
              <w:jc w:val="center"/>
            </w:pPr>
            <w:r>
              <w:rPr>
                <w:sz w:val="24"/>
              </w:rPr>
              <w:t>2</w:t>
            </w:r>
          </w:p>
        </w:tc>
        <w:tc>
          <w:tcPr>
            <w:vAlign w:val="center"/>
          </w:tcPr>
          <w:p>
            <w:pPr>
              <w:jc w:val="center"/>
            </w:pPr>
            <w:r>
              <w:rPr>
                <w:sz w:val="24"/>
              </w:rPr>
              <w:t>2020年04月01日~2020年06月30日</w:t>
            </w:r>
          </w:p>
        </w:tc>
        <w:tc>
          <w:tcPr>
            <w:vAlign w:val="center"/>
          </w:tcPr>
          <w:p>
            <w:pPr>
              <w:jc w:val="center"/>
            </w:pPr>
            <w:r>
              <w:rPr>
                <w:sz w:val="24"/>
              </w:rPr>
              <w:t>499,999,000.00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499,999,000.00</w:t>
            </w:r>
          </w:p>
        </w:tc>
        <w:tc>
          <w:tcPr>
            <w:vAlign w:val="center"/>
          </w:tcPr>
          <w:p>
            <w:pPr>
              <w:jc w:val="center"/>
            </w:pPr>
            <w:r>
              <w:rPr>
                <w:sz w:val="24"/>
              </w:rPr>
              <w:t>20.62%</w:t>
            </w:r>
          </w:p>
        </w:tc>
      </w:tr>
      <w:tr>
        <w:tc>
          <w:tcPr>
            <w:vMerge/>
          </w:tcPr>
          <w:p/>
        </w:tc>
        <w:tc>
          <w:tcPr>
            <w:vAlign w:val="center"/>
          </w:tcPr>
          <w:p>
            <w:pPr>
              <w:jc w:val="center"/>
            </w:pPr>
            <w:r>
              <w:rPr>
                <w:sz w:val="24"/>
              </w:rPr>
              <w:t>3</w:t>
            </w:r>
          </w:p>
        </w:tc>
        <w:tc>
          <w:tcPr>
            <w:vAlign w:val="center"/>
          </w:tcPr>
          <w:p>
            <w:pPr>
              <w:jc w:val="center"/>
            </w:pPr>
            <w:r>
              <w:rPr>
                <w:sz w:val="24"/>
              </w:rPr>
              <w:t>2020年04月01日~2020年04月27日</w:t>
            </w:r>
          </w:p>
        </w:tc>
        <w:tc>
          <w:tcPr>
            <w:vAlign w:val="center"/>
          </w:tcPr>
          <w:p>
            <w:pPr>
              <w:jc w:val="center"/>
            </w:pPr>
            <w:r>
              <w:rPr>
                <w:sz w:val="24"/>
              </w:rPr>
              <w:t>499,999,000.00</w:t>
            </w:r>
          </w:p>
        </w:tc>
        <w:tc>
          <w:tcPr>
            <w:vAlign w:val="center"/>
          </w:tcPr>
          <w:p>
            <w:pPr>
              <w:jc w:val="center"/>
            </w:pPr>
            <w:r>
              <w:rPr>
                <w:sz w:val="24"/>
              </w:rPr>
              <w:t>-</w:t>
            </w:r>
          </w:p>
        </w:tc>
        <w:tc>
          <w:tcPr>
            <w:vAlign w:val="center"/>
          </w:tcPr>
          <w:p>
            <w:pPr>
              <w:jc w:val="center"/>
            </w:pPr>
            <w:r>
              <w:rPr>
                <w:sz w:val="24"/>
              </w:rPr>
              <w:t>499,999,000.00</w:t>
            </w:r>
          </w:p>
        </w:tc>
        <w:tc>
          <w:tcPr>
            <w:vAlign w:val="center"/>
          </w:tcPr>
          <w:p>
            <w:pPr>
              <w:jc w:val="center"/>
            </w:pPr>
            <w:r>
              <w:rPr>
                <w:sz w:val="24"/>
              </w:rPr>
              <w:t>-</w:t>
            </w:r>
          </w:p>
        </w:tc>
        <w:tc>
          <w:tcPr>
            <w:vAlign w:val="center"/>
          </w:tcPr>
          <w:p>
            <w:pPr>
              <w:jc w:val="center"/>
            </w:pPr>
            <w:r>
              <w:rPr>
                <w:sz w:val="24"/>
              </w:rPr>
              <w:t>-</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本基金将根据基金合同的约定进行基金财产清算并终止而无需召开基金份额持有人大会；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1.中国证监会准予易方达中债3-5年国开行债券指数证券投资基金注册的文件；</w:t>
      </w:r>
    </w:p>
    <w:p>
      <w:pPr>
        <w:spacing w:line="360" w:lineRule="auto"/>
        <w:ind w:firstLine="480" w:firstLineChars="200"/>
        <w:rPr>
          <w:color w:val="000000"/>
          <w:sz w:val="24"/>
        </w:rPr>
      </w:pPr>
      <w:r>
        <w:rPr>
          <w:color w:val="000000"/>
          <w:sz w:val="24"/>
        </w:rPr>
        <w:t>2.《易方达中债3-5年国开行债券指数证券投资基金基金合同》；</w:t>
      </w:r>
    </w:p>
    <w:p>
      <w:pPr>
        <w:spacing w:line="360" w:lineRule="auto"/>
        <w:ind w:firstLine="480" w:firstLineChars="200"/>
        <w:rPr>
          <w:color w:val="000000"/>
          <w:sz w:val="24"/>
        </w:rPr>
      </w:pPr>
      <w:r>
        <w:rPr>
          <w:color w:val="000000"/>
          <w:sz w:val="24"/>
        </w:rPr>
        <w:t>3.《易方达中债3-5年国开行债券指数证券投资基金托管协议》；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易方达中债3-5年国开行债券指数证券投资基金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