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易方达中债1-3年国开行债券指数证券投资基金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易方达中债1-3年国开行债券指数</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007169</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2019年4月29日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3,715,954,193.99</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本基金通过指数化投资，争取获得与标的指数相似的总回报，追求跟踪偏离度及跟踪误差的最小化。</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本基金根据债券的剩余期限将标的指数成份券划分层级，按照分层抽样的原理，确定各层级成份券及其权重。分层完成后，本基金在各层级成份券内利用动态最优化等方法筛选出与各层级总体风险收益特征（例如久期、凸性等）相近的且流动性较好（主要考虑发行规模、日均成交金额、期间成交天数等指标）的个券组合，或部分投资于非成份券，以更好的实现对标的指数的跟踪。</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中债-1-3年国开行债券指数收益率×95%+银行活期存款利率(税后)×5%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易方达中债1-3年国开行债券指数A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易方达中债1-3年国开行债券指数C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007169</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007170</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3,713,494,813.48</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2,459,380.51</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易方达中债1-3年国开行债券指数A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易方达中债1-3年国开行债券指数C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36,941,961.67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58,965.54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-1,957,712.54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-9,516.33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-0.0006</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-0.0020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3,745,795,267.72</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2,479,955.53</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1.0087</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1.0084</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易方达中债1-3年国开行债券指数A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0.17%</w:t>
            </w:r>
          </w:p>
        </w:tc>
        <w:tc>
          <w:tcPr>
            <w:vAlign w:val="center"/>
          </w:tcPr>
          <w:p>
            <w:pPr>
              <w:jc w:val="center"/>
            </w:pPr>
            <w:r>
              <w:rPr>
                <w:color w:val="000000"/>
                <w:sz w:val="24"/>
              </w:rPr>
              <w:t>0.12%</w:t>
            </w:r>
          </w:p>
        </w:tc>
        <w:tc>
          <w:tcPr>
            <w:vAlign w:val="center"/>
          </w:tcPr>
          <w:p>
            <w:pPr>
              <w:jc w:val="center"/>
            </w:pPr>
            <w:r>
              <w:rPr>
                <w:color w:val="000000"/>
                <w:sz w:val="24"/>
              </w:rPr>
              <w:t>-0.01%</w:t>
            </w:r>
          </w:p>
        </w:tc>
        <w:tc>
          <w:tcPr>
            <w:vAlign w:val="center"/>
          </w:tcPr>
          <w:p>
            <w:pPr>
              <w:jc w:val="center"/>
            </w:pPr>
            <w:r>
              <w:rPr>
                <w:color w:val="000000"/>
                <w:sz w:val="24"/>
              </w:rPr>
              <w:t>0.10%</w:t>
            </w:r>
          </w:p>
        </w:tc>
        <w:tc>
          <w:tcPr>
            <w:vAlign w:val="center"/>
          </w:tcPr>
          <w:p>
            <w:pPr>
              <w:jc w:val="center"/>
            </w:pPr>
            <w:r>
              <w:rPr>
                <w:color w:val="000000"/>
                <w:sz w:val="24"/>
              </w:rPr>
              <w:t>0.18%</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1.84%</w:t>
            </w:r>
          </w:p>
        </w:tc>
        <w:tc>
          <w:tcPr>
            <w:vAlign w:val="center"/>
          </w:tcPr>
          <w:p>
            <w:pPr>
              <w:jc w:val="center"/>
            </w:pPr>
            <w:r>
              <w:rPr>
                <w:color w:val="000000"/>
                <w:sz w:val="24"/>
              </w:rPr>
              <w:t>0.09%</w:t>
            </w:r>
          </w:p>
        </w:tc>
        <w:tc>
          <w:tcPr>
            <w:vAlign w:val="center"/>
          </w:tcPr>
          <w:p>
            <w:pPr>
              <w:jc w:val="center"/>
            </w:pPr>
            <w:r>
              <w:rPr>
                <w:color w:val="000000"/>
                <w:sz w:val="24"/>
              </w:rPr>
              <w:t>1.58%</w:t>
            </w:r>
          </w:p>
        </w:tc>
        <w:tc>
          <w:tcPr>
            <w:vAlign w:val="center"/>
          </w:tcPr>
          <w:p>
            <w:pPr>
              <w:jc w:val="center"/>
            </w:pPr>
            <w:r>
              <w:rPr>
                <w:color w:val="000000"/>
                <w:sz w:val="24"/>
              </w:rPr>
              <w:t>0.08%</w:t>
            </w:r>
          </w:p>
        </w:tc>
        <w:tc>
          <w:tcPr>
            <w:vAlign w:val="center"/>
          </w:tcPr>
          <w:p>
            <w:pPr>
              <w:jc w:val="center"/>
            </w:pPr>
            <w:r>
              <w:rPr>
                <w:color w:val="000000"/>
                <w:sz w:val="24"/>
              </w:rPr>
              <w:t>0.26%</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4.03%</w:t>
            </w:r>
          </w:p>
        </w:tc>
        <w:tc>
          <w:tcPr>
            <w:vAlign w:val="center"/>
          </w:tcPr>
          <w:p>
            <w:pPr>
              <w:jc w:val="center"/>
            </w:pPr>
            <w:r>
              <w:rPr>
                <w:color w:val="000000"/>
                <w:sz w:val="24"/>
              </w:rPr>
              <w:t>0.07%</w:t>
            </w:r>
          </w:p>
        </w:tc>
        <w:tc>
          <w:tcPr>
            <w:vAlign w:val="center"/>
          </w:tcPr>
          <w:p>
            <w:pPr>
              <w:jc w:val="center"/>
            </w:pPr>
            <w:r>
              <w:rPr>
                <w:color w:val="000000"/>
                <w:sz w:val="24"/>
              </w:rPr>
              <w:t>3.67%</w:t>
            </w:r>
          </w:p>
        </w:tc>
        <w:tc>
          <w:tcPr>
            <w:vAlign w:val="center"/>
          </w:tcPr>
          <w:p>
            <w:pPr>
              <w:jc w:val="center"/>
            </w:pPr>
            <w:r>
              <w:rPr>
                <w:color w:val="000000"/>
                <w:sz w:val="24"/>
              </w:rPr>
              <w:t>0.06%</w:t>
            </w:r>
          </w:p>
        </w:tc>
        <w:tc>
          <w:tcPr>
            <w:vAlign w:val="center"/>
          </w:tcPr>
          <w:p>
            <w:pPr>
              <w:jc w:val="center"/>
            </w:pPr>
            <w:r>
              <w:rPr>
                <w:color w:val="000000"/>
                <w:sz w:val="24"/>
              </w:rPr>
              <w:t>0.36%</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4.63%</w:t>
            </w:r>
          </w:p>
        </w:tc>
        <w:tc>
          <w:tcPr>
            <w:vAlign w:val="center"/>
          </w:tcPr>
          <w:p>
            <w:pPr>
              <w:jc w:val="center"/>
            </w:pPr>
            <w:r>
              <w:rPr>
                <w:color w:val="000000"/>
                <w:sz w:val="24"/>
              </w:rPr>
              <w:t>0.06%</w:t>
            </w:r>
          </w:p>
        </w:tc>
        <w:tc>
          <w:tcPr>
            <w:vAlign w:val="center"/>
          </w:tcPr>
          <w:p>
            <w:pPr>
              <w:jc w:val="center"/>
            </w:pPr>
            <w:r>
              <w:rPr>
                <w:color w:val="000000"/>
                <w:sz w:val="24"/>
              </w:rPr>
              <w:t>4.53%</w:t>
            </w:r>
          </w:p>
        </w:tc>
        <w:tc>
          <w:tcPr>
            <w:vAlign w:val="center"/>
          </w:tcPr>
          <w:p>
            <w:pPr>
              <w:jc w:val="center"/>
            </w:pPr>
            <w:r>
              <w:rPr>
                <w:color w:val="000000"/>
                <w:sz w:val="24"/>
              </w:rPr>
              <w:t>0.05%</w:t>
            </w:r>
          </w:p>
        </w:tc>
        <w:tc>
          <w:tcPr>
            <w:vAlign w:val="center"/>
          </w:tcPr>
          <w:p>
            <w:pPr>
              <w:jc w:val="center"/>
            </w:pPr>
            <w:r>
              <w:rPr>
                <w:color w:val="000000"/>
                <w:sz w:val="24"/>
              </w:rPr>
              <w:t>0.10%</w:t>
            </w:r>
          </w:p>
        </w:tc>
        <w:tc>
          <w:tcPr>
            <w:vAlign w:val="center"/>
          </w:tcPr>
          <w:p>
            <w:pPr>
              <w:jc w:val="center"/>
            </w:pPr>
            <w:r>
              <w:rPr>
                <w:color w:val="000000"/>
                <w:sz w:val="24"/>
              </w:rPr>
              <w:t>0.01%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易方达中债1-3年国开行债券指数C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0.15%</w:t>
            </w:r>
          </w:p>
        </w:tc>
        <w:tc>
          <w:tcPr>
            <w:vAlign w:val="center"/>
          </w:tcPr>
          <w:p>
            <w:pPr>
              <w:jc w:val="center"/>
            </w:pPr>
            <w:r>
              <w:rPr>
                <w:color w:val="000000"/>
                <w:sz w:val="24"/>
              </w:rPr>
              <w:t>0.12%</w:t>
            </w:r>
          </w:p>
        </w:tc>
        <w:tc>
          <w:tcPr>
            <w:vAlign w:val="center"/>
          </w:tcPr>
          <w:p>
            <w:pPr>
              <w:jc w:val="center"/>
            </w:pPr>
            <w:r>
              <w:rPr>
                <w:color w:val="000000"/>
                <w:sz w:val="24"/>
              </w:rPr>
              <w:t>-0.01%</w:t>
            </w:r>
          </w:p>
        </w:tc>
        <w:tc>
          <w:tcPr>
            <w:vAlign w:val="center"/>
          </w:tcPr>
          <w:p>
            <w:pPr>
              <w:jc w:val="center"/>
            </w:pPr>
            <w:r>
              <w:rPr>
                <w:color w:val="000000"/>
                <w:sz w:val="24"/>
              </w:rPr>
              <w:t>0.10%</w:t>
            </w:r>
          </w:p>
        </w:tc>
        <w:tc>
          <w:tcPr>
            <w:vAlign w:val="center"/>
          </w:tcPr>
          <w:p>
            <w:pPr>
              <w:jc w:val="center"/>
            </w:pPr>
            <w:r>
              <w:rPr>
                <w:color w:val="000000"/>
                <w:sz w:val="24"/>
              </w:rPr>
              <w:t>0.16%</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1.81%</w:t>
            </w:r>
          </w:p>
        </w:tc>
        <w:tc>
          <w:tcPr>
            <w:vAlign w:val="center"/>
          </w:tcPr>
          <w:p>
            <w:pPr>
              <w:jc w:val="center"/>
            </w:pPr>
            <w:r>
              <w:rPr>
                <w:color w:val="000000"/>
                <w:sz w:val="24"/>
              </w:rPr>
              <w:t>0.09%</w:t>
            </w:r>
          </w:p>
        </w:tc>
        <w:tc>
          <w:tcPr>
            <w:vAlign w:val="center"/>
          </w:tcPr>
          <w:p>
            <w:pPr>
              <w:jc w:val="center"/>
            </w:pPr>
            <w:r>
              <w:rPr>
                <w:color w:val="000000"/>
                <w:sz w:val="24"/>
              </w:rPr>
              <w:t>1.58%</w:t>
            </w:r>
          </w:p>
        </w:tc>
        <w:tc>
          <w:tcPr>
            <w:vAlign w:val="center"/>
          </w:tcPr>
          <w:p>
            <w:pPr>
              <w:jc w:val="center"/>
            </w:pPr>
            <w:r>
              <w:rPr>
                <w:color w:val="000000"/>
                <w:sz w:val="24"/>
              </w:rPr>
              <w:t>0.08%</w:t>
            </w:r>
          </w:p>
        </w:tc>
        <w:tc>
          <w:tcPr>
            <w:vAlign w:val="center"/>
          </w:tcPr>
          <w:p>
            <w:pPr>
              <w:jc w:val="center"/>
            </w:pPr>
            <w:r>
              <w:rPr>
                <w:color w:val="000000"/>
                <w:sz w:val="24"/>
              </w:rPr>
              <w:t>0.23%</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3.94%</w:t>
            </w:r>
          </w:p>
        </w:tc>
        <w:tc>
          <w:tcPr>
            <w:vAlign w:val="center"/>
          </w:tcPr>
          <w:p>
            <w:pPr>
              <w:jc w:val="center"/>
            </w:pPr>
            <w:r>
              <w:rPr>
                <w:color w:val="000000"/>
                <w:sz w:val="24"/>
              </w:rPr>
              <w:t>0.07%</w:t>
            </w:r>
          </w:p>
        </w:tc>
        <w:tc>
          <w:tcPr>
            <w:vAlign w:val="center"/>
          </w:tcPr>
          <w:p>
            <w:pPr>
              <w:jc w:val="center"/>
            </w:pPr>
            <w:r>
              <w:rPr>
                <w:color w:val="000000"/>
                <w:sz w:val="24"/>
              </w:rPr>
              <w:t>3.67%</w:t>
            </w:r>
          </w:p>
        </w:tc>
        <w:tc>
          <w:tcPr>
            <w:vAlign w:val="center"/>
          </w:tcPr>
          <w:p>
            <w:pPr>
              <w:jc w:val="center"/>
            </w:pPr>
            <w:r>
              <w:rPr>
                <w:color w:val="000000"/>
                <w:sz w:val="24"/>
              </w:rPr>
              <w:t>0.06%</w:t>
            </w:r>
          </w:p>
        </w:tc>
        <w:tc>
          <w:tcPr>
            <w:vAlign w:val="center"/>
          </w:tcPr>
          <w:p>
            <w:pPr>
              <w:jc w:val="center"/>
            </w:pPr>
            <w:r>
              <w:rPr>
                <w:color w:val="000000"/>
                <w:sz w:val="24"/>
              </w:rPr>
              <w:t>0.27%</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4.50%</w:t>
            </w:r>
          </w:p>
        </w:tc>
        <w:tc>
          <w:tcPr>
            <w:vAlign w:val="center"/>
          </w:tcPr>
          <w:p>
            <w:pPr>
              <w:jc w:val="center"/>
            </w:pPr>
            <w:r>
              <w:rPr>
                <w:color w:val="000000"/>
                <w:sz w:val="24"/>
              </w:rPr>
              <w:t>0.06%</w:t>
            </w:r>
          </w:p>
        </w:tc>
        <w:tc>
          <w:tcPr>
            <w:vAlign w:val="center"/>
          </w:tcPr>
          <w:p>
            <w:pPr>
              <w:jc w:val="center"/>
            </w:pPr>
            <w:r>
              <w:rPr>
                <w:color w:val="000000"/>
                <w:sz w:val="24"/>
              </w:rPr>
              <w:t>4.53%</w:t>
            </w:r>
          </w:p>
        </w:tc>
        <w:tc>
          <w:tcPr>
            <w:vAlign w:val="center"/>
          </w:tcPr>
          <w:p>
            <w:pPr>
              <w:jc w:val="center"/>
            </w:pPr>
            <w:r>
              <w:rPr>
                <w:color w:val="000000"/>
                <w:sz w:val="24"/>
              </w:rPr>
              <w:t>0.05%</w:t>
            </w:r>
          </w:p>
        </w:tc>
        <w:tc>
          <w:tcPr>
            <w:vAlign w:val="center"/>
          </w:tcPr>
          <w:p>
            <w:pPr>
              <w:jc w:val="center"/>
            </w:pPr>
            <w:r>
              <w:rPr>
                <w:color w:val="000000"/>
                <w:sz w:val="24"/>
              </w:rPr>
              <w:t>-0.03%</w:t>
            </w:r>
          </w:p>
        </w:tc>
        <w:tc>
          <w:tcPr>
            <w:vAlign w:val="center"/>
          </w:tcPr>
          <w:p>
            <w:pPr>
              <w:jc w:val="center"/>
            </w:pPr>
            <w:r>
              <w:rPr>
                <w:color w:val="000000"/>
                <w:sz w:val="24"/>
              </w:rPr>
              <w:t>0.01%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易方达中债1-3年国开行债券指数证券投资基金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（2019年4月29日至2020年6月30日）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易方达中债1-3年国开行债券指数A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易方达中债1-3年国开行债券指数C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注：1.按基金合同和招募说明书的约定，本基金的建仓期为六个月，建仓期结束时各项资产配置比例符合基金合同（第十二部分二、投资范围，三、投资策略和四、投资限制）的有关约定。</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2.自基金合同生效至报告期末，A类基金份额净值增长率为4.63%，C类基金份额净值增长率为4.50%，同期业绩比较基准收益率为4.53%。</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中债新综合债券指数发起式证券投资基金（LOF）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3-5年国开行债券指数证券投资基金的基金经理、易方达恒兴3个月定期开放债券型发起式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2019-04-29</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rPr>
      </w:pPr>
      <w:r>
        <w:rPr>
          <w:color w:val="000000"/>
          <w:sz w:val="24"/>
        </w:rPr>
        <w:t>2.证券从业的含义遵从《证券业从业人员资格管理办法》的相关规定。</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3.本基金基金经理王晓晨曾因休产假超过30日，在其休假期间，本基金暂由我公司基金经理纪玲云代为履行基金经理职责。在本报告期内，基金经理王晓晨已结束休假恢复履职。</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上半年末，央行适时开启逆回购呵护半年末流动性，市场情绪有所恢复，长端收益率趋于稳定。信用债走势与利率债类似，全季来看收益率整体大幅上行。</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报告期内本基金主要以抽样复制的方式跟踪指数为主。操作上，基金总体上按照指数的结构和久期进行配置。</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1.0087元，本报告期份额净值增长率为0.17%，同期业绩比较基准收益率为-0.01%；C类基金份额净值为1.0084元，本报告期份额净值增长率为0.15%，同期业绩比较基准收益率为-0.01%。</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3,852,701,000.00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97.03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3,852,701,000.00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97.03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3,402,524.99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0.09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114,612,949.93</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2.89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3,970,716,474.92</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3,852,701,000.00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102.79</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3,852,701,000.00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102.79</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3,852,701,000.00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102.79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180212</w:t>
            </w:r>
          </w:p>
        </w:tc>
        <w:tc>
          <w:tcPr>
            <w:vAlign w:val="center"/>
          </w:tcPr>
          <w:p>
            <w:pPr>
              <w:jc w:val="center"/>
            </w:pPr>
            <w:r>
              <w:rPr>
                <w:color w:val="000000"/>
                <w:sz w:val="24"/>
              </w:rPr>
              <w:t>18国开12</w:t>
            </w:r>
          </w:p>
        </w:tc>
        <w:tc>
          <w:tcPr>
            <w:vAlign w:val="center"/>
          </w:tcPr>
          <w:p>
            <w:pPr>
              <w:jc w:val="right"/>
            </w:pPr>
            <w:r>
              <w:rPr>
                <w:color w:val="000000"/>
                <w:sz w:val="24"/>
              </w:rPr>
              <w:t>8,400,000</w:t>
            </w:r>
          </w:p>
        </w:tc>
        <w:tc>
          <w:tcPr>
            <w:vAlign w:val="center"/>
          </w:tcPr>
          <w:p>
            <w:pPr>
              <w:jc w:val="right"/>
            </w:pPr>
            <w:r>
              <w:rPr>
                <w:color w:val="000000"/>
                <w:sz w:val="24"/>
              </w:rPr>
              <w:t>853,188,000.00</w:t>
            </w:r>
          </w:p>
        </w:tc>
        <w:tc>
          <w:tcPr>
            <w:vAlign w:val="center"/>
          </w:tcPr>
          <w:p>
            <w:pPr>
              <w:jc w:val="right"/>
            </w:pPr>
            <w:r>
              <w:rPr>
                <w:color w:val="000000"/>
                <w:sz w:val="24"/>
              </w:rPr>
              <w:t>22.76</w:t>
            </w:r>
          </w:p>
        </w:tc>
      </w:tr>
      <w:tr>
        <w:tc>
          <w:tcPr>
            <w:vAlign w:val="center"/>
          </w:tcPr>
          <w:p>
            <w:pPr>
              <w:jc w:val="center"/>
            </w:pPr>
            <w:r>
              <w:rPr>
                <w:color w:val="000000"/>
                <w:sz w:val="24"/>
              </w:rPr>
              <w:t>2</w:t>
            </w:r>
          </w:p>
        </w:tc>
        <w:tc>
          <w:tcPr>
            <w:vAlign w:val="center"/>
          </w:tcPr>
          <w:p>
            <w:pPr>
              <w:jc w:val="center"/>
            </w:pPr>
            <w:r>
              <w:rPr>
                <w:color w:val="000000"/>
                <w:sz w:val="24"/>
              </w:rPr>
              <w:t>160218</w:t>
            </w:r>
          </w:p>
        </w:tc>
        <w:tc>
          <w:tcPr>
            <w:vAlign w:val="center"/>
          </w:tcPr>
          <w:p>
            <w:pPr>
              <w:jc w:val="center"/>
            </w:pPr>
            <w:r>
              <w:rPr>
                <w:color w:val="000000"/>
                <w:sz w:val="24"/>
              </w:rPr>
              <w:t>16国开18</w:t>
            </w:r>
          </w:p>
        </w:tc>
        <w:tc>
          <w:tcPr>
            <w:vAlign w:val="center"/>
          </w:tcPr>
          <w:p>
            <w:pPr>
              <w:jc w:val="right"/>
            </w:pPr>
            <w:r>
              <w:rPr>
                <w:color w:val="000000"/>
                <w:sz w:val="24"/>
              </w:rPr>
              <w:t>5,400,000</w:t>
            </w:r>
          </w:p>
        </w:tc>
        <w:tc>
          <w:tcPr>
            <w:vAlign w:val="center"/>
          </w:tcPr>
          <w:p>
            <w:pPr>
              <w:jc w:val="right"/>
            </w:pPr>
            <w:r>
              <w:rPr>
                <w:color w:val="000000"/>
                <w:sz w:val="24"/>
              </w:rPr>
              <w:t>547,344,000.00</w:t>
            </w:r>
          </w:p>
        </w:tc>
        <w:tc>
          <w:tcPr>
            <w:vAlign w:val="center"/>
          </w:tcPr>
          <w:p>
            <w:pPr>
              <w:jc w:val="right"/>
            </w:pPr>
            <w:r>
              <w:rPr>
                <w:color w:val="000000"/>
                <w:sz w:val="24"/>
              </w:rPr>
              <w:t>14.60</w:t>
            </w:r>
          </w:p>
        </w:tc>
      </w:tr>
      <w:tr>
        <w:tc>
          <w:tcPr>
            <w:vAlign w:val="center"/>
          </w:tcPr>
          <w:p>
            <w:pPr>
              <w:jc w:val="center"/>
            </w:pPr>
            <w:r>
              <w:rPr>
                <w:color w:val="000000"/>
                <w:sz w:val="24"/>
              </w:rPr>
              <w:t>3</w:t>
            </w:r>
          </w:p>
        </w:tc>
        <w:tc>
          <w:tcPr>
            <w:vAlign w:val="center"/>
          </w:tcPr>
          <w:p>
            <w:pPr>
              <w:jc w:val="center"/>
            </w:pPr>
            <w:r>
              <w:rPr>
                <w:color w:val="000000"/>
                <w:sz w:val="24"/>
              </w:rPr>
              <w:t>190202</w:t>
            </w:r>
          </w:p>
        </w:tc>
        <w:tc>
          <w:tcPr>
            <w:vAlign w:val="center"/>
          </w:tcPr>
          <w:p>
            <w:pPr>
              <w:jc w:val="center"/>
            </w:pPr>
            <w:r>
              <w:rPr>
                <w:color w:val="000000"/>
                <w:sz w:val="24"/>
              </w:rPr>
              <w:t>19国开02</w:t>
            </w:r>
          </w:p>
        </w:tc>
        <w:tc>
          <w:tcPr>
            <w:vAlign w:val="center"/>
          </w:tcPr>
          <w:p>
            <w:pPr>
              <w:jc w:val="right"/>
            </w:pPr>
            <w:r>
              <w:rPr>
                <w:color w:val="000000"/>
                <w:sz w:val="24"/>
              </w:rPr>
              <w:t>5,300,000</w:t>
            </w:r>
          </w:p>
        </w:tc>
        <w:tc>
          <w:tcPr>
            <w:vAlign w:val="center"/>
          </w:tcPr>
          <w:p>
            <w:pPr>
              <w:jc w:val="right"/>
            </w:pPr>
            <w:r>
              <w:rPr>
                <w:color w:val="000000"/>
                <w:sz w:val="24"/>
              </w:rPr>
              <w:t>534,770,000.00</w:t>
            </w:r>
          </w:p>
        </w:tc>
        <w:tc>
          <w:tcPr>
            <w:vAlign w:val="center"/>
          </w:tcPr>
          <w:p>
            <w:pPr>
              <w:jc w:val="right"/>
            </w:pPr>
            <w:r>
              <w:rPr>
                <w:color w:val="000000"/>
                <w:sz w:val="24"/>
              </w:rPr>
              <w:t>14.27</w:t>
            </w:r>
          </w:p>
        </w:tc>
      </w:tr>
      <w:tr>
        <w:tc>
          <w:tcPr>
            <w:vAlign w:val="center"/>
          </w:tcPr>
          <w:p>
            <w:pPr>
              <w:jc w:val="center"/>
            </w:pPr>
            <w:r>
              <w:rPr>
                <w:color w:val="000000"/>
                <w:sz w:val="24"/>
              </w:rPr>
              <w:t>4</w:t>
            </w:r>
          </w:p>
        </w:tc>
        <w:tc>
          <w:tcPr>
            <w:vAlign w:val="center"/>
          </w:tcPr>
          <w:p>
            <w:pPr>
              <w:jc w:val="center"/>
            </w:pPr>
            <w:r>
              <w:rPr>
                <w:color w:val="000000"/>
                <w:sz w:val="24"/>
              </w:rPr>
              <w:t>190214</w:t>
            </w:r>
          </w:p>
        </w:tc>
        <w:tc>
          <w:tcPr>
            <w:vAlign w:val="center"/>
          </w:tcPr>
          <w:p>
            <w:pPr>
              <w:jc w:val="center"/>
            </w:pPr>
            <w:r>
              <w:rPr>
                <w:color w:val="000000"/>
                <w:sz w:val="24"/>
              </w:rPr>
              <w:t>19国开14</w:t>
            </w:r>
          </w:p>
        </w:tc>
        <w:tc>
          <w:tcPr>
            <w:vAlign w:val="center"/>
          </w:tcPr>
          <w:p>
            <w:pPr>
              <w:jc w:val="right"/>
            </w:pPr>
            <w:r>
              <w:rPr>
                <w:color w:val="000000"/>
                <w:sz w:val="24"/>
              </w:rPr>
              <w:t>2,600,000</w:t>
            </w:r>
          </w:p>
        </w:tc>
        <w:tc>
          <w:tcPr>
            <w:vAlign w:val="center"/>
          </w:tcPr>
          <w:p>
            <w:pPr>
              <w:jc w:val="right"/>
            </w:pPr>
            <w:r>
              <w:rPr>
                <w:color w:val="000000"/>
                <w:sz w:val="24"/>
              </w:rPr>
              <w:t>261,872,000.00</w:t>
            </w:r>
          </w:p>
        </w:tc>
        <w:tc>
          <w:tcPr>
            <w:vAlign w:val="center"/>
          </w:tcPr>
          <w:p>
            <w:pPr>
              <w:jc w:val="right"/>
            </w:pPr>
            <w:r>
              <w:rPr>
                <w:color w:val="000000"/>
                <w:sz w:val="24"/>
              </w:rPr>
              <w:t>6.99</w:t>
            </w:r>
          </w:p>
        </w:tc>
      </w:tr>
      <w:tr>
        <w:tc>
          <w:tcPr>
            <w:vAlign w:val="center"/>
          </w:tcPr>
          <w:p>
            <w:pPr>
              <w:jc w:val="center"/>
            </w:pPr>
            <w:r>
              <w:rPr>
                <w:color w:val="000000"/>
                <w:sz w:val="24"/>
              </w:rPr>
              <w:t>5</w:t>
            </w:r>
          </w:p>
        </w:tc>
        <w:tc>
          <w:tcPr>
            <w:vAlign w:val="center"/>
          </w:tcPr>
          <w:p>
            <w:pPr>
              <w:jc w:val="center"/>
            </w:pPr>
            <w:r>
              <w:rPr>
                <w:color w:val="000000"/>
                <w:sz w:val="24"/>
              </w:rPr>
              <w:t>140214</w:t>
            </w:r>
          </w:p>
        </w:tc>
        <w:tc>
          <w:tcPr>
            <w:vAlign w:val="center"/>
          </w:tcPr>
          <w:p>
            <w:pPr>
              <w:jc w:val="center"/>
            </w:pPr>
            <w:r>
              <w:rPr>
                <w:color w:val="000000"/>
                <w:sz w:val="24"/>
              </w:rPr>
              <w:t>14国开14</w:t>
            </w:r>
          </w:p>
        </w:tc>
        <w:tc>
          <w:tcPr>
            <w:vAlign w:val="center"/>
          </w:tcPr>
          <w:p>
            <w:pPr>
              <w:jc w:val="right"/>
            </w:pPr>
            <w:r>
              <w:rPr>
                <w:color w:val="000000"/>
                <w:sz w:val="24"/>
              </w:rPr>
              <w:t>1,800,000</w:t>
            </w:r>
          </w:p>
        </w:tc>
        <w:tc>
          <w:tcPr>
            <w:vAlign w:val="center"/>
          </w:tcPr>
          <w:p>
            <w:pPr>
              <w:jc w:val="right"/>
            </w:pPr>
            <w:r>
              <w:rPr>
                <w:color w:val="000000"/>
                <w:sz w:val="24"/>
              </w:rPr>
              <w:t>184,284,000.00</w:t>
            </w:r>
          </w:p>
        </w:tc>
        <w:tc>
          <w:tcPr>
            <w:vAlign w:val="center"/>
          </w:tcPr>
          <w:p>
            <w:pPr>
              <w:jc w:val="right"/>
            </w:pPr>
            <w:r>
              <w:rPr>
                <w:color w:val="000000"/>
                <w:sz w:val="24"/>
              </w:rPr>
              <w:t>4.92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39,747,740.27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74,832,130.62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33,079.04</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114,612,949.93</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易方达中债1-3年国开行债券指数A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易方达中债1-3年国开行债券指数C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3,024,002,358.73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3,698,048.00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707,607,374.35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3,497,744.00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18,114,919.60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4,736,411.49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3,713,494,813.48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2,459,380.51</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1.中国证监会准予易方达中债1-3年国开行债券指数证券投资基金注册的文件；</w:t>
      </w:r>
    </w:p>
    <w:p>
      <w:pPr>
        <w:spacing w:line="360" w:lineRule="auto"/>
        <w:ind w:firstLine="480" w:firstLineChars="200"/>
        <w:rPr>
          <w:color w:val="000000"/>
          <w:sz w:val="24"/>
        </w:rPr>
      </w:pPr>
      <w:r>
        <w:rPr>
          <w:color w:val="000000"/>
          <w:sz w:val="24"/>
        </w:rPr>
        <w:t>2.《易方达中债1-3年国开行债券指数证券投资基金基金合同》；</w:t>
      </w:r>
    </w:p>
    <w:p>
      <w:pPr>
        <w:spacing w:line="360" w:lineRule="auto"/>
        <w:ind w:firstLine="480" w:firstLineChars="200"/>
        <w:rPr>
          <w:color w:val="000000"/>
          <w:sz w:val="24"/>
        </w:rPr>
      </w:pPr>
      <w:r>
        <w:rPr>
          <w:color w:val="000000"/>
          <w:sz w:val="24"/>
        </w:rPr>
        <w:t>3.《易方达中债1-3年国开行债券指数证券投资基金托管协议》；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易方达中债1-3年国开行债券指数证券投资基金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