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9A2283" w:rsidR="009A2283" w:rsidRDefault="009A2283" w:rsidRPr="00D3639B">
      <w:pPr>
        <w:autoSpaceDE w:val="0"/>
        <w:autoSpaceDN w:val="0"/>
        <w:adjustRightInd w:val="0"/>
        <w:spacing w:line="360" w:lineRule="auto"/>
        <w:jc w:val="left"/>
        <w:rPr>
          <w:rFonts w:eastAsiaTheme="minorEastAsia"/>
          <w:color w:themeColor="text1" w:val="000000"/>
          <w:kern w:val="0"/>
          <w:szCs w:val="21"/>
        </w:rPr>
      </w:pPr>
    </w:p>
    <w:p w:rsidP="009A2283" w:rsidR="009A2283" w:rsidRDefault="009A2283" w:rsidRPr="00D3639B">
      <w:pPr>
        <w:autoSpaceDE w:val="0"/>
        <w:autoSpaceDN w:val="0"/>
        <w:adjustRightInd w:val="0"/>
        <w:spacing w:line="360" w:lineRule="auto"/>
        <w:jc w:val="left"/>
        <w:rPr>
          <w:rFonts w:eastAsiaTheme="minorEastAsia"/>
          <w:color w:themeColor="text1" w:val="000000"/>
          <w:kern w:val="0"/>
          <w:szCs w:val="21"/>
        </w:rPr>
      </w:pPr>
    </w:p>
    <w:p w:rsidP="009A2283" w:rsidR="00FC7F43" w:rsidRDefault="00FC7F43" w:rsidRPr="00D3639B">
      <w:pPr>
        <w:autoSpaceDE w:val="0"/>
        <w:autoSpaceDN w:val="0"/>
        <w:adjustRightInd w:val="0"/>
        <w:spacing w:line="360" w:lineRule="auto"/>
        <w:jc w:val="left"/>
        <w:rPr>
          <w:rFonts w:eastAsiaTheme="minorEastAsia"/>
          <w:color w:themeColor="text1" w:val="000000"/>
          <w:kern w:val="0"/>
          <w:szCs w:val="21"/>
        </w:rPr>
      </w:pPr>
    </w:p>
    <w:p w:rsidP="009A2283" w:rsidR="009A2283" w:rsidRDefault="009A2283" w:rsidRPr="00D3639B">
      <w:pPr>
        <w:autoSpaceDE w:val="0"/>
        <w:autoSpaceDN w:val="0"/>
        <w:adjustRightInd w:val="0"/>
        <w:spacing w:line="360" w:lineRule="auto"/>
        <w:jc w:val="left"/>
        <w:rPr>
          <w:rFonts w:eastAsiaTheme="minorEastAsia"/>
          <w:color w:themeColor="text1" w:val="000000"/>
          <w:kern w:val="0"/>
          <w:szCs w:val="21"/>
        </w:rPr>
      </w:pPr>
    </w:p>
    <w:p w:rsidP="009A2283" w:rsidR="009A2283" w:rsidRDefault="009A2283" w:rsidRPr="00D3639B">
      <w:pPr>
        <w:autoSpaceDE w:val="0"/>
        <w:autoSpaceDN w:val="0"/>
        <w:adjustRightInd w:val="0"/>
        <w:spacing w:line="360" w:lineRule="auto"/>
        <w:jc w:val="left"/>
        <w:rPr>
          <w:rFonts w:eastAsiaTheme="minorEastAsia"/>
          <w:color w:themeColor="text1" w:val="000000"/>
          <w:kern w:val="0"/>
          <w:szCs w:val="21"/>
        </w:rPr>
      </w:pPr>
    </w:p>
    <w:p w:rsidP="00FC13C8" w:rsidR="009A2283" w:rsidRDefault="002D2A00" w:rsidRPr="00D3639B">
      <w:pPr>
        <w:spacing w:line="360" w:lineRule="auto"/>
        <w:jc w:val="center"/>
        <w:rPr>
          <w:rFonts w:eastAsiaTheme="minorEastAsia"/>
          <w:b/>
          <w:color w:themeColor="text1" w:val="000000"/>
          <w:sz w:val="36"/>
          <w:szCs w:val="36"/>
        </w:rPr>
      </w:pPr>
      <w:r w:rsidRPr="00D3639B">
        <w:rPr>
          <w:rFonts w:eastAsiaTheme="minorEastAsia"/>
          <w:b/>
          <w:color w:themeColor="text1" w:val="000000"/>
          <w:sz w:val="36"/>
          <w:szCs w:val="36"/>
        </w:rPr>
        <w:t/>
      </w:r>
      <w:proofErr w:type="spellStart"/>
      <w:proofErr w:type="gramStart"/>
      <w:r w:rsidRPr="00D3639B">
        <w:rPr>
          <w:rFonts w:eastAsiaTheme="minorEastAsia"/>
          <w:b/>
          <w:color w:themeColor="text1" w:val="000000"/>
          <w:sz w:val="36"/>
          <w:szCs w:val="36"/>
        </w:rPr>
        <w:t/>
      </w:r>
      <w:proofErr w:type="spellEnd"/>
      <w:proofErr w:type="gramEnd"/>
      <w:r w:rsidRPr="00D3639B">
        <w:rPr>
          <w:rFonts w:eastAsiaTheme="minorEastAsia"/>
          <w:b/>
          <w:color w:themeColor="text1" w:val="000000"/>
          <w:sz w:val="36"/>
          <w:szCs w:val="36"/>
        </w:rPr>
        <w:t>易方达中证500交易型开放式指数证券投资基金发起式联接基金</w:t>
      </w:r>
    </w:p>
    <w:p w:rsidP="00FC13C8" w:rsidR="002D2A00" w:rsidRDefault="002D2A00" w:rsidRPr="00D3639B">
      <w:pPr>
        <w:spacing w:line="360" w:lineRule="auto"/>
        <w:jc w:val="center"/>
        <w:rPr>
          <w:rFonts w:eastAsiaTheme="minorEastAsia"/>
          <w:b/>
          <w:color w:themeColor="text1" w:val="000000"/>
          <w:sz w:val="36"/>
          <w:szCs w:val="36"/>
        </w:rPr>
      </w:pPr>
      <w:r w:rsidRPr="00D3639B">
        <w:rPr>
          <w:rFonts w:eastAsiaTheme="minorEastAsia"/>
          <w:b/>
          <w:color w:themeColor="text1" w:val="000000"/>
          <w:sz w:val="36"/>
          <w:szCs w:val="36"/>
        </w:rPr>
        <w:t/>
      </w:r>
      <w:proofErr w:type="spellStart"/>
      <w:r w:rsidRPr="00D3639B">
        <w:rPr>
          <w:rFonts w:eastAsiaTheme="minorEastAsia"/>
          <w:b/>
          <w:color w:themeColor="text1" w:val="000000"/>
          <w:sz w:val="36"/>
          <w:szCs w:val="36"/>
        </w:rPr>
        <w:t/>
      </w:r>
      <w:proofErr w:type="spellEnd"/>
      <w:r w:rsidRPr="00D3639B">
        <w:rPr>
          <w:rFonts w:eastAsiaTheme="minorEastAsia"/>
          <w:b/>
          <w:color w:themeColor="text1" w:val="000000"/>
          <w:sz w:val="36"/>
          <w:szCs w:val="36"/>
        </w:rPr>
        <w:t>2020年第2季度报告</w:t>
      </w:r>
    </w:p>
    <w:p w:rsidP="00FC13C8" w:rsidR="009A2283" w:rsidRDefault="00577209" w:rsidRPr="00D3639B">
      <w:pPr>
        <w:spacing w:line="360" w:lineRule="auto"/>
        <w:jc w:val="center"/>
        <w:rPr>
          <w:rFonts w:eastAsiaTheme="minorEastAsia"/>
          <w:b/>
          <w:color w:themeColor="text1" w:val="000000"/>
          <w:sz w:val="36"/>
          <w:szCs w:val="36"/>
        </w:rPr>
      </w:pPr>
      <w:r w:rsidRPr="00D3639B">
        <w:rPr>
          <w:rFonts w:eastAsiaTheme="minorEastAsia"/>
          <w:b/>
          <w:color w:themeColor="text1" w:val="000000"/>
          <w:sz w:val="36"/>
          <w:szCs w:val="36"/>
        </w:rPr>
        <w:t/>
      </w:r>
      <w:proofErr w:type="spellStart"/>
      <w:proofErr w:type="gramStart"/>
      <w:r w:rsidRPr="00D3639B">
        <w:rPr>
          <w:rFonts w:eastAsiaTheme="minorEastAsia"/>
          <w:b/>
          <w:color w:themeColor="text1" w:val="000000"/>
          <w:sz w:val="36"/>
          <w:szCs w:val="36"/>
        </w:rPr>
        <w:t/>
      </w:r>
      <w:proofErr w:type="spellEnd"/>
      <w:proofErr w:type="gramEnd"/>
      <w:r w:rsidR="00121533" w:rsidRPr="00D3639B">
        <w:rPr>
          <w:rFonts w:eastAsiaTheme="minorEastAsia"/>
          <w:b/>
          <w:color w:themeColor="text1" w:val="000000"/>
          <w:sz w:val="36"/>
          <w:szCs w:val="36"/>
        </w:rPr>
        <w:t>2020年6月30日</w:t>
      </w: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E27360" w:rsidR="009A2283" w:rsidRDefault="009A2283" w:rsidRPr="00D3639B">
      <w:pPr>
        <w:spacing w:line="360" w:lineRule="auto"/>
        <w:jc w:val="center"/>
        <w:rPr>
          <w:rFonts w:eastAsiaTheme="minorEastAsia"/>
          <w:b/>
          <w:color w:themeColor="text1" w:val="000000"/>
          <w:szCs w:val="21"/>
        </w:rPr>
      </w:pPr>
    </w:p>
    <w:p w:rsidP="00E27360" w:rsidR="00E27360" w:rsidRDefault="00E27360"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rPr>
          <w:rFonts w:eastAsiaTheme="minorEastAsia"/>
          <w:b/>
          <w:color w:themeColor="text1" w:val="000000"/>
          <w:szCs w:val="21"/>
        </w:rPr>
      </w:pPr>
    </w:p>
    <w:p w:rsidP="004B54B8" w:rsidR="009A2283" w:rsidRDefault="009A2283" w:rsidRPr="00D3639B">
      <w:pPr>
        <w:spacing w:line="360" w:lineRule="auto"/>
        <w:ind w:firstLine="2168" w:firstLineChars="900"/>
        <w:rPr>
          <w:rFonts w:eastAsiaTheme="minorEastAsia"/>
          <w:b/>
          <w:color w:themeColor="text1" w:val="000000"/>
          <w:sz w:val="24"/>
        </w:rPr>
      </w:pPr>
      <w:r w:rsidRPr="00D3639B">
        <w:rPr>
          <w:rFonts w:eastAsiaTheme="minorEastAsia"/>
          <w:b/>
          <w:color w:themeColor="text1" w:val="000000"/>
          <w:sz w:val="24"/>
        </w:rPr>
        <w:t>基金管理人：</w:t>
      </w:r>
      <w:r w:rsidR="00BF377F" w:rsidRPr="00D3639B">
        <w:rPr>
          <w:rFonts w:eastAsiaTheme="minorEastAsia"/>
          <w:b/>
          <w:color w:themeColor="text1" w:val="000000"/>
          <w:sz w:val="24"/>
        </w:rPr>
        <w:t/>
      </w:r>
      <w:proofErr w:type="spellStart"/>
      <w:proofErr w:type="gramStart"/>
      <w:r w:rsidR="00BF377F" w:rsidRPr="00D3639B">
        <w:rPr>
          <w:rFonts w:eastAsiaTheme="minorEastAsia"/>
          <w:b/>
          <w:color w:themeColor="text1" w:val="000000"/>
          <w:sz w:val="24"/>
        </w:rPr>
        <w:t/>
      </w:r>
      <w:proofErr w:type="spellEnd"/>
      <w:proofErr w:type="gramEnd"/>
      <w:r w:rsidR="00BF377F" w:rsidRPr="00D3639B">
        <w:rPr>
          <w:rFonts w:eastAsiaTheme="minorEastAsia"/>
          <w:b/>
          <w:color w:themeColor="text1" w:val="000000"/>
          <w:sz w:val="24"/>
        </w:rPr>
        <w:t>易方达基金管理有限公司</w:t>
      </w:r>
    </w:p>
    <w:p w:rsidP="004B54B8" w:rsidR="009A2283" w:rsidRDefault="009A2283" w:rsidRPr="00D3639B">
      <w:pPr>
        <w:spacing w:line="360" w:lineRule="auto"/>
        <w:ind w:firstLine="2168" w:firstLineChars="900"/>
        <w:rPr>
          <w:rFonts w:eastAsiaTheme="minorEastAsia"/>
          <w:b/>
          <w:color w:themeColor="text1" w:val="000000"/>
          <w:sz w:val="24"/>
        </w:rPr>
      </w:pPr>
      <w:r w:rsidRPr="00D3639B">
        <w:rPr>
          <w:rFonts w:eastAsiaTheme="minorEastAsia"/>
          <w:b/>
          <w:color w:themeColor="text1" w:val="000000"/>
          <w:sz w:val="24"/>
        </w:rPr>
        <w:t>基金托管人：</w:t>
      </w:r>
      <w:r w:rsidR="00BF377F" w:rsidRPr="00D3639B">
        <w:rPr>
          <w:rFonts w:eastAsiaTheme="minorEastAsia"/>
          <w:b/>
          <w:color w:themeColor="text1" w:val="000000"/>
          <w:sz w:val="24"/>
        </w:rPr>
        <w:t/>
      </w:r>
      <w:proofErr w:type="spellStart"/>
      <w:proofErr w:type="gramStart"/>
      <w:r w:rsidR="00BF377F" w:rsidRPr="00D3639B">
        <w:rPr>
          <w:rFonts w:eastAsiaTheme="minorEastAsia"/>
          <w:b/>
          <w:color w:themeColor="text1" w:val="000000"/>
          <w:sz w:val="24"/>
        </w:rPr>
        <w:t/>
      </w:r>
      <w:proofErr w:type="spellEnd"/>
      <w:proofErr w:type="gramEnd"/>
      <w:r w:rsidR="00BF377F" w:rsidRPr="00D3639B">
        <w:rPr>
          <w:rFonts w:eastAsiaTheme="minorEastAsia"/>
          <w:b/>
          <w:color w:themeColor="text1" w:val="000000"/>
          <w:sz w:val="24"/>
        </w:rPr>
        <w:t>中国工商银行股份有限公司</w:t>
      </w:r>
    </w:p>
    <w:p w:rsidP="004B54B8" w:rsidR="009A2283" w:rsidRDefault="009A2283" w:rsidRPr="00D3639B">
      <w:pPr>
        <w:spacing w:line="360" w:lineRule="auto"/>
        <w:ind w:firstLine="2168" w:firstLineChars="900"/>
        <w:rPr>
          <w:rFonts w:eastAsiaTheme="minorEastAsia"/>
          <w:color w:themeColor="text1" w:val="000000"/>
          <w:sz w:val="24"/>
        </w:rPr>
        <w:sectPr w:rsidR="009A2283" w:rsidRPr="00D3639B" w:rsidSect="00F7094A">
          <w:headerReference r:id="rId9" w:type="default"/>
          <w:footerReference r:id="rId10" w:type="default"/>
          <w:pgSz w:h="15840" w:w="11926"/>
          <w:pgMar w:bottom="851" w:footer="992" w:gutter="0" w:header="851" w:left="1418" w:right="1418" w:top="1418"/>
          <w:cols w:space="720"/>
          <w:noEndnote/>
        </w:sectPr>
      </w:pPr>
      <w:r w:rsidRPr="00D3639B">
        <w:rPr>
          <w:rFonts w:eastAsiaTheme="minorEastAsia"/>
          <w:b/>
          <w:color w:themeColor="text1" w:val="000000"/>
          <w:sz w:val="24"/>
        </w:rPr>
        <w:t>报告送出日期：</w:t>
      </w:r>
      <w:r w:rsidR="00D04410" w:rsidRPr="00D3639B">
        <w:rPr>
          <w:rFonts w:eastAsiaTheme="minorEastAsia"/>
          <w:b/>
          <w:color w:themeColor="text1" w:val="000000"/>
          <w:sz w:val="24"/>
        </w:rPr>
        <w:t/>
      </w:r>
      <w:proofErr w:type="spellStart"/>
      <w:proofErr w:type="gramStart"/>
      <w:r w:rsidR="00D04410" w:rsidRPr="00D3639B">
        <w:rPr>
          <w:rFonts w:eastAsiaTheme="minorEastAsia"/>
          <w:b/>
          <w:color w:themeColor="text1" w:val="000000"/>
          <w:sz w:val="24"/>
        </w:rPr>
        <w:t/>
      </w:r>
      <w:proofErr w:type="spellEnd"/>
      <w:proofErr w:type="gramEnd"/>
      <w:r w:rsidR="00D04410" w:rsidRPr="00D3639B">
        <w:rPr>
          <w:rFonts w:eastAsiaTheme="minorEastAsia"/>
          <w:b/>
          <w:color w:themeColor="text1" w:val="000000"/>
          <w:sz w:val="24"/>
        </w:rPr>
        <w:t>二〇二〇年七月二十一日</w:t>
      </w:r>
    </w:p>
    <w:p w:rsidP="00C544B8" w:rsidR="009238DB" w:rsidRDefault="009238DB" w:rsidRPr="00B34368">
      <w:pPr>
        <w:pStyle w:val="1"/>
        <w:spacing w:after="312" w:afterLines="100" w:before="312" w:beforeLines="100" w:line="360" w:lineRule="auto"/>
        <w:jc w:val="center"/>
        <w:rPr>
          <w:rFonts w:eastAsiaTheme="minorEastAsia"/>
          <w:b w:val="0"/>
          <w:color w:themeColor="text1" w:val="000000"/>
          <w:kern w:val="0"/>
          <w:sz w:val="24"/>
          <w:szCs w:val="24"/>
        </w:rPr>
      </w:pPr>
      <w:r w:rsidRPr="00B34368">
        <w:rPr>
          <w:rFonts w:eastAsiaTheme="minorEastAsia"/>
          <w:color w:themeColor="text1" w:val="000000"/>
          <w:kern w:val="0"/>
          <w:sz w:val="24"/>
          <w:szCs w:val="24"/>
        </w:rPr>
        <w:lastRenderedPageBreak/>
        <w:t xml:space="preserve">§1  </w:t>
      </w:r>
      <w:r w:rsidRPr="00B34368">
        <w:rPr>
          <w:rFonts w:eastAsiaTheme="minorEastAsia" w:hAnsiTheme="minorEastAsia"/>
          <w:color w:themeColor="text1" w:val="000000"/>
          <w:kern w:val="0"/>
          <w:sz w:val="24"/>
          <w:szCs w:val="24"/>
        </w:rPr>
        <w:t>重要提示</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 xml:space="preserve">基金托管人中国工商银行股份有限公司根据本基金合同规定，于2020年7月17日复核了本报告中的财务指标、净值表现和投资组合报告等内容，保证复核内容不存在虚假记载、误导性陈述或者重大遗漏。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 xml:space="preserve">基金管理人承诺以诚实信用、勤勉尽责的原则管理和运用基金资产，但不保证基金一定盈利。 </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 xml:space="preserve">基金的过往业绩并不代表其未来表现。投资有风险，投资者在作出投资决策前应仔细阅读本基金的招募说明书。 </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本报告中财务资料未经审计。</w:t>
      </w:r>
    </w:p>
    <w:p w:rsidP="00B34368" w:rsidR="009238DB" w:rsidRDefault="00267DA9"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本报告期自2020年4月1日起至6月30日止。</w:t>
      </w:r>
    </w:p>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t xml:space="preserve">§2  </w:t>
      </w:r>
      <w:r w:rsidRPr="00B34368">
        <w:rPr>
          <w:rFonts w:eastAsiaTheme="minorEastAsia" w:hAnsiTheme="minorEastAsia"/>
          <w:color w:themeColor="text1" w:val="000000"/>
          <w:kern w:val="0"/>
          <w:sz w:val="24"/>
          <w:szCs w:val="24"/>
        </w:rPr>
        <w:t>基金产品概况</w:t>
      </w:r>
    </w:p>
    <w:p w:rsidP="002C32ED" w:rsidR="002C32ED" w:rsidRDefault="002C32ED" w:rsidRPr="00B34368">
      <w:pPr>
        <w:pStyle w:val="2"/>
        <w:keepNext w:val="0"/>
        <w:keepLines w:val="0"/>
        <w:spacing w:after="0" w:before="0"/>
        <w:rPr>
          <w:rFonts w:ascii="Times New Roman" w:cs="Times New Roman" w:eastAsiaTheme="minorEastAsia" w:hAnsi="Times New Roman"/>
          <w:color w:themeColor="text1" w:val="000000"/>
          <w:szCs w:val="24"/>
        </w:rPr>
      </w:pPr>
      <w:bookmarkStart w:id="0" w:name="_Toc245193810"/>
      <w:r w:rsidRPr="00B34368">
        <w:rPr>
          <w:rFonts w:ascii="Times New Roman" w:cs="Times New Roman" w:eastAsiaTheme="minorEastAsia" w:hAnsi="Times New Roman"/>
          <w:color w:themeColor="text1" w:val="000000"/>
          <w:szCs w:val="24"/>
        </w:rPr>
        <w:t>2.1</w:t>
      </w:r>
      <w:r w:rsidRPr="00B34368">
        <w:rPr>
          <w:rFonts w:ascii="Times New Roman" w:cs="Times New Roman" w:eastAsiaTheme="minorEastAsia" w:hAnsiTheme="minorEastAsia"/>
          <w:color w:themeColor="text1" w:val="000000"/>
          <w:szCs w:val="24"/>
        </w:rPr>
        <w:t>基金产品概况</w:t>
      </w:r>
      <w:bookmarkEnd w:id="0"/>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基金简称</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易方达中证500ETF联接发起式</w:t>
            </w:r>
          </w:p>
        </w:tc>
      </w:tr>
      <w:tr w:rsidR="00D3639B" w:rsidRPr="00B34368" w:rsidTr="004E70B7">
        <w:tc>
          <w:tcPr>
            <w:tcW w:type="dxa" w:w="2835"/>
          </w:tcPr>
          <w:p w:rsidP="00E205AA" w:rsidR="00B95753" w:rsidRDefault="00B95753" w:rsidRPr="00B34368">
            <w:pPr>
              <w:adjustRightInd w:val="0"/>
              <w:spacing w:before="29" w:line="360" w:lineRule="auto"/>
              <w:ind w:left="17"/>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基金主代码</w:t>
            </w:r>
          </w:p>
        </w:tc>
        <w:tc>
          <w:tcPr>
            <w:tcW w:type="dxa" w:w="5479"/>
            <w:gridSpan w:val="2"/>
          </w:tcPr>
          <w:p w:rsidP="00E205AA" w:rsidR="00B95753" w:rsidRDefault="00B95753" w:rsidRPr="00B34368">
            <w:pPr>
              <w:adjustRightInd w:val="0"/>
              <w:spacing w:before="29" w:line="360" w:lineRule="auto"/>
              <w:ind w:left="17"/>
              <w:jc w:val="lef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007028</w:t>
            </w:r>
          </w:p>
        </w:tc>
      </w:tr>
      <w:tr w:rsidR="00D3639B" w:rsidRPr="00B34368" w:rsidTr="004E70B7">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基金运作方式</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契约型开放式</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基金合同生效日</w:t>
            </w:r>
          </w:p>
        </w:tc>
        <w:tc>
          <w:tcPr>
            <w:tcW w:type="dxa" w:w="5479"/>
            <w:gridSpan w:val="2"/>
          </w:tcPr>
          <w:p w:rsidP="00121533" w:rsidR="00A6200E" w:rsidRDefault="00121533" w:rsidRPr="00B34368">
            <w:pPr>
              <w:adjustRightInd w:val="0"/>
              <w:spacing w:before="29" w:line="360" w:lineRule="auto"/>
              <w:ind w:left="17"/>
              <w:jc w:val="lef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2019年3月20日</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报告期末基金份额总额</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488,448,852.52</w:t>
            </w:r>
            <w:r w:rsidR="0060758A" w:rsidRPr="00B34368">
              <w:rPr>
                <w:rFonts w:eastAsiaTheme="minorEastAsia" w:hAnsiTheme="minorEastAsia"/>
                <w:color w:themeColor="text1" w:val="000000"/>
                <w:kern w:val="0"/>
                <w:sz w:val="24"/>
              </w:rPr>
              <w:t>份</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投资目标</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紧密跟踪业绩比较基准，追求跟踪偏离度和跟踪误差的最小化。</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投资策略</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本基金为易方达中证500ETF（以下简称“目标ETF”）的联接基金，主要通过投资于目标ETF实现对业绩比较基准的紧密跟踪，力争将日均跟踪偏离度控制在0.35%以内，年化跟踪误差控制在4%以内。本基金将在综合考虑合规、风险、效率、成本等因素的基础上，决定采用申购、赎回的方式或二级市场方式进行目标ETF的投资。本基金可以投资股指期货、股票期权和其他经中国证监会允许的衍生金融产品，如权证以及其他与标的指数或标的指数成份股、备选成份股相关的衍生工具，本基金将根据风险管理的原则，主要选择流动性好、交易活跃的衍生品进行交易。</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业绩比较基准</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中证500指数收益率×95%+活期存款利率（税后）×5%</w:t>
            </w:r>
          </w:p>
        </w:tc>
      </w:tr>
      <w:tr w:rsidR="00D3639B" w:rsidRPr="00B34368" w:rsidTr="009A045B">
        <w:tc>
          <w:tcPr>
            <w:tcW w:type="dxa" w:w="2835"/>
          </w:tcPr>
          <w:p w:rsidP="00E205AA" w:rsidR="00846C2B" w:rsidRDefault="00846C2B"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风险收益特征</w:t>
            </w:r>
          </w:p>
        </w:tc>
        <w:tc>
          <w:tcPr>
            <w:tcW w:type="dxa" w:w="5479"/>
            <w:gridSpan w:val="2"/>
          </w:tcPr>
          <w:p w:rsidP="00E205AA" w:rsidR="00846C2B" w:rsidRDefault="00846C2B"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本基金为ETF联接基金，预期风险与预期收益水平高于混合型基金、债券型基金与货币市场基金。本基金主要通过投资于易方达中证500 ETF实现对业绩比较基准的紧密跟踪。因此，本基金的业绩表现与中证500指数的表现密切相关。</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基金管理人</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易方达基金管理有限公司</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基金托管人</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中国工商银行股份有限公司</w:t>
            </w:r>
          </w:p>
        </w:tc>
      </w:tr>
      <w:tr w:rsidR="00D3639B" w:rsidRPr="00B34368" w:rsidTr="00950413">
        <w:tc>
          <w:tcPr>
            <w:tcW w:type="dxa" w:w="2835"/>
          </w:tcPr>
          <w:p w:rsidP="00E205AA" w:rsidR="00950413" w:rsidRDefault="00075E4E" w:rsidRPr="00B34368">
            <w:pPr>
              <w:adjustRightInd w:val="0"/>
              <w:spacing w:before="29" w:line="360" w:lineRule="auto"/>
              <w:ind w:left="17"/>
              <w:jc w:val="left"/>
              <w:rPr>
                <w:rFonts w:eastAsiaTheme="minorEastAsia"/>
                <w:color w:themeColor="text1" w:val="000000"/>
                <w:kern w:val="0"/>
                <w:sz w:val="24"/>
              </w:rPr>
            </w:pPr>
            <w:r>
              <w:rPr>
                <w:rFonts w:eastAsiaTheme="minorEastAsia" w:hAnsiTheme="minorEastAsia"/>
                <w:color w:themeColor="text1" w:val="000000"/>
                <w:sz w:val="24"/>
              </w:rPr>
              <w:t>下属</w:t>
            </w:r>
            <w:r>
              <w:rPr>
                <w:rFonts w:eastAsiaTheme="minorEastAsia" w:hAnsiTheme="minorEastAsia" w:hint="eastAsia"/>
                <w:color w:themeColor="text1" w:val="000000"/>
                <w:sz w:val="24"/>
              </w:rPr>
              <w:t>分</w:t>
            </w:r>
            <w:r w:rsidR="00950413" w:rsidRPr="00B34368">
              <w:rPr>
                <w:rFonts w:eastAsiaTheme="minorEastAsia" w:hAnsiTheme="minorEastAsia"/>
                <w:color w:themeColor="text1" w:val="000000"/>
                <w:sz w:val="24"/>
              </w:rPr>
              <w:t>级基金的基金简称</w:t>
            </w:r>
          </w:p>
        </w:tc>
        <w:tc>
          <w:tcPr>
            <w:tcW w:type="dxa" w:w="2739"/>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t/>
            </w:r>
            <w:r w:rsidR="00AF24AA" w:rsidRPr="00B34368">
              <w:rPr>
                <w:rFonts w:eastAsiaTheme="minorEastAsia"/>
                <w:color w:themeColor="text1" w:val="000000"/>
                <w:kern w:val="0"/>
                <w:sz w:val="24"/>
              </w:rPr>
              <w:t/>
            </w:r>
            <w:proofErr w:type="spellStart"/>
            <w:r w:rsidR="00AF24AA" w:rsidRPr="00B34368">
              <w:rPr>
                <w:rFonts w:eastAsiaTheme="minorEastAsia"/>
                <w:color w:themeColor="text1" w:val="000000"/>
                <w:kern w:val="0"/>
                <w:sz w:val="24"/>
              </w:rPr>
              <w:t/>
            </w:r>
            <w:proofErr w:type="spellEnd"/>
            <w:r w:rsidRPr="00B34368">
              <w:rPr>
                <w:rFonts w:eastAsiaTheme="minorEastAsia"/>
                <w:color w:themeColor="text1" w:val="000000"/>
                <w:sz w:val="24"/>
              </w:rPr>
              <w:t/>
            </w:r>
            <w:r w:rsidR="0042785F" w:rsidRPr="00B34368">
              <w:rPr>
                <w:rFonts w:eastAsiaTheme="minorEastAsia"/>
                <w:color w:themeColor="text1" w:val="000000"/>
                <w:sz w:val="24"/>
              </w:rPr>
              <w:t/>
            </w:r>
            <w:r w:rsidRPr="00B34368">
              <w:rPr>
                <w:rFonts w:eastAsiaTheme="minorEastAsia"/>
                <w:color w:themeColor="text1" w:val="000000"/>
                <w:sz w:val="24"/>
              </w:rPr>
              <w:t>易方达中证500ETF联接发起式A</w:t>
            </w:r>
          </w:p>
        </w:tc>
        <w:tc>
          <w:tcPr>
            <w:tcW w:type="dxa" w:w="2740"/>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t/>
            </w:r>
            <w:r w:rsidRPr="00B34368">
              <w:rPr>
                <w:rFonts w:eastAsiaTheme="minorEastAsia"/>
                <w:color w:themeColor="text1" w:val="000000"/>
                <w:sz w:val="24"/>
              </w:rPr>
              <w:t/>
            </w:r>
            <w:r w:rsidR="004D614E" w:rsidRPr="00B34368">
              <w:rPr>
                <w:rFonts w:eastAsiaTheme="minorEastAsia"/>
                <w:color w:themeColor="text1" w:val="000000"/>
                <w:sz w:val="24"/>
              </w:rPr>
              <w:t/>
            </w:r>
            <w:r w:rsidRPr="00B34368">
              <w:rPr>
                <w:rFonts w:eastAsiaTheme="minorEastAsia"/>
                <w:color w:themeColor="text1" w:val="000000"/>
                <w:sz w:val="24"/>
              </w:rPr>
              <w:t>易方达中证500ETF联接发起式C</w:t>
            </w:r>
          </w:p>
        </w:tc>
      </w:tr>
      <w:tr w:rsidR="00D3639B" w:rsidRPr="00B34368" w:rsidTr="00950413">
        <w:tc>
          <w:tcPr>
            <w:tcW w:type="dxa" w:w="2835"/>
          </w:tcPr>
          <w:p w:rsidP="00E205AA" w:rsidR="00950413" w:rsidRDefault="00950413"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下属</w:t>
            </w:r>
            <w:r w:rsidR="00075E4E">
              <w:rPr>
                <w:rFonts w:eastAsiaTheme="minorEastAsia" w:hAnsiTheme="minorEastAsia" w:hint="eastAsia"/>
                <w:color w:themeColor="text1" w:val="000000"/>
                <w:sz w:val="24"/>
              </w:rPr>
              <w:t>分</w:t>
            </w:r>
            <w:r w:rsidRPr="00B34368">
              <w:rPr>
                <w:rFonts w:eastAsiaTheme="minorEastAsia" w:hAnsiTheme="minorEastAsia"/>
                <w:color w:themeColor="text1" w:val="000000"/>
                <w:sz w:val="24"/>
              </w:rPr>
              <w:t>级基金的交易代</w:t>
            </w:r>
            <w:r w:rsidRPr="00B34368">
              <w:rPr>
                <w:rFonts w:eastAsiaTheme="minorEastAsia" w:hAnsiTheme="minorEastAsia"/>
                <w:color w:themeColor="text1" w:val="000000"/>
                <w:sz w:val="24"/>
              </w:rPr>
              <w:lastRenderedPageBreak/>
              <w:t>码</w:t>
            </w:r>
          </w:p>
        </w:tc>
        <w:tc>
          <w:tcPr>
            <w:tcW w:type="dxa" w:w="2739"/>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lastRenderedPageBreak/>
              <w:t/>
            </w:r>
            <w:proofErr w:type="spellStart"/>
            <w:r w:rsidRPr="00B34368">
              <w:rPr>
                <w:rFonts w:eastAsiaTheme="minorEastAsia"/>
                <w:color w:themeColor="text1" w:val="000000"/>
                <w:sz w:val="24"/>
              </w:rPr>
              <w:t/>
            </w:r>
            <w:r w:rsidRPr="00B34368">
              <w:rPr>
                <w:rFonts w:eastAsiaTheme="minorEastAsia"/>
                <w:color w:themeColor="text1" w:val="000000"/>
                <w:sz w:val="24"/>
              </w:rPr>
              <w:lastRenderedPageBreak/>
              <w:t/>
            </w:r>
            <w:proofErr w:type="spellEnd"/>
            <w:r w:rsidR="0042785F" w:rsidRPr="00B34368">
              <w:rPr>
                <w:rFonts w:eastAsiaTheme="minorEastAsia"/>
                <w:color w:themeColor="text1" w:val="000000"/>
                <w:sz w:val="24"/>
              </w:rPr>
              <w:t/>
            </w:r>
            <w:r w:rsidRPr="00B34368">
              <w:rPr>
                <w:rFonts w:eastAsiaTheme="minorEastAsia"/>
                <w:color w:themeColor="text1" w:val="000000"/>
                <w:sz w:val="24"/>
              </w:rPr>
              <w:t>007028</w:t>
            </w:r>
          </w:p>
        </w:tc>
        <w:tc>
          <w:tcPr>
            <w:tcW w:type="dxa" w:w="2740"/>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lastRenderedPageBreak/>
              <w:t/>
            </w:r>
            <w:r w:rsidRPr="00B34368">
              <w:rPr>
                <w:rFonts w:eastAsiaTheme="minorEastAsia"/>
                <w:color w:themeColor="text1" w:val="000000"/>
                <w:sz w:val="24"/>
              </w:rPr>
              <w:t/>
            </w:r>
            <w:r w:rsidRPr="00B34368">
              <w:rPr>
                <w:rFonts w:eastAsiaTheme="minorEastAsia"/>
                <w:color w:themeColor="text1" w:val="000000"/>
                <w:sz w:val="24"/>
              </w:rPr>
              <w:lastRenderedPageBreak/>
              <w:t/>
            </w:r>
            <w:r w:rsidR="004D614E" w:rsidRPr="00B34368">
              <w:rPr>
                <w:rFonts w:eastAsiaTheme="minorEastAsia"/>
                <w:color w:themeColor="text1" w:val="000000"/>
                <w:sz w:val="24"/>
              </w:rPr>
              <w:t/>
            </w:r>
            <w:r w:rsidR="00FE7FBD" w:rsidRPr="00B34368">
              <w:rPr>
                <w:rFonts w:eastAsiaTheme="minorEastAsia"/>
                <w:color w:themeColor="text1" w:val="000000"/>
                <w:sz w:val="24"/>
              </w:rPr>
              <w:t>007029</w:t>
            </w:r>
          </w:p>
        </w:tc>
      </w:tr>
      <w:tr w:rsidR="00D3639B" w:rsidRPr="00B34368" w:rsidTr="00950413">
        <w:tc>
          <w:tcPr>
            <w:tcW w:type="dxa" w:w="2835"/>
          </w:tcPr>
          <w:p w:rsidP="00E205AA" w:rsidR="00950413" w:rsidRDefault="00950413"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lastRenderedPageBreak/>
              <w:t>报告期末下属</w:t>
            </w:r>
            <w:r w:rsidR="00075E4E">
              <w:rPr>
                <w:rFonts w:eastAsiaTheme="minorEastAsia" w:hAnsiTheme="minorEastAsia" w:hint="eastAsia"/>
                <w:color w:themeColor="text1" w:val="000000"/>
                <w:sz w:val="24"/>
              </w:rPr>
              <w:t>分</w:t>
            </w:r>
            <w:r w:rsidRPr="00B34368">
              <w:rPr>
                <w:rFonts w:eastAsiaTheme="minorEastAsia" w:hAnsiTheme="minorEastAsia"/>
                <w:color w:themeColor="text1" w:val="000000"/>
                <w:sz w:val="24"/>
              </w:rPr>
              <w:t>级基金的份额总额</w:t>
            </w:r>
          </w:p>
        </w:tc>
        <w:tc>
          <w:tcPr>
            <w:tcW w:type="dxa" w:w="2739"/>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t/>
            </w:r>
            <w:r w:rsidR="005D4CBA" w:rsidRPr="00B34368">
              <w:rPr>
                <w:rFonts w:eastAsiaTheme="minorEastAsia"/>
                <w:color w:themeColor="text1" w:val="000000"/>
                <w:kern w:val="0"/>
                <w:sz w:val="24"/>
              </w:rPr>
              <w:t/>
            </w:r>
            <w:proofErr w:type="spellStart"/>
            <w:r w:rsidR="005D4CBA" w:rsidRPr="00B34368">
              <w:rPr>
                <w:rFonts w:eastAsiaTheme="minorEastAsia"/>
                <w:color w:themeColor="text1" w:val="000000"/>
                <w:kern w:val="0"/>
                <w:sz w:val="24"/>
              </w:rPr>
              <w:t/>
            </w:r>
            <w:proofErr w:type="spellEnd"/>
            <w:r w:rsidRPr="00B34368">
              <w:rPr>
                <w:rFonts w:eastAsiaTheme="minorEastAsia"/>
                <w:color w:themeColor="text1" w:val="000000"/>
                <w:sz w:val="24"/>
              </w:rPr>
              <w:t/>
            </w:r>
            <w:r w:rsidR="0042785F" w:rsidRPr="00B34368">
              <w:rPr>
                <w:rFonts w:eastAsiaTheme="minorEastAsia"/>
                <w:color w:themeColor="text1" w:val="000000"/>
                <w:sz w:val="24"/>
              </w:rPr>
              <w:t/>
            </w:r>
            <w:r w:rsidRPr="00B34368">
              <w:rPr>
                <w:rFonts w:eastAsiaTheme="minorEastAsia"/>
                <w:color w:themeColor="text1" w:val="000000"/>
                <w:sz w:val="24"/>
              </w:rPr>
              <w:t>309,606,432.83</w:t>
            </w:r>
            <w:r w:rsidR="00D305C9" w:rsidRPr="00B34368">
              <w:rPr>
                <w:rFonts w:eastAsiaTheme="minorEastAsia" w:hAnsiTheme="minorEastAsia"/>
                <w:color w:themeColor="text1" w:val="000000"/>
                <w:kern w:val="0"/>
                <w:sz w:val="24"/>
              </w:rPr>
              <w:t>份</w:t>
            </w:r>
          </w:p>
        </w:tc>
        <w:tc>
          <w:tcPr>
            <w:tcW w:type="dxa" w:w="2740"/>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t/>
            </w:r>
            <w:r w:rsidR="005D4CBA" w:rsidRPr="00B34368">
              <w:rPr>
                <w:rFonts w:eastAsiaTheme="minorEastAsia"/>
                <w:color w:themeColor="text1" w:val="000000"/>
                <w:kern w:val="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178,842,419.69</w:t>
            </w:r>
            <w:r w:rsidR="00D305C9" w:rsidRPr="00B34368">
              <w:rPr>
                <w:rFonts w:eastAsiaTheme="minorEastAsia" w:hAnsiTheme="minorEastAsia"/>
                <w:color w:themeColor="text1" w:val="000000"/>
                <w:kern w:val="0"/>
                <w:sz w:val="24"/>
              </w:rPr>
              <w:t>份</w:t>
            </w:r>
          </w:p>
        </w:tc>
      </w:tr>
    </w:tbl>
    <w:p w:rsidP="00C544B8" w:rsidR="002C32ED" w:rsidRDefault="002C32ED" w:rsidRPr="00B34368">
      <w:pPr>
        <w:pStyle w:val="2"/>
        <w:keepNext w:val="0"/>
        <w:keepLines w:val="0"/>
        <w:spacing w:after="0" w:before="312" w:beforeLines="100"/>
        <w:rPr>
          <w:rFonts w:ascii="Times New Roman" w:cs="Times New Roman" w:eastAsiaTheme="minorEastAsia" w:hAnsi="Times New Roman"/>
          <w:color w:themeColor="text1" w:val="000000"/>
          <w:szCs w:val="24"/>
        </w:rPr>
      </w:pPr>
      <w:r w:rsidRPr="00B34368">
        <w:rPr>
          <w:rFonts w:ascii="Times New Roman" w:cs="Times New Roman" w:eastAsiaTheme="minorEastAsia" w:hAnsi="Times New Roman"/>
          <w:color w:themeColor="text1" w:val="000000"/>
          <w:szCs w:val="24"/>
        </w:rPr>
        <w:t>2.1.1</w:t>
      </w:r>
      <w:r w:rsidRPr="00B34368">
        <w:rPr>
          <w:rFonts w:ascii="Times New Roman" w:cs="Times New Roman" w:eastAsiaTheme="minorEastAsia" w:hAnsiTheme="minorEastAsia"/>
          <w:color w:themeColor="text1" w:val="000000"/>
          <w:szCs w:val="24"/>
        </w:rPr>
        <w:t>目标基金基本情况</w:t>
      </w:r>
    </w:p>
    <w:tbl>
      <w:tblPr>
        <w:tblW w:type="dxa" w:w="846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2724"/>
        <w:gridCol w:w="5736"/>
      </w:tblGrid>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基金名称</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易方达中证500交易型开放式指数证券投资基金</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基金主代码</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510580</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基金运作方式</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交易型开放式（ETF）</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基金合同生效日</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2015年8月27日</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基金份额上市的证券交易所</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上海证券交易所</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上市日期</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2015年9月14日</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基金管理人名称</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易方达基金管理有限公司</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基金托管人名称</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中国工商银行股份有限公司</w:t>
            </w:r>
          </w:p>
        </w:tc>
      </w:tr>
    </w:tbl>
    <w:p w:rsidP="00C544B8" w:rsidR="002C32ED" w:rsidRDefault="002C32ED" w:rsidRPr="00B34368">
      <w:pPr>
        <w:pStyle w:val="2"/>
        <w:keepNext w:val="0"/>
        <w:keepLines w:val="0"/>
        <w:spacing w:after="0" w:before="312" w:beforeLines="100"/>
        <w:rPr>
          <w:rFonts w:ascii="Times New Roman" w:cs="Times New Roman" w:eastAsiaTheme="minorEastAsia" w:hAnsi="Times New Roman"/>
          <w:color w:themeColor="text1" w:val="000000"/>
          <w:szCs w:val="24"/>
        </w:rPr>
      </w:pPr>
      <w:r w:rsidRPr="00B34368">
        <w:rPr>
          <w:rFonts w:ascii="Times New Roman" w:cs="Times New Roman" w:eastAsiaTheme="minorEastAsia" w:hAnsi="Times New Roman"/>
          <w:color w:themeColor="text1" w:val="000000"/>
          <w:szCs w:val="24"/>
        </w:rPr>
        <w:t>2.1.2</w:t>
      </w:r>
      <w:r w:rsidRPr="00B34368">
        <w:rPr>
          <w:rFonts w:ascii="Times New Roman" w:cs="Times New Roman" w:eastAsiaTheme="minorEastAsia" w:hAnsiTheme="minorEastAsia"/>
          <w:color w:themeColor="text1" w:val="000000"/>
          <w:szCs w:val="24"/>
        </w:rPr>
        <w:t>目标基金产品说明</w:t>
      </w:r>
    </w:p>
    <w:tbl>
      <w:tblPr>
        <w:tblW w:type="dxa" w:w="846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ook w:firstColumn="0" w:firstRow="0" w:lastColumn="0" w:lastRow="0" w:noHBand="0" w:noVBand="0" w:val="0000"/>
      </w:tblPr>
      <w:tblGrid>
        <w:gridCol w:w="2820"/>
        <w:gridCol w:w="5640"/>
      </w:tblGrid>
      <w:tr w:rsidR="00D3639B" w:rsidRPr="00B34368" w:rsidTr="004E70B7">
        <w:tc>
          <w:tcPr>
            <w:tcW w:type="dxa" w:w="2820"/>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投资目标</w:t>
            </w:r>
          </w:p>
        </w:tc>
        <w:tc>
          <w:tcPr>
            <w:tcW w:type="dxa" w:w="5640"/>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紧密跟踪标的指数，追求跟踪偏离度和跟踪误差的最小化。</w:t>
            </w:r>
          </w:p>
        </w:tc>
      </w:tr>
      <w:tr w:rsidR="00D3639B" w:rsidRPr="00B34368" w:rsidTr="004E70B7">
        <w:tc>
          <w:tcPr>
            <w:tcW w:type="dxa" w:w="2820"/>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投资策略</w:t>
            </w:r>
          </w:p>
        </w:tc>
        <w:tc>
          <w:tcPr>
            <w:tcW w:type="dxa" w:w="5640"/>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本基金主要采取完全复制法，即完全按照标的指数的成份股组成及其权重构建基金股票投资组合，并根据标的指数成份股及其权重的变动进行相应调整。但在因特殊情形导致基金无法完全投资于标的指数成份股时，基金管理人可采取其他指数投资技术适当调整基金投资组合，以达到紧密跟踪标的指数的目的。本基金可投资股指期货和其他经中国证监会允许的衍生金融产品。本基金投资股指期货将根据风险管理的原则，以套期保值为目的，主要选择流动性好、交易活跃的股指期货合约。在正常市场情况下，本基金力争日均跟踪偏离度的绝对值不超过0.2%，年化跟踪误差不超过2%。</w:t>
            </w:r>
          </w:p>
        </w:tc>
      </w:tr>
      <w:tr w:rsidR="00D3639B" w:rsidRPr="00B34368" w:rsidTr="004E70B7">
        <w:tc>
          <w:tcPr>
            <w:tcW w:type="dxa" w:w="2820"/>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业绩比较基准</w:t>
            </w:r>
          </w:p>
        </w:tc>
        <w:tc>
          <w:tcPr>
            <w:tcW w:type="dxa" w:w="5640"/>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中证500指数</w:t>
            </w:r>
          </w:p>
        </w:tc>
      </w:tr>
      <w:tr w:rsidR="00D3639B" w:rsidRPr="00B34368" w:rsidTr="004E70B7">
        <w:tc>
          <w:tcPr>
            <w:tcW w:type="dxa" w:w="2820"/>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风险收益特征</w:t>
            </w:r>
          </w:p>
        </w:tc>
        <w:tc>
          <w:tcPr>
            <w:tcW w:type="dxa" w:w="5640"/>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本基金属股票型基金，预期风险与预期收益水平高于混合型基金、债券型基金与货币市场基金。本基金为指数型基金，主要采用完全复制法跟踪标的指数的表现，具有与标的指数相似的风险收益特征。</w:t>
            </w:r>
          </w:p>
        </w:tc>
      </w:tr>
    </w:tbl>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t xml:space="preserve">§3  </w:t>
      </w:r>
      <w:r w:rsidRPr="00B34368">
        <w:rPr>
          <w:rFonts w:eastAsiaTheme="minorEastAsia" w:hAnsiTheme="minorEastAsia"/>
          <w:color w:themeColor="text1" w:val="000000"/>
          <w:kern w:val="0"/>
          <w:sz w:val="24"/>
          <w:szCs w:val="24"/>
        </w:rPr>
        <w:t>主要财务指标和基金净值表现</w:t>
      </w:r>
    </w:p>
    <w:p w:rsidP="00FC13C8" w:rsidR="009238DB" w:rsidRDefault="009238DB" w:rsidRPr="00B34368">
      <w:pPr>
        <w:autoSpaceDE w:val="0"/>
        <w:autoSpaceDN w:val="0"/>
        <w:adjustRightInd w:val="0"/>
        <w:spacing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3.1 </w:t>
      </w:r>
      <w:r w:rsidRPr="00B34368">
        <w:rPr>
          <w:rFonts w:eastAsiaTheme="minorEastAsia" w:hAnsiTheme="minorEastAsia"/>
          <w:b/>
          <w:color w:themeColor="text1" w:val="000000"/>
          <w:kern w:val="0"/>
          <w:sz w:val="24"/>
        </w:rPr>
        <w:t>主要财务指标</w:t>
      </w:r>
    </w:p>
    <w:p w:rsidP="00E27360" w:rsidR="009238DB" w:rsidRDefault="009238DB" w:rsidRPr="00B34368">
      <w:pPr>
        <w:autoSpaceDE w:val="0"/>
        <w:autoSpaceDN w:val="0"/>
        <w:adjustRightInd w:val="0"/>
        <w:spacing w:before="29" w:line="288" w:lineRule="auto"/>
        <w:ind w:left="15" w:right="480"/>
        <w:jc w:val="right"/>
        <w:rPr>
          <w:rFonts w:eastAsiaTheme="minorEastAsia"/>
          <w:color w:themeColor="text1" w:val="000000"/>
          <w:kern w:val="0"/>
          <w:sz w:val="24"/>
        </w:rPr>
      </w:pPr>
      <w:r w:rsidRPr="00B34368">
        <w:rPr>
          <w:rFonts w:eastAsiaTheme="minorEastAsia" w:hAnsiTheme="minorEastAsia"/>
          <w:color w:themeColor="text1" w:val="000000"/>
          <w:kern w:val="0"/>
          <w:sz w:val="24"/>
        </w:rPr>
        <w:lastRenderedPageBreak/>
        <w:t>单位：人民币元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481"/>
        <w:gridCol w:w="2481"/>
      </w:tblGrid>
      <w:tr w:rsidR="00D3639B" w:rsidRPr="00B34368" w:rsidTr="008B5312">
        <w:tc>
          <w:tcPr>
            <w:tcW w:type="dxa" w:w="3402"/>
            <w:vMerge w:val="restart"/>
            <w:vAlign w:val="center"/>
          </w:tcPr>
          <w:p w:rsidP="00E205AA" w:rsidR="009E549D" w:rsidRDefault="009E549D" w:rsidRPr="00B34368">
            <w:pPr>
              <w:adjustRightInd w:val="0"/>
              <w:spacing w:before="29" w:line="360" w:lineRule="auto"/>
              <w:ind w:left="17"/>
              <w:jc w:val="center"/>
              <w:rPr>
                <w:rFonts w:eastAsiaTheme="minorEastAsia"/>
                <w:color w:themeColor="text1" w:val="000000"/>
                <w:kern w:val="0"/>
                <w:sz w:val="24"/>
              </w:rPr>
            </w:pPr>
            <w:r w:rsidRPr="00B34368">
              <w:rPr>
                <w:rFonts w:eastAsiaTheme="minorEastAsia" w:hAnsiTheme="minorEastAsia"/>
                <w:color w:themeColor="text1" w:val="000000"/>
                <w:kern w:val="0"/>
                <w:sz w:val="24"/>
              </w:rPr>
              <w:t>主要财务指标</w:t>
            </w:r>
          </w:p>
        </w:tc>
        <w:tc>
          <w:tcPr>
            <w:tcW w:type="dxa" w:w="4962"/>
            <w:gridSpan w:val="2"/>
            <w:vAlign w:val="center"/>
          </w:tcPr>
          <w:p w:rsidP="00E205AA" w:rsidR="002976E5" w:rsidRDefault="009E549D" w:rsidRPr="00B34368">
            <w:pPr>
              <w:adjustRightInd w:val="0"/>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报告期</w:t>
            </w:r>
          </w:p>
          <w:p w:rsidP="00E205AA" w:rsidR="009E549D" w:rsidRDefault="009E549D" w:rsidRPr="00B34368">
            <w:pPr>
              <w:adjustRightInd w:val="0"/>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2020年4月1日-</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2020年6月30日)</w:t>
            </w:r>
          </w:p>
        </w:tc>
      </w:tr>
      <w:tr w:rsidR="00D3639B" w:rsidRPr="00B34368" w:rsidTr="008B5312">
        <w:tc>
          <w:tcPr>
            <w:tcW w:type="dxa" w:w="3402"/>
            <w:vMerge/>
            <w:vAlign w:val="center"/>
          </w:tcPr>
          <w:p w:rsidP="00E205AA" w:rsidR="009E549D" w:rsidRDefault="009E549D" w:rsidRPr="00B34368">
            <w:pPr>
              <w:adjustRightInd w:val="0"/>
              <w:spacing w:before="29" w:line="360" w:lineRule="auto"/>
              <w:ind w:left="17"/>
              <w:jc w:val="center"/>
              <w:rPr>
                <w:rFonts w:eastAsiaTheme="minorEastAsia"/>
                <w:color w:themeColor="text1" w:val="000000"/>
                <w:kern w:val="0"/>
                <w:sz w:val="24"/>
              </w:rPr>
            </w:pPr>
          </w:p>
        </w:tc>
        <w:tc>
          <w:tcPr>
            <w:tcW w:type="dxa" w:w="2481"/>
            <w:vAlign w:val="center"/>
          </w:tcPr>
          <w:p w:rsidP="00E205AA" w:rsidR="009E549D" w:rsidRDefault="009E549D" w:rsidRPr="00B34368">
            <w:pPr>
              <w:adjustRightInd w:val="0"/>
              <w:spacing w:before="29" w:line="360" w:lineRule="auto"/>
              <w:ind w:left="17"/>
              <w:jc w:val="center"/>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易方达中证500ETF联接发起式A</w:t>
            </w:r>
          </w:p>
        </w:tc>
        <w:tc>
          <w:tcPr>
            <w:tcW w:type="dxa" w:w="2481"/>
            <w:vAlign w:val="center"/>
          </w:tcPr>
          <w:p w:rsidP="00E205AA" w:rsidR="009E549D" w:rsidRDefault="009E549D" w:rsidRPr="00B34368">
            <w:pPr>
              <w:adjustRightInd w:val="0"/>
              <w:spacing w:before="29" w:line="360" w:lineRule="auto"/>
              <w:ind w:left="17"/>
              <w:jc w:val="center"/>
              <w:rPr>
                <w:rFonts w:eastAsiaTheme="minorEastAsia"/>
                <w:color w:themeColor="text1" w:val="000000"/>
                <w:sz w:val="24"/>
              </w:rPr>
            </w:pPr>
            <w:r w:rsidRPr="00B34368">
              <w:rPr>
                <w:rFonts w:eastAsiaTheme="minorEastAsia"/>
                <w:color w:themeColor="text1" w:val="000000"/>
                <w:kern w:val="0"/>
                <w:sz w:val="24"/>
              </w:rPr>
              <w:t/>
            </w: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易方达中证500ETF联接发起式C</w:t>
            </w:r>
          </w:p>
        </w:tc>
      </w:tr>
      <w:tr w:rsidR="00D3639B" w:rsidRPr="00B34368" w:rsidTr="00973B57">
        <w:tc>
          <w:tcPr>
            <w:tcW w:type="dxa" w:w="3402"/>
          </w:tcPr>
          <w:p w:rsidP="00973B57" w:rsidR="005F293E" w:rsidRDefault="005F293E" w:rsidRPr="00B34368">
            <w:pPr>
              <w:adjustRightInd w:val="0"/>
              <w:spacing w:before="29" w:line="360" w:lineRule="auto"/>
              <w:ind w:left="17"/>
              <w:rPr>
                <w:rFonts w:eastAsiaTheme="minorEastAsia"/>
                <w:color w:themeColor="text1" w:val="000000"/>
                <w:kern w:val="0"/>
                <w:sz w:val="24"/>
              </w:rPr>
            </w:pPr>
            <w:r w:rsidRPr="00B34368">
              <w:rPr>
                <w:rFonts w:eastAsiaTheme="minorEastAsia"/>
                <w:color w:themeColor="text1" w:val="000000"/>
                <w:kern w:val="0"/>
                <w:sz w:val="24"/>
              </w:rPr>
              <w:t>1.</w:t>
            </w:r>
            <w:r w:rsidRPr="00B34368">
              <w:rPr>
                <w:rFonts w:eastAsiaTheme="minorEastAsia" w:hAnsiTheme="minorEastAsia"/>
                <w:color w:themeColor="text1" w:val="000000"/>
                <w:kern w:val="0"/>
                <w:sz w:val="24"/>
              </w:rPr>
              <w:t>本期已实现收益</w:t>
            </w:r>
          </w:p>
        </w:tc>
        <w:tc>
          <w:tcPr>
            <w:tcW w:type="dxa" w:w="2481"/>
            <w:vAlign w:val="bottom"/>
          </w:tcPr>
          <w:p w:rsidP="00973B57"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11,747,510.36</w:t>
            </w:r>
          </w:p>
        </w:tc>
        <w:tc>
          <w:tcPr>
            <w:tcW w:type="dxa" w:w="2481"/>
            <w:vAlign w:val="bottom"/>
          </w:tcPr>
          <w:p w:rsidP="0037768B"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AD3905" w:rsidRPr="00B34368">
              <w:rPr>
                <w:rFonts w:eastAsiaTheme="minorEastAsia"/>
                <w:color w:themeColor="text1" w:val="000000"/>
                <w:sz w:val="24"/>
              </w:rPr>
              <w:t/>
            </w:r>
            <w:r w:rsidR="0037768B" w:rsidRPr="00B34368">
              <w:rPr>
                <w:rFonts w:eastAsiaTheme="minorEastAsia"/>
                <w:color w:themeColor="text1" w:val="000000"/>
                <w:sz w:val="24"/>
              </w:rPr>
              <w:t/>
            </w: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7,128,135.06</w:t>
            </w:r>
          </w:p>
        </w:tc>
      </w:tr>
      <w:tr w:rsidR="00D3639B" w:rsidRPr="00B34368" w:rsidTr="009A5C1D">
        <w:tc>
          <w:tcPr>
            <w:tcW w:type="dxa" w:w="3402"/>
          </w:tcPr>
          <w:p w:rsidP="00E205AA" w:rsidR="005F293E" w:rsidRDefault="005F293E" w:rsidRPr="00B34368">
            <w:pPr>
              <w:adjustRightInd w:val="0"/>
              <w:spacing w:before="29" w:line="360" w:lineRule="auto"/>
              <w:ind w:left="17"/>
              <w:rPr>
                <w:rFonts w:eastAsiaTheme="minorEastAsia"/>
                <w:color w:themeColor="text1" w:val="000000"/>
                <w:kern w:val="0"/>
                <w:sz w:val="24"/>
              </w:rPr>
            </w:pPr>
            <w:r w:rsidRPr="00B34368">
              <w:rPr>
                <w:rFonts w:eastAsiaTheme="minorEastAsia"/>
                <w:color w:themeColor="text1" w:val="000000"/>
                <w:kern w:val="0"/>
                <w:sz w:val="24"/>
              </w:rPr>
              <w:t>2.</w:t>
            </w:r>
            <w:r w:rsidRPr="00B34368">
              <w:rPr>
                <w:rFonts w:eastAsiaTheme="minorEastAsia" w:hAnsiTheme="minorEastAsia"/>
                <w:color w:themeColor="text1" w:val="000000"/>
                <w:kern w:val="0"/>
                <w:sz w:val="24"/>
              </w:rPr>
              <w:t>本期利润</w:t>
            </w:r>
          </w:p>
        </w:tc>
        <w:tc>
          <w:tcPr>
            <w:tcW w:type="dxa" w:w="2481"/>
            <w:vAlign w:val="bottom"/>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65,393,744.42</w:t>
            </w:r>
          </w:p>
        </w:tc>
        <w:tc>
          <w:tcPr>
            <w:tcW w:type="dxa" w:w="2481"/>
            <w:vAlign w:val="bottom"/>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37,229,915.25</w:t>
            </w:r>
          </w:p>
        </w:tc>
      </w:tr>
      <w:tr w:rsidR="00D3639B" w:rsidRPr="00B34368" w:rsidTr="009A5C1D">
        <w:tc>
          <w:tcPr>
            <w:tcW w:type="dxa" w:w="3402"/>
          </w:tcPr>
          <w:p w:rsidP="00E205AA" w:rsidR="005F293E" w:rsidRDefault="005F293E" w:rsidRPr="00B34368">
            <w:pPr>
              <w:adjustRightInd w:val="0"/>
              <w:spacing w:before="29" w:line="360" w:lineRule="auto"/>
              <w:ind w:left="17"/>
              <w:rPr>
                <w:rFonts w:eastAsiaTheme="minorEastAsia"/>
                <w:color w:themeColor="text1" w:val="000000"/>
                <w:kern w:val="0"/>
                <w:sz w:val="24"/>
              </w:rPr>
            </w:pPr>
            <w:r w:rsidRPr="00B34368">
              <w:rPr>
                <w:rFonts w:eastAsiaTheme="minorEastAsia"/>
                <w:color w:themeColor="text1" w:val="000000"/>
                <w:kern w:val="0"/>
                <w:sz w:val="24"/>
              </w:rPr>
              <w:t>3.</w:t>
            </w:r>
            <w:r w:rsidRPr="00B34368">
              <w:rPr>
                <w:rFonts w:eastAsiaTheme="minorEastAsia" w:hAnsiTheme="minorEastAsia"/>
                <w:color w:themeColor="text1" w:val="000000"/>
                <w:kern w:val="0"/>
                <w:sz w:val="24"/>
              </w:rPr>
              <w:t>加权平均基金份额本期利润</w:t>
            </w:r>
          </w:p>
        </w:tc>
        <w:tc>
          <w:tcPr>
            <w:tcW w:type="dxa" w:w="2481"/>
            <w:vAlign w:val="bottom"/>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0.1773</w:t>
            </w:r>
          </w:p>
        </w:tc>
        <w:tc>
          <w:tcPr>
            <w:tcW w:type="dxa" w:w="2481"/>
            <w:vAlign w:val="bottom"/>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0.1721</w:t>
            </w:r>
          </w:p>
        </w:tc>
      </w:tr>
      <w:tr w:rsidR="00D3639B" w:rsidRPr="00B34368" w:rsidTr="009A5C1D">
        <w:tc>
          <w:tcPr>
            <w:tcW w:type="dxa" w:w="3402"/>
          </w:tcPr>
          <w:p w:rsidP="00E205AA" w:rsidR="005F293E" w:rsidRDefault="005F293E" w:rsidRPr="00B34368">
            <w:pPr>
              <w:adjustRightInd w:val="0"/>
              <w:spacing w:before="29" w:line="360" w:lineRule="auto"/>
              <w:ind w:left="17"/>
              <w:rPr>
                <w:rFonts w:eastAsiaTheme="minorEastAsia"/>
                <w:color w:themeColor="text1" w:val="000000"/>
                <w:kern w:val="0"/>
                <w:sz w:val="24"/>
              </w:rPr>
            </w:pPr>
            <w:r w:rsidRPr="00B34368">
              <w:rPr>
                <w:rFonts w:eastAsiaTheme="minorEastAsia"/>
                <w:color w:themeColor="text1" w:val="000000"/>
                <w:kern w:val="0"/>
                <w:sz w:val="24"/>
              </w:rPr>
              <w:t>4.</w:t>
            </w:r>
            <w:r w:rsidRPr="00B34368">
              <w:rPr>
                <w:rFonts w:eastAsiaTheme="minorEastAsia" w:hAnsiTheme="minorEastAsia"/>
                <w:color w:themeColor="text1" w:val="000000"/>
                <w:kern w:val="0"/>
                <w:sz w:val="24"/>
              </w:rPr>
              <w:t>期末基金资产净值</w:t>
            </w:r>
          </w:p>
        </w:tc>
        <w:tc>
          <w:tcPr>
            <w:tcW w:type="dxa" w:w="2481"/>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366,186,343.25</w:t>
            </w:r>
          </w:p>
        </w:tc>
        <w:tc>
          <w:tcPr>
            <w:tcW w:type="dxa" w:w="2481"/>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211,177,519.01</w:t>
            </w:r>
          </w:p>
        </w:tc>
      </w:tr>
      <w:tr w:rsidR="00D3639B" w:rsidRPr="00B34368" w:rsidTr="009A5C1D">
        <w:trPr>
          <w:trHeight w:val="158"/>
        </w:trPr>
        <w:tc>
          <w:tcPr>
            <w:tcW w:type="dxa" w:w="3402"/>
          </w:tcPr>
          <w:p w:rsidP="00E205AA" w:rsidR="005F293E" w:rsidRDefault="005F293E" w:rsidRPr="00B34368">
            <w:pPr>
              <w:adjustRightInd w:val="0"/>
              <w:spacing w:before="29" w:line="360" w:lineRule="auto"/>
              <w:ind w:left="17"/>
              <w:rPr>
                <w:rFonts w:eastAsiaTheme="minorEastAsia"/>
                <w:color w:themeColor="text1" w:val="000000"/>
                <w:kern w:val="0"/>
                <w:sz w:val="24"/>
              </w:rPr>
            </w:pPr>
            <w:r w:rsidRPr="00B34368">
              <w:rPr>
                <w:rFonts w:eastAsiaTheme="minorEastAsia"/>
                <w:color w:themeColor="text1" w:val="000000"/>
                <w:kern w:val="0"/>
                <w:sz w:val="24"/>
              </w:rPr>
              <w:t>5.</w:t>
            </w:r>
            <w:r w:rsidRPr="00B34368">
              <w:rPr>
                <w:rFonts w:eastAsiaTheme="minorEastAsia" w:hAnsiTheme="minorEastAsia"/>
                <w:color w:themeColor="text1" w:val="000000"/>
                <w:kern w:val="0"/>
                <w:sz w:val="24"/>
              </w:rPr>
              <w:t>期末基金份额净值</w:t>
            </w:r>
          </w:p>
        </w:tc>
        <w:tc>
          <w:tcPr>
            <w:tcW w:type="dxa" w:w="2481"/>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1.1827</w:t>
            </w:r>
          </w:p>
        </w:tc>
        <w:tc>
          <w:tcPr>
            <w:tcW w:type="dxa" w:w="2481"/>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1.1808</w:t>
            </w:r>
          </w:p>
        </w:tc>
      </w:tr>
    </w:tbl>
    <w:p>
      <w:pPr>
        <w:autoSpaceDE w:val="0"/>
        <w:autoSpaceDN w:val="0"/>
        <w:adjustRightInd w:val="0"/>
        <w:spacing w:line="360" w:lineRule="auto"/>
        <w:ind w:firstLine="480" w:firstLineChars="200"/>
        <w:jc w:val="left"/>
        <w:rPr>
          <w:rFonts w:eastAsiaTheme="minorEastAsia"/>
          <w:color w:themeColor="text1" w:val="000000"/>
          <w:sz w:val="24"/>
        </w:rPr>
      </w:pPr>
      <w:r>
        <w:rPr>
          <w:rFonts w:eastAsiaTheme="minorEastAsia"/>
          <w:color w:themeColor="text1" w:val="000000"/>
          <w:sz w:val="24"/>
        </w:rPr>
        <w:t>注：1.所述基金业绩指标不包括持有人认购或交易基金的各项费用,计入费用后实际收益水平要低于所列数字。</w:t>
      </w:r>
    </w:p>
    <w:p w:rsidP="00B34368" w:rsidR="009238DB" w:rsidRDefault="005E01A3"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r w:rsidR="00FE7FBD" w:rsidRPr="00B34368">
        <w:rPr>
          <w:rFonts w:eastAsiaTheme="minorEastAsia"/>
          <w:color w:themeColor="text1" w:val="000000"/>
          <w:sz w:val="24"/>
        </w:rPr>
        <w:t/>
      </w: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 xml:space="preserve">2.本期已实现收益指基金本期利息收入、投资收益、其他收入(不含公允价值变动收益)扣除相关费用后的余额,本期利润为本期已实现收益加上本期公允价值变动收益。 </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3.2 </w:t>
      </w:r>
      <w:r w:rsidRPr="00B34368">
        <w:rPr>
          <w:rFonts w:eastAsiaTheme="minorEastAsia" w:hAnsiTheme="minorEastAsia"/>
          <w:b/>
          <w:color w:themeColor="text1" w:val="000000"/>
          <w:kern w:val="0"/>
          <w:sz w:val="24"/>
        </w:rPr>
        <w:t>基金净值表现</w:t>
      </w:r>
    </w:p>
    <w:p w:rsidP="00FC13C8" w:rsidR="009238DB" w:rsidRDefault="009238DB" w:rsidRPr="00B34368">
      <w:pPr>
        <w:autoSpaceDE w:val="0"/>
        <w:autoSpaceDN w:val="0"/>
        <w:adjustRightInd w:val="0"/>
        <w:spacing w:line="360" w:lineRule="auto"/>
        <w:jc w:val="left"/>
        <w:rPr>
          <w:rFonts w:eastAsiaTheme="minorEastAsia"/>
          <w:b/>
          <w:color w:themeColor="text1" w:val="000000"/>
          <w:kern w:val="0"/>
          <w:sz w:val="24"/>
        </w:rPr>
      </w:pPr>
      <w:r w:rsidRPr="00B34368">
        <w:rPr>
          <w:rFonts w:eastAsiaTheme="minorEastAsia"/>
          <w:b/>
          <w:color w:themeColor="text1" w:val="000000"/>
          <w:kern w:val="0"/>
          <w:sz w:val="24"/>
        </w:rPr>
        <w:t>3.2.1</w:t>
      </w:r>
      <w:r w:rsidRPr="00B34368">
        <w:rPr>
          <w:rFonts w:eastAsiaTheme="minorEastAsia" w:hAnsiTheme="minorEastAsia"/>
          <w:b/>
          <w:color w:themeColor="text1" w:val="000000"/>
          <w:kern w:val="0"/>
          <w:sz w:val="24"/>
        </w:rPr>
        <w:t>本报告</w:t>
      </w:r>
      <w:proofErr w:type="gramStart"/>
      <w:r w:rsidRPr="00B34368">
        <w:rPr>
          <w:rFonts w:eastAsiaTheme="minorEastAsia" w:hAnsiTheme="minorEastAsia"/>
          <w:b/>
          <w:color w:themeColor="text1" w:val="000000"/>
          <w:kern w:val="0"/>
          <w:sz w:val="24"/>
        </w:rPr>
        <w:t>期基金</w:t>
      </w:r>
      <w:proofErr w:type="gramEnd"/>
      <w:r w:rsidRPr="00B34368">
        <w:rPr>
          <w:rFonts w:eastAsiaTheme="minorEastAsia" w:hAnsiTheme="minorEastAsia"/>
          <w:b/>
          <w:color w:themeColor="text1" w:val="000000"/>
          <w:kern w:val="0"/>
          <w:sz w:val="24"/>
        </w:rPr>
        <w:t>份额净值增长率及其与同期业绩比较基准收益率的比较</w:t>
      </w:r>
    </w:p>
    <w:p w:rsidP="00FC13C8" w:rsidR="009238DB" w:rsidRDefault="00A5643A" w:rsidRPr="00B34368">
      <w:pPr>
        <w:spacing w:line="360" w:lineRule="auto"/>
        <w:rPr>
          <w:rFonts w:eastAsiaTheme="minorEastAsia"/>
          <w:b/>
          <w:color w:themeColor="text1" w:val="000000"/>
          <w:sz w:val="24"/>
        </w:rPr>
      </w:pPr>
      <w:r w:rsidRPr="00B34368">
        <w:rPr>
          <w:rFonts w:eastAsiaTheme="minorEastAsia"/>
          <w:b/>
          <w:color w:themeColor="text1" w:val="000000"/>
          <w:kern w:val="0"/>
          <w:sz w:val="24"/>
        </w:rPr>
        <w:t/>
      </w:r>
      <w:proofErr w:type="spellStart"/>
      <w:r w:rsidRPr="00B34368">
        <w:rPr>
          <w:rFonts w:eastAsiaTheme="minorEastAsia"/>
          <w:b/>
          <w:color w:themeColor="text1" w:val="000000"/>
          <w:kern w:val="0"/>
          <w:sz w:val="24"/>
        </w:rPr>
        <w:t/>
      </w:r>
      <w:proofErr w:type="spellEnd"/>
      <w:r w:rsidRPr="00B34368">
        <w:rPr>
          <w:rFonts w:eastAsiaTheme="minorEastAsia"/>
          <w:b/>
          <w:color w:themeColor="text1" w:val="000000"/>
          <w:kern w:val="0"/>
          <w:sz w:val="24"/>
        </w:rPr>
        <w:t/>
      </w:r>
      <w:r w:rsidR="0042785F" w:rsidRPr="00B34368">
        <w:rPr>
          <w:rFonts w:eastAsiaTheme="minorEastAsia"/>
          <w:b/>
          <w:color w:themeColor="text1" w:val="000000"/>
          <w:kern w:val="0"/>
          <w:sz w:val="24"/>
        </w:rPr>
        <w:t/>
      </w:r>
      <w:r w:rsidRPr="00B34368">
        <w:rPr>
          <w:rFonts w:eastAsiaTheme="minorEastAsia"/>
          <w:b/>
          <w:color w:themeColor="text1" w:val="000000"/>
          <w:kern w:val="0"/>
          <w:sz w:val="24"/>
        </w:rPr>
        <w:t>易方达中证500ETF联接发起式A</w:t>
      </w:r>
      <w:r w:rsidR="009238DB" w:rsidRPr="00B34368">
        <w:rPr>
          <w:rFonts w:eastAsiaTheme="minorEastAsia" w:hAnsiTheme="minorEastAsia"/>
          <w:b/>
          <w:color w:themeColor="text1" w:val="000000"/>
          <w:sz w:val="24"/>
        </w:rPr>
        <w:t>：</w:t>
      </w:r>
    </w:p>
    <w:tbl>
      <w:tblPr>
        <w:tblStyle w:val="af2"/>
        <w:tblW w:type="auto" w:w="0"/>
        <w:tblInd w:type="dxa" w:w="108"/>
        <w:tblLayout w:type="fixed"/>
        <w:tblLook w:firstColumn="1" w:firstRow="1" w:lastColumn="0" w:lastRow="0" w:noHBand="0" w:noVBand="1" w:val="04A0"/>
      </w:tblPr>
      <w:tblGrid>
        <w:gridCol w:w="1290"/>
        <w:gridCol w:w="1291"/>
        <w:gridCol w:w="1291"/>
        <w:gridCol w:w="1291"/>
        <w:gridCol w:w="1291"/>
        <w:gridCol w:w="1291"/>
        <w:gridCol w:w="1291"/>
      </w:tblGrid>
      <w:tr w:rsidR="00D3639B" w:rsidRPr="00B34368" w:rsidTr="00975D18">
        <w:tc>
          <w:tcPr>
            <w:tcW w:type="dxa" w:w="1290"/>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阶段</w:t>
            </w:r>
            <w:r w:rsidR="000D4DE9" w:rsidRPr="00B34368">
              <w:rPr>
                <w:rFonts w:eastAsiaTheme="minorEastAsia"/>
                <w:color w:themeColor="text1" w:val="000000"/>
                <w:sz w:val="24"/>
              </w:rPr>
              <w:t/>
            </w:r>
            <w:proofErr w:type="spellStart"/>
            <w:r w:rsidR="000D4DE9" w:rsidRPr="00B34368">
              <w:rPr>
                <w:rFonts w:eastAsiaTheme="minorEastAsia"/>
                <w:color w:themeColor="text1" w:val="000000"/>
                <w:sz w:val="24"/>
              </w:rPr>
              <w:t/>
            </w:r>
            <w:proofErr w:type="spellEnd"/>
            <w:r w:rsidR="000D4DE9" w:rsidRPr="00B34368">
              <w:rPr>
                <w:rFonts w:eastAsiaTheme="minorEastAsia"/>
                <w:color w:themeColor="text1" w:val="000000"/>
                <w:sz w:val="24"/>
              </w:rPr>
              <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净值增长率①</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净值增长率标准差②</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业绩比较基准收益率③</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业绩比较基准收益率标准差④</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①－③</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②－④</w:t>
            </w:r>
          </w:p>
        </w:tc>
      </w:tr>
      <w:tr>
        <w:tc>
          <w:tcPr>
            <w:vAlign w:val="center"/>
          </w:tcPr>
          <w:p>
            <w:pPr>
              <w:jc w:val="left"/>
            </w:pPr>
            <w:r>
              <w:rPr>
                <w:rFonts w:eastAsiaTheme="minorEastAsia"/>
                <w:color w:themeColor="text1" w:val="000000"/>
                <w:sz w:val="24"/>
              </w:rPr>
              <w:t>过去三个月</w:t>
            </w:r>
          </w:p>
        </w:tc>
        <w:tc>
          <w:tcPr>
            <w:vAlign w:val="center"/>
          </w:tcPr>
          <w:p>
            <w:pPr>
              <w:jc w:val="right"/>
            </w:pPr>
            <w:r>
              <w:rPr>
                <w:rFonts w:eastAsiaTheme="minorEastAsia"/>
                <w:color w:themeColor="text1" w:val="000000"/>
                <w:sz w:val="24"/>
              </w:rPr>
              <w:t>17.20%</w:t>
            </w:r>
          </w:p>
        </w:tc>
        <w:tc>
          <w:tcPr>
            <w:vAlign w:val="center"/>
          </w:tcPr>
          <w:p>
            <w:pPr>
              <w:jc w:val="right"/>
            </w:pPr>
            <w:r>
              <w:rPr>
                <w:rFonts w:eastAsiaTheme="minorEastAsia"/>
                <w:color w:themeColor="text1" w:val="000000"/>
                <w:sz w:val="24"/>
              </w:rPr>
              <w:t>1.06%</w:t>
            </w:r>
          </w:p>
        </w:tc>
        <w:tc>
          <w:tcPr>
            <w:vAlign w:val="center"/>
          </w:tcPr>
          <w:p>
            <w:pPr>
              <w:jc w:val="right"/>
            </w:pPr>
            <w:r>
              <w:rPr>
                <w:rFonts w:eastAsiaTheme="minorEastAsia"/>
                <w:color w:themeColor="text1" w:val="000000"/>
                <w:sz w:val="24"/>
              </w:rPr>
              <w:t>15.47%</w:t>
            </w:r>
          </w:p>
        </w:tc>
        <w:tc>
          <w:tcPr>
            <w:vAlign w:val="center"/>
          </w:tcPr>
          <w:p>
            <w:pPr>
              <w:jc w:val="right"/>
            </w:pPr>
            <w:r>
              <w:rPr>
                <w:rFonts w:eastAsiaTheme="minorEastAsia"/>
                <w:color w:themeColor="text1" w:val="000000"/>
                <w:sz w:val="24"/>
              </w:rPr>
              <w:t>1.08%</w:t>
            </w:r>
          </w:p>
        </w:tc>
        <w:tc>
          <w:tcPr>
            <w:vAlign w:val="center"/>
          </w:tcPr>
          <w:p>
            <w:pPr>
              <w:jc w:val="right"/>
            </w:pPr>
            <w:r>
              <w:rPr>
                <w:rFonts w:eastAsiaTheme="minorEastAsia"/>
                <w:color w:themeColor="text1" w:val="000000"/>
                <w:sz w:val="24"/>
              </w:rPr>
              <w:t>1.73%</w:t>
            </w:r>
          </w:p>
        </w:tc>
        <w:tc>
          <w:tcPr>
            <w:vAlign w:val="center"/>
          </w:tcPr>
          <w:p>
            <w:pPr>
              <w:jc w:val="right"/>
            </w:pPr>
            <w:r>
              <w:rPr>
                <w:rFonts w:eastAsiaTheme="minorEastAsia"/>
                <w:color w:themeColor="text1" w:val="000000"/>
                <w:sz w:val="24"/>
              </w:rPr>
              <w:t>-0.02%</w:t>
            </w:r>
          </w:p>
        </w:tc>
      </w:tr>
      <w:tr>
        <w:tc>
          <w:tcPr>
            <w:vAlign w:val="center"/>
          </w:tcPr>
          <w:p>
            <w:pPr>
              <w:jc w:val="left"/>
            </w:pPr>
            <w:r>
              <w:rPr>
                <w:rFonts w:eastAsiaTheme="minorEastAsia"/>
                <w:color w:themeColor="text1" w:val="000000"/>
                <w:sz w:val="24"/>
              </w:rPr>
              <w:t>过去六个月</w:t>
            </w:r>
          </w:p>
        </w:tc>
        <w:tc>
          <w:tcPr>
            <w:vAlign w:val="center"/>
          </w:tcPr>
          <w:p>
            <w:pPr>
              <w:jc w:val="right"/>
            </w:pPr>
            <w:r>
              <w:rPr>
                <w:rFonts w:eastAsiaTheme="minorEastAsia"/>
                <w:color w:themeColor="text1" w:val="000000"/>
                <w:sz w:val="24"/>
              </w:rPr>
              <w:t>13.74%</w:t>
            </w:r>
          </w:p>
        </w:tc>
        <w:tc>
          <w:tcPr>
            <w:vAlign w:val="center"/>
          </w:tcPr>
          <w:p>
            <w:pPr>
              <w:jc w:val="right"/>
            </w:pPr>
            <w:r>
              <w:rPr>
                <w:rFonts w:eastAsiaTheme="minorEastAsia"/>
                <w:color w:themeColor="text1" w:val="000000"/>
                <w:sz w:val="24"/>
              </w:rPr>
              <w:t>1.67%</w:t>
            </w:r>
          </w:p>
        </w:tc>
        <w:tc>
          <w:tcPr>
            <w:vAlign w:val="center"/>
          </w:tcPr>
          <w:p>
            <w:pPr>
              <w:jc w:val="right"/>
            </w:pPr>
            <w:r>
              <w:rPr>
                <w:rFonts w:eastAsiaTheme="minorEastAsia"/>
                <w:color w:themeColor="text1" w:val="000000"/>
                <w:sz w:val="24"/>
              </w:rPr>
              <w:t>10.84%</w:t>
            </w:r>
          </w:p>
        </w:tc>
        <w:tc>
          <w:tcPr>
            <w:vAlign w:val="center"/>
          </w:tcPr>
          <w:p>
            <w:pPr>
              <w:jc w:val="right"/>
            </w:pPr>
            <w:r>
              <w:rPr>
                <w:rFonts w:eastAsiaTheme="minorEastAsia"/>
                <w:color w:themeColor="text1" w:val="000000"/>
                <w:sz w:val="24"/>
              </w:rPr>
              <w:t>1.70%</w:t>
            </w:r>
          </w:p>
        </w:tc>
        <w:tc>
          <w:tcPr>
            <w:vAlign w:val="center"/>
          </w:tcPr>
          <w:p>
            <w:pPr>
              <w:jc w:val="right"/>
            </w:pPr>
            <w:r>
              <w:rPr>
                <w:rFonts w:eastAsiaTheme="minorEastAsia"/>
                <w:color w:themeColor="text1" w:val="000000"/>
                <w:sz w:val="24"/>
              </w:rPr>
              <w:t>2.90%</w:t>
            </w:r>
          </w:p>
        </w:tc>
        <w:tc>
          <w:tcPr>
            <w:vAlign w:val="center"/>
          </w:tcPr>
          <w:p>
            <w:pPr>
              <w:jc w:val="right"/>
            </w:pPr>
            <w:r>
              <w:rPr>
                <w:rFonts w:eastAsiaTheme="minorEastAsia"/>
                <w:color w:themeColor="text1" w:val="000000"/>
                <w:sz w:val="24"/>
              </w:rPr>
              <w:t>-0.03%</w:t>
            </w:r>
          </w:p>
        </w:tc>
      </w:tr>
      <w:tr>
        <w:tc>
          <w:tcPr>
            <w:vAlign w:val="center"/>
          </w:tcPr>
          <w:p>
            <w:pPr>
              <w:jc w:val="left"/>
            </w:pPr>
            <w:r>
              <w:rPr>
                <w:rFonts w:eastAsiaTheme="minorEastAsia"/>
                <w:color w:themeColor="text1" w:val="000000"/>
                <w:sz w:val="24"/>
              </w:rPr>
              <w:t>过去一年</w:t>
            </w:r>
          </w:p>
        </w:tc>
        <w:tc>
          <w:tcPr>
            <w:vAlign w:val="center"/>
          </w:tcPr>
          <w:p>
            <w:pPr>
              <w:jc w:val="right"/>
            </w:pPr>
            <w:r>
              <w:rPr>
                <w:rFonts w:eastAsiaTheme="minorEastAsia"/>
                <w:color w:themeColor="text1" w:val="000000"/>
                <w:sz w:val="24"/>
              </w:rPr>
              <w:t>22.17%</w:t>
            </w:r>
          </w:p>
        </w:tc>
        <w:tc>
          <w:tcPr>
            <w:vAlign w:val="center"/>
          </w:tcPr>
          <w:p>
            <w:pPr>
              <w:jc w:val="right"/>
            </w:pPr>
            <w:r>
              <w:rPr>
                <w:rFonts w:eastAsiaTheme="minorEastAsia"/>
                <w:color w:themeColor="text1" w:val="000000"/>
                <w:sz w:val="24"/>
              </w:rPr>
              <w:t>1.36%</w:t>
            </w:r>
          </w:p>
        </w:tc>
        <w:tc>
          <w:tcPr>
            <w:vAlign w:val="center"/>
          </w:tcPr>
          <w:p>
            <w:pPr>
              <w:jc w:val="right"/>
            </w:pPr>
            <w:r>
              <w:rPr>
                <w:rFonts w:eastAsiaTheme="minorEastAsia"/>
                <w:color w:themeColor="text1" w:val="000000"/>
                <w:sz w:val="24"/>
              </w:rPr>
              <w:t>17.63%</w:t>
            </w:r>
          </w:p>
        </w:tc>
        <w:tc>
          <w:tcPr>
            <w:vAlign w:val="center"/>
          </w:tcPr>
          <w:p>
            <w:pPr>
              <w:jc w:val="right"/>
            </w:pPr>
            <w:r>
              <w:rPr>
                <w:rFonts w:eastAsiaTheme="minorEastAsia"/>
                <w:color w:themeColor="text1" w:val="000000"/>
                <w:sz w:val="24"/>
              </w:rPr>
              <w:t>1.39%</w:t>
            </w:r>
          </w:p>
        </w:tc>
        <w:tc>
          <w:tcPr>
            <w:vAlign w:val="center"/>
          </w:tcPr>
          <w:p>
            <w:pPr>
              <w:jc w:val="right"/>
            </w:pPr>
            <w:r>
              <w:rPr>
                <w:rFonts w:eastAsiaTheme="minorEastAsia"/>
                <w:color w:themeColor="text1" w:val="000000"/>
                <w:sz w:val="24"/>
              </w:rPr>
              <w:t>4.54%</w:t>
            </w:r>
          </w:p>
        </w:tc>
        <w:tc>
          <w:tcPr>
            <w:vAlign w:val="center"/>
          </w:tcPr>
          <w:p>
            <w:pPr>
              <w:jc w:val="right"/>
            </w:pPr>
            <w:r>
              <w:rPr>
                <w:rFonts w:eastAsiaTheme="minorEastAsia"/>
                <w:color w:themeColor="text1" w:val="000000"/>
                <w:sz w:val="24"/>
              </w:rPr>
              <w:t>-0.03%</w:t>
            </w:r>
          </w:p>
        </w:tc>
      </w:tr>
      <w:tr>
        <w:tc>
          <w:tcPr>
            <w:vAlign w:val="center"/>
          </w:tcPr>
          <w:p>
            <w:pPr>
              <w:jc w:val="left"/>
            </w:pPr>
            <w:r>
              <w:rPr>
                <w:rFonts w:eastAsiaTheme="minorEastAsia"/>
                <w:color w:themeColor="text1" w:val="000000"/>
                <w:sz w:val="24"/>
              </w:rPr>
              <w:t>过去三年</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r>
      <w:tr>
        <w:tc>
          <w:tcPr>
            <w:vAlign w:val="center"/>
          </w:tcPr>
          <w:p>
            <w:pPr>
              <w:jc w:val="left"/>
            </w:pPr>
            <w:r>
              <w:rPr>
                <w:rFonts w:eastAsiaTheme="minorEastAsia"/>
                <w:color w:themeColor="text1" w:val="000000"/>
                <w:sz w:val="24"/>
              </w:rPr>
              <w:t>过去五年</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r>
      <w:tr>
        <w:tc>
          <w:tcPr>
            <w:vAlign w:val="center"/>
          </w:tcPr>
          <w:p>
            <w:pPr>
              <w:jc w:val="left"/>
            </w:pPr>
            <w:r>
              <w:rPr>
                <w:rFonts w:eastAsiaTheme="minorEastAsia"/>
                <w:color w:themeColor="text1" w:val="000000"/>
                <w:sz w:val="24"/>
              </w:rPr>
              <w:t>自基金合同生效起至今</w:t>
            </w:r>
          </w:p>
        </w:tc>
        <w:tc>
          <w:tcPr>
            <w:vAlign w:val="center"/>
          </w:tcPr>
          <w:p>
            <w:pPr>
              <w:jc w:val="right"/>
            </w:pPr>
            <w:r>
              <w:rPr>
                <w:rFonts w:eastAsiaTheme="minorEastAsia"/>
                <w:color w:themeColor="text1" w:val="000000"/>
                <w:sz w:val="24"/>
              </w:rPr>
              <w:t>18.27%</w:t>
            </w:r>
          </w:p>
        </w:tc>
        <w:tc>
          <w:tcPr>
            <w:vAlign w:val="center"/>
          </w:tcPr>
          <w:p>
            <w:pPr>
              <w:jc w:val="right"/>
            </w:pPr>
            <w:r>
              <w:rPr>
                <w:rFonts w:eastAsiaTheme="minorEastAsia"/>
                <w:color w:themeColor="text1" w:val="000000"/>
                <w:sz w:val="24"/>
              </w:rPr>
              <w:t>1.23%</w:t>
            </w:r>
          </w:p>
        </w:tc>
        <w:tc>
          <w:tcPr>
            <w:vAlign w:val="center"/>
          </w:tcPr>
          <w:p>
            <w:pPr>
              <w:jc w:val="right"/>
            </w:pPr>
            <w:r>
              <w:rPr>
                <w:rFonts w:eastAsiaTheme="minorEastAsia"/>
                <w:color w:themeColor="text1" w:val="000000"/>
                <w:sz w:val="24"/>
              </w:rPr>
              <w:t>6.09%</w:t>
            </w:r>
          </w:p>
        </w:tc>
        <w:tc>
          <w:tcPr>
            <w:vAlign w:val="center"/>
          </w:tcPr>
          <w:p>
            <w:pPr>
              <w:jc w:val="right"/>
            </w:pPr>
            <w:r>
              <w:rPr>
                <w:rFonts w:eastAsiaTheme="minorEastAsia"/>
                <w:color w:themeColor="text1" w:val="000000"/>
                <w:sz w:val="24"/>
              </w:rPr>
              <w:t>1.46%</w:t>
            </w:r>
          </w:p>
        </w:tc>
        <w:tc>
          <w:tcPr>
            <w:vAlign w:val="center"/>
          </w:tcPr>
          <w:p>
            <w:pPr>
              <w:jc w:val="right"/>
            </w:pPr>
            <w:r>
              <w:rPr>
                <w:rFonts w:eastAsiaTheme="minorEastAsia"/>
                <w:color w:themeColor="text1" w:val="000000"/>
                <w:sz w:val="24"/>
              </w:rPr>
              <w:t>12.18%</w:t>
            </w:r>
          </w:p>
        </w:tc>
        <w:tc>
          <w:tcPr>
            <w:vAlign w:val="center"/>
          </w:tcPr>
          <w:p>
            <w:pPr>
              <w:jc w:val="right"/>
            </w:pPr>
            <w:r>
              <w:rPr>
                <w:rFonts w:eastAsiaTheme="minorEastAsia"/>
                <w:color w:themeColor="text1" w:val="000000"/>
                <w:sz w:val="24"/>
              </w:rPr>
              <w:t>-0.23%</w:t>
            </w:r>
          </w:p>
        </w:tc>
      </w:tr>
    </w:tbl>
    <w:p w:rsidP="00C544B8" w:rsidR="009238DB" w:rsidRDefault="00A5643A" w:rsidRPr="00B34368">
      <w:pPr>
        <w:adjustRightInd w:val="0"/>
        <w:spacing w:before="312" w:beforeLines="100" w:line="360" w:lineRule="auto"/>
        <w:rPr>
          <w:rFonts w:eastAsiaTheme="minorEastAsia"/>
          <w:b/>
          <w:color w:themeColor="text1" w:val="000000"/>
          <w:kern w:val="0"/>
          <w:sz w:val="24"/>
        </w:rPr>
      </w:pPr>
      <w:r w:rsidRPr="00B34368">
        <w:rPr>
          <w:rFonts w:eastAsiaTheme="minorEastAsia"/>
          <w:b/>
          <w:color w:themeColor="text1" w:val="000000"/>
          <w:kern w:val="0"/>
          <w:sz w:val="24"/>
        </w:rPr>
        <w:t/>
      </w:r>
      <w:r w:rsidR="004D614E" w:rsidRPr="00B34368">
        <w:rPr>
          <w:rFonts w:eastAsiaTheme="minorEastAsia"/>
          <w:b/>
          <w:color w:themeColor="text1" w:val="000000"/>
          <w:kern w:val="0"/>
          <w:sz w:val="24"/>
        </w:rPr>
        <w:t/>
      </w:r>
      <w:r w:rsidR="00FE7FBD" w:rsidRPr="00B34368">
        <w:rPr>
          <w:rFonts w:eastAsiaTheme="minorEastAsia"/>
          <w:b/>
          <w:color w:themeColor="text1" w:val="000000"/>
          <w:kern w:val="0"/>
          <w:sz w:val="24"/>
        </w:rPr>
        <w:t>易方达中证500ETF联接发起式C</w:t>
      </w:r>
      <w:r w:rsidR="009238DB" w:rsidRPr="00B34368">
        <w:rPr>
          <w:rFonts w:eastAsiaTheme="minorEastAsia" w:hAnsiTheme="minorEastAsia"/>
          <w:b/>
          <w:color w:themeColor="text1" w:val="000000"/>
          <w:kern w:val="0"/>
          <w:sz w:val="24"/>
        </w:rPr>
        <w:t>：</w:t>
      </w:r>
    </w:p>
    <w:tbl>
      <w:tblPr>
        <w:tblStyle w:val="af2"/>
        <w:tblW w:type="auto" w:w="0"/>
        <w:tblInd w:type="dxa" w:w="108"/>
        <w:tblLayout w:type="fixed"/>
        <w:tblLook w:firstColumn="1" w:firstRow="1" w:lastColumn="0" w:lastRow="0" w:noHBand="0" w:noVBand="1" w:val="04A0"/>
      </w:tblPr>
      <w:tblGrid>
        <w:gridCol w:w="1290"/>
        <w:gridCol w:w="1291"/>
        <w:gridCol w:w="1291"/>
        <w:gridCol w:w="1291"/>
        <w:gridCol w:w="1291"/>
        <w:gridCol w:w="1291"/>
        <w:gridCol w:w="1291"/>
      </w:tblGrid>
      <w:tr w:rsidR="00D3639B" w:rsidRPr="00B34368" w:rsidTr="00975D18">
        <w:tc>
          <w:tcPr>
            <w:tcW w:type="dxa" w:w="1290"/>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阶段</w:t>
            </w:r>
            <w:r w:rsidR="000D4DE9" w:rsidRPr="00B34368">
              <w:rPr>
                <w:rFonts w:eastAsiaTheme="minorEastAsia"/>
                <w:color w:themeColor="text1" w:val="000000"/>
                <w:sz w:val="24"/>
              </w:rPr>
              <w:t/>
            </w:r>
            <w:proofErr w:type="spellStart"/>
            <w:r w:rsidR="000D4DE9" w:rsidRPr="00B34368">
              <w:rPr>
                <w:rFonts w:eastAsiaTheme="minorEastAsia"/>
                <w:color w:themeColor="text1" w:val="000000"/>
                <w:sz w:val="24"/>
              </w:rPr>
              <w:t/>
            </w:r>
            <w:proofErr w:type="spellEnd"/>
            <w:r w:rsidR="000D4DE9" w:rsidRPr="00B34368">
              <w:rPr>
                <w:rFonts w:eastAsiaTheme="minorEastAsia"/>
                <w:color w:themeColor="text1" w:val="000000"/>
                <w:sz w:val="24"/>
              </w:rPr>
              <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highlight w:val="green"/>
              </w:rPr>
            </w:pPr>
            <w:r w:rsidRPr="00B34368">
              <w:rPr>
                <w:rFonts w:eastAsiaTheme="minorEastAsia" w:hAnsiTheme="minorEastAsia"/>
                <w:color w:themeColor="text1" w:val="000000"/>
                <w:sz w:val="24"/>
              </w:rPr>
              <w:t>净值增长率①</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highlight w:val="green"/>
              </w:rPr>
            </w:pPr>
            <w:r w:rsidRPr="00B34368">
              <w:rPr>
                <w:rFonts w:eastAsiaTheme="minorEastAsia" w:hAnsiTheme="minorEastAsia"/>
                <w:color w:themeColor="text1" w:val="000000"/>
                <w:sz w:val="24"/>
              </w:rPr>
              <w:t>净值增长率标准差②</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业绩比较基准收益率③</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业绩比较基准收益率标准差④</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①－③</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②－④</w:t>
            </w:r>
          </w:p>
        </w:tc>
      </w:tr>
      <w:tr>
        <w:tc>
          <w:tcPr>
            <w:vAlign w:val="center"/>
          </w:tcPr>
          <w:p>
            <w:pPr>
              <w:jc w:val="left"/>
            </w:pPr>
            <w:r>
              <w:rPr>
                <w:rFonts w:eastAsiaTheme="minorEastAsia"/>
                <w:color w:themeColor="text1" w:val="000000"/>
                <w:sz w:val="24"/>
              </w:rPr>
              <w:t>过去三个月</w:t>
            </w:r>
          </w:p>
        </w:tc>
        <w:tc>
          <w:tcPr>
            <w:vAlign w:val="center"/>
          </w:tcPr>
          <w:p>
            <w:pPr>
              <w:jc w:val="right"/>
            </w:pPr>
            <w:r>
              <w:rPr>
                <w:rFonts w:eastAsiaTheme="minorEastAsia"/>
                <w:color w:themeColor="text1" w:val="000000"/>
                <w:sz w:val="24"/>
              </w:rPr>
              <w:t>17.18%</w:t>
            </w:r>
          </w:p>
        </w:tc>
        <w:tc>
          <w:tcPr>
            <w:vAlign w:val="center"/>
          </w:tcPr>
          <w:p>
            <w:pPr>
              <w:jc w:val="right"/>
            </w:pPr>
            <w:r>
              <w:rPr>
                <w:rFonts w:eastAsiaTheme="minorEastAsia"/>
                <w:color w:themeColor="text1" w:val="000000"/>
                <w:sz w:val="24"/>
              </w:rPr>
              <w:t>1.06%</w:t>
            </w:r>
          </w:p>
        </w:tc>
        <w:tc>
          <w:tcPr>
            <w:vAlign w:val="center"/>
          </w:tcPr>
          <w:p>
            <w:pPr>
              <w:jc w:val="right"/>
            </w:pPr>
            <w:r>
              <w:rPr>
                <w:rFonts w:eastAsiaTheme="minorEastAsia"/>
                <w:color w:themeColor="text1" w:val="000000"/>
                <w:sz w:val="24"/>
              </w:rPr>
              <w:t>15.47%</w:t>
            </w:r>
          </w:p>
        </w:tc>
        <w:tc>
          <w:tcPr>
            <w:vAlign w:val="center"/>
          </w:tcPr>
          <w:p>
            <w:pPr>
              <w:jc w:val="right"/>
            </w:pPr>
            <w:r>
              <w:rPr>
                <w:rFonts w:eastAsiaTheme="minorEastAsia"/>
                <w:color w:themeColor="text1" w:val="000000"/>
                <w:sz w:val="24"/>
              </w:rPr>
              <w:t>1.08%</w:t>
            </w:r>
          </w:p>
        </w:tc>
        <w:tc>
          <w:tcPr>
            <w:vAlign w:val="center"/>
          </w:tcPr>
          <w:p>
            <w:pPr>
              <w:jc w:val="right"/>
            </w:pPr>
            <w:r>
              <w:rPr>
                <w:rFonts w:eastAsiaTheme="minorEastAsia"/>
                <w:color w:themeColor="text1" w:val="000000"/>
                <w:sz w:val="24"/>
              </w:rPr>
              <w:t>1.71%</w:t>
            </w:r>
          </w:p>
        </w:tc>
        <w:tc>
          <w:tcPr>
            <w:vAlign w:val="center"/>
          </w:tcPr>
          <w:p>
            <w:pPr>
              <w:jc w:val="right"/>
            </w:pPr>
            <w:r>
              <w:rPr>
                <w:rFonts w:eastAsiaTheme="minorEastAsia"/>
                <w:color w:themeColor="text1" w:val="000000"/>
                <w:sz w:val="24"/>
              </w:rPr>
              <w:t>-0.02%</w:t>
            </w:r>
          </w:p>
        </w:tc>
      </w:tr>
      <w:tr>
        <w:tc>
          <w:tcPr>
            <w:vAlign w:val="center"/>
          </w:tcPr>
          <w:p>
            <w:pPr>
              <w:jc w:val="left"/>
            </w:pPr>
            <w:r>
              <w:rPr>
                <w:rFonts w:eastAsiaTheme="minorEastAsia"/>
                <w:color w:themeColor="text1" w:val="000000"/>
                <w:sz w:val="24"/>
              </w:rPr>
              <w:t>过去六个月</w:t>
            </w:r>
          </w:p>
        </w:tc>
        <w:tc>
          <w:tcPr>
            <w:vAlign w:val="center"/>
          </w:tcPr>
          <w:p>
            <w:pPr>
              <w:jc w:val="right"/>
            </w:pPr>
            <w:r>
              <w:rPr>
                <w:rFonts w:eastAsiaTheme="minorEastAsia"/>
                <w:color w:themeColor="text1" w:val="000000"/>
                <w:sz w:val="24"/>
              </w:rPr>
              <w:t>13.69%</w:t>
            </w:r>
          </w:p>
        </w:tc>
        <w:tc>
          <w:tcPr>
            <w:vAlign w:val="center"/>
          </w:tcPr>
          <w:p>
            <w:pPr>
              <w:jc w:val="right"/>
            </w:pPr>
            <w:r>
              <w:rPr>
                <w:rFonts w:eastAsiaTheme="minorEastAsia"/>
                <w:color w:themeColor="text1" w:val="000000"/>
                <w:sz w:val="24"/>
              </w:rPr>
              <w:t>1.67%</w:t>
            </w:r>
          </w:p>
        </w:tc>
        <w:tc>
          <w:tcPr>
            <w:vAlign w:val="center"/>
          </w:tcPr>
          <w:p>
            <w:pPr>
              <w:jc w:val="right"/>
            </w:pPr>
            <w:r>
              <w:rPr>
                <w:rFonts w:eastAsiaTheme="minorEastAsia"/>
                <w:color w:themeColor="text1" w:val="000000"/>
                <w:sz w:val="24"/>
              </w:rPr>
              <w:t>10.84%</w:t>
            </w:r>
          </w:p>
        </w:tc>
        <w:tc>
          <w:tcPr>
            <w:vAlign w:val="center"/>
          </w:tcPr>
          <w:p>
            <w:pPr>
              <w:jc w:val="right"/>
            </w:pPr>
            <w:r>
              <w:rPr>
                <w:rFonts w:eastAsiaTheme="minorEastAsia"/>
                <w:color w:themeColor="text1" w:val="000000"/>
                <w:sz w:val="24"/>
              </w:rPr>
              <w:t>1.70%</w:t>
            </w:r>
          </w:p>
        </w:tc>
        <w:tc>
          <w:tcPr>
            <w:vAlign w:val="center"/>
          </w:tcPr>
          <w:p>
            <w:pPr>
              <w:jc w:val="right"/>
            </w:pPr>
            <w:r>
              <w:rPr>
                <w:rFonts w:eastAsiaTheme="minorEastAsia"/>
                <w:color w:themeColor="text1" w:val="000000"/>
                <w:sz w:val="24"/>
              </w:rPr>
              <w:t>2.85%</w:t>
            </w:r>
          </w:p>
        </w:tc>
        <w:tc>
          <w:tcPr>
            <w:vAlign w:val="center"/>
          </w:tcPr>
          <w:p>
            <w:pPr>
              <w:jc w:val="right"/>
            </w:pPr>
            <w:r>
              <w:rPr>
                <w:rFonts w:eastAsiaTheme="minorEastAsia"/>
                <w:color w:themeColor="text1" w:val="000000"/>
                <w:sz w:val="24"/>
              </w:rPr>
              <w:t>-0.03%</w:t>
            </w:r>
          </w:p>
        </w:tc>
      </w:tr>
      <w:tr>
        <w:tc>
          <w:tcPr>
            <w:vAlign w:val="center"/>
          </w:tcPr>
          <w:p>
            <w:pPr>
              <w:jc w:val="left"/>
            </w:pPr>
            <w:r>
              <w:rPr>
                <w:rFonts w:eastAsiaTheme="minorEastAsia"/>
                <w:color w:themeColor="text1" w:val="000000"/>
                <w:sz w:val="24"/>
              </w:rPr>
              <w:t>过去一年</w:t>
            </w:r>
          </w:p>
        </w:tc>
        <w:tc>
          <w:tcPr>
            <w:vAlign w:val="center"/>
          </w:tcPr>
          <w:p>
            <w:pPr>
              <w:jc w:val="right"/>
            </w:pPr>
            <w:r>
              <w:rPr>
                <w:rFonts w:eastAsiaTheme="minorEastAsia"/>
                <w:color w:themeColor="text1" w:val="000000"/>
                <w:sz w:val="24"/>
              </w:rPr>
              <w:t>22.03%</w:t>
            </w:r>
          </w:p>
        </w:tc>
        <w:tc>
          <w:tcPr>
            <w:vAlign w:val="center"/>
          </w:tcPr>
          <w:p>
            <w:pPr>
              <w:jc w:val="right"/>
            </w:pPr>
            <w:r>
              <w:rPr>
                <w:rFonts w:eastAsiaTheme="minorEastAsia"/>
                <w:color w:themeColor="text1" w:val="000000"/>
                <w:sz w:val="24"/>
              </w:rPr>
              <w:t>1.36%</w:t>
            </w:r>
          </w:p>
        </w:tc>
        <w:tc>
          <w:tcPr>
            <w:vAlign w:val="center"/>
          </w:tcPr>
          <w:p>
            <w:pPr>
              <w:jc w:val="right"/>
            </w:pPr>
            <w:r>
              <w:rPr>
                <w:rFonts w:eastAsiaTheme="minorEastAsia"/>
                <w:color w:themeColor="text1" w:val="000000"/>
                <w:sz w:val="24"/>
              </w:rPr>
              <w:t>17.63%</w:t>
            </w:r>
          </w:p>
        </w:tc>
        <w:tc>
          <w:tcPr>
            <w:vAlign w:val="center"/>
          </w:tcPr>
          <w:p>
            <w:pPr>
              <w:jc w:val="right"/>
            </w:pPr>
            <w:r>
              <w:rPr>
                <w:rFonts w:eastAsiaTheme="minorEastAsia"/>
                <w:color w:themeColor="text1" w:val="000000"/>
                <w:sz w:val="24"/>
              </w:rPr>
              <w:t>1.39%</w:t>
            </w:r>
          </w:p>
        </w:tc>
        <w:tc>
          <w:tcPr>
            <w:vAlign w:val="center"/>
          </w:tcPr>
          <w:p>
            <w:pPr>
              <w:jc w:val="right"/>
            </w:pPr>
            <w:r>
              <w:rPr>
                <w:rFonts w:eastAsiaTheme="minorEastAsia"/>
                <w:color w:themeColor="text1" w:val="000000"/>
                <w:sz w:val="24"/>
              </w:rPr>
              <w:t>4.40%</w:t>
            </w:r>
          </w:p>
        </w:tc>
        <w:tc>
          <w:tcPr>
            <w:vAlign w:val="center"/>
          </w:tcPr>
          <w:p>
            <w:pPr>
              <w:jc w:val="right"/>
            </w:pPr>
            <w:r>
              <w:rPr>
                <w:rFonts w:eastAsiaTheme="minorEastAsia"/>
                <w:color w:themeColor="text1" w:val="000000"/>
                <w:sz w:val="24"/>
              </w:rPr>
              <w:t>-0.03%</w:t>
            </w:r>
          </w:p>
        </w:tc>
      </w:tr>
      <w:tr>
        <w:tc>
          <w:tcPr>
            <w:vAlign w:val="center"/>
          </w:tcPr>
          <w:p>
            <w:pPr>
              <w:jc w:val="left"/>
            </w:pPr>
            <w:r>
              <w:rPr>
                <w:rFonts w:eastAsiaTheme="minorEastAsia"/>
                <w:color w:themeColor="text1" w:val="000000"/>
                <w:sz w:val="24"/>
              </w:rPr>
              <w:t>过去三年</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r>
      <w:tr>
        <w:tc>
          <w:tcPr>
            <w:vAlign w:val="center"/>
          </w:tcPr>
          <w:p>
            <w:pPr>
              <w:jc w:val="left"/>
            </w:pPr>
            <w:r>
              <w:rPr>
                <w:rFonts w:eastAsiaTheme="minorEastAsia"/>
                <w:color w:themeColor="text1" w:val="000000"/>
                <w:sz w:val="24"/>
              </w:rPr>
              <w:t>过去五年</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r>
      <w:tr>
        <w:tc>
          <w:tcPr>
            <w:vAlign w:val="center"/>
          </w:tcPr>
          <w:p>
            <w:pPr>
              <w:jc w:val="left"/>
            </w:pPr>
            <w:r>
              <w:rPr>
                <w:rFonts w:eastAsiaTheme="minorEastAsia"/>
                <w:color w:themeColor="text1" w:val="000000"/>
                <w:sz w:val="24"/>
              </w:rPr>
              <w:t>自基金合同生效起至今</w:t>
            </w:r>
          </w:p>
        </w:tc>
        <w:tc>
          <w:tcPr>
            <w:vAlign w:val="center"/>
          </w:tcPr>
          <w:p>
            <w:pPr>
              <w:jc w:val="right"/>
            </w:pPr>
            <w:r>
              <w:rPr>
                <w:rFonts w:eastAsiaTheme="minorEastAsia"/>
                <w:color w:themeColor="text1" w:val="000000"/>
                <w:sz w:val="24"/>
              </w:rPr>
              <w:t>18.08%</w:t>
            </w:r>
          </w:p>
        </w:tc>
        <w:tc>
          <w:tcPr>
            <w:vAlign w:val="center"/>
          </w:tcPr>
          <w:p>
            <w:pPr>
              <w:jc w:val="right"/>
            </w:pPr>
            <w:r>
              <w:rPr>
                <w:rFonts w:eastAsiaTheme="minorEastAsia"/>
                <w:color w:themeColor="text1" w:val="000000"/>
                <w:sz w:val="24"/>
              </w:rPr>
              <w:t>1.23%</w:t>
            </w:r>
          </w:p>
        </w:tc>
        <w:tc>
          <w:tcPr>
            <w:vAlign w:val="center"/>
          </w:tcPr>
          <w:p>
            <w:pPr>
              <w:jc w:val="right"/>
            </w:pPr>
            <w:r>
              <w:rPr>
                <w:rFonts w:eastAsiaTheme="minorEastAsia"/>
                <w:color w:themeColor="text1" w:val="000000"/>
                <w:sz w:val="24"/>
              </w:rPr>
              <w:t>6.09%</w:t>
            </w:r>
          </w:p>
        </w:tc>
        <w:tc>
          <w:tcPr>
            <w:vAlign w:val="center"/>
          </w:tcPr>
          <w:p>
            <w:pPr>
              <w:jc w:val="right"/>
            </w:pPr>
            <w:r>
              <w:rPr>
                <w:rFonts w:eastAsiaTheme="minorEastAsia"/>
                <w:color w:themeColor="text1" w:val="000000"/>
                <w:sz w:val="24"/>
              </w:rPr>
              <w:t>1.46%</w:t>
            </w:r>
          </w:p>
        </w:tc>
        <w:tc>
          <w:tcPr>
            <w:vAlign w:val="center"/>
          </w:tcPr>
          <w:p>
            <w:pPr>
              <w:jc w:val="right"/>
            </w:pPr>
            <w:r>
              <w:rPr>
                <w:rFonts w:eastAsiaTheme="minorEastAsia"/>
                <w:color w:themeColor="text1" w:val="000000"/>
                <w:sz w:val="24"/>
              </w:rPr>
              <w:t>11.99%</w:t>
            </w:r>
          </w:p>
        </w:tc>
        <w:tc>
          <w:tcPr>
            <w:vAlign w:val="center"/>
          </w:tcPr>
          <w:p>
            <w:pPr>
              <w:jc w:val="right"/>
            </w:pPr>
            <w:r>
              <w:rPr>
                <w:rFonts w:eastAsiaTheme="minorEastAsia"/>
                <w:color w:themeColor="text1" w:val="000000"/>
                <w:sz w:val="24"/>
              </w:rPr>
              <w:t>-0.23%</w:t>
            </w:r>
          </w:p>
        </w:tc>
      </w:tr>
    </w:tbl>
    <w:p w:rsidP="00C544B8" w:rsidR="009238DB" w:rsidRDefault="009238DB" w:rsidRPr="00B34368">
      <w:pPr>
        <w:spacing w:before="312" w:beforeLines="100" w:line="360" w:lineRule="auto"/>
        <w:rPr>
          <w:rFonts w:eastAsiaTheme="minorEastAsia"/>
          <w:b/>
          <w:color w:themeColor="text1" w:val="000000"/>
          <w:kern w:val="0"/>
          <w:sz w:val="24"/>
        </w:rPr>
      </w:pPr>
      <w:r w:rsidRPr="00B34368">
        <w:rPr>
          <w:rFonts w:eastAsiaTheme="minorEastAsia"/>
          <w:b/>
          <w:color w:themeColor="text1" w:val="000000"/>
          <w:kern w:val="0"/>
          <w:sz w:val="24"/>
        </w:rPr>
        <w:t>3.2.2</w:t>
      </w:r>
      <w:r w:rsidRPr="00B34368">
        <w:rPr>
          <w:rFonts w:eastAsiaTheme="minorEastAsia" w:hAnsiTheme="minorEastAsia"/>
          <w:b/>
          <w:color w:themeColor="text1" w:val="000000"/>
          <w:kern w:val="0"/>
          <w:sz w:val="24"/>
        </w:rPr>
        <w:t xml:space="preserve">　</w:t>
      </w:r>
      <w:r w:rsidR="00FE0C8B" w:rsidRPr="00B34368">
        <w:rPr>
          <w:rStyle w:val="af6"/>
          <w:rFonts w:eastAsiaTheme="minorEastAsia"/>
          <w:color w:themeColor="text1" w:val="000000"/>
          <w:sz w:val="24"/>
          <w:shd w:color="auto" w:fill="FFFFFF" w:val="clear"/>
        </w:rPr>
        <w:t/>
      </w:r>
      <w:proofErr w:type="spellStart"/>
      <w:r w:rsidR="00FE0C8B" w:rsidRPr="00B34368">
        <w:rPr>
          <w:rStyle w:val="af6"/>
          <w:rFonts w:eastAsiaTheme="minorEastAsia"/>
          <w:color w:themeColor="text1" w:val="000000"/>
          <w:sz w:val="24"/>
          <w:shd w:color="auto" w:fill="FFFFFF" w:val="clear"/>
        </w:rPr>
        <w:t/>
      </w:r>
      <w:proofErr w:type="spellEnd"/>
      <w:r w:rsidR="00FE0C8B" w:rsidRPr="00B34368">
        <w:rPr>
          <w:rStyle w:val="af6"/>
          <w:rFonts w:eastAsiaTheme="minorEastAsia"/>
          <w:color w:themeColor="text1" w:val="000000"/>
          <w:sz w:val="24"/>
          <w:shd w:color="auto" w:fill="FFFFFF" w:val="clear"/>
        </w:rPr>
        <w:t>自基金合同生效以来</w:t>
      </w:r>
      <w:r w:rsidR="00BF57BE" w:rsidRPr="00B34368">
        <w:rPr>
          <w:rFonts w:eastAsiaTheme="minorEastAsia" w:hAnsiTheme="minorEastAsia"/>
          <w:b/>
          <w:color w:themeColor="text1" w:val="000000"/>
          <w:sz w:val="24"/>
        </w:rPr>
        <w:t>基金累计净值增长率变动及其与同期业绩比较基准收益率变动的比较</w:t>
      </w:r>
    </w:p>
    <w:p w:rsidP="00FC13C8" w:rsidR="009A045B" w:rsidRDefault="009A045B" w:rsidRPr="00B34368">
      <w:pPr>
        <w:spacing w:line="360" w:lineRule="auto"/>
        <w:jc w:val="center"/>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易方达中证500交易型开放式指数证券投资基金发起式联接基金</w:t>
      </w:r>
    </w:p>
    <w:p w:rsidP="00F84D52" w:rsidR="00F84D52" w:rsidRDefault="00022396">
      <w:pPr>
        <w:pStyle w:val="a5"/>
        <w:snapToGrid w:val="0"/>
        <w:spacing w:line="360" w:lineRule="auto"/>
        <w:ind w:firstLine="480"/>
        <w:jc w:val="center"/>
        <w:rPr>
          <w:rFonts w:ascii="Times New Roman" w:eastAsiaTheme="minorEastAsia" w:hAnsi="Times New Roman"/>
          <w:color w:themeColor="text1" w:val="000000"/>
          <w:sz w:val="24"/>
          <w:szCs w:val="24"/>
        </w:rPr>
      </w:pPr>
      <w:r w:rsidRPr="00B34368">
        <w:rPr>
          <w:rFonts w:ascii="Times New Roman" w:eastAsiaTheme="minorEastAsia" w:hAnsiTheme="minorEastAsia"/>
          <w:color w:themeColor="text1" w:val="000000"/>
          <w:sz w:val="24"/>
          <w:szCs w:val="24"/>
        </w:rPr>
        <w:t>累计净值增长率与业绩比较基准收益率的历史走势对比图</w:t>
      </w:r>
    </w:p>
    <w:p w:rsidP="00937445" w:rsidR="00F84D52" w:rsidRDefault="00F84D52">
      <w:pPr>
        <w:pStyle w:val="a5"/>
        <w:snapToGrid w:val="0"/>
        <w:spacing w:line="360" w:lineRule="auto"/>
        <w:jc w:val="center"/>
        <w:rPr>
          <w:rFonts w:ascii="Times New Roman" w:hAnsi="Times New Roman"/>
          <w:sz w:val="24"/>
          <w:szCs w:val="24"/>
        </w:rPr>
      </w:pPr>
      <w:r>
        <w:rPr>
          <w:rFonts w:ascii="Times New Roman" w:hAnsi="Times New Roman"/>
          <w:sz w:val="24"/>
          <w:szCs w:val="24"/>
        </w:rPr>
        <w:t/>
      </w:r>
      <w:proofErr w:type="spellStart"/>
      <w:proofErr w:type="gramStart"/>
      <w:r>
        <w:rPr>
          <w:rFonts w:ascii="Times New Roman" w:hAnsi="Times New Roman"/>
          <w:sz w:val="24"/>
          <w:szCs w:val="24"/>
        </w:rPr>
        <w:t/>
      </w:r>
      <w:proofErr w:type="spellEnd"/>
      <w:r>
        <w:rPr>
          <w:rFonts w:ascii="Times New Roman" w:hAnsi="Times New Roman"/>
          <w:sz w:val="24"/>
          <w:szCs w:val="24"/>
        </w:rPr>
        <w:t/>
      </w:r>
      <w:proofErr w:type="gramEnd"/>
      <w:r>
        <w:rPr>
          <w:rFonts w:ascii="Times New Roman" w:hAnsi="Times New Roman"/>
          <w:sz w:val="24"/>
          <w:szCs w:val="24"/>
        </w:rPr>
        <w:t>（2019年3月20日至2020年6月30日）</w:t>
      </w:r>
    </w:p>
    <w:p w:rsidP="00F84D52" w:rsidR="00F84D52" w:rsidRDefault="0042785F">
      <w:pPr>
        <w:snapToGrid w:val="0"/>
        <w:spacing w:line="360" w:lineRule="auto"/>
        <w:rPr>
          <w:rFonts w:eastAsiaTheme="minorEastAsia" w:hAnsi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易方达中证500ETF联接发起式A</w:t>
      </w:r>
      <w:r w:rsidR="009238DB" w:rsidRPr="00B34368">
        <w:rPr>
          <w:rFonts w:eastAsiaTheme="minorEastAsia" w:hAnsiTheme="minorEastAsia"/>
          <w:color w:themeColor="text1" w:val="000000"/>
          <w:sz w:val="24"/>
        </w:rPr>
        <w:t>：</w:t>
      </w:r>
    </w:p>
    <w:p w:rsidP="00FC7F43" w:rsidR="00FC7F43" w:rsidRDefault="006F5B4C" w:rsidRPr="00B34368">
      <w:pPr>
        <w:pStyle w:val="20"/>
        <w:spacing w:line="288" w:lineRule="auto"/>
        <w:ind w:firstLine="0" w:firstLineChars="0"/>
        <w:jc w:val="center"/>
        <w:rPr>
          <w:rFonts w:ascii="Times New Roman" w:eastAsiaTheme="minorEastAsia" w:hAnsi="Times New Roman"/>
          <w:color w:themeColor="text1" w:val="000000"/>
        </w:rPr>
      </w:pPr>
      <w:r w:rsidRPr="00B34368">
        <w:rPr>
          <w:rFonts w:ascii="Times New Roman" w:eastAsiaTheme="minorEastAsia" w:hAnsi="Times New Roman"/>
          <w:noProof/>
          <w:color w:themeColor="text1" w:val="000000"/>
        </w:rPr>
        <w:drawing>
          <wp:inline distB="0" distL="0" distR="0" distT="0">
            <wp:extent cx="5591175" cy="3276600"/>
            <wp:effectExtent b="0" l="0" r="0" t="0"/>
            <wp:docPr descr="D:\浏览器下载\走势图柱状图\走势图1.jpg"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D:\浏览器下载\走势图柱状图\走势图1.jpg" id="0" name="Picture 1"/>
                    <pic:cNvPicPr>
                      <a:picLocks noChangeArrowheads="1" noChangeAspect="1"/>
                    </pic:cNvPicPr>
                  </pic:nvPicPr>
                  <pic:blipFill>
                    <a:blip cstate="print" r:embed="rId11">
                      <a:extLst>
                        <a:ext uri="{28A0092B-C50C-407E-A947-70E740481C1C}">
                          <a14:useLocalDpi xmlns:a14="http://schemas.microsoft.com/office/drawing/2010/main" val="0"/>
                        </a:ext>
                      </a:extLst>
                    </a:blip>
                    <a:srcRect/>
                    <a:stretch>
                      <a:fillRect/>
                    </a:stretch>
                  </pic:blipFill>
                  <pic:spPr bwMode="auto">
                    <a:xfrm>
                      <a:off x="0" y="0"/>
                      <a:ext cx="5591175" cy="3276600"/>
                    </a:xfrm>
                    <a:prstGeom prst="rect">
                      <a:avLst/>
                    </a:prstGeom>
                    <a:noFill/>
                    <a:ln>
                      <a:noFill/>
                    </a:ln>
                  </pic:spPr>
                </pic:pic>
              </a:graphicData>
            </a:graphic>
          </wp:inline>
        </w:drawing>
      </w:r>
    </w:p>
    <w:p w:rsidP="00F84D52" w:rsidR="00F84D52" w:rsidRDefault="0042785F">
      <w:pPr>
        <w:snapToGrid w:val="0"/>
        <w:spacing w:before="312" w:beforeLines="100" w:line="360" w:lineRule="auto"/>
        <w:rPr>
          <w:rFonts w:eastAsiaTheme="minorEastAsia" w:hAnsi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易方达中证500ETF联接发起式C</w:t>
      </w:r>
      <w:r w:rsidRPr="00B34368">
        <w:rPr>
          <w:rFonts w:eastAsiaTheme="minorEastAsia" w:hAnsiTheme="minorEastAsia"/>
          <w:color w:themeColor="text1" w:val="000000"/>
          <w:sz w:val="24"/>
        </w:rPr>
        <w:t>：</w:t>
      </w:r>
    </w:p>
    <w:p w:rsidP="00FC7F43" w:rsidR="00FC7F43" w:rsidRDefault="00B70229" w:rsidRPr="00B34368">
      <w:pPr>
        <w:pStyle w:val="20"/>
        <w:spacing w:line="288" w:lineRule="auto"/>
        <w:ind w:firstLine="0" w:firstLineChars="0"/>
        <w:jc w:val="center"/>
        <w:rPr>
          <w:rFonts w:ascii="Times New Roman" w:eastAsiaTheme="minorEastAsia" w:hAnsi="Times New Roman"/>
          <w:color w:themeColor="text1" w:val="000000"/>
        </w:rPr>
      </w:pPr>
      <w:r w:rsidRPr="00B34368">
        <w:rPr>
          <w:rFonts w:ascii="Times New Roman" w:eastAsiaTheme="minorEastAsia" w:hAnsi="Times New Roman"/>
          <w:noProof/>
          <w:color w:themeColor="text1" w:val="000000"/>
        </w:rPr>
        <w:lastRenderedPageBreak/>
        <w:drawing>
          <wp:inline distB="0" distL="0" distR="0" distT="0">
            <wp:extent cx="5591175" cy="3276600"/>
            <wp:effectExtent b="0" l="0" r="0" t="0"/>
            <wp:docPr descr="D:\浏览器下载\走势图柱状图\走势图2.jpg"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D:\浏览器下载\走势图柱状图\走势图2.jpg" id="0" name="Picture 2"/>
                    <pic:cNvPicPr>
                      <a:picLocks noChangeArrowheads="1" noChangeAspect="1"/>
                    </pic:cNvPicPr>
                  </pic:nvPicPr>
                  <pic:blipFill>
                    <a:blip cstate="print" r:embed="rId12">
                      <a:extLst>
                        <a:ext uri="{28A0092B-C50C-407E-A947-70E740481C1C}">
                          <a14:useLocalDpi xmlns:a14="http://schemas.microsoft.com/office/drawing/2010/main" val="0"/>
                        </a:ext>
                      </a:extLst>
                    </a:blip>
                    <a:srcRect/>
                    <a:stretch>
                      <a:fillRect/>
                    </a:stretch>
                  </pic:blipFill>
                  <pic:spPr bwMode="auto">
                    <a:xfrm>
                      <a:off x="0" y="0"/>
                      <a:ext cx="5591175" cy="3276600"/>
                    </a:xfrm>
                    <a:prstGeom prst="rect">
                      <a:avLst/>
                    </a:prstGeom>
                    <a:noFill/>
                    <a:ln>
                      <a:noFill/>
                    </a:ln>
                  </pic:spPr>
                </pic:pic>
              </a:graphicData>
            </a:graphic>
          </wp:inline>
        </w:drawing>
      </w:r>
    </w:p>
    <w:p>
      <w:pPr>
        <w:spacing w:line="360" w:lineRule="auto"/>
        <w:ind w:firstLine="480" w:firstLineChars="200"/>
        <w:rPr>
          <w:rFonts w:eastAsiaTheme="minorEastAsia"/>
          <w:color w:themeColor="text1" w:val="000000"/>
          <w:sz w:val="24"/>
        </w:rPr>
      </w:pPr>
      <w:r>
        <w:rPr>
          <w:rFonts w:eastAsiaTheme="minorEastAsia"/>
          <w:color w:themeColor="text1" w:val="000000"/>
          <w:sz w:val="24"/>
        </w:rPr>
        <w:t>注：1.按基金合同和招募说明书的约定，本基金的建仓期为六个月，建仓期结束时各项资产配置比例符合基金合同（第十二部分二、投资范围，三、投资策略和四、投资限制）的有关约定。</w:t>
      </w:r>
    </w:p>
    <w:p w:rsidP="00B34368" w:rsidR="00973B57" w:rsidRDefault="00757FD7"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r w:rsidR="00FE7FBD" w:rsidRPr="00B34368">
        <w:rPr>
          <w:rFonts w:eastAsiaTheme="minorEastAsia"/>
          <w:color w:themeColor="text1" w:val="000000"/>
          <w:sz w:val="24"/>
        </w:rPr>
        <w:t/>
      </w:r>
      <w:r w:rsidRPr="00B34368">
        <w:rPr>
          <w:rFonts w:eastAsiaTheme="minorEastAsia"/>
          <w:color w:themeColor="text1" w:val="000000"/>
          <w:sz w:val="24"/>
        </w:rPr>
        <w:t/>
      </w:r>
      <w:proofErr w:type="gramStart"/>
      <w:r w:rsidRPr="00B34368">
        <w:rPr>
          <w:rFonts w:eastAsiaTheme="minorEastAsia"/>
          <w:color w:themeColor="text1" w:val="000000"/>
          <w:sz w:val="24"/>
        </w:rPr>
        <w:t/>
      </w:r>
      <w:proofErr w:type="gramEnd"/>
      <w:r w:rsidRPr="00B34368">
        <w:rPr>
          <w:rFonts w:eastAsiaTheme="minorEastAsia"/>
          <w:color w:themeColor="text1" w:val="000000"/>
          <w:sz w:val="24"/>
        </w:rPr>
        <w:t>2.自基金合同生效至报告期末，A类基金份额净值增长率为18.27%，C类基金份额净值增长率为18.08%，同期业绩比较基准收益率为6.09%。</w:t>
      </w:r>
    </w:p>
    <w:p w:rsidP="00E561F9" w:rsidR="00E561F9" w:rsidRDefault="00E561F9" w:rsidRPr="00B34368">
      <w:pPr>
        <w:tabs>
          <w:tab w:pos="1800" w:val="left"/>
        </w:tabs>
        <w:spacing w:line="288" w:lineRule="auto"/>
        <w:rPr>
          <w:rFonts w:eastAsiaTheme="minorEastAsia"/>
          <w:color w:themeColor="text1" w:val="000000"/>
          <w:sz w:val="24"/>
        </w:rPr>
      </w:pPr>
    </w:p>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t xml:space="preserve">§4  </w:t>
      </w:r>
      <w:r w:rsidRPr="00B34368">
        <w:rPr>
          <w:rFonts w:eastAsiaTheme="minorEastAsia" w:hAnsiTheme="minorEastAsia"/>
          <w:color w:themeColor="text1" w:val="000000"/>
          <w:kern w:val="0"/>
          <w:sz w:val="24"/>
          <w:szCs w:val="24"/>
        </w:rPr>
        <w:t>管理人报告</w:t>
      </w:r>
    </w:p>
    <w:p w:rsidP="00C544B8" w:rsidR="00C544B8" w:rsidRDefault="009238DB">
      <w:pPr>
        <w:autoSpaceDE w:val="0"/>
        <w:autoSpaceDN w:val="0"/>
        <w:adjustRightInd w:val="0"/>
        <w:spacing w:line="360" w:lineRule="auto"/>
        <w:jc w:val="left"/>
        <w:rPr>
          <w:rFonts w:ascii="宋体" w:cs="Arial"/>
          <w:b/>
          <w:color w:val="000000"/>
          <w:kern w:val="0"/>
          <w:sz w:val="24"/>
        </w:rPr>
      </w:pPr>
      <w:r w:rsidRPr="00B34368">
        <w:rPr>
          <w:rFonts w:eastAsiaTheme="minorEastAsia"/>
          <w:b/>
          <w:color w:themeColor="text1" w:val="000000"/>
          <w:kern w:val="0"/>
          <w:sz w:val="24"/>
        </w:rPr>
        <w:t xml:space="preserve">4.1 </w:t>
      </w:r>
      <w:r w:rsidRPr="00B34368">
        <w:rPr>
          <w:rFonts w:eastAsiaTheme="minorEastAsia" w:hAnsiTheme="minorEastAsia"/>
          <w:b/>
          <w:color w:themeColor="text1" w:val="000000"/>
          <w:kern w:val="0"/>
          <w:sz w:val="24"/>
        </w:rPr>
        <w:t>基金经理（或基金经理小组）简介</w:t>
      </w:r>
    </w:p>
    <w:tbl>
      <w:tblPr>
        <w:tblW w:type="dxa" w:w="8925"/>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6"/>
        <w:gridCol w:w="2832"/>
        <w:gridCol w:w="851"/>
        <w:gridCol w:w="850"/>
        <w:gridCol w:w="851"/>
        <w:gridCol w:w="2975"/>
      </w:tblGrid>
      <w:tr w:rsidR="00C544B8" w:rsidTr="004E70B7">
        <w:trPr>
          <w:cantSplit/>
        </w:trPr>
        <w:tc>
          <w:tcPr>
            <w:tcW w:type="dxa" w:w="567"/>
            <w:vMerge w:val="restart"/>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lastRenderedPageBreak/>
              <w:t>姓名</w:t>
            </w:r>
          </w:p>
        </w:tc>
        <w:tc>
          <w:tcPr>
            <w:tcW w:type="dxa" w:w="2835"/>
            <w:vMerge w:val="restart"/>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t>职务</w:t>
            </w:r>
          </w:p>
        </w:tc>
        <w:tc>
          <w:tcPr>
            <w:tcW w:type="dxa" w:w="1701"/>
            <w:gridSpan w:val="2"/>
            <w:hideMark/>
          </w:tcPr>
          <w:p w:rsidR="00C544B8" w:rsidRDefault="00C544B8">
            <w:pPr>
              <w:autoSpaceDE w:val="0"/>
              <w:autoSpaceDN w:val="0"/>
              <w:adjustRightInd w:val="0"/>
              <w:spacing w:before="29" w:line="288" w:lineRule="auto"/>
              <w:ind w:left="15"/>
              <w:jc w:val="center"/>
              <w:rPr>
                <w:color w:val="000000"/>
                <w:kern w:val="0"/>
                <w:sz w:val="24"/>
              </w:rPr>
            </w:pPr>
            <w:proofErr w:type="gramStart"/>
            <w:r>
              <w:rPr>
                <w:rFonts w:hint="eastAsia"/>
                <w:color w:val="000000"/>
                <w:kern w:val="0"/>
                <w:sz w:val="24"/>
              </w:rPr>
              <w:t>任本基金</w:t>
            </w:r>
            <w:proofErr w:type="gramEnd"/>
            <w:r>
              <w:rPr>
                <w:rFonts w:hint="eastAsia"/>
                <w:color w:val="000000"/>
                <w:kern w:val="0"/>
                <w:sz w:val="24"/>
              </w:rPr>
              <w:t>的基金经理期限</w:t>
            </w:r>
          </w:p>
        </w:tc>
        <w:tc>
          <w:tcPr>
            <w:tcW w:type="dxa" w:w="851"/>
            <w:vMerge w:val="restart"/>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t>证券从业年限</w:t>
            </w:r>
          </w:p>
        </w:tc>
        <w:tc>
          <w:tcPr>
            <w:tcW w:type="dxa" w:w="2977"/>
            <w:vMerge w:val="restart"/>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t>说明</w:t>
            </w:r>
          </w:p>
        </w:tc>
      </w:tr>
      <w:tr w:rsidR="00C544B8" w:rsidTr="004E70B7">
        <w:trPr>
          <w:cantSplit/>
        </w:trPr>
        <w:tc>
          <w:tcPr>
            <w:tcW w:type="dxa" w:w="8931"/>
            <w:vMerge/>
            <w:vAlign w:val="center"/>
            <w:hideMark/>
          </w:tcPr>
          <w:p w:rsidR="00C544B8" w:rsidRDefault="00C544B8">
            <w:pPr>
              <w:widowControl/>
              <w:jc w:val="left"/>
              <w:rPr>
                <w:color w:val="000000"/>
                <w:kern w:val="0"/>
                <w:sz w:val="24"/>
              </w:rPr>
            </w:pPr>
          </w:p>
        </w:tc>
        <w:tc>
          <w:tcPr>
            <w:tcW w:type="dxa" w:w="2835"/>
            <w:vMerge/>
            <w:vAlign w:val="center"/>
            <w:hideMark/>
          </w:tcPr>
          <w:p w:rsidR="00C544B8" w:rsidRDefault="00C544B8">
            <w:pPr>
              <w:widowControl/>
              <w:jc w:val="left"/>
              <w:rPr>
                <w:color w:val="000000"/>
                <w:kern w:val="0"/>
                <w:sz w:val="24"/>
              </w:rPr>
            </w:pPr>
          </w:p>
        </w:tc>
        <w:tc>
          <w:tcPr>
            <w:tcW w:type="dxa" w:w="851"/>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t>任职日期</w:t>
            </w:r>
          </w:p>
        </w:tc>
        <w:tc>
          <w:tcPr>
            <w:tcW w:type="dxa" w:w="850"/>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t>离任日期</w:t>
            </w:r>
          </w:p>
        </w:tc>
        <w:tc>
          <w:tcPr>
            <w:tcW w:type="dxa" w:w="851"/>
            <w:vMerge/>
            <w:vAlign w:val="center"/>
            <w:hideMark/>
          </w:tcPr>
          <w:p w:rsidR="00C544B8" w:rsidRDefault="00C544B8">
            <w:pPr>
              <w:widowControl/>
              <w:jc w:val="left"/>
              <w:rPr>
                <w:color w:val="000000"/>
                <w:kern w:val="0"/>
                <w:sz w:val="24"/>
              </w:rPr>
            </w:pPr>
          </w:p>
        </w:tc>
        <w:tc>
          <w:tcPr>
            <w:tcW w:type="dxa" w:w="2977"/>
            <w:vMerge/>
            <w:vAlign w:val="center"/>
            <w:hideMark/>
          </w:tcPr>
          <w:p w:rsidR="00C544B8" w:rsidRDefault="00C544B8">
            <w:pPr>
              <w:widowControl/>
              <w:jc w:val="left"/>
              <w:rPr>
                <w:color w:val="000000"/>
                <w:kern w:val="0"/>
                <w:sz w:val="24"/>
              </w:rPr>
            </w:pPr>
          </w:p>
        </w:tc>
      </w:tr>
      <w:tr>
        <w:tc>
          <w:tcPr>
            <w:vAlign w:val="center"/>
          </w:tcPr>
          <w:p>
            <w:pPr>
              <w:jc w:val="center"/>
            </w:pPr>
            <w:r>
              <w:rPr>
                <w:color w:val="000000"/>
                <w:sz w:val="24"/>
              </w:rPr>
              <w:t>余海燕</w:t>
            </w:r>
          </w:p>
        </w:tc>
        <w:tc>
          <w:tcPr>
            <w:vAlign w:val="center"/>
          </w:tcPr>
          <w:p>
            <w:pPr>
              <w:jc w:val="left"/>
            </w:pPr>
            <w:r>
              <w:rPr>
                <w:color w:val="000000"/>
                <w:sz w:val="24"/>
              </w:rPr>
              <w:t>本基金的基金经理、易方达沪深300医药卫生交易型开放式指数证券投资基金的基金经理、易方达沪深300非银行金融交易型开放式指数证券投资基金的基金经理、易方达沪深300非银行金融交易型开放式指数证券投资基金联接基金的基金经理、易方达上证50指数分级证券投资基金的基金经理、易方达国企改革指数分级证券投资基金的基金经理、易方达证券公司指数分级证券投资基金的基金经理、易方达军工指数分级证券投资基金的基金经理、易方达沪深300交易型开放式指数发起式证券投资基金联接基金的基金经理、易方达沪深300交易型开放式指数发起式证券投资基金的基金经理、易方达中证500交易型开放式指数证券投资基金的基金经理、易方达中证海外中国互联网50交易型开放式指数证券投资基金的基金经理、易方达中证军工交易型开放式指数证券投资基金的基金经理、易方达中证全指证券公司交易型开放式指数证券投资基金的基金经理、易方达沪深300医药卫生交易型开放式指数证券投资基金联接基金的基金经理、易方达恒生中国企业交易型开放式指数证券投资基金联接基金的基金经理、易方达黄金交易型开放式证券投资基金的基金经理、易方达黄金交易型开放式证券投资基金联接基金的基金经理、易方达恒生中国企业交易型开放式指数证券投资基金的基金经理、易方达中证海外中国互联网50交易型开放式指数证券投资基金联接基金的基金经理、易方达日兴资管日经225交易型开放式指数证券投资基金（QDII）的基金经理、易方达上证50交易型开放式指数证券投资基金的基金经理、易方达上证50交易型开放式指数证券投资基金发起式联接基金的基金经理、指数投资部副总经理</w:t>
            </w:r>
          </w:p>
        </w:tc>
        <w:tc>
          <w:tcPr>
            <w:vAlign w:val="center"/>
          </w:tcPr>
          <w:p>
            <w:pPr>
              <w:jc w:val="center"/>
            </w:pPr>
            <w:r>
              <w:rPr>
                <w:color w:val="000000"/>
                <w:sz w:val="24"/>
              </w:rPr>
              <w:t>2019-03-20</w:t>
            </w:r>
          </w:p>
        </w:tc>
        <w:tc>
          <w:tcPr>
            <w:vAlign w:val="center"/>
          </w:tcPr>
          <w:p>
            <w:pPr>
              <w:jc w:val="center"/>
            </w:pPr>
            <w:r>
              <w:rPr>
                <w:color w:val="000000"/>
                <w:sz w:val="24"/>
              </w:rPr>
              <w:t>-</w:t>
            </w:r>
          </w:p>
        </w:tc>
        <w:tc>
          <w:tcPr>
            <w:vAlign w:val="center"/>
          </w:tcPr>
          <w:p>
            <w:pPr>
              <w:jc w:val="center"/>
            </w:pPr>
            <w:r>
              <w:rPr>
                <w:color w:val="000000"/>
                <w:sz w:val="24"/>
              </w:rPr>
              <w:t>15年</w:t>
            </w:r>
          </w:p>
        </w:tc>
        <w:tc>
          <w:tcPr>
            <w:vAlign w:val="center"/>
          </w:tcPr>
          <w:p>
            <w:pPr>
              <w:jc w:val="both"/>
            </w:pPr>
            <w:r>
              <w:rPr>
                <w:color w:val="000000"/>
                <w:sz w:val="24"/>
              </w:rPr>
              <w:t>硕士研究生，具有基金从业资格。曾任汇丰银行Consumer Credit Risk信用风险分析师，华宝兴业基金管理有限公司分析师、基金经理助理、基金经理，易方达基金管理有限公司投资发展部产品经理。</w:t>
            </w:r>
          </w:p>
        </w:tc>
      </w:tr>
    </w:tbl>
    <w:p>
      <w:pPr>
        <w:autoSpaceDE w:val="0"/>
        <w:autoSpaceDN w:val="0"/>
        <w:adjustRightInd w:val="0"/>
        <w:spacing w:line="360" w:lineRule="auto"/>
        <w:ind w:firstLine="480" w:firstLineChars="200"/>
        <w:jc w:val="left"/>
        <w:rPr>
          <w:rFonts w:eastAsiaTheme="minorEastAsia"/>
          <w:color w:themeColor="text1"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547A9A" w:rsidR="005C7D00" w:rsidRDefault="00C544B8" w:rsidRPr="00B34368">
      <w:pPr>
        <w:autoSpaceDE w:val="0"/>
        <w:autoSpaceDN w:val="0"/>
        <w:adjustRightInd w:val="0"/>
        <w:spacing w:line="360" w:lineRule="auto"/>
        <w:ind w:firstLine="480" w:firstLineChars="200"/>
        <w:jc w:val="left"/>
        <w:rPr>
          <w:rFonts w:eastAsiaTheme="minorEastAsia"/>
          <w:color w:themeColor="text1" w:val="000000"/>
          <w:sz w:val="24"/>
        </w:rPr>
      </w:pPr>
      <w:r>
        <w:rPr>
          <w:color w:val="000000"/>
          <w:sz w:val="24"/>
        </w:rPr>
        <w:t/>
      </w:r>
      <w:proofErr w:type="gramStart"/>
      <w:r>
        <w:rPr>
          <w:color w:val="000000"/>
          <w:sz w:val="24"/>
        </w:rPr>
        <w:t/>
      </w:r>
      <w:proofErr w:type="gramEnd"/>
      <w:r>
        <w:rPr>
          <w:color w:val="000000"/>
          <w:sz w:val="24"/>
        </w:rPr>
        <w:t>2.证券从业的含义遵从《证券业从业人员资格管理办法》的相关规定。</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4.2</w:t>
      </w:r>
      <w:r w:rsidR="00B34368" w:rsidRPr="00B34368">
        <w:rPr>
          <w:rFonts w:eastAsiaTheme="minorEastAsia" w:hAnsiTheme="minorEastAsia"/>
          <w:b/>
          <w:color w:themeColor="text1" w:val="000000"/>
          <w:kern w:val="0"/>
          <w:sz w:val="24"/>
        </w:rPr>
        <w:t>管理人对</w:t>
      </w:r>
      <w:r w:rsidRPr="00B34368">
        <w:rPr>
          <w:rFonts w:eastAsiaTheme="minorEastAsia" w:hAnsiTheme="minorEastAsia"/>
          <w:b/>
          <w:color w:themeColor="text1" w:val="000000"/>
          <w:kern w:val="0"/>
          <w:sz w:val="24"/>
        </w:rPr>
        <w:t>报告期内本基金运作遵规守信情况</w:t>
      </w:r>
      <w:r w:rsidR="002F7889" w:rsidRPr="002F7889">
        <w:rPr>
          <w:rFonts w:eastAsiaTheme="minorEastAsia" w:hAnsiTheme="minorEastAsia"/>
          <w:b/>
          <w:color w:themeColor="text1" w:val="000000"/>
          <w:kern w:val="0"/>
          <w:sz w:val="24"/>
        </w:rPr>
        <w:t>的</w:t>
      </w:r>
      <w:r w:rsidRPr="00B34368">
        <w:rPr>
          <w:rFonts w:eastAsiaTheme="minorEastAsia" w:hAnsiTheme="minorEastAsia"/>
          <w:b/>
          <w:color w:themeColor="text1" w:val="000000"/>
          <w:kern w:val="0"/>
          <w:sz w:val="24"/>
        </w:rPr>
        <w:t>说明</w:t>
      </w:r>
    </w:p>
    <w:p w:rsidP="00B34368" w:rsidR="009238DB" w:rsidRDefault="00323F25"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4.3 </w:t>
      </w:r>
      <w:r w:rsidRPr="00B34368">
        <w:rPr>
          <w:rFonts w:eastAsiaTheme="minorEastAsia" w:hAnsiTheme="minorEastAsia"/>
          <w:b/>
          <w:color w:themeColor="text1" w:val="000000"/>
          <w:kern w:val="0"/>
          <w:sz w:val="24"/>
        </w:rPr>
        <w:t>公平交易专项说明</w:t>
      </w:r>
    </w:p>
    <w:p w:rsidP="00FC13C8" w:rsidR="00D15733" w:rsidRDefault="00D15733" w:rsidRPr="00B34368">
      <w:pPr>
        <w:spacing w:line="360" w:lineRule="auto"/>
        <w:rPr>
          <w:rFonts w:eastAsiaTheme="minorEastAsia"/>
          <w:color w:themeColor="text1" w:val="000000"/>
          <w:sz w:val="24"/>
        </w:rPr>
      </w:pPr>
      <w:r w:rsidRPr="00B34368">
        <w:rPr>
          <w:rFonts w:eastAsiaTheme="minorEastAsia"/>
          <w:color w:themeColor="text1" w:val="000000"/>
          <w:sz w:val="24"/>
        </w:rPr>
        <w:t xml:space="preserve">4.3.1 </w:t>
      </w:r>
      <w:r w:rsidRPr="00B34368">
        <w:rPr>
          <w:rFonts w:eastAsiaTheme="minorEastAsia" w:hAnsiTheme="minorEastAsia"/>
          <w:color w:themeColor="text1" w:val="000000"/>
          <w:sz w:val="24"/>
        </w:rPr>
        <w:t>公平交易制度的执行情况</w:t>
      </w:r>
    </w:p>
    <w:p w:rsidP="00B34368" w:rsidR="00D15733" w:rsidRDefault="00323F25"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FC13C8" w:rsidR="00D15733" w:rsidRDefault="00D15733" w:rsidRPr="00B34368">
      <w:pPr>
        <w:spacing w:line="360" w:lineRule="auto"/>
        <w:rPr>
          <w:rFonts w:eastAsiaTheme="minorEastAsia"/>
          <w:color w:themeColor="text1" w:val="000000"/>
          <w:sz w:val="24"/>
        </w:rPr>
      </w:pPr>
      <w:r w:rsidRPr="00B34368">
        <w:rPr>
          <w:rFonts w:eastAsiaTheme="minorEastAsia"/>
          <w:color w:themeColor="text1" w:val="000000"/>
          <w:sz w:val="24"/>
        </w:rPr>
        <w:t>4.3.</w:t>
      </w:r>
      <w:r w:rsidR="005B6047" w:rsidRPr="00B34368">
        <w:rPr>
          <w:rFonts w:eastAsiaTheme="minorEastAsia"/>
          <w:color w:themeColor="text1" w:val="000000"/>
          <w:sz w:val="24"/>
        </w:rPr>
        <w:t>2</w:t>
      </w:r>
      <w:r w:rsidRPr="00B34368">
        <w:rPr>
          <w:rFonts w:eastAsiaTheme="minorEastAsia"/>
          <w:color w:themeColor="text1" w:val="000000"/>
          <w:sz w:val="24"/>
        </w:rPr>
        <w:t xml:space="preserve"> </w:t>
      </w:r>
      <w:r w:rsidRPr="00B34368">
        <w:rPr>
          <w:rFonts w:eastAsiaTheme="minorEastAsia" w:hAnsiTheme="minorEastAsia"/>
          <w:color w:themeColor="text1" w:val="000000"/>
          <w:sz w:val="24"/>
        </w:rPr>
        <w:t>异常交易行为的专项说明</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B34368" w:rsidR="009238DB" w:rsidRDefault="00323F25"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本报告期内，未发现本基金有可能导致不公平交易和利益输送的异常交易。</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4.4 </w:t>
      </w:r>
      <w:r w:rsidRPr="00B34368">
        <w:rPr>
          <w:rFonts w:eastAsiaTheme="minorEastAsia" w:hAnsiTheme="minorEastAsia"/>
          <w:b/>
          <w:color w:themeColor="text1" w:val="000000"/>
          <w:kern w:val="0"/>
          <w:sz w:val="24"/>
        </w:rPr>
        <w:t>报告期内基金的投资策略和业绩表现说明</w:t>
      </w:r>
    </w:p>
    <w:p w:rsidP="00FC13C8" w:rsidR="00952A72" w:rsidRDefault="00952A72" w:rsidRPr="00B34368">
      <w:pPr>
        <w:spacing w:line="360" w:lineRule="auto"/>
        <w:rPr>
          <w:rFonts w:eastAsiaTheme="minorEastAsia"/>
          <w:color w:themeColor="text1" w:val="000000"/>
          <w:sz w:val="24"/>
        </w:rPr>
      </w:pPr>
      <w:r w:rsidRPr="00B34368">
        <w:rPr>
          <w:rFonts w:eastAsiaTheme="minorEastAsia"/>
          <w:color w:themeColor="text1" w:val="000000"/>
          <w:sz w:val="24"/>
        </w:rPr>
        <w:t>4.4.1</w:t>
      </w:r>
      <w:r w:rsidRPr="00B34368">
        <w:rPr>
          <w:rFonts w:eastAsiaTheme="minorEastAsia" w:hAnsiTheme="minorEastAsia"/>
          <w:color w:themeColor="text1" w:val="000000"/>
          <w:sz w:val="24"/>
        </w:rPr>
        <w:t>报告期内基金投资策略和运作分析</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2020年二季度国内宏观经济复苏态势向好，随着复工复产的深入推进，生产需求继续回暖，企业的经营压力有所减轻。5月份规模以上工业企业利润增速实现了自2019年11月以来的首次由负转正，释放了市场需求回暖、经济社会运行加速回归正轨的积极信号。6月份PMI为50.9%，比上月提升0.3个百分点，已连续4个月处于荣枯分界线以上。在宏观政策方面，央行二季度货币政策坚持总量政策适度，促进金融和实体经济的良性循环，强调政策对冲疫情的有效性和直达性。资本市场方面，在海外疫情或呈现见顶趋势、国内政策力度渐强等因素主导下，A股市场延续了3月底以来的反弹趋势，二季度上证综指以上涨8.52%收官。风格主题方面，以创业板指为代表的成长风格表现更为强劲，创业板表现优于主板，创业板指大幅上涨30.25%，上证50指数、沪深300指数分别上涨9.40%、12.96%；行业方面，休闲服务、电子、医药生物、食品饮料、传媒等板块表现强势，建筑装饰、纺织服装、采掘、银行等板块表现落后。报告期内中证500指数上涨16.32%。</w:t>
      </w:r>
    </w:p>
    <w:p w:rsidP="00B34368" w:rsidR="00952A72" w:rsidRDefault="00323F25"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是易方达中证500ETF的联接基金，主要投资于中证500ETF。报告期内本基金为正常运作期，在操作中，我们严格遵守基金合同，依据基金申购赎回变动的情况进行日常操作，控制跟踪误差和跟踪偏离度在较低水平上。</w:t>
      </w:r>
    </w:p>
    <w:p w:rsidP="00FC13C8" w:rsidR="00952A72" w:rsidRDefault="00952A72" w:rsidRPr="00B34368">
      <w:pPr>
        <w:spacing w:line="360" w:lineRule="auto"/>
        <w:rPr>
          <w:rFonts w:eastAsiaTheme="minorEastAsia"/>
          <w:color w:themeColor="text1" w:val="000000"/>
          <w:sz w:val="24"/>
        </w:rPr>
      </w:pPr>
      <w:r w:rsidRPr="00B34368">
        <w:rPr>
          <w:rFonts w:eastAsiaTheme="minorEastAsia"/>
          <w:color w:themeColor="text1" w:val="000000"/>
          <w:sz w:val="24"/>
        </w:rPr>
        <w:t>4.4.2</w:t>
      </w:r>
      <w:r w:rsidRPr="00B34368">
        <w:rPr>
          <w:rFonts w:eastAsiaTheme="minorEastAsia" w:hAnsiTheme="minorEastAsia"/>
          <w:color w:themeColor="text1" w:val="000000"/>
          <w:sz w:val="24"/>
        </w:rPr>
        <w:t>报告期内基金的业绩表现</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截至报告期末，本基金A类基金份额净值为1.1827元，本报告期份额净值增长率为17.20%，同期业绩比较基准收益率为15.47%；C类基金份额净值为1.1808元，本报告期份额净值增长率为17.18%，同期业绩比较基准收益率为15.47%。</w:t>
      </w:r>
    </w:p>
    <w:p w:rsidP="00F405D4" w:rsidR="008129C0" w:rsidRDefault="00323F25" w:rsidRPr="00F405D4">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报告期内本基金日跟踪偏离度的均值为0.04%，年化跟踪误差为0.807%，各项指标均在合同规定的目标控制范围之内。</w:t>
      </w:r>
    </w:p>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lastRenderedPageBreak/>
        <w:t xml:space="preserve">§5  </w:t>
      </w:r>
      <w:r w:rsidRPr="00B34368">
        <w:rPr>
          <w:rFonts w:eastAsiaTheme="minorEastAsia" w:hAnsiTheme="minorEastAsia"/>
          <w:color w:themeColor="text1" w:val="000000"/>
          <w:kern w:val="0"/>
          <w:sz w:val="24"/>
          <w:szCs w:val="24"/>
        </w:rPr>
        <w:t>投资组合报告</w:t>
      </w:r>
    </w:p>
    <w:p w:rsidP="00FC13C8" w:rsidR="009238DB" w:rsidRDefault="009238DB" w:rsidRPr="00B34368">
      <w:pPr>
        <w:autoSpaceDE w:val="0"/>
        <w:autoSpaceDN w:val="0"/>
        <w:adjustRightInd w:val="0"/>
        <w:spacing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5.1 </w:t>
      </w:r>
      <w:r w:rsidRPr="00B34368">
        <w:rPr>
          <w:rFonts w:eastAsiaTheme="minorEastAsia" w:hAnsiTheme="minorEastAsia"/>
          <w:b/>
          <w:color w:themeColor="text1" w:val="000000"/>
          <w:kern w:val="0"/>
          <w:sz w:val="24"/>
        </w:rPr>
        <w:t>报告期末基金资产组合情况</w:t>
      </w:r>
    </w:p>
    <w:tbl>
      <w:tblPr>
        <w:tblStyle w:val="af2"/>
        <w:tblW w:type="auto" w:w="0"/>
        <w:tblInd w:type="dxa" w:w="108"/>
        <w:tblLayout w:type="fixed"/>
        <w:tblLook w:firstColumn="1" w:firstRow="1" w:lastColumn="0" w:lastRow="0" w:noHBand="0" w:noVBand="1" w:val="04A0"/>
      </w:tblPr>
      <w:tblGrid>
        <w:gridCol w:w="720"/>
        <w:gridCol w:w="3357"/>
        <w:gridCol w:w="2694"/>
        <w:gridCol w:w="1757"/>
      </w:tblGrid>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序号</w:t>
            </w:r>
          </w:p>
        </w:tc>
        <w:tc>
          <w:tcPr>
            <w:tcW w:type="dxa" w:w="3357"/>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项目</w:t>
            </w:r>
          </w:p>
        </w:tc>
        <w:tc>
          <w:tcPr>
            <w:tcW w:type="dxa" w:w="2694"/>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金额</w:t>
            </w:r>
            <w:r w:rsidRPr="00B34368">
              <w:rPr>
                <w:rFonts w:eastAsiaTheme="minorEastAsia"/>
                <w:color w:themeColor="text1" w:val="000000"/>
                <w:sz w:val="24"/>
              </w:rPr>
              <w:t>(</w:t>
            </w:r>
            <w:r w:rsidRPr="00B34368">
              <w:rPr>
                <w:rFonts w:eastAsiaTheme="minorEastAsia" w:hAnsiTheme="minorEastAsia"/>
                <w:color w:themeColor="text1" w:val="000000"/>
                <w:sz w:val="24"/>
              </w:rPr>
              <w:t>元</w:t>
            </w:r>
            <w:r w:rsidRPr="00B34368">
              <w:rPr>
                <w:rFonts w:eastAsiaTheme="minorEastAsia"/>
                <w:color w:themeColor="text1" w:val="000000"/>
                <w:sz w:val="24"/>
              </w:rPr>
              <w:t>)</w:t>
            </w:r>
          </w:p>
        </w:tc>
        <w:tc>
          <w:tcPr>
            <w:tcW w:type="dxa" w:w="1757"/>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占基金总资产的比例</w:t>
            </w:r>
            <w:r w:rsidRPr="00B34368">
              <w:rPr>
                <w:rFonts w:eastAsiaTheme="minorEastAsia"/>
                <w:color w:themeColor="text1" w:val="000000"/>
                <w:sz w:val="24"/>
              </w:rPr>
              <w:t>(%)</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1</w:t>
            </w:r>
          </w:p>
        </w:tc>
        <w:tc>
          <w:tcPr>
            <w:tcW w:type="dxa" w:w="3357"/>
            <w:vAlign w:val="center"/>
          </w:tcPr>
          <w:p w:rsidP="00A3193E" w:rsidR="00B20F47" w:rsidRDefault="00B20F47"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权益投资</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19,780.00</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0.00</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p>
        </w:tc>
        <w:tc>
          <w:tcPr>
            <w:tcW w:type="dxa" w:w="3357"/>
            <w:vAlign w:val="center"/>
          </w:tcPr>
          <w:p w:rsidP="00A3193E" w:rsidR="00B20F47" w:rsidRDefault="00B20F47"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其中：股票</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19,780.00</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0.00</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2</w:t>
            </w:r>
          </w:p>
        </w:tc>
        <w:tc>
          <w:tcPr>
            <w:tcW w:type="dxa" w:w="3357"/>
            <w:vAlign w:val="center"/>
          </w:tcPr>
          <w:p w:rsidP="00A3193E" w:rsidR="00B20F47" w:rsidRDefault="00B20F47"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基金投资</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545,094,407.22</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93.49</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3</w:t>
            </w:r>
          </w:p>
        </w:tc>
        <w:tc>
          <w:tcPr>
            <w:tcW w:type="dxa" w:w="3357"/>
            <w:vAlign w:val="center"/>
          </w:tcPr>
          <w:p w:rsidP="00A3193E" w:rsidR="00B20F47" w:rsidRDefault="00B20F47"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固定收益投资</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p>
        </w:tc>
        <w:tc>
          <w:tcPr>
            <w:tcW w:type="dxa" w:w="3357"/>
            <w:vAlign w:val="center"/>
          </w:tcPr>
          <w:p w:rsidP="00A3193E" w:rsidR="00B20F47" w:rsidRDefault="00B20F47"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其中：债券</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r w:rsidRPr="00B34368">
              <w:rPr>
                <w:rFonts w:eastAsiaTheme="minorEastAsia"/>
                <w:color w:themeColor="text1" w:val="000000"/>
                <w:sz w:val="24"/>
              </w:rPr>
              <w:lastRenderedPageBreak/>
              <w:t/>
            </w:r>
            <w:proofErr w:type="spellEnd"/>
            <w:r w:rsidRPr="00B34368">
              <w:rPr>
                <w:rFonts w:eastAsiaTheme="minorEastAsia"/>
                <w:color w:themeColor="text1" w:val="000000"/>
                <w:sz w:val="24"/>
              </w:rPr>
              <w:t>-</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lastRenderedPageBreak/>
              <w:t/>
            </w:r>
            <w:r w:rsidRPr="00B34368">
              <w:rPr>
                <w:rFonts w:eastAsiaTheme="minorEastAsia"/>
                <w:color w:themeColor="text1" w:val="000000"/>
                <w:sz w:val="24"/>
              </w:rPr>
              <w:lastRenderedPageBreak/>
              <w:t>-</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p>
        </w:tc>
        <w:tc>
          <w:tcPr>
            <w:tcW w:type="dxa" w:w="3357"/>
            <w:vAlign w:val="center"/>
          </w:tcPr>
          <w:p w:rsidP="00B34368" w:rsidR="00B20F47" w:rsidRDefault="00B20F47" w:rsidRPr="00B34368">
            <w:pPr>
              <w:autoSpaceDE w:val="0"/>
              <w:autoSpaceDN w:val="0"/>
              <w:adjustRightInd w:val="0"/>
              <w:spacing w:before="29" w:line="360" w:lineRule="auto"/>
              <w:ind w:firstLine="720" w:firstLineChars="300" w:left="17"/>
              <w:jc w:val="left"/>
              <w:rPr>
                <w:rFonts w:eastAsiaTheme="minorEastAsia"/>
                <w:color w:themeColor="text1" w:val="000000"/>
                <w:sz w:val="24"/>
              </w:rPr>
            </w:pPr>
            <w:r w:rsidRPr="00B34368">
              <w:rPr>
                <w:rFonts w:eastAsiaTheme="minorEastAsia" w:hAnsiTheme="minorEastAsia"/>
                <w:color w:themeColor="text1" w:val="000000"/>
                <w:sz w:val="24"/>
              </w:rPr>
              <w:t>资产支持证券</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r>
      <w:tr w:rsidR="00D3639B" w:rsidRPr="00B34368" w:rsidTr="00975D18">
        <w:tc>
          <w:tcPr>
            <w:tcW w:type="dxa" w:w="720"/>
          </w:tcPr>
          <w:p w:rsidP="00DD272F"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4</w:t>
            </w:r>
          </w:p>
        </w:tc>
        <w:tc>
          <w:tcPr>
            <w:tcW w:type="dxa" w:w="3357"/>
          </w:tcPr>
          <w:p w:rsidP="00DD272F" w:rsidR="00B007B6" w:rsidRDefault="00B007B6" w:rsidRPr="00B34368">
            <w:pPr>
              <w:spacing w:before="29" w:line="360" w:lineRule="auto"/>
              <w:ind w:left="105" w:leftChars="50"/>
              <w:rPr>
                <w:rFonts w:eastAsiaTheme="minorEastAsia"/>
                <w:color w:themeColor="text1" w:val="000000"/>
                <w:sz w:val="24"/>
              </w:rPr>
            </w:pPr>
            <w:r w:rsidRPr="00B34368">
              <w:rPr>
                <w:rFonts w:eastAsiaTheme="minorEastAsia" w:hAnsiTheme="minorEastAsia"/>
                <w:color w:themeColor="text1" w:val="000000"/>
                <w:sz w:val="24"/>
              </w:rPr>
              <w:t>贵金属投资</w:t>
            </w:r>
          </w:p>
        </w:tc>
        <w:tc>
          <w:tcPr>
            <w:tcW w:type="dxa" w:w="2694"/>
            <w:vAlign w:val="center"/>
          </w:tcPr>
          <w:p w:rsidP="00DD272F"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757"/>
            <w:vAlign w:val="center"/>
          </w:tcPr>
          <w:p w:rsidP="00DD272F"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975D18">
        <w:tc>
          <w:tcPr>
            <w:tcW w:type="dxa" w:w="720"/>
            <w:vAlign w:val="center"/>
          </w:tcPr>
          <w:p w:rsidP="00A3193E"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5</w:t>
            </w:r>
          </w:p>
        </w:tc>
        <w:tc>
          <w:tcPr>
            <w:tcW w:type="dxa" w:w="3357"/>
            <w:vAlign w:val="center"/>
          </w:tcPr>
          <w:p w:rsidP="00A3193E" w:rsidR="00B007B6" w:rsidRDefault="00B007B6"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金融衍生</w:t>
            </w:r>
            <w:proofErr w:type="gramStart"/>
            <w:r w:rsidRPr="00B34368">
              <w:rPr>
                <w:rFonts w:eastAsiaTheme="minorEastAsia" w:hAnsiTheme="minorEastAsia"/>
                <w:color w:themeColor="text1" w:val="000000"/>
                <w:sz w:val="24"/>
              </w:rPr>
              <w:t>品投资</w:t>
            </w:r>
            <w:proofErr w:type="gramEnd"/>
          </w:p>
        </w:tc>
        <w:tc>
          <w:tcPr>
            <w:tcW w:type="dxa" w:w="2694"/>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757"/>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r>
      <w:tr w:rsidR="00D3639B" w:rsidRPr="00B34368" w:rsidTr="00975D18">
        <w:tc>
          <w:tcPr>
            <w:tcW w:type="dxa" w:w="720"/>
            <w:vAlign w:val="center"/>
          </w:tcPr>
          <w:p w:rsidP="00A3193E"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6</w:t>
            </w:r>
          </w:p>
        </w:tc>
        <w:tc>
          <w:tcPr>
            <w:tcW w:type="dxa" w:w="3357"/>
            <w:vAlign w:val="center"/>
          </w:tcPr>
          <w:p w:rsidP="00A3193E" w:rsidR="00B007B6" w:rsidRDefault="00B007B6"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买入返售金融资产</w:t>
            </w:r>
          </w:p>
        </w:tc>
        <w:tc>
          <w:tcPr>
            <w:tcW w:type="dxa" w:w="2694"/>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757"/>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Pr="00B34368">
              <w:rPr>
                <w:rFonts w:eastAsiaTheme="minorEastAsia"/>
                <w:color w:themeColor="text1" w:val="000000"/>
                <w:sz w:val="24"/>
              </w:rPr>
              <w:lastRenderedPageBreak/>
              <w:t>-</w:t>
            </w:r>
          </w:p>
        </w:tc>
      </w:tr>
      <w:tr w:rsidR="00D3639B" w:rsidRPr="00B34368" w:rsidTr="00975D18">
        <w:tc>
          <w:tcPr>
            <w:tcW w:type="dxa" w:w="720"/>
            <w:vAlign w:val="center"/>
          </w:tcPr>
          <w:p w:rsidP="00A3193E" w:rsidR="00B007B6" w:rsidRDefault="00B007B6" w:rsidRPr="00B34368">
            <w:pPr>
              <w:spacing w:before="29" w:line="360" w:lineRule="auto"/>
              <w:ind w:left="17"/>
              <w:jc w:val="center"/>
              <w:rPr>
                <w:rFonts w:eastAsiaTheme="minorEastAsia"/>
                <w:color w:themeColor="text1" w:val="000000"/>
                <w:sz w:val="24"/>
              </w:rPr>
            </w:pPr>
          </w:p>
        </w:tc>
        <w:tc>
          <w:tcPr>
            <w:tcW w:type="dxa" w:w="3357"/>
            <w:vAlign w:val="center"/>
          </w:tcPr>
          <w:p w:rsidP="00A3193E" w:rsidR="00B007B6" w:rsidRDefault="00B007B6"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其中：买断式回购的买入返售金融资产</w:t>
            </w:r>
          </w:p>
        </w:tc>
        <w:tc>
          <w:tcPr>
            <w:tcW w:type="dxa" w:w="2694"/>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c>
          <w:tcPr>
            <w:tcW w:type="dxa" w:w="1757"/>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r>
      <w:tr w:rsidR="00D3639B" w:rsidRPr="00B34368" w:rsidTr="00975D18">
        <w:tc>
          <w:tcPr>
            <w:tcW w:type="dxa" w:w="720"/>
            <w:vAlign w:val="center"/>
          </w:tcPr>
          <w:p w:rsidP="00A3193E"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7</w:t>
            </w:r>
          </w:p>
        </w:tc>
        <w:tc>
          <w:tcPr>
            <w:tcW w:type="dxa" w:w="3357"/>
            <w:vAlign w:val="center"/>
          </w:tcPr>
          <w:p w:rsidP="00A3193E" w:rsidR="00B007B6" w:rsidRDefault="00B007B6"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银行存款和结算备付金合计</w:t>
            </w:r>
          </w:p>
        </w:tc>
        <w:tc>
          <w:tcPr>
            <w:tcW w:type="dxa" w:w="2694"/>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30,693,086.39</w:t>
            </w:r>
          </w:p>
        </w:tc>
        <w:tc>
          <w:tcPr>
            <w:tcW w:type="dxa" w:w="1757"/>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5.26</w:t>
            </w:r>
          </w:p>
        </w:tc>
      </w:tr>
      <w:tr w:rsidR="00D3639B" w:rsidRPr="00B34368" w:rsidTr="00975D18">
        <w:tc>
          <w:tcPr>
            <w:tcW w:type="dxa" w:w="720"/>
            <w:vAlign w:val="center"/>
          </w:tcPr>
          <w:p w:rsidP="00B007B6"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8</w:t>
            </w:r>
          </w:p>
        </w:tc>
        <w:tc>
          <w:tcPr>
            <w:tcW w:type="dxa" w:w="3357"/>
            <w:vAlign w:val="center"/>
          </w:tcPr>
          <w:p w:rsidP="00A3193E" w:rsidR="00B007B6" w:rsidRDefault="00E57CD3" w:rsidRPr="00B34368">
            <w:pPr>
              <w:jc w:val="left"/>
              <w:rPr>
                <w:rFonts w:eastAsiaTheme="minorEastAsia"/>
                <w:color w:themeColor="text1" w:val="000000"/>
                <w:sz w:val="24"/>
              </w:rPr>
            </w:pPr>
            <w:r>
              <w:rPr>
                <w:rFonts w:eastAsiaTheme="minorEastAsia" w:hAnsiTheme="minorEastAsia"/>
                <w:color w:themeColor="text1" w:val="000000"/>
                <w:sz w:val="24"/>
              </w:rPr>
              <w:t>其他</w:t>
            </w:r>
            <w:r w:rsidR="00B007B6" w:rsidRPr="00B34368">
              <w:rPr>
                <w:rFonts w:eastAsiaTheme="minorEastAsia" w:hAnsiTheme="minorEastAsia"/>
                <w:color w:themeColor="text1" w:val="000000"/>
                <w:sz w:val="24"/>
              </w:rPr>
              <w:t>资产</w:t>
            </w:r>
          </w:p>
        </w:tc>
        <w:tc>
          <w:tcPr>
            <w:tcW w:type="dxa" w:w="2694"/>
            <w:vAlign w:val="center"/>
          </w:tcPr>
          <w:p w:rsidP="00A3193E" w:rsidR="00B007B6" w:rsidRDefault="00B007B6"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7,251,164.33</w:t>
            </w:r>
          </w:p>
        </w:tc>
        <w:tc>
          <w:tcPr>
            <w:tcW w:type="dxa" w:w="1757"/>
            <w:vAlign w:val="center"/>
          </w:tcPr>
          <w:p w:rsidP="00A3193E" w:rsidR="00B007B6" w:rsidRDefault="00B007B6"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1.24</w:t>
            </w:r>
          </w:p>
        </w:tc>
      </w:tr>
      <w:tr w:rsidR="00D3639B" w:rsidRPr="00B34368" w:rsidTr="00975D18">
        <w:tc>
          <w:tcPr>
            <w:tcW w:type="dxa" w:w="720"/>
            <w:vAlign w:val="center"/>
          </w:tcPr>
          <w:p w:rsidP="00B007B6"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9</w:t>
            </w:r>
          </w:p>
        </w:tc>
        <w:tc>
          <w:tcPr>
            <w:tcW w:type="dxa" w:w="3357"/>
            <w:vAlign w:val="center"/>
          </w:tcPr>
          <w:p w:rsidP="00A3193E" w:rsidR="00B007B6" w:rsidRDefault="00B007B6" w:rsidRPr="00B34368">
            <w:pPr>
              <w:jc w:val="left"/>
              <w:rPr>
                <w:rFonts w:eastAsiaTheme="minorEastAsia"/>
                <w:color w:themeColor="text1" w:val="000000"/>
                <w:sz w:val="24"/>
              </w:rPr>
            </w:pPr>
            <w:r w:rsidRPr="00B34368">
              <w:rPr>
                <w:rFonts w:eastAsiaTheme="minorEastAsia" w:hAnsiTheme="minorEastAsia"/>
                <w:color w:themeColor="text1" w:val="000000"/>
                <w:sz w:val="24"/>
              </w:rPr>
              <w:t>合计</w:t>
            </w:r>
          </w:p>
        </w:tc>
        <w:tc>
          <w:tcPr>
            <w:tcW w:type="dxa" w:w="2694"/>
            <w:vAlign w:val="center"/>
          </w:tcPr>
          <w:p w:rsidP="00A3193E" w:rsidR="00B007B6" w:rsidRDefault="00B007B6"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583,058,437.94</w:t>
            </w:r>
          </w:p>
        </w:tc>
        <w:tc>
          <w:tcPr>
            <w:tcW w:type="dxa" w:w="1757"/>
            <w:vAlign w:val="center"/>
          </w:tcPr>
          <w:p w:rsidP="00A3193E" w:rsidR="00B007B6" w:rsidRDefault="00B007B6"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100.00</w:t>
            </w:r>
          </w:p>
        </w:tc>
      </w:tr>
    </w:tbl>
    <w:p w:rsidP="00C544B8" w:rsidR="0040218E" w:rsidRDefault="0040218E"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lastRenderedPageBreak/>
        <w:t>5.2</w:t>
      </w:r>
      <w:r w:rsidRPr="00B34368">
        <w:rPr>
          <w:rFonts w:eastAsiaTheme="minorEastAsia" w:hAnsiTheme="minorEastAsia"/>
          <w:b/>
          <w:color w:themeColor="text1" w:val="000000"/>
          <w:kern w:val="0"/>
          <w:sz w:val="24"/>
        </w:rPr>
        <w:t>期末投资目标基金明细</w:t>
      </w:r>
    </w:p>
    <w:tbl>
      <w:tblPr>
        <w:tblStyle w:val="af2"/>
        <w:tblW w:type="auto" w:w="0"/>
        <w:tblInd w:type="dxa" w:w="108"/>
        <w:tblLook w:firstColumn="1" w:firstRow="1" w:lastColumn="0" w:lastRow="0" w:noHBand="0" w:noVBand="1" w:val="04A0"/>
      </w:tblPr>
      <w:tblGrid>
        <w:gridCol w:w="1194"/>
        <w:gridCol w:w="1195"/>
        <w:gridCol w:w="1195"/>
        <w:gridCol w:w="1195"/>
        <w:gridCol w:w="1195"/>
        <w:gridCol w:w="1489"/>
        <w:gridCol w:w="1465"/>
      </w:tblGrid>
      <w:tr w:rsidR="00D3639B" w:rsidRPr="00B34368" w:rsidTr="00975D18">
        <w:tc>
          <w:tcPr>
            <w:tcW w:type="dxa" w:w="1215"/>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序号</w:t>
            </w:r>
          </w:p>
        </w:tc>
        <w:tc>
          <w:tcPr>
            <w:tcW w:type="dxa" w:w="1216"/>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基金名称</w:t>
            </w:r>
          </w:p>
        </w:tc>
        <w:tc>
          <w:tcPr>
            <w:tcW w:type="dxa" w:w="1216"/>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基金类型</w:t>
            </w:r>
          </w:p>
        </w:tc>
        <w:tc>
          <w:tcPr>
            <w:tcW w:type="dxa" w:w="1216"/>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运作方式</w:t>
            </w:r>
          </w:p>
        </w:tc>
        <w:tc>
          <w:tcPr>
            <w:tcW w:type="dxa" w:w="1216"/>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管理人</w:t>
            </w:r>
          </w:p>
        </w:tc>
        <w:tc>
          <w:tcPr>
            <w:tcW w:type="dxa" w:w="1217"/>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公允价值</w:t>
            </w:r>
            <w:r w:rsidR="00A22E07" w:rsidRPr="00B34368">
              <w:rPr>
                <w:rFonts w:eastAsiaTheme="minorEastAsia" w:hAnsiTheme="minorEastAsia"/>
                <w:color w:themeColor="text1" w:val="000000"/>
                <w:sz w:val="24"/>
              </w:rPr>
              <w:t>（元）</w:t>
            </w:r>
          </w:p>
        </w:tc>
        <w:tc>
          <w:tcPr>
            <w:tcW w:type="dxa" w:w="1217"/>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占基金资产净值比例（</w:t>
            </w:r>
            <w:r w:rsidRPr="00B34368">
              <w:rPr>
                <w:rFonts w:eastAsiaTheme="minorEastAsia"/>
                <w:color w:themeColor="text1" w:val="000000"/>
                <w:kern w:val="0"/>
                <w:sz w:val="24"/>
              </w:rPr>
              <w:t>%</w:t>
            </w:r>
            <w:r w:rsidRPr="00B34368">
              <w:rPr>
                <w:rFonts w:eastAsiaTheme="minorEastAsia" w:hAnsiTheme="minorEastAsia"/>
                <w:color w:themeColor="text1" w:val="000000"/>
                <w:kern w:val="0"/>
                <w:sz w:val="24"/>
              </w:rPr>
              <w:t>）</w:t>
            </w:r>
          </w:p>
        </w:tc>
      </w:tr>
      <w:tr>
        <w:tc>
          <w:tcPr>
            <w:vAlign w:val="center"/>
          </w:tcPr>
          <w:p>
            <w:pPr>
              <w:jc w:val="center"/>
            </w:pPr>
            <w:r>
              <w:rPr>
                <w:rFonts w:eastAsiaTheme="minorEastAsia"/>
                <w:color w:themeColor="text1" w:val="000000"/>
                <w:sz w:val="24"/>
              </w:rPr>
              <w:t>1</w:t>
            </w:r>
          </w:p>
        </w:tc>
        <w:tc>
          <w:tcPr>
            <w:vAlign w:val="center"/>
          </w:tcPr>
          <w:p>
            <w:pPr>
              <w:jc w:val="center"/>
            </w:pPr>
            <w:r>
              <w:rPr>
                <w:rFonts w:eastAsiaTheme="minorEastAsia"/>
                <w:color w:themeColor="text1" w:val="000000"/>
                <w:sz w:val="24"/>
              </w:rPr>
              <w:t>易方达中证500交易型开放式指数证券投资基金</w:t>
            </w:r>
          </w:p>
        </w:tc>
        <w:tc>
          <w:tcPr>
            <w:vAlign w:val="center"/>
          </w:tcPr>
          <w:p>
            <w:pPr>
              <w:jc w:val="center"/>
            </w:pPr>
            <w:r>
              <w:rPr>
                <w:rFonts w:eastAsiaTheme="minorEastAsia"/>
                <w:color w:themeColor="text1" w:val="000000"/>
                <w:sz w:val="24"/>
              </w:rPr>
              <w:t>股票型</w:t>
            </w:r>
          </w:p>
        </w:tc>
        <w:tc>
          <w:tcPr>
            <w:vAlign w:val="center"/>
          </w:tcPr>
          <w:p>
            <w:pPr>
              <w:jc w:val="center"/>
            </w:pPr>
            <w:r>
              <w:rPr>
                <w:rFonts w:eastAsiaTheme="minorEastAsia"/>
                <w:color w:themeColor="text1" w:val="000000"/>
                <w:sz w:val="24"/>
              </w:rPr>
              <w:t>交易型开放式（ETF）</w:t>
            </w:r>
          </w:p>
        </w:tc>
        <w:tc>
          <w:tcPr>
            <w:vAlign w:val="center"/>
          </w:tcPr>
          <w:p>
            <w:pPr>
              <w:jc w:val="center"/>
            </w:pPr>
            <w:r>
              <w:rPr>
                <w:rFonts w:eastAsiaTheme="minorEastAsia"/>
                <w:color w:themeColor="text1" w:val="000000"/>
                <w:sz w:val="24"/>
              </w:rPr>
              <w:t>易方达基金管理有限公司</w:t>
            </w:r>
          </w:p>
        </w:tc>
        <w:tc>
          <w:tcPr>
            <w:vAlign w:val="center"/>
          </w:tcPr>
          <w:p>
            <w:pPr>
              <w:jc w:val="right"/>
            </w:pPr>
            <w:r>
              <w:rPr>
                <w:rFonts w:eastAsiaTheme="minorEastAsia"/>
                <w:color w:themeColor="text1" w:val="000000"/>
                <w:sz w:val="24"/>
              </w:rPr>
              <w:t>545,094,407.22</w:t>
            </w:r>
          </w:p>
        </w:tc>
        <w:tc>
          <w:tcPr>
            <w:vAlign w:val="center"/>
          </w:tcPr>
          <w:p>
            <w:pPr>
              <w:jc w:val="right"/>
            </w:pPr>
            <w:r>
              <w:rPr>
                <w:rFonts w:eastAsiaTheme="minorEastAsia"/>
                <w:color w:themeColor="text1" w:val="000000"/>
                <w:sz w:val="24"/>
              </w:rPr>
              <w:t>94.41</w:t>
            </w:r>
          </w:p>
        </w:tc>
      </w:tr>
    </w:tbl>
    <w:p w:rsidP="00C544B8" w:rsidR="0054389B" w:rsidRDefault="0054389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5.3 </w:t>
      </w:r>
      <w:r w:rsidRPr="00B34368">
        <w:rPr>
          <w:rFonts w:eastAsiaTheme="minorEastAsia" w:hAnsiTheme="minorEastAsia"/>
          <w:b/>
          <w:color w:themeColor="text1" w:val="000000"/>
          <w:kern w:val="0"/>
          <w:sz w:val="24"/>
        </w:rPr>
        <w:t>报告期末按行业分类的股票投资组合</w:t>
      </w:r>
    </w:p>
    <w:p w:rsidP="0054389B" w:rsidR="0054389B" w:rsidRDefault="0054389B" w:rsidRPr="00B34368">
      <w:pPr>
        <w:rPr>
          <w:rFonts w:eastAsiaTheme="minorEastAsia"/>
          <w:b/>
          <w:sz w:val="24"/>
        </w:rPr>
      </w:pPr>
      <w:r w:rsidRPr="00B34368">
        <w:rPr>
          <w:rFonts w:eastAsiaTheme="minorEastAsia"/>
          <w:b/>
          <w:color w:themeColor="text1" w:val="000000"/>
          <w:sz w:val="24"/>
        </w:rPr>
        <w:t/>
      </w:r>
      <w:proofErr w:type="spellStart"/>
      <w:r w:rsidRPr="00B34368">
        <w:rPr>
          <w:rFonts w:eastAsiaTheme="minorEastAsia"/>
          <w:b/>
          <w:color w:themeColor="text1" w:val="000000"/>
          <w:sz w:val="24"/>
        </w:rPr>
        <w:t/>
      </w:r>
      <w:proofErr w:type="spellEnd"/>
      <w:r w:rsidRPr="00B34368">
        <w:rPr>
          <w:rFonts w:eastAsiaTheme="minorEastAsia"/>
          <w:b/>
          <w:color w:themeColor="text1" w:val="000000"/>
          <w:sz w:val="24"/>
        </w:rPr>
        <w:t/>
      </w:r>
      <w:r w:rsidRPr="00B34368">
        <w:rPr>
          <w:rFonts w:eastAsiaTheme="minorEastAsia"/>
          <w:b/>
          <w:color w:themeColor="text1" w:val="000000"/>
          <w:kern w:val="0"/>
          <w:sz w:val="24"/>
        </w:rPr>
        <w:t>5.3.1</w:t>
      </w:r>
      <w:r w:rsidRPr="00B34368">
        <w:rPr>
          <w:rFonts w:eastAsiaTheme="minorEastAsia" w:hAnsiTheme="minorEastAsia"/>
          <w:b/>
          <w:color w:themeColor="text1" w:val="000000"/>
          <w:kern w:val="0"/>
          <w:sz w:val="24"/>
        </w:rPr>
        <w:t>报告期末按行业分类的境内股票投资组合</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540"/>
        <w:gridCol w:w="3691"/>
        <w:gridCol w:w="3135"/>
        <w:gridCol w:w="1365"/>
      </w:tblGrid>
      <w:tr w:rsidR="00D3639B" w:rsidRPr="00B34368" w:rsidTr="004E70B7">
        <w:trPr>
          <w:trHeight w:val="390"/>
        </w:trPr>
        <w:tc>
          <w:tcPr>
            <w:tcW w:type="dxa" w:w="540"/>
            <w:vAlign w:val="cente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hAnsiTheme="minorEastAsia"/>
                <w:color w:themeColor="text1" w:val="000000"/>
                <w:sz w:val="24"/>
              </w:rPr>
              <w:t>代码</w:t>
            </w:r>
            <w:r w:rsidR="00FA0527" w:rsidRPr="00B34368">
              <w:rPr>
                <w:rFonts w:eastAsiaTheme="minorEastAsia"/>
                <w:color w:themeColor="text1" w:val="000000"/>
                <w:sz w:val="24"/>
              </w:rPr>
              <w:t/>
            </w:r>
            <w:proofErr w:type="spellStart"/>
            <w:r w:rsidR="00FA0527" w:rsidRPr="00B34368">
              <w:rPr>
                <w:rFonts w:eastAsiaTheme="minorEastAsia"/>
                <w:color w:themeColor="text1" w:val="000000"/>
                <w:sz w:val="24"/>
              </w:rPr>
              <w:t/>
            </w:r>
            <w:proofErr w:type="spellEnd"/>
            <w:r w:rsidR="00FA0527" w:rsidRPr="00B34368">
              <w:rPr>
                <w:rFonts w:eastAsiaTheme="minorEastAsia"/>
                <w:color w:themeColor="text1" w:val="000000"/>
                <w:sz w:val="24"/>
              </w:rPr>
              <w:t/>
            </w:r>
          </w:p>
        </w:tc>
        <w:tc>
          <w:tcPr>
            <w:tcW w:type="dxa" w:w="3691"/>
            <w:tcMar>
              <w:top w:type="dxa" w:w="15"/>
              <w:left w:type="dxa" w:w="15"/>
              <w:bottom w:type="dxa" w:w="0"/>
              <w:right w:type="dxa" w:w="15"/>
            </w:tcMar>
            <w:vAlign w:val="cente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hAnsiTheme="minorEastAsia"/>
                <w:color w:themeColor="text1" w:val="000000"/>
                <w:sz w:val="24"/>
              </w:rPr>
              <w:t>行业类别</w:t>
            </w:r>
          </w:p>
        </w:tc>
        <w:tc>
          <w:tcPr>
            <w:tcW w:type="dxa" w:w="3135"/>
            <w:vAlign w:val="cente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hAnsiTheme="minorEastAsia"/>
                <w:color w:themeColor="text1" w:val="000000"/>
                <w:sz w:val="24"/>
              </w:rPr>
              <w:t>公允价值（元）</w:t>
            </w:r>
          </w:p>
        </w:tc>
        <w:tc>
          <w:tcPr>
            <w:tcW w:type="dxa" w:w="1365"/>
            <w:tcMar>
              <w:top w:type="dxa" w:w="15"/>
              <w:left w:type="dxa" w:w="15"/>
              <w:bottom w:type="dxa" w:w="0"/>
              <w:right w:type="dxa" w:w="15"/>
            </w:tcMar>
            <w:vAlign w:val="cente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hAnsiTheme="minorEastAsia"/>
                <w:color w:themeColor="text1" w:val="000000"/>
                <w:sz w:val="24"/>
              </w:rPr>
              <w:t>占基金资产净值比例（％）</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A</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农、林、牧、渔业</w:t>
            </w:r>
          </w:p>
        </w:tc>
        <w:tc>
          <w:tcPr>
            <w:tcW w:type="dxa" w:w="3135"/>
            <w:vAlign w:val="center"/>
          </w:tcPr>
          <w:p w:rsidP="00724F6D" w:rsidR="005F458B" w:rsidRDefault="005F458B" w:rsidRPr="00B34368">
            <w:pPr>
              <w:autoSpaceDE w:val="0"/>
              <w:autoSpaceDN w:val="0"/>
              <w:adjustRightInd w:val="0"/>
              <w:spacing w:before="29" w:line="360" w:lineRule="auto"/>
              <w:ind w:left="15"/>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center"/>
          </w:tcPr>
          <w:p w:rsidP="00724F6D" w:rsidR="005F458B" w:rsidRDefault="005F458B" w:rsidRPr="00B34368">
            <w:pPr>
              <w:autoSpaceDE w:val="0"/>
              <w:autoSpaceDN w:val="0"/>
              <w:adjustRightInd w:val="0"/>
              <w:spacing w:before="29" w:line="360" w:lineRule="auto"/>
              <w:ind w:left="15"/>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B</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采矿业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p w:rsidP="00724F6D" w:rsidR="005F458B" w:rsidRDefault="005F458B" w:rsidRPr="00B34368">
            <w:pPr>
              <w:jc w:val="right"/>
              <w:rPr>
                <w:rFonts w:eastAsiaTheme="minorEastAsia"/>
                <w:color w:themeColor="text1" w:val="000000"/>
                <w:sz w:val="24"/>
              </w:rPr>
            </w:pP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p w:rsidP="00724F6D" w:rsidR="005F458B" w:rsidRDefault="005F458B" w:rsidRPr="00B34368">
            <w:pPr>
              <w:jc w:val="right"/>
              <w:rPr>
                <w:rFonts w:eastAsiaTheme="minorEastAsia"/>
                <w:color w:themeColor="text1" w:val="000000"/>
                <w:sz w:val="24"/>
              </w:rPr>
            </w:pP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C</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制造业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r w:rsidRPr="00B34368">
              <w:rPr>
                <w:rFonts w:eastAsiaTheme="minorEastAsia"/>
                <w:color w:themeColor="text1" w:val="000000"/>
                <w:sz w:val="24"/>
              </w:rPr>
              <w:lastRenderedPageBreak/>
              <w:t/>
            </w:r>
            <w:proofErr w:type="spellEnd"/>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lastRenderedPageBreak/>
              <w:t>D</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电力、热力、燃气及水生产和供应业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E</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建筑业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F</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批发和零售业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G</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交通运输、仓储和邮政业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19,780.00</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0.00</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H</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住宿和餐饮业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I</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信息传输、软件和信息技术服务业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J</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金融业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K</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房地产业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r w:rsidRPr="00B34368">
              <w:rPr>
                <w:rFonts w:eastAsiaTheme="minorEastAsia"/>
                <w:color w:themeColor="text1" w:val="000000"/>
                <w:sz w:val="24"/>
              </w:rPr>
              <w:lastRenderedPageBreak/>
              <w:t/>
            </w:r>
            <w:proofErr w:type="spellEnd"/>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lastRenderedPageBreak/>
              <w:t>L</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租赁和商务服务业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M</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科学研究和技术服务业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N</w:t>
            </w:r>
          </w:p>
        </w:tc>
        <w:tc>
          <w:tcPr>
            <w:tcW w:type="dxa" w:w="3691"/>
            <w:tcMar>
              <w:top w:type="dxa" w:w="15"/>
              <w:left w:type="dxa" w:w="15"/>
              <w:bottom w:type="dxa" w:w="0"/>
              <w:right w:type="dxa" w:w="15"/>
            </w:tcMar>
          </w:tcPr>
          <w:p w:rsidP="00975D18"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水利、环境和公共设施管理业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O</w:t>
            </w:r>
          </w:p>
        </w:tc>
        <w:tc>
          <w:tcPr>
            <w:tcW w:type="dxa" w:w="3691"/>
            <w:tcMar>
              <w:top w:type="dxa" w:w="15"/>
              <w:left w:type="dxa" w:w="15"/>
              <w:bottom w:type="dxa" w:w="0"/>
              <w:right w:type="dxa" w:w="15"/>
            </w:tcMar>
          </w:tcPr>
          <w:p w:rsidP="00975D18"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居民服务、修理和其他服务业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P</w:t>
            </w:r>
          </w:p>
        </w:tc>
        <w:tc>
          <w:tcPr>
            <w:tcW w:type="dxa" w:w="3691"/>
            <w:tcMar>
              <w:top w:type="dxa" w:w="15"/>
              <w:left w:type="dxa" w:w="15"/>
              <w:bottom w:type="dxa" w:w="0"/>
              <w:right w:type="dxa" w:w="15"/>
            </w:tcMar>
          </w:tcPr>
          <w:p w:rsidP="00975D18"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教育</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Q</w:t>
            </w:r>
          </w:p>
        </w:tc>
        <w:tc>
          <w:tcPr>
            <w:tcW w:type="dxa" w:w="3691"/>
            <w:tcMar>
              <w:top w:type="dxa" w:w="15"/>
              <w:left w:type="dxa" w:w="15"/>
              <w:bottom w:type="dxa" w:w="0"/>
              <w:right w:type="dxa" w:w="15"/>
            </w:tcMar>
          </w:tcPr>
          <w:p w:rsidP="00975D18"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卫生和社会工作</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R</w:t>
            </w:r>
          </w:p>
        </w:tc>
        <w:tc>
          <w:tcPr>
            <w:tcW w:type="dxa" w:w="3691"/>
            <w:tcMar>
              <w:top w:type="dxa" w:w="15"/>
              <w:left w:type="dxa" w:w="15"/>
              <w:bottom w:type="dxa" w:w="0"/>
              <w:right w:type="dxa" w:w="15"/>
            </w:tcMar>
          </w:tcPr>
          <w:p w:rsidP="00975D18"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文化、体育和娱乐业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S</w:t>
            </w:r>
          </w:p>
        </w:tc>
        <w:tc>
          <w:tcPr>
            <w:tcW w:type="dxa" w:w="3691"/>
            <w:tcMar>
              <w:top w:type="dxa" w:w="15"/>
              <w:left w:type="dxa" w:w="15"/>
              <w:bottom w:type="dxa" w:w="0"/>
              <w:right w:type="dxa" w:w="15"/>
            </w:tcMar>
          </w:tcPr>
          <w:p w:rsidP="00975D18"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综合</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r w:rsidRPr="00B34368">
              <w:rPr>
                <w:rFonts w:eastAsiaTheme="minorEastAsia"/>
                <w:color w:themeColor="text1" w:val="000000"/>
                <w:sz w:val="24"/>
              </w:rPr>
              <w:lastRenderedPageBreak/>
              <w:t/>
            </w:r>
            <w:proofErr w:type="spellEnd"/>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p>
        </w:tc>
        <w:tc>
          <w:tcPr>
            <w:tcW w:type="dxa" w:w="3691"/>
            <w:tcMar>
              <w:top w:type="dxa" w:w="15"/>
              <w:left w:type="dxa" w:w="15"/>
              <w:bottom w:type="dxa" w:w="0"/>
              <w:right w:type="dxa" w:w="15"/>
            </w:tcMar>
          </w:tcPr>
          <w:p w:rsidP="00975D18"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合计</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19,780.00</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0.00</w:t>
            </w:r>
          </w:p>
        </w:tc>
      </w:tr>
    </w:tbl>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5.</w:t>
      </w:r>
      <w:r w:rsidR="0040218E" w:rsidRPr="00B34368">
        <w:rPr>
          <w:rFonts w:eastAsiaTheme="minorEastAsia"/>
          <w:b/>
          <w:color w:themeColor="text1" w:val="000000"/>
          <w:kern w:val="0"/>
          <w:sz w:val="24"/>
        </w:rPr>
        <w:t>4</w:t>
      </w:r>
      <w:r w:rsidRPr="00B34368">
        <w:rPr>
          <w:rFonts w:eastAsiaTheme="minorEastAsia"/>
          <w:b/>
          <w:color w:themeColor="text1" w:val="000000"/>
          <w:kern w:val="0"/>
          <w:sz w:val="24"/>
        </w:rPr>
        <w:t xml:space="preserve"> </w:t>
      </w:r>
      <w:r w:rsidRPr="00B34368">
        <w:rPr>
          <w:rFonts w:eastAsiaTheme="minorEastAsia" w:hAnsiTheme="minorEastAsia"/>
          <w:b/>
          <w:color w:themeColor="text1" w:val="000000"/>
          <w:kern w:val="0"/>
          <w:sz w:val="24"/>
        </w:rPr>
        <w:t>报告期末按公允价值占基金资产净值比例大小排序的前十名股票投资明细</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817"/>
        <w:gridCol w:w="1276"/>
        <w:gridCol w:w="1701"/>
        <w:gridCol w:w="1276"/>
        <w:gridCol w:w="1842"/>
        <w:gridCol w:w="1616"/>
      </w:tblGrid>
      <w:tr w:rsidR="00D3639B" w:rsidRPr="00B34368" w:rsidTr="00975D18">
        <w:tc>
          <w:tcPr>
            <w:tcW w:type="dxa" w:w="817"/>
            <w:vAlign w:val="center"/>
          </w:tcPr>
          <w:p w:rsidP="000871DB" w:rsidR="000871DB" w:rsidRDefault="000871DB"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序号</w:t>
            </w:r>
          </w:p>
        </w:tc>
        <w:tc>
          <w:tcPr>
            <w:tcW w:type="dxa" w:w="1276"/>
            <w:vAlign w:val="center"/>
          </w:tcPr>
          <w:p w:rsidP="000871DB" w:rsidR="000871DB" w:rsidRDefault="000871DB"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股票代码</w:t>
            </w:r>
          </w:p>
        </w:tc>
        <w:tc>
          <w:tcPr>
            <w:tcW w:type="dxa" w:w="1701"/>
            <w:vAlign w:val="center"/>
          </w:tcPr>
          <w:p w:rsidP="000871DB" w:rsidR="000871DB" w:rsidRDefault="000871DB"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股票名称</w:t>
            </w:r>
          </w:p>
        </w:tc>
        <w:tc>
          <w:tcPr>
            <w:tcW w:type="dxa" w:w="1276"/>
            <w:vAlign w:val="center"/>
          </w:tcPr>
          <w:p w:rsidP="000871DB" w:rsidR="000871DB" w:rsidRDefault="000871DB"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数量</w:t>
            </w:r>
            <w:r w:rsidRPr="00B34368">
              <w:rPr>
                <w:rFonts w:eastAsiaTheme="minorEastAsia"/>
                <w:color w:themeColor="text1" w:val="000000"/>
                <w:sz w:val="24"/>
              </w:rPr>
              <w:t>(</w:t>
            </w:r>
            <w:r w:rsidRPr="00B34368">
              <w:rPr>
                <w:rFonts w:eastAsiaTheme="minorEastAsia" w:hAnsiTheme="minorEastAsia"/>
                <w:color w:themeColor="text1" w:val="000000"/>
                <w:sz w:val="24"/>
              </w:rPr>
              <w:t>股</w:t>
            </w:r>
            <w:r w:rsidRPr="00B34368">
              <w:rPr>
                <w:rFonts w:eastAsiaTheme="minorEastAsia"/>
                <w:color w:themeColor="text1" w:val="000000"/>
                <w:sz w:val="24"/>
              </w:rPr>
              <w:t>)</w:t>
            </w:r>
          </w:p>
        </w:tc>
        <w:tc>
          <w:tcPr>
            <w:tcW w:type="dxa" w:w="1842"/>
            <w:vAlign w:val="center"/>
          </w:tcPr>
          <w:p w:rsidP="000871DB" w:rsidR="000871DB" w:rsidRDefault="000871DB" w:rsidRPr="00B34368">
            <w:pPr>
              <w:autoSpaceDE w:val="0"/>
              <w:autoSpaceDN w:val="0"/>
              <w:adjustRightInd w:val="0"/>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公允价值</w:t>
            </w:r>
            <w:r w:rsidRPr="00B34368">
              <w:rPr>
                <w:rFonts w:eastAsiaTheme="minorEastAsia"/>
                <w:color w:themeColor="text1" w:val="000000"/>
                <w:sz w:val="24"/>
              </w:rPr>
              <w:t>(</w:t>
            </w:r>
            <w:r w:rsidRPr="00B34368">
              <w:rPr>
                <w:rFonts w:eastAsiaTheme="minorEastAsia" w:hAnsiTheme="minorEastAsia"/>
                <w:color w:themeColor="text1" w:val="000000"/>
                <w:sz w:val="24"/>
              </w:rPr>
              <w:t>元</w:t>
            </w:r>
            <w:r w:rsidRPr="00B34368">
              <w:rPr>
                <w:rFonts w:eastAsiaTheme="minorEastAsia"/>
                <w:color w:themeColor="text1" w:val="000000"/>
                <w:sz w:val="24"/>
              </w:rPr>
              <w:t>)</w:t>
            </w:r>
          </w:p>
        </w:tc>
        <w:tc>
          <w:tcPr>
            <w:tcW w:type="dxa" w:w="1616"/>
            <w:vAlign w:val="center"/>
          </w:tcPr>
          <w:p w:rsidP="000871DB" w:rsidR="000871DB" w:rsidRDefault="000871DB"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占基金资产净值比例</w:t>
            </w:r>
            <w:r w:rsidRPr="00B34368">
              <w:rPr>
                <w:rFonts w:eastAsiaTheme="minorEastAsia"/>
                <w:color w:themeColor="text1" w:val="000000"/>
                <w:sz w:val="24"/>
              </w:rPr>
              <w:t>(</w:t>
            </w:r>
            <w:r w:rsidRPr="00B34368">
              <w:rPr>
                <w:rFonts w:eastAsiaTheme="minorEastAsia" w:hAnsiTheme="minorEastAsia"/>
                <w:color w:themeColor="text1" w:val="000000"/>
                <w:sz w:val="24"/>
              </w:rPr>
              <w:t>％</w:t>
            </w:r>
            <w:r w:rsidRPr="00B34368">
              <w:rPr>
                <w:rFonts w:eastAsiaTheme="minorEastAsia"/>
                <w:color w:themeColor="text1" w:val="000000"/>
                <w:sz w:val="24"/>
              </w:rPr>
              <w:t>)</w:t>
            </w:r>
          </w:p>
        </w:tc>
      </w:tr>
      <w:tr>
        <w:tc>
          <w:tcPr>
            <w:vAlign w:val="center"/>
          </w:tcPr>
          <w:p>
            <w:pPr>
              <w:jc w:val="center"/>
            </w:pPr>
            <w:r>
              <w:rPr>
                <w:rFonts w:eastAsiaTheme="minorEastAsia"/>
                <w:color w:themeColor="text1" w:val="000000"/>
                <w:sz w:val="24"/>
              </w:rPr>
              <w:t>1</w:t>
            </w:r>
          </w:p>
        </w:tc>
        <w:tc>
          <w:tcPr>
            <w:vAlign w:val="center"/>
          </w:tcPr>
          <w:p>
            <w:pPr>
              <w:jc w:val="center"/>
            </w:pPr>
            <w:r>
              <w:rPr>
                <w:rFonts w:eastAsiaTheme="minorEastAsia"/>
                <w:color w:themeColor="text1" w:val="000000"/>
                <w:sz w:val="24"/>
              </w:rPr>
              <w:t>601880</w:t>
            </w:r>
          </w:p>
        </w:tc>
        <w:tc>
          <w:tcPr>
            <w:vAlign w:val="center"/>
          </w:tcPr>
          <w:p>
            <w:pPr>
              <w:jc w:val="center"/>
            </w:pPr>
            <w:r>
              <w:rPr>
                <w:rFonts w:eastAsiaTheme="minorEastAsia"/>
                <w:color w:themeColor="text1" w:val="000000"/>
                <w:sz w:val="24"/>
              </w:rPr>
              <w:t>大连港</w:t>
            </w:r>
          </w:p>
        </w:tc>
        <w:tc>
          <w:tcPr>
            <w:vAlign w:val="center"/>
          </w:tcPr>
          <w:p>
            <w:pPr>
              <w:jc w:val="right"/>
            </w:pPr>
            <w:r>
              <w:rPr>
                <w:rFonts w:eastAsiaTheme="minorEastAsia"/>
                <w:color w:themeColor="text1" w:val="000000"/>
                <w:sz w:val="24"/>
              </w:rPr>
              <w:t>11,500</w:t>
            </w:r>
          </w:p>
        </w:tc>
        <w:tc>
          <w:tcPr>
            <w:vAlign w:val="center"/>
          </w:tcPr>
          <w:p>
            <w:pPr>
              <w:jc w:val="right"/>
            </w:pPr>
            <w:r>
              <w:rPr>
                <w:rFonts w:eastAsiaTheme="minorEastAsia"/>
                <w:color w:themeColor="text1" w:val="000000"/>
                <w:sz w:val="24"/>
              </w:rPr>
              <w:t>19,780.00</w:t>
            </w:r>
          </w:p>
        </w:tc>
        <w:tc>
          <w:tcPr>
            <w:vAlign w:val="center"/>
          </w:tcPr>
          <w:p>
            <w:pPr>
              <w:jc w:val="right"/>
            </w:pPr>
            <w:r>
              <w:rPr>
                <w:rFonts w:eastAsiaTheme="minorEastAsia"/>
                <w:color w:themeColor="text1" w:val="000000"/>
                <w:sz w:val="24"/>
              </w:rPr>
              <w:t>0.00</w:t>
            </w:r>
          </w:p>
        </w:tc>
      </w:tr>
    </w:tbl>
    <w:p w:rsidP="00C544B8" w:rsidR="00F21B6D"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5.</w:t>
      </w:r>
      <w:r w:rsidR="0040218E" w:rsidRPr="00B34368">
        <w:rPr>
          <w:rFonts w:eastAsiaTheme="minorEastAsia"/>
          <w:b/>
          <w:color w:themeColor="text1" w:val="000000"/>
          <w:kern w:val="0"/>
          <w:sz w:val="24"/>
        </w:rPr>
        <w:t>5</w:t>
      </w:r>
      <w:r w:rsidRPr="00B34368">
        <w:rPr>
          <w:rFonts w:eastAsiaTheme="minorEastAsia"/>
          <w:b/>
          <w:color w:themeColor="text1" w:val="000000"/>
          <w:kern w:val="0"/>
          <w:sz w:val="24"/>
        </w:rPr>
        <w:t xml:space="preserve"> </w:t>
      </w:r>
      <w:r w:rsidRPr="00B34368">
        <w:rPr>
          <w:rFonts w:eastAsiaTheme="minorEastAsia" w:hAnsiTheme="minorEastAsia"/>
          <w:b/>
          <w:color w:themeColor="text1" w:val="000000"/>
          <w:kern w:val="0"/>
          <w:sz w:val="24"/>
        </w:rPr>
        <w:t>报告期末按债券品种分类的债券投资组合</w:t>
      </w:r>
    </w:p>
    <w:p w:rsidP="00B34368" w:rsidR="009238DB" w:rsidRDefault="00F21B6D"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本基金本报告期末未持有债券。</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5.</w:t>
      </w:r>
      <w:r w:rsidR="0040218E" w:rsidRPr="00B34368">
        <w:rPr>
          <w:rFonts w:eastAsiaTheme="minorEastAsia"/>
          <w:b/>
          <w:color w:themeColor="text1" w:val="000000"/>
          <w:kern w:val="0"/>
          <w:sz w:val="24"/>
        </w:rPr>
        <w:t>6</w:t>
      </w:r>
      <w:r w:rsidRPr="00B34368">
        <w:rPr>
          <w:rFonts w:eastAsiaTheme="minorEastAsia"/>
          <w:b/>
          <w:color w:themeColor="text1" w:val="000000"/>
          <w:kern w:val="0"/>
          <w:sz w:val="24"/>
        </w:rPr>
        <w:t xml:space="preserve"> </w:t>
      </w:r>
      <w:r w:rsidRPr="00B34368">
        <w:rPr>
          <w:rFonts w:eastAsiaTheme="minorEastAsia" w:hAnsiTheme="minorEastAsia"/>
          <w:b/>
          <w:color w:themeColor="text1" w:val="000000"/>
          <w:kern w:val="0"/>
          <w:sz w:val="24"/>
        </w:rPr>
        <w:t>报告期末按公允价值占基金资产净值比例大小排</w:t>
      </w:r>
      <w:r w:rsidR="00E15FD1" w:rsidRPr="00B34368">
        <w:rPr>
          <w:rFonts w:eastAsiaTheme="minorEastAsia" w:hAnsiTheme="minorEastAsia"/>
          <w:b/>
          <w:color w:themeColor="text1" w:val="000000"/>
          <w:kern w:val="0"/>
          <w:sz w:val="24"/>
        </w:rPr>
        <w:t>序</w:t>
      </w:r>
      <w:r w:rsidRPr="00B34368">
        <w:rPr>
          <w:rFonts w:eastAsiaTheme="minorEastAsia" w:hAnsiTheme="minorEastAsia"/>
          <w:b/>
          <w:color w:themeColor="text1" w:val="000000"/>
          <w:kern w:val="0"/>
          <w:sz w:val="24"/>
        </w:rPr>
        <w:t>的前五名债券投资明细</w:t>
      </w:r>
    </w:p>
    <w:p w:rsidP="00B34368" w:rsidR="009238DB" w:rsidRDefault="00296E4A"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本基金本报告期末未持有债券。</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5.</w:t>
      </w:r>
      <w:r w:rsidR="0040218E" w:rsidRPr="00B34368">
        <w:rPr>
          <w:rFonts w:eastAsiaTheme="minorEastAsia"/>
          <w:b/>
          <w:color w:themeColor="text1" w:val="000000"/>
          <w:kern w:val="0"/>
          <w:sz w:val="24"/>
        </w:rPr>
        <w:t>7</w:t>
      </w:r>
      <w:r w:rsidRPr="00B34368">
        <w:rPr>
          <w:rFonts w:eastAsiaTheme="minorEastAsia" w:hAnsiTheme="minorEastAsia"/>
          <w:b/>
          <w:color w:themeColor="text1" w:val="000000"/>
          <w:kern w:val="0"/>
          <w:sz w:val="24"/>
        </w:rPr>
        <w:t xml:space="preserve">　报告期末按公允价值占基金资产净值比例大小排</w:t>
      </w:r>
      <w:r w:rsidR="00E15FD1" w:rsidRPr="00B34368">
        <w:rPr>
          <w:rFonts w:eastAsiaTheme="minorEastAsia" w:hAnsiTheme="minorEastAsia"/>
          <w:b/>
          <w:color w:themeColor="text1" w:val="000000"/>
          <w:kern w:val="0"/>
          <w:sz w:val="24"/>
        </w:rPr>
        <w:t>序</w:t>
      </w:r>
      <w:r w:rsidRPr="00B34368">
        <w:rPr>
          <w:rFonts w:eastAsiaTheme="minorEastAsia" w:hAnsiTheme="minorEastAsia"/>
          <w:b/>
          <w:color w:themeColor="text1" w:val="000000"/>
          <w:kern w:val="0"/>
          <w:sz w:val="24"/>
        </w:rPr>
        <w:t>的前十名资产支持证券投资明细</w:t>
      </w:r>
    </w:p>
    <w:p w:rsidP="00B34368" w:rsidR="009238DB" w:rsidRDefault="00C260A2"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lastRenderedPageBreak/>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本基金本报告期末未持有资产支持证券。</w:t>
      </w:r>
    </w:p>
    <w:p w:rsidP="00C544B8" w:rsidR="00E15FD1" w:rsidRDefault="00E15FD1" w:rsidRPr="00B34368">
      <w:pPr>
        <w:autoSpaceDE w:val="0"/>
        <w:autoSpaceDN w:val="0"/>
        <w:adjustRightInd w:val="0"/>
        <w:spacing w:before="312" w:beforeLines="100" w:line="360" w:lineRule="auto"/>
        <w:jc w:val="left"/>
        <w:rPr>
          <w:rFonts w:eastAsiaTheme="minorEastAsia"/>
          <w:b/>
          <w:bCs/>
          <w:color w:themeColor="text1" w:val="000000"/>
          <w:kern w:val="0"/>
          <w:sz w:val="24"/>
        </w:rPr>
      </w:pPr>
      <w:r w:rsidRPr="00B34368">
        <w:rPr>
          <w:rFonts w:eastAsiaTheme="minorEastAsia"/>
          <w:b/>
          <w:bCs/>
          <w:color w:themeColor="text1" w:val="000000"/>
          <w:kern w:val="0"/>
          <w:sz w:val="24"/>
        </w:rPr>
        <w:t>5</w:t>
      </w:r>
      <w:proofErr w:type="gramStart"/>
      <w:r w:rsidRPr="00B34368">
        <w:rPr>
          <w:rFonts w:eastAsiaTheme="minorEastAsia"/>
          <w:b/>
          <w:bCs/>
          <w:color w:themeColor="text1" w:val="000000"/>
          <w:kern w:val="0"/>
          <w:sz w:val="24"/>
        </w:rPr>
        <w:t>.</w:t>
      </w:r>
      <w:proofErr w:type="gramEnd"/>
      <w:r w:rsidRPr="00B34368">
        <w:rPr>
          <w:rFonts w:eastAsiaTheme="minorEastAsia"/>
          <w:b/>
          <w:bCs/>
          <w:color w:themeColor="text1" w:val="000000"/>
          <w:kern w:val="0"/>
          <w:sz w:val="24"/>
        </w:rPr>
        <w:t xml:space="preserve">8 </w:t>
      </w:r>
      <w:r w:rsidRPr="00B34368">
        <w:rPr>
          <w:rFonts w:eastAsiaTheme="minorEastAsia" w:hAnsiTheme="minorEastAsia"/>
          <w:b/>
          <w:bCs/>
          <w:color w:themeColor="text1" w:val="000000"/>
          <w:kern w:val="0"/>
          <w:sz w:val="24"/>
        </w:rPr>
        <w:t>报告期末按公允价值占基金资产净值比例大小排序的前五名贵金属投资明细</w:t>
      </w:r>
    </w:p>
    <w:p w:rsidP="00B34368" w:rsidR="00E15FD1" w:rsidRDefault="00E15FD1" w:rsidRPr="00B34368">
      <w:pPr>
        <w:widowControl/>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本基金本报告期末未持有贵金属。</w:t>
      </w:r>
    </w:p>
    <w:p w:rsidP="00C544B8" w:rsidR="009238DB" w:rsidRDefault="00E15FD1"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w:r>
      <w:proofErr w:type="gramStart"/>
      <w:r w:rsidRPr="00B34368">
        <w:rPr>
          <w:rFonts w:eastAsiaTheme="minorEastAsia"/>
          <w:b/>
          <w:color w:themeColor="text1" w:val="000000"/>
          <w:kern w:val="0"/>
          <w:sz w:val="24"/>
        </w:rPr>
        <w:t/>
      </w:r>
      <w:proofErr w:type="gramEnd"/>
      <w:r w:rsidR="001D5CD0" w:rsidRPr="00B34368">
        <w:rPr>
          <w:rFonts w:eastAsiaTheme="minorEastAsia"/>
          <w:b/>
          <w:color w:themeColor="text1" w:val="000000"/>
          <w:kern w:val="0"/>
          <w:sz w:val="24"/>
        </w:rPr>
        <w:t>5</w:t>
      </w:r>
      <w:r w:rsidR="009238DB" w:rsidRPr="00B34368">
        <w:rPr>
          <w:rFonts w:eastAsiaTheme="minorEastAsia"/>
          <w:b/>
          <w:color w:themeColor="text1" w:val="000000"/>
          <w:kern w:val="0"/>
          <w:sz w:val="24"/>
        </w:rPr>
        <w:t>.</w:t>
      </w:r>
      <w:r w:rsidR="001D5CD0" w:rsidRPr="00B34368">
        <w:rPr>
          <w:rFonts w:eastAsiaTheme="minorEastAsia"/>
          <w:b/>
          <w:color w:themeColor="text1" w:val="000000"/>
          <w:kern w:val="0"/>
          <w:sz w:val="24"/>
        </w:rPr>
        <w:t/>
      </w:r>
      <w:r w:rsidRPr="00B34368">
        <w:rPr>
          <w:rFonts w:eastAsiaTheme="minorEastAsia"/>
          <w:b/>
          <w:color w:themeColor="text1" w:val="000000"/>
          <w:kern w:val="0"/>
          <w:sz w:val="24"/>
        </w:rPr>
        <w:t/>
      </w:r>
      <w:r w:rsidR="001D5CD0" w:rsidRPr="00B34368">
        <w:rPr>
          <w:rFonts w:eastAsiaTheme="minorEastAsia"/>
          <w:b/>
          <w:color w:themeColor="text1" w:val="000000"/>
          <w:kern w:val="0"/>
          <w:sz w:val="24"/>
        </w:rPr>
        <w:t>9</w:t>
      </w:r>
      <w:r w:rsidR="009238DB" w:rsidRPr="00B34368">
        <w:rPr>
          <w:rFonts w:eastAsiaTheme="minorEastAsia"/>
          <w:b/>
          <w:color w:themeColor="text1" w:val="000000"/>
          <w:kern w:val="0"/>
          <w:sz w:val="24"/>
        </w:rPr>
        <w:t xml:space="preserve"> </w:t>
      </w:r>
      <w:r w:rsidR="009238DB" w:rsidRPr="00B34368">
        <w:rPr>
          <w:rFonts w:eastAsiaTheme="minorEastAsia" w:hAnsiTheme="minorEastAsia"/>
          <w:b/>
          <w:color w:themeColor="text1" w:val="000000"/>
          <w:kern w:val="0"/>
          <w:sz w:val="24"/>
        </w:rPr>
        <w:t>报告</w:t>
      </w:r>
      <w:r w:rsidR="009238DB" w:rsidRPr="00B34368">
        <w:rPr>
          <w:rFonts w:eastAsiaTheme="minorEastAsia" w:hAnsiTheme="minorEastAsia"/>
          <w:b/>
          <w:bCs/>
          <w:color w:themeColor="text1" w:val="000000"/>
          <w:kern w:val="0"/>
          <w:sz w:val="24"/>
        </w:rPr>
        <w:t>期末</w:t>
      </w:r>
      <w:r w:rsidR="009238DB" w:rsidRPr="00B34368">
        <w:rPr>
          <w:rFonts w:eastAsiaTheme="minorEastAsia" w:hAnsiTheme="minorEastAsia"/>
          <w:b/>
          <w:color w:themeColor="text1" w:val="000000"/>
          <w:kern w:val="0"/>
          <w:sz w:val="24"/>
        </w:rPr>
        <w:t>按公允价值占基金资产净值比例大小排</w:t>
      </w:r>
      <w:r w:rsidR="006B3FDB" w:rsidRPr="00B34368">
        <w:rPr>
          <w:rFonts w:eastAsiaTheme="minorEastAsia" w:hAnsiTheme="minorEastAsia"/>
          <w:b/>
          <w:color w:themeColor="text1" w:val="000000"/>
          <w:kern w:val="0"/>
          <w:sz w:val="24"/>
        </w:rPr>
        <w:t>序</w:t>
      </w:r>
      <w:r w:rsidR="009238DB" w:rsidRPr="00B34368">
        <w:rPr>
          <w:rFonts w:eastAsiaTheme="minorEastAsia" w:hAnsiTheme="minorEastAsia"/>
          <w:b/>
          <w:color w:themeColor="text1" w:val="000000"/>
          <w:kern w:val="0"/>
          <w:sz w:val="24"/>
        </w:rPr>
        <w:t>的前五名权证投资明细</w:t>
      </w:r>
    </w:p>
    <w:p w:rsidP="00B34368" w:rsidR="001D5CD0" w:rsidRDefault="00C260A2"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00407F66"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本基金本报告期末未持有权证。</w:t>
      </w:r>
    </w:p>
    <w:p w:rsidP="00C544B8" w:rsidR="001D5CD0" w:rsidRDefault="001D5CD0" w:rsidRPr="00B34368">
      <w:pPr>
        <w:autoSpaceDE w:val="0"/>
        <w:autoSpaceDN w:val="0"/>
        <w:adjustRightInd w:val="0"/>
        <w:spacing w:before="312" w:beforeLines="100" w:line="360" w:lineRule="auto"/>
        <w:jc w:val="left"/>
        <w:rPr>
          <w:rFonts w:eastAsiaTheme="minorEastAsia"/>
          <w:b/>
          <w:color w:themeColor="text1" w:val="000000"/>
          <w:sz w:val="24"/>
        </w:rPr>
      </w:pPr>
      <w:r w:rsidRPr="00B34368">
        <w:rPr>
          <w:rFonts w:eastAsiaTheme="minorEastAsia"/>
          <w:b/>
          <w:color w:themeColor="text1" w:val="000000"/>
          <w:sz w:val="24"/>
        </w:rPr>
        <w:lastRenderedPageBreak/>
        <w:t/>
      </w:r>
      <w:proofErr w:type="spellStart"/>
      <w:r w:rsidRPr="00B34368">
        <w:rPr>
          <w:rFonts w:eastAsiaTheme="minorEastAsia"/>
          <w:b/>
          <w:color w:themeColor="text1" w:val="000000"/>
          <w:sz w:val="24"/>
        </w:rPr>
        <w:t/>
      </w:r>
      <w:r w:rsidRPr="00B34368">
        <w:rPr>
          <w:rFonts w:eastAsiaTheme="minorEastAsia"/>
          <w:b/>
          <w:bCs/>
          <w:color w:themeColor="text1" w:val="000000"/>
          <w:kern w:val="0"/>
          <w:sz w:val="24"/>
        </w:rPr>
        <w:t/>
      </w:r>
      <w:proofErr w:type="spellEnd"/>
      <w:r w:rsidRPr="00B34368">
        <w:rPr>
          <w:rFonts w:eastAsiaTheme="minorEastAsia"/>
          <w:b/>
          <w:color w:themeColor="text1" w:val="000000"/>
          <w:sz w:val="24"/>
        </w:rPr>
        <w:t/>
      </w:r>
      <w:proofErr w:type="gramStart"/>
      <w:r w:rsidRPr="00B34368">
        <w:rPr>
          <w:rFonts w:eastAsiaTheme="minorEastAsia"/>
          <w:b/>
          <w:color w:themeColor="text1" w:val="000000"/>
          <w:sz w:val="24"/>
        </w:rPr>
        <w:t/>
      </w:r>
      <w:proofErr w:type="gramEnd"/>
      <w:r w:rsidRPr="00B34368">
        <w:rPr>
          <w:rFonts w:eastAsiaTheme="minorEastAsia"/>
          <w:b/>
          <w:color w:themeColor="text1" w:val="000000"/>
          <w:sz w:val="24"/>
        </w:rPr>
        <w:t xml:space="preserve">5.10 </w:t>
      </w:r>
      <w:r w:rsidRPr="00B34368">
        <w:rPr>
          <w:rFonts w:eastAsiaTheme="minorEastAsia" w:hAnsiTheme="minorEastAsia"/>
          <w:b/>
          <w:color w:themeColor="text1" w:val="000000"/>
          <w:sz w:val="24"/>
        </w:rPr>
        <w:t>报告期末本基金投资的股指期货交易情况说明</w:t>
      </w:r>
    </w:p>
    <w:p w:rsidP="00D27EA0" w:rsidR="001D5CD0" w:rsidRDefault="00D27EA0" w:rsidRPr="00B34368">
      <w:pPr>
        <w:spacing w:line="360" w:lineRule="auto"/>
        <w:ind w:firstLine="480" w:firstLineChars="200"/>
        <w:rPr>
          <w:rFonts w:eastAsiaTheme="minorEastAsia"/>
          <w:color w:themeColor="text1"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r w:rsidRPr="00D27EA0">
        <w:rPr>
          <w:rFonts w:eastAsiaTheme="minorEastAsia"/>
          <w:color w:themeColor="text1" w:val="000000"/>
          <w:sz w:val="24"/>
        </w:rPr>
        <w:t/>
      </w:r>
      <w:proofErr w:type="spellEnd"/>
      <w:proofErr w:type="gramEnd"/>
      <w:r w:rsidRPr="00D27EA0">
        <w:rPr>
          <w:rFonts w:eastAsiaTheme="minorEastAsia"/>
          <w:color w:themeColor="text1" w:val="000000"/>
          <w:sz w:val="24"/>
        </w:rPr>
        <w:t>本基金本报告期末未投资股指期货。</w:t>
      </w:r>
    </w:p>
    <w:p w:rsidP="00C544B8" w:rsidR="001D5CD0" w:rsidRDefault="001D5CD0" w:rsidRPr="00B34368">
      <w:pPr>
        <w:adjustRightInd w:val="0"/>
        <w:snapToGrid w:val="0"/>
        <w:spacing w:before="312" w:beforeLines="100" w:line="360" w:lineRule="auto"/>
        <w:rPr>
          <w:rFonts w:eastAsiaTheme="minorEastAsia"/>
          <w:b/>
          <w:color w:themeColor="text1" w:val="000000"/>
          <w:sz w:val="24"/>
        </w:rPr>
      </w:pPr>
      <w:r w:rsidRPr="00B34368">
        <w:rPr>
          <w:rFonts w:eastAsiaTheme="minorEastAsia"/>
          <w:b/>
          <w:color w:themeColor="text1" w:val="000000"/>
          <w:sz w:val="24"/>
        </w:rPr>
        <w:t/>
      </w:r>
      <w:proofErr w:type="spellStart"/>
      <w:r w:rsidRPr="00B34368">
        <w:rPr>
          <w:rFonts w:eastAsiaTheme="minorEastAsia"/>
          <w:b/>
          <w:color w:themeColor="text1" w:val="000000"/>
          <w:sz w:val="24"/>
        </w:rPr>
        <w:t/>
      </w:r>
      <w:proofErr w:type="spellEnd"/>
      <w:r w:rsidRPr="00B34368">
        <w:rPr>
          <w:rFonts w:eastAsiaTheme="minorEastAsia"/>
          <w:b/>
          <w:color w:themeColor="text1" w:val="000000"/>
          <w:sz w:val="24"/>
        </w:rPr>
        <w:t/>
      </w:r>
      <w:proofErr w:type="gramStart"/>
      <w:r w:rsidRPr="00B34368">
        <w:rPr>
          <w:rFonts w:eastAsiaTheme="minorEastAsia"/>
          <w:b/>
          <w:color w:themeColor="text1" w:val="000000"/>
          <w:sz w:val="24"/>
        </w:rPr>
        <w:t/>
      </w:r>
      <w:proofErr w:type="gramEnd"/>
      <w:r w:rsidRPr="00B34368">
        <w:rPr>
          <w:rFonts w:eastAsiaTheme="minorEastAsia"/>
          <w:b/>
          <w:color w:themeColor="text1" w:val="000000"/>
          <w:sz w:val="24"/>
        </w:rPr>
        <w:t>5.11</w:t>
      </w:r>
      <w:r w:rsidRPr="00B34368">
        <w:rPr>
          <w:rFonts w:eastAsiaTheme="minorEastAsia" w:hAnsiTheme="minorEastAsia"/>
          <w:b/>
          <w:color w:themeColor="text1" w:val="000000"/>
          <w:sz w:val="24"/>
        </w:rPr>
        <w:t>报告期末本基金投资的国债期货交易情况说明</w:t>
      </w:r>
    </w:p>
    <w:p w:rsidP="00985F0E" w:rsidR="00985F0E" w:rsidRDefault="00985F0E">
      <w:pPr>
        <w:spacing w:line="360" w:lineRule="auto"/>
        <w:ind w:firstLine="480" w:firstLineChars="200"/>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本基金本报告期末未投资国债期货。</w:t>
      </w:r>
    </w:p>
    <w:p w:rsidP="00C544B8" w:rsidR="001D5CD0" w:rsidRDefault="001D5CD0"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w:r>
      <w:proofErr w:type="gramStart"/>
      <w:r w:rsidRPr="00B34368">
        <w:rPr>
          <w:rFonts w:eastAsiaTheme="minorEastAsia"/>
          <w:b/>
          <w:color w:themeColor="text1" w:val="000000"/>
          <w:kern w:val="0"/>
          <w:sz w:val="24"/>
        </w:rPr>
        <w:t/>
      </w:r>
      <w:proofErr w:type="gramEnd"/>
      <w:r w:rsidRPr="00B34368">
        <w:rPr>
          <w:rFonts w:eastAsiaTheme="minorEastAsia"/>
          <w:b/>
          <w:color w:themeColor="text1" w:val="000000"/>
          <w:kern w:val="0"/>
          <w:sz w:val="24"/>
        </w:rPr>
        <w:t>5.12</w:t>
      </w:r>
      <w:r w:rsidRPr="00B34368">
        <w:rPr>
          <w:rFonts w:eastAsiaTheme="minorEastAsia" w:hAnsiTheme="minorEastAsia"/>
          <w:b/>
          <w:color w:themeColor="text1" w:val="000000"/>
          <w:kern w:val="0"/>
          <w:sz w:val="24"/>
        </w:rPr>
        <w:t>投资组合报告附注</w:t>
      </w:r>
    </w:p>
    <w:p w:rsidP="000C3452" w:rsidR="000C3452" w:rsidRDefault="000C3452" w:rsidRPr="00B34368">
      <w:pPr>
        <w:widowControl/>
        <w:spacing w:line="360" w:lineRule="auto"/>
        <w:rPr>
          <w:rFonts w:eastAsiaTheme="minorEastAsia"/>
          <w:color w:themeColor="text1" w:val="000000"/>
          <w:sz w:val="24"/>
        </w:rPr>
      </w:pPr>
      <w:r w:rsidRPr="00B34368">
        <w:rPr>
          <w:rFonts w:eastAsiaTheme="minorEastAsia"/>
          <w:color w:themeColor="text1" w:val="000000"/>
          <w:sz w:val="24"/>
        </w:rPr>
        <w:t/>
      </w:r>
      <w:proofErr w:type="gramStart"/>
      <w:r w:rsidRPr="00B34368">
        <w:rPr>
          <w:rFonts w:eastAsiaTheme="minorEastAsia"/>
          <w:color w:themeColor="text1" w:val="000000"/>
          <w:sz w:val="24"/>
        </w:rPr>
        <w:t/>
      </w:r>
      <w:proofErr w:type="gramEnd"/>
      <w:r w:rsidRPr="00B34368">
        <w:rPr>
          <w:rFonts w:eastAsiaTheme="minorEastAsia"/>
          <w:color w:themeColor="text1" w:val="000000"/>
          <w:sz w:val="24"/>
        </w:rPr>
        <w:t>5.12.1</w:t>
      </w:r>
      <w:r w:rsidR="00BD1AD9">
        <w:rPr>
          <w:rFonts w:eastAsiaTheme="minorEastAsia" w:hint="eastAsia"/>
          <w:color w:themeColor="text1" w:val="000000"/>
          <w:sz w:val="24"/>
        </w:rPr>
        <w:t xml:space="preserve"> </w:t>
      </w:r>
      <w:r w:rsidRPr="00B34368">
        <w:rPr>
          <w:rFonts w:eastAsiaTheme="minorEastAsia"/>
          <w:color w:themeColor="text1" w:val="000000"/>
          <w:sz w:val="24"/>
        </w:rPr>
        <w:t>本基金投资的前十名证券的发行主体本期没有出现被监管部门立案调查，或在报告编制日前一年内受到公开谴责、处罚的情形。</w:t>
      </w:r>
    </w:p>
    <w:p w:rsidP="000C3452" w:rsidR="000C3452" w:rsidRDefault="000C3452" w:rsidRPr="00B34368">
      <w:pPr>
        <w:widowControl/>
        <w:spacing w:line="360" w:lineRule="auto"/>
        <w:rPr>
          <w:rFonts w:eastAsiaTheme="minorEastAsia"/>
          <w:color w:themeColor="text1" w:val="000000"/>
          <w:sz w:val="24"/>
        </w:rPr>
      </w:pPr>
      <w:r w:rsidRPr="00B34368">
        <w:rPr>
          <w:rFonts w:eastAsiaTheme="minorEastAsia"/>
          <w:color w:themeColor="text1" w:val="000000"/>
          <w:sz w:val="24"/>
        </w:rPr>
        <w:lastRenderedPageBreak/>
        <w:t/>
      </w:r>
      <w:proofErr w:type="gramStart"/>
      <w:r w:rsidRPr="00B34368">
        <w:rPr>
          <w:rFonts w:eastAsiaTheme="minorEastAsia"/>
          <w:color w:themeColor="text1" w:val="000000"/>
          <w:sz w:val="24"/>
        </w:rPr>
        <w:t/>
      </w:r>
      <w:proofErr w:type="gramEnd"/>
      <w:r w:rsidRPr="00B34368">
        <w:rPr>
          <w:rFonts w:eastAsiaTheme="minorEastAsia"/>
          <w:color w:themeColor="text1" w:val="000000"/>
          <w:sz w:val="24"/>
        </w:rPr>
        <w:t>5.12.2</w:t>
      </w:r>
      <w:r w:rsidR="00BD1AD9">
        <w:rPr>
          <w:rFonts w:eastAsiaTheme="minorEastAsia" w:hint="eastAsia"/>
          <w:color w:themeColor="text1" w:val="000000"/>
          <w:sz w:val="24"/>
        </w:rPr>
        <w:t xml:space="preserve"> </w:t>
      </w:r>
      <w:r w:rsidRPr="00B34368">
        <w:rPr>
          <w:rFonts w:eastAsiaTheme="minorEastAsia"/>
          <w:color w:themeColor="text1" w:val="000000"/>
          <w:sz w:val="24"/>
        </w:rPr>
        <w:t>本基金投资的前十名股票没有超出基金合同规定的备选股票库。</w:t>
      </w:r>
    </w:p>
    <w:p w:rsidP="001D5CD0" w:rsidR="001D5CD0" w:rsidRDefault="001D5CD0" w:rsidRPr="00B34368">
      <w:pPr>
        <w:autoSpaceDE w:val="0"/>
        <w:autoSpaceDN w:val="0"/>
        <w:adjustRightInd w:val="0"/>
        <w:spacing w:line="360" w:lineRule="auto"/>
        <w:rPr>
          <w:rFonts w:eastAsiaTheme="minorEastAsia"/>
          <w:b/>
          <w:color w:themeColor="text1" w:val="000000"/>
          <w:kern w:val="0"/>
          <w:sz w:val="24"/>
        </w:rPr>
      </w:pPr>
      <w:r w:rsidRPr="00B34368">
        <w:rPr>
          <w:rFonts w:eastAsiaTheme="minorEastAsia"/>
          <w:b/>
          <w:color w:themeColor="text1" w:val="000000"/>
          <w:kern w:val="0"/>
          <w:sz w:val="24"/>
        </w:rPr>
        <w:t/>
      </w:r>
      <w:proofErr w:type="gramStart"/>
      <w:r w:rsidRPr="00B34368">
        <w:rPr>
          <w:rFonts w:eastAsiaTheme="minorEastAsia"/>
          <w:b/>
          <w:color w:themeColor="text1" w:val="000000"/>
          <w:kern w:val="0"/>
          <w:sz w:val="24"/>
        </w:rPr>
        <w:t/>
      </w:r>
      <w:proofErr w:type="gramEnd"/>
      <w:r w:rsidRPr="00B34368">
        <w:rPr>
          <w:rFonts w:eastAsiaTheme="minorEastAsia"/>
          <w:b/>
          <w:color w:themeColor="text1" w:val="000000"/>
          <w:kern w:val="0"/>
          <w:sz w:val="24"/>
        </w:rPr>
        <w:t>5.12.3</w:t>
      </w:r>
      <w:r w:rsidR="00153CF9">
        <w:rPr>
          <w:rFonts w:eastAsiaTheme="minorEastAsia" w:hAnsiTheme="minorEastAsia"/>
          <w:b/>
          <w:color w:themeColor="text1" w:val="000000"/>
          <w:kern w:val="0"/>
          <w:sz w:val="24"/>
        </w:rPr>
        <w:t>其他</w:t>
      </w:r>
      <w:bookmarkStart w:id="3" w:name="_GoBack"/>
      <w:bookmarkEnd w:id="3"/>
      <w:r w:rsidRPr="00B34368">
        <w:rPr>
          <w:rFonts w:eastAsiaTheme="minorEastAsia" w:hAnsiTheme="minorEastAsia"/>
          <w:b/>
          <w:color w:themeColor="text1" w:val="000000"/>
          <w:kern w:val="0"/>
          <w:sz w:val="24"/>
        </w:rPr>
        <w:t>资产构成</w:t>
      </w:r>
    </w:p>
    <w:tbl>
      <w:tblPr>
        <w:tblStyle w:val="af2"/>
        <w:tblW w:type="auto" w:w="0"/>
        <w:tblInd w:type="dxa" w:w="108"/>
        <w:tblLook w:firstColumn="1" w:firstRow="1" w:lastColumn="0" w:lastRow="0" w:noHBand="0" w:noVBand="1" w:val="04A0"/>
      </w:tblPr>
      <w:tblGrid>
        <w:gridCol w:w="1235"/>
        <w:gridCol w:w="2761"/>
        <w:gridCol w:w="4808"/>
      </w:tblGrid>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7"/>
              <w:jc w:val="center"/>
              <w:rPr>
                <w:rFonts w:eastAsiaTheme="minorEastAsia"/>
                <w:color w:themeColor="text1" w:val="000000"/>
                <w:kern w:val="0"/>
                <w:sz w:val="24"/>
              </w:rPr>
            </w:pPr>
            <w:r w:rsidRPr="00B34368">
              <w:rPr>
                <w:rFonts w:eastAsiaTheme="minorEastAsia" w:hAnsiTheme="minorEastAsia"/>
                <w:color w:themeColor="text1" w:val="000000"/>
                <w:kern w:val="0"/>
                <w:sz w:val="24"/>
              </w:rPr>
              <w:t>序号</w:t>
            </w:r>
          </w:p>
        </w:tc>
        <w:tc>
          <w:tcPr>
            <w:tcW w:type="dxa" w:w="2761"/>
            <w:vAlign w:val="center"/>
          </w:tcPr>
          <w:p w:rsidP="00AE2AD2" w:rsidR="001D5CD0" w:rsidRDefault="001D5CD0" w:rsidRPr="00B34368">
            <w:pPr>
              <w:autoSpaceDE w:val="0"/>
              <w:autoSpaceDN w:val="0"/>
              <w:adjustRightInd w:val="0"/>
              <w:spacing w:before="29" w:line="360" w:lineRule="auto"/>
              <w:ind w:left="17"/>
              <w:jc w:val="center"/>
              <w:rPr>
                <w:rFonts w:eastAsiaTheme="minorEastAsia"/>
                <w:color w:themeColor="text1" w:val="000000"/>
                <w:kern w:val="0"/>
                <w:sz w:val="24"/>
              </w:rPr>
            </w:pPr>
            <w:r w:rsidRPr="00B34368">
              <w:rPr>
                <w:rFonts w:eastAsiaTheme="minorEastAsia" w:hAnsiTheme="minorEastAsia"/>
                <w:color w:themeColor="text1" w:val="000000"/>
                <w:kern w:val="0"/>
                <w:sz w:val="24"/>
              </w:rPr>
              <w:t>名称</w:t>
            </w:r>
          </w:p>
        </w:tc>
        <w:tc>
          <w:tcPr>
            <w:tcW w:type="dxa" w:w="4808"/>
            <w:vAlign w:val="center"/>
          </w:tcPr>
          <w:p w:rsidP="00AE2AD2" w:rsidR="001D5CD0" w:rsidRDefault="001D5CD0" w:rsidRPr="00B34368">
            <w:pPr>
              <w:autoSpaceDE w:val="0"/>
              <w:autoSpaceDN w:val="0"/>
              <w:adjustRightInd w:val="0"/>
              <w:spacing w:before="29" w:line="360" w:lineRule="auto"/>
              <w:ind w:left="17"/>
              <w:jc w:val="center"/>
              <w:rPr>
                <w:rFonts w:eastAsiaTheme="minorEastAsia"/>
                <w:color w:themeColor="text1" w:val="000000"/>
                <w:kern w:val="0"/>
                <w:sz w:val="24"/>
              </w:rPr>
            </w:pPr>
            <w:r w:rsidRPr="00B34368">
              <w:rPr>
                <w:rFonts w:eastAsiaTheme="minorEastAsia" w:hAnsiTheme="minorEastAsia"/>
                <w:color w:themeColor="text1" w:val="000000"/>
                <w:kern w:val="0"/>
                <w:sz w:val="24"/>
              </w:rPr>
              <w:t>金额</w:t>
            </w:r>
            <w:r w:rsidRPr="00B34368">
              <w:rPr>
                <w:rFonts w:eastAsiaTheme="minorEastAsia"/>
                <w:color w:themeColor="text1" w:val="000000"/>
                <w:kern w:val="0"/>
                <w:sz w:val="24"/>
              </w:rPr>
              <w:t>(</w:t>
            </w:r>
            <w:r w:rsidRPr="00B34368">
              <w:rPr>
                <w:rFonts w:eastAsiaTheme="minorEastAsia" w:hAnsiTheme="minorEastAsia"/>
                <w:color w:themeColor="text1" w:val="000000"/>
                <w:kern w:val="0"/>
                <w:sz w:val="24"/>
              </w:rPr>
              <w:t>元</w:t>
            </w:r>
            <w:r w:rsidRPr="00B34368">
              <w:rPr>
                <w:rFonts w:eastAsiaTheme="minorEastAsia"/>
                <w:color w:themeColor="text1" w:val="000000"/>
                <w:kern w:val="0"/>
                <w:sz w:val="24"/>
              </w:rPr>
              <w:t>)</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color w:themeColor="text1" w:val="000000"/>
                <w:sz w:val="24"/>
              </w:rPr>
              <w:t>1</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存出保证金</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84,333.41</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2</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应收证券清算款</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119,453.63</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3</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应收股利</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4</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应收利息</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2,832.66</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5</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应收申购款</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6,844,731.04</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6</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其他应收款</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199,813.59</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7</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sz w:val="24"/>
              </w:rPr>
            </w:pPr>
            <w:r w:rsidRPr="00B34368">
              <w:rPr>
                <w:rFonts w:eastAsiaTheme="minorEastAsia" w:hAnsiTheme="minorEastAsia"/>
                <w:color w:themeColor="text1" w:val="000000"/>
                <w:sz w:val="24"/>
              </w:rPr>
              <w:t>待摊费用</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8</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其他</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9</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合计</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7,251,164.33</w:t>
            </w:r>
          </w:p>
        </w:tc>
      </w:tr>
    </w:tbl>
    <w:p w:rsidP="00C544B8" w:rsidR="001D5CD0" w:rsidRDefault="001D5CD0"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w:r>
      <w:proofErr w:type="gramStart"/>
      <w:r w:rsidRPr="00B34368">
        <w:rPr>
          <w:rFonts w:eastAsiaTheme="minorEastAsia"/>
          <w:b/>
          <w:color w:themeColor="text1" w:val="000000"/>
          <w:kern w:val="0"/>
          <w:sz w:val="24"/>
        </w:rPr>
        <w:t/>
      </w:r>
      <w:proofErr w:type="gramEnd"/>
      <w:r w:rsidRPr="00B34368">
        <w:rPr>
          <w:rFonts w:eastAsiaTheme="minorEastAsia"/>
          <w:b/>
          <w:color w:themeColor="text1" w:val="000000"/>
          <w:kern w:val="0"/>
          <w:sz w:val="24"/>
        </w:rPr>
        <w:t>5.12.4</w:t>
      </w:r>
      <w:r w:rsidRPr="00B34368">
        <w:rPr>
          <w:rFonts w:eastAsiaTheme="minorEastAsia" w:hAnsiTheme="minorEastAsia"/>
          <w:b/>
          <w:color w:themeColor="text1" w:val="000000"/>
          <w:kern w:val="0"/>
          <w:sz w:val="24"/>
        </w:rPr>
        <w:t>报告期末持有的处于转股期的可转换债券明细</w:t>
      </w:r>
    </w:p>
    <w:p w:rsidP="00B34368" w:rsidR="001D5CD0" w:rsidRDefault="001D5CD0"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本基金本报告期末未持有处于转股期的可转换债券。</w:t>
      </w:r>
    </w:p>
    <w:p w:rsidP="00C544B8" w:rsidR="001D5CD0" w:rsidRDefault="001D5CD0" w:rsidRPr="00B34368">
      <w:pPr>
        <w:autoSpaceDE w:val="0"/>
        <w:autoSpaceDN w:val="0"/>
        <w:adjustRightInd w:val="0"/>
        <w:spacing w:before="312" w:beforeLines="100" w:line="360" w:lineRule="auto"/>
        <w:jc w:val="left"/>
        <w:rPr>
          <w:rFonts w:eastAsiaTheme="minorEastAsia"/>
          <w:b/>
          <w:bCs/>
          <w:color w:themeColor="text1" w:val="000000"/>
          <w:sz w:val="24"/>
        </w:rPr>
      </w:pPr>
      <w:r w:rsidRPr="00B34368">
        <w:rPr>
          <w:rFonts w:eastAsiaTheme="minorEastAsia"/>
          <w:b/>
          <w:color w:themeColor="text1" w:val="000000"/>
          <w:kern w:val="0"/>
          <w:sz w:val="24"/>
        </w:rPr>
        <w:t/>
      </w:r>
      <w:proofErr w:type="gramStart"/>
      <w:r w:rsidRPr="00B34368">
        <w:rPr>
          <w:rFonts w:eastAsiaTheme="minorEastAsia"/>
          <w:b/>
          <w:color w:themeColor="text1" w:val="000000"/>
          <w:kern w:val="0"/>
          <w:sz w:val="24"/>
        </w:rPr>
        <w:t/>
      </w:r>
      <w:proofErr w:type="gramEnd"/>
      <w:r w:rsidRPr="00B34368">
        <w:rPr>
          <w:rFonts w:eastAsiaTheme="minorEastAsia"/>
          <w:b/>
          <w:color w:themeColor="text1" w:val="000000"/>
          <w:kern w:val="0"/>
          <w:sz w:val="24"/>
        </w:rPr>
        <w:t>5.12.5</w:t>
      </w:r>
      <w:r w:rsidRPr="00B34368">
        <w:rPr>
          <w:rFonts w:eastAsiaTheme="minorEastAsia" w:hAnsiTheme="minorEastAsia"/>
          <w:b/>
          <w:bCs/>
          <w:color w:themeColor="text1" w:val="000000"/>
          <w:sz w:val="24"/>
        </w:rPr>
        <w:t>报告期末前十名股票中存在流通受限情况的说明</w:t>
      </w:r>
    </w:p>
    <w:tbl>
      <w:tblPr>
        <w:tblStyle w:val="af2"/>
        <w:tblW w:type="auto" w:w="0"/>
        <w:tblInd w:type="dxa" w:w="108"/>
        <w:tblLayout w:type="fixed"/>
        <w:tblLook w:firstColumn="1" w:firstRow="1" w:lastColumn="0" w:lastRow="0" w:noHBand="0" w:noVBand="1" w:val="04A0"/>
      </w:tblPr>
      <w:tblGrid>
        <w:gridCol w:w="1083"/>
        <w:gridCol w:w="1302"/>
        <w:gridCol w:w="1301"/>
        <w:gridCol w:w="1805"/>
        <w:gridCol w:w="1655"/>
        <w:gridCol w:w="1367"/>
      </w:tblGrid>
      <w:tr w:rsidR="00D3639B" w:rsidRPr="00B34368" w:rsidTr="00975D18">
        <w:tc>
          <w:tcPr>
            <w:tcW w:type="dxa" w:w="1083"/>
            <w:vAlign w:val="center"/>
          </w:tcPr>
          <w:p w:rsidP="00AE2AD2" w:rsidR="001D5CD0" w:rsidRDefault="001D5CD0"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lastRenderedPageBreak/>
              <w:t>序号</w:t>
            </w:r>
          </w:p>
        </w:tc>
        <w:tc>
          <w:tcPr>
            <w:tcW w:type="dxa" w:w="1302"/>
            <w:vAlign w:val="center"/>
          </w:tcPr>
          <w:p w:rsidP="00AE2AD2" w:rsidR="001D5CD0" w:rsidRDefault="001D5CD0"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股票代码</w:t>
            </w:r>
          </w:p>
        </w:tc>
        <w:tc>
          <w:tcPr>
            <w:tcW w:type="dxa" w:w="1301"/>
            <w:vAlign w:val="center"/>
          </w:tcPr>
          <w:p w:rsidP="00AE2AD2" w:rsidR="001D5CD0" w:rsidRDefault="001D5CD0"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股票名称</w:t>
            </w:r>
          </w:p>
        </w:tc>
        <w:tc>
          <w:tcPr>
            <w:tcW w:type="dxa" w:w="1805"/>
            <w:vAlign w:val="center"/>
          </w:tcPr>
          <w:p w:rsidP="00AE2AD2" w:rsidR="001D5CD0" w:rsidRDefault="001D5CD0"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流通受限部分的公允价值</w:t>
            </w:r>
            <w:r w:rsidRPr="00B34368">
              <w:rPr>
                <w:rFonts w:eastAsiaTheme="minorEastAsia"/>
                <w:color w:themeColor="text1" w:val="000000"/>
                <w:sz w:val="24"/>
              </w:rPr>
              <w:t>(</w:t>
            </w:r>
            <w:r w:rsidRPr="00B34368">
              <w:rPr>
                <w:rFonts w:eastAsiaTheme="minorEastAsia" w:hAnsiTheme="minorEastAsia"/>
                <w:color w:themeColor="text1" w:val="000000"/>
                <w:sz w:val="24"/>
              </w:rPr>
              <w:t>元</w:t>
            </w:r>
            <w:r w:rsidRPr="00B34368">
              <w:rPr>
                <w:rFonts w:eastAsiaTheme="minorEastAsia"/>
                <w:color w:themeColor="text1" w:val="000000"/>
                <w:sz w:val="24"/>
              </w:rPr>
              <w:t>)</w:t>
            </w:r>
          </w:p>
        </w:tc>
        <w:tc>
          <w:tcPr>
            <w:tcW w:type="dxa" w:w="1655"/>
            <w:vAlign w:val="center"/>
          </w:tcPr>
          <w:p w:rsidP="00AE2AD2" w:rsidR="001D5CD0" w:rsidRDefault="001D5CD0"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占基金资产净值比例</w:t>
            </w:r>
            <w:r w:rsidRPr="00B34368">
              <w:rPr>
                <w:rFonts w:eastAsiaTheme="minorEastAsia"/>
                <w:color w:themeColor="text1" w:val="000000"/>
                <w:sz w:val="24"/>
              </w:rPr>
              <w:t>(%)</w:t>
            </w:r>
          </w:p>
        </w:tc>
        <w:tc>
          <w:tcPr>
            <w:tcW w:type="dxa" w:w="1367"/>
            <w:vAlign w:val="center"/>
          </w:tcPr>
          <w:p w:rsidP="00AE2AD2" w:rsidR="001D5CD0" w:rsidRDefault="001D5CD0"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流通受限情况说明</w:t>
            </w:r>
          </w:p>
        </w:tc>
      </w:tr>
      <w:tr>
        <w:tc>
          <w:tcPr>
            <w:vAlign w:val="center"/>
          </w:tcPr>
          <w:p>
            <w:pPr>
              <w:jc w:val="center"/>
            </w:pPr>
            <w:r>
              <w:rPr>
                <w:rFonts w:eastAsiaTheme="minorEastAsia"/>
                <w:color w:themeColor="text1" w:val="000000"/>
                <w:sz w:val="24"/>
              </w:rPr>
              <w:t>1</w:t>
            </w:r>
          </w:p>
        </w:tc>
        <w:tc>
          <w:tcPr>
            <w:vAlign w:val="center"/>
          </w:tcPr>
          <w:p>
            <w:pPr>
              <w:jc w:val="center"/>
            </w:pPr>
            <w:r>
              <w:rPr>
                <w:rFonts w:eastAsiaTheme="minorEastAsia"/>
                <w:color w:themeColor="text1" w:val="000000"/>
                <w:sz w:val="24"/>
              </w:rPr>
              <w:t>601880</w:t>
            </w:r>
          </w:p>
        </w:tc>
        <w:tc>
          <w:tcPr>
            <w:vAlign w:val="center"/>
          </w:tcPr>
          <w:p>
            <w:pPr>
              <w:jc w:val="center"/>
            </w:pPr>
            <w:r>
              <w:rPr>
                <w:rFonts w:eastAsiaTheme="minorEastAsia"/>
                <w:color w:themeColor="text1" w:val="000000"/>
                <w:sz w:val="24"/>
              </w:rPr>
              <w:t>大连港</w:t>
            </w:r>
          </w:p>
        </w:tc>
        <w:tc>
          <w:tcPr>
            <w:vAlign w:val="center"/>
          </w:tcPr>
          <w:p>
            <w:pPr>
              <w:jc w:val="right"/>
            </w:pPr>
            <w:r>
              <w:rPr>
                <w:rFonts w:eastAsiaTheme="minorEastAsia"/>
                <w:color w:themeColor="text1" w:val="000000"/>
                <w:sz w:val="24"/>
              </w:rPr>
              <w:t>19,780.00</w:t>
            </w:r>
          </w:p>
        </w:tc>
        <w:tc>
          <w:tcPr>
            <w:vAlign w:val="center"/>
          </w:tcPr>
          <w:p>
            <w:pPr>
              <w:jc w:val="right"/>
            </w:pPr>
            <w:r>
              <w:rPr>
                <w:rFonts w:eastAsiaTheme="minorEastAsia"/>
                <w:color w:themeColor="text1" w:val="000000"/>
                <w:sz w:val="24"/>
              </w:rPr>
              <w:t>0.00</w:t>
            </w:r>
          </w:p>
        </w:tc>
        <w:tc>
          <w:tcPr>
            <w:vAlign w:val="center"/>
          </w:tcPr>
          <w:p>
            <w:pPr>
              <w:jc w:val="right"/>
            </w:pPr>
            <w:r>
              <w:rPr>
                <w:rFonts w:eastAsiaTheme="minorEastAsia"/>
                <w:color w:themeColor="text1" w:val="000000"/>
                <w:sz w:val="24"/>
              </w:rPr>
              <w:t>重大事项停牌</w:t>
            </w:r>
          </w:p>
        </w:tc>
      </w:tr>
    </w:tbl>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t xml:space="preserve">§6  </w:t>
      </w:r>
      <w:r w:rsidRPr="00B34368">
        <w:rPr>
          <w:rFonts w:eastAsiaTheme="minorEastAsia" w:hAnsiTheme="minorEastAsia"/>
          <w:color w:themeColor="text1" w:val="000000"/>
          <w:kern w:val="0"/>
          <w:sz w:val="24"/>
          <w:szCs w:val="24"/>
        </w:rPr>
        <w:t>开放式基金份额变动</w:t>
      </w:r>
    </w:p>
    <w:p w:rsidP="00302187" w:rsidR="009238DB" w:rsidRDefault="009238DB" w:rsidRPr="00B34368">
      <w:pPr>
        <w:autoSpaceDE w:val="0"/>
        <w:autoSpaceDN w:val="0"/>
        <w:adjustRightInd w:val="0"/>
        <w:spacing w:before="29" w:line="288" w:lineRule="auto"/>
        <w:ind w:left="15" w:right="480"/>
        <w:jc w:val="right"/>
        <w:rPr>
          <w:rFonts w:eastAsiaTheme="minorEastAsia"/>
          <w:color w:themeColor="text1" w:val="000000"/>
          <w:kern w:val="0"/>
          <w:sz w:val="24"/>
        </w:rPr>
      </w:pPr>
      <w:r w:rsidRPr="00B34368">
        <w:rPr>
          <w:rFonts w:eastAsiaTheme="minorEastAsia" w:hAnsiTheme="minorEastAsia"/>
          <w:color w:themeColor="text1" w:val="000000"/>
          <w:kern w:val="0"/>
          <w:sz w:val="24"/>
        </w:rPr>
        <w:t>单位：份</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3900"/>
        <w:gridCol w:w="2367"/>
        <w:gridCol w:w="2367"/>
      </w:tblGrid>
      <w:tr w:rsidR="00D3639B" w:rsidRPr="00B34368" w:rsidTr="004E70B7">
        <w:tc>
          <w:tcPr>
            <w:tcW w:type="dxa" w:w="3900"/>
            <w:vAlign w:val="center"/>
          </w:tcPr>
          <w:p w:rsidP="00B84643" w:rsidR="00936D40" w:rsidRDefault="00936D40" w:rsidRPr="00B34368">
            <w:pPr>
              <w:autoSpaceDE w:val="0"/>
              <w:autoSpaceDN w:val="0"/>
              <w:adjustRightInd w:val="0"/>
              <w:spacing w:before="29" w:line="360" w:lineRule="auto"/>
              <w:ind w:left="17"/>
              <w:jc w:val="center"/>
              <w:rPr>
                <w:rFonts w:eastAsiaTheme="minorEastAsia"/>
                <w:color w:themeColor="text1" w:val="000000"/>
                <w:kern w:val="0"/>
                <w:sz w:val="24"/>
              </w:rPr>
            </w:pPr>
            <w:r w:rsidRPr="00B34368">
              <w:rPr>
                <w:rFonts w:eastAsiaTheme="minorEastAsia" w:hAnsiTheme="minorEastAsia"/>
                <w:color w:themeColor="text1" w:val="000000"/>
                <w:kern w:val="0"/>
                <w:sz w:val="24"/>
              </w:rPr>
              <w:t>项目</w:t>
            </w:r>
          </w:p>
        </w:tc>
        <w:tc>
          <w:tcPr>
            <w:tcW w:type="dxa" w:w="2367"/>
            <w:vAlign w:val="center"/>
          </w:tcPr>
          <w:p w:rsidP="00A1276C"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sz w:val="24"/>
              </w:rPr>
              <w:t/>
            </w:r>
            <w:proofErr w:type="spellEnd"/>
            <w:r w:rsidR="0042785F" w:rsidRPr="00B34368">
              <w:rPr>
                <w:rFonts w:eastAsiaTheme="minorEastAsia"/>
                <w:color w:themeColor="text1" w:val="000000"/>
                <w:sz w:val="24"/>
              </w:rPr>
              <w:t>易方达中证500ETF联接发起式A</w:t>
            </w:r>
          </w:p>
        </w:tc>
        <w:tc>
          <w:tcPr>
            <w:tcW w:type="dxa" w:w="2367"/>
            <w:vAlign w:val="center"/>
          </w:tcPr>
          <w:p w:rsidP="00936D40"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kern w:val="0"/>
                <w:sz w:val="24"/>
              </w:rPr>
              <w:t/>
            </w:r>
            <w:r w:rsidRPr="00B34368">
              <w:rPr>
                <w:rFonts w:eastAsiaTheme="minorEastAsia"/>
                <w:color w:themeColor="text1" w:val="000000"/>
                <w:sz w:val="24"/>
              </w:rPr>
              <w:t/>
            </w:r>
            <w:r w:rsidR="004D614E" w:rsidRPr="00B34368">
              <w:rPr>
                <w:rFonts w:eastAsiaTheme="minorEastAsia"/>
                <w:color w:themeColor="text1" w:val="000000"/>
                <w:sz w:val="24"/>
              </w:rPr>
              <w:t/>
            </w:r>
            <w:r w:rsidR="0042785F" w:rsidRPr="00B34368">
              <w:rPr>
                <w:rFonts w:eastAsiaTheme="minorEastAsia"/>
                <w:color w:themeColor="text1" w:val="000000"/>
                <w:sz w:val="24"/>
              </w:rPr>
              <w:t>易方达中证500ETF联接发起式C</w:t>
            </w:r>
          </w:p>
        </w:tc>
      </w:tr>
      <w:tr w:rsidR="00D3639B" w:rsidRPr="00B34368" w:rsidTr="004E70B7">
        <w:tc>
          <w:tcPr>
            <w:tcW w:type="dxa" w:w="3900"/>
            <w:vAlign w:val="center"/>
          </w:tcPr>
          <w:p w:rsidP="00A1276C" w:rsidR="00936D40" w:rsidRDefault="00936D40" w:rsidRPr="00B34368">
            <w:pPr>
              <w:autoSpaceDE w:val="0"/>
              <w:autoSpaceDN w:val="0"/>
              <w:adjustRightInd w:val="0"/>
              <w:spacing w:before="29" w:line="360" w:lineRule="auto"/>
              <w:ind w:left="17"/>
              <w:jc w:val="left"/>
              <w:rPr>
                <w:rFonts w:eastAsiaTheme="minorEastAsia"/>
                <w:color w:themeColor="text1" w:val="000000"/>
                <w:kern w:val="0"/>
                <w:sz w:val="24"/>
              </w:rPr>
            </w:pPr>
            <w:r w:rsidRPr="00B34368">
              <w:rPr>
                <w:rFonts w:eastAsiaTheme="minorEastAsia" w:hAnsiTheme="minorEastAsia"/>
                <w:color w:themeColor="text1" w:val="000000"/>
                <w:kern w:val="0"/>
                <w:sz w:val="24"/>
              </w:rPr>
              <w:t>报告期期</w:t>
            </w:r>
            <w:proofErr w:type="gramStart"/>
            <w:r w:rsidRPr="00B34368">
              <w:rPr>
                <w:rFonts w:eastAsiaTheme="minorEastAsia" w:hAnsiTheme="minorEastAsia"/>
                <w:color w:themeColor="text1" w:val="000000"/>
                <w:kern w:val="0"/>
                <w:sz w:val="24"/>
              </w:rPr>
              <w:t>初基金</w:t>
            </w:r>
            <w:proofErr w:type="gramEnd"/>
            <w:r w:rsidRPr="00B34368">
              <w:rPr>
                <w:rFonts w:eastAsiaTheme="minorEastAsia" w:hAnsiTheme="minorEastAsia"/>
                <w:color w:themeColor="text1" w:val="000000"/>
                <w:kern w:val="0"/>
                <w:sz w:val="24"/>
              </w:rPr>
              <w:t>份额总额</w:t>
            </w:r>
          </w:p>
        </w:tc>
        <w:tc>
          <w:tcPr>
            <w:tcW w:type="dxa" w:w="2367"/>
            <w:vAlign w:val="center"/>
          </w:tcPr>
          <w:p w:rsidP="00A1276C" w:rsidR="00936D40" w:rsidRDefault="00B011B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r w:rsidR="00936D40" w:rsidRPr="00B34368">
              <w:rPr>
                <w:rFonts w:eastAsiaTheme="minorEastAsia"/>
                <w:color w:themeColor="text1" w:val="000000"/>
                <w:sz w:val="24"/>
              </w:rPr>
              <w:t/>
            </w:r>
            <w:r w:rsidR="0042785F" w:rsidRPr="00B34368">
              <w:rPr>
                <w:rFonts w:eastAsiaTheme="minorEastAsia"/>
                <w:color w:themeColor="text1" w:val="000000"/>
                <w:sz w:val="24"/>
              </w:rPr>
              <w:t>408,843,186.08</w:t>
            </w:r>
          </w:p>
        </w:tc>
        <w:tc>
          <w:tcPr>
            <w:tcW w:type="dxa" w:w="2367"/>
            <w:vAlign w:val="center"/>
          </w:tcPr>
          <w:p w:rsidP="00936D40" w:rsidR="00936D40" w:rsidRDefault="00B011B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r w:rsidR="00936D40" w:rsidRPr="00B34368">
              <w:rPr>
                <w:rFonts w:eastAsiaTheme="minorEastAsia"/>
                <w:color w:themeColor="text1" w:val="000000"/>
                <w:sz w:val="24"/>
              </w:rPr>
              <w:t/>
            </w:r>
            <w:r w:rsidR="00EA1D33" w:rsidRPr="00B34368">
              <w:rPr>
                <w:rFonts w:eastAsiaTheme="minorEastAsia"/>
                <w:color w:themeColor="text1" w:val="000000"/>
                <w:sz w:val="24"/>
              </w:rPr>
              <w:t/>
            </w:r>
            <w:r w:rsidR="0042785F" w:rsidRPr="00B34368">
              <w:rPr>
                <w:rFonts w:eastAsiaTheme="minorEastAsia"/>
                <w:color w:themeColor="text1" w:val="000000"/>
                <w:sz w:val="24"/>
              </w:rPr>
              <w:t>235,824,351.89</w:t>
            </w:r>
          </w:p>
        </w:tc>
      </w:tr>
      <w:tr w:rsidR="00D3639B" w:rsidRPr="00B34368" w:rsidTr="004E70B7">
        <w:tc>
          <w:tcPr>
            <w:tcW w:type="dxa" w:w="3900"/>
            <w:vAlign w:val="center"/>
          </w:tcPr>
          <w:p w:rsidP="00A1276C" w:rsidR="00936D40" w:rsidRDefault="00F72579" w:rsidRPr="00B34368">
            <w:pPr>
              <w:autoSpaceDE w:val="0"/>
              <w:autoSpaceDN w:val="0"/>
              <w:adjustRightInd w:val="0"/>
              <w:spacing w:before="29" w:line="360" w:lineRule="auto"/>
              <w:ind w:left="17"/>
              <w:jc w:val="left"/>
              <w:rPr>
                <w:rFonts w:eastAsiaTheme="minorEastAsia"/>
                <w:color w:themeColor="text1" w:val="000000"/>
                <w:kern w:val="0"/>
                <w:sz w:val="24"/>
              </w:rPr>
            </w:pPr>
            <w:r w:rsidRPr="00B34368">
              <w:rPr>
                <w:rFonts w:eastAsiaTheme="minorEastAsia"/>
                <w:color w:themeColor="text1" w:val="000000"/>
                <w:kern w:val="0"/>
                <w:sz w:val="24"/>
              </w:rPr>
              <w:lastRenderedPageBreak/>
              <w:t/>
            </w:r>
            <w:proofErr w:type="spellStart"/>
            <w:r w:rsidR="00130E37">
              <w:rPr>
                <w:color w:val="000000"/>
                <w:kern w:val="0"/>
                <w:sz w:val="24"/>
              </w:rPr>
              <w:t/>
            </w:r>
            <w:proofErr w:type="spellEnd"/>
            <w:r w:rsidRPr="00B34368">
              <w:rPr>
                <w:rFonts w:eastAsiaTheme="minorEastAsia"/>
                <w:color w:themeColor="text1" w:val="000000"/>
                <w:kern w:val="0"/>
                <w:sz w:val="24"/>
              </w:rPr>
              <w:t>报告期</w:t>
            </w:r>
            <w:r w:rsidR="00936D40" w:rsidRPr="00B34368">
              <w:rPr>
                <w:rFonts w:eastAsiaTheme="minorEastAsia" w:hAnsiTheme="minorEastAsia"/>
                <w:color w:themeColor="text1" w:val="000000"/>
                <w:kern w:val="0"/>
                <w:sz w:val="24"/>
              </w:rPr>
              <w:t>基金总申购份额</w:t>
            </w:r>
          </w:p>
        </w:tc>
        <w:tc>
          <w:tcPr>
            <w:tcW w:type="dxa" w:w="2367"/>
            <w:vAlign w:val="center"/>
          </w:tcPr>
          <w:p w:rsidP="00A1276C"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0042785F" w:rsidRPr="00B34368">
              <w:rPr>
                <w:rFonts w:eastAsiaTheme="minorEastAsia"/>
                <w:color w:themeColor="text1" w:val="000000"/>
                <w:sz w:val="24"/>
              </w:rPr>
              <w:t>94,916,187.70</w:t>
            </w:r>
          </w:p>
        </w:tc>
        <w:tc>
          <w:tcPr>
            <w:tcW w:type="dxa" w:w="2367"/>
            <w:vAlign w:val="center"/>
          </w:tcPr>
          <w:p w:rsidP="00936D40"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42785F" w:rsidRPr="00B34368">
              <w:rPr>
                <w:rFonts w:eastAsiaTheme="minorEastAsia"/>
                <w:color w:themeColor="text1" w:val="000000"/>
                <w:sz w:val="24"/>
              </w:rPr>
              <w:t>57,525,613.20</w:t>
            </w:r>
          </w:p>
        </w:tc>
      </w:tr>
      <w:tr w:rsidR="00D3639B" w:rsidRPr="00B34368" w:rsidTr="004E70B7">
        <w:tc>
          <w:tcPr>
            <w:tcW w:type="dxa" w:w="3900"/>
            <w:vAlign w:val="center"/>
          </w:tcPr>
          <w:p w:rsidP="00A1276C" w:rsidR="00936D40" w:rsidRDefault="00936D40" w:rsidRPr="00B34368">
            <w:pPr>
              <w:autoSpaceDE w:val="0"/>
              <w:autoSpaceDN w:val="0"/>
              <w:adjustRightInd w:val="0"/>
              <w:spacing w:before="29" w:line="360" w:lineRule="auto"/>
              <w:ind w:left="17"/>
              <w:jc w:val="left"/>
              <w:rPr>
                <w:rFonts w:eastAsiaTheme="minorEastAsia"/>
                <w:color w:themeColor="text1" w:val="000000"/>
                <w:kern w:val="0"/>
                <w:sz w:val="24"/>
              </w:rPr>
            </w:pPr>
            <w:r w:rsidRPr="00B34368">
              <w:rPr>
                <w:rFonts w:eastAsiaTheme="minorEastAsia" w:hAnsiTheme="minorEastAsia"/>
                <w:color w:themeColor="text1" w:val="000000"/>
                <w:kern w:val="0"/>
                <w:sz w:val="24"/>
              </w:rPr>
              <w:t>减：</w:t>
            </w:r>
            <w:r w:rsidR="00F72579" w:rsidRPr="00B34368">
              <w:rPr>
                <w:rFonts w:eastAsiaTheme="minorEastAsia"/>
                <w:color w:themeColor="text1" w:val="000000"/>
                <w:kern w:val="0"/>
                <w:sz w:val="24"/>
              </w:rPr>
              <w:t/>
            </w:r>
            <w:proofErr w:type="spellStart"/>
            <w:r w:rsidR="00130E37">
              <w:rPr>
                <w:color w:val="000000"/>
                <w:kern w:val="0"/>
                <w:sz w:val="24"/>
              </w:rPr>
              <w:t/>
            </w:r>
            <w:proofErr w:type="spellEnd"/>
            <w:r w:rsidR="00F72579" w:rsidRPr="00B34368">
              <w:rPr>
                <w:rFonts w:eastAsiaTheme="minorEastAsia"/>
                <w:color w:themeColor="text1" w:val="000000"/>
                <w:kern w:val="0"/>
                <w:sz w:val="24"/>
              </w:rPr>
              <w:t>报告期</w:t>
            </w:r>
            <w:r w:rsidRPr="00B34368">
              <w:rPr>
                <w:rFonts w:eastAsiaTheme="minorEastAsia" w:hAnsiTheme="minorEastAsia"/>
                <w:color w:themeColor="text1" w:val="000000"/>
                <w:kern w:val="0"/>
                <w:sz w:val="24"/>
              </w:rPr>
              <w:t>基金总赎回份额</w:t>
            </w:r>
          </w:p>
        </w:tc>
        <w:tc>
          <w:tcPr>
            <w:tcW w:type="dxa" w:w="2367"/>
            <w:vAlign w:val="center"/>
          </w:tcPr>
          <w:p w:rsidP="00A1276C"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0042785F" w:rsidRPr="00B34368">
              <w:rPr>
                <w:rFonts w:eastAsiaTheme="minorEastAsia"/>
                <w:color w:themeColor="text1" w:val="000000"/>
                <w:sz w:val="24"/>
              </w:rPr>
              <w:t>194,152,940.95</w:t>
            </w:r>
          </w:p>
        </w:tc>
        <w:tc>
          <w:tcPr>
            <w:tcW w:type="dxa" w:w="2367"/>
            <w:vAlign w:val="center"/>
          </w:tcPr>
          <w:p w:rsidP="00936D40"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42785F" w:rsidRPr="00B34368">
              <w:rPr>
                <w:rFonts w:eastAsiaTheme="minorEastAsia"/>
                <w:color w:themeColor="text1" w:val="000000"/>
                <w:sz w:val="24"/>
              </w:rPr>
              <w:t>114,507,545.40</w:t>
            </w:r>
          </w:p>
        </w:tc>
      </w:tr>
      <w:tr w:rsidR="00D3639B" w:rsidRPr="00B34368" w:rsidTr="004E70B7">
        <w:tc>
          <w:tcPr>
            <w:tcW w:type="dxa" w:w="3900"/>
            <w:vAlign w:val="center"/>
          </w:tcPr>
          <w:p w:rsidP="00A1276C" w:rsidR="00936D40" w:rsidRDefault="00F72579" w:rsidRPr="00B34368">
            <w:pPr>
              <w:autoSpaceDE w:val="0"/>
              <w:autoSpaceDN w:val="0"/>
              <w:adjustRightInd w:val="0"/>
              <w:spacing w:before="29" w:line="360" w:lineRule="auto"/>
              <w:ind w:left="17"/>
              <w:jc w:val="left"/>
              <w:rPr>
                <w:rFonts w:eastAsiaTheme="minorEastAsia"/>
                <w:color w:themeColor="text1" w:val="000000"/>
                <w:kern w:val="0"/>
                <w:sz w:val="24"/>
              </w:rPr>
            </w:pPr>
            <w:r w:rsidRPr="00B34368">
              <w:rPr>
                <w:rFonts w:eastAsiaTheme="minorEastAsia"/>
                <w:color w:themeColor="text1" w:val="000000"/>
                <w:kern w:val="0"/>
                <w:sz w:val="24"/>
              </w:rPr>
              <w:t/>
            </w:r>
            <w:r w:rsidR="00130E37">
              <w:rPr>
                <w:color w:val="000000"/>
                <w:kern w:val="0"/>
                <w:sz w:val="24"/>
              </w:rPr>
              <w:t/>
            </w:r>
            <w:r w:rsidRPr="00B34368">
              <w:rPr>
                <w:rFonts w:eastAsiaTheme="minorEastAsia"/>
                <w:color w:themeColor="text1" w:val="000000"/>
                <w:kern w:val="0"/>
                <w:sz w:val="24"/>
              </w:rPr>
              <w:t>报告期</w:t>
            </w:r>
            <w:r w:rsidR="00936D40" w:rsidRPr="00B34368">
              <w:rPr>
                <w:rFonts w:eastAsiaTheme="minorEastAsia" w:hAnsiTheme="minorEastAsia"/>
                <w:color w:themeColor="text1" w:val="000000"/>
                <w:kern w:val="0"/>
                <w:sz w:val="24"/>
              </w:rPr>
              <w:t>基金拆分变动份额</w:t>
            </w:r>
            <w:r w:rsidR="00130E37" w:rsidRPr="00130E37">
              <w:rPr>
                <w:rFonts w:eastAsiaTheme="minorEastAsia" w:hAnsiTheme="minorEastAsia" w:hint="eastAsia"/>
                <w:color w:themeColor="text1" w:val="000000"/>
                <w:kern w:val="0"/>
                <w:sz w:val="24"/>
              </w:rPr>
              <w:t>（份额减少以“</w:t>
            </w:r>
            <w:r w:rsidR="00130E37" w:rsidRPr="00130E37">
              <w:rPr>
                <w:rFonts w:eastAsiaTheme="minorEastAsia" w:hAnsiTheme="minorEastAsia" w:hint="eastAsia"/>
                <w:color w:themeColor="text1" w:val="000000"/>
                <w:kern w:val="0"/>
                <w:sz w:val="24"/>
              </w:rPr>
              <w:t>-</w:t>
            </w:r>
            <w:r w:rsidR="00130E37" w:rsidRPr="00130E37">
              <w:rPr>
                <w:rFonts w:eastAsiaTheme="minorEastAsia" w:hAnsiTheme="minorEastAsia" w:hint="eastAsia"/>
                <w:color w:themeColor="text1" w:val="000000"/>
                <w:kern w:val="0"/>
                <w:sz w:val="24"/>
              </w:rPr>
              <w:t>”填列）</w:t>
            </w:r>
          </w:p>
        </w:tc>
        <w:tc>
          <w:tcPr>
            <w:tcW w:type="dxa" w:w="2367"/>
            <w:vAlign w:val="center"/>
          </w:tcPr>
          <w:p w:rsidP="00A1276C"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0042785F" w:rsidRPr="00B34368">
              <w:rPr>
                <w:rFonts w:eastAsiaTheme="minorEastAsia"/>
                <w:color w:themeColor="text1" w:val="000000"/>
                <w:sz w:val="24"/>
              </w:rPr>
              <w:t>-</w:t>
            </w:r>
          </w:p>
        </w:tc>
        <w:tc>
          <w:tcPr>
            <w:tcW w:type="dxa" w:w="2367"/>
            <w:vAlign w:val="center"/>
          </w:tcPr>
          <w:p w:rsidP="00936D40"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42785F" w:rsidRPr="00B34368">
              <w:rPr>
                <w:rFonts w:eastAsiaTheme="minorEastAsia"/>
                <w:color w:themeColor="text1" w:val="000000"/>
                <w:sz w:val="24"/>
              </w:rPr>
              <w:t>-</w:t>
            </w:r>
          </w:p>
        </w:tc>
      </w:tr>
      <w:tr w:rsidR="00D3639B" w:rsidRPr="00B34368" w:rsidTr="004E70B7">
        <w:tc>
          <w:tcPr>
            <w:tcW w:type="dxa" w:w="3900"/>
            <w:vAlign w:val="center"/>
          </w:tcPr>
          <w:p w:rsidP="00A1276C" w:rsidR="00936D40" w:rsidRDefault="00936D40" w:rsidRPr="00B34368">
            <w:pPr>
              <w:autoSpaceDE w:val="0"/>
              <w:autoSpaceDN w:val="0"/>
              <w:adjustRightInd w:val="0"/>
              <w:spacing w:before="29" w:line="360" w:lineRule="auto"/>
              <w:ind w:left="17"/>
              <w:jc w:val="left"/>
              <w:rPr>
                <w:rFonts w:eastAsiaTheme="minorEastAsia"/>
                <w:color w:themeColor="text1" w:val="000000"/>
                <w:kern w:val="0"/>
                <w:sz w:val="24"/>
              </w:rPr>
            </w:pPr>
            <w:r w:rsidRPr="00B34368">
              <w:rPr>
                <w:rFonts w:eastAsiaTheme="minorEastAsia" w:hAnsiTheme="minorEastAsia"/>
                <w:color w:themeColor="text1" w:val="000000"/>
                <w:kern w:val="0"/>
                <w:sz w:val="24"/>
              </w:rPr>
              <w:t>报告期期末基金份额总额</w:t>
            </w:r>
          </w:p>
        </w:tc>
        <w:tc>
          <w:tcPr>
            <w:tcW w:type="dxa" w:w="2367"/>
            <w:vAlign w:val="center"/>
          </w:tcPr>
          <w:p w:rsidP="00B57BCF"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r w:rsidR="0042785F" w:rsidRPr="00B34368">
              <w:rPr>
                <w:rFonts w:eastAsiaTheme="minorEastAsia"/>
                <w:color w:themeColor="text1" w:val="000000"/>
                <w:sz w:val="24"/>
              </w:rPr>
              <w:t/>
            </w:r>
            <w:proofErr w:type="spellEnd"/>
            <w:r w:rsidR="0042785F" w:rsidRPr="00B34368">
              <w:rPr>
                <w:rFonts w:eastAsiaTheme="minorEastAsia"/>
                <w:color w:themeColor="text1" w:val="000000"/>
                <w:sz w:val="24"/>
              </w:rPr>
              <w:t>309,606,432.83</w:t>
            </w:r>
          </w:p>
        </w:tc>
        <w:tc>
          <w:tcPr>
            <w:tcW w:type="dxa" w:w="2367"/>
            <w:vAlign w:val="center"/>
          </w:tcPr>
          <w:p w:rsidP="00936D40"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42785F" w:rsidRPr="00B34368">
              <w:rPr>
                <w:rFonts w:eastAsiaTheme="minorEastAsia"/>
                <w:color w:themeColor="text1" w:val="000000"/>
                <w:sz w:val="24"/>
              </w:rPr>
              <w:t>178,842,419.69</w:t>
            </w:r>
          </w:p>
        </w:tc>
      </w:tr>
    </w:tbl>
    <w:p w:rsidP="00C544B8" w:rsidR="00617125" w:rsidRDefault="00617125" w:rsidRPr="00B34368">
      <w:pPr>
        <w:pStyle w:val="1"/>
        <w:tabs>
          <w:tab w:pos="4156" w:val="center"/>
          <w:tab w:pos="8312" w:val="right"/>
        </w:tabs>
        <w:spacing w:after="312" w:afterLines="100" w:before="312" w:beforeLines="100" w:line="360" w:lineRule="auto"/>
        <w:jc w:val="center"/>
        <w:rPr>
          <w:rFonts w:eastAsiaTheme="minorEastAsia"/>
          <w:color w:themeColor="text1" w:val="000000"/>
          <w:sz w:val="24"/>
          <w:szCs w:val="24"/>
        </w:rPr>
      </w:pPr>
      <w:r w:rsidRPr="00B34368">
        <w:rPr>
          <w:rFonts w:eastAsiaTheme="minorEastAsia"/>
          <w:color w:themeColor="text1" w:val="000000"/>
          <w:kern w:val="0"/>
          <w:sz w:val="24"/>
          <w:szCs w:val="24"/>
        </w:rPr>
        <w:t/>
      </w:r>
      <w:proofErr w:type="spellStart"/>
      <w:r w:rsidRPr="00B34368">
        <w:rPr>
          <w:rFonts w:eastAsiaTheme="minorEastAsia"/>
          <w:color w:themeColor="text1" w:val="000000"/>
          <w:kern w:val="0"/>
          <w:sz w:val="24"/>
          <w:szCs w:val="24"/>
        </w:rPr>
        <w:t/>
      </w:r>
      <w:proofErr w:type="spellEnd"/>
      <w:r w:rsidRPr="00B34368">
        <w:rPr>
          <w:rFonts w:eastAsiaTheme="minorEastAsia"/>
          <w:color w:themeColor="text1" w:val="000000"/>
          <w:kern w:val="0"/>
          <w:sz w:val="24"/>
          <w:szCs w:val="24"/>
        </w:rPr>
        <w:t>§7</w:t>
      </w:r>
      <w:r w:rsidR="007661B8" w:rsidRPr="00B34368">
        <w:rPr>
          <w:rFonts w:eastAsiaTheme="minorEastAsia"/>
          <w:color w:themeColor="text1" w:val="000000"/>
          <w:kern w:val="0"/>
          <w:sz w:val="24"/>
          <w:szCs w:val="24"/>
        </w:rPr>
        <w:t xml:space="preserve">  </w:t>
      </w:r>
      <w:r w:rsidRPr="00B34368">
        <w:rPr>
          <w:rFonts w:eastAsiaTheme="minorEastAsia" w:hAnsiTheme="minorEastAsia"/>
          <w:color w:themeColor="text1" w:val="000000"/>
          <w:sz w:val="24"/>
          <w:szCs w:val="24"/>
        </w:rPr>
        <w:t>基金管理人运用</w:t>
      </w:r>
      <w:proofErr w:type="gramStart"/>
      <w:r w:rsidRPr="00B34368">
        <w:rPr>
          <w:rFonts w:eastAsiaTheme="minorEastAsia" w:hAnsiTheme="minorEastAsia"/>
          <w:color w:themeColor="text1" w:val="000000"/>
          <w:sz w:val="24"/>
          <w:szCs w:val="24"/>
        </w:rPr>
        <w:t>固有资金</w:t>
      </w:r>
      <w:proofErr w:type="gramEnd"/>
      <w:r w:rsidRPr="00B34368">
        <w:rPr>
          <w:rFonts w:eastAsiaTheme="minorEastAsia" w:hAnsiTheme="minorEastAsia"/>
          <w:color w:themeColor="text1" w:val="000000"/>
          <w:sz w:val="24"/>
          <w:szCs w:val="24"/>
        </w:rPr>
        <w:t>投资本基金情况</w:t>
      </w:r>
    </w:p>
    <w:p w:rsidP="00617125" w:rsidR="00617125" w:rsidRDefault="00617125" w:rsidRPr="00B34368">
      <w:pPr>
        <w:spacing w:line="360" w:lineRule="auto"/>
        <w:jc w:val="left"/>
        <w:rPr>
          <w:rFonts w:eastAsiaTheme="minorEastAsia"/>
          <w:color w:themeColor="text1" w:val="000000"/>
          <w:sz w:val="24"/>
        </w:rPr>
      </w:pPr>
      <w:r w:rsidRPr="00B34368">
        <w:rPr>
          <w:rFonts w:eastAsiaTheme="minorEastAsia"/>
          <w:b/>
          <w:color w:themeColor="text1" w:val="000000"/>
          <w:sz w:val="24"/>
        </w:rPr>
        <w:t/>
      </w:r>
      <w:proofErr w:type="spellStart"/>
      <w:r w:rsidRPr="00B34368">
        <w:rPr>
          <w:rFonts w:eastAsiaTheme="minorEastAsia"/>
          <w:b/>
          <w:color w:themeColor="text1" w:val="000000"/>
          <w:sz w:val="24"/>
        </w:rPr>
        <w:t/>
      </w:r>
      <w:proofErr w:type="spellEnd"/>
      <w:r w:rsidRPr="00B34368">
        <w:rPr>
          <w:rFonts w:eastAsiaTheme="minorEastAsia"/>
          <w:b/>
          <w:color w:themeColor="text1" w:val="000000"/>
          <w:sz w:val="24"/>
        </w:rPr>
        <w:t/>
      </w:r>
      <w:proofErr w:type="gramStart"/>
      <w:r w:rsidRPr="00B34368">
        <w:rPr>
          <w:rFonts w:eastAsiaTheme="minorEastAsia"/>
          <w:b/>
          <w:color w:themeColor="text1" w:val="000000"/>
          <w:sz w:val="24"/>
        </w:rPr>
        <w:t/>
      </w:r>
      <w:proofErr w:type="gramEnd"/>
      <w:r w:rsidRPr="00B34368">
        <w:rPr>
          <w:rFonts w:eastAsiaTheme="minorEastAsia"/>
          <w:b/>
          <w:color w:themeColor="text1" w:val="000000"/>
          <w:sz w:val="24"/>
        </w:rPr>
        <w:t xml:space="preserve">7.1 </w:t>
      </w:r>
      <w:r w:rsidRPr="00B34368">
        <w:rPr>
          <w:rFonts w:eastAsiaTheme="minorEastAsia" w:hAnsiTheme="minorEastAsia"/>
          <w:b/>
          <w:color w:themeColor="text1" w:val="000000"/>
          <w:sz w:val="24"/>
        </w:rPr>
        <w:t>基金管理人持有本基金份额变动情况</w:t>
      </w:r>
    </w:p>
    <w:p w:rsidP="00A01C74" w:rsidR="00A01C74" w:rsidRDefault="00A01C74" w:rsidRPr="00266D4B">
      <w:pPr>
        <w:autoSpaceDE w:val="0"/>
        <w:autoSpaceDN w:val="0"/>
        <w:adjustRightInd w:val="0"/>
        <w:spacing w:before="29" w:line="288" w:lineRule="auto"/>
        <w:ind w:left="15" w:right="480"/>
        <w:jc w:val="right"/>
        <w:rPr>
          <w:color w:val="000000"/>
          <w:kern w:val="0"/>
          <w:sz w:val="24"/>
        </w:rPr>
      </w:pPr>
      <w:r w:rsidRPr="00266D4B">
        <w:rPr>
          <w:color w:val="000000"/>
          <w:kern w:val="0"/>
          <w:sz w:val="24"/>
        </w:rPr>
        <w:t/>
      </w:r>
      <w:proofErr w:type="spellStart"/>
      <w:r w:rsidRPr="00266D4B">
        <w:rPr>
          <w:color w:val="000000"/>
          <w:kern w:val="0"/>
          <w:sz w:val="24"/>
        </w:rPr>
        <w:t/>
      </w:r>
      <w:proofErr w:type="spellEnd"/>
      <w:r w:rsidRPr="00266D4B">
        <w:rPr>
          <w:color w:val="000000"/>
          <w:kern w:val="0"/>
          <w:sz w:val="24"/>
        </w:rPr>
        <w:t/>
      </w:r>
      <w:r w:rsidRPr="00266D4B">
        <w:rPr>
          <w:color w:val="000000"/>
          <w:kern w:val="0"/>
          <w:sz w:val="24"/>
        </w:rPr>
        <w:t>单位：份</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3167"/>
        <w:gridCol w:w="2616"/>
        <w:gridCol w:w="2631"/>
      </w:tblGrid>
      <w:tr w:rsidR="00A01C74" w:rsidRPr="00E90B39" w:rsidTr="004E70B7">
        <w:trPr>
          <w:trHeight w:val="248"/>
        </w:trPr>
        <w:tc>
          <w:tcPr>
            <w:tcW w:type="dxa" w:w="3167"/>
            <w:vAlign w:val="center"/>
          </w:tcPr>
          <w:p w:rsidP="00202439" w:rsidR="00A01C74" w:rsidRDefault="00A01C74" w:rsidRPr="00FA472B">
            <w:pPr>
              <w:autoSpaceDE w:val="0"/>
              <w:autoSpaceDN w:val="0"/>
              <w:adjustRightInd w:val="0"/>
              <w:spacing w:before="29" w:line="360" w:lineRule="auto"/>
              <w:ind w:left="15"/>
              <w:jc w:val="center"/>
              <w:rPr>
                <w:color w:val="000000"/>
                <w:kern w:val="0"/>
                <w:sz w:val="24"/>
              </w:rPr>
            </w:pPr>
            <w:r w:rsidRPr="00FA472B">
              <w:rPr>
                <w:color w:val="000000"/>
                <w:kern w:val="0"/>
                <w:sz w:val="24"/>
              </w:rPr>
              <w:t>项目</w:t>
            </w:r>
            <w:r w:rsidRPr="003B42FF">
              <w:rPr>
                <w:rFonts w:eastAsiaTheme="minorEastAsia"/>
                <w:bCs/>
                <w:color w:val="000000"/>
              </w:rPr>
              <w:t/>
            </w:r>
            <w:proofErr w:type="spellStart"/>
            <w:r w:rsidRPr="003B42FF">
              <w:rPr>
                <w:rFonts w:eastAsiaTheme="minorEastAsia"/>
                <w:bCs/>
                <w:color w:val="000000"/>
              </w:rPr>
              <w:t/>
            </w:r>
            <w:proofErr w:type="spellEnd"/>
            <w:r w:rsidRPr="003B42FF">
              <w:rPr>
                <w:rFonts w:eastAsiaTheme="minorEastAsia"/>
                <w:bCs/>
                <w:color w:val="000000"/>
              </w:rPr>
              <w:t/>
            </w:r>
            <w:r w:rsidRPr="00FA472B">
              <w:rPr>
                <w:color w:val="000000"/>
                <w:kern w:val="0"/>
                <w:sz w:val="24"/>
              </w:rPr>
              <w:t/>
            </w:r>
            <w:proofErr w:type="spellStart"/>
            <w:r w:rsidRPr="00FA472B">
              <w:rPr>
                <w:color w:val="000000"/>
                <w:kern w:val="0"/>
                <w:sz w:val="24"/>
              </w:rPr>
              <w:t/>
            </w:r>
            <w:proofErr w:type="spellEnd"/>
            <w:r w:rsidRPr="00FA472B">
              <w:rPr>
                <w:color w:val="000000"/>
                <w:kern w:val="0"/>
                <w:sz w:val="24"/>
              </w:rPr>
              <w:t/>
            </w:r>
          </w:p>
        </w:tc>
        <w:tc>
          <w:tcPr>
            <w:tcW w:type="dxa" w:w="2616"/>
            <w:vAlign w:val="bottom"/>
          </w:tcPr>
          <w:p w:rsidP="00202439" w:rsidR="00A01C74" w:rsidRDefault="00A01C74" w:rsidRPr="00FA472B">
            <w:pPr>
              <w:jc w:val="center"/>
              <w:rPr>
                <w:sz w:val="24"/>
              </w:rPr>
            </w:pPr>
            <w:r w:rsidRPr="00FA472B">
              <w:rPr>
                <w:color w:val="000000"/>
                <w:kern w:val="0"/>
                <w:sz w:val="24"/>
              </w:rPr>
              <w:t/>
            </w:r>
            <w:proofErr w:type="spellStart"/>
            <w:r w:rsidRPr="00FA472B">
              <w:rPr>
                <w:sz w:val="24"/>
              </w:rPr>
              <w:t/>
            </w:r>
            <w:proofErr w:type="spellEnd"/>
            <w:r w:rsidRPr="00FA472B">
              <w:rPr>
                <w:sz w:val="24"/>
              </w:rPr>
              <w:t>易方达中证500ETF联接发起式A</w:t>
            </w:r>
          </w:p>
        </w:tc>
        <w:tc>
          <w:tcPr>
            <w:tcW w:type="dxa" w:w="2631"/>
            <w:vAlign w:val="bottom"/>
          </w:tcPr>
          <w:p w:rsidP="00202439" w:rsidR="00A01C74" w:rsidRDefault="00A01C74" w:rsidRPr="00FA472B">
            <w:pPr>
              <w:jc w:val="center"/>
              <w:rPr>
                <w:sz w:val="24"/>
              </w:rPr>
            </w:pPr>
            <w:r w:rsidRPr="00FA472B">
              <w:rPr>
                <w:color w:val="000000"/>
                <w:kern w:val="0"/>
                <w:sz w:val="24"/>
              </w:rPr>
              <w:t/>
            </w:r>
            <w:r w:rsidRPr="00FA472B">
              <w:rPr>
                <w:sz w:val="24"/>
              </w:rPr>
              <w:t>易方达中证500ETF联接发起式C</w:t>
            </w:r>
          </w:p>
        </w:tc>
      </w:tr>
      <w:tr w:rsidR="00A01C74" w:rsidRPr="00E90B39" w:rsidTr="004E70B7">
        <w:trPr>
          <w:trHeight w:val="247"/>
        </w:trPr>
        <w:tc>
          <w:tcPr>
            <w:tcW w:type="dxa" w:w="3167"/>
            <w:vAlign w:val="center"/>
          </w:tcPr>
          <w:p w:rsidP="00202439" w:rsidR="00A01C74" w:rsidRDefault="00A01C74" w:rsidRPr="00FA472B">
            <w:pPr>
              <w:pStyle w:val="ac"/>
              <w:adjustRightInd w:val="0"/>
              <w:snapToGrid w:val="0"/>
              <w:spacing w:line="360" w:lineRule="exact"/>
              <w:rPr>
                <w:color w:val="000000"/>
                <w:szCs w:val="24"/>
              </w:rPr>
            </w:pPr>
            <w:r w:rsidRPr="00FA472B">
              <w:rPr>
                <w:color w:val="000000"/>
                <w:szCs w:val="24"/>
              </w:rPr>
              <w:t>报告期期</w:t>
            </w:r>
            <w:proofErr w:type="gramStart"/>
            <w:r w:rsidRPr="00FA472B">
              <w:rPr>
                <w:color w:val="000000"/>
                <w:szCs w:val="24"/>
              </w:rPr>
              <w:t>初管理</w:t>
            </w:r>
            <w:proofErr w:type="gramEnd"/>
            <w:r w:rsidRPr="00FA472B">
              <w:rPr>
                <w:color w:val="000000"/>
                <w:szCs w:val="24"/>
              </w:rPr>
              <w:t>人持有的本基金份额</w:t>
            </w:r>
          </w:p>
        </w:tc>
        <w:tc>
          <w:tcPr>
            <w:tcW w:type="dxa" w:w="2616"/>
            <w:vAlign w:val="center"/>
          </w:tcPr>
          <w:p w:rsidP="00202439" w:rsidR="00A01C74" w:rsidRDefault="00A01C74" w:rsidRPr="00FA472B">
            <w:pPr>
              <w:jc w:val="right"/>
              <w:rPr>
                <w:sz w:val="24"/>
              </w:rPr>
            </w:pPr>
            <w:r w:rsidRPr="00FA472B">
              <w:rPr>
                <w:color w:val="000000"/>
                <w:sz w:val="24"/>
              </w:rPr>
              <w:t>10,000,500.00</w:t>
            </w:r>
          </w:p>
        </w:tc>
        <w:tc>
          <w:tcPr>
            <w:tcW w:type="dxa" w:w="2631"/>
            <w:vAlign w:val="center"/>
          </w:tcPr>
          <w:p w:rsidP="00202439" w:rsidR="00A01C74" w:rsidRDefault="00A01C74" w:rsidRPr="00FA472B">
            <w:pPr>
              <w:jc w:val="right"/>
              <w:rPr>
                <w:sz w:val="24"/>
              </w:rPr>
            </w:pPr>
            <w:r w:rsidRPr="00FA472B">
              <w:rPr>
                <w:color w:val="000000"/>
                <w:sz w:val="24"/>
              </w:rPr>
              <w:t>-</w:t>
            </w:r>
          </w:p>
        </w:tc>
      </w:tr>
      <w:tr w:rsidR="00A01C74" w:rsidRPr="00E90B39" w:rsidTr="004E70B7">
        <w:tc>
          <w:tcPr>
            <w:tcW w:type="dxa" w:w="3167"/>
            <w:vAlign w:val="center"/>
          </w:tcPr>
          <w:p w:rsidP="00202439" w:rsidR="00A01C74" w:rsidRDefault="00A01C74" w:rsidRPr="00FA472B">
            <w:pPr>
              <w:adjustRightInd w:val="0"/>
              <w:snapToGrid w:val="0"/>
              <w:spacing w:line="360" w:lineRule="exact"/>
              <w:rPr>
                <w:color w:val="000000"/>
                <w:sz w:val="24"/>
              </w:rPr>
            </w:pPr>
            <w:r w:rsidRPr="003B42FF">
              <w:rPr>
                <w:rFonts w:eastAsiaTheme="minorEastAsia"/>
                <w:color w:themeColor="text1" w:val="000000"/>
                <w:kern w:val="0"/>
                <w:sz w:val="24"/>
              </w:rPr>
              <w:t/>
            </w:r>
            <w:proofErr w:type="spellStart"/>
            <w:r w:rsidRPr="003B42FF">
              <w:rPr>
                <w:rFonts w:eastAsiaTheme="minorEastAsia"/>
                <w:color w:themeColor="text1" w:val="000000"/>
                <w:kern w:val="0"/>
                <w:sz w:val="24"/>
              </w:rPr>
              <w:t/>
            </w:r>
            <w:r>
              <w:rPr>
                <w:color w:val="000000"/>
                <w:kern w:val="0"/>
                <w:sz w:val="24"/>
              </w:rPr>
              <w:t/>
            </w:r>
            <w:proofErr w:type="spellEnd"/>
            <w:r w:rsidRPr="003B42FF">
              <w:rPr>
                <w:rFonts w:eastAsiaTheme="minorEastAsia"/>
                <w:color w:themeColor="text1" w:val="000000"/>
                <w:kern w:val="0"/>
                <w:sz w:val="24"/>
              </w:rPr>
              <w:t>报告期</w:t>
            </w:r>
            <w:r w:rsidRPr="00FA472B">
              <w:rPr>
                <w:color w:val="000000"/>
                <w:kern w:val="0"/>
                <w:sz w:val="24"/>
              </w:rPr>
              <w:t>期间</w:t>
            </w:r>
            <w:r w:rsidRPr="00FA472B">
              <w:rPr>
                <w:color w:val="000000"/>
                <w:sz w:val="24"/>
              </w:rPr>
              <w:t>买入</w:t>
            </w:r>
            <w:r w:rsidRPr="00FA472B">
              <w:rPr>
                <w:color w:val="000000"/>
                <w:sz w:val="24"/>
              </w:rPr>
              <w:t>/</w:t>
            </w:r>
            <w:r w:rsidRPr="00FA472B">
              <w:rPr>
                <w:color w:val="000000"/>
                <w:sz w:val="24"/>
              </w:rPr>
              <w:t>申购总份额</w:t>
            </w:r>
          </w:p>
        </w:tc>
        <w:tc>
          <w:tcPr>
            <w:tcW w:type="dxa" w:w="2616"/>
            <w:vAlign w:val="center"/>
          </w:tcPr>
          <w:p w:rsidP="00202439" w:rsidR="00A01C74" w:rsidRDefault="00A01C74" w:rsidRPr="00FA472B">
            <w:pPr>
              <w:jc w:val="right"/>
              <w:rPr>
                <w:color w:val="000000"/>
                <w:kern w:val="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2631"/>
            <w:vAlign w:val="center"/>
          </w:tcPr>
          <w:p w:rsidP="00202439" w:rsidR="00A01C74" w:rsidRDefault="00A01C74" w:rsidRPr="00FA472B">
            <w:pPr>
              <w:jc w:val="right"/>
              <w:rPr>
                <w:color w:val="000000"/>
                <w:kern w:val="0"/>
                <w:sz w:val="24"/>
              </w:rPr>
            </w:pPr>
            <w:r w:rsidRPr="00FA472B">
              <w:rPr>
                <w:color w:val="000000"/>
                <w:sz w:val="24"/>
              </w:rPr>
              <w:t>-</w:t>
            </w:r>
          </w:p>
        </w:tc>
      </w:tr>
      <w:tr w:rsidR="00A01C74" w:rsidRPr="00E90B39" w:rsidTr="004E70B7">
        <w:tc>
          <w:tcPr>
            <w:tcW w:type="dxa" w:w="3167"/>
            <w:vAlign w:val="center"/>
          </w:tcPr>
          <w:p w:rsidP="00202439" w:rsidR="00A01C74" w:rsidRDefault="00A01C74" w:rsidRPr="00FA472B">
            <w:pPr>
              <w:adjustRightInd w:val="0"/>
              <w:snapToGrid w:val="0"/>
              <w:spacing w:line="360" w:lineRule="exact"/>
              <w:rPr>
                <w:color w:val="000000"/>
                <w:sz w:val="24"/>
              </w:rPr>
            </w:pPr>
            <w:r w:rsidRPr="003B42FF">
              <w:rPr>
                <w:rFonts w:eastAsiaTheme="minorEastAsia"/>
                <w:color w:themeColor="text1" w:val="000000"/>
                <w:kern w:val="0"/>
                <w:sz w:val="24"/>
              </w:rPr>
              <w:t/>
            </w:r>
            <w:proofErr w:type="spellStart"/>
            <w:r w:rsidRPr="003B42FF">
              <w:rPr>
                <w:rFonts w:eastAsiaTheme="minorEastAsia"/>
                <w:color w:themeColor="text1" w:val="000000"/>
                <w:kern w:val="0"/>
                <w:sz w:val="24"/>
              </w:rPr>
              <w:t/>
            </w:r>
            <w:r>
              <w:rPr>
                <w:color w:val="000000"/>
                <w:kern w:val="0"/>
                <w:sz w:val="24"/>
              </w:rPr>
              <w:t/>
            </w:r>
            <w:proofErr w:type="spellEnd"/>
            <w:r w:rsidRPr="003B42FF">
              <w:rPr>
                <w:rFonts w:eastAsiaTheme="minorEastAsia"/>
                <w:color w:themeColor="text1" w:val="000000"/>
                <w:kern w:val="0"/>
                <w:sz w:val="24"/>
              </w:rPr>
              <w:t>报告期</w:t>
            </w:r>
            <w:r w:rsidRPr="00FA472B">
              <w:rPr>
                <w:color w:val="000000"/>
                <w:kern w:val="0"/>
                <w:sz w:val="24"/>
              </w:rPr>
              <w:t>期间</w:t>
            </w:r>
            <w:r w:rsidRPr="00FA472B">
              <w:rPr>
                <w:color w:val="000000"/>
                <w:sz w:val="24"/>
              </w:rPr>
              <w:t>卖出</w:t>
            </w:r>
            <w:r w:rsidRPr="00FA472B">
              <w:rPr>
                <w:color w:val="000000"/>
                <w:sz w:val="24"/>
              </w:rPr>
              <w:t>/</w:t>
            </w:r>
            <w:r w:rsidRPr="00FA472B">
              <w:rPr>
                <w:color w:val="000000"/>
                <w:sz w:val="24"/>
              </w:rPr>
              <w:t>赎回总份额</w:t>
            </w:r>
          </w:p>
        </w:tc>
        <w:tc>
          <w:tcPr>
            <w:tcW w:type="dxa" w:w="2616"/>
            <w:vAlign w:val="center"/>
          </w:tcPr>
          <w:p w:rsidP="00202439" w:rsidR="00A01C74" w:rsidRDefault="00A01C74" w:rsidRPr="00FA472B">
            <w:pPr>
              <w:jc w:val="right"/>
              <w:rPr>
                <w:color w:val="000000"/>
                <w:kern w:val="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2631"/>
            <w:vAlign w:val="center"/>
          </w:tcPr>
          <w:p w:rsidP="00202439" w:rsidR="00A01C74" w:rsidRDefault="00A01C74" w:rsidRPr="00FA472B">
            <w:pPr>
              <w:jc w:val="right"/>
              <w:rPr>
                <w:color w:val="000000"/>
                <w:kern w:val="0"/>
                <w:sz w:val="24"/>
              </w:rPr>
            </w:pPr>
            <w:r w:rsidRPr="00FA472B">
              <w:rPr>
                <w:color w:val="000000"/>
                <w:sz w:val="24"/>
              </w:rPr>
              <w:t>-</w:t>
            </w:r>
          </w:p>
        </w:tc>
      </w:tr>
      <w:tr w:rsidR="00A01C74" w:rsidRPr="00E90B39" w:rsidTr="004E70B7">
        <w:tc>
          <w:tcPr>
            <w:tcW w:type="dxa" w:w="3167"/>
            <w:vAlign w:val="center"/>
          </w:tcPr>
          <w:p w:rsidP="00202439" w:rsidR="00A01C74" w:rsidRDefault="00A01C74" w:rsidRPr="00FA472B">
            <w:pPr>
              <w:adjustRightInd w:val="0"/>
              <w:snapToGrid w:val="0"/>
              <w:spacing w:line="360" w:lineRule="exact"/>
              <w:rPr>
                <w:color w:val="000000"/>
                <w:sz w:val="24"/>
              </w:rPr>
            </w:pPr>
            <w:r w:rsidRPr="00FA472B">
              <w:rPr>
                <w:color w:val="000000"/>
                <w:sz w:val="24"/>
              </w:rPr>
              <w:t>报告期期末管理人持有的本基金份额</w:t>
            </w:r>
          </w:p>
        </w:tc>
        <w:tc>
          <w:tcPr>
            <w:tcW w:type="dxa" w:w="2616"/>
            <w:vAlign w:val="center"/>
          </w:tcPr>
          <w:p w:rsidP="00202439" w:rsidR="00A01C74" w:rsidRDefault="00A01C74" w:rsidRPr="00FA472B">
            <w:pPr>
              <w:jc w:val="right"/>
              <w:rPr>
                <w:sz w:val="24"/>
              </w:rPr>
            </w:pPr>
            <w:r w:rsidRPr="00FA472B">
              <w:rPr>
                <w:color w:val="000000"/>
                <w:sz w:val="24"/>
              </w:rPr>
              <w:t/>
            </w:r>
            <w:proofErr w:type="spellStart"/>
            <w:r w:rsidRPr="00FA472B">
              <w:rPr>
                <w:color w:val="000000"/>
                <w:sz w:val="24"/>
              </w:rPr>
              <w:t/>
            </w:r>
            <w:proofErr w:type="spellEnd"/>
            <w:r w:rsidRPr="00FA472B">
              <w:rPr>
                <w:color w:val="000000"/>
                <w:sz w:val="24"/>
              </w:rPr>
              <w:t>10,000,500.00</w:t>
            </w:r>
          </w:p>
        </w:tc>
        <w:tc>
          <w:tcPr>
            <w:tcW w:type="dxa" w:w="2631"/>
            <w:vAlign w:val="center"/>
          </w:tcPr>
          <w:p w:rsidP="00202439" w:rsidR="00A01C74" w:rsidRDefault="00A01C74" w:rsidRPr="00FA472B">
            <w:pPr>
              <w:jc w:val="right"/>
              <w:rPr>
                <w:sz w:val="24"/>
              </w:rPr>
            </w:pPr>
            <w:r w:rsidRPr="00FA472B">
              <w:rPr>
                <w:color w:val="000000"/>
                <w:sz w:val="24"/>
              </w:rPr>
              <w:t>-</w:t>
            </w:r>
          </w:p>
        </w:tc>
      </w:tr>
      <w:tr w:rsidR="00A01C74" w:rsidRPr="00E90B39" w:rsidTr="004E70B7">
        <w:tc>
          <w:tcPr>
            <w:tcW w:type="dxa" w:w="3167"/>
            <w:vAlign w:val="center"/>
          </w:tcPr>
          <w:p w:rsidP="00202439" w:rsidR="00A01C74" w:rsidRDefault="00A01C74" w:rsidRPr="00FA472B">
            <w:pPr>
              <w:adjustRightInd w:val="0"/>
              <w:snapToGrid w:val="0"/>
              <w:spacing w:line="360" w:lineRule="exact"/>
              <w:rPr>
                <w:color w:val="000000"/>
                <w:sz w:val="24"/>
              </w:rPr>
            </w:pPr>
            <w:r w:rsidRPr="00FA472B">
              <w:rPr>
                <w:color w:val="000000"/>
                <w:sz w:val="24"/>
              </w:rPr>
              <w:t>报告期期末持有的本基金份额占基金总份额比例（</w:t>
            </w:r>
            <w:r w:rsidRPr="00FA472B">
              <w:rPr>
                <w:color w:val="000000"/>
                <w:sz w:val="24"/>
              </w:rPr>
              <w:t>%</w:t>
            </w:r>
            <w:r w:rsidRPr="00FA472B">
              <w:rPr>
                <w:color w:val="000000"/>
                <w:sz w:val="24"/>
              </w:rPr>
              <w:t>）</w:t>
            </w:r>
          </w:p>
        </w:tc>
        <w:tc>
          <w:tcPr>
            <w:tcW w:type="dxa" w:w="2616"/>
            <w:vAlign w:val="center"/>
          </w:tcPr>
          <w:p w:rsidP="00202439" w:rsidR="00A01C74" w:rsidRDefault="00A01C74" w:rsidRPr="00FA472B">
            <w:pPr>
              <w:jc w:val="right"/>
              <w:rPr>
                <w:color w:val="000000"/>
                <w:kern w:val="0"/>
                <w:sz w:val="24"/>
              </w:rPr>
            </w:pPr>
            <w:r w:rsidRPr="00FA472B">
              <w:rPr>
                <w:color w:val="000000"/>
                <w:sz w:val="24"/>
              </w:rPr>
              <w:t>3.2301</w:t>
            </w:r>
          </w:p>
        </w:tc>
        <w:tc>
          <w:tcPr>
            <w:tcW w:type="dxa" w:w="2631"/>
            <w:vAlign w:val="center"/>
          </w:tcPr>
          <w:p w:rsidP="00202439" w:rsidR="00A01C74" w:rsidRDefault="00A01C74" w:rsidRPr="00FA472B">
            <w:pPr>
              <w:jc w:val="right"/>
              <w:rPr>
                <w:color w:val="000000"/>
                <w:kern w:val="0"/>
                <w:sz w:val="24"/>
              </w:rPr>
            </w:pPr>
            <w:r w:rsidRPr="00FA472B">
              <w:rPr>
                <w:color w:val="000000"/>
                <w:sz w:val="24"/>
              </w:rPr>
              <w:t>-</w:t>
            </w:r>
          </w:p>
        </w:tc>
      </w:tr>
    </w:tbl>
    <w:p w:rsidP="00C544B8" w:rsidR="00617125" w:rsidRDefault="00617125" w:rsidRPr="00B34368">
      <w:pPr>
        <w:spacing w:before="312" w:beforeLines="100" w:line="360" w:lineRule="auto"/>
        <w:jc w:val="left"/>
        <w:rPr>
          <w:rFonts w:eastAsiaTheme="minorEastAsia"/>
          <w:color w:themeColor="text1" w:val="000000"/>
          <w:sz w:val="24"/>
        </w:rPr>
      </w:pPr>
      <w:r w:rsidRPr="00B34368">
        <w:rPr>
          <w:rFonts w:eastAsiaTheme="minorEastAsia"/>
          <w:b/>
          <w:color w:themeColor="text1" w:val="000000"/>
          <w:sz w:val="24"/>
        </w:rPr>
        <w:t/>
      </w:r>
      <w:proofErr w:type="spellStart"/>
      <w:r w:rsidRPr="00B34368">
        <w:rPr>
          <w:rFonts w:eastAsiaTheme="minorEastAsia"/>
          <w:b/>
          <w:color w:themeColor="text1" w:val="000000"/>
          <w:sz w:val="24"/>
        </w:rPr>
        <w:t/>
      </w:r>
      <w:proofErr w:type="spellEnd"/>
      <w:r w:rsidRPr="00B34368">
        <w:rPr>
          <w:rFonts w:eastAsiaTheme="minorEastAsia"/>
          <w:b/>
          <w:color w:themeColor="text1" w:val="000000"/>
          <w:sz w:val="24"/>
        </w:rPr>
        <w:t/>
      </w:r>
      <w:proofErr w:type="gramStart"/>
      <w:r w:rsidRPr="00B34368">
        <w:rPr>
          <w:rFonts w:eastAsiaTheme="minorEastAsia"/>
          <w:b/>
          <w:color w:themeColor="text1" w:val="000000"/>
          <w:sz w:val="24"/>
        </w:rPr>
        <w:t/>
      </w:r>
      <w:proofErr w:type="gramEnd"/>
      <w:r w:rsidRPr="00B34368">
        <w:rPr>
          <w:rFonts w:eastAsiaTheme="minorEastAsia"/>
          <w:b/>
          <w:color w:themeColor="text1" w:val="000000"/>
          <w:sz w:val="24"/>
        </w:rPr>
        <w:t xml:space="preserve">7.2 </w:t>
      </w:r>
      <w:r w:rsidRPr="00B34368">
        <w:rPr>
          <w:rFonts w:eastAsiaTheme="minorEastAsia" w:hAnsiTheme="minorEastAsia"/>
          <w:b/>
          <w:color w:themeColor="text1" w:val="000000"/>
          <w:sz w:val="24"/>
        </w:rPr>
        <w:t>基金管理人运用固有资金投资本基金交易明细</w:t>
      </w:r>
    </w:p>
    <w:p w:rsidP="00B34368" w:rsidR="00617125" w:rsidRDefault="00617125"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本报告期内基金管理人未运用固有资金申购、赎回、买卖本基金份额。</w:t>
      </w:r>
    </w:p>
    <w:p w:rsidP="00C544B8" w:rsidR="00B47574" w:rsidRDefault="006B046C" w:rsidRPr="00B34368">
      <w:pPr>
        <w:pStyle w:val="1"/>
        <w:spacing w:after="312" w:afterLines="100" w:before="312" w:beforeLines="100" w:line="360" w:lineRule="auto"/>
        <w:jc w:val="center"/>
        <w:rPr>
          <w:rFonts w:eastAsiaTheme="minorEastAsia"/>
          <w:b w:val="0"/>
          <w:color w:themeColor="text1" w:val="000000"/>
          <w:sz w:val="24"/>
          <w:szCs w:val="24"/>
        </w:rPr>
      </w:pPr>
      <w:r w:rsidRPr="00B34368">
        <w:rPr>
          <w:rFonts w:eastAsiaTheme="minorEastAsia"/>
          <w:color w:themeColor="text1" w:val="000000"/>
          <w:kern w:val="0"/>
          <w:sz w:val="24"/>
          <w:szCs w:val="24"/>
        </w:rPr>
        <w:t/>
      </w:r>
      <w:proofErr w:type="spellStart"/>
      <w:r w:rsidRPr="00B34368">
        <w:rPr>
          <w:rFonts w:eastAsiaTheme="minorEastAsia"/>
          <w:color w:themeColor="text1" w:val="000000"/>
          <w:kern w:val="0"/>
          <w:sz w:val="24"/>
          <w:szCs w:val="24"/>
        </w:rPr>
        <w:t/>
      </w:r>
      <w:proofErr w:type="spellEnd"/>
      <w:r w:rsidRPr="00B34368">
        <w:rPr>
          <w:rFonts w:eastAsiaTheme="minorEastAsia"/>
          <w:color w:themeColor="text1" w:val="000000"/>
          <w:kern w:val="0"/>
          <w:sz w:val="24"/>
          <w:szCs w:val="24"/>
        </w:rPr>
        <w:t/>
      </w:r>
      <w:r w:rsidR="00B47574" w:rsidRPr="00B34368">
        <w:rPr>
          <w:rFonts w:eastAsiaTheme="minorEastAsia"/>
          <w:color w:themeColor="text1" w:val="000000"/>
          <w:kern w:val="0"/>
          <w:sz w:val="24"/>
          <w:szCs w:val="24"/>
        </w:rPr>
        <w:t>§</w:t>
      </w:r>
      <w:r w:rsidR="00D66685" w:rsidRPr="00B34368">
        <w:rPr>
          <w:rFonts w:eastAsiaTheme="minorEastAsia"/>
          <w:color w:themeColor="text1" w:val="000000"/>
          <w:kern w:val="0"/>
          <w:sz w:val="24"/>
          <w:szCs w:val="24"/>
        </w:rPr>
        <w:t/>
      </w:r>
      <w:r w:rsidR="00B47574" w:rsidRPr="00B34368">
        <w:rPr>
          <w:rFonts w:eastAsiaTheme="minorEastAsia"/>
          <w:color w:themeColor="text1" w:val="000000"/>
          <w:kern w:val="0"/>
          <w:sz w:val="24"/>
          <w:szCs w:val="24"/>
        </w:rPr>
        <w:t xml:space="preserve">8  </w:t>
      </w:r>
      <w:r w:rsidR="00EA7533" w:rsidRPr="00B34368">
        <w:rPr>
          <w:rFonts w:eastAsiaTheme="minorEastAsia" w:hAnsiTheme="minorEastAsia"/>
          <w:color w:themeColor="text1" w:val="000000"/>
          <w:kern w:val="0"/>
          <w:sz w:val="24"/>
          <w:szCs w:val="24"/>
        </w:rPr>
        <w:t>报告期末</w:t>
      </w:r>
      <w:r w:rsidR="00B47574" w:rsidRPr="00B34368">
        <w:rPr>
          <w:rFonts w:eastAsiaTheme="minorEastAsia" w:hAnsiTheme="minorEastAsia"/>
          <w:color w:themeColor="text1" w:val="000000"/>
          <w:kern w:val="0"/>
          <w:sz w:val="24"/>
          <w:szCs w:val="24"/>
        </w:rPr>
        <w:t>发起</w:t>
      </w:r>
      <w:proofErr w:type="gramStart"/>
      <w:r w:rsidR="00B47574" w:rsidRPr="00B34368">
        <w:rPr>
          <w:rFonts w:eastAsiaTheme="minorEastAsia" w:hAnsiTheme="minorEastAsia"/>
          <w:color w:themeColor="text1" w:val="000000"/>
          <w:kern w:val="0"/>
          <w:sz w:val="24"/>
          <w:szCs w:val="24"/>
        </w:rPr>
        <w:t>式基金</w:t>
      </w:r>
      <w:proofErr w:type="gramEnd"/>
      <w:r w:rsidR="00B47574" w:rsidRPr="00B34368">
        <w:rPr>
          <w:rFonts w:eastAsiaTheme="minorEastAsia" w:hAnsiTheme="minorEastAsia"/>
          <w:color w:themeColor="text1" w:val="000000"/>
          <w:kern w:val="0"/>
          <w:sz w:val="24"/>
          <w:szCs w:val="24"/>
        </w:rPr>
        <w:t>发起资金持有份额情况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2391"/>
        <w:gridCol w:w="1157"/>
        <w:gridCol w:w="1314"/>
        <w:gridCol w:w="1065"/>
        <w:gridCol w:w="1458"/>
        <w:gridCol w:w="1495"/>
      </w:tblGrid>
      <w:tr w:rsidR="00D3639B" w:rsidRPr="00B34368" w:rsidTr="004E70B7">
        <w:trPr>
          <w:trHeight w:val="543"/>
        </w:trPr>
        <w:tc>
          <w:tcPr>
            <w:tcW w:type="dxa" w:w="2391"/>
            <w:vAlign w:val="center"/>
            <w:hideMark/>
          </w:tcPr>
          <w:p w:rsidP="00973B57" w:rsidR="00B47574" w:rsidRDefault="00B47574" w:rsidRPr="00B34368">
            <w:pPr>
              <w:widowControl/>
              <w:jc w:val="left"/>
              <w:rPr>
                <w:rFonts w:eastAsiaTheme="minorEastAsia"/>
                <w:color w:themeColor="text1" w:val="000000"/>
                <w:sz w:val="24"/>
              </w:rPr>
            </w:pPr>
            <w:r w:rsidRPr="00B34368">
              <w:rPr>
                <w:rFonts w:eastAsiaTheme="minorEastAsia" w:hAnsiTheme="minorEastAsia"/>
                <w:color w:themeColor="text1" w:val="000000"/>
                <w:sz w:val="24"/>
              </w:rPr>
              <w:t>项目</w:t>
            </w:r>
            <w:r w:rsidR="00FB6808" w:rsidRPr="00B34368">
              <w:rPr>
                <w:rFonts w:eastAsiaTheme="minorEastAsia"/>
                <w:color w:themeColor="text1" w:val="000000"/>
                <w:sz w:val="24"/>
              </w:rPr>
              <w:t/>
            </w:r>
            <w:proofErr w:type="spellStart"/>
            <w:r w:rsidR="00FB6808" w:rsidRPr="00B34368">
              <w:rPr>
                <w:rFonts w:eastAsiaTheme="minorEastAsia"/>
                <w:color w:themeColor="text1" w:val="000000"/>
                <w:sz w:val="24"/>
              </w:rPr>
              <w:t/>
            </w:r>
            <w:proofErr w:type="spellEnd"/>
            <w:r w:rsidR="00FB6808" w:rsidRPr="00B34368">
              <w:rPr>
                <w:rFonts w:eastAsiaTheme="minorEastAsia"/>
                <w:color w:themeColor="text1" w:val="000000"/>
                <w:sz w:val="24"/>
              </w:rPr>
              <w:t/>
            </w:r>
            <w:r w:rsidR="00FC60F6" w:rsidRPr="00B34368">
              <w:rPr>
                <w:rFonts w:eastAsiaTheme="minorEastAsia"/>
                <w:color w:themeColor="text1" w:val="000000"/>
                <w:sz w:val="24"/>
              </w:rPr>
              <w:t/>
            </w:r>
            <w:proofErr w:type="spellStart"/>
            <w:r w:rsidR="00FC60F6" w:rsidRPr="00B34368">
              <w:rPr>
                <w:rFonts w:eastAsiaTheme="minorEastAsia"/>
                <w:color w:themeColor="text1" w:val="000000"/>
                <w:sz w:val="24"/>
              </w:rPr>
              <w:t/>
            </w:r>
            <w:proofErr w:type="spellEnd"/>
            <w:r w:rsidR="00FC60F6" w:rsidRPr="00B34368">
              <w:rPr>
                <w:rFonts w:eastAsiaTheme="minorEastAsia"/>
                <w:color w:themeColor="text1" w:val="000000"/>
                <w:sz w:val="24"/>
              </w:rPr>
              <w:t/>
            </w:r>
          </w:p>
        </w:tc>
        <w:tc>
          <w:tcPr>
            <w:tcW w:type="dxa" w:w="1157"/>
            <w:hideMark/>
          </w:tcPr>
          <w:p w:rsidP="00973B57" w:rsidR="00B47574" w:rsidRDefault="00B47574" w:rsidRPr="00B34368">
            <w:pPr>
              <w:adjustRightInd w:val="0"/>
              <w:snapToGrid w:val="0"/>
              <w:spacing w:line="360" w:lineRule="exact"/>
              <w:rPr>
                <w:rFonts w:eastAsiaTheme="minorEastAsia"/>
                <w:color w:themeColor="text1" w:val="000000"/>
                <w:sz w:val="24"/>
              </w:rPr>
            </w:pPr>
            <w:r w:rsidRPr="00B34368">
              <w:rPr>
                <w:rFonts w:eastAsiaTheme="minorEastAsia" w:hAnsiTheme="minorEastAsia"/>
                <w:color w:themeColor="text1" w:val="000000"/>
                <w:sz w:val="24"/>
              </w:rPr>
              <w:t>持有份额总数</w:t>
            </w:r>
          </w:p>
        </w:tc>
        <w:tc>
          <w:tcPr>
            <w:tcW w:type="dxa" w:w="1314"/>
            <w:hideMark/>
          </w:tcPr>
          <w:p w:rsidP="00973B57" w:rsidR="00B47574" w:rsidRDefault="00B47574" w:rsidRPr="00B34368">
            <w:pPr>
              <w:adjustRightInd w:val="0"/>
              <w:snapToGrid w:val="0"/>
              <w:spacing w:line="360" w:lineRule="exact"/>
              <w:rPr>
                <w:rFonts w:eastAsiaTheme="minorEastAsia"/>
                <w:color w:themeColor="text1" w:val="000000"/>
                <w:sz w:val="24"/>
              </w:rPr>
            </w:pPr>
            <w:r w:rsidRPr="00B34368">
              <w:rPr>
                <w:rFonts w:eastAsiaTheme="minorEastAsia" w:hAnsiTheme="minorEastAsia"/>
                <w:color w:themeColor="text1" w:val="000000"/>
                <w:sz w:val="24"/>
              </w:rPr>
              <w:t>持有份额占基金总份额比例</w:t>
            </w:r>
          </w:p>
        </w:tc>
        <w:tc>
          <w:tcPr>
            <w:tcW w:type="dxa" w:w="1065"/>
            <w:hideMark/>
          </w:tcPr>
          <w:p w:rsidP="00973B57" w:rsidR="00B47574" w:rsidRDefault="00B47574" w:rsidRPr="00B34368">
            <w:pPr>
              <w:adjustRightInd w:val="0"/>
              <w:snapToGrid w:val="0"/>
              <w:spacing w:line="360" w:lineRule="exact"/>
              <w:rPr>
                <w:rFonts w:eastAsiaTheme="minorEastAsia"/>
                <w:color w:themeColor="text1" w:val="000000"/>
                <w:sz w:val="24"/>
              </w:rPr>
            </w:pPr>
            <w:r w:rsidRPr="00B34368">
              <w:rPr>
                <w:rFonts w:eastAsiaTheme="minorEastAsia" w:hAnsiTheme="minorEastAsia"/>
                <w:color w:themeColor="text1" w:val="000000"/>
                <w:sz w:val="24"/>
              </w:rPr>
              <w:t>发起份额总数</w:t>
            </w:r>
          </w:p>
        </w:tc>
        <w:tc>
          <w:tcPr>
            <w:tcW w:type="dxa" w:w="1458"/>
            <w:hideMark/>
          </w:tcPr>
          <w:p w:rsidP="00973B57" w:rsidR="00B47574" w:rsidRDefault="00B47574" w:rsidRPr="00B34368">
            <w:pPr>
              <w:adjustRightInd w:val="0"/>
              <w:snapToGrid w:val="0"/>
              <w:spacing w:line="360" w:lineRule="exact"/>
              <w:rPr>
                <w:rFonts w:eastAsiaTheme="minorEastAsia"/>
                <w:color w:themeColor="text1" w:val="000000"/>
                <w:sz w:val="24"/>
              </w:rPr>
            </w:pPr>
            <w:r w:rsidRPr="00B34368">
              <w:rPr>
                <w:rFonts w:eastAsiaTheme="minorEastAsia" w:hAnsiTheme="minorEastAsia"/>
                <w:color w:themeColor="text1" w:val="000000"/>
                <w:sz w:val="24"/>
              </w:rPr>
              <w:t>发起份额占基金总份额比例</w:t>
            </w:r>
          </w:p>
        </w:tc>
        <w:tc>
          <w:tcPr>
            <w:tcW w:type="dxa" w:w="1495"/>
            <w:hideMark/>
          </w:tcPr>
          <w:p w:rsidP="00973B57" w:rsidR="00B47574" w:rsidRDefault="00B47574" w:rsidRPr="00B34368">
            <w:pPr>
              <w:widowControl/>
              <w:jc w:val="left"/>
              <w:rPr>
                <w:rFonts w:eastAsiaTheme="minorEastAsia"/>
                <w:color w:themeColor="text1" w:val="000000"/>
                <w:sz w:val="24"/>
              </w:rPr>
            </w:pPr>
            <w:r w:rsidRPr="00B34368">
              <w:rPr>
                <w:rFonts w:eastAsiaTheme="minorEastAsia" w:hAnsiTheme="minorEastAsia"/>
                <w:color w:themeColor="text1" w:val="000000"/>
                <w:sz w:val="24"/>
              </w:rPr>
              <w:t>发起份额承诺持有期限</w:t>
            </w:r>
          </w:p>
        </w:tc>
      </w:tr>
      <w:tr w:rsidR="00D3639B" w:rsidRPr="00B34368" w:rsidTr="004E70B7">
        <w:tc>
          <w:tcPr>
            <w:tcW w:type="dxa" w:w="2391"/>
            <w:hideMark/>
          </w:tcPr>
          <w:p w:rsidP="00973B57" w:rsidR="00B47574" w:rsidRDefault="00B47574" w:rsidRPr="00B34368">
            <w:pPr>
              <w:adjustRightInd w:val="0"/>
              <w:snapToGrid w:val="0"/>
              <w:spacing w:line="360" w:lineRule="exact"/>
              <w:rPr>
                <w:rFonts w:eastAsiaTheme="minorEastAsia"/>
                <w:color w:themeColor="text1" w:val="000000"/>
                <w:sz w:val="24"/>
              </w:rPr>
            </w:pPr>
            <w:r w:rsidRPr="00B34368">
              <w:rPr>
                <w:rFonts w:eastAsiaTheme="minorEastAsia" w:hAnsiTheme="minorEastAsia"/>
                <w:color w:themeColor="text1" w:val="000000"/>
                <w:sz w:val="24"/>
              </w:rPr>
              <w:t>基金管理人</w:t>
            </w:r>
            <w:proofErr w:type="gramStart"/>
            <w:r w:rsidRPr="00B34368">
              <w:rPr>
                <w:rFonts w:eastAsiaTheme="minorEastAsia" w:hAnsiTheme="minorEastAsia"/>
                <w:color w:themeColor="text1" w:val="000000"/>
                <w:sz w:val="24"/>
              </w:rPr>
              <w:t>固有资金</w:t>
            </w:r>
            <w:proofErr w:type="gramEnd"/>
          </w:p>
        </w:tc>
        <w:tc>
          <w:tcPr>
            <w:tcW w:type="dxa" w:w="1157"/>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10,000,500.00</w:t>
            </w:r>
          </w:p>
        </w:tc>
        <w:tc>
          <w:tcPr>
            <w:tcW w:type="dxa" w:w="1314"/>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2.0474%</w:t>
            </w:r>
          </w:p>
        </w:tc>
        <w:tc>
          <w:tcPr>
            <w:tcW w:type="dxa" w:w="1065"/>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10,000,500.00</w:t>
            </w:r>
          </w:p>
        </w:tc>
        <w:tc>
          <w:tcPr>
            <w:tcW w:type="dxa" w:w="1458"/>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2.0474%</w:t>
            </w:r>
          </w:p>
        </w:tc>
        <w:tc>
          <w:tcPr>
            <w:tcW w:type="dxa" w:w="1495"/>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不少于3年</w:t>
            </w:r>
          </w:p>
        </w:tc>
      </w:tr>
      <w:tr w:rsidR="00D3639B" w:rsidRPr="00B34368" w:rsidTr="004E70B7">
        <w:trPr>
          <w:trHeight w:val="790"/>
        </w:trPr>
        <w:tc>
          <w:tcPr>
            <w:tcW w:type="dxa" w:w="2391"/>
            <w:hideMark/>
          </w:tcPr>
          <w:p w:rsidP="00973B57" w:rsidR="00B47574" w:rsidRDefault="00B47574" w:rsidRPr="00B34368">
            <w:pPr>
              <w:adjustRightInd w:val="0"/>
              <w:snapToGrid w:val="0"/>
              <w:spacing w:line="360" w:lineRule="exact"/>
              <w:rPr>
                <w:rFonts w:eastAsiaTheme="minorEastAsia"/>
                <w:color w:themeColor="text1" w:val="000000"/>
                <w:sz w:val="24"/>
              </w:rPr>
            </w:pPr>
            <w:r w:rsidRPr="00B34368">
              <w:rPr>
                <w:rFonts w:eastAsiaTheme="minorEastAsia" w:hAnsiTheme="minorEastAsia"/>
                <w:color w:themeColor="text1" w:val="000000"/>
                <w:sz w:val="24"/>
              </w:rPr>
              <w:t>基金管理人高级管理人员</w:t>
            </w:r>
          </w:p>
        </w:tc>
        <w:tc>
          <w:tcPr>
            <w:tcW w:type="dxa" w:w="1157"/>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w:t>
            </w:r>
          </w:p>
        </w:tc>
        <w:tc>
          <w:tcPr>
            <w:tcW w:type="dxa" w:w="1314"/>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w:t>
            </w:r>
          </w:p>
        </w:tc>
        <w:tc>
          <w:tcPr>
            <w:tcW w:type="dxa" w:w="1065"/>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w:t>
            </w:r>
          </w:p>
        </w:tc>
        <w:tc>
          <w:tcPr>
            <w:tcW w:type="dxa" w:w="1458"/>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w:t>
            </w:r>
          </w:p>
        </w:tc>
        <w:tc>
          <w:tcPr>
            <w:tcW w:type="dxa" w:w="1495"/>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w:t>
            </w:r>
          </w:p>
        </w:tc>
      </w:tr>
      <w:tr w:rsidR="00D3639B" w:rsidRPr="00B34368" w:rsidTr="004E70B7">
        <w:tc>
          <w:tcPr>
            <w:tcW w:type="dxa" w:w="2391"/>
            <w:hideMark/>
          </w:tcPr>
          <w:p w:rsidP="00973B57" w:rsidR="00B47574" w:rsidRDefault="00B47574" w:rsidRPr="00B34368">
            <w:pPr>
              <w:adjustRightInd w:val="0"/>
              <w:snapToGrid w:val="0"/>
              <w:spacing w:line="360" w:lineRule="exact"/>
              <w:jc w:val="left"/>
              <w:rPr>
                <w:rFonts w:eastAsiaTheme="minorEastAsia"/>
                <w:color w:themeColor="text1" w:val="000000"/>
                <w:sz w:val="24"/>
              </w:rPr>
            </w:pPr>
            <w:r w:rsidRPr="00B34368">
              <w:rPr>
                <w:rFonts w:eastAsiaTheme="minorEastAsia" w:hAnsiTheme="minorEastAsia"/>
                <w:color w:themeColor="text1" w:val="000000"/>
                <w:sz w:val="24"/>
              </w:rPr>
              <w:t>基金经理等人员</w:t>
            </w:r>
          </w:p>
        </w:tc>
        <w:tc>
          <w:tcPr>
            <w:tcW w:type="dxa" w:w="1157"/>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
            </w:r>
            <w:r w:rsidRPr="00B34368">
              <w:rPr>
                <w:rFonts w:eastAsiaTheme="minorEastAsia"/>
                <w:color w:themeColor="text1" w:val="000000"/>
                <w:kern w:val="0"/>
                <w:sz w:val="24"/>
              </w:rPr>
              <w:lastRenderedPageBreak/>
              <w:t>-</w:t>
            </w:r>
          </w:p>
        </w:tc>
        <w:tc>
          <w:tcPr>
            <w:tcW w:type="dxa" w:w="1314"/>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lastRenderedPageBreak/>
              <w:t/>
            </w:r>
            <w:r w:rsidRPr="00B34368">
              <w:rPr>
                <w:rFonts w:eastAsiaTheme="minorEastAsia"/>
                <w:color w:themeColor="text1" w:val="000000"/>
                <w:kern w:val="0"/>
                <w:sz w:val="24"/>
              </w:rPr>
              <w:lastRenderedPageBreak/>
              <w:t>-</w:t>
            </w:r>
          </w:p>
        </w:tc>
        <w:tc>
          <w:tcPr>
            <w:tcW w:type="dxa" w:w="1065"/>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lastRenderedPageBreak/>
              <w:t/>
            </w:r>
            <w:r w:rsidRPr="00B34368">
              <w:rPr>
                <w:rFonts w:eastAsiaTheme="minorEastAsia"/>
                <w:color w:themeColor="text1" w:val="000000"/>
                <w:kern w:val="0"/>
                <w:sz w:val="24"/>
              </w:rPr>
              <w:lastRenderedPageBreak/>
              <w:t>-</w:t>
            </w:r>
          </w:p>
        </w:tc>
        <w:tc>
          <w:tcPr>
            <w:tcW w:type="dxa" w:w="1458"/>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lastRenderedPageBreak/>
              <w:t/>
            </w:r>
            <w:r w:rsidRPr="00B34368">
              <w:rPr>
                <w:rFonts w:eastAsiaTheme="minorEastAsia"/>
                <w:color w:themeColor="text1" w:val="000000"/>
                <w:kern w:val="0"/>
                <w:sz w:val="24"/>
              </w:rPr>
              <w:lastRenderedPageBreak/>
              <w:t>-</w:t>
            </w:r>
          </w:p>
        </w:tc>
        <w:tc>
          <w:tcPr>
            <w:tcW w:type="dxa" w:w="1495"/>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lastRenderedPageBreak/>
              <w:t/>
            </w:r>
            <w:r w:rsidRPr="00B34368">
              <w:rPr>
                <w:rFonts w:eastAsiaTheme="minorEastAsia"/>
                <w:color w:themeColor="text1" w:val="000000"/>
                <w:kern w:val="0"/>
                <w:sz w:val="24"/>
              </w:rPr>
              <w:lastRenderedPageBreak/>
              <w:t>-</w:t>
            </w:r>
          </w:p>
        </w:tc>
      </w:tr>
      <w:tr w:rsidR="00D3639B" w:rsidRPr="00B34368" w:rsidTr="004E70B7">
        <w:tc>
          <w:tcPr>
            <w:tcW w:type="dxa" w:w="2391"/>
            <w:hideMark/>
          </w:tcPr>
          <w:p w:rsidP="00973B57" w:rsidR="00B47574" w:rsidRDefault="00B47574" w:rsidRPr="00B34368">
            <w:pPr>
              <w:adjustRightInd w:val="0"/>
              <w:snapToGrid w:val="0"/>
              <w:spacing w:line="360" w:lineRule="exact"/>
              <w:jc w:val="left"/>
              <w:rPr>
                <w:rFonts w:eastAsiaTheme="minorEastAsia"/>
                <w:color w:themeColor="text1" w:val="000000"/>
                <w:sz w:val="24"/>
              </w:rPr>
            </w:pPr>
            <w:r w:rsidRPr="00B34368">
              <w:rPr>
                <w:rFonts w:eastAsiaTheme="minorEastAsia" w:hAnsiTheme="minorEastAsia"/>
                <w:color w:themeColor="text1" w:val="000000"/>
                <w:sz w:val="24"/>
              </w:rPr>
              <w:lastRenderedPageBreak/>
              <w:t>基金管理</w:t>
            </w:r>
            <w:proofErr w:type="gramStart"/>
            <w:r w:rsidRPr="00B34368">
              <w:rPr>
                <w:rFonts w:eastAsiaTheme="minorEastAsia" w:hAnsiTheme="minorEastAsia"/>
                <w:color w:themeColor="text1" w:val="000000"/>
                <w:sz w:val="24"/>
              </w:rPr>
              <w:t>人股东</w:t>
            </w:r>
            <w:proofErr w:type="gramEnd"/>
          </w:p>
        </w:tc>
        <w:tc>
          <w:tcPr>
            <w:tcW w:type="dxa" w:w="1157"/>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w:t>
            </w:r>
          </w:p>
        </w:tc>
        <w:tc>
          <w:tcPr>
            <w:tcW w:type="dxa" w:w="1314"/>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w:t>
            </w:r>
          </w:p>
        </w:tc>
        <w:tc>
          <w:tcPr>
            <w:tcW w:type="dxa" w:w="1065"/>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w:t>
            </w:r>
          </w:p>
        </w:tc>
        <w:tc>
          <w:tcPr>
            <w:tcW w:type="dxa" w:w="1458"/>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w:t>
            </w:r>
          </w:p>
        </w:tc>
        <w:tc>
          <w:tcPr>
            <w:tcW w:type="dxa" w:w="1495"/>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w:t>
            </w:r>
          </w:p>
        </w:tc>
      </w:tr>
      <w:tr w:rsidR="00D3639B" w:rsidRPr="00B34368" w:rsidTr="004E70B7">
        <w:tc>
          <w:tcPr>
            <w:tcW w:type="dxa" w:w="2391"/>
            <w:hideMark/>
          </w:tcPr>
          <w:p w:rsidP="00973B57" w:rsidR="00B47574" w:rsidRDefault="00B47574" w:rsidRPr="00B34368">
            <w:pPr>
              <w:adjustRightInd w:val="0"/>
              <w:snapToGrid w:val="0"/>
              <w:spacing w:line="360" w:lineRule="exact"/>
              <w:jc w:val="left"/>
              <w:rPr>
                <w:rFonts w:eastAsiaTheme="minorEastAsia"/>
                <w:color w:themeColor="text1" w:val="000000"/>
                <w:sz w:val="24"/>
              </w:rPr>
            </w:pPr>
            <w:r w:rsidRPr="00B34368">
              <w:rPr>
                <w:rFonts w:eastAsiaTheme="minorEastAsia" w:hAnsiTheme="minorEastAsia"/>
                <w:color w:themeColor="text1" w:val="000000"/>
                <w:sz w:val="24"/>
              </w:rPr>
              <w:t>其他</w:t>
            </w:r>
          </w:p>
        </w:tc>
        <w:tc>
          <w:tcPr>
            <w:tcW w:type="dxa" w:w="1157"/>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w:t>
            </w:r>
          </w:p>
        </w:tc>
        <w:tc>
          <w:tcPr>
            <w:tcW w:type="dxa" w:w="1314"/>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w:t>
            </w:r>
          </w:p>
        </w:tc>
        <w:tc>
          <w:tcPr>
            <w:tcW w:type="dxa" w:w="1065"/>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w:t>
            </w:r>
          </w:p>
        </w:tc>
        <w:tc>
          <w:tcPr>
            <w:tcW w:type="dxa" w:w="1458"/>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w:t>
            </w:r>
          </w:p>
        </w:tc>
        <w:tc>
          <w:tcPr>
            <w:tcW w:type="dxa" w:w="1495"/>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w:t>
            </w:r>
          </w:p>
        </w:tc>
      </w:tr>
      <w:tr w:rsidR="00D3639B" w:rsidRPr="00B34368" w:rsidTr="004E70B7">
        <w:tc>
          <w:tcPr>
            <w:tcW w:type="dxa" w:w="2391"/>
            <w:hideMark/>
          </w:tcPr>
          <w:p w:rsidP="00973B57" w:rsidR="00B47574" w:rsidRDefault="00B47574" w:rsidRPr="00B34368">
            <w:pPr>
              <w:adjustRightInd w:val="0"/>
              <w:snapToGrid w:val="0"/>
              <w:spacing w:line="360" w:lineRule="exact"/>
              <w:jc w:val="left"/>
              <w:rPr>
                <w:rFonts w:eastAsiaTheme="minorEastAsia"/>
                <w:color w:themeColor="text1" w:val="000000"/>
                <w:sz w:val="24"/>
              </w:rPr>
            </w:pPr>
            <w:r w:rsidRPr="00B34368">
              <w:rPr>
                <w:rFonts w:eastAsiaTheme="minorEastAsia" w:hAnsiTheme="minorEastAsia"/>
                <w:color w:themeColor="text1" w:val="000000"/>
                <w:sz w:val="24"/>
              </w:rPr>
              <w:t>合计</w:t>
            </w:r>
          </w:p>
        </w:tc>
        <w:tc>
          <w:tcPr>
            <w:tcW w:type="dxa" w:w="1157"/>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r w:rsidRPr="00B34368">
              <w:rPr>
                <w:rFonts w:eastAsiaTheme="minorEastAsia"/>
                <w:color w:themeColor="text1" w:val="000000"/>
                <w:kern w:val="0"/>
                <w:sz w:val="24"/>
              </w:rPr>
              <w:lastRenderedPageBreak/>
              <w:t/>
            </w:r>
            <w:proofErr w:type="spellEnd"/>
            <w:r w:rsidRPr="00B34368">
              <w:rPr>
                <w:rFonts w:eastAsiaTheme="minorEastAsia"/>
                <w:color w:themeColor="text1" w:val="000000"/>
                <w:kern w:val="0"/>
                <w:sz w:val="24"/>
              </w:rPr>
              <w:t>10,000,500.00</w:t>
            </w:r>
          </w:p>
        </w:tc>
        <w:tc>
          <w:tcPr>
            <w:tcW w:type="dxa" w:w="1314"/>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lastRenderedPageBreak/>
              <w:t/>
            </w:r>
            <w:r w:rsidRPr="00B34368">
              <w:rPr>
                <w:rFonts w:eastAsiaTheme="minorEastAsia"/>
                <w:color w:themeColor="text1" w:val="000000"/>
                <w:kern w:val="0"/>
                <w:sz w:val="24"/>
              </w:rPr>
              <w:lastRenderedPageBreak/>
              <w:t>2.0474%</w:t>
            </w:r>
          </w:p>
        </w:tc>
        <w:tc>
          <w:tcPr>
            <w:tcW w:type="dxa" w:w="1065"/>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lastRenderedPageBreak/>
              <w:t/>
            </w:r>
            <w:proofErr w:type="spellStart"/>
            <w:r w:rsidRPr="00B34368">
              <w:rPr>
                <w:rFonts w:eastAsiaTheme="minorEastAsia"/>
                <w:color w:themeColor="text1" w:val="000000"/>
                <w:kern w:val="0"/>
                <w:sz w:val="24"/>
              </w:rPr>
              <w:t/>
            </w:r>
            <w:r w:rsidRPr="00B34368">
              <w:rPr>
                <w:rFonts w:eastAsiaTheme="minorEastAsia"/>
                <w:color w:themeColor="text1" w:val="000000"/>
                <w:kern w:val="0"/>
                <w:sz w:val="24"/>
              </w:rPr>
              <w:lastRenderedPageBreak/>
              <w:t/>
            </w:r>
            <w:proofErr w:type="spellEnd"/>
            <w:r w:rsidRPr="00B34368">
              <w:rPr>
                <w:rFonts w:eastAsiaTheme="minorEastAsia"/>
                <w:color w:themeColor="text1" w:val="000000"/>
                <w:kern w:val="0"/>
                <w:sz w:val="24"/>
              </w:rPr>
              <w:t>10,000,500.00</w:t>
            </w:r>
          </w:p>
        </w:tc>
        <w:tc>
          <w:tcPr>
            <w:tcW w:type="dxa" w:w="1458"/>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lastRenderedPageBreak/>
              <w:t/>
            </w:r>
            <w:r w:rsidRPr="00B34368">
              <w:rPr>
                <w:rFonts w:eastAsiaTheme="minorEastAsia"/>
                <w:color w:themeColor="text1" w:val="000000"/>
                <w:kern w:val="0"/>
                <w:sz w:val="24"/>
              </w:rPr>
              <w:lastRenderedPageBreak/>
              <w:t>2.0474%</w:t>
            </w:r>
          </w:p>
        </w:tc>
        <w:tc>
          <w:tcPr>
            <w:tcW w:type="dxa" w:w="1495"/>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lastRenderedPageBreak/>
              <w:t>-</w:t>
            </w:r>
          </w:p>
        </w:tc>
      </w:tr>
    </w:tbl>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t>§</w:t>
      </w:r>
      <w:r w:rsidR="00A14399" w:rsidRPr="00B34368">
        <w:rPr>
          <w:rFonts w:eastAsiaTheme="minorEastAsia"/>
          <w:color w:themeColor="text1" w:val="000000"/>
          <w:kern w:val="0"/>
          <w:sz w:val="24"/>
          <w:szCs w:val="24"/>
        </w:rPr>
        <w:t/>
      </w:r>
      <w:r w:rsidR="00D13A01" w:rsidRPr="00B34368">
        <w:rPr>
          <w:rFonts w:eastAsiaTheme="minorEastAsia"/>
          <w:color w:themeColor="text1" w:val="000000"/>
          <w:kern w:val="0"/>
          <w:sz w:val="24"/>
          <w:szCs w:val="24"/>
        </w:rPr>
        <w:t/>
      </w:r>
      <w:r w:rsidR="00A14399" w:rsidRPr="00B34368">
        <w:rPr>
          <w:rFonts w:eastAsiaTheme="minorEastAsia"/>
          <w:color w:themeColor="text1" w:val="000000"/>
          <w:kern w:val="0"/>
          <w:sz w:val="24"/>
          <w:szCs w:val="24"/>
        </w:rPr>
        <w:t>9</w:t>
      </w:r>
      <w:r w:rsidR="007661B8" w:rsidRPr="00B34368">
        <w:rPr>
          <w:rFonts w:eastAsiaTheme="minorEastAsia"/>
          <w:color w:themeColor="text1" w:val="000000"/>
          <w:kern w:val="0"/>
          <w:sz w:val="24"/>
          <w:szCs w:val="24"/>
        </w:rPr>
        <w:t xml:space="preserve">  </w:t>
      </w:r>
      <w:r w:rsidRPr="00B34368">
        <w:rPr>
          <w:rFonts w:eastAsiaTheme="minorEastAsia" w:hAnsiTheme="minorEastAsia"/>
          <w:color w:themeColor="text1" w:val="000000"/>
          <w:kern w:val="0"/>
          <w:sz w:val="24"/>
          <w:szCs w:val="24"/>
        </w:rPr>
        <w:t>备查文件目录</w:t>
      </w:r>
    </w:p>
    <w:p w:rsidP="00FC13C8" w:rsidR="00FB3C94" w:rsidRDefault="00A14399" w:rsidRPr="00B34368">
      <w:pPr>
        <w:autoSpaceDE w:val="0"/>
        <w:autoSpaceDN w:val="0"/>
        <w:adjustRightInd w:val="0"/>
        <w:spacing w:line="360" w:lineRule="auto"/>
        <w:jc w:val="left"/>
        <w:rPr>
          <w:rFonts w:eastAsiaTheme="minorEastAsia"/>
          <w:b/>
          <w:bCs/>
          <w:color w:themeColor="text1" w:val="000000"/>
          <w:kern w:val="0"/>
          <w:sz w:val="24"/>
        </w:rPr>
      </w:pPr>
      <w:r w:rsidRPr="00B34368">
        <w:rPr>
          <w:rFonts w:eastAsiaTheme="minorEastAsia"/>
          <w:b/>
          <w:bCs/>
          <w:color w:themeColor="text1" w:val="000000"/>
          <w:kern w:val="0"/>
          <w:sz w:val="24"/>
        </w:rPr>
        <w:t/>
      </w:r>
      <w:proofErr w:type="gramStart"/>
      <w:r w:rsidR="00D13A01" w:rsidRPr="00B34368">
        <w:rPr>
          <w:rFonts w:eastAsiaTheme="minorEastAsia"/>
          <w:b/>
          <w:bCs/>
          <w:color w:themeColor="text1" w:val="000000"/>
          <w:kern w:val="0"/>
          <w:sz w:val="24"/>
        </w:rPr>
        <w:t/>
      </w:r>
      <w:proofErr w:type="gramEnd"/>
      <w:r w:rsidRPr="00B34368">
        <w:rPr>
          <w:rFonts w:eastAsiaTheme="minorEastAsia"/>
          <w:b/>
          <w:bCs/>
          <w:color w:themeColor="text1" w:val="000000"/>
          <w:kern w:val="0"/>
          <w:sz w:val="24"/>
        </w:rPr>
        <w:t>9.</w:t>
      </w:r>
      <w:r w:rsidR="00D13A01" w:rsidRPr="00B34368">
        <w:rPr>
          <w:rFonts w:eastAsiaTheme="minorEastAsia"/>
          <w:b/>
          <w:bCs/>
          <w:color w:themeColor="text1" w:val="000000"/>
          <w:kern w:val="0"/>
          <w:sz w:val="24"/>
        </w:rPr>
        <w:t>1</w:t>
      </w:r>
      <w:r w:rsidR="00FB3C94" w:rsidRPr="00B34368">
        <w:rPr>
          <w:rFonts w:eastAsiaTheme="minorEastAsia" w:hAnsiTheme="minorEastAsia"/>
          <w:b/>
          <w:bCs/>
          <w:color w:themeColor="text1" w:val="000000"/>
          <w:kern w:val="0"/>
          <w:sz w:val="24"/>
        </w:rPr>
        <w:t>备查文件目录</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1.中国证监会准予易方达中证500交易型开放式指数证券投资基金发起式联接基金注册的文件；</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2.《易方达中证500交易型开放式指数证券投资基金发起式联接基金基金合同》；</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3.《易方达中证500交易型开放式指数证券投资基金发起式联接基金托管协议》；</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4.《易方达基金管理有限公司开放式基金业务规则》；</w:t>
      </w:r>
    </w:p>
    <w:p w:rsidP="00B34368" w:rsidR="00F11783" w:rsidRDefault="00FB3C94"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5.基金管理人业务资格批件、营业执照。</w:t>
      </w:r>
    </w:p>
    <w:p w:rsidP="00C544B8" w:rsidR="00FB3C94" w:rsidRDefault="00D13A01" w:rsidRPr="00B34368">
      <w:pPr>
        <w:autoSpaceDE w:val="0"/>
        <w:autoSpaceDN w:val="0"/>
        <w:adjustRightInd w:val="0"/>
        <w:spacing w:before="312" w:beforeLines="100" w:line="360" w:lineRule="auto"/>
        <w:jc w:val="left"/>
        <w:rPr>
          <w:rFonts w:eastAsiaTheme="minorEastAsia"/>
          <w:b/>
          <w:bCs/>
          <w:color w:themeColor="text1" w:val="000000"/>
          <w:kern w:val="0"/>
          <w:sz w:val="24"/>
        </w:rPr>
      </w:pPr>
      <w:r w:rsidRPr="00B34368">
        <w:rPr>
          <w:rFonts w:eastAsiaTheme="minorEastAsia"/>
          <w:b/>
          <w:bCs/>
          <w:color w:themeColor="text1" w:val="000000"/>
          <w:kern w:val="0"/>
          <w:sz w:val="24"/>
        </w:rPr>
        <w:t/>
      </w:r>
      <w:proofErr w:type="gramStart"/>
      <w:r w:rsidRPr="00B34368">
        <w:rPr>
          <w:rFonts w:eastAsiaTheme="minorEastAsia"/>
          <w:b/>
          <w:bCs/>
          <w:color w:themeColor="text1" w:val="000000"/>
          <w:kern w:val="0"/>
          <w:sz w:val="24"/>
        </w:rPr>
        <w:t/>
      </w:r>
      <w:proofErr w:type="gramEnd"/>
      <w:r w:rsidRPr="00B34368">
        <w:rPr>
          <w:rFonts w:eastAsiaTheme="minorEastAsia"/>
          <w:b/>
          <w:bCs/>
          <w:color w:themeColor="text1" w:val="000000"/>
          <w:kern w:val="0"/>
          <w:sz w:val="24"/>
        </w:rPr>
        <w:t>9.2</w:t>
      </w:r>
      <w:r w:rsidR="00FB3C94" w:rsidRPr="00B34368">
        <w:rPr>
          <w:rFonts w:eastAsiaTheme="minorEastAsia" w:hAnsiTheme="minorEastAsia"/>
          <w:b/>
          <w:bCs/>
          <w:color w:themeColor="text1" w:val="000000"/>
          <w:kern w:val="0"/>
          <w:sz w:val="24"/>
        </w:rPr>
        <w:t>存放地点</w:t>
      </w:r>
    </w:p>
    <w:p w:rsidP="00B34368" w:rsidR="00F11783" w:rsidRDefault="00FB3C94"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广州市天河区珠江新城珠江东路30号广州银行大厦40-43楼。</w:t>
      </w:r>
    </w:p>
    <w:p w:rsidP="00C544B8" w:rsidR="00FB3C94" w:rsidRDefault="00D13A01" w:rsidRPr="00B34368">
      <w:pPr>
        <w:autoSpaceDE w:val="0"/>
        <w:autoSpaceDN w:val="0"/>
        <w:adjustRightInd w:val="0"/>
        <w:spacing w:before="312" w:beforeLines="100" w:line="360" w:lineRule="auto"/>
        <w:jc w:val="left"/>
        <w:rPr>
          <w:rFonts w:eastAsiaTheme="minorEastAsia"/>
          <w:b/>
          <w:bCs/>
          <w:color w:themeColor="text1" w:val="000000"/>
          <w:kern w:val="0"/>
          <w:sz w:val="24"/>
        </w:rPr>
      </w:pPr>
      <w:r w:rsidRPr="00B34368">
        <w:rPr>
          <w:rFonts w:eastAsiaTheme="minorEastAsia"/>
          <w:b/>
          <w:bCs/>
          <w:color w:themeColor="text1" w:val="000000"/>
          <w:kern w:val="0"/>
          <w:sz w:val="24"/>
        </w:rPr>
        <w:t/>
      </w:r>
      <w:proofErr w:type="gramStart"/>
      <w:r w:rsidRPr="00B34368">
        <w:rPr>
          <w:rFonts w:eastAsiaTheme="minorEastAsia"/>
          <w:b/>
          <w:bCs/>
          <w:color w:themeColor="text1" w:val="000000"/>
          <w:kern w:val="0"/>
          <w:sz w:val="24"/>
        </w:rPr>
        <w:t/>
      </w:r>
      <w:proofErr w:type="gramEnd"/>
      <w:r w:rsidRPr="00B34368">
        <w:rPr>
          <w:rFonts w:eastAsiaTheme="minorEastAsia"/>
          <w:b/>
          <w:bCs/>
          <w:color w:themeColor="text1" w:val="000000"/>
          <w:kern w:val="0"/>
          <w:sz w:val="24"/>
        </w:rPr>
        <w:t>9.3</w:t>
      </w:r>
      <w:r w:rsidR="00FB3C94" w:rsidRPr="00B34368">
        <w:rPr>
          <w:rFonts w:eastAsiaTheme="minorEastAsia" w:hAnsiTheme="minorEastAsia"/>
          <w:b/>
          <w:bCs/>
          <w:color w:themeColor="text1" w:val="000000"/>
          <w:kern w:val="0"/>
          <w:sz w:val="24"/>
        </w:rPr>
        <w:t>查阅方式</w:t>
      </w:r>
    </w:p>
    <w:p w:rsidP="00B34368" w:rsidR="00FB3C94" w:rsidRDefault="00FB3C94"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投资者可在营业时间免费查阅，也可按工本费购买复印件。</w:t>
      </w:r>
    </w:p>
    <w:p w:rsidP="00FB3C94" w:rsidR="00FB3C94" w:rsidRDefault="00FB3C94" w:rsidRPr="00B34368">
      <w:pPr>
        <w:spacing w:line="360" w:lineRule="auto"/>
        <w:ind w:left="840"/>
        <w:jc w:val="right"/>
        <w:rPr>
          <w:rFonts w:eastAsiaTheme="minorEastAsia"/>
          <w:color w:themeColor="text1" w:val="000000"/>
          <w:sz w:val="24"/>
        </w:rPr>
      </w:pPr>
    </w:p>
    <w:p w:rsidP="00053FFD" w:rsidR="00AF3AF9" w:rsidRDefault="00AF3AF9" w:rsidRPr="00B34368">
      <w:pPr>
        <w:spacing w:line="360" w:lineRule="auto"/>
        <w:ind w:left="840"/>
        <w:jc w:val="center"/>
        <w:rPr>
          <w:rFonts w:eastAsiaTheme="minorEastAsia"/>
          <w:b/>
          <w:color w:themeColor="text1" w:val="000000"/>
          <w:sz w:val="24"/>
        </w:rPr>
      </w:pPr>
    </w:p>
    <w:p w:rsidP="00B1493B" w:rsidR="00FB3C94" w:rsidRDefault="00FB3C94" w:rsidRPr="00B34368">
      <w:pPr>
        <w:spacing w:line="360" w:lineRule="auto"/>
        <w:jc w:val="right"/>
        <w:rPr>
          <w:rFonts w:eastAsiaTheme="minorEastAsia"/>
          <w:b/>
          <w:bCs/>
          <w:color w:themeColor="text1" w:val="000000"/>
          <w:sz w:val="24"/>
        </w:rPr>
      </w:pPr>
      <w:r w:rsidRPr="00B34368">
        <w:rPr>
          <w:rFonts w:eastAsiaTheme="minorEastAsia"/>
          <w:b/>
          <w:bCs/>
          <w:color w:themeColor="text1" w:val="000000"/>
          <w:sz w:val="24"/>
        </w:rPr>
        <w:t/>
      </w:r>
      <w:proofErr w:type="spellStart"/>
      <w:proofErr w:type="gramStart"/>
      <w:r w:rsidRPr="00B34368">
        <w:rPr>
          <w:rFonts w:eastAsiaTheme="minorEastAsia"/>
          <w:b/>
          <w:bCs/>
          <w:color w:themeColor="text1" w:val="000000"/>
          <w:sz w:val="24"/>
        </w:rPr>
        <w:t/>
      </w:r>
      <w:proofErr w:type="spellEnd"/>
      <w:proofErr w:type="gramEnd"/>
      <w:r w:rsidRPr="00B34368">
        <w:rPr>
          <w:rFonts w:eastAsiaTheme="minorEastAsia"/>
          <w:b/>
          <w:bCs/>
          <w:color w:themeColor="text1" w:val="000000"/>
          <w:sz w:val="24"/>
        </w:rPr>
        <w:t>易方达基金管理有限公司</w:t>
      </w:r>
    </w:p>
    <w:p w:rsidP="00B1493B" w:rsidR="009238DB" w:rsidRDefault="00D04410" w:rsidRPr="00B34368">
      <w:pPr>
        <w:spacing w:line="360" w:lineRule="auto"/>
        <w:jc w:val="right"/>
        <w:rPr>
          <w:rFonts w:eastAsiaTheme="minorEastAsia"/>
          <w:b/>
          <w:bCs/>
          <w:color w:themeColor="text1" w:val="000000"/>
          <w:sz w:val="24"/>
        </w:rPr>
      </w:pPr>
      <w:r w:rsidRPr="00B34368">
        <w:rPr>
          <w:rFonts w:eastAsiaTheme="minorEastAsia"/>
          <w:b/>
          <w:bCs/>
          <w:color w:themeColor="text1" w:val="000000"/>
          <w:sz w:val="24"/>
        </w:rPr>
        <w:t/>
      </w:r>
      <w:proofErr w:type="spellStart"/>
      <w:proofErr w:type="gramStart"/>
      <w:r w:rsidRPr="00B34368">
        <w:rPr>
          <w:rFonts w:eastAsiaTheme="minorEastAsia"/>
          <w:b/>
          <w:bCs/>
          <w:color w:themeColor="text1" w:val="000000"/>
          <w:sz w:val="24"/>
        </w:rPr>
        <w:t/>
      </w:r>
      <w:proofErr w:type="spellEnd"/>
      <w:proofErr w:type="gramEnd"/>
      <w:r w:rsidRPr="00B34368">
        <w:rPr>
          <w:rFonts w:eastAsiaTheme="minorEastAsia"/>
          <w:b/>
          <w:bCs/>
          <w:color w:themeColor="text1" w:val="000000"/>
          <w:sz w:val="24"/>
        </w:rPr>
        <w:t>二〇二〇年七月二十一日</w:t>
      </w:r>
    </w:p>
    <w:sectPr w:rsidR="009238DB" w:rsidRPr="00B34368" w:rsidSect="00A8324F">
      <w:footerReference r:id="rId13" w:type="even"/>
      <w:footerReference r:id="rId14" w:type="default"/>
      <w:pgSz w:h="16838" w:w="11906"/>
      <w:pgMar w:bottom="1440" w:footer="992" w:gutter="0" w:header="851" w:left="1800" w:right="1286"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493E" w:rsidRDefault="0055493E">
      <w:r>
        <w:separator/>
      </w:r>
    </w:p>
  </w:endnote>
  <w:endnote w:type="continuationSeparator" w:id="0">
    <w:p w:rsidR="0055493E" w:rsidRDefault="00554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F7094A" w:rsidR="007C1122" w:rsidRDefault="007C1122" w:rsidRPr="001D0DB0">
    <w:pPr>
      <w:pStyle w:val="a6"/>
      <w:jc w:val="center"/>
    </w:pPr>
    <w:r>
      <w:rPr>
        <w:rFonts w:hint="eastAsia"/>
        <w:kern w:val="0"/>
        <w:szCs w:val="21"/>
      </w:rPr>
      <w:t>第</w:t>
    </w:r>
    <w:r w:rsidR="00EA55D2">
      <w:rPr>
        <w:kern w:val="0"/>
        <w:szCs w:val="21"/>
      </w:rPr>
      <w:fldChar w:fldCharType="begin"/>
    </w:r>
    <w:r>
      <w:rPr>
        <w:kern w:val="0"/>
        <w:szCs w:val="21"/>
      </w:rPr>
      <w:instrText xml:space="preserve"> PAGE </w:instrText>
    </w:r>
    <w:r w:rsidR="00EA55D2">
      <w:rPr>
        <w:kern w:val="0"/>
        <w:szCs w:val="21"/>
      </w:rPr>
      <w:fldChar w:fldCharType="separate"/>
    </w:r>
    <w:r w:rsidR="00153CF9">
      <w:rPr>
        <w:noProof/>
        <w:kern w:val="0"/>
        <w:szCs w:val="21"/>
      </w:rPr>
      <w:t>1</w:t>
    </w:r>
    <w:r w:rsidR="00EA55D2">
      <w:rPr>
        <w:kern w:val="0"/>
        <w:szCs w:val="21"/>
      </w:rPr>
      <w:fldChar w:fldCharType="end"/>
    </w:r>
    <w:proofErr w:type="gramStart"/>
    <w:r>
      <w:rPr>
        <w:rFonts w:hint="eastAsia"/>
        <w:kern w:val="0"/>
        <w:szCs w:val="21"/>
      </w:rPr>
      <w:t>页共</w:t>
    </w:r>
    <w:proofErr w:type="gramEnd"/>
    <w:r w:rsidR="00EA55D2">
      <w:rPr>
        <w:kern w:val="0"/>
        <w:szCs w:val="21"/>
      </w:rPr>
      <w:fldChar w:fldCharType="begin"/>
    </w:r>
    <w:r>
      <w:rPr>
        <w:kern w:val="0"/>
        <w:szCs w:val="21"/>
      </w:rPr>
      <w:instrText xml:space="preserve"> NUMPAGES </w:instrText>
    </w:r>
    <w:r w:rsidR="00EA55D2">
      <w:rPr>
        <w:kern w:val="0"/>
        <w:szCs w:val="21"/>
      </w:rPr>
      <w:fldChar w:fldCharType="separate"/>
    </w:r>
    <w:r w:rsidR="00153CF9">
      <w:rPr>
        <w:noProof/>
        <w:kern w:val="0"/>
        <w:szCs w:val="21"/>
      </w:rPr>
      <w:t>30</w:t>
    </w:r>
    <w:r w:rsidR="00EA55D2">
      <w:rPr>
        <w:kern w:val="0"/>
        <w:szCs w:val="21"/>
      </w:rPr>
      <w:fldChar w:fldCharType="end"/>
    </w:r>
    <w:r>
      <w:rPr>
        <w:rFonts w:hint="eastAsia"/>
        <w:kern w:val="0"/>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7C1122" w:rsidRDefault="00EA55D2">
    <w:pPr>
      <w:pStyle w:val="a6"/>
      <w:framePr w:hAnchor="margin" w:vAnchor="text" w:wrap="around" w:xAlign="center" w:y="1"/>
      <w:rPr>
        <w:rStyle w:val="a7"/>
      </w:rPr>
    </w:pPr>
    <w:r>
      <w:rPr>
        <w:rStyle w:val="a7"/>
      </w:rPr>
      <w:fldChar w:fldCharType="begin"/>
    </w:r>
    <w:r w:rsidR="007C1122">
      <w:rPr>
        <w:rStyle w:val="a7"/>
      </w:rPr>
      <w:instrText xml:space="preserve">PAGE  </w:instrText>
    </w:r>
    <w:r>
      <w:rPr>
        <w:rStyle w:val="a7"/>
      </w:rPr>
      <w:fldChar w:fldCharType="end"/>
    </w:r>
  </w:p>
  <w:p w:rsidR="007C1122" w:rsidRDefault="007C1122">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7C1122" w:rsidRDefault="00EA55D2">
    <w:pPr>
      <w:pStyle w:val="a6"/>
      <w:framePr w:hAnchor="margin" w:vAnchor="text" w:wrap="around" w:xAlign="center" w:y="1"/>
      <w:rPr>
        <w:rStyle w:val="a7"/>
      </w:rPr>
    </w:pPr>
    <w:r>
      <w:rPr>
        <w:rStyle w:val="a7"/>
      </w:rPr>
      <w:fldChar w:fldCharType="begin"/>
    </w:r>
    <w:r w:rsidR="007C1122">
      <w:rPr>
        <w:rStyle w:val="a7"/>
      </w:rPr>
      <w:instrText xml:space="preserve">PAGE  </w:instrText>
    </w:r>
    <w:r>
      <w:rPr>
        <w:rStyle w:val="a7"/>
      </w:rPr>
      <w:fldChar w:fldCharType="separate"/>
    </w:r>
    <w:r w:rsidR="00153CF9">
      <w:rPr>
        <w:rStyle w:val="a7"/>
        <w:noProof/>
      </w:rPr>
      <w:t>22</w:t>
    </w:r>
    <w:r>
      <w:rPr>
        <w:rStyle w:val="a7"/>
      </w:rPr>
      <w:fldChar w:fldCharType="end"/>
    </w:r>
  </w:p>
  <w:p w:rsidR="007C1122" w:rsidRDefault="007C1122">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55493E" w:rsidRDefault="0055493E">
      <w:r>
        <w:separator/>
      </w:r>
    </w:p>
  </w:footnote>
  <w:footnote w:id="0" w:type="continuationSeparator">
    <w:p w:rsidR="0055493E" w:rsidRDefault="0055493E">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207F2" w:rsidR="007C1122" w:rsidRDefault="007C1122">
    <w:pPr>
      <w:pStyle w:val="a9"/>
      <w:pBdr>
        <w:bottom w:color="auto" w:space="0" w:sz="6" w:val="single"/>
      </w:pBdr>
      <w:jc w:val="right"/>
    </w:pPr>
    <w:r>
      <w:rPr>
        <w:sz w:val="21"/>
        <w:szCs w:val="21"/>
      </w:rPr>
      <w:t/>
    </w:r>
    <w:proofErr w:type="spellStart"/>
    <w:proofErr w:type="gramStart"/>
    <w:r>
      <w:rPr>
        <w:sz w:val="21"/>
        <w:szCs w:val="21"/>
      </w:rPr>
      <w:t/>
    </w:r>
    <w:proofErr w:type="spellEnd"/>
    <w:proofErr w:type="gramEnd"/>
    <w:r>
      <w:rPr>
        <w:sz w:val="21"/>
        <w:szCs w:val="21"/>
      </w:rPr>
      <w:t>易方达中证500交易型开放式指数证券投资基金发起式联接基金</w:t>
    </w:r>
    <w:proofErr w:type="spellStart"/>
    <w:r>
      <w:rPr>
        <w:sz w:val="21"/>
        <w:szCs w:val="21"/>
      </w:rPr>
      <w:t/>
    </w:r>
    <w:proofErr w:type="spellEnd"/>
    <w:r>
      <w:rPr>
        <w:sz w:val="21"/>
        <w:szCs w:val="21"/>
      </w:rPr>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cs="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2A93165E"/>
    <w:multiLevelType w:val="hybridMultilevel"/>
    <w:tmpl w:val="8F54F77E"/>
    <w:lvl w:ilvl="0" w:tplc="8996D53A">
      <w:start w:val="1"/>
      <w:numFmt w:val="japaneseCounting"/>
      <w:lvlText w:val="（%1）"/>
      <w:lvlJc w:val="left"/>
      <w:pPr>
        <w:tabs>
          <w:tab w:pos="1200" w:val="num"/>
        </w:tabs>
        <w:ind w:hanging="720" w:left="1200"/>
      </w:pPr>
      <w:rPr>
        <w:rFonts w:hAnsi="宋体" w:hint="default"/>
      </w:rPr>
    </w:lvl>
    <w:lvl w:ilvl="1" w:tentative="1" w:tplc="04090019">
      <w:start w:val="1"/>
      <w:numFmt w:val="lowerLetter"/>
      <w:lvlText w:val="%2)"/>
      <w:lvlJc w:val="left"/>
      <w:pPr>
        <w:tabs>
          <w:tab w:pos="1320" w:val="num"/>
        </w:tabs>
        <w:ind w:hanging="420" w:left="1320"/>
      </w:pPr>
    </w:lvl>
    <w:lvl w:ilvl="2" w:tentative="1" w:tplc="0409001B">
      <w:start w:val="1"/>
      <w:numFmt w:val="lowerRoman"/>
      <w:lvlText w:val="%3."/>
      <w:lvlJc w:val="right"/>
      <w:pPr>
        <w:tabs>
          <w:tab w:pos="1740" w:val="num"/>
        </w:tabs>
        <w:ind w:hanging="420" w:left="1740"/>
      </w:pPr>
    </w:lvl>
    <w:lvl w:ilvl="3" w:tentative="1" w:tplc="0409000F">
      <w:start w:val="1"/>
      <w:numFmt w:val="decimal"/>
      <w:lvlText w:val="%4."/>
      <w:lvlJc w:val="left"/>
      <w:pPr>
        <w:tabs>
          <w:tab w:pos="2160" w:val="num"/>
        </w:tabs>
        <w:ind w:hanging="420" w:left="2160"/>
      </w:pPr>
    </w:lvl>
    <w:lvl w:ilvl="4" w:tentative="1" w:tplc="04090019">
      <w:start w:val="1"/>
      <w:numFmt w:val="lowerLetter"/>
      <w:lvlText w:val="%5)"/>
      <w:lvlJc w:val="left"/>
      <w:pPr>
        <w:tabs>
          <w:tab w:pos="2580" w:val="num"/>
        </w:tabs>
        <w:ind w:hanging="420" w:left="2580"/>
      </w:pPr>
    </w:lvl>
    <w:lvl w:ilvl="5" w:tentative="1" w:tplc="0409001B">
      <w:start w:val="1"/>
      <w:numFmt w:val="lowerRoman"/>
      <w:lvlText w:val="%6."/>
      <w:lvlJc w:val="right"/>
      <w:pPr>
        <w:tabs>
          <w:tab w:pos="3000" w:val="num"/>
        </w:tabs>
        <w:ind w:hanging="420" w:left="3000"/>
      </w:pPr>
    </w:lvl>
    <w:lvl w:ilvl="6" w:tentative="1" w:tplc="0409000F">
      <w:start w:val="1"/>
      <w:numFmt w:val="decimal"/>
      <w:lvlText w:val="%7."/>
      <w:lvlJc w:val="left"/>
      <w:pPr>
        <w:tabs>
          <w:tab w:pos="3420" w:val="num"/>
        </w:tabs>
        <w:ind w:hanging="420" w:left="3420"/>
      </w:pPr>
    </w:lvl>
    <w:lvl w:ilvl="7" w:tentative="1" w:tplc="04090019">
      <w:start w:val="1"/>
      <w:numFmt w:val="lowerLetter"/>
      <w:lvlText w:val="%8)"/>
      <w:lvlJc w:val="left"/>
      <w:pPr>
        <w:tabs>
          <w:tab w:pos="3840" w:val="num"/>
        </w:tabs>
        <w:ind w:hanging="420" w:left="3840"/>
      </w:pPr>
    </w:lvl>
    <w:lvl w:ilvl="8" w:tentative="1" w:tplc="0409001B">
      <w:start w:val="1"/>
      <w:numFmt w:val="lowerRoman"/>
      <w:lvlText w:val="%9."/>
      <w:lvlJc w:val="right"/>
      <w:pPr>
        <w:tabs>
          <w:tab w:pos="4260" w:val="num"/>
        </w:tabs>
        <w:ind w:hanging="420" w:left="4260"/>
      </w:pPr>
    </w:lvl>
  </w:abstractNum>
  <w:abstractNum w:abstractNumId="2">
    <w:nsid w:val="32C43FA3"/>
    <w:multiLevelType w:val="hybridMultilevel"/>
    <w:tmpl w:val="2658615A"/>
    <w:lvl w:ilvl="0" w:tplc="04090001">
      <w:start w:val="1"/>
      <w:numFmt w:val="bullet"/>
      <w:lvlText w:val=""/>
      <w:lvlJc w:val="left"/>
      <w:pPr>
        <w:tabs>
          <w:tab w:pos="420" w:val="num"/>
        </w:tabs>
        <w:ind w:hanging="420" w:left="420"/>
      </w:pPr>
      <w:rPr>
        <w:rFonts w:ascii="Wingdings" w:hAnsi="Wingdings" w:hint="default"/>
      </w:rPr>
    </w:lvl>
    <w:lvl w:ilvl="1" w:tentative="1" w:tplc="04090003">
      <w:start w:val="1"/>
      <w:numFmt w:val="bullet"/>
      <w:lvlText w:val=""/>
      <w:lvlJc w:val="left"/>
      <w:pPr>
        <w:tabs>
          <w:tab w:pos="840" w:val="num"/>
        </w:tabs>
        <w:ind w:hanging="420" w:left="840"/>
      </w:pPr>
      <w:rPr>
        <w:rFonts w:ascii="Wingdings" w:hAnsi="Wingdings" w:hint="default"/>
      </w:rPr>
    </w:lvl>
    <w:lvl w:ilvl="2" w:tentative="1" w:tplc="04090005">
      <w:start w:val="1"/>
      <w:numFmt w:val="bullet"/>
      <w:lvlText w:val=""/>
      <w:lvlJc w:val="left"/>
      <w:pPr>
        <w:tabs>
          <w:tab w:pos="1260" w:val="num"/>
        </w:tabs>
        <w:ind w:hanging="420" w:left="1260"/>
      </w:pPr>
      <w:rPr>
        <w:rFonts w:ascii="Wingdings" w:hAnsi="Wingdings" w:hint="default"/>
      </w:rPr>
    </w:lvl>
    <w:lvl w:ilvl="3" w:tentative="1" w:tplc="04090001">
      <w:start w:val="1"/>
      <w:numFmt w:val="bullet"/>
      <w:lvlText w:val=""/>
      <w:lvlJc w:val="left"/>
      <w:pPr>
        <w:tabs>
          <w:tab w:pos="1680" w:val="num"/>
        </w:tabs>
        <w:ind w:hanging="420" w:left="1680"/>
      </w:pPr>
      <w:rPr>
        <w:rFonts w:ascii="Wingdings" w:hAnsi="Wingdings" w:hint="default"/>
      </w:rPr>
    </w:lvl>
    <w:lvl w:ilvl="4" w:tentative="1" w:tplc="04090003">
      <w:start w:val="1"/>
      <w:numFmt w:val="bullet"/>
      <w:lvlText w:val=""/>
      <w:lvlJc w:val="left"/>
      <w:pPr>
        <w:tabs>
          <w:tab w:pos="2100" w:val="num"/>
        </w:tabs>
        <w:ind w:hanging="420" w:left="2100"/>
      </w:pPr>
      <w:rPr>
        <w:rFonts w:ascii="Wingdings" w:hAnsi="Wingdings" w:hint="default"/>
      </w:rPr>
    </w:lvl>
    <w:lvl w:ilvl="5" w:tentative="1" w:tplc="04090005">
      <w:start w:val="1"/>
      <w:numFmt w:val="bullet"/>
      <w:lvlText w:val=""/>
      <w:lvlJc w:val="left"/>
      <w:pPr>
        <w:tabs>
          <w:tab w:pos="2520" w:val="num"/>
        </w:tabs>
        <w:ind w:hanging="420" w:left="2520"/>
      </w:pPr>
      <w:rPr>
        <w:rFonts w:ascii="Wingdings" w:hAnsi="Wingdings" w:hint="default"/>
      </w:rPr>
    </w:lvl>
    <w:lvl w:ilvl="6" w:tentative="1" w:tplc="04090001">
      <w:start w:val="1"/>
      <w:numFmt w:val="bullet"/>
      <w:lvlText w:val=""/>
      <w:lvlJc w:val="left"/>
      <w:pPr>
        <w:tabs>
          <w:tab w:pos="2940" w:val="num"/>
        </w:tabs>
        <w:ind w:hanging="420" w:left="2940"/>
      </w:pPr>
      <w:rPr>
        <w:rFonts w:ascii="Wingdings" w:hAnsi="Wingdings" w:hint="default"/>
      </w:rPr>
    </w:lvl>
    <w:lvl w:ilvl="7" w:tentative="1" w:tplc="04090003">
      <w:start w:val="1"/>
      <w:numFmt w:val="bullet"/>
      <w:lvlText w:val=""/>
      <w:lvlJc w:val="left"/>
      <w:pPr>
        <w:tabs>
          <w:tab w:pos="3360" w:val="num"/>
        </w:tabs>
        <w:ind w:hanging="420" w:left="3360"/>
      </w:pPr>
      <w:rPr>
        <w:rFonts w:ascii="Wingdings" w:hAnsi="Wingdings" w:hint="default"/>
      </w:rPr>
    </w:lvl>
    <w:lvl w:ilvl="8" w:tentative="1" w:tplc="04090005">
      <w:start w:val="1"/>
      <w:numFmt w:val="bullet"/>
      <w:lvlText w:val=""/>
      <w:lvlJc w:val="left"/>
      <w:pPr>
        <w:tabs>
          <w:tab w:pos="3780" w:val="num"/>
        </w:tabs>
        <w:ind w:hanging="420" w:left="3780"/>
      </w:pPr>
      <w:rPr>
        <w:rFonts w:ascii="Wingdings" w:hAnsi="Wingdings" w:hint="default"/>
      </w:rPr>
    </w:lvl>
  </w:abstractNum>
  <w:abstractNum w:abstractNumId="3">
    <w:nsid w:val="45342383"/>
    <w:multiLevelType w:val="multilevel"/>
    <w:tmpl w:val="0409001D"/>
    <w:styleLink w:val="5"/>
    <w:lvl w:ilvl="0">
      <w:start w:val="1"/>
      <w:numFmt w:val="decimal"/>
      <w:lvlText w:val="%1"/>
      <w:lvlJc w:val="left"/>
      <w:pPr>
        <w:tabs>
          <w:tab w:pos="425" w:val="num"/>
        </w:tabs>
        <w:ind w:hanging="425" w:left="425"/>
      </w:pPr>
    </w:lvl>
    <w:lvl w:ilvl="1">
      <w:start w:val="1"/>
      <w:numFmt w:val="decimal"/>
      <w:lvlText w:val="%1.%2"/>
      <w:lvlJc w:val="left"/>
      <w:pPr>
        <w:tabs>
          <w:tab w:pos="992" w:val="num"/>
        </w:tabs>
        <w:ind w:hanging="567" w:left="992"/>
      </w:pPr>
    </w:lvl>
    <w:lvl w:ilvl="2">
      <w:start w:val="1"/>
      <w:numFmt w:val="decimal"/>
      <w:lvlText w:val="%1.%2.%3"/>
      <w:lvlJc w:val="left"/>
      <w:pPr>
        <w:tabs>
          <w:tab w:pos="1418" w:val="num"/>
        </w:tabs>
        <w:ind w:hanging="567" w:left="1418"/>
      </w:pPr>
    </w:lvl>
    <w:lvl w:ilvl="3">
      <w:start w:val="1"/>
      <w:numFmt w:val="decimal"/>
      <w:lvlText w:val="%1.%2.%3.%4"/>
      <w:lvlJc w:val="left"/>
      <w:pPr>
        <w:tabs>
          <w:tab w:pos="1984" w:val="num"/>
        </w:tabs>
        <w:ind w:hanging="708" w:left="1984"/>
      </w:pPr>
    </w:lvl>
    <w:lvl w:ilvl="4">
      <w:start w:val="1"/>
      <w:numFmt w:val="decimal"/>
      <w:lvlText w:val="%1.%2.%3.%4.%5"/>
      <w:lvlJc w:val="left"/>
      <w:pPr>
        <w:tabs>
          <w:tab w:pos="2551" w:val="num"/>
        </w:tabs>
        <w:ind w:hanging="850" w:left="2551"/>
      </w:pPr>
    </w:lvl>
    <w:lvl w:ilvl="5">
      <w:start w:val="1"/>
      <w:numFmt w:val="decimal"/>
      <w:lvlText w:val="%1.%2.%3.%4.%5.%6"/>
      <w:lvlJc w:val="left"/>
      <w:pPr>
        <w:tabs>
          <w:tab w:pos="3260" w:val="num"/>
        </w:tabs>
        <w:ind w:hanging="1134" w:left="3260"/>
      </w:pPr>
    </w:lvl>
    <w:lvl w:ilvl="6">
      <w:start w:val="1"/>
      <w:numFmt w:val="decimal"/>
      <w:lvlText w:val="%1.%2.%3.%4.%5.%6.%7"/>
      <w:lvlJc w:val="left"/>
      <w:pPr>
        <w:tabs>
          <w:tab w:pos="3827" w:val="num"/>
        </w:tabs>
        <w:ind w:hanging="1276" w:left="3827"/>
      </w:pPr>
    </w:lvl>
    <w:lvl w:ilvl="7">
      <w:start w:val="1"/>
      <w:numFmt w:val="decimal"/>
      <w:lvlText w:val="%1.%2.%3.%4.%5.%6.%7.%8"/>
      <w:lvlJc w:val="left"/>
      <w:pPr>
        <w:tabs>
          <w:tab w:pos="4394" w:val="num"/>
        </w:tabs>
        <w:ind w:hanging="1418" w:left="4394"/>
      </w:pPr>
    </w:lvl>
    <w:lvl w:ilvl="8">
      <w:start w:val="1"/>
      <w:numFmt w:val="decimal"/>
      <w:lvlText w:val="%1.%2.%3.%4.%5.%6.%7.%8.%9"/>
      <w:lvlJc w:val="left"/>
      <w:pPr>
        <w:tabs>
          <w:tab w:pos="5102" w:val="num"/>
        </w:tabs>
        <w:ind w:hanging="1700" w:left="5102"/>
      </w:pPr>
    </w:lvl>
  </w:abstractNum>
  <w:abstractNum w:abstractNumId="4">
    <w:nsid w:val="57E8240C"/>
    <w:multiLevelType w:val="hybridMultilevel"/>
    <w:tmpl w:val="300A7112"/>
    <w:lvl w:ilvl="0" w:tplc="3782FDB8">
      <w:start w:val="1"/>
      <w:numFmt w:val="decimal"/>
      <w:lvlText w:val="（%1）"/>
      <w:lvlJc w:val="left"/>
      <w:pPr>
        <w:tabs>
          <w:tab w:pos="1200" w:val="num"/>
        </w:tabs>
        <w:ind w:hanging="720" w:left="1200"/>
      </w:pPr>
      <w:rPr>
        <w:rFonts w:hint="eastAsia"/>
        <w:sz w:val="24"/>
      </w:rPr>
    </w:lvl>
    <w:lvl w:ilvl="1" w:tentative="1" w:tplc="04090019">
      <w:start w:val="1"/>
      <w:numFmt w:val="lowerLetter"/>
      <w:lvlText w:val="%2)"/>
      <w:lvlJc w:val="left"/>
      <w:pPr>
        <w:tabs>
          <w:tab w:pos="1320" w:val="num"/>
        </w:tabs>
        <w:ind w:hanging="420" w:left="1320"/>
      </w:pPr>
    </w:lvl>
    <w:lvl w:ilvl="2" w:tentative="1" w:tplc="0409001B">
      <w:start w:val="1"/>
      <w:numFmt w:val="lowerRoman"/>
      <w:lvlText w:val="%3."/>
      <w:lvlJc w:val="right"/>
      <w:pPr>
        <w:tabs>
          <w:tab w:pos="1740" w:val="num"/>
        </w:tabs>
        <w:ind w:hanging="420" w:left="1740"/>
      </w:pPr>
    </w:lvl>
    <w:lvl w:ilvl="3" w:tentative="1" w:tplc="0409000F">
      <w:start w:val="1"/>
      <w:numFmt w:val="decimal"/>
      <w:lvlText w:val="%4."/>
      <w:lvlJc w:val="left"/>
      <w:pPr>
        <w:tabs>
          <w:tab w:pos="2160" w:val="num"/>
        </w:tabs>
        <w:ind w:hanging="420" w:left="2160"/>
      </w:pPr>
    </w:lvl>
    <w:lvl w:ilvl="4" w:tentative="1" w:tplc="04090019">
      <w:start w:val="1"/>
      <w:numFmt w:val="lowerLetter"/>
      <w:lvlText w:val="%5)"/>
      <w:lvlJc w:val="left"/>
      <w:pPr>
        <w:tabs>
          <w:tab w:pos="2580" w:val="num"/>
        </w:tabs>
        <w:ind w:hanging="420" w:left="2580"/>
      </w:pPr>
    </w:lvl>
    <w:lvl w:ilvl="5" w:tentative="1" w:tplc="0409001B">
      <w:start w:val="1"/>
      <w:numFmt w:val="lowerRoman"/>
      <w:lvlText w:val="%6."/>
      <w:lvlJc w:val="right"/>
      <w:pPr>
        <w:tabs>
          <w:tab w:pos="3000" w:val="num"/>
        </w:tabs>
        <w:ind w:hanging="420" w:left="3000"/>
      </w:pPr>
    </w:lvl>
    <w:lvl w:ilvl="6" w:tentative="1" w:tplc="0409000F">
      <w:start w:val="1"/>
      <w:numFmt w:val="decimal"/>
      <w:lvlText w:val="%7."/>
      <w:lvlJc w:val="left"/>
      <w:pPr>
        <w:tabs>
          <w:tab w:pos="3420" w:val="num"/>
        </w:tabs>
        <w:ind w:hanging="420" w:left="3420"/>
      </w:pPr>
    </w:lvl>
    <w:lvl w:ilvl="7" w:tentative="1" w:tplc="04090019">
      <w:start w:val="1"/>
      <w:numFmt w:val="lowerLetter"/>
      <w:lvlText w:val="%8)"/>
      <w:lvlJc w:val="left"/>
      <w:pPr>
        <w:tabs>
          <w:tab w:pos="3840" w:val="num"/>
        </w:tabs>
        <w:ind w:hanging="420" w:left="3840"/>
      </w:pPr>
    </w:lvl>
    <w:lvl w:ilvl="8" w:tentative="1" w:tplc="0409001B">
      <w:start w:val="1"/>
      <w:numFmt w:val="lowerRoman"/>
      <w:lvlText w:val="%9."/>
      <w:lvlJc w:val="right"/>
      <w:pPr>
        <w:tabs>
          <w:tab w:pos="4260" w:val="num"/>
        </w:tabs>
        <w:ind w:hanging="420" w:left="4260"/>
      </w:pPr>
    </w:lvl>
  </w:abstractNum>
  <w:abstractNum w:abstractNumId="5">
    <w:nsid w:val="64C22724"/>
    <w:multiLevelType w:val="multilevel"/>
    <w:tmpl w:val="0409001D"/>
    <w:numStyleLink w:val="5"/>
  </w:abstractNum>
  <w:abstractNum w:abstractNumId="6">
    <w:nsid w:val="7EC34207"/>
    <w:multiLevelType w:val="hybridMultilevel"/>
    <w:tmpl w:val="58FC50DE"/>
    <w:lvl w:ilvl="0" w:tplc="788C0680">
      <w:start w:val="1"/>
      <w:numFmt w:val="japaneseCounting"/>
      <w:lvlText w:val="%1、"/>
      <w:lvlJc w:val="left"/>
      <w:pPr>
        <w:tabs>
          <w:tab w:pos="480" w:val="num"/>
        </w:tabs>
        <w:ind w:hanging="480" w:left="480"/>
      </w:pPr>
      <w:rPr>
        <w:rFonts w:eastAsia="宋体" w:hint="eastAsia"/>
        <w:color w:val="auto"/>
      </w:rPr>
    </w:lvl>
    <w:lvl w:ilvl="1" w:tplc="D5ACC954">
      <w:start w:val="1"/>
      <w:numFmt w:val="japaneseCounting"/>
      <w:lvlText w:val="(%2)"/>
      <w:lvlJc w:val="left"/>
      <w:pPr>
        <w:tabs>
          <w:tab w:pos="810" w:val="num"/>
        </w:tabs>
        <w:ind w:hanging="390" w:left="810"/>
      </w:pPr>
      <w:rPr>
        <w:rFonts w:hint="eastAsia"/>
      </w:rPr>
    </w:lvl>
    <w:lvl w:ilvl="2" w:tplc="E2F6B948">
      <w:start w:val="1"/>
      <w:numFmt w:val="decimal"/>
      <w:lvlText w:val="%3、"/>
      <w:lvlJc w:val="left"/>
      <w:pPr>
        <w:tabs>
          <w:tab w:pos="1200" w:val="num"/>
        </w:tabs>
        <w:ind w:hanging="360" w:left="1200"/>
      </w:pPr>
      <w:rPr>
        <w:rFonts w:hint="eastAsia"/>
      </w:rPr>
    </w:lvl>
    <w:lvl w:ilvl="3" w:tentative="1" w:tplc="0409000F">
      <w:start w:val="1"/>
      <w:numFmt w:val="decimal"/>
      <w:lvlText w:val="%4."/>
      <w:lvlJc w:val="left"/>
      <w:pPr>
        <w:tabs>
          <w:tab w:pos="1680" w:val="num"/>
        </w:tabs>
        <w:ind w:hanging="420" w:left="1680"/>
      </w:pPr>
    </w:lvl>
    <w:lvl w:ilvl="4" w:tentative="1" w:tplc="04090019">
      <w:start w:val="1"/>
      <w:numFmt w:val="lowerLetter"/>
      <w:lvlText w:val="%5)"/>
      <w:lvlJc w:val="left"/>
      <w:pPr>
        <w:tabs>
          <w:tab w:pos="2100" w:val="num"/>
        </w:tabs>
        <w:ind w:hanging="420" w:left="2100"/>
      </w:pPr>
    </w:lvl>
    <w:lvl w:ilvl="5" w:tentative="1" w:tplc="0409001B">
      <w:start w:val="1"/>
      <w:numFmt w:val="lowerRoman"/>
      <w:lvlText w:val="%6."/>
      <w:lvlJc w:val="right"/>
      <w:pPr>
        <w:tabs>
          <w:tab w:pos="2520" w:val="num"/>
        </w:tabs>
        <w:ind w:hanging="420" w:left="2520"/>
      </w:pPr>
    </w:lvl>
    <w:lvl w:ilvl="6" w:tentative="1" w:tplc="0409000F">
      <w:start w:val="1"/>
      <w:numFmt w:val="decimal"/>
      <w:lvlText w:val="%7."/>
      <w:lvlJc w:val="left"/>
      <w:pPr>
        <w:tabs>
          <w:tab w:pos="2940" w:val="num"/>
        </w:tabs>
        <w:ind w:hanging="420" w:left="2940"/>
      </w:pPr>
    </w:lvl>
    <w:lvl w:ilvl="7" w:tentative="1" w:tplc="04090019">
      <w:start w:val="1"/>
      <w:numFmt w:val="lowerLetter"/>
      <w:lvlText w:val="%8)"/>
      <w:lvlJc w:val="left"/>
      <w:pPr>
        <w:tabs>
          <w:tab w:pos="3360" w:val="num"/>
        </w:tabs>
        <w:ind w:hanging="420" w:left="3360"/>
      </w:pPr>
    </w:lvl>
    <w:lvl w:ilvl="8" w:tentative="1" w:tplc="0409001B">
      <w:start w:val="1"/>
      <w:numFmt w:val="lowerRoman"/>
      <w:lvlText w:val="%9."/>
      <w:lvlJc w:val="right"/>
      <w:pPr>
        <w:tabs>
          <w:tab w:pos="3780" w:val="num"/>
        </w:tabs>
        <w:ind w:hanging="420" w:left="3780"/>
      </w:pPr>
    </w:lvl>
  </w:abstractNum>
  <w:num w:numId="1">
    <w:abstractNumId w:val="6"/>
  </w:num>
  <w:num w:numId="2">
    <w:abstractNumId w:val="4"/>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lvlOverride w:ilvl="0">
      <w:lvl w:ilvl="0">
        <w:numFmt w:val="decimal"/>
        <w:lvlText w:val=""/>
        <w:lvlJc w:val="left"/>
      </w:lvl>
    </w:lvlOverride>
    <w:lvlOverride w:ilvl="1">
      <w:lvl w:ilvl="1">
        <w:start w:val="1"/>
        <w:numFmt w:val="decimal"/>
        <w:lvlText w:val="%1.%2"/>
        <w:lvlJc w:val="left"/>
        <w:pPr>
          <w:tabs>
            <w:tab w:pos="992" w:val="num"/>
          </w:tabs>
          <w:ind w:hanging="567" w:left="992"/>
        </w:pPr>
      </w:lvl>
    </w:lvlOverride>
    <w:lvlOverride w:ilvl="2">
      <w:lvl w:ilvl="2">
        <w:start w:val="1"/>
        <w:numFmt w:val="decimal"/>
        <w:lvlText w:val="%1.%2.%3"/>
        <w:lvlJc w:val="left"/>
        <w:pPr>
          <w:tabs>
            <w:tab w:pos="1418" w:val="num"/>
          </w:tabs>
          <w:ind w:hanging="567" w:left="1418"/>
        </w:pPr>
      </w:lvl>
    </w:lvlOverride>
  </w:num>
  <w:num w:numId="8">
    <w:abstractNumId w:val="3"/>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proofState w:grammar="clean" w:spelling="clean"/>
  <w:attachedTemplate r:id="rId1"/>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efaultTabStop w:val="420"/>
  <w:drawingGridVerticalSpacing w:val="156"/>
  <w:displayHorizontalDrawingGridEvery w:val="0"/>
  <w:displayVerticalDrawingGridEvery w:val="2"/>
  <w:characterSpacingControl w:val="compressPunctuation"/>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02187"/>
    <w:rsid w:val="0000059C"/>
    <w:rsid w:val="000008B1"/>
    <w:rsid w:val="00002791"/>
    <w:rsid w:val="0000403B"/>
    <w:rsid w:val="00007441"/>
    <w:rsid w:val="00007F1F"/>
    <w:rsid w:val="00010A83"/>
    <w:rsid w:val="000137C1"/>
    <w:rsid w:val="000142F4"/>
    <w:rsid w:val="00014851"/>
    <w:rsid w:val="0001579C"/>
    <w:rsid w:val="00016551"/>
    <w:rsid w:val="00016934"/>
    <w:rsid w:val="00020737"/>
    <w:rsid w:val="00020C27"/>
    <w:rsid w:val="000219D5"/>
    <w:rsid w:val="00022396"/>
    <w:rsid w:val="00023073"/>
    <w:rsid w:val="00023B97"/>
    <w:rsid w:val="00024836"/>
    <w:rsid w:val="00024FB8"/>
    <w:rsid w:val="000252D8"/>
    <w:rsid w:val="0003564A"/>
    <w:rsid w:val="00035B0C"/>
    <w:rsid w:val="00042065"/>
    <w:rsid w:val="00043FD2"/>
    <w:rsid w:val="00045BA9"/>
    <w:rsid w:val="00047D87"/>
    <w:rsid w:val="000510AB"/>
    <w:rsid w:val="00053FFD"/>
    <w:rsid w:val="00056D5C"/>
    <w:rsid w:val="00057507"/>
    <w:rsid w:val="00061B0B"/>
    <w:rsid w:val="00061E09"/>
    <w:rsid w:val="00062C69"/>
    <w:rsid w:val="00062DC5"/>
    <w:rsid w:val="00062E1F"/>
    <w:rsid w:val="00064601"/>
    <w:rsid w:val="00064AE3"/>
    <w:rsid w:val="0006750A"/>
    <w:rsid w:val="00075E4E"/>
    <w:rsid w:val="000776C0"/>
    <w:rsid w:val="00077849"/>
    <w:rsid w:val="000803AD"/>
    <w:rsid w:val="000813D6"/>
    <w:rsid w:val="00081D05"/>
    <w:rsid w:val="000827CC"/>
    <w:rsid w:val="000871DB"/>
    <w:rsid w:val="000922C5"/>
    <w:rsid w:val="0009314F"/>
    <w:rsid w:val="00093A23"/>
    <w:rsid w:val="000A08FC"/>
    <w:rsid w:val="000A15F1"/>
    <w:rsid w:val="000A1617"/>
    <w:rsid w:val="000A40A5"/>
    <w:rsid w:val="000A457E"/>
    <w:rsid w:val="000A549A"/>
    <w:rsid w:val="000A5A81"/>
    <w:rsid w:val="000A72F2"/>
    <w:rsid w:val="000A7BFD"/>
    <w:rsid w:val="000B000E"/>
    <w:rsid w:val="000B1CB9"/>
    <w:rsid w:val="000B24AF"/>
    <w:rsid w:val="000B251E"/>
    <w:rsid w:val="000B3E43"/>
    <w:rsid w:val="000B4E99"/>
    <w:rsid w:val="000B648A"/>
    <w:rsid w:val="000C3452"/>
    <w:rsid w:val="000C45E7"/>
    <w:rsid w:val="000C5956"/>
    <w:rsid w:val="000C751D"/>
    <w:rsid w:val="000C757F"/>
    <w:rsid w:val="000C7DD4"/>
    <w:rsid w:val="000D1164"/>
    <w:rsid w:val="000D1BBE"/>
    <w:rsid w:val="000D3773"/>
    <w:rsid w:val="000D4DE9"/>
    <w:rsid w:val="000D53FB"/>
    <w:rsid w:val="000D6660"/>
    <w:rsid w:val="000D6BA0"/>
    <w:rsid w:val="000D7ECA"/>
    <w:rsid w:val="000E2F81"/>
    <w:rsid w:val="000E3726"/>
    <w:rsid w:val="000E39DB"/>
    <w:rsid w:val="000F0558"/>
    <w:rsid w:val="000F0AC3"/>
    <w:rsid w:val="000F175F"/>
    <w:rsid w:val="000F17D1"/>
    <w:rsid w:val="000F1CC9"/>
    <w:rsid w:val="000F5ABD"/>
    <w:rsid w:val="000F60FF"/>
    <w:rsid w:val="000F6F7C"/>
    <w:rsid w:val="001005BB"/>
    <w:rsid w:val="00103B0E"/>
    <w:rsid w:val="001040EA"/>
    <w:rsid w:val="00112BCF"/>
    <w:rsid w:val="00114E7E"/>
    <w:rsid w:val="00117465"/>
    <w:rsid w:val="00117F22"/>
    <w:rsid w:val="00120280"/>
    <w:rsid w:val="001207F2"/>
    <w:rsid w:val="00120862"/>
    <w:rsid w:val="00121533"/>
    <w:rsid w:val="00121F00"/>
    <w:rsid w:val="0012304E"/>
    <w:rsid w:val="00123051"/>
    <w:rsid w:val="001257C7"/>
    <w:rsid w:val="00125E66"/>
    <w:rsid w:val="00126AC0"/>
    <w:rsid w:val="00126C2B"/>
    <w:rsid w:val="00127A01"/>
    <w:rsid w:val="00130D77"/>
    <w:rsid w:val="00130E37"/>
    <w:rsid w:val="00131EF6"/>
    <w:rsid w:val="0013251D"/>
    <w:rsid w:val="00134734"/>
    <w:rsid w:val="00134CBE"/>
    <w:rsid w:val="00140C30"/>
    <w:rsid w:val="00142C74"/>
    <w:rsid w:val="00145E5B"/>
    <w:rsid w:val="00147319"/>
    <w:rsid w:val="00147551"/>
    <w:rsid w:val="0015012F"/>
    <w:rsid w:val="00150C2E"/>
    <w:rsid w:val="0015170D"/>
    <w:rsid w:val="001517AE"/>
    <w:rsid w:val="00153CF9"/>
    <w:rsid w:val="00154FA5"/>
    <w:rsid w:val="0015531A"/>
    <w:rsid w:val="00156F9D"/>
    <w:rsid w:val="001602E3"/>
    <w:rsid w:val="00160539"/>
    <w:rsid w:val="00161548"/>
    <w:rsid w:val="0017176A"/>
    <w:rsid w:val="00172B54"/>
    <w:rsid w:val="00176312"/>
    <w:rsid w:val="00176874"/>
    <w:rsid w:val="0017725A"/>
    <w:rsid w:val="0018052A"/>
    <w:rsid w:val="00180952"/>
    <w:rsid w:val="0018191A"/>
    <w:rsid w:val="001837D3"/>
    <w:rsid w:val="001857CB"/>
    <w:rsid w:val="00185B68"/>
    <w:rsid w:val="00186199"/>
    <w:rsid w:val="00194155"/>
    <w:rsid w:val="001A0417"/>
    <w:rsid w:val="001A0B71"/>
    <w:rsid w:val="001A1389"/>
    <w:rsid w:val="001A3016"/>
    <w:rsid w:val="001A3914"/>
    <w:rsid w:val="001A5FA6"/>
    <w:rsid w:val="001A78CC"/>
    <w:rsid w:val="001B053A"/>
    <w:rsid w:val="001B06D5"/>
    <w:rsid w:val="001B0C78"/>
    <w:rsid w:val="001B1A13"/>
    <w:rsid w:val="001B22BA"/>
    <w:rsid w:val="001B67D3"/>
    <w:rsid w:val="001C2045"/>
    <w:rsid w:val="001C5040"/>
    <w:rsid w:val="001C715A"/>
    <w:rsid w:val="001D0F6A"/>
    <w:rsid w:val="001D2FA5"/>
    <w:rsid w:val="001D3394"/>
    <w:rsid w:val="001D3D57"/>
    <w:rsid w:val="001D4980"/>
    <w:rsid w:val="001D5045"/>
    <w:rsid w:val="001D5A44"/>
    <w:rsid w:val="001D5CD0"/>
    <w:rsid w:val="001D724B"/>
    <w:rsid w:val="001E023C"/>
    <w:rsid w:val="001E0BA5"/>
    <w:rsid w:val="001F03E1"/>
    <w:rsid w:val="001F1F19"/>
    <w:rsid w:val="001F2BD1"/>
    <w:rsid w:val="001F3080"/>
    <w:rsid w:val="001F3CC6"/>
    <w:rsid w:val="001F5028"/>
    <w:rsid w:val="001F5F5F"/>
    <w:rsid w:val="001F66D3"/>
    <w:rsid w:val="00205064"/>
    <w:rsid w:val="0020548A"/>
    <w:rsid w:val="00206EC3"/>
    <w:rsid w:val="00211668"/>
    <w:rsid w:val="002118A6"/>
    <w:rsid w:val="002122FF"/>
    <w:rsid w:val="002125F7"/>
    <w:rsid w:val="0021288A"/>
    <w:rsid w:val="002150AC"/>
    <w:rsid w:val="002164B5"/>
    <w:rsid w:val="00221938"/>
    <w:rsid w:val="00222262"/>
    <w:rsid w:val="002230A8"/>
    <w:rsid w:val="00225E1C"/>
    <w:rsid w:val="00227D20"/>
    <w:rsid w:val="00231BCE"/>
    <w:rsid w:val="00233CFB"/>
    <w:rsid w:val="002359EB"/>
    <w:rsid w:val="0023649E"/>
    <w:rsid w:val="00241740"/>
    <w:rsid w:val="002424E4"/>
    <w:rsid w:val="00243122"/>
    <w:rsid w:val="002437F5"/>
    <w:rsid w:val="00244DB1"/>
    <w:rsid w:val="00245012"/>
    <w:rsid w:val="0024504E"/>
    <w:rsid w:val="00245B76"/>
    <w:rsid w:val="0024651F"/>
    <w:rsid w:val="00246874"/>
    <w:rsid w:val="00246D81"/>
    <w:rsid w:val="00250869"/>
    <w:rsid w:val="00251920"/>
    <w:rsid w:val="00253D3C"/>
    <w:rsid w:val="00254A7E"/>
    <w:rsid w:val="00255292"/>
    <w:rsid w:val="00256047"/>
    <w:rsid w:val="0025722F"/>
    <w:rsid w:val="00257E84"/>
    <w:rsid w:val="00260200"/>
    <w:rsid w:val="00263106"/>
    <w:rsid w:val="002642F2"/>
    <w:rsid w:val="00264AE1"/>
    <w:rsid w:val="00266645"/>
    <w:rsid w:val="00267386"/>
    <w:rsid w:val="00267C2E"/>
    <w:rsid w:val="00267DA9"/>
    <w:rsid w:val="00275FD0"/>
    <w:rsid w:val="00280514"/>
    <w:rsid w:val="002819E7"/>
    <w:rsid w:val="00282FF2"/>
    <w:rsid w:val="00283483"/>
    <w:rsid w:val="002844B5"/>
    <w:rsid w:val="0028459B"/>
    <w:rsid w:val="002872F8"/>
    <w:rsid w:val="00296E4A"/>
    <w:rsid w:val="002976E5"/>
    <w:rsid w:val="002A1F14"/>
    <w:rsid w:val="002A2678"/>
    <w:rsid w:val="002A3369"/>
    <w:rsid w:val="002A4B8A"/>
    <w:rsid w:val="002A5161"/>
    <w:rsid w:val="002A5C0F"/>
    <w:rsid w:val="002A61BA"/>
    <w:rsid w:val="002A6385"/>
    <w:rsid w:val="002A7929"/>
    <w:rsid w:val="002B41D7"/>
    <w:rsid w:val="002B5240"/>
    <w:rsid w:val="002B6A13"/>
    <w:rsid w:val="002C0904"/>
    <w:rsid w:val="002C0F67"/>
    <w:rsid w:val="002C1E84"/>
    <w:rsid w:val="002C32ED"/>
    <w:rsid w:val="002C36C3"/>
    <w:rsid w:val="002C77CC"/>
    <w:rsid w:val="002D2A00"/>
    <w:rsid w:val="002D5199"/>
    <w:rsid w:val="002E2862"/>
    <w:rsid w:val="002E4C01"/>
    <w:rsid w:val="002F0516"/>
    <w:rsid w:val="002F22D2"/>
    <w:rsid w:val="002F778A"/>
    <w:rsid w:val="002F7889"/>
    <w:rsid w:val="00302187"/>
    <w:rsid w:val="003028D8"/>
    <w:rsid w:val="0030290F"/>
    <w:rsid w:val="00302DE9"/>
    <w:rsid w:val="0030385E"/>
    <w:rsid w:val="00303869"/>
    <w:rsid w:val="00303F1D"/>
    <w:rsid w:val="00305084"/>
    <w:rsid w:val="00311ABF"/>
    <w:rsid w:val="003123E9"/>
    <w:rsid w:val="00314A81"/>
    <w:rsid w:val="00314DD2"/>
    <w:rsid w:val="00315A7C"/>
    <w:rsid w:val="00317705"/>
    <w:rsid w:val="003204E9"/>
    <w:rsid w:val="003232AA"/>
    <w:rsid w:val="00323A10"/>
    <w:rsid w:val="00323E6A"/>
    <w:rsid w:val="00323F25"/>
    <w:rsid w:val="00324A71"/>
    <w:rsid w:val="003303E3"/>
    <w:rsid w:val="0033236C"/>
    <w:rsid w:val="00334656"/>
    <w:rsid w:val="00337A86"/>
    <w:rsid w:val="0034147B"/>
    <w:rsid w:val="00341889"/>
    <w:rsid w:val="003426CE"/>
    <w:rsid w:val="00343016"/>
    <w:rsid w:val="0034447B"/>
    <w:rsid w:val="00350C22"/>
    <w:rsid w:val="00351704"/>
    <w:rsid w:val="003570C8"/>
    <w:rsid w:val="00367770"/>
    <w:rsid w:val="00371424"/>
    <w:rsid w:val="00371FF4"/>
    <w:rsid w:val="00372209"/>
    <w:rsid w:val="00377160"/>
    <w:rsid w:val="003771ED"/>
    <w:rsid w:val="0037768B"/>
    <w:rsid w:val="00382E6F"/>
    <w:rsid w:val="00387C00"/>
    <w:rsid w:val="00397960"/>
    <w:rsid w:val="00397F75"/>
    <w:rsid w:val="003A2008"/>
    <w:rsid w:val="003A3BC4"/>
    <w:rsid w:val="003A4AA3"/>
    <w:rsid w:val="003B405E"/>
    <w:rsid w:val="003B4843"/>
    <w:rsid w:val="003B494E"/>
    <w:rsid w:val="003B560C"/>
    <w:rsid w:val="003C6E9E"/>
    <w:rsid w:val="003C792F"/>
    <w:rsid w:val="003D117A"/>
    <w:rsid w:val="003D36B2"/>
    <w:rsid w:val="003D42D5"/>
    <w:rsid w:val="003D78B5"/>
    <w:rsid w:val="003E0BD4"/>
    <w:rsid w:val="003E45B9"/>
    <w:rsid w:val="003E654C"/>
    <w:rsid w:val="003F0DE5"/>
    <w:rsid w:val="003F46FC"/>
    <w:rsid w:val="003F4AA5"/>
    <w:rsid w:val="003F697D"/>
    <w:rsid w:val="003F7C45"/>
    <w:rsid w:val="00400500"/>
    <w:rsid w:val="0040132C"/>
    <w:rsid w:val="0040218E"/>
    <w:rsid w:val="00404257"/>
    <w:rsid w:val="00407F66"/>
    <w:rsid w:val="004113B4"/>
    <w:rsid w:val="0041220A"/>
    <w:rsid w:val="00413B96"/>
    <w:rsid w:val="00413C2C"/>
    <w:rsid w:val="00415168"/>
    <w:rsid w:val="00415B04"/>
    <w:rsid w:val="00416A6B"/>
    <w:rsid w:val="0042044C"/>
    <w:rsid w:val="00421624"/>
    <w:rsid w:val="00424151"/>
    <w:rsid w:val="00425A5A"/>
    <w:rsid w:val="00425FB6"/>
    <w:rsid w:val="004268BB"/>
    <w:rsid w:val="0042785F"/>
    <w:rsid w:val="004314FF"/>
    <w:rsid w:val="004358D6"/>
    <w:rsid w:val="004408EC"/>
    <w:rsid w:val="00440F74"/>
    <w:rsid w:val="00441FEC"/>
    <w:rsid w:val="004425E8"/>
    <w:rsid w:val="0044280E"/>
    <w:rsid w:val="00443C8F"/>
    <w:rsid w:val="00447BC6"/>
    <w:rsid w:val="004501CE"/>
    <w:rsid w:val="00452481"/>
    <w:rsid w:val="00452B25"/>
    <w:rsid w:val="00453417"/>
    <w:rsid w:val="00454A0F"/>
    <w:rsid w:val="0046335D"/>
    <w:rsid w:val="00463C2C"/>
    <w:rsid w:val="00483271"/>
    <w:rsid w:val="0049210E"/>
    <w:rsid w:val="0049297D"/>
    <w:rsid w:val="0049327D"/>
    <w:rsid w:val="0049405D"/>
    <w:rsid w:val="0049455C"/>
    <w:rsid w:val="00495A03"/>
    <w:rsid w:val="004A1BE1"/>
    <w:rsid w:val="004A63CB"/>
    <w:rsid w:val="004A67B0"/>
    <w:rsid w:val="004A6FB2"/>
    <w:rsid w:val="004B0847"/>
    <w:rsid w:val="004B0E6D"/>
    <w:rsid w:val="004B16E8"/>
    <w:rsid w:val="004B54B8"/>
    <w:rsid w:val="004C0541"/>
    <w:rsid w:val="004C634A"/>
    <w:rsid w:val="004C660B"/>
    <w:rsid w:val="004D050C"/>
    <w:rsid w:val="004D23D9"/>
    <w:rsid w:val="004D3537"/>
    <w:rsid w:val="004D45B6"/>
    <w:rsid w:val="004D4D4E"/>
    <w:rsid w:val="004D614E"/>
    <w:rsid w:val="004D650F"/>
    <w:rsid w:val="004E2133"/>
    <w:rsid w:val="004E4E04"/>
    <w:rsid w:val="004E70B7"/>
    <w:rsid w:val="004F521C"/>
    <w:rsid w:val="005002A3"/>
    <w:rsid w:val="00502CD8"/>
    <w:rsid w:val="0050361C"/>
    <w:rsid w:val="0050527A"/>
    <w:rsid w:val="00506A40"/>
    <w:rsid w:val="0051064F"/>
    <w:rsid w:val="00513A0E"/>
    <w:rsid w:val="005142E5"/>
    <w:rsid w:val="00515D7B"/>
    <w:rsid w:val="00515F29"/>
    <w:rsid w:val="0052009E"/>
    <w:rsid w:val="00524880"/>
    <w:rsid w:val="00530161"/>
    <w:rsid w:val="005413D4"/>
    <w:rsid w:val="0054389B"/>
    <w:rsid w:val="005450F7"/>
    <w:rsid w:val="00545A0B"/>
    <w:rsid w:val="00545BED"/>
    <w:rsid w:val="0054672F"/>
    <w:rsid w:val="00547A9A"/>
    <w:rsid w:val="00547FA4"/>
    <w:rsid w:val="005536D4"/>
    <w:rsid w:val="00553EC8"/>
    <w:rsid w:val="0055493E"/>
    <w:rsid w:val="005564EE"/>
    <w:rsid w:val="00557D4A"/>
    <w:rsid w:val="0056176B"/>
    <w:rsid w:val="00561889"/>
    <w:rsid w:val="005621F6"/>
    <w:rsid w:val="0056291C"/>
    <w:rsid w:val="005668D3"/>
    <w:rsid w:val="00566EBD"/>
    <w:rsid w:val="0057154B"/>
    <w:rsid w:val="005742DB"/>
    <w:rsid w:val="00577209"/>
    <w:rsid w:val="005800A9"/>
    <w:rsid w:val="00581139"/>
    <w:rsid w:val="00581645"/>
    <w:rsid w:val="00583723"/>
    <w:rsid w:val="0058694E"/>
    <w:rsid w:val="005875F9"/>
    <w:rsid w:val="00593A35"/>
    <w:rsid w:val="00593C74"/>
    <w:rsid w:val="00597D8B"/>
    <w:rsid w:val="005A46FF"/>
    <w:rsid w:val="005A557E"/>
    <w:rsid w:val="005A63FD"/>
    <w:rsid w:val="005B462A"/>
    <w:rsid w:val="005B5137"/>
    <w:rsid w:val="005B6047"/>
    <w:rsid w:val="005C0ED7"/>
    <w:rsid w:val="005C4AE5"/>
    <w:rsid w:val="005C5409"/>
    <w:rsid w:val="005C6FF7"/>
    <w:rsid w:val="005C7D00"/>
    <w:rsid w:val="005D01A4"/>
    <w:rsid w:val="005D0BAB"/>
    <w:rsid w:val="005D1893"/>
    <w:rsid w:val="005D26E9"/>
    <w:rsid w:val="005D2CAA"/>
    <w:rsid w:val="005D4CBA"/>
    <w:rsid w:val="005E01A3"/>
    <w:rsid w:val="005E0354"/>
    <w:rsid w:val="005E6C62"/>
    <w:rsid w:val="005E6F13"/>
    <w:rsid w:val="005E726C"/>
    <w:rsid w:val="005F293E"/>
    <w:rsid w:val="005F43B9"/>
    <w:rsid w:val="005F458B"/>
    <w:rsid w:val="005F4A6A"/>
    <w:rsid w:val="005F4E28"/>
    <w:rsid w:val="005F56BA"/>
    <w:rsid w:val="0060008E"/>
    <w:rsid w:val="00602321"/>
    <w:rsid w:val="006033E3"/>
    <w:rsid w:val="00606B29"/>
    <w:rsid w:val="0060758A"/>
    <w:rsid w:val="00607D0E"/>
    <w:rsid w:val="006101F5"/>
    <w:rsid w:val="00610DA5"/>
    <w:rsid w:val="00611663"/>
    <w:rsid w:val="0061321C"/>
    <w:rsid w:val="00613F44"/>
    <w:rsid w:val="006160BD"/>
    <w:rsid w:val="0061679A"/>
    <w:rsid w:val="00617125"/>
    <w:rsid w:val="00620EDB"/>
    <w:rsid w:val="0062386E"/>
    <w:rsid w:val="00623DB6"/>
    <w:rsid w:val="00624EDE"/>
    <w:rsid w:val="006253EF"/>
    <w:rsid w:val="00626075"/>
    <w:rsid w:val="0062680E"/>
    <w:rsid w:val="00631158"/>
    <w:rsid w:val="00632923"/>
    <w:rsid w:val="006341E6"/>
    <w:rsid w:val="00634439"/>
    <w:rsid w:val="006366C6"/>
    <w:rsid w:val="00636B55"/>
    <w:rsid w:val="00636EB1"/>
    <w:rsid w:val="006373D6"/>
    <w:rsid w:val="006403D4"/>
    <w:rsid w:val="00642CBC"/>
    <w:rsid w:val="00643760"/>
    <w:rsid w:val="0064454A"/>
    <w:rsid w:val="00645293"/>
    <w:rsid w:val="0064698F"/>
    <w:rsid w:val="00651B78"/>
    <w:rsid w:val="0065237A"/>
    <w:rsid w:val="00652FF5"/>
    <w:rsid w:val="00654382"/>
    <w:rsid w:val="00654758"/>
    <w:rsid w:val="00661244"/>
    <w:rsid w:val="006640DF"/>
    <w:rsid w:val="00666A3C"/>
    <w:rsid w:val="00667519"/>
    <w:rsid w:val="006676A0"/>
    <w:rsid w:val="00670857"/>
    <w:rsid w:val="00670868"/>
    <w:rsid w:val="00673D69"/>
    <w:rsid w:val="00676431"/>
    <w:rsid w:val="0068050D"/>
    <w:rsid w:val="00685FFC"/>
    <w:rsid w:val="00686943"/>
    <w:rsid w:val="00686EDE"/>
    <w:rsid w:val="00687AD5"/>
    <w:rsid w:val="00690A31"/>
    <w:rsid w:val="006911CE"/>
    <w:rsid w:val="00695251"/>
    <w:rsid w:val="00695B58"/>
    <w:rsid w:val="0069798D"/>
    <w:rsid w:val="006A4828"/>
    <w:rsid w:val="006A7C09"/>
    <w:rsid w:val="006B046C"/>
    <w:rsid w:val="006B252F"/>
    <w:rsid w:val="006B3940"/>
    <w:rsid w:val="006B3FDB"/>
    <w:rsid w:val="006B4DD1"/>
    <w:rsid w:val="006B66FE"/>
    <w:rsid w:val="006C168D"/>
    <w:rsid w:val="006C4033"/>
    <w:rsid w:val="006C642C"/>
    <w:rsid w:val="006D3BC4"/>
    <w:rsid w:val="006D7386"/>
    <w:rsid w:val="006E0DAD"/>
    <w:rsid w:val="006E313F"/>
    <w:rsid w:val="006E3EFB"/>
    <w:rsid w:val="006F1F1A"/>
    <w:rsid w:val="006F5AC2"/>
    <w:rsid w:val="006F5B4C"/>
    <w:rsid w:val="006F6C28"/>
    <w:rsid w:val="007007EB"/>
    <w:rsid w:val="00701F57"/>
    <w:rsid w:val="00703E8A"/>
    <w:rsid w:val="00706046"/>
    <w:rsid w:val="007112F0"/>
    <w:rsid w:val="00711343"/>
    <w:rsid w:val="00714309"/>
    <w:rsid w:val="0071450F"/>
    <w:rsid w:val="00714C6F"/>
    <w:rsid w:val="0071681D"/>
    <w:rsid w:val="00717772"/>
    <w:rsid w:val="00721DBE"/>
    <w:rsid w:val="007226EC"/>
    <w:rsid w:val="00722B5E"/>
    <w:rsid w:val="00724F6D"/>
    <w:rsid w:val="0072678C"/>
    <w:rsid w:val="00732D1D"/>
    <w:rsid w:val="007350D4"/>
    <w:rsid w:val="00736034"/>
    <w:rsid w:val="00740707"/>
    <w:rsid w:val="0074120F"/>
    <w:rsid w:val="00743764"/>
    <w:rsid w:val="00743B2D"/>
    <w:rsid w:val="00747930"/>
    <w:rsid w:val="0075060E"/>
    <w:rsid w:val="00752E8B"/>
    <w:rsid w:val="007541BB"/>
    <w:rsid w:val="00754D62"/>
    <w:rsid w:val="00756CFF"/>
    <w:rsid w:val="00757FD7"/>
    <w:rsid w:val="00761B7A"/>
    <w:rsid w:val="007651E5"/>
    <w:rsid w:val="00765256"/>
    <w:rsid w:val="007661B8"/>
    <w:rsid w:val="007661D4"/>
    <w:rsid w:val="007661FD"/>
    <w:rsid w:val="00766A7C"/>
    <w:rsid w:val="00767A27"/>
    <w:rsid w:val="0077111A"/>
    <w:rsid w:val="00775419"/>
    <w:rsid w:val="007763A5"/>
    <w:rsid w:val="0078008C"/>
    <w:rsid w:val="0078105B"/>
    <w:rsid w:val="00782390"/>
    <w:rsid w:val="00782B50"/>
    <w:rsid w:val="00784FE0"/>
    <w:rsid w:val="007858B1"/>
    <w:rsid w:val="0078648E"/>
    <w:rsid w:val="00791A3A"/>
    <w:rsid w:val="00791D9C"/>
    <w:rsid w:val="007A391B"/>
    <w:rsid w:val="007A4409"/>
    <w:rsid w:val="007A4F37"/>
    <w:rsid w:val="007A5241"/>
    <w:rsid w:val="007A59B8"/>
    <w:rsid w:val="007B06C7"/>
    <w:rsid w:val="007B3D06"/>
    <w:rsid w:val="007B42F5"/>
    <w:rsid w:val="007B5157"/>
    <w:rsid w:val="007B5CD8"/>
    <w:rsid w:val="007C04A1"/>
    <w:rsid w:val="007C1122"/>
    <w:rsid w:val="007C19EC"/>
    <w:rsid w:val="007C364E"/>
    <w:rsid w:val="007C5359"/>
    <w:rsid w:val="007C6701"/>
    <w:rsid w:val="007D16ED"/>
    <w:rsid w:val="007D2398"/>
    <w:rsid w:val="007D440B"/>
    <w:rsid w:val="007D5908"/>
    <w:rsid w:val="007D62F9"/>
    <w:rsid w:val="007D63A4"/>
    <w:rsid w:val="007D732D"/>
    <w:rsid w:val="007E0F19"/>
    <w:rsid w:val="007E2A84"/>
    <w:rsid w:val="007E5ECB"/>
    <w:rsid w:val="007F063D"/>
    <w:rsid w:val="007F0D73"/>
    <w:rsid w:val="007F2FC8"/>
    <w:rsid w:val="007F432A"/>
    <w:rsid w:val="007F63AA"/>
    <w:rsid w:val="008006B7"/>
    <w:rsid w:val="008032FD"/>
    <w:rsid w:val="00806461"/>
    <w:rsid w:val="008064CE"/>
    <w:rsid w:val="0080673A"/>
    <w:rsid w:val="00807A94"/>
    <w:rsid w:val="00810B79"/>
    <w:rsid w:val="00810EAD"/>
    <w:rsid w:val="00812803"/>
    <w:rsid w:val="008129C0"/>
    <w:rsid w:val="00813B0C"/>
    <w:rsid w:val="00814530"/>
    <w:rsid w:val="00815386"/>
    <w:rsid w:val="00821F9C"/>
    <w:rsid w:val="00825570"/>
    <w:rsid w:val="00826403"/>
    <w:rsid w:val="00827990"/>
    <w:rsid w:val="00834CA6"/>
    <w:rsid w:val="0083623B"/>
    <w:rsid w:val="008379E4"/>
    <w:rsid w:val="00837E59"/>
    <w:rsid w:val="00842100"/>
    <w:rsid w:val="008428A9"/>
    <w:rsid w:val="0084308F"/>
    <w:rsid w:val="00846C2B"/>
    <w:rsid w:val="0085139A"/>
    <w:rsid w:val="008524F6"/>
    <w:rsid w:val="00854B3F"/>
    <w:rsid w:val="00861C2C"/>
    <w:rsid w:val="008668B8"/>
    <w:rsid w:val="00866D32"/>
    <w:rsid w:val="0086748F"/>
    <w:rsid w:val="00867B4D"/>
    <w:rsid w:val="00867CF3"/>
    <w:rsid w:val="00870278"/>
    <w:rsid w:val="00874AB5"/>
    <w:rsid w:val="008750A9"/>
    <w:rsid w:val="00875A68"/>
    <w:rsid w:val="00877671"/>
    <w:rsid w:val="00877A13"/>
    <w:rsid w:val="008869BC"/>
    <w:rsid w:val="00887DDD"/>
    <w:rsid w:val="00887DE6"/>
    <w:rsid w:val="00887E9F"/>
    <w:rsid w:val="008908AA"/>
    <w:rsid w:val="00890E08"/>
    <w:rsid w:val="00894DCA"/>
    <w:rsid w:val="00897D88"/>
    <w:rsid w:val="008A00BE"/>
    <w:rsid w:val="008A1539"/>
    <w:rsid w:val="008A2C5D"/>
    <w:rsid w:val="008A3BE2"/>
    <w:rsid w:val="008A6B30"/>
    <w:rsid w:val="008B05E7"/>
    <w:rsid w:val="008B0758"/>
    <w:rsid w:val="008B1875"/>
    <w:rsid w:val="008B4146"/>
    <w:rsid w:val="008B5312"/>
    <w:rsid w:val="008B59CE"/>
    <w:rsid w:val="008B6078"/>
    <w:rsid w:val="008B7110"/>
    <w:rsid w:val="008B7F4A"/>
    <w:rsid w:val="008C04E1"/>
    <w:rsid w:val="008C04FE"/>
    <w:rsid w:val="008C2F50"/>
    <w:rsid w:val="008C3109"/>
    <w:rsid w:val="008C5312"/>
    <w:rsid w:val="008C5DBD"/>
    <w:rsid w:val="008C61D6"/>
    <w:rsid w:val="008D49AF"/>
    <w:rsid w:val="008D4A2B"/>
    <w:rsid w:val="008D4A9F"/>
    <w:rsid w:val="008D6294"/>
    <w:rsid w:val="008E1FE0"/>
    <w:rsid w:val="008E3939"/>
    <w:rsid w:val="008E3DDD"/>
    <w:rsid w:val="008E58D6"/>
    <w:rsid w:val="008F1426"/>
    <w:rsid w:val="008F2125"/>
    <w:rsid w:val="008F23F4"/>
    <w:rsid w:val="008F61C4"/>
    <w:rsid w:val="008F7763"/>
    <w:rsid w:val="009007CB"/>
    <w:rsid w:val="009010F0"/>
    <w:rsid w:val="00901162"/>
    <w:rsid w:val="00901D46"/>
    <w:rsid w:val="009028E2"/>
    <w:rsid w:val="00903692"/>
    <w:rsid w:val="00904E07"/>
    <w:rsid w:val="00912BAF"/>
    <w:rsid w:val="00914EAB"/>
    <w:rsid w:val="0091541F"/>
    <w:rsid w:val="009165E9"/>
    <w:rsid w:val="00920D98"/>
    <w:rsid w:val="0092249B"/>
    <w:rsid w:val="00922D49"/>
    <w:rsid w:val="009238DB"/>
    <w:rsid w:val="00925E37"/>
    <w:rsid w:val="00925EDD"/>
    <w:rsid w:val="00930079"/>
    <w:rsid w:val="00930966"/>
    <w:rsid w:val="00932F64"/>
    <w:rsid w:val="00936075"/>
    <w:rsid w:val="00936D40"/>
    <w:rsid w:val="00937445"/>
    <w:rsid w:val="00937ABF"/>
    <w:rsid w:val="00937DB1"/>
    <w:rsid w:val="009407FE"/>
    <w:rsid w:val="009463CC"/>
    <w:rsid w:val="00950413"/>
    <w:rsid w:val="0095078E"/>
    <w:rsid w:val="00952404"/>
    <w:rsid w:val="00952A72"/>
    <w:rsid w:val="009530AC"/>
    <w:rsid w:val="009550A8"/>
    <w:rsid w:val="00955FF2"/>
    <w:rsid w:val="0095693D"/>
    <w:rsid w:val="00956B0D"/>
    <w:rsid w:val="0096260B"/>
    <w:rsid w:val="009631C1"/>
    <w:rsid w:val="00963918"/>
    <w:rsid w:val="00970C69"/>
    <w:rsid w:val="00973B57"/>
    <w:rsid w:val="00973E0D"/>
    <w:rsid w:val="0097403F"/>
    <w:rsid w:val="00975D18"/>
    <w:rsid w:val="00976797"/>
    <w:rsid w:val="00980C0C"/>
    <w:rsid w:val="00982E47"/>
    <w:rsid w:val="00983E7D"/>
    <w:rsid w:val="00985F0E"/>
    <w:rsid w:val="00986963"/>
    <w:rsid w:val="00990ABB"/>
    <w:rsid w:val="00991642"/>
    <w:rsid w:val="0099260C"/>
    <w:rsid w:val="009942F4"/>
    <w:rsid w:val="00995B3C"/>
    <w:rsid w:val="009A045B"/>
    <w:rsid w:val="009A0513"/>
    <w:rsid w:val="009A2283"/>
    <w:rsid w:val="009A31AF"/>
    <w:rsid w:val="009A3507"/>
    <w:rsid w:val="009A5C1D"/>
    <w:rsid w:val="009B4286"/>
    <w:rsid w:val="009B5BF9"/>
    <w:rsid w:val="009B5DAF"/>
    <w:rsid w:val="009B5F83"/>
    <w:rsid w:val="009B61C5"/>
    <w:rsid w:val="009B769E"/>
    <w:rsid w:val="009C03E5"/>
    <w:rsid w:val="009C4D19"/>
    <w:rsid w:val="009C5FDB"/>
    <w:rsid w:val="009C65AF"/>
    <w:rsid w:val="009C67A4"/>
    <w:rsid w:val="009C70CB"/>
    <w:rsid w:val="009C74DD"/>
    <w:rsid w:val="009D27AA"/>
    <w:rsid w:val="009D2AD9"/>
    <w:rsid w:val="009D514E"/>
    <w:rsid w:val="009D5C39"/>
    <w:rsid w:val="009D6FED"/>
    <w:rsid w:val="009E0A95"/>
    <w:rsid w:val="009E0D47"/>
    <w:rsid w:val="009E549D"/>
    <w:rsid w:val="009E54AF"/>
    <w:rsid w:val="009E5C59"/>
    <w:rsid w:val="009E6BB8"/>
    <w:rsid w:val="009F1CC3"/>
    <w:rsid w:val="009F26F2"/>
    <w:rsid w:val="009F3E1E"/>
    <w:rsid w:val="009F4CC5"/>
    <w:rsid w:val="009F6550"/>
    <w:rsid w:val="00A003BE"/>
    <w:rsid w:val="00A01C74"/>
    <w:rsid w:val="00A02F51"/>
    <w:rsid w:val="00A0520F"/>
    <w:rsid w:val="00A05ACE"/>
    <w:rsid w:val="00A06788"/>
    <w:rsid w:val="00A104A4"/>
    <w:rsid w:val="00A10D63"/>
    <w:rsid w:val="00A115BC"/>
    <w:rsid w:val="00A11776"/>
    <w:rsid w:val="00A1276C"/>
    <w:rsid w:val="00A14098"/>
    <w:rsid w:val="00A14304"/>
    <w:rsid w:val="00A14399"/>
    <w:rsid w:val="00A14C46"/>
    <w:rsid w:val="00A15524"/>
    <w:rsid w:val="00A15EE9"/>
    <w:rsid w:val="00A16675"/>
    <w:rsid w:val="00A1724E"/>
    <w:rsid w:val="00A20263"/>
    <w:rsid w:val="00A22E07"/>
    <w:rsid w:val="00A26437"/>
    <w:rsid w:val="00A32410"/>
    <w:rsid w:val="00A32B48"/>
    <w:rsid w:val="00A36D00"/>
    <w:rsid w:val="00A43389"/>
    <w:rsid w:val="00A4642E"/>
    <w:rsid w:val="00A47AF8"/>
    <w:rsid w:val="00A50AC8"/>
    <w:rsid w:val="00A52D75"/>
    <w:rsid w:val="00A53013"/>
    <w:rsid w:val="00A54BD6"/>
    <w:rsid w:val="00A5643A"/>
    <w:rsid w:val="00A57678"/>
    <w:rsid w:val="00A6090C"/>
    <w:rsid w:val="00A6200E"/>
    <w:rsid w:val="00A62D1E"/>
    <w:rsid w:val="00A65C6D"/>
    <w:rsid w:val="00A716B9"/>
    <w:rsid w:val="00A720D8"/>
    <w:rsid w:val="00A72216"/>
    <w:rsid w:val="00A733F2"/>
    <w:rsid w:val="00A75705"/>
    <w:rsid w:val="00A75BE1"/>
    <w:rsid w:val="00A8187C"/>
    <w:rsid w:val="00A82C9E"/>
    <w:rsid w:val="00A8324F"/>
    <w:rsid w:val="00A85142"/>
    <w:rsid w:val="00A95B37"/>
    <w:rsid w:val="00A96B6F"/>
    <w:rsid w:val="00AA0CE8"/>
    <w:rsid w:val="00AA35FD"/>
    <w:rsid w:val="00AA3DB7"/>
    <w:rsid w:val="00AA5F63"/>
    <w:rsid w:val="00AA7EBD"/>
    <w:rsid w:val="00AB2431"/>
    <w:rsid w:val="00AB69EF"/>
    <w:rsid w:val="00AC11DC"/>
    <w:rsid w:val="00AC3E87"/>
    <w:rsid w:val="00AC469F"/>
    <w:rsid w:val="00AD0611"/>
    <w:rsid w:val="00AD0E4F"/>
    <w:rsid w:val="00AD26D7"/>
    <w:rsid w:val="00AD3905"/>
    <w:rsid w:val="00AD4555"/>
    <w:rsid w:val="00AD4A31"/>
    <w:rsid w:val="00AD5638"/>
    <w:rsid w:val="00AD7214"/>
    <w:rsid w:val="00AE1066"/>
    <w:rsid w:val="00AE12A4"/>
    <w:rsid w:val="00AE2E1B"/>
    <w:rsid w:val="00AE33EA"/>
    <w:rsid w:val="00AE5129"/>
    <w:rsid w:val="00AE5645"/>
    <w:rsid w:val="00AF1D6B"/>
    <w:rsid w:val="00AF24AA"/>
    <w:rsid w:val="00AF3AF9"/>
    <w:rsid w:val="00AF3E5F"/>
    <w:rsid w:val="00AF4CE4"/>
    <w:rsid w:val="00AF4F09"/>
    <w:rsid w:val="00AF643E"/>
    <w:rsid w:val="00AF79C8"/>
    <w:rsid w:val="00B007B6"/>
    <w:rsid w:val="00B00FA8"/>
    <w:rsid w:val="00B011B0"/>
    <w:rsid w:val="00B0270C"/>
    <w:rsid w:val="00B0391C"/>
    <w:rsid w:val="00B047F6"/>
    <w:rsid w:val="00B06019"/>
    <w:rsid w:val="00B0700F"/>
    <w:rsid w:val="00B1493B"/>
    <w:rsid w:val="00B15119"/>
    <w:rsid w:val="00B17169"/>
    <w:rsid w:val="00B20F47"/>
    <w:rsid w:val="00B23996"/>
    <w:rsid w:val="00B23CB2"/>
    <w:rsid w:val="00B24A18"/>
    <w:rsid w:val="00B255C5"/>
    <w:rsid w:val="00B25807"/>
    <w:rsid w:val="00B268B3"/>
    <w:rsid w:val="00B268DD"/>
    <w:rsid w:val="00B32AE1"/>
    <w:rsid w:val="00B34368"/>
    <w:rsid w:val="00B37780"/>
    <w:rsid w:val="00B37813"/>
    <w:rsid w:val="00B37EEF"/>
    <w:rsid w:val="00B411CD"/>
    <w:rsid w:val="00B41ABB"/>
    <w:rsid w:val="00B41C1D"/>
    <w:rsid w:val="00B43917"/>
    <w:rsid w:val="00B43E1E"/>
    <w:rsid w:val="00B4515C"/>
    <w:rsid w:val="00B46220"/>
    <w:rsid w:val="00B464EA"/>
    <w:rsid w:val="00B47574"/>
    <w:rsid w:val="00B52BE7"/>
    <w:rsid w:val="00B5430C"/>
    <w:rsid w:val="00B56A90"/>
    <w:rsid w:val="00B5711C"/>
    <w:rsid w:val="00B57BCF"/>
    <w:rsid w:val="00B57E36"/>
    <w:rsid w:val="00B60209"/>
    <w:rsid w:val="00B606A3"/>
    <w:rsid w:val="00B65D6F"/>
    <w:rsid w:val="00B673F3"/>
    <w:rsid w:val="00B67A25"/>
    <w:rsid w:val="00B70229"/>
    <w:rsid w:val="00B7354A"/>
    <w:rsid w:val="00B7435B"/>
    <w:rsid w:val="00B74446"/>
    <w:rsid w:val="00B74B59"/>
    <w:rsid w:val="00B77142"/>
    <w:rsid w:val="00B8024E"/>
    <w:rsid w:val="00B80C3A"/>
    <w:rsid w:val="00B81633"/>
    <w:rsid w:val="00B84643"/>
    <w:rsid w:val="00B90452"/>
    <w:rsid w:val="00B90780"/>
    <w:rsid w:val="00B916D6"/>
    <w:rsid w:val="00B91AD8"/>
    <w:rsid w:val="00B9209B"/>
    <w:rsid w:val="00B9240D"/>
    <w:rsid w:val="00B95753"/>
    <w:rsid w:val="00B97E42"/>
    <w:rsid w:val="00BA0C05"/>
    <w:rsid w:val="00BA54D0"/>
    <w:rsid w:val="00BA7532"/>
    <w:rsid w:val="00BB1013"/>
    <w:rsid w:val="00BB4515"/>
    <w:rsid w:val="00BB7B89"/>
    <w:rsid w:val="00BC1A9B"/>
    <w:rsid w:val="00BC2A22"/>
    <w:rsid w:val="00BC4986"/>
    <w:rsid w:val="00BC5E2E"/>
    <w:rsid w:val="00BC6379"/>
    <w:rsid w:val="00BC7EEF"/>
    <w:rsid w:val="00BD1AD9"/>
    <w:rsid w:val="00BD43BB"/>
    <w:rsid w:val="00BD7ADE"/>
    <w:rsid w:val="00BE1A85"/>
    <w:rsid w:val="00BE46ED"/>
    <w:rsid w:val="00BE4FD1"/>
    <w:rsid w:val="00BE642D"/>
    <w:rsid w:val="00BE6D7A"/>
    <w:rsid w:val="00BF2511"/>
    <w:rsid w:val="00BF377F"/>
    <w:rsid w:val="00BF3F88"/>
    <w:rsid w:val="00BF57BE"/>
    <w:rsid w:val="00C0042B"/>
    <w:rsid w:val="00C02E58"/>
    <w:rsid w:val="00C030B6"/>
    <w:rsid w:val="00C04B38"/>
    <w:rsid w:val="00C067B7"/>
    <w:rsid w:val="00C10A09"/>
    <w:rsid w:val="00C121BC"/>
    <w:rsid w:val="00C14D92"/>
    <w:rsid w:val="00C16739"/>
    <w:rsid w:val="00C17F3F"/>
    <w:rsid w:val="00C23BA2"/>
    <w:rsid w:val="00C260A2"/>
    <w:rsid w:val="00C30DEC"/>
    <w:rsid w:val="00C31142"/>
    <w:rsid w:val="00C31DEF"/>
    <w:rsid w:val="00C338EB"/>
    <w:rsid w:val="00C35BB7"/>
    <w:rsid w:val="00C36B35"/>
    <w:rsid w:val="00C400CD"/>
    <w:rsid w:val="00C41617"/>
    <w:rsid w:val="00C4309A"/>
    <w:rsid w:val="00C43F23"/>
    <w:rsid w:val="00C43FF1"/>
    <w:rsid w:val="00C45494"/>
    <w:rsid w:val="00C52D18"/>
    <w:rsid w:val="00C544B8"/>
    <w:rsid w:val="00C559CE"/>
    <w:rsid w:val="00C55E19"/>
    <w:rsid w:val="00C563BF"/>
    <w:rsid w:val="00C57512"/>
    <w:rsid w:val="00C57607"/>
    <w:rsid w:val="00C61133"/>
    <w:rsid w:val="00C64009"/>
    <w:rsid w:val="00C7016D"/>
    <w:rsid w:val="00C767B3"/>
    <w:rsid w:val="00C76C07"/>
    <w:rsid w:val="00C80F23"/>
    <w:rsid w:val="00C835B4"/>
    <w:rsid w:val="00C850A3"/>
    <w:rsid w:val="00C87568"/>
    <w:rsid w:val="00C92451"/>
    <w:rsid w:val="00C9272C"/>
    <w:rsid w:val="00C97764"/>
    <w:rsid w:val="00C97C9B"/>
    <w:rsid w:val="00CA344C"/>
    <w:rsid w:val="00CB142D"/>
    <w:rsid w:val="00CB26C7"/>
    <w:rsid w:val="00CB29F6"/>
    <w:rsid w:val="00CB2BBF"/>
    <w:rsid w:val="00CB481C"/>
    <w:rsid w:val="00CB4C8C"/>
    <w:rsid w:val="00CB62E1"/>
    <w:rsid w:val="00CB6EFE"/>
    <w:rsid w:val="00CC16F9"/>
    <w:rsid w:val="00CC28A9"/>
    <w:rsid w:val="00CC4183"/>
    <w:rsid w:val="00CC6928"/>
    <w:rsid w:val="00CC70A4"/>
    <w:rsid w:val="00CD2BA8"/>
    <w:rsid w:val="00CD4A0C"/>
    <w:rsid w:val="00CD5CEF"/>
    <w:rsid w:val="00CE06EC"/>
    <w:rsid w:val="00CE1F8A"/>
    <w:rsid w:val="00CE592E"/>
    <w:rsid w:val="00CE5BC5"/>
    <w:rsid w:val="00CF16A4"/>
    <w:rsid w:val="00CF299F"/>
    <w:rsid w:val="00CF3357"/>
    <w:rsid w:val="00CF58DF"/>
    <w:rsid w:val="00D00BC3"/>
    <w:rsid w:val="00D03538"/>
    <w:rsid w:val="00D04410"/>
    <w:rsid w:val="00D05EE7"/>
    <w:rsid w:val="00D06A9D"/>
    <w:rsid w:val="00D07C15"/>
    <w:rsid w:val="00D11D4F"/>
    <w:rsid w:val="00D13A01"/>
    <w:rsid w:val="00D15733"/>
    <w:rsid w:val="00D20364"/>
    <w:rsid w:val="00D2130C"/>
    <w:rsid w:val="00D26746"/>
    <w:rsid w:val="00D26DDD"/>
    <w:rsid w:val="00D27BDC"/>
    <w:rsid w:val="00D27EA0"/>
    <w:rsid w:val="00D305C9"/>
    <w:rsid w:val="00D3194F"/>
    <w:rsid w:val="00D33751"/>
    <w:rsid w:val="00D3639B"/>
    <w:rsid w:val="00D37343"/>
    <w:rsid w:val="00D37495"/>
    <w:rsid w:val="00D41727"/>
    <w:rsid w:val="00D427E4"/>
    <w:rsid w:val="00D45F1B"/>
    <w:rsid w:val="00D472A5"/>
    <w:rsid w:val="00D52289"/>
    <w:rsid w:val="00D55A37"/>
    <w:rsid w:val="00D55B7E"/>
    <w:rsid w:val="00D64354"/>
    <w:rsid w:val="00D66685"/>
    <w:rsid w:val="00D70D35"/>
    <w:rsid w:val="00D71351"/>
    <w:rsid w:val="00D71997"/>
    <w:rsid w:val="00D753E9"/>
    <w:rsid w:val="00D777B9"/>
    <w:rsid w:val="00D82273"/>
    <w:rsid w:val="00D82FA5"/>
    <w:rsid w:val="00D84A4B"/>
    <w:rsid w:val="00D84B45"/>
    <w:rsid w:val="00D857AE"/>
    <w:rsid w:val="00D8623D"/>
    <w:rsid w:val="00D867FB"/>
    <w:rsid w:val="00D873C4"/>
    <w:rsid w:val="00D9110D"/>
    <w:rsid w:val="00D91124"/>
    <w:rsid w:val="00D91987"/>
    <w:rsid w:val="00D92168"/>
    <w:rsid w:val="00D93426"/>
    <w:rsid w:val="00D94B22"/>
    <w:rsid w:val="00D958D3"/>
    <w:rsid w:val="00D9594F"/>
    <w:rsid w:val="00D97213"/>
    <w:rsid w:val="00DA0C95"/>
    <w:rsid w:val="00DA134E"/>
    <w:rsid w:val="00DA13F3"/>
    <w:rsid w:val="00DA2DE3"/>
    <w:rsid w:val="00DA47D9"/>
    <w:rsid w:val="00DA64AF"/>
    <w:rsid w:val="00DB1F4F"/>
    <w:rsid w:val="00DB2AC7"/>
    <w:rsid w:val="00DB704C"/>
    <w:rsid w:val="00DC693B"/>
    <w:rsid w:val="00DC7C77"/>
    <w:rsid w:val="00DD0F5D"/>
    <w:rsid w:val="00DD426D"/>
    <w:rsid w:val="00DD74FC"/>
    <w:rsid w:val="00DE117F"/>
    <w:rsid w:val="00DE1769"/>
    <w:rsid w:val="00DE1A17"/>
    <w:rsid w:val="00DE1D7B"/>
    <w:rsid w:val="00DE44C8"/>
    <w:rsid w:val="00DE64CC"/>
    <w:rsid w:val="00DE6AA9"/>
    <w:rsid w:val="00DE7B30"/>
    <w:rsid w:val="00DF20C7"/>
    <w:rsid w:val="00DF4D0C"/>
    <w:rsid w:val="00DF5C20"/>
    <w:rsid w:val="00DF7D81"/>
    <w:rsid w:val="00E02DEB"/>
    <w:rsid w:val="00E03486"/>
    <w:rsid w:val="00E0405A"/>
    <w:rsid w:val="00E042A1"/>
    <w:rsid w:val="00E0476C"/>
    <w:rsid w:val="00E0576B"/>
    <w:rsid w:val="00E067EA"/>
    <w:rsid w:val="00E06D18"/>
    <w:rsid w:val="00E104FA"/>
    <w:rsid w:val="00E1320D"/>
    <w:rsid w:val="00E15FD1"/>
    <w:rsid w:val="00E16022"/>
    <w:rsid w:val="00E1738C"/>
    <w:rsid w:val="00E174FF"/>
    <w:rsid w:val="00E205AA"/>
    <w:rsid w:val="00E22296"/>
    <w:rsid w:val="00E27360"/>
    <w:rsid w:val="00E27C04"/>
    <w:rsid w:val="00E30713"/>
    <w:rsid w:val="00E30EDF"/>
    <w:rsid w:val="00E31FBA"/>
    <w:rsid w:val="00E328E2"/>
    <w:rsid w:val="00E336BB"/>
    <w:rsid w:val="00E3384E"/>
    <w:rsid w:val="00E33F90"/>
    <w:rsid w:val="00E374C8"/>
    <w:rsid w:val="00E4042D"/>
    <w:rsid w:val="00E4135D"/>
    <w:rsid w:val="00E43750"/>
    <w:rsid w:val="00E508EB"/>
    <w:rsid w:val="00E50A31"/>
    <w:rsid w:val="00E521E3"/>
    <w:rsid w:val="00E53B7A"/>
    <w:rsid w:val="00E550C9"/>
    <w:rsid w:val="00E55405"/>
    <w:rsid w:val="00E561F9"/>
    <w:rsid w:val="00E5645D"/>
    <w:rsid w:val="00E57CD3"/>
    <w:rsid w:val="00E608D5"/>
    <w:rsid w:val="00E627A4"/>
    <w:rsid w:val="00E6280E"/>
    <w:rsid w:val="00E62C9C"/>
    <w:rsid w:val="00E630EE"/>
    <w:rsid w:val="00E67A61"/>
    <w:rsid w:val="00E70455"/>
    <w:rsid w:val="00E73221"/>
    <w:rsid w:val="00E75116"/>
    <w:rsid w:val="00E763EB"/>
    <w:rsid w:val="00E8249B"/>
    <w:rsid w:val="00E8342F"/>
    <w:rsid w:val="00E84632"/>
    <w:rsid w:val="00E847EE"/>
    <w:rsid w:val="00E876F9"/>
    <w:rsid w:val="00E96A72"/>
    <w:rsid w:val="00E96B52"/>
    <w:rsid w:val="00EA01F7"/>
    <w:rsid w:val="00EA1D33"/>
    <w:rsid w:val="00EA1F5A"/>
    <w:rsid w:val="00EA375F"/>
    <w:rsid w:val="00EA55D2"/>
    <w:rsid w:val="00EA7104"/>
    <w:rsid w:val="00EA7533"/>
    <w:rsid w:val="00EB067F"/>
    <w:rsid w:val="00EB2419"/>
    <w:rsid w:val="00EB58F5"/>
    <w:rsid w:val="00EB6E6B"/>
    <w:rsid w:val="00EC010F"/>
    <w:rsid w:val="00EC2E3A"/>
    <w:rsid w:val="00EC3CCB"/>
    <w:rsid w:val="00EC5A74"/>
    <w:rsid w:val="00EC737D"/>
    <w:rsid w:val="00ED2154"/>
    <w:rsid w:val="00ED4277"/>
    <w:rsid w:val="00ED7C8C"/>
    <w:rsid w:val="00ED7DDB"/>
    <w:rsid w:val="00EE431B"/>
    <w:rsid w:val="00EE4874"/>
    <w:rsid w:val="00EE53E5"/>
    <w:rsid w:val="00EE6852"/>
    <w:rsid w:val="00EE73FB"/>
    <w:rsid w:val="00EE7BF0"/>
    <w:rsid w:val="00EF2674"/>
    <w:rsid w:val="00EF556F"/>
    <w:rsid w:val="00EF7D07"/>
    <w:rsid w:val="00F0181C"/>
    <w:rsid w:val="00F03512"/>
    <w:rsid w:val="00F0433A"/>
    <w:rsid w:val="00F0519B"/>
    <w:rsid w:val="00F059D4"/>
    <w:rsid w:val="00F11783"/>
    <w:rsid w:val="00F119AF"/>
    <w:rsid w:val="00F1480B"/>
    <w:rsid w:val="00F1498D"/>
    <w:rsid w:val="00F15173"/>
    <w:rsid w:val="00F20065"/>
    <w:rsid w:val="00F21B6D"/>
    <w:rsid w:val="00F22211"/>
    <w:rsid w:val="00F22341"/>
    <w:rsid w:val="00F24039"/>
    <w:rsid w:val="00F24E0E"/>
    <w:rsid w:val="00F26693"/>
    <w:rsid w:val="00F30F17"/>
    <w:rsid w:val="00F3477D"/>
    <w:rsid w:val="00F347FE"/>
    <w:rsid w:val="00F34859"/>
    <w:rsid w:val="00F356F7"/>
    <w:rsid w:val="00F40055"/>
    <w:rsid w:val="00F405D4"/>
    <w:rsid w:val="00F40868"/>
    <w:rsid w:val="00F421D5"/>
    <w:rsid w:val="00F44FDE"/>
    <w:rsid w:val="00F46467"/>
    <w:rsid w:val="00F46B63"/>
    <w:rsid w:val="00F4715C"/>
    <w:rsid w:val="00F47FF8"/>
    <w:rsid w:val="00F529B5"/>
    <w:rsid w:val="00F52AA4"/>
    <w:rsid w:val="00F56162"/>
    <w:rsid w:val="00F56B7E"/>
    <w:rsid w:val="00F6052F"/>
    <w:rsid w:val="00F62FDE"/>
    <w:rsid w:val="00F654E6"/>
    <w:rsid w:val="00F662CD"/>
    <w:rsid w:val="00F67E39"/>
    <w:rsid w:val="00F703A8"/>
    <w:rsid w:val="00F707F1"/>
    <w:rsid w:val="00F7094A"/>
    <w:rsid w:val="00F710BE"/>
    <w:rsid w:val="00F72579"/>
    <w:rsid w:val="00F74742"/>
    <w:rsid w:val="00F804B9"/>
    <w:rsid w:val="00F80AE2"/>
    <w:rsid w:val="00F83FF9"/>
    <w:rsid w:val="00F84D52"/>
    <w:rsid w:val="00F91B52"/>
    <w:rsid w:val="00F961A9"/>
    <w:rsid w:val="00F97478"/>
    <w:rsid w:val="00F97B71"/>
    <w:rsid w:val="00F97B9E"/>
    <w:rsid w:val="00FA0527"/>
    <w:rsid w:val="00FA085E"/>
    <w:rsid w:val="00FA0947"/>
    <w:rsid w:val="00FA2185"/>
    <w:rsid w:val="00FA2D49"/>
    <w:rsid w:val="00FA4B52"/>
    <w:rsid w:val="00FA4D4F"/>
    <w:rsid w:val="00FA4D5B"/>
    <w:rsid w:val="00FA54E8"/>
    <w:rsid w:val="00FA786F"/>
    <w:rsid w:val="00FA7D19"/>
    <w:rsid w:val="00FA7EB3"/>
    <w:rsid w:val="00FB058F"/>
    <w:rsid w:val="00FB387C"/>
    <w:rsid w:val="00FB3C94"/>
    <w:rsid w:val="00FB48C1"/>
    <w:rsid w:val="00FB6808"/>
    <w:rsid w:val="00FB6CD0"/>
    <w:rsid w:val="00FB723C"/>
    <w:rsid w:val="00FB72B4"/>
    <w:rsid w:val="00FC0A2D"/>
    <w:rsid w:val="00FC13C8"/>
    <w:rsid w:val="00FC39F9"/>
    <w:rsid w:val="00FC59F8"/>
    <w:rsid w:val="00FC60F6"/>
    <w:rsid w:val="00FC7F43"/>
    <w:rsid w:val="00FD7D41"/>
    <w:rsid w:val="00FE0072"/>
    <w:rsid w:val="00FE0C71"/>
    <w:rsid w:val="00FE0C8B"/>
    <w:rsid w:val="00FE1E47"/>
    <w:rsid w:val="00FE275D"/>
    <w:rsid w:val="00FE7FBD"/>
    <w:rsid w:val="00FF10BC"/>
    <w:rsid w:val="00FF5DCF"/>
    <w:rsid w:val="00FF6ADB"/>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0" w:defUnhideWhenUsed="1">
    <w:lsdException w:name="Normal" w:qFormat="1" w:semiHidden="0" w:unhideWhenUsed="0"/>
    <w:lsdException w:name="heading 1" w:qFormat="1" w:semiHidden="0" w:uiPriority="99"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iPriority="99" w:unhideWhenUsed="0"/>
    <w:lsdException w:name="Body Text First Indent" w:semiHidden="0" w:unhideWhenUsed="0"/>
    <w:lsdException w:name="Strong" w:qFormat="1" w:semiHidden="0" w:uiPriority="22" w:unhideWhenUsed="0"/>
    <w:lsdException w:name="Emphasis" w:qFormat="1" w:semiHidden="0" w:unhideWhenUsed="0"/>
    <w:lsdException w:name="Plain Text" w:uiPriority="99"/>
    <w:lsdException w:name="Table Grid" w:qFormat="1"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6A4828"/>
    <w:pPr>
      <w:widowControl w:val="0"/>
      <w:jc w:val="both"/>
    </w:pPr>
    <w:rPr>
      <w:kern w:val="2"/>
      <w:sz w:val="21"/>
      <w:szCs w:val="24"/>
    </w:rPr>
  </w:style>
  <w:style w:styleId="1" w:type="paragraph">
    <w:name w:val="heading 1"/>
    <w:basedOn w:val="a"/>
    <w:next w:val="a"/>
    <w:link w:val="1Char"/>
    <w:uiPriority w:val="99"/>
    <w:qFormat/>
    <w:rsid w:val="00180952"/>
    <w:pPr>
      <w:keepNext/>
      <w:keepLines/>
      <w:spacing w:after="330" w:before="340" w:line="578" w:lineRule="auto"/>
      <w:outlineLvl w:val="0"/>
    </w:pPr>
    <w:rPr>
      <w:b/>
      <w:bCs/>
      <w:kern w:val="44"/>
      <w:sz w:val="44"/>
      <w:szCs w:val="44"/>
    </w:rPr>
  </w:style>
  <w:style w:styleId="2" w:type="paragraph">
    <w:name w:val="heading 2"/>
    <w:basedOn w:val="a"/>
    <w:next w:val="a0"/>
    <w:qFormat/>
    <w:rsid w:val="006A4828"/>
    <w:pPr>
      <w:keepNext/>
      <w:keepLines/>
      <w:spacing w:after="260" w:before="260" w:line="360" w:lineRule="auto"/>
      <w:outlineLvl w:val="1"/>
    </w:pPr>
    <w:rPr>
      <w:rFonts w:ascii="Arial" w:cs="Arial" w:hAnsi="Arial"/>
      <w:b/>
      <w:bCs/>
      <w:sz w:val="24"/>
      <w:szCs w:val="28"/>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styleId="a0" w:type="paragraph">
    <w:name w:val="Normal Indent"/>
    <w:basedOn w:val="a"/>
    <w:uiPriority w:val="99"/>
    <w:rsid w:val="006A4828"/>
    <w:pPr>
      <w:ind w:firstLine="420" w:firstLineChars="200"/>
    </w:pPr>
  </w:style>
  <w:style w:styleId="a4" w:type="paragraph">
    <w:name w:val="Body Text Indent"/>
    <w:basedOn w:val="a"/>
    <w:rsid w:val="006A4828"/>
    <w:pPr>
      <w:widowControl/>
      <w:spacing w:after="100" w:afterAutospacing="1" w:before="100" w:beforeAutospacing="1"/>
      <w:jc w:val="left"/>
    </w:pPr>
    <w:rPr>
      <w:rFonts w:ascii="Arial Unicode MS" w:cs="Arial Unicode MS" w:eastAsia="Arial Unicode MS" w:hAnsi="Arial Unicode MS"/>
      <w:kern w:val="0"/>
      <w:sz w:val="24"/>
    </w:rPr>
  </w:style>
  <w:style w:styleId="a5" w:type="paragraph">
    <w:name w:val="Plain Text"/>
    <w:basedOn w:val="a"/>
    <w:link w:val="Char"/>
    <w:uiPriority w:val="99"/>
    <w:rsid w:val="006A4828"/>
    <w:rPr>
      <w:rFonts w:ascii="宋体" w:hAnsi="Courier New"/>
      <w:szCs w:val="21"/>
    </w:rPr>
  </w:style>
  <w:style w:styleId="20" w:type="paragraph">
    <w:name w:val="Body Text Indent 2"/>
    <w:basedOn w:val="a"/>
    <w:rsid w:val="006A4828"/>
    <w:pPr>
      <w:spacing w:line="560" w:lineRule="exact"/>
      <w:ind w:firstLine="480" w:firstLineChars="200"/>
    </w:pPr>
    <w:rPr>
      <w:rFonts w:ascii="宋体" w:hAnsi="宋体"/>
      <w:color w:val="FF0000"/>
      <w:sz w:val="24"/>
    </w:rPr>
  </w:style>
  <w:style w:styleId="a6" w:type="paragraph">
    <w:name w:val="footer"/>
    <w:basedOn w:val="a"/>
    <w:rsid w:val="006A4828"/>
    <w:pPr>
      <w:tabs>
        <w:tab w:pos="4153" w:val="center"/>
        <w:tab w:pos="8306" w:val="right"/>
      </w:tabs>
      <w:snapToGrid w:val="0"/>
      <w:jc w:val="left"/>
    </w:pPr>
    <w:rPr>
      <w:sz w:val="18"/>
      <w:szCs w:val="18"/>
    </w:rPr>
  </w:style>
  <w:style w:styleId="a7" w:type="character">
    <w:name w:val="page number"/>
    <w:basedOn w:val="a1"/>
    <w:rsid w:val="006A4828"/>
  </w:style>
  <w:style w:styleId="a8" w:type="character">
    <w:name w:val="Hyperlink"/>
    <w:basedOn w:val="a1"/>
    <w:rsid w:val="006A4828"/>
    <w:rPr>
      <w:color w:val="0000FF"/>
      <w:u w:val="single"/>
    </w:rPr>
  </w:style>
  <w:style w:styleId="3" w:type="paragraph">
    <w:name w:val="Body Text Indent 3"/>
    <w:basedOn w:val="a"/>
    <w:rsid w:val="006A4828"/>
    <w:pPr>
      <w:spacing w:line="560" w:lineRule="exact"/>
      <w:ind w:firstLine="420" w:firstLineChars="200"/>
    </w:pPr>
    <w:rPr>
      <w:rFonts w:ascii="Arial" w:cs="Arial" w:hAnsi="Arial"/>
      <w:color w:val="FF0000"/>
    </w:rPr>
  </w:style>
  <w:style w:styleId="a9" w:type="paragraph">
    <w:name w:val="header"/>
    <w:basedOn w:val="a"/>
    <w:link w:val="Char0"/>
    <w:uiPriority w:val="99"/>
    <w:rsid w:val="006A4828"/>
    <w:pPr>
      <w:pBdr>
        <w:bottom w:color="auto" w:space="1" w:sz="6" w:val="single"/>
      </w:pBdr>
      <w:tabs>
        <w:tab w:pos="4153" w:val="center"/>
        <w:tab w:pos="8306" w:val="right"/>
      </w:tabs>
      <w:snapToGrid w:val="0"/>
      <w:jc w:val="center"/>
    </w:pPr>
    <w:rPr>
      <w:sz w:val="18"/>
      <w:szCs w:val="18"/>
    </w:rPr>
  </w:style>
  <w:style w:customStyle="1" w:styleId="10" w:type="character">
    <w:name w:val="已访问的超链接1"/>
    <w:basedOn w:val="a1"/>
    <w:rsid w:val="006A4828"/>
    <w:rPr>
      <w:color w:val="800080"/>
      <w:u w:val="single"/>
    </w:rPr>
  </w:style>
  <w:style w:styleId="aa" w:type="paragraph">
    <w:name w:val="List"/>
    <w:basedOn w:val="ab"/>
    <w:rsid w:val="006A4828"/>
    <w:pPr>
      <w:spacing w:after="220" w:line="220" w:lineRule="atLeast"/>
      <w:ind w:hanging="360" w:left="1440"/>
    </w:pPr>
    <w:rPr>
      <w:szCs w:val="20"/>
    </w:rPr>
  </w:style>
  <w:style w:styleId="ab" w:type="paragraph">
    <w:name w:val="Body Text"/>
    <w:basedOn w:val="a"/>
    <w:rsid w:val="006A4828"/>
    <w:pPr>
      <w:spacing w:after="120"/>
    </w:pPr>
  </w:style>
  <w:style w:styleId="ac" w:type="paragraph">
    <w:name w:val="Date"/>
    <w:basedOn w:val="a"/>
    <w:next w:val="a"/>
    <w:link w:val="Char1"/>
    <w:uiPriority w:val="99"/>
    <w:rsid w:val="006A4828"/>
    <w:rPr>
      <w:sz w:val="24"/>
      <w:szCs w:val="20"/>
    </w:rPr>
  </w:style>
  <w:style w:customStyle="1" w:styleId="c1" w:type="character">
    <w:name w:val="c1"/>
    <w:basedOn w:val="a1"/>
    <w:rsid w:val="006A4828"/>
    <w:rPr>
      <w:color w:val="000000"/>
      <w:sz w:val="18"/>
      <w:szCs w:val="18"/>
    </w:rPr>
  </w:style>
  <w:style w:styleId="11" w:type="paragraph">
    <w:name w:val="index 1"/>
    <w:basedOn w:val="a"/>
    <w:next w:val="a"/>
    <w:autoRedefine/>
    <w:semiHidden/>
    <w:rsid w:val="006A4828"/>
    <w:pPr>
      <w:jc w:val="right"/>
    </w:pPr>
    <w:rPr>
      <w:color w:val="008000"/>
    </w:rPr>
  </w:style>
  <w:style w:customStyle="1" w:styleId="font5" w:type="paragraph">
    <w:name w:val="font5"/>
    <w:basedOn w:val="a"/>
    <w:rsid w:val="006A4828"/>
    <w:pPr>
      <w:widowControl/>
      <w:spacing w:after="100" w:afterAutospacing="1" w:before="100" w:beforeAutospacing="1"/>
      <w:jc w:val="left"/>
    </w:pPr>
    <w:rPr>
      <w:rFonts w:ascii="宋体" w:cs="Arial Unicode MS" w:hAnsi="宋体" w:hint="eastAsia"/>
      <w:kern w:val="0"/>
      <w:sz w:val="18"/>
      <w:szCs w:val="18"/>
    </w:rPr>
  </w:style>
  <w:style w:customStyle="1" w:styleId="xl24" w:type="paragraph">
    <w:name w:val="xl24"/>
    <w:basedOn w:val="a"/>
    <w:rsid w:val="006A4828"/>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d" w:type="paragraph">
    <w:name w:val="Balloon Text"/>
    <w:basedOn w:val="a"/>
    <w:semiHidden/>
    <w:rsid w:val="006A4828"/>
    <w:rPr>
      <w:sz w:val="18"/>
      <w:szCs w:val="18"/>
    </w:rPr>
  </w:style>
  <w:style w:styleId="ae" w:type="character">
    <w:name w:val="annotation reference"/>
    <w:basedOn w:val="a1"/>
    <w:semiHidden/>
    <w:rsid w:val="006A4828"/>
    <w:rPr>
      <w:sz w:val="21"/>
      <w:szCs w:val="21"/>
    </w:rPr>
  </w:style>
  <w:style w:styleId="af" w:type="paragraph">
    <w:name w:val="annotation text"/>
    <w:basedOn w:val="a"/>
    <w:semiHidden/>
    <w:rsid w:val="006A4828"/>
    <w:pPr>
      <w:jc w:val="left"/>
    </w:pPr>
  </w:style>
  <w:style w:styleId="af0" w:type="paragraph">
    <w:name w:val="annotation subject"/>
    <w:basedOn w:val="af"/>
    <w:next w:val="af"/>
    <w:semiHidden/>
    <w:rsid w:val="006A4828"/>
    <w:rPr>
      <w:b/>
      <w:bCs/>
    </w:rPr>
  </w:style>
  <w:style w:customStyle="1" w:styleId="Char2" w:type="paragraph">
    <w:name w:val="Char"/>
    <w:basedOn w:val="a"/>
    <w:rsid w:val="006A4828"/>
  </w:style>
  <w:style w:styleId="af1" w:type="paragraph">
    <w:name w:val="Document Map"/>
    <w:basedOn w:val="a"/>
    <w:semiHidden/>
    <w:rsid w:val="000A549A"/>
    <w:pPr>
      <w:shd w:color="auto" w:fill="000080" w:val="clear"/>
    </w:pPr>
  </w:style>
  <w:style w:styleId="af2" w:type="table">
    <w:name w:val="Table Grid"/>
    <w:basedOn w:val="a2"/>
    <w:qFormat/>
    <w:rsid w:val="009A31AF"/>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af3" w:type="paragraph">
    <w:name w:val="footnote text"/>
    <w:basedOn w:val="a"/>
    <w:link w:val="Char3"/>
    <w:rsid w:val="000B251E"/>
    <w:pPr>
      <w:snapToGrid w:val="0"/>
      <w:jc w:val="left"/>
    </w:pPr>
    <w:rPr>
      <w:sz w:val="18"/>
      <w:szCs w:val="18"/>
    </w:rPr>
  </w:style>
  <w:style w:styleId="af4" w:type="character">
    <w:name w:val="footnote reference"/>
    <w:basedOn w:val="a1"/>
    <w:rsid w:val="000B251E"/>
    <w:rPr>
      <w:vertAlign w:val="superscript"/>
    </w:rPr>
  </w:style>
  <w:style w:styleId="af5" w:type="paragraph">
    <w:name w:val="Normal (Web)"/>
    <w:basedOn w:val="a"/>
    <w:rsid w:val="00B25807"/>
    <w:pPr>
      <w:widowControl/>
      <w:spacing w:after="100" w:afterAutospacing="1" w:before="100" w:beforeAutospacing="1"/>
      <w:jc w:val="left"/>
    </w:pPr>
    <w:rPr>
      <w:rFonts w:ascii="宋体" w:hAnsi="宋体"/>
      <w:kern w:val="0"/>
      <w:sz w:val="24"/>
    </w:rPr>
  </w:style>
  <w:style w:customStyle="1" w:styleId="Char4" w:type="paragraph">
    <w:name w:val="Char"/>
    <w:basedOn w:val="a"/>
    <w:rsid w:val="00D97213"/>
  </w:style>
  <w:style w:customStyle="1" w:styleId="5" w:type="numbering">
    <w:name w:val="样式5"/>
    <w:rsid w:val="00952A72"/>
    <w:pPr>
      <w:numPr>
        <w:numId w:val="8"/>
      </w:numPr>
    </w:pPr>
  </w:style>
  <w:style w:customStyle="1" w:styleId="t1" w:type="character">
    <w:name w:val="t1"/>
    <w:basedOn w:val="a1"/>
    <w:rsid w:val="002D2A00"/>
    <w:rPr>
      <w:color w:val="990000"/>
    </w:rPr>
  </w:style>
  <w:style w:customStyle="1" w:styleId="Char" w:type="character">
    <w:name w:val="纯文本 Char"/>
    <w:basedOn w:val="a1"/>
    <w:link w:val="a5"/>
    <w:uiPriority w:val="99"/>
    <w:rsid w:val="009A045B"/>
    <w:rPr>
      <w:rFonts w:ascii="宋体" w:hAnsi="Courier New"/>
      <w:kern w:val="2"/>
      <w:sz w:val="21"/>
      <w:szCs w:val="21"/>
    </w:rPr>
  </w:style>
  <w:style w:customStyle="1" w:styleId="Char3" w:type="character">
    <w:name w:val="脚注文本 Char"/>
    <w:basedOn w:val="a1"/>
    <w:link w:val="af3"/>
    <w:rsid w:val="00CB481C"/>
    <w:rPr>
      <w:kern w:val="2"/>
      <w:sz w:val="18"/>
      <w:szCs w:val="18"/>
    </w:rPr>
  </w:style>
  <w:style w:customStyle="1" w:styleId="Default" w:type="paragraph">
    <w:name w:val="Default"/>
    <w:uiPriority w:val="99"/>
    <w:rsid w:val="00CB481C"/>
    <w:pPr>
      <w:widowControl w:val="0"/>
      <w:autoSpaceDE w:val="0"/>
      <w:autoSpaceDN w:val="0"/>
      <w:adjustRightInd w:val="0"/>
    </w:pPr>
    <w:rPr>
      <w:rFonts w:ascii="FangSong" w:cs="FangSong" w:hAnsi="FangSong"/>
      <w:color w:val="000000"/>
      <w:sz w:val="24"/>
      <w:szCs w:val="24"/>
    </w:rPr>
  </w:style>
  <w:style w:customStyle="1" w:styleId="Char0" w:type="character">
    <w:name w:val="页眉 Char"/>
    <w:basedOn w:val="a1"/>
    <w:link w:val="a9"/>
    <w:uiPriority w:val="99"/>
    <w:rsid w:val="001207F2"/>
    <w:rPr>
      <w:kern w:val="2"/>
      <w:sz w:val="18"/>
      <w:szCs w:val="18"/>
    </w:rPr>
  </w:style>
  <w:style w:customStyle="1" w:styleId="1Char" w:type="character">
    <w:name w:val="标题 1 Char"/>
    <w:basedOn w:val="a1"/>
    <w:link w:val="1"/>
    <w:uiPriority w:val="99"/>
    <w:rsid w:val="00180952"/>
    <w:rPr>
      <w:b/>
      <w:bCs/>
      <w:kern w:val="44"/>
      <w:sz w:val="44"/>
      <w:szCs w:val="44"/>
    </w:rPr>
  </w:style>
  <w:style w:customStyle="1" w:styleId="Char1" w:type="character">
    <w:name w:val="日期 Char"/>
    <w:basedOn w:val="a1"/>
    <w:link w:val="ac"/>
    <w:uiPriority w:val="99"/>
    <w:rsid w:val="00D66685"/>
    <w:rPr>
      <w:kern w:val="2"/>
      <w:sz w:val="24"/>
    </w:rPr>
  </w:style>
  <w:style w:styleId="af6" w:type="character">
    <w:name w:val="Strong"/>
    <w:basedOn w:val="a1"/>
    <w:uiPriority w:val="22"/>
    <w:qFormat/>
    <w:rsid w:val="00FE0C8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a0">
    <w:name w:val="5"/>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032286">
      <w:bodyDiv w:val="1"/>
      <w:marLeft w:val="0"/>
      <w:marRight w:val="0"/>
      <w:marTop w:val="0"/>
      <w:marBottom w:val="0"/>
      <w:divBdr>
        <w:top w:val="none" w:sz="0" w:space="0" w:color="auto"/>
        <w:left w:val="none" w:sz="0" w:space="0" w:color="auto"/>
        <w:bottom w:val="none" w:sz="0" w:space="0" w:color="auto"/>
        <w:right w:val="none" w:sz="0" w:space="0" w:color="auto"/>
      </w:divBdr>
    </w:div>
    <w:div w:id="269166985">
      <w:bodyDiv w:val="1"/>
      <w:marLeft w:val="0"/>
      <w:marRight w:val="0"/>
      <w:marTop w:val="0"/>
      <w:marBottom w:val="0"/>
      <w:divBdr>
        <w:top w:val="none" w:sz="0" w:space="0" w:color="auto"/>
        <w:left w:val="none" w:sz="0" w:space="0" w:color="auto"/>
        <w:bottom w:val="none" w:sz="0" w:space="0" w:color="auto"/>
        <w:right w:val="none" w:sz="0" w:space="0" w:color="auto"/>
      </w:divBdr>
    </w:div>
    <w:div w:id="275908062">
      <w:bodyDiv w:val="1"/>
      <w:marLeft w:val="0"/>
      <w:marRight w:val="0"/>
      <w:marTop w:val="0"/>
      <w:marBottom w:val="0"/>
      <w:divBdr>
        <w:top w:val="none" w:sz="0" w:space="0" w:color="auto"/>
        <w:left w:val="none" w:sz="0" w:space="0" w:color="auto"/>
        <w:bottom w:val="none" w:sz="0" w:space="0" w:color="auto"/>
        <w:right w:val="none" w:sz="0" w:space="0" w:color="auto"/>
      </w:divBdr>
    </w:div>
    <w:div w:id="462040351">
      <w:bodyDiv w:val="1"/>
      <w:marLeft w:val="0"/>
      <w:marRight w:val="0"/>
      <w:marTop w:val="0"/>
      <w:marBottom w:val="0"/>
      <w:divBdr>
        <w:top w:val="none" w:sz="0" w:space="0" w:color="auto"/>
        <w:left w:val="none" w:sz="0" w:space="0" w:color="auto"/>
        <w:bottom w:val="none" w:sz="0" w:space="0" w:color="auto"/>
        <w:right w:val="none" w:sz="0" w:space="0" w:color="auto"/>
      </w:divBdr>
    </w:div>
    <w:div w:id="515924504">
      <w:bodyDiv w:val="1"/>
      <w:marLeft w:val="0"/>
      <w:marRight w:val="0"/>
      <w:marTop w:val="0"/>
      <w:marBottom w:val="0"/>
      <w:divBdr>
        <w:top w:val="none" w:sz="0" w:space="0" w:color="auto"/>
        <w:left w:val="none" w:sz="0" w:space="0" w:color="auto"/>
        <w:bottom w:val="none" w:sz="0" w:space="0" w:color="auto"/>
        <w:right w:val="none" w:sz="0" w:space="0" w:color="auto"/>
      </w:divBdr>
    </w:div>
    <w:div w:id="713970738">
      <w:bodyDiv w:val="1"/>
      <w:marLeft w:val="0"/>
      <w:marRight w:val="0"/>
      <w:marTop w:val="0"/>
      <w:marBottom w:val="0"/>
      <w:divBdr>
        <w:top w:val="none" w:sz="0" w:space="0" w:color="auto"/>
        <w:left w:val="none" w:sz="0" w:space="0" w:color="auto"/>
        <w:bottom w:val="none" w:sz="0" w:space="0" w:color="auto"/>
        <w:right w:val="none" w:sz="0" w:space="0" w:color="auto"/>
      </w:divBdr>
    </w:div>
    <w:div w:id="718362652">
      <w:bodyDiv w:val="1"/>
      <w:marLeft w:val="0"/>
      <w:marRight w:val="0"/>
      <w:marTop w:val="0"/>
      <w:marBottom w:val="0"/>
      <w:divBdr>
        <w:top w:val="none" w:sz="0" w:space="0" w:color="auto"/>
        <w:left w:val="none" w:sz="0" w:space="0" w:color="auto"/>
        <w:bottom w:val="none" w:sz="0" w:space="0" w:color="auto"/>
        <w:right w:val="none" w:sz="0" w:space="0" w:color="auto"/>
      </w:divBdr>
    </w:div>
    <w:div w:id="1042290413">
      <w:bodyDiv w:val="1"/>
      <w:marLeft w:val="0"/>
      <w:marRight w:val="0"/>
      <w:marTop w:val="0"/>
      <w:marBottom w:val="0"/>
      <w:divBdr>
        <w:top w:val="none" w:sz="0" w:space="0" w:color="auto"/>
        <w:left w:val="none" w:sz="0" w:space="0" w:color="auto"/>
        <w:bottom w:val="none" w:sz="0" w:space="0" w:color="auto"/>
        <w:right w:val="none" w:sz="0" w:space="0" w:color="auto"/>
      </w:divBdr>
    </w:div>
    <w:div w:id="1165123828">
      <w:bodyDiv w:val="1"/>
      <w:marLeft w:val="0"/>
      <w:marRight w:val="0"/>
      <w:marTop w:val="0"/>
      <w:marBottom w:val="0"/>
      <w:divBdr>
        <w:top w:val="none" w:sz="0" w:space="0" w:color="auto"/>
        <w:left w:val="none" w:sz="0" w:space="0" w:color="auto"/>
        <w:bottom w:val="none" w:sz="0" w:space="0" w:color="auto"/>
        <w:right w:val="none" w:sz="0" w:space="0" w:color="auto"/>
      </w:divBdr>
    </w:div>
    <w:div w:id="1197889010">
      <w:bodyDiv w:val="1"/>
      <w:marLeft w:val="0"/>
      <w:marRight w:val="0"/>
      <w:marTop w:val="0"/>
      <w:marBottom w:val="0"/>
      <w:divBdr>
        <w:top w:val="none" w:sz="0" w:space="0" w:color="auto"/>
        <w:left w:val="none" w:sz="0" w:space="0" w:color="auto"/>
        <w:bottom w:val="none" w:sz="0" w:space="0" w:color="auto"/>
        <w:right w:val="none" w:sz="0" w:space="0" w:color="auto"/>
      </w:divBdr>
    </w:div>
    <w:div w:id="1311058596">
      <w:bodyDiv w:val="1"/>
      <w:marLeft w:val="0"/>
      <w:marRight w:val="0"/>
      <w:marTop w:val="0"/>
      <w:marBottom w:val="0"/>
      <w:divBdr>
        <w:top w:val="none" w:sz="0" w:space="0" w:color="auto"/>
        <w:left w:val="none" w:sz="0" w:space="0" w:color="auto"/>
        <w:bottom w:val="none" w:sz="0" w:space="0" w:color="auto"/>
        <w:right w:val="none" w:sz="0" w:space="0" w:color="auto"/>
      </w:divBdr>
    </w:div>
    <w:div w:id="1373310577">
      <w:bodyDiv w:val="1"/>
      <w:marLeft w:val="0"/>
      <w:marRight w:val="0"/>
      <w:marTop w:val="0"/>
      <w:marBottom w:val="0"/>
      <w:divBdr>
        <w:top w:val="none" w:sz="0" w:space="0" w:color="auto"/>
        <w:left w:val="none" w:sz="0" w:space="0" w:color="auto"/>
        <w:bottom w:val="none" w:sz="0" w:space="0" w:color="auto"/>
        <w:right w:val="none" w:sz="0" w:space="0" w:color="auto"/>
      </w:divBdr>
    </w:div>
    <w:div w:id="1391732465">
      <w:bodyDiv w:val="1"/>
      <w:marLeft w:val="0"/>
      <w:marRight w:val="0"/>
      <w:marTop w:val="0"/>
      <w:marBottom w:val="0"/>
      <w:divBdr>
        <w:top w:val="none" w:sz="0" w:space="0" w:color="auto"/>
        <w:left w:val="none" w:sz="0" w:space="0" w:color="auto"/>
        <w:bottom w:val="none" w:sz="0" w:space="0" w:color="auto"/>
        <w:right w:val="none" w:sz="0" w:space="0" w:color="auto"/>
      </w:divBdr>
    </w:div>
    <w:div w:id="1415663530">
      <w:bodyDiv w:val="1"/>
      <w:marLeft w:val="0"/>
      <w:marRight w:val="0"/>
      <w:marTop w:val="0"/>
      <w:marBottom w:val="0"/>
      <w:divBdr>
        <w:top w:val="none" w:sz="0" w:space="0" w:color="auto"/>
        <w:left w:val="none" w:sz="0" w:space="0" w:color="auto"/>
        <w:bottom w:val="none" w:sz="0" w:space="0" w:color="auto"/>
        <w:right w:val="none" w:sz="0" w:space="0" w:color="auto"/>
      </w:divBdr>
    </w:div>
    <w:div w:id="1541361230">
      <w:bodyDiv w:val="1"/>
      <w:marLeft w:val="0"/>
      <w:marRight w:val="0"/>
      <w:marTop w:val="0"/>
      <w:marBottom w:val="0"/>
      <w:divBdr>
        <w:top w:val="none" w:sz="0" w:space="0" w:color="auto"/>
        <w:left w:val="none" w:sz="0" w:space="0" w:color="auto"/>
        <w:bottom w:val="none" w:sz="0" w:space="0" w:color="auto"/>
        <w:right w:val="none" w:sz="0" w:space="0" w:color="auto"/>
      </w:divBdr>
    </w:div>
    <w:div w:id="1736662881">
      <w:bodyDiv w:val="1"/>
      <w:marLeft w:val="0"/>
      <w:marRight w:val="0"/>
      <w:marTop w:val="0"/>
      <w:marBottom w:val="0"/>
      <w:divBdr>
        <w:top w:val="none" w:sz="0" w:space="0" w:color="auto"/>
        <w:left w:val="none" w:sz="0" w:space="0" w:color="auto"/>
        <w:bottom w:val="none" w:sz="0" w:space="0" w:color="auto"/>
        <w:right w:val="none" w:sz="0" w:space="0" w:color="auto"/>
      </w:divBdr>
    </w:div>
    <w:div w:id="1887255298">
      <w:bodyDiv w:val="1"/>
      <w:marLeft w:val="0"/>
      <w:marRight w:val="0"/>
      <w:marTop w:val="0"/>
      <w:marBottom w:val="0"/>
      <w:divBdr>
        <w:top w:val="none" w:sz="0" w:space="0" w:color="auto"/>
        <w:left w:val="none" w:sz="0" w:space="0" w:color="auto"/>
        <w:bottom w:val="none" w:sz="0" w:space="0" w:color="auto"/>
        <w:right w:val="none" w:sz="0" w:space="0" w:color="auto"/>
      </w:divBdr>
    </w:div>
    <w:div w:id="1912079058">
      <w:bodyDiv w:val="1"/>
      <w:marLeft w:val="0"/>
      <w:marRight w:val="0"/>
      <w:marTop w:val="0"/>
      <w:marBottom w:val="0"/>
      <w:divBdr>
        <w:top w:val="none" w:sz="0" w:space="0" w:color="auto"/>
        <w:left w:val="none" w:sz="0" w:space="0" w:color="auto"/>
        <w:bottom w:val="none" w:sz="0" w:space="0" w:color="auto"/>
        <w:right w:val="none" w:sz="0" w:space="0" w:color="auto"/>
      </w:divBdr>
    </w:div>
    <w:div w:id="2025472779">
      <w:bodyDiv w:val="1"/>
      <w:marLeft w:val="0"/>
      <w:marRight w:val="0"/>
      <w:marTop w:val="0"/>
      <w:marBottom w:val="0"/>
      <w:divBdr>
        <w:top w:val="none" w:sz="0" w:space="0" w:color="auto"/>
        <w:left w:val="none" w:sz="0" w:space="0" w:color="auto"/>
        <w:bottom w:val="none" w:sz="0" w:space="0" w:color="auto"/>
        <w:right w:val="none" w:sz="0" w:space="0" w:color="auto"/>
      </w:divBdr>
    </w:div>
    <w:div w:id="2049840325">
      <w:bodyDiv w:val="1"/>
      <w:marLeft w:val="0"/>
      <w:marRight w:val="0"/>
      <w:marTop w:val="0"/>
      <w:marBottom w:val="0"/>
      <w:divBdr>
        <w:top w:val="none" w:sz="0" w:space="0" w:color="auto"/>
        <w:left w:val="none" w:sz="0" w:space="0" w:color="auto"/>
        <w:bottom w:val="none" w:sz="0" w:space="0" w:color="auto"/>
        <w:right w:val="none" w:sz="0" w:space="0" w:color="auto"/>
      </w:divBdr>
    </w:div>
    <w:div w:id="2106463434">
      <w:bodyDiv w:val="1"/>
      <w:marLeft w:val="0"/>
      <w:marRight w:val="0"/>
      <w:marTop w:val="0"/>
      <w:marBottom w:val="0"/>
      <w:divBdr>
        <w:top w:val="none" w:sz="0" w:space="0" w:color="auto"/>
        <w:left w:val="none" w:sz="0" w:space="0" w:color="auto"/>
        <w:bottom w:val="none" w:sz="0" w:space="0" w:color="auto"/>
        <w:right w:val="none" w:sz="0" w:space="0" w:color="auto"/>
      </w:divBdr>
    </w:div>
    <w:div w:id="2127237140">
      <w:bodyDiv w:val="1"/>
      <w:marLeft w:val="150"/>
      <w:marRight w:val="150"/>
      <w:marTop w:val="150"/>
      <w:marBottom w:val="150"/>
      <w:divBdr>
        <w:top w:val="none" w:sz="0" w:space="0" w:color="auto"/>
        <w:left w:val="none" w:sz="0" w:space="0" w:color="auto"/>
        <w:bottom w:val="none" w:sz="0" w:space="0" w:color="auto"/>
        <w:right w:val="none" w:sz="0" w:space="0" w:color="auto"/>
      </w:divBdr>
      <w:divsChild>
        <w:div w:id="16466208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media/image2.jpeg" Type="http://schemas.openxmlformats.org/officeDocument/2006/relationships/image"/>
<Relationship Id="rId13" Target="footer2.xml" Type="http://schemas.openxmlformats.org/officeDocument/2006/relationships/footer"/>
<Relationship Id="rId14" Target="footer3.xml" Type="http://schemas.openxmlformats.org/officeDocument/2006/relationships/footer"/>
<Relationship Id="rId15" Target="fontTable.xml" Type="http://schemas.openxmlformats.org/officeDocument/2006/relationships/fontTable"/>
<Relationship Id="rId16"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_rels/settings.xml.rels><?xml version="1.0" encoding="UTF-8" standalone="no"?>
<Relationships xmlns="http://schemas.openxmlformats.org/package/2006/relationships">
<Relationship Id="rId1" Target="file:///C:/Users/Administrator/Desktop/abc&#23395;&#25253;.dot" TargetMode="External" Type="http://schemas.openxmlformats.org/officeDocument/2006/relationships/attachedTemplat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7A78F-54B7-45A2-9BB7-D03F314BD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abc季报.dot</Template>
  <TotalTime>71</TotalTime>
  <Pages>30</Pages>
  <Words>4542</Words>
  <Characters>25891</Characters>
  <Application>Microsoft Office Word</Application>
  <DocSecurity>0</DocSecurity>
  <Lines>215</Lines>
  <Paragraphs>60</Paragraphs>
  <ScaleCrop>false</ScaleCrop>
  <Company>TRT. Ltd. Co.</Company>
  <LinksUpToDate>false</LinksUpToDate>
  <CharactersWithSpaces>30373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2014-12-16T08:49:00Z</dcterms:created>
  <dc:creator>bonnieliu</dc:creator>
  <cp:lastModifiedBy>sirong han</cp:lastModifiedBy>
  <cp:lastPrinted>2007-07-19T00:46:00Z</cp:lastPrinted>
  <dcterms:modified xsi:type="dcterms:W3CDTF">2020-07-09T03:00:00Z</dcterms:modified>
  <cp:revision>54</cp:revision>
</cp:coreProperties>
</file>