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body>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542546" w:rsidR="00750D48" w:rsidRDefault="00750D48" w:rsidRPr="00264E55">
      <w:pPr>
        <w:spacing w:line="360" w:lineRule="auto"/>
        <w:jc w:val="center"/>
        <w:rPr>
          <w:rFonts w:ascii="宋体" w:hAnsi="宋体"/>
          <w:b/>
          <w:sz w:val="36"/>
          <w:szCs w:val="36"/>
        </w:rPr>
      </w:pPr>
      <w:r w:rsidRPr="00264E55">
        <w:rPr>
          <w:rFonts w:ascii="宋体"/>
          <w:b/>
          <w:sz w:val="36"/>
          <w:szCs w:val="36"/>
        </w:rPr>
        <w:t/>
      </w:r>
      <w:proofErr w:type="spellStart"/>
      <w:proofErr w:type="gramStart"/>
      <w:r w:rsidRPr="00264E55">
        <w:rPr>
          <w:rFonts w:ascii="宋体" w:hAnsi="宋体"/>
          <w:b/>
          <w:sz w:val="36"/>
          <w:szCs w:val="36"/>
        </w:rPr>
        <w:t/>
      </w:r>
      <w:proofErr w:type="spellEnd"/>
      <w:proofErr w:type="gramEnd"/>
      <w:r w:rsidRPr="00264E55">
        <w:rPr>
          <w:rFonts w:ascii="宋体" w:hAnsi="宋体"/>
          <w:b/>
          <w:sz w:val="36"/>
          <w:szCs w:val="36"/>
        </w:rPr>
        <w:t>易方达汇诚养老目标日期2038三年持有期混合型发起式基金中基金（FOF）</w:t>
      </w:r>
    </w:p>
    <w:p w:rsidP="00542546" w:rsidR="00750D48" w:rsidRDefault="00750D48" w:rsidRPr="00264E55">
      <w:pPr>
        <w:spacing w:line="360" w:lineRule="auto"/>
        <w:jc w:val="center"/>
        <w:rPr>
          <w:rFonts w:ascii="宋体" w:hAnsi="宋体"/>
          <w:b/>
          <w:sz w:val="36"/>
          <w:szCs w:val="36"/>
        </w:rPr>
      </w:pPr>
      <w:r w:rsidRPr="00264E55">
        <w:rPr>
          <w:rFonts w:ascii="宋体" w:hAnsi="宋体"/>
          <w:b/>
          <w:sz w:val="36"/>
          <w:szCs w:val="36"/>
        </w:rPr>
        <w:t/>
      </w:r>
      <w:proofErr w:type="spellStart"/>
      <w:r w:rsidRPr="00264E55">
        <w:rPr>
          <w:rFonts w:ascii="宋体" w:hAnsi="宋体"/>
          <w:b/>
          <w:sz w:val="36"/>
          <w:szCs w:val="36"/>
        </w:rPr>
        <w:t/>
      </w:r>
      <w:proofErr w:type="spellEnd"/>
      <w:r w:rsidRPr="00264E55">
        <w:rPr>
          <w:rFonts w:ascii="宋体" w:hAnsi="宋体"/>
          <w:b/>
          <w:sz w:val="36"/>
          <w:szCs w:val="36"/>
        </w:rPr>
        <w:t>2020年第2季度报告</w:t>
      </w:r>
    </w:p>
    <w:p w:rsidP="00542546" w:rsidR="00750D48" w:rsidRDefault="00750D48" w:rsidRPr="00093704">
      <w:pPr>
        <w:spacing w:line="360" w:lineRule="auto"/>
        <w:jc w:val="center"/>
        <w:rPr>
          <w:rFonts w:ascii="宋体" w:hAnsi="宋体"/>
          <w:b/>
          <w:sz w:val="24"/>
          <w:szCs w:val="24"/>
        </w:rPr>
      </w:pPr>
      <w:r w:rsidRPr="00093704">
        <w:rPr>
          <w:rFonts w:ascii="宋体"/>
          <w:b/>
          <w:sz w:val="24"/>
          <w:szCs w:val="24"/>
        </w:rPr>
        <w:t/>
      </w:r>
      <w:proofErr w:type="spellStart"/>
      <w:proofErr w:type="gramStart"/>
      <w:r w:rsidRPr="00093704">
        <w:rPr>
          <w:rFonts w:ascii="宋体" w:hAnsi="宋体"/>
          <w:b/>
          <w:sz w:val="24"/>
          <w:szCs w:val="24"/>
        </w:rPr>
        <w:t/>
      </w:r>
      <w:proofErr w:type="spellEnd"/>
      <w:proofErr w:type="gramEnd"/>
      <w:r w:rsidRPr="00093704">
        <w:rPr>
          <w:rFonts w:ascii="宋体" w:hAnsi="宋体"/>
          <w:b/>
          <w:sz w:val="24"/>
          <w:szCs w:val="24"/>
        </w:rPr>
        <w:t>2020年6月30日</w:t>
      </w: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rPr>
          <w:rFonts w:ascii="宋体"/>
          <w:b/>
          <w:bCs/>
          <w:color w:val="000000"/>
          <w:sz w:val="24"/>
          <w:szCs w:val="24"/>
        </w:rPr>
      </w:pPr>
    </w:p>
    <w:p w:rsidP="00EB572F" w:rsidR="00750D48" w:rsidRDefault="00750D48" w:rsidRPr="00264E55">
      <w:pPr>
        <w:spacing w:line="360" w:lineRule="auto"/>
        <w:ind w:firstLine="2168" w:firstLineChars="900"/>
        <w:rPr>
          <w:rFonts w:ascii="宋体" w:hAnsi="宋体"/>
          <w:b/>
          <w:color w:val="000000"/>
          <w:sz w:val="24"/>
          <w:szCs w:val="24"/>
        </w:rPr>
      </w:pPr>
      <w:r w:rsidRPr="00264E55">
        <w:rPr>
          <w:rFonts w:ascii="宋体" w:hAnsi="宋体" w:hint="eastAsia"/>
          <w:b/>
          <w:color w:val="000000"/>
          <w:sz w:val="24"/>
          <w:szCs w:val="24"/>
        </w:rPr>
        <w:t>基金管理人：</w:t>
      </w:r>
      <w:r w:rsidRPr="00264E55">
        <w:rPr>
          <w:rFonts w:ascii="宋体"/>
          <w:b/>
          <w:color w:val="000000"/>
          <w:sz w:val="24"/>
          <w:szCs w:val="24"/>
        </w:rPr>
        <w:t/>
      </w:r>
      <w:proofErr w:type="spellStart"/>
      <w:proofErr w:type="gramStart"/>
      <w:r w:rsidRPr="00264E55">
        <w:rPr>
          <w:rFonts w:ascii="宋体" w:hAnsi="宋体"/>
          <w:b/>
          <w:color w:val="000000"/>
          <w:sz w:val="24"/>
          <w:szCs w:val="24"/>
        </w:rPr>
        <w:t/>
      </w:r>
      <w:proofErr w:type="spellEnd"/>
      <w:proofErr w:type="gramEnd"/>
      <w:r w:rsidRPr="00264E55">
        <w:rPr>
          <w:rFonts w:ascii="宋体" w:hAnsi="宋体"/>
          <w:b/>
          <w:color w:val="000000"/>
          <w:sz w:val="24"/>
          <w:szCs w:val="24"/>
        </w:rPr>
        <w:t>易方达基金管理有限公司</w:t>
      </w:r>
    </w:p>
    <w:p w:rsidP="00EB572F" w:rsidR="00750D48" w:rsidRDefault="00750D48" w:rsidRPr="00264E55">
      <w:pPr>
        <w:spacing w:line="360" w:lineRule="auto"/>
        <w:ind w:firstLine="2168" w:firstLineChars="900"/>
        <w:rPr>
          <w:rFonts w:ascii="宋体" w:hAnsi="宋体"/>
          <w:b/>
          <w:color w:val="000000"/>
          <w:sz w:val="24"/>
          <w:szCs w:val="24"/>
        </w:rPr>
      </w:pPr>
      <w:r w:rsidRPr="00264E55">
        <w:rPr>
          <w:rFonts w:ascii="宋体" w:hAnsi="宋体" w:hint="eastAsia"/>
          <w:b/>
          <w:color w:val="000000"/>
          <w:sz w:val="24"/>
          <w:szCs w:val="24"/>
        </w:rPr>
        <w:t>基金托管人：</w:t>
      </w:r>
      <w:r w:rsidRPr="00264E55">
        <w:rPr>
          <w:rFonts w:ascii="宋体"/>
          <w:b/>
          <w:color w:val="000000"/>
          <w:sz w:val="24"/>
          <w:szCs w:val="24"/>
        </w:rPr>
        <w:t/>
      </w:r>
      <w:proofErr w:type="spellStart"/>
      <w:proofErr w:type="gramStart"/>
      <w:r w:rsidRPr="00264E55">
        <w:rPr>
          <w:rFonts w:ascii="宋体" w:hAnsi="宋体"/>
          <w:b/>
          <w:color w:val="000000"/>
          <w:sz w:val="24"/>
          <w:szCs w:val="24"/>
        </w:rPr>
        <w:t/>
      </w:r>
      <w:proofErr w:type="spellEnd"/>
      <w:proofErr w:type="gramEnd"/>
      <w:r w:rsidRPr="00264E55">
        <w:rPr>
          <w:rFonts w:ascii="宋体" w:hAnsi="宋体"/>
          <w:b/>
          <w:color w:val="000000"/>
          <w:sz w:val="24"/>
          <w:szCs w:val="24"/>
        </w:rPr>
        <w:t>中国邮政储蓄银行股份有限公司</w:t>
      </w:r>
    </w:p>
    <w:p w:rsidP="00EB572F" w:rsidR="00750D48" w:rsidRDefault="00750D48" w:rsidRPr="00264E55">
      <w:pPr>
        <w:spacing w:line="360" w:lineRule="auto"/>
        <w:ind w:firstLine="2168" w:firstLineChars="900"/>
        <w:rPr>
          <w:rFonts w:ascii="宋体" w:hAnsi="宋体"/>
          <w:b/>
          <w:color w:val="000000"/>
          <w:sz w:val="24"/>
          <w:szCs w:val="24"/>
        </w:rPr>
        <w:sectPr w:rsidR="00750D48" w:rsidRPr="00264E55" w:rsidSect="00304A12">
          <w:headerReference r:id="rId9" w:type="default"/>
          <w:footerReference r:id="rId10" w:type="default"/>
          <w:pgSz w:h="15840" w:w="11926"/>
          <w:pgMar w:bottom="851" w:footer="992" w:gutter="0" w:header="851" w:left="1418" w:right="1418" w:top="1418"/>
          <w:cols w:space="720"/>
          <w:noEndnote/>
        </w:sectPr>
      </w:pPr>
      <w:r w:rsidRPr="00264E55">
        <w:rPr>
          <w:rFonts w:ascii="宋体" w:hAnsi="宋体" w:hint="eastAsia"/>
          <w:b/>
          <w:color w:val="000000"/>
          <w:sz w:val="24"/>
          <w:szCs w:val="24"/>
        </w:rPr>
        <w:t>报告送出日期：</w:t>
      </w:r>
      <w:r w:rsidRPr="00264E55">
        <w:rPr>
          <w:rFonts w:ascii="宋体"/>
          <w:b/>
          <w:color w:val="000000"/>
          <w:sz w:val="24"/>
          <w:szCs w:val="24"/>
        </w:rPr>
        <w:t/>
      </w:r>
      <w:proofErr w:type="spellStart"/>
      <w:proofErr w:type="gramStart"/>
      <w:r w:rsidRPr="00264E55">
        <w:rPr>
          <w:rFonts w:ascii="宋体" w:hAnsi="宋体"/>
          <w:b/>
          <w:color w:val="000000"/>
          <w:sz w:val="24"/>
          <w:szCs w:val="24"/>
        </w:rPr>
        <w:t/>
      </w:r>
      <w:proofErr w:type="spellEnd"/>
      <w:proofErr w:type="gramEnd"/>
      <w:r w:rsidRPr="00264E55">
        <w:rPr>
          <w:rFonts w:ascii="宋体" w:hAnsi="宋体"/>
          <w:b/>
          <w:color w:val="000000"/>
          <w:sz w:val="24"/>
          <w:szCs w:val="24"/>
        </w:rPr>
        <w:t>二〇二〇年七月二十一日</w:t>
      </w:r>
    </w:p>
    <w:p w:rsidP="004D28A3" w:rsidR="00750D48" w:rsidRDefault="00750D48" w:rsidRPr="00264E55">
      <w:pPr>
        <w:pStyle w:val="1"/>
        <w:spacing w:after="312" w:afterLines="100" w:before="312" w:beforeLines="100" w:line="360" w:lineRule="auto"/>
        <w:jc w:val="center"/>
        <w:rPr>
          <w:rFonts w:ascii="宋体"/>
          <w:b w:val="0"/>
          <w:bCs w:val="0"/>
          <w:color w:val="000000"/>
          <w:kern w:val="0"/>
          <w:sz w:val="24"/>
          <w:szCs w:val="24"/>
        </w:rPr>
      </w:pPr>
      <w:r w:rsidRPr="00264E55">
        <w:rPr>
          <w:rFonts w:ascii="宋体" w:hAnsi="宋体" w:hint="eastAsia"/>
          <w:color w:val="000000"/>
          <w:kern w:val="0"/>
          <w:sz w:val="24"/>
          <w:szCs w:val="24"/>
        </w:rPr>
        <w:lastRenderedPageBreak/>
        <w:t>§</w:t>
      </w:r>
      <w:r w:rsidRPr="00264E55">
        <w:rPr>
          <w:rFonts w:ascii="宋体" w:hAnsi="宋体"/>
          <w:color w:val="000000"/>
          <w:kern w:val="0"/>
          <w:sz w:val="24"/>
          <w:szCs w:val="24"/>
        </w:rPr>
        <w:t xml:space="preserve">1  </w:t>
      </w:r>
      <w:r w:rsidRPr="00264E55">
        <w:rPr>
          <w:rFonts w:ascii="宋体" w:hAnsi="宋体" w:hint="eastAsia"/>
          <w:color w:val="000000"/>
          <w:kern w:val="0"/>
          <w:sz w:val="24"/>
          <w:szCs w:val="24"/>
        </w:rPr>
        <w:t>重要提示</w:t>
      </w:r>
    </w:p>
    <w:p>
      <w:pPr>
        <w:spacing w:line="360" w:lineRule="auto"/>
        <w:ind w:firstLine="480" w:firstLineChars="200"/>
        <w:rPr>
          <w:color w:val="000000"/>
          <w:sz w:val="24"/>
          <w:szCs w:val="24"/>
        </w:rPr>
      </w:pPr>
      <w:r>
        <w:rPr>
          <w:color w:val="000000"/>
          <w:sz w:val="24"/>
          <w:szCs w:val="24"/>
        </w:rPr>
        <w:t xml:space="preserve">基金管理人的董事会及董事保证本报告所载资料不存在虚假记载、误导性陈述或重大遗漏，并对其内容的真实性、准确性和完整性承担个别及连带责任。 </w:t>
      </w:r>
    </w:p>
    <w:p>
      <w:pPr>
        <w:spacing w:line="360" w:lineRule="auto"/>
        <w:ind w:firstLine="480" w:firstLineChars="200"/>
        <w:rPr>
          <w:color w:val="000000"/>
          <w:sz w:val="24"/>
          <w:szCs w:val="24"/>
        </w:rPr>
      </w:pPr>
      <w:r>
        <w:rPr>
          <w:color w:val="000000"/>
          <w:sz w:val="24"/>
          <w:szCs w:val="24"/>
        </w:rPr>
        <w:t xml:space="preserve">基金托管人中国邮政储蓄银行股份有限公司根据本基金合同规定，于2020年7月17日复核了本报告中的财务指标、净值表现和投资组合报告等内容，保证复核内容不存在虚假记载、误导性陈述或者重大遗漏。 </w:t>
      </w:r>
    </w:p>
    <w:p>
      <w:pPr>
        <w:spacing w:line="360" w:lineRule="auto"/>
        <w:ind w:firstLine="480" w:firstLineChars="200"/>
        <w:rPr>
          <w:color w:val="000000"/>
          <w:sz w:val="24"/>
          <w:szCs w:val="24"/>
        </w:rPr>
      </w:pPr>
      <w:r>
        <w:rPr>
          <w:color w:val="000000"/>
          <w:sz w:val="24"/>
          <w:szCs w:val="24"/>
        </w:rPr>
        <w:t xml:space="preserve">基金管理人承诺以诚实信用、勤勉尽责的原则管理和运用基金资产，但不保证基金一定盈利。 </w:t>
      </w:r>
    </w:p>
    <w:p>
      <w:pPr>
        <w:spacing w:line="360" w:lineRule="auto"/>
        <w:ind w:firstLine="480" w:firstLineChars="200"/>
        <w:rPr>
          <w:color w:val="000000"/>
          <w:sz w:val="24"/>
          <w:szCs w:val="24"/>
        </w:rPr>
      </w:pPr>
      <w:r>
        <w:rPr>
          <w:color w:val="000000"/>
          <w:sz w:val="24"/>
          <w:szCs w:val="24"/>
        </w:rPr>
        <w:t xml:space="preserve">基金的过往业绩并不代表其未来表现。投资有风险，投资者在作出投资决策前应仔细阅读本基金的招募说明书。 </w:t>
      </w:r>
    </w:p>
    <w:p>
      <w:pPr>
        <w:spacing w:line="360" w:lineRule="auto"/>
        <w:ind w:firstLine="480" w:firstLineChars="200"/>
        <w:rPr>
          <w:color w:val="000000"/>
          <w:sz w:val="24"/>
          <w:szCs w:val="24"/>
        </w:rPr>
      </w:pPr>
      <w:r>
        <w:rPr>
          <w:color w:val="000000"/>
          <w:sz w:val="24"/>
          <w:szCs w:val="24"/>
        </w:rPr>
        <w:t>本报告中财务资料未经审计。</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proofErr w:type="gramStart"/>
      <w:r w:rsidRPr="006C56AA">
        <w:rPr>
          <w:color w:val="000000"/>
          <w:sz w:val="24"/>
          <w:szCs w:val="24"/>
        </w:rPr>
        <w:t/>
      </w:r>
      <w:proofErr w:type="spellEnd"/>
      <w:proofErr w:type="gramEnd"/>
      <w:r w:rsidRPr="006C56AA">
        <w:rPr>
          <w:color w:val="000000"/>
          <w:sz w:val="24"/>
          <w:szCs w:val="24"/>
        </w:rPr>
        <w:t>本报告期自2020年4月1日起至6月30日止。</w:t>
      </w: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2  </w:t>
      </w:r>
      <w:r w:rsidRPr="00264E55">
        <w:rPr>
          <w:rFonts w:ascii="宋体" w:hAnsi="宋体" w:hint="eastAsia"/>
          <w:color w:val="000000"/>
          <w:kern w:val="0"/>
          <w:sz w:val="24"/>
          <w:szCs w:val="24"/>
        </w:rPr>
        <w:t>基金产品概况</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1" w:lastRow="1" w:noHBand="0" w:noVBand="0" w:val="01E0"/>
      </w:tblPr>
      <w:tblGrid>
        <w:gridCol w:w="2835"/>
        <w:gridCol w:w="2739"/>
        <w:gridCol w:w="2740"/>
      </w:tblGrid>
      <w:tr w:rsidR="00750D48" w:rsidRPr="00264E55" w:rsidTr="00500A03">
        <w:tc>
          <w:tcPr>
            <w:tcW w:type="dxa" w:w="2835"/>
          </w:tcPr>
          <w:p w:rsidP="007B5AFB" w:rsidR="00750D48" w:rsidRDefault="00750D48" w:rsidRPr="00232B03">
            <w:pPr>
              <w:adjustRightInd w:val="0"/>
              <w:spacing w:before="29" w:line="360" w:lineRule="auto"/>
              <w:ind w:left="17"/>
              <w:jc w:val="left"/>
              <w:rPr>
                <w:kern w:val="0"/>
                <w:sz w:val="24"/>
                <w:szCs w:val="24"/>
              </w:rPr>
            </w:pPr>
            <w:r w:rsidRPr="00232B03">
              <w:rPr>
                <w:kern w:val="0"/>
                <w:sz w:val="24"/>
                <w:szCs w:val="24"/>
              </w:rPr>
              <w:t>基金简称</w:t>
            </w:r>
          </w:p>
        </w:tc>
        <w:tc>
          <w:tcPr>
            <w:tcW w:type="dxa" w:w="5479"/>
            <w:gridSpan w:val="2"/>
          </w:tcPr>
          <w:p w:rsidP="007B5AFB" w:rsidR="00750D48" w:rsidRDefault="00750D48" w:rsidRPr="00232B03">
            <w:pPr>
              <w:adjustRightInd w:val="0"/>
              <w:spacing w:before="29" w:line="360" w:lineRule="auto"/>
              <w:ind w:left="17"/>
              <w:jc w:val="lef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易方达汇诚养老2038三年持有混合发起式（FOF）</w:t>
            </w:r>
          </w:p>
        </w:tc>
      </w:tr>
      <w:tr w:rsidR="00750D48" w:rsidRPr="00264E55" w:rsidTr="00D94B8D">
        <w:tc>
          <w:tcPr>
            <w:tcW w:type="dxa" w:w="2835"/>
          </w:tcPr>
          <w:p w:rsidR="00750D48" w:rsidRDefault="00750D48" w:rsidRPr="00232B03">
            <w:pPr>
              <w:adjustRightInd w:val="0"/>
              <w:spacing w:before="29" w:line="360" w:lineRule="auto"/>
              <w:ind w:left="17"/>
              <w:jc w:val="left"/>
              <w:rPr>
                <w:kern w:val="0"/>
                <w:sz w:val="24"/>
                <w:szCs w:val="24"/>
              </w:rPr>
            </w:pPr>
            <w:r w:rsidRPr="00232B03">
              <w:rPr>
                <w:kern w:val="0"/>
                <w:sz w:val="24"/>
                <w:szCs w:val="24"/>
              </w:rPr>
              <w:t>基金主代码</w:t>
            </w:r>
          </w:p>
        </w:tc>
        <w:tc>
          <w:tcPr>
            <w:tcW w:type="dxa" w:w="5479"/>
            <w:gridSpan w:val="2"/>
          </w:tcPr>
          <w:p w:rsidR="00750D48" w:rsidRDefault="00750D48" w:rsidRPr="00232B03">
            <w:pPr>
              <w:adjustRightInd w:val="0"/>
              <w:spacing w:before="29" w:line="360" w:lineRule="auto"/>
              <w:ind w:left="17"/>
              <w:jc w:val="lef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006860</w:t>
            </w:r>
          </w:p>
        </w:tc>
      </w:tr>
      <w:tr w:rsidR="00750D48" w:rsidRPr="00264E55" w:rsidTr="00D94B8D">
        <w:tc>
          <w:tcPr>
            <w:tcW w:type="dxa" w:w="2835"/>
          </w:tcPr>
          <w:p w:rsidP="00895A8A" w:rsidR="00750D48" w:rsidRDefault="00750D48" w:rsidRPr="00232B03">
            <w:pPr>
              <w:adjustRightInd w:val="0"/>
              <w:spacing w:before="29" w:line="360" w:lineRule="auto"/>
              <w:ind w:left="17"/>
              <w:jc w:val="left"/>
              <w:rPr>
                <w:kern w:val="0"/>
                <w:sz w:val="24"/>
                <w:szCs w:val="24"/>
              </w:rPr>
            </w:pPr>
            <w:r w:rsidRPr="00232B03">
              <w:rPr>
                <w:kern w:val="0"/>
                <w:sz w:val="24"/>
                <w:szCs w:val="24"/>
              </w:rPr>
              <w:t>交易代码</w:t>
            </w:r>
          </w:p>
        </w:tc>
        <w:tc>
          <w:tcPr>
            <w:tcW w:type="dxa" w:w="5479"/>
            <w:gridSpan w:val="2"/>
          </w:tcPr>
          <w:p w:rsidP="00895A8A" w:rsidR="00750D48" w:rsidRDefault="00750D48" w:rsidRPr="00232B03">
            <w:pPr>
              <w:adjustRightInd w:val="0"/>
              <w:spacing w:before="29" w:line="360" w:lineRule="auto"/>
              <w:ind w:left="17"/>
              <w:jc w:val="left"/>
              <w:rPr>
                <w:color w:val="000000"/>
                <w:kern w:val="0"/>
                <w:sz w:val="24"/>
                <w:szCs w:val="24"/>
              </w:rPr>
            </w:pPr>
            <w:r w:rsidRPr="00232B03">
              <w:rPr>
                <w:kern w:val="0"/>
                <w:sz w:val="24"/>
              </w:rPr>
              <w:t/>
            </w:r>
            <w:proofErr w:type="spellStart"/>
            <w:r w:rsidRPr="00232B03">
              <w:rPr>
                <w:kern w:val="0"/>
                <w:sz w:val="24"/>
              </w:rPr>
              <w:t/>
            </w:r>
            <w:proofErr w:type="spellEnd"/>
            <w:r w:rsidRPr="00232B03">
              <w:rPr>
                <w:kern w:val="0"/>
                <w:sz w:val="24"/>
              </w:rPr>
              <w:t/>
            </w:r>
            <w:proofErr w:type="spellStart"/>
            <w:r w:rsidRPr="00232B03">
              <w:rPr>
                <w:kern w:val="0"/>
                <w:sz w:val="24"/>
              </w:rPr>
              <w:t/>
            </w:r>
            <w:proofErr w:type="spellEnd"/>
            <w:r w:rsidRPr="00232B03">
              <w:rPr>
                <w:kern w:val="0"/>
                <w:sz w:val="24"/>
              </w:rPr>
              <w:t/>
            </w:r>
            <w:proofErr w:type="spellStart"/>
            <w:r w:rsidRPr="00232B03">
              <w:rPr>
                <w:kern w:val="0"/>
                <w:sz w:val="24"/>
              </w:rPr>
              <w:t/>
            </w:r>
            <w:proofErr w:type="spellEnd"/>
            <w:r w:rsidRPr="00232B03">
              <w:rPr>
                <w:kern w:val="0"/>
                <w:sz w:val="24"/>
              </w:rPr>
              <w:t>006860</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基金运作方式</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契约型开放式</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基金合同生效日</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2019年4月30日</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报告期末基金份额总额</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13,399,740.46</w:t>
            </w:r>
            <w:r w:rsidRPr="00232B03">
              <w:rPr>
                <w:color w:val="000000"/>
                <w:kern w:val="0"/>
                <w:sz w:val="24"/>
                <w:szCs w:val="24"/>
              </w:rPr>
              <w:t>份</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投资目标</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在投资管理过程中遵循各个阶段既定的投资比例，动态调整大类资产配置，控制基金下行风险，力争追求基金长期稳健增值。</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投资策略</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 xml:space="preserve">本基金属于目标日期策略基金，基金管理人根据设计的下滑曲线确定权益类资产与非权益类资产的配置比例，随着所设定目标日期的临近，本基金从整体趋势上将逐步降低权益类资产的配置比例，增加非权益类资产的配置比例。本基金的主要投资策略包括资产配置策略、基金筛选策略、基金配置策略。资产配置策略在根据下滑曲线确定的投资比例范围之内通过战略资产配置与战术资产配置确定各个大类资产的配置比例。本基金根据下滑曲线在不同时期均设定了权益类资产与非权益类资产投资比例范围。本基金的战略资产配置策略即在满足各个时间段约定的权益类资产与非权益类资产投资比例限制的前提下，确定股票、债券、商品、货币等各类资产的资产配置比例。战术资产配置是根据经济状况与市场环境对资产配置进行动态调整，进一步优化配置、增强收益的方法。本基金使用的战术资产配置策略主要基于对宏观经济面、政策面、基本面、技术面、估值面的深入分析，形成战术配置观点。通过战略资产配置策略与战术资产配置策略，本基金将最终形成目标资产配置比例，并以此指导后续基金的配置。基金筛选策略通过全方位的定量和定性分析筛选出符合基金管理人要求的标的基金，本基金所投资的全部基金都应是通过基金筛选策略选择出的标的基金。基金配置策略是通过对短周期内的基金多因子分解，结合公开披露的信息估算拟投资基金的最新的资产配置比例和短期的风格定位，通过优化求解的方法，得到匹配目标资产配置比例的最优基金组合，在此基础之上，基金管理人可以结合其他定性因素对组合进行调整，形成最终的投资组合。 </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业绩比较基准</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 xml:space="preserve">基金合同生效日至2023年12月31日：45%×沪深300指数收益率+50%×中债新综合财富指数收益率+5%×活期存款利率；2024年1月1日至2028年12月31日：40%×沪深300指数收益率+55%×中债新综合财富指数收益率+5%×活期存款利率；2029年1月1日至2033年12月31日：30%×沪深300指数收益率+65%×中债新综合财富指数收益率+5%×活期存款利率；2034年1月1日至2038年12月31日：20%×沪深300指数收益率+75%×中债新综合财富指数收益率+5%×活期存款利率。 </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风险收益特征</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 xml:space="preserve">本基金属于采用目标日期策略的基金中基金，2038年12月31日为本基金的目标日期。从基金合同生效日至目标日期止，本基金的预期风险与预期收益水平将随着时间的流逝逐步降低。基金合同生效日至2038年12月31日，理论上本基金的预期风险与预期收益水平低于股票型基金、股票型基金中基金（FOF），高于债券型基金、债券型基金中基金（FOF）、货币市场基金和货币型基金中基金（FOF）。 </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基金管理人</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易方达基金管理有限公司</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基金托管人</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中国邮政储蓄银行股份有限公司</w:t>
            </w:r>
          </w:p>
        </w:tc>
      </w:tr>
    </w:tbl>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lastRenderedPageBreak/>
        <w:t>§</w:t>
      </w:r>
      <w:r w:rsidRPr="00264E55">
        <w:rPr>
          <w:rFonts w:ascii="宋体" w:hAnsi="宋体"/>
          <w:color w:val="000000"/>
          <w:kern w:val="0"/>
          <w:sz w:val="24"/>
          <w:szCs w:val="24"/>
        </w:rPr>
        <w:t xml:space="preserve">3  </w:t>
      </w:r>
      <w:r w:rsidRPr="00264E55">
        <w:rPr>
          <w:rFonts w:ascii="宋体" w:hAnsi="宋体" w:hint="eastAsia"/>
          <w:color w:val="000000"/>
          <w:kern w:val="0"/>
          <w:sz w:val="24"/>
          <w:szCs w:val="24"/>
        </w:rPr>
        <w:t>主要财务指标和基金净值表现</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3.1 </w:t>
      </w:r>
      <w:r w:rsidRPr="00264E55">
        <w:rPr>
          <w:rFonts w:ascii="宋体" w:hAnsi="宋体" w:hint="eastAsia"/>
          <w:b/>
          <w:bCs/>
          <w:color w:val="000000"/>
          <w:kern w:val="0"/>
          <w:sz w:val="24"/>
          <w:szCs w:val="24"/>
        </w:rPr>
        <w:t>主要财务指标</w:t>
      </w:r>
    </w:p>
    <w:p w:rsidP="0062420E" w:rsidR="0062420E" w:rsidRDefault="0062420E" w:rsidRPr="006506EF">
      <w:pPr>
        <w:autoSpaceDE w:val="0"/>
        <w:autoSpaceDN w:val="0"/>
        <w:adjustRightInd w:val="0"/>
        <w:spacing w:before="29" w:line="360" w:lineRule="auto"/>
        <w:ind w:left="15"/>
        <w:jc w:val="right"/>
        <w:rPr>
          <w:color w:val="000000"/>
          <w:kern w:val="0"/>
          <w:sz w:val="24"/>
        </w:rPr>
      </w:pPr>
      <w:r w:rsidRPr="006506EF">
        <w:rPr>
          <w:color w:val="000000"/>
          <w:kern w:val="0"/>
          <w:sz w:val="24"/>
        </w:rPr>
        <w:t>单位：人民币元</w:t>
      </w:r>
    </w:p>
    <w:tbl>
      <w:tblPr>
        <w:tblW w:type="dxa" w:w="8364"/>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0" w:firstRow="0" w:lastColumn="0" w:lastRow="0" w:noHBand="0" w:noVBand="0" w:val="0000"/>
      </w:tblPr>
      <w:tblGrid>
        <w:gridCol w:w="3402"/>
        <w:gridCol w:w="2552"/>
        <w:gridCol w:w="2410"/>
      </w:tblGrid>
      <w:tr w:rsidR="0062420E" w:rsidRPr="006506EF" w:rsidTr="00C3442A">
        <w:tc>
          <w:tcPr>
            <w:tcW w:type="dxa" w:w="3402"/>
            <w:vAlign w:val="center"/>
          </w:tcPr>
          <w:p w:rsidP="00C3442A" w:rsidR="0062420E" w:rsidRDefault="0062420E" w:rsidRPr="006506EF">
            <w:pPr>
              <w:adjustRightInd w:val="0"/>
              <w:spacing w:before="29" w:line="360" w:lineRule="auto"/>
              <w:ind w:left="17"/>
              <w:jc w:val="center"/>
              <w:rPr>
                <w:kern w:val="0"/>
                <w:sz w:val="24"/>
              </w:rPr>
            </w:pPr>
            <w:r w:rsidRPr="006506EF">
              <w:rPr>
                <w:kern w:val="0"/>
                <w:sz w:val="24"/>
              </w:rPr>
              <w:t>主要财务指标</w:t>
            </w:r>
            <w:r w:rsidRPr="006506EF">
              <w:rPr>
                <w:kern w:val="0"/>
                <w:sz w:val="24"/>
              </w:rPr>
              <w:t/>
            </w:r>
            <w:proofErr w:type="spellStart"/>
            <w:r w:rsidRPr="006506EF">
              <w:rPr>
                <w:kern w:val="0"/>
                <w:sz w:val="24"/>
              </w:rPr>
              <w:t/>
            </w:r>
            <w:proofErr w:type="spellEnd"/>
            <w:r w:rsidRPr="006506EF">
              <w:rPr>
                <w:kern w:val="0"/>
                <w:sz w:val="24"/>
              </w:rPr>
              <w:t/>
            </w:r>
          </w:p>
        </w:tc>
        <w:tc>
          <w:tcPr>
            <w:tcW w:type="dxa" w:w="4962"/>
            <w:hMerge w:val="restart"/>
            <w:vAlign w:val="center"/>
          </w:tcPr>
          <w:p w:rsidP="00C3442A" w:rsidR="0062420E" w:rsidRDefault="0062420E" w:rsidRPr="006506EF">
            <w:pPr>
              <w:adjustRightInd w:val="0"/>
              <w:spacing w:before="29" w:line="360" w:lineRule="auto"/>
              <w:ind w:left="17"/>
              <w:jc w:val="center"/>
              <w:rPr>
                <w:color w:val="000000"/>
                <w:sz w:val="24"/>
              </w:rPr>
            </w:pPr>
            <w:r w:rsidRPr="006506EF">
              <w:rPr>
                <w:color w:val="000000"/>
                <w:sz w:val="24"/>
              </w:rPr>
              <w:t>报告期</w:t>
            </w:r>
          </w:p>
          <w:p w:rsidP="00C3442A" w:rsidR="0062420E" w:rsidRDefault="0062420E" w:rsidRPr="006506EF">
            <w:pPr>
              <w:adjustRightInd w:val="0"/>
              <w:spacing w:before="29" w:line="360" w:lineRule="auto"/>
              <w:ind w:left="17"/>
              <w:jc w:val="center"/>
              <w:rPr>
                <w:color w:val="000000"/>
                <w:sz w:val="24"/>
              </w:rPr>
            </w:pPr>
            <w:r w:rsidRPr="006506EF">
              <w:rPr>
                <w:color w:val="000000"/>
                <w:sz w:val="24"/>
              </w:rPr>
              <w:t>(</w:t>
            </w:r>
            <w:proofErr w:type="spellStart"/>
            <w:r w:rsidRPr="006506EF">
              <w:rPr>
                <w:color w:val="000000"/>
                <w:sz w:val="24"/>
              </w:rPr>
              <w:t/>
            </w:r>
            <w:proofErr w:type="spellEnd"/>
            <w:r w:rsidRPr="006506EF">
              <w:rPr>
                <w:color w:val="000000"/>
                <w:sz w:val="24"/>
              </w:rPr>
              <w:t>2020年4月1日-</w:t>
            </w:r>
            <w:proofErr w:type="spellStart"/>
            <w:r w:rsidRPr="006506EF">
              <w:rPr>
                <w:color w:val="000000"/>
                <w:sz w:val="24"/>
              </w:rPr>
              <w:t/>
            </w:r>
            <w:proofErr w:type="spellEnd"/>
            <w:r w:rsidRPr="006506EF">
              <w:rPr>
                <w:color w:val="000000"/>
                <w:sz w:val="24"/>
              </w:rPr>
              <w:t>2020年6月30日)</w:t>
            </w:r>
          </w:p>
        </w:tc>
        <w:tc>
          <w:tcPr>
            <w:tcW w:type="dxa" w:w="2410"/>
            <w:hMerge/>
          </w:tcPr>
          <w:p w:rsidP="00C3442A" w:rsidR="0062420E" w:rsidRDefault="0062420E" w:rsidRPr="006506EF">
            <w:pPr>
              <w:adjustRightInd w:val="0"/>
              <w:spacing w:before="29" w:line="360" w:lineRule="auto"/>
              <w:ind w:left="17"/>
              <w:jc w:val="center"/>
              <w:rPr>
                <w:color w:val="000000"/>
                <w:sz w:val="24"/>
              </w:rPr>
            </w:pPr>
            <w:r w:rsidRPr="006506EF">
              <w:rPr>
                <w:color w:val="000000"/>
                <w:sz w:val="24"/>
              </w:rPr>
              <w:t>上期金额</w:t>
            </w:r>
            <w:r w:rsidRPr="006506EF">
              <w:rPr>
                <w:color w:val="000000"/>
                <w:sz w:val="24"/>
              </w:rPr>
              <w:t/>
            </w:r>
            <w:proofErr w:type="spellStart"/>
            <w:r w:rsidRPr="006506EF">
              <w:rPr>
                <w:color w:val="000000"/>
                <w:sz w:val="24"/>
              </w:rPr>
              <w:t/>
            </w:r>
            <w:proofErr w:type="spellEnd"/>
            <w:r w:rsidRPr="006506EF">
              <w:rPr>
                <w:color w:val="000000"/>
                <w:sz w:val="24"/>
              </w:rPr>
              <w:t/>
            </w:r>
          </w:p>
        </w:tc>
      </w:tr>
      <w:tr w:rsidR="0062420E" w:rsidRPr="006506EF" w:rsidTr="00C3442A">
        <w:tc>
          <w:tcPr>
            <w:tcW w:type="dxa" w:w="3402"/>
          </w:tcPr>
          <w:p w:rsidP="00C3442A" w:rsidR="0062420E" w:rsidRDefault="0062420E" w:rsidRPr="006506EF">
            <w:pPr>
              <w:adjustRightInd w:val="0"/>
              <w:spacing w:before="29" w:line="360" w:lineRule="auto"/>
              <w:ind w:left="17"/>
              <w:rPr>
                <w:kern w:val="0"/>
                <w:sz w:val="24"/>
              </w:rPr>
            </w:pPr>
            <w:r w:rsidRPr="006506EF">
              <w:rPr>
                <w:kern w:val="0"/>
                <w:sz w:val="24"/>
              </w:rPr>
              <w:t>1.</w:t>
            </w:r>
            <w:r w:rsidRPr="006506EF">
              <w:rPr>
                <w:kern w:val="0"/>
                <w:sz w:val="24"/>
              </w:rPr>
              <w:t>本期已实现收益</w:t>
            </w:r>
          </w:p>
        </w:tc>
        <w:tc>
          <w:tcPr>
            <w:tcW w:type="dxa" w:w="4962"/>
            <w:hMerge w:val="restart"/>
            <w:vAlign w:val="bottom"/>
          </w:tcPr>
          <w:p w:rsidP="00C3442A" w:rsidR="0062420E" w:rsidRDefault="0062420E" w:rsidRPr="006506EF">
            <w:pPr>
              <w:adjustRightInd w:val="0"/>
              <w:spacing w:before="29" w:line="360" w:lineRule="auto"/>
              <w:ind w:left="17"/>
              <w:jc w:val="right"/>
              <w:rPr>
                <w:color w:val="000000"/>
                <w:sz w:val="24"/>
              </w:rPr>
            </w:pPr>
            <w:r w:rsidRPr="006506EF">
              <w:rPr>
                <w:color w:val="000000"/>
                <w:sz w:val="24"/>
              </w:rPr>
              <w:t>-27,021.25</w:t>
            </w:r>
          </w:p>
        </w:tc>
        <w:tc>
          <w:tcPr>
            <w:tcW w:type="dxa" w:w="2410"/>
            <w:hMerge/>
            <w:vAlign w:val="bottom"/>
          </w:tcPr>
          <w:p w:rsidP="00C3442A" w:rsidR="0062420E" w:rsidRDefault="0062420E" w:rsidRPr="006506EF">
            <w:pPr>
              <w:adjustRightInd w:val="0"/>
              <w:spacing w:before="29" w:line="360" w:lineRule="auto"/>
              <w:ind w:left="17"/>
              <w:jc w:val="right"/>
              <w:rPr>
                <w:color w:val="000000"/>
                <w:sz w:val="24"/>
              </w:rPr>
            </w:pPr>
            <w:r w:rsidRPr="006506EF">
              <w:rPr>
                <w:color w:val="000000"/>
                <w:sz w:val="24"/>
              </w:rPr>
              <w:t>-</w:t>
            </w:r>
          </w:p>
        </w:tc>
      </w:tr>
      <w:tr w:rsidR="0062420E" w:rsidRPr="006506EF" w:rsidTr="00C3442A">
        <w:tc>
          <w:tcPr>
            <w:tcW w:type="dxa" w:w="3402"/>
          </w:tcPr>
          <w:p w:rsidP="00C3442A" w:rsidR="0062420E" w:rsidRDefault="0062420E" w:rsidRPr="006506EF">
            <w:pPr>
              <w:adjustRightInd w:val="0"/>
              <w:spacing w:before="29" w:line="360" w:lineRule="auto"/>
              <w:ind w:left="17"/>
              <w:rPr>
                <w:kern w:val="0"/>
                <w:sz w:val="24"/>
              </w:rPr>
            </w:pPr>
            <w:r w:rsidRPr="006506EF">
              <w:rPr>
                <w:kern w:val="0"/>
                <w:sz w:val="24"/>
              </w:rPr>
              <w:t>2.</w:t>
            </w:r>
            <w:r w:rsidRPr="006506EF">
              <w:rPr>
                <w:kern w:val="0"/>
                <w:sz w:val="24"/>
              </w:rPr>
              <w:t>本期利润</w:t>
            </w:r>
          </w:p>
        </w:tc>
        <w:tc>
          <w:tcPr>
            <w:tcW w:type="dxa" w:w="4962"/>
            <w:hMerge w:val="restart"/>
            <w:vAlign w:val="bottom"/>
          </w:tcPr>
          <w:p w:rsidP="00C3442A" w:rsidR="0062420E" w:rsidRDefault="0062420E"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1,405,347.71</w:t>
            </w:r>
          </w:p>
        </w:tc>
        <w:tc>
          <w:tcPr>
            <w:tcW w:type="dxa" w:w="2410"/>
            <w:hMerge/>
            <w:vAlign w:val="bottom"/>
          </w:tcPr>
          <w:p w:rsidP="00C3442A" w:rsidR="0062420E" w:rsidRDefault="0062420E" w:rsidRPr="006506EF">
            <w:pPr>
              <w:adjustRightInd w:val="0"/>
              <w:spacing w:before="29" w:line="360" w:lineRule="auto"/>
              <w:ind w:left="17"/>
              <w:jc w:val="right"/>
              <w:rPr>
                <w:color w:val="000000"/>
                <w:sz w:val="24"/>
              </w:rPr>
            </w:pPr>
            <w:r w:rsidRPr="006506EF">
              <w:rPr>
                <w:color w:val="000000"/>
                <w:sz w:val="24"/>
              </w:rPr>
              <w:t>-</w:t>
            </w:r>
          </w:p>
        </w:tc>
      </w:tr>
      <w:tr w:rsidR="0062420E" w:rsidRPr="006506EF" w:rsidTr="00C3442A">
        <w:tc>
          <w:tcPr>
            <w:tcW w:type="dxa" w:w="3402"/>
          </w:tcPr>
          <w:p w:rsidP="00C3442A" w:rsidR="0062420E" w:rsidRDefault="0062420E" w:rsidRPr="006506EF">
            <w:pPr>
              <w:adjustRightInd w:val="0"/>
              <w:spacing w:before="29" w:line="360" w:lineRule="auto"/>
              <w:ind w:left="17"/>
              <w:rPr>
                <w:kern w:val="0"/>
                <w:sz w:val="24"/>
              </w:rPr>
            </w:pPr>
            <w:r w:rsidRPr="006506EF">
              <w:rPr>
                <w:kern w:val="0"/>
                <w:sz w:val="24"/>
              </w:rPr>
              <w:t>3.</w:t>
            </w:r>
            <w:r w:rsidRPr="006506EF">
              <w:rPr>
                <w:kern w:val="0"/>
                <w:sz w:val="24"/>
              </w:rPr>
              <w:t>加权平均基金份额本期利润</w:t>
            </w:r>
          </w:p>
        </w:tc>
        <w:tc>
          <w:tcPr>
            <w:tcW w:type="dxa" w:w="4962"/>
            <w:hMerge w:val="restart"/>
            <w:vAlign w:val="bottom"/>
          </w:tcPr>
          <w:p w:rsidP="00C3442A" w:rsidR="0062420E" w:rsidRDefault="0062420E"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0.1075</w:t>
            </w:r>
          </w:p>
        </w:tc>
        <w:tc>
          <w:tcPr>
            <w:tcW w:type="dxa" w:w="2410"/>
            <w:hMerge/>
            <w:vAlign w:val="bottom"/>
          </w:tcPr>
          <w:p w:rsidP="00C3442A" w:rsidR="0062420E" w:rsidRDefault="0062420E" w:rsidRPr="006506EF">
            <w:pPr>
              <w:adjustRightInd w:val="0"/>
              <w:spacing w:before="29" w:line="360" w:lineRule="auto"/>
              <w:ind w:left="17"/>
              <w:jc w:val="right"/>
              <w:rPr>
                <w:color w:val="000000"/>
                <w:sz w:val="24"/>
              </w:rPr>
            </w:pPr>
            <w:r w:rsidRPr="006506EF">
              <w:rPr>
                <w:color w:val="000000"/>
                <w:sz w:val="24"/>
              </w:rPr>
              <w:t>-</w:t>
            </w:r>
          </w:p>
        </w:tc>
      </w:tr>
      <w:tr w:rsidR="0062420E" w:rsidRPr="006506EF" w:rsidTr="00C3442A">
        <w:tc>
          <w:tcPr>
            <w:tcW w:type="dxa" w:w="3402"/>
          </w:tcPr>
          <w:p w:rsidP="00C3442A" w:rsidR="0062420E" w:rsidRDefault="0062420E" w:rsidRPr="006506EF">
            <w:pPr>
              <w:adjustRightInd w:val="0"/>
              <w:spacing w:before="29" w:line="360" w:lineRule="auto"/>
              <w:ind w:left="17"/>
              <w:rPr>
                <w:kern w:val="0"/>
                <w:sz w:val="24"/>
              </w:rPr>
            </w:pPr>
            <w:r w:rsidRPr="006506EF">
              <w:rPr>
                <w:kern w:val="0"/>
                <w:sz w:val="24"/>
              </w:rPr>
              <w:t>4.</w:t>
            </w:r>
            <w:r w:rsidRPr="006506EF">
              <w:rPr>
                <w:kern w:val="0"/>
                <w:sz w:val="24"/>
              </w:rPr>
              <w:t>期末基金资产净值</w:t>
            </w:r>
          </w:p>
        </w:tc>
        <w:tc>
          <w:tcPr>
            <w:tcW w:type="dxa" w:w="4962"/>
            <w:hMerge w:val="restart"/>
          </w:tcPr>
          <w:p w:rsidP="00C3442A" w:rsidR="0062420E" w:rsidRDefault="0062420E"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15,328,870.47</w:t>
            </w:r>
          </w:p>
        </w:tc>
        <w:tc>
          <w:tcPr>
            <w:tcW w:type="dxa" w:w="2410"/>
            <w:hMerge/>
          </w:tcPr>
          <w:p w:rsidP="00C3442A" w:rsidR="0062420E" w:rsidRDefault="0062420E" w:rsidRPr="006506EF">
            <w:pPr>
              <w:adjustRightInd w:val="0"/>
              <w:spacing w:before="29" w:line="360" w:lineRule="auto"/>
              <w:ind w:left="17"/>
              <w:jc w:val="right"/>
              <w:rPr>
                <w:color w:val="000000"/>
                <w:sz w:val="24"/>
              </w:rPr>
            </w:pPr>
            <w:r w:rsidRPr="006506EF">
              <w:rPr>
                <w:color w:val="000000"/>
                <w:sz w:val="24"/>
              </w:rPr>
              <w:t>-</w:t>
            </w:r>
          </w:p>
        </w:tc>
      </w:tr>
      <w:tr w:rsidR="0062420E" w:rsidRPr="006506EF" w:rsidTr="00C3442A">
        <w:trPr>
          <w:trHeight w:val="158"/>
        </w:trPr>
        <w:tc>
          <w:tcPr>
            <w:tcW w:type="dxa" w:w="3402"/>
          </w:tcPr>
          <w:p w:rsidP="00C3442A" w:rsidR="0062420E" w:rsidRDefault="0062420E" w:rsidRPr="006506EF">
            <w:pPr>
              <w:adjustRightInd w:val="0"/>
              <w:spacing w:before="29" w:line="360" w:lineRule="auto"/>
              <w:ind w:left="17"/>
              <w:rPr>
                <w:kern w:val="0"/>
                <w:sz w:val="24"/>
              </w:rPr>
            </w:pPr>
            <w:r w:rsidRPr="006506EF">
              <w:rPr>
                <w:kern w:val="0"/>
                <w:sz w:val="24"/>
              </w:rPr>
              <w:t>5.</w:t>
            </w:r>
            <w:r w:rsidRPr="006506EF">
              <w:rPr>
                <w:kern w:val="0"/>
                <w:sz w:val="24"/>
              </w:rPr>
              <w:t>期末基金份额净值</w:t>
            </w:r>
          </w:p>
        </w:tc>
        <w:tc>
          <w:tcPr>
            <w:tcW w:type="dxa" w:w="4962"/>
            <w:hMerge w:val="restart"/>
          </w:tcPr>
          <w:p w:rsidP="00C3442A" w:rsidR="0062420E" w:rsidRDefault="0062420E"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1.1440</w:t>
            </w:r>
          </w:p>
        </w:tc>
        <w:tc>
          <w:tcPr>
            <w:tcW w:type="dxa" w:w="2410"/>
            <w:hMerge/>
          </w:tcPr>
          <w:p w:rsidP="00C3442A" w:rsidR="0062420E" w:rsidRDefault="0062420E" w:rsidRPr="006506EF">
            <w:pPr>
              <w:adjustRightInd w:val="0"/>
              <w:spacing w:before="29" w:line="360" w:lineRule="auto"/>
              <w:ind w:left="17"/>
              <w:jc w:val="right"/>
              <w:rPr>
                <w:color w:val="000000"/>
                <w:sz w:val="24"/>
              </w:rPr>
            </w:pPr>
            <w:r w:rsidRPr="006506EF">
              <w:rPr>
                <w:color w:val="000000"/>
                <w:sz w:val="24"/>
              </w:rPr>
              <w:t>-</w:t>
            </w:r>
          </w:p>
        </w:tc>
      </w:tr>
    </w:tbl>
    <w:p>
      <w:pPr>
        <w:spacing w:line="360" w:lineRule="auto"/>
        <w:ind w:firstLine="480" w:firstLineChars="200"/>
        <w:rPr>
          <w:color w:val="000000"/>
          <w:sz w:val="24"/>
          <w:szCs w:val="24"/>
        </w:rPr>
      </w:pPr>
      <w:r>
        <w:rPr>
          <w:color w:val="000000"/>
          <w:sz w:val="24"/>
        </w:rPr>
        <w:t>注：1.所述基金业绩指标不包括持有人认购或交易基金的各项费用，计入费用后实际收益水平要低于所列数字。</w:t>
      </w:r>
    </w:p>
    <w:p w:rsidP="00232B03" w:rsidR="00750D48" w:rsidRDefault="0062420E" w:rsidRPr="00232B03">
      <w:pPr>
        <w:spacing w:line="360" w:lineRule="auto"/>
        <w:ind w:firstLine="480" w:firstLineChars="200"/>
        <w:rPr>
          <w:color w:val="000000"/>
          <w:sz w:val="24"/>
          <w:szCs w:val="24"/>
        </w:rPr>
      </w:pPr>
      <w:r w:rsidRPr="006506EF">
        <w:rPr>
          <w:color w:val="000000"/>
          <w:sz w:val="24"/>
        </w:rPr>
        <w:t/>
      </w:r>
      <w:proofErr w:type="spellStart"/>
      <w:r w:rsidRPr="006506EF">
        <w:rPr>
          <w:color w:val="000000"/>
          <w:sz w:val="24"/>
        </w:rPr>
        <w:t/>
      </w:r>
      <w:proofErr w:type="spellEnd"/>
      <w:r w:rsidRPr="006506EF">
        <w:rPr>
          <w:color w:val="000000"/>
          <w:sz w:val="24"/>
        </w:rPr>
        <w:t/>
      </w:r>
      <w:proofErr w:type="spellStart"/>
      <w:proofErr w:type="gramStart"/>
      <w:r w:rsidRPr="006506EF">
        <w:rPr>
          <w:color w:val="000000"/>
          <w:sz w:val="24"/>
        </w:rPr>
        <w:t/>
      </w:r>
      <w:proofErr w:type="spellEnd"/>
      <w:proofErr w:type="gramEnd"/>
      <w:r w:rsidRPr="006506EF">
        <w:rPr>
          <w:color w:val="000000"/>
          <w:sz w:val="24"/>
        </w:rPr>
        <w:t>2.本期已实现收益指基金本期利息收入、投资收益、其他收入（不含公允价值变动收益）扣除相关费用后的余额，本期利润为本期已实现收益加上本期公允价值变动收益。</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3.2 </w:t>
      </w:r>
      <w:r w:rsidRPr="00264E55">
        <w:rPr>
          <w:rFonts w:ascii="宋体" w:hAnsi="宋体" w:hint="eastAsia"/>
          <w:b/>
          <w:bCs/>
          <w:color w:val="000000"/>
          <w:kern w:val="0"/>
          <w:sz w:val="24"/>
          <w:szCs w:val="24"/>
        </w:rPr>
        <w:t>基金净值表现</w:t>
      </w:r>
    </w:p>
    <w:p w:rsidP="009E7C6A" w:rsidR="00750D48" w:rsidRDefault="00750D48" w:rsidRPr="00264E55">
      <w:pPr>
        <w:autoSpaceDE w:val="0"/>
        <w:autoSpaceDN w:val="0"/>
        <w:adjustRightInd w:val="0"/>
        <w:spacing w:line="360" w:lineRule="auto"/>
        <w:jc w:val="left"/>
        <w:rPr>
          <w:rFonts w:ascii="宋体" w:cs="宋体"/>
          <w:b/>
          <w:bCs/>
          <w:color w:val="000000"/>
          <w:kern w:val="0"/>
          <w:sz w:val="24"/>
          <w:szCs w:val="24"/>
        </w:rPr>
      </w:pPr>
      <w:smartTag w:element="chsdate" w:uri="urn:schemas-microsoft-com:office:smarttags">
        <w:smartTagPr>
          <w:attr w:name="Year" w:val="1899"/>
          <w:attr w:name="Month" w:val="12"/>
          <w:attr w:name="Day" w:val="30"/>
          <w:attr w:name="IsLunarDate" w:val="False"/>
          <w:attr w:name="IsROCDate" w:val="False"/>
        </w:smartTagPr>
        <w:r w:rsidRPr="00264E55">
          <w:rPr>
            <w:rFonts w:ascii="宋体" w:hAnsi="宋体"/>
            <w:b/>
            <w:bCs/>
            <w:color w:val="000000"/>
            <w:kern w:val="0"/>
            <w:sz w:val="24"/>
            <w:szCs w:val="24"/>
          </w:rPr>
          <w:t>3.2.1</w:t>
        </w:r>
      </w:smartTag>
      <w:r w:rsidRPr="00264E55">
        <w:rPr>
          <w:rFonts w:ascii="宋体" w:cs="宋体" w:hAnsi="宋体" w:hint="eastAsia"/>
          <w:b/>
          <w:bCs/>
          <w:color w:val="000000"/>
          <w:kern w:val="0"/>
          <w:sz w:val="24"/>
          <w:szCs w:val="24"/>
        </w:rPr>
        <w:t>本报告</w:t>
      </w:r>
      <w:proofErr w:type="gramStart"/>
      <w:r w:rsidRPr="00264E55">
        <w:rPr>
          <w:rFonts w:ascii="宋体" w:cs="宋体" w:hAnsi="宋体" w:hint="eastAsia"/>
          <w:b/>
          <w:bCs/>
          <w:color w:val="000000"/>
          <w:kern w:val="0"/>
          <w:sz w:val="24"/>
          <w:szCs w:val="24"/>
        </w:rPr>
        <w:t>期基金</w:t>
      </w:r>
      <w:proofErr w:type="gramEnd"/>
      <w:r w:rsidRPr="00264E55">
        <w:rPr>
          <w:rFonts w:ascii="宋体" w:cs="宋体" w:hAnsi="宋体" w:hint="eastAsia"/>
          <w:b/>
          <w:bCs/>
          <w:color w:val="000000"/>
          <w:kern w:val="0"/>
          <w:sz w:val="24"/>
          <w:szCs w:val="24"/>
        </w:rPr>
        <w:t>份额净值增长率及其与同期业绩比较基准收益率的比较</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1395"/>
        <w:gridCol w:w="1092"/>
        <w:gridCol w:w="1161"/>
        <w:gridCol w:w="1181"/>
        <w:gridCol w:w="1188"/>
        <w:gridCol w:w="1199"/>
        <w:gridCol w:w="1204"/>
      </w:tblGrid>
      <w:tr w:rsidR="00750D48" w:rsidRPr="00264E55" w:rsidTr="00B05049">
        <w:tc>
          <w:tcPr>
            <w:tcW w:type="dxa" w:w="1395"/>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阶段</w:t>
            </w: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
            </w:r>
          </w:p>
        </w:tc>
        <w:tc>
          <w:tcPr>
            <w:tcW w:type="dxa" w:w="1092"/>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净值增长率</w:t>
            </w:r>
            <w:r w:rsidRPr="00232B03">
              <w:rPr>
                <w:rFonts w:ascii="宋体" w:cs="宋体" w:hAnsi="宋体" w:hint="eastAsia"/>
                <w:color w:val="000000"/>
                <w:kern w:val="0"/>
                <w:sz w:val="24"/>
                <w:szCs w:val="24"/>
              </w:rPr>
              <w:t>①</w:t>
            </w:r>
          </w:p>
        </w:tc>
        <w:tc>
          <w:tcPr>
            <w:tcW w:type="dxa" w:w="1161"/>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净值增长率标准差</w:t>
            </w:r>
            <w:r w:rsidRPr="00232B03">
              <w:rPr>
                <w:rFonts w:ascii="宋体" w:cs="宋体" w:hAnsi="宋体" w:hint="eastAsia"/>
                <w:color w:val="000000"/>
                <w:kern w:val="0"/>
                <w:sz w:val="24"/>
                <w:szCs w:val="24"/>
              </w:rPr>
              <w:t>②</w:t>
            </w:r>
          </w:p>
        </w:tc>
        <w:tc>
          <w:tcPr>
            <w:tcW w:type="dxa" w:w="1181"/>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业绩比较基准收益率</w:t>
            </w:r>
            <w:r w:rsidRPr="00232B03">
              <w:rPr>
                <w:rFonts w:ascii="宋体" w:cs="宋体" w:hAnsi="宋体" w:hint="eastAsia"/>
                <w:color w:val="000000"/>
                <w:kern w:val="0"/>
                <w:sz w:val="24"/>
                <w:szCs w:val="24"/>
              </w:rPr>
              <w:lastRenderedPageBreak/>
              <w:t>③</w:t>
            </w:r>
          </w:p>
        </w:tc>
        <w:tc>
          <w:tcPr>
            <w:tcW w:type="dxa" w:w="1188"/>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lastRenderedPageBreak/>
              <w:t>业绩比较基准收益率</w:t>
            </w:r>
            <w:r w:rsidRPr="00232B03">
              <w:rPr>
                <w:color w:val="000000"/>
                <w:kern w:val="0"/>
                <w:sz w:val="24"/>
                <w:szCs w:val="24"/>
              </w:rPr>
              <w:lastRenderedPageBreak/>
              <w:t>标准差</w:t>
            </w:r>
            <w:r w:rsidRPr="00232B03">
              <w:rPr>
                <w:rFonts w:ascii="宋体" w:cs="宋体" w:hAnsi="宋体" w:hint="eastAsia"/>
                <w:color w:val="000000"/>
                <w:kern w:val="0"/>
                <w:sz w:val="24"/>
                <w:szCs w:val="24"/>
              </w:rPr>
              <w:t>④</w:t>
            </w:r>
          </w:p>
        </w:tc>
        <w:tc>
          <w:tcPr>
            <w:tcW w:type="dxa" w:w="1199"/>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rFonts w:ascii="宋体" w:cs="宋体" w:hAnsi="宋体" w:hint="eastAsia"/>
                <w:color w:val="000000"/>
                <w:kern w:val="0"/>
                <w:sz w:val="24"/>
                <w:szCs w:val="24"/>
              </w:rPr>
              <w:lastRenderedPageBreak/>
              <w:t>①</w:t>
            </w:r>
            <w:r w:rsidRPr="00232B03">
              <w:rPr>
                <w:color w:val="000000"/>
                <w:kern w:val="0"/>
                <w:sz w:val="24"/>
                <w:szCs w:val="24"/>
              </w:rPr>
              <w:t>-</w:t>
            </w:r>
            <w:r w:rsidRPr="00232B03">
              <w:rPr>
                <w:rFonts w:ascii="宋体" w:cs="宋体" w:hAnsi="宋体" w:hint="eastAsia"/>
                <w:color w:val="000000"/>
                <w:kern w:val="0"/>
                <w:sz w:val="24"/>
                <w:szCs w:val="24"/>
              </w:rPr>
              <w:t>③</w:t>
            </w:r>
          </w:p>
        </w:tc>
        <w:tc>
          <w:tcPr>
            <w:tcW w:type="dxa" w:w="1204"/>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rFonts w:ascii="宋体" w:cs="宋体" w:hAnsi="宋体" w:hint="eastAsia"/>
                <w:color w:val="000000"/>
                <w:kern w:val="0"/>
                <w:sz w:val="24"/>
                <w:szCs w:val="24"/>
              </w:rPr>
              <w:t>②</w:t>
            </w:r>
            <w:r w:rsidRPr="00232B03">
              <w:rPr>
                <w:color w:val="000000"/>
                <w:kern w:val="0"/>
                <w:sz w:val="24"/>
                <w:szCs w:val="24"/>
              </w:rPr>
              <w:t>-</w:t>
            </w:r>
            <w:r w:rsidRPr="00232B03">
              <w:rPr>
                <w:rFonts w:ascii="宋体" w:cs="宋体" w:hAnsi="宋体" w:hint="eastAsia"/>
                <w:color w:val="000000"/>
                <w:kern w:val="0"/>
                <w:sz w:val="24"/>
                <w:szCs w:val="24"/>
              </w:rPr>
              <w:t>④</w:t>
            </w:r>
          </w:p>
        </w:tc>
      </w:tr>
      <w:tr>
        <w:tc>
          <w:tcPr>
            <w:vAlign w:val="center"/>
          </w:tcPr>
          <w:p>
            <w:pPr>
              <w:jc w:val="left"/>
            </w:pPr>
            <w:r>
              <w:rPr>
                <w:color w:val="000000"/>
                <w:kern w:val="0"/>
                <w:sz w:val="24"/>
                <w:szCs w:val="24"/>
              </w:rPr>
              <w:t>过去三个月</w:t>
            </w:r>
          </w:p>
        </w:tc>
        <w:tc>
          <w:tcPr>
            <w:vAlign w:val="center"/>
          </w:tcPr>
          <w:p>
            <w:pPr>
              <w:jc w:val="center"/>
            </w:pPr>
            <w:r>
              <w:rPr>
                <w:color w:val="000000"/>
                <w:kern w:val="0"/>
                <w:sz w:val="24"/>
                <w:szCs w:val="24"/>
              </w:rPr>
              <w:t>10.35%</w:t>
            </w:r>
          </w:p>
        </w:tc>
        <w:tc>
          <w:tcPr>
            <w:vAlign w:val="center"/>
          </w:tcPr>
          <w:p>
            <w:pPr>
              <w:jc w:val="center"/>
            </w:pPr>
            <w:r>
              <w:rPr>
                <w:color w:val="000000"/>
                <w:kern w:val="0"/>
                <w:sz w:val="24"/>
                <w:szCs w:val="24"/>
              </w:rPr>
              <w:t>0.54%</w:t>
            </w:r>
          </w:p>
        </w:tc>
        <w:tc>
          <w:tcPr>
            <w:vAlign w:val="center"/>
          </w:tcPr>
          <w:p>
            <w:pPr>
              <w:jc w:val="center"/>
            </w:pPr>
            <w:r>
              <w:rPr>
                <w:color w:val="000000"/>
                <w:kern w:val="0"/>
                <w:sz w:val="24"/>
                <w:szCs w:val="24"/>
              </w:rPr>
              <w:t>5.59%</w:t>
            </w:r>
          </w:p>
        </w:tc>
        <w:tc>
          <w:tcPr>
            <w:vAlign w:val="center"/>
          </w:tcPr>
          <w:p>
            <w:pPr>
              <w:jc w:val="center"/>
            </w:pPr>
            <w:r>
              <w:rPr>
                <w:color w:val="000000"/>
                <w:kern w:val="0"/>
                <w:sz w:val="24"/>
                <w:szCs w:val="24"/>
              </w:rPr>
              <w:t>0.41%</w:t>
            </w:r>
          </w:p>
        </w:tc>
        <w:tc>
          <w:tcPr>
            <w:vAlign w:val="center"/>
          </w:tcPr>
          <w:p>
            <w:pPr>
              <w:jc w:val="center"/>
            </w:pPr>
            <w:r>
              <w:rPr>
                <w:color w:val="000000"/>
                <w:kern w:val="0"/>
                <w:sz w:val="24"/>
                <w:szCs w:val="24"/>
              </w:rPr>
              <w:t>4.76%</w:t>
            </w:r>
          </w:p>
        </w:tc>
        <w:tc>
          <w:tcPr>
            <w:vAlign w:val="center"/>
          </w:tcPr>
          <w:p>
            <w:pPr>
              <w:jc w:val="center"/>
            </w:pPr>
            <w:r>
              <w:rPr>
                <w:color w:val="000000"/>
                <w:kern w:val="0"/>
                <w:sz w:val="24"/>
                <w:szCs w:val="24"/>
              </w:rPr>
              <w:t>0.13%</w:t>
            </w:r>
          </w:p>
        </w:tc>
      </w:tr>
      <w:tr>
        <w:tc>
          <w:tcPr>
            <w:vAlign w:val="center"/>
          </w:tcPr>
          <w:p>
            <w:pPr>
              <w:jc w:val="left"/>
            </w:pPr>
            <w:r>
              <w:rPr>
                <w:color w:val="000000"/>
                <w:kern w:val="0"/>
                <w:sz w:val="24"/>
                <w:szCs w:val="24"/>
              </w:rPr>
              <w:t>过去六个月</w:t>
            </w:r>
          </w:p>
        </w:tc>
        <w:tc>
          <w:tcPr>
            <w:vAlign w:val="center"/>
          </w:tcPr>
          <w:p>
            <w:pPr>
              <w:jc w:val="center"/>
            </w:pPr>
            <w:r>
              <w:rPr>
                <w:color w:val="000000"/>
                <w:kern w:val="0"/>
                <w:sz w:val="24"/>
                <w:szCs w:val="24"/>
              </w:rPr>
              <w:t>5.11%</w:t>
            </w:r>
          </w:p>
        </w:tc>
        <w:tc>
          <w:tcPr>
            <w:vAlign w:val="center"/>
          </w:tcPr>
          <w:p>
            <w:pPr>
              <w:jc w:val="center"/>
            </w:pPr>
            <w:r>
              <w:rPr>
                <w:color w:val="000000"/>
                <w:kern w:val="0"/>
                <w:sz w:val="24"/>
                <w:szCs w:val="24"/>
              </w:rPr>
              <w:t>0.84%</w:t>
            </w:r>
          </w:p>
        </w:tc>
        <w:tc>
          <w:tcPr>
            <w:vAlign w:val="center"/>
          </w:tcPr>
          <w:p>
            <w:pPr>
              <w:jc w:val="center"/>
            </w:pPr>
            <w:r>
              <w:rPr>
                <w:color w:val="000000"/>
                <w:kern w:val="0"/>
                <w:sz w:val="24"/>
                <w:szCs w:val="24"/>
              </w:rPr>
              <w:t>2.28%</w:t>
            </w:r>
          </w:p>
        </w:tc>
        <w:tc>
          <w:tcPr>
            <w:vAlign w:val="center"/>
          </w:tcPr>
          <w:p>
            <w:pPr>
              <w:jc w:val="center"/>
            </w:pPr>
            <w:r>
              <w:rPr>
                <w:color w:val="000000"/>
                <w:kern w:val="0"/>
                <w:sz w:val="24"/>
                <w:szCs w:val="24"/>
              </w:rPr>
              <w:t>0.66%</w:t>
            </w:r>
          </w:p>
        </w:tc>
        <w:tc>
          <w:tcPr>
            <w:vAlign w:val="center"/>
          </w:tcPr>
          <w:p>
            <w:pPr>
              <w:jc w:val="center"/>
            </w:pPr>
            <w:r>
              <w:rPr>
                <w:color w:val="000000"/>
                <w:kern w:val="0"/>
                <w:sz w:val="24"/>
                <w:szCs w:val="24"/>
              </w:rPr>
              <w:t>2.83%</w:t>
            </w:r>
          </w:p>
        </w:tc>
        <w:tc>
          <w:tcPr>
            <w:vAlign w:val="center"/>
          </w:tcPr>
          <w:p>
            <w:pPr>
              <w:jc w:val="center"/>
            </w:pPr>
            <w:r>
              <w:rPr>
                <w:color w:val="000000"/>
                <w:kern w:val="0"/>
                <w:sz w:val="24"/>
                <w:szCs w:val="24"/>
              </w:rPr>
              <w:t>0.18%</w:t>
            </w:r>
          </w:p>
        </w:tc>
      </w:tr>
      <w:tr>
        <w:tc>
          <w:tcPr>
            <w:vAlign w:val="center"/>
          </w:tcPr>
          <w:p>
            <w:pPr>
              <w:jc w:val="left"/>
            </w:pPr>
            <w:r>
              <w:rPr>
                <w:color w:val="000000"/>
                <w:kern w:val="0"/>
                <w:sz w:val="24"/>
                <w:szCs w:val="24"/>
              </w:rPr>
              <w:t>过去一年</w:t>
            </w:r>
          </w:p>
        </w:tc>
        <w:tc>
          <w:tcPr>
            <w:vAlign w:val="center"/>
          </w:tcPr>
          <w:p>
            <w:pPr>
              <w:jc w:val="center"/>
            </w:pPr>
            <w:r>
              <w:rPr>
                <w:color w:val="000000"/>
                <w:kern w:val="0"/>
                <w:sz w:val="24"/>
                <w:szCs w:val="24"/>
              </w:rPr>
              <w:t>13.35%</w:t>
            </w:r>
          </w:p>
        </w:tc>
        <w:tc>
          <w:tcPr>
            <w:vAlign w:val="center"/>
          </w:tcPr>
          <w:p>
            <w:pPr>
              <w:jc w:val="center"/>
            </w:pPr>
            <w:r>
              <w:rPr>
                <w:color w:val="000000"/>
                <w:kern w:val="0"/>
                <w:sz w:val="24"/>
                <w:szCs w:val="24"/>
              </w:rPr>
              <w:t>0.62%</w:t>
            </w:r>
          </w:p>
        </w:tc>
        <w:tc>
          <w:tcPr>
            <w:vAlign w:val="center"/>
          </w:tcPr>
          <w:p>
            <w:pPr>
              <w:jc w:val="center"/>
            </w:pPr>
            <w:r>
              <w:rPr>
                <w:color w:val="000000"/>
                <w:kern w:val="0"/>
                <w:sz w:val="24"/>
                <w:szCs w:val="24"/>
              </w:rPr>
              <w:t>7.04%</w:t>
            </w:r>
          </w:p>
        </w:tc>
        <w:tc>
          <w:tcPr>
            <w:vAlign w:val="center"/>
          </w:tcPr>
          <w:p>
            <w:pPr>
              <w:jc w:val="center"/>
            </w:pPr>
            <w:r>
              <w:rPr>
                <w:color w:val="000000"/>
                <w:kern w:val="0"/>
                <w:sz w:val="24"/>
                <w:szCs w:val="24"/>
              </w:rPr>
              <w:t>0.54%</w:t>
            </w:r>
          </w:p>
        </w:tc>
        <w:tc>
          <w:tcPr>
            <w:vAlign w:val="center"/>
          </w:tcPr>
          <w:p>
            <w:pPr>
              <w:jc w:val="center"/>
            </w:pPr>
            <w:r>
              <w:rPr>
                <w:color w:val="000000"/>
                <w:kern w:val="0"/>
                <w:sz w:val="24"/>
                <w:szCs w:val="24"/>
              </w:rPr>
              <w:t>6.31%</w:t>
            </w:r>
          </w:p>
        </w:tc>
        <w:tc>
          <w:tcPr>
            <w:vAlign w:val="center"/>
          </w:tcPr>
          <w:p>
            <w:pPr>
              <w:jc w:val="center"/>
            </w:pPr>
            <w:r>
              <w:rPr>
                <w:color w:val="000000"/>
                <w:kern w:val="0"/>
                <w:sz w:val="24"/>
                <w:szCs w:val="24"/>
              </w:rPr>
              <w:t>0.08%</w:t>
            </w:r>
          </w:p>
        </w:tc>
      </w:tr>
      <w:tr>
        <w:tc>
          <w:tcPr>
            <w:vAlign w:val="center"/>
          </w:tcPr>
          <w:p>
            <w:pPr>
              <w:jc w:val="left"/>
            </w:pPr>
            <w:r>
              <w:rPr>
                <w:color w:val="000000"/>
                <w:kern w:val="0"/>
                <w:sz w:val="24"/>
                <w:szCs w:val="24"/>
              </w:rPr>
              <w:t>过去三年</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r>
      <w:tr>
        <w:tc>
          <w:tcPr>
            <w:vAlign w:val="center"/>
          </w:tcPr>
          <w:p>
            <w:pPr>
              <w:jc w:val="left"/>
            </w:pPr>
            <w:r>
              <w:rPr>
                <w:color w:val="000000"/>
                <w:kern w:val="0"/>
                <w:sz w:val="24"/>
                <w:szCs w:val="24"/>
              </w:rPr>
              <w:t>过去五年</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r>
      <w:tr>
        <w:tc>
          <w:tcPr>
            <w:vAlign w:val="center"/>
          </w:tcPr>
          <w:p>
            <w:pPr>
              <w:jc w:val="left"/>
            </w:pPr>
            <w:r>
              <w:rPr>
                <w:color w:val="000000"/>
                <w:kern w:val="0"/>
                <w:sz w:val="24"/>
                <w:szCs w:val="24"/>
              </w:rPr>
              <w:t>自基金合同生效起至今</w:t>
            </w:r>
          </w:p>
        </w:tc>
        <w:tc>
          <w:tcPr>
            <w:vAlign w:val="center"/>
          </w:tcPr>
          <w:p>
            <w:pPr>
              <w:jc w:val="center"/>
            </w:pPr>
            <w:r>
              <w:rPr>
                <w:color w:val="000000"/>
                <w:kern w:val="0"/>
                <w:sz w:val="24"/>
                <w:szCs w:val="24"/>
              </w:rPr>
              <w:t>14.40%</w:t>
            </w:r>
          </w:p>
        </w:tc>
        <w:tc>
          <w:tcPr>
            <w:vAlign w:val="center"/>
          </w:tcPr>
          <w:p>
            <w:pPr>
              <w:jc w:val="center"/>
            </w:pPr>
            <w:r>
              <w:rPr>
                <w:color w:val="000000"/>
                <w:kern w:val="0"/>
                <w:sz w:val="24"/>
                <w:szCs w:val="24"/>
              </w:rPr>
              <w:t>0.57%</w:t>
            </w:r>
          </w:p>
        </w:tc>
        <w:tc>
          <w:tcPr>
            <w:vAlign w:val="center"/>
          </w:tcPr>
          <w:p>
            <w:pPr>
              <w:jc w:val="center"/>
            </w:pPr>
            <w:r>
              <w:rPr>
                <w:color w:val="000000"/>
                <w:kern w:val="0"/>
                <w:sz w:val="24"/>
                <w:szCs w:val="24"/>
              </w:rPr>
              <w:t>6.94%</w:t>
            </w:r>
          </w:p>
        </w:tc>
        <w:tc>
          <w:tcPr>
            <w:vAlign w:val="center"/>
          </w:tcPr>
          <w:p>
            <w:pPr>
              <w:jc w:val="center"/>
            </w:pPr>
            <w:r>
              <w:rPr>
                <w:color w:val="000000"/>
                <w:kern w:val="0"/>
                <w:sz w:val="24"/>
                <w:szCs w:val="24"/>
              </w:rPr>
              <w:t>0.56%</w:t>
            </w:r>
          </w:p>
        </w:tc>
        <w:tc>
          <w:tcPr>
            <w:vAlign w:val="center"/>
          </w:tcPr>
          <w:p>
            <w:pPr>
              <w:jc w:val="center"/>
            </w:pPr>
            <w:r>
              <w:rPr>
                <w:color w:val="000000"/>
                <w:kern w:val="0"/>
                <w:sz w:val="24"/>
                <w:szCs w:val="24"/>
              </w:rPr>
              <w:t>7.46%</w:t>
            </w:r>
          </w:p>
        </w:tc>
        <w:tc>
          <w:tcPr>
            <w:vAlign w:val="center"/>
          </w:tcPr>
          <w:p>
            <w:pPr>
              <w:jc w:val="center"/>
            </w:pPr>
            <w:r>
              <w:rPr>
                <w:color w:val="000000"/>
                <w:kern w:val="0"/>
                <w:sz w:val="24"/>
                <w:szCs w:val="24"/>
              </w:rPr>
              <w:t>0.01%</w:t>
            </w:r>
          </w:p>
        </w:tc>
      </w:tr>
    </w:tbl>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smartTag w:element="chsdate" w:uri="urn:schemas-microsoft-com:office:smarttags">
        <w:smartTagPr>
          <w:attr w:name="Year" w:val="1899"/>
          <w:attr w:name="Month" w:val="12"/>
          <w:attr w:name="Day" w:val="30"/>
          <w:attr w:name="IsLunarDate" w:val="False"/>
          <w:attr w:name="IsROCDate" w:val="False"/>
        </w:smartTagPr>
        <w:r w:rsidRPr="00264E55">
          <w:rPr>
            <w:rFonts w:ascii="宋体" w:hAnsi="宋体"/>
            <w:b/>
            <w:bCs/>
            <w:color w:val="000000"/>
            <w:kern w:val="0"/>
            <w:sz w:val="24"/>
            <w:szCs w:val="24"/>
          </w:rPr>
          <w:t>3.2.2</w:t>
        </w:r>
        <w:r w:rsidR="00D87469" w:rsidRPr="00370BEA">
          <w:rPr>
            <w:rStyle w:val="afb"/>
            <w:rFonts w:hint="eastAsia"/>
            <w:color w:val="000000"/>
            <w:sz w:val="24"/>
            <w:shd w:color="auto" w:fill="FFFFFF" w:val="clear"/>
          </w:rPr>
          <w:t/>
        </w:r>
        <w:proofErr w:type="spellStart"/>
        <w:r w:rsidR="00D87469" w:rsidRPr="00370BEA">
          <w:rPr>
            <w:rStyle w:val="afb"/>
            <w:rFonts w:hint="eastAsia"/>
            <w:color w:val="000000"/>
            <w:sz w:val="24"/>
            <w:shd w:color="auto" w:fill="FFFFFF" w:val="clear"/>
          </w:rPr>
          <w:t/>
        </w:r>
        <w:proofErr w:type="spellEnd"/>
        <w:r w:rsidR="00D87469" w:rsidRPr="00370BEA">
          <w:rPr>
            <w:rStyle w:val="afb"/>
            <w:rFonts w:hint="eastAsia"/>
            <w:color w:val="000000"/>
            <w:sz w:val="24"/>
            <w:shd w:color="auto" w:fill="FFFFFF" w:val="clear"/>
          </w:rPr>
          <w:t>自基金合同生效以来</w:t>
        </w:r>
      </w:smartTag>
      <w:r w:rsidRPr="00264E55">
        <w:rPr>
          <w:rFonts w:ascii="宋体" w:hAnsi="宋体" w:hint="eastAsia"/>
          <w:b/>
          <w:bCs/>
          <w:color w:val="000000"/>
          <w:kern w:val="0"/>
          <w:sz w:val="24"/>
          <w:szCs w:val="24"/>
        </w:rPr>
        <w:t>基金累计净值增长率变动及其与同期业绩比较基准收益率变动的比较</w:t>
      </w:r>
    </w:p>
    <w:p w:rsidP="009E7C6A" w:rsidR="00750D48" w:rsidRDefault="00750D48" w:rsidRPr="0074694E">
      <w:pPr>
        <w:spacing w:line="360" w:lineRule="auto"/>
        <w:jc w:val="center"/>
        <w:rPr>
          <w:color w:val="000000"/>
          <w:sz w:val="24"/>
          <w:szCs w:val="24"/>
        </w:rPr>
      </w:pPr>
      <w:r w:rsidRPr="0074694E">
        <w:rPr>
          <w:color w:val="000000"/>
          <w:sz w:val="24"/>
          <w:szCs w:val="24"/>
        </w:rPr>
        <w:t/>
      </w:r>
      <w:proofErr w:type="spellStart"/>
      <w:r w:rsidRPr="0074694E">
        <w:rPr>
          <w:color w:val="000000"/>
          <w:sz w:val="24"/>
          <w:szCs w:val="24"/>
        </w:rPr>
        <w:t/>
      </w:r>
      <w:proofErr w:type="spellEnd"/>
      <w:r w:rsidRPr="0074694E">
        <w:rPr>
          <w:color w:val="000000"/>
          <w:sz w:val="24"/>
          <w:szCs w:val="24"/>
        </w:rPr>
        <w:t>易方达汇诚养老目标日期2038三年持有期混合型发起式基金中基金（FOF）</w:t>
      </w:r>
    </w:p>
    <w:p w:rsidP="009E7C6A" w:rsidR="00750D48" w:rsidRDefault="00750D48" w:rsidRPr="0074694E">
      <w:pPr>
        <w:pStyle w:val="a5"/>
        <w:snapToGrid w:val="0"/>
        <w:spacing w:line="360" w:lineRule="auto"/>
        <w:jc w:val="center"/>
        <w:rPr>
          <w:rFonts w:ascii="Times New Roman" w:hAnsi="Times New Roman"/>
          <w:color w:val="000000"/>
          <w:sz w:val="24"/>
          <w:szCs w:val="24"/>
        </w:rPr>
      </w:pPr>
      <w:r w:rsidRPr="0074694E">
        <w:rPr>
          <w:rFonts w:ascii="Times New Roman" w:hAnsi="Times New Roman"/>
          <w:color w:val="000000"/>
          <w:sz w:val="24"/>
          <w:szCs w:val="24"/>
        </w:rPr>
        <w:t>累计净值增长率与业绩比较基准收益率的历史走势对比图</w:t>
      </w:r>
    </w:p>
    <w:p w:rsidP="009E7C6A" w:rsidR="00750D48" w:rsidRDefault="005F7917" w:rsidRPr="0074694E">
      <w:pPr>
        <w:pStyle w:val="a5"/>
        <w:snapToGrid w:val="0"/>
        <w:spacing w:line="360" w:lineRule="auto"/>
        <w:ind w:firstLine="480"/>
        <w:jc w:val="center"/>
        <w:rPr>
          <w:rFonts w:ascii="Times New Roman" w:hAnsi="Times New Roman"/>
          <w:sz w:val="24"/>
          <w:szCs w:val="24"/>
        </w:rPr>
      </w:pPr>
      <w:r w:rsidRPr="0074694E">
        <w:rPr>
          <w:rFonts w:ascii="Times New Roman" w:hAnsi="Times New Roman"/>
          <w:sz w:val="24"/>
          <w:szCs w:val="24"/>
        </w:rPr>
        <w:t>（</w:t>
      </w:r>
      <w:r w:rsidRPr="0074694E">
        <w:rPr>
          <w:rFonts w:ascii="Times New Roman" w:hAnsi="Times New Roman"/>
          <w:sz w:val="24"/>
          <w:szCs w:val="24"/>
        </w:rPr>
        <w:t/>
      </w:r>
      <w:proofErr w:type="spellStart"/>
      <w:r w:rsidRPr="0074694E">
        <w:rPr>
          <w:rFonts w:ascii="Times New Roman" w:hAnsi="Times New Roman"/>
          <w:sz w:val="24"/>
          <w:szCs w:val="24"/>
        </w:rPr>
        <w:t/>
      </w:r>
      <w:proofErr w:type="spellEnd"/>
      <w:r w:rsidRPr="0074694E">
        <w:rPr>
          <w:rFonts w:ascii="Times New Roman" w:hAnsi="Times New Roman"/>
          <w:sz w:val="24"/>
          <w:szCs w:val="24"/>
        </w:rPr>
        <w:t>2019年4月30日</w:t>
      </w:r>
      <w:r w:rsidRPr="0074694E">
        <w:rPr>
          <w:rFonts w:ascii="Times New Roman" w:hAnsi="Times New Roman"/>
          <w:sz w:val="24"/>
          <w:szCs w:val="24"/>
        </w:rPr>
        <w:t>至</w:t>
      </w:r>
      <w:r w:rsidRPr="0074694E">
        <w:rPr>
          <w:rFonts w:ascii="Times New Roman" w:hAnsi="Times New Roman"/>
          <w:sz w:val="24"/>
          <w:szCs w:val="24"/>
        </w:rPr>
        <w:t/>
      </w:r>
      <w:proofErr w:type="spellStart"/>
      <w:r w:rsidRPr="0074694E">
        <w:rPr>
          <w:rFonts w:ascii="Times New Roman" w:hAnsi="Times New Roman"/>
          <w:sz w:val="24"/>
          <w:szCs w:val="24"/>
        </w:rPr>
        <w:t/>
      </w:r>
      <w:proofErr w:type="spellEnd"/>
      <w:r w:rsidRPr="0074694E">
        <w:rPr>
          <w:rFonts w:ascii="Times New Roman" w:hAnsi="Times New Roman"/>
          <w:sz w:val="24"/>
          <w:szCs w:val="24"/>
        </w:rPr>
        <w:t>2020年6月30日</w:t>
      </w:r>
      <w:r w:rsidRPr="0074694E">
        <w:rPr>
          <w:rFonts w:ascii="Times New Roman" w:hAnsi="Times New Roman"/>
          <w:sz w:val="24"/>
          <w:szCs w:val="24"/>
        </w:rPr>
        <w:t>）</w:t>
      </w:r>
    </w:p>
    <w:p w:rsidP="004061AC" w:rsidR="00750D48" w:rsidRDefault="00D7102E" w:rsidRPr="00264E55">
      <w:pPr>
        <w:pStyle w:val="a5"/>
        <w:snapToGrid w:val="0"/>
        <w:spacing w:before="120" w:line="360" w:lineRule="auto"/>
        <w:jc w:val="center"/>
        <w:rPr>
          <w:rFonts w:hAnsi="宋体"/>
          <w:color w:val="000000"/>
          <w:sz w:val="24"/>
          <w:szCs w:val="24"/>
        </w:rPr>
      </w:pPr>
      <w:r>
        <w:rPr>
          <w:rFonts w:hAnsi="宋体"/>
          <w:noProof/>
          <w:color w:val="000000"/>
          <w:sz w:val="24"/>
          <w:szCs w:val="24"/>
        </w:rPr>
        <w:pict>
          <v:shapetype coordsize="21600,21600" filled="f" id="_x0000_t75" o:preferrelative="t" o:spt="75" path="m@4@5l@4@11@9@11@9@5xe"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aspectratio="t" v:ext="edit"/>
          </v:shapetype>
          <v:shape id="图片 1" o:spid="_x0000_i1025" style="width:412.5pt;height:241.5pt;visibility:visible" type="#_x0000_t75">
            <v:imagedata o:title="" r:id="rId11"/>
          </v:shape>
        </w:pict>
      </w:r>
    </w:p>
    <w:p>
      <w:pPr>
        <w:spacing w:line="360" w:lineRule="auto"/>
        <w:ind w:firstLine="480" w:firstLineChars="200"/>
        <w:rPr>
          <w:color w:val="000000"/>
          <w:sz w:val="24"/>
          <w:szCs w:val="24"/>
        </w:rPr>
      </w:pPr>
      <w:r>
        <w:rPr>
          <w:color w:val="000000"/>
          <w:sz w:val="24"/>
          <w:szCs w:val="24"/>
        </w:rPr>
        <w:t>注：1.按基金合同和招募说明书的约定，本基金的建仓期为六个月，建仓期结束时各项资产配置比例符合基金合同(第十二部分二、投资范围,三、投资策略和四、投资限制)的有关约定。</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2.自基金合同生效至报告期末，基金份额净值增长率为14.40%，同期业绩比较基准收益率为6.94%。</w:t>
      </w:r>
    </w:p>
    <w:p w:rsidP="00693843" w:rsidR="00750D48" w:rsidRDefault="00750D48" w:rsidRPr="00232B03">
      <w:pPr>
        <w:tabs>
          <w:tab w:pos="1800" w:val="left"/>
        </w:tabs>
        <w:spacing w:line="288" w:lineRule="auto"/>
        <w:rPr>
          <w:color w:val="000000"/>
          <w:sz w:val="24"/>
          <w:szCs w:val="24"/>
        </w:rPr>
      </w:pP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4  </w:t>
      </w:r>
      <w:r w:rsidRPr="00264E55">
        <w:rPr>
          <w:rFonts w:ascii="宋体" w:hAnsi="宋体" w:hint="eastAsia"/>
          <w:color w:val="000000"/>
          <w:kern w:val="0"/>
          <w:sz w:val="24"/>
          <w:szCs w:val="24"/>
        </w:rPr>
        <w:t>管理人报告</w:t>
      </w:r>
    </w:p>
    <w:p w:rsidP="004D28A3" w:rsidR="004D28A3" w:rsidRDefault="00750D48" w:rsidRPr="0078105B">
      <w:pPr>
        <w:autoSpaceDE w:val="0"/>
        <w:autoSpaceDN w:val="0"/>
        <w:adjustRightInd w:val="0"/>
        <w:spacing w:line="360" w:lineRule="auto"/>
        <w:jc w:val="left"/>
        <w:rPr>
          <w:rFonts w:ascii="宋体" w:cs="Arial"/>
          <w:b/>
          <w:color w:val="000000"/>
          <w:kern w:val="0"/>
          <w:sz w:val="24"/>
        </w:rPr>
      </w:pPr>
      <w:r w:rsidRPr="00264E55">
        <w:rPr>
          <w:rFonts w:ascii="宋体" w:hAnsi="宋体"/>
          <w:b/>
          <w:bCs/>
          <w:color w:val="000000"/>
          <w:kern w:val="0"/>
          <w:sz w:val="24"/>
          <w:szCs w:val="24"/>
        </w:rPr>
        <w:t xml:space="preserve">4.1 </w:t>
      </w:r>
      <w:r w:rsidRPr="00264E55">
        <w:rPr>
          <w:rFonts w:ascii="宋体" w:hAnsi="宋体" w:hint="eastAsia"/>
          <w:b/>
          <w:bCs/>
          <w:color w:val="000000"/>
          <w:kern w:val="0"/>
          <w:sz w:val="24"/>
          <w:szCs w:val="24"/>
        </w:rPr>
        <w:t>基金经理</w:t>
      </w:r>
      <w:r w:rsidRPr="00264E55">
        <w:rPr>
          <w:rFonts w:ascii="宋体" w:hAnsi="宋体"/>
          <w:b/>
          <w:bCs/>
          <w:color w:val="000000"/>
          <w:kern w:val="0"/>
          <w:sz w:val="24"/>
          <w:szCs w:val="24"/>
        </w:rPr>
        <w:t>(</w:t>
      </w:r>
      <w:r w:rsidRPr="00264E55">
        <w:rPr>
          <w:rFonts w:ascii="宋体" w:hAnsi="宋体" w:hint="eastAsia"/>
          <w:b/>
          <w:bCs/>
          <w:color w:val="000000"/>
          <w:kern w:val="0"/>
          <w:sz w:val="24"/>
          <w:szCs w:val="24"/>
        </w:rPr>
        <w:t>或基金经理小组</w:t>
      </w:r>
      <w:r w:rsidRPr="00264E55">
        <w:rPr>
          <w:rFonts w:ascii="宋体" w:hAnsi="宋体"/>
          <w:b/>
          <w:bCs/>
          <w:color w:val="000000"/>
          <w:kern w:val="0"/>
          <w:sz w:val="24"/>
          <w:szCs w:val="24"/>
        </w:rPr>
        <w:t>)</w:t>
      </w:r>
      <w:r w:rsidRPr="00264E55">
        <w:rPr>
          <w:rFonts w:ascii="宋体" w:hAnsi="宋体" w:hint="eastAsia"/>
          <w:b/>
          <w:bCs/>
          <w:color w:val="000000"/>
          <w:kern w:val="0"/>
          <w:sz w:val="24"/>
          <w:szCs w:val="24"/>
        </w:rPr>
        <w:t>简介</w:t>
      </w:r>
    </w:p>
    <w:tbl>
      <w:tblPr>
        <w:tblW w:type="dxa" w:w="8931"/>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567"/>
        <w:gridCol w:w="2835"/>
        <w:gridCol w:w="851"/>
        <w:gridCol w:w="850"/>
        <w:gridCol w:w="851"/>
        <w:gridCol w:w="2977"/>
      </w:tblGrid>
      <w:tr w:rsidR="004D28A3" w:rsidRPr="0078105B" w:rsidTr="003328D9">
        <w:trPr>
          <w:cantSplit/>
        </w:trPr>
        <w:tc>
          <w:tcPr>
            <w:tcW w:type="dxa" w:w="567"/>
            <w:vMerge w:val="restart"/>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姓名</w:t>
            </w:r>
          </w:p>
        </w:tc>
        <w:tc>
          <w:tcPr>
            <w:tcW w:type="dxa" w:w="2835"/>
            <w:vMerge w:val="restart"/>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职务</w:t>
            </w:r>
          </w:p>
        </w:tc>
        <w:tc>
          <w:tcPr>
            <w:tcW w:type="dxa" w:w="1701"/>
            <w:gridSpan w:val="2"/>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任本基金的基金经理期限</w:t>
            </w:r>
          </w:p>
        </w:tc>
        <w:tc>
          <w:tcPr>
            <w:tcW w:type="dxa" w:w="851"/>
            <w:vMerge w:val="restart"/>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证券从业年限</w:t>
            </w:r>
          </w:p>
        </w:tc>
        <w:tc>
          <w:tcPr>
            <w:tcW w:type="dxa" w:w="2977"/>
            <w:vMerge w:val="restart"/>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说明</w:t>
            </w:r>
          </w:p>
        </w:tc>
      </w:tr>
      <w:tr w:rsidR="004D28A3" w:rsidRPr="0078105B" w:rsidTr="003328D9">
        <w:trPr>
          <w:cantSplit/>
        </w:trPr>
        <w:tc>
          <w:tcPr>
            <w:tcW w:type="dxa" w:w="567"/>
            <w:vMerge/>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p>
        </w:tc>
        <w:tc>
          <w:tcPr>
            <w:tcW w:type="dxa" w:w="2835"/>
            <w:vMerge/>
          </w:tcPr>
          <w:p w:rsidP="003328D9" w:rsidR="004D28A3" w:rsidRDefault="004D28A3" w:rsidRPr="00FA472B">
            <w:pPr>
              <w:autoSpaceDE w:val="0"/>
              <w:autoSpaceDN w:val="0"/>
              <w:adjustRightInd w:val="0"/>
              <w:spacing w:before="29" w:line="288" w:lineRule="auto"/>
              <w:ind w:left="15"/>
              <w:jc w:val="center"/>
              <w:rPr>
                <w:color w:val="000000"/>
                <w:kern w:val="0"/>
                <w:sz w:val="24"/>
              </w:rPr>
            </w:pPr>
          </w:p>
        </w:tc>
        <w:tc>
          <w:tcPr>
            <w:tcW w:type="dxa" w:w="851"/>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任职日期</w:t>
            </w:r>
          </w:p>
        </w:tc>
        <w:tc>
          <w:tcPr>
            <w:tcW w:type="dxa" w:w="850"/>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离任日期</w:t>
            </w:r>
          </w:p>
        </w:tc>
        <w:tc>
          <w:tcPr>
            <w:tcW w:type="dxa" w:w="851"/>
            <w:vMerge/>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p>
        </w:tc>
        <w:tc>
          <w:tcPr>
            <w:tcW w:type="dxa" w:w="2977"/>
            <w:vMerge/>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p>
        </w:tc>
      </w:tr>
      <w:tr>
        <w:tc>
          <w:tcPr>
            <w:vAlign w:val="center"/>
          </w:tcPr>
          <w:p>
            <w:pPr>
              <w:jc w:val="center"/>
            </w:pPr>
            <w:r>
              <w:rPr>
                <w:color w:val="000000"/>
                <w:sz w:val="24"/>
              </w:rPr>
              <w:t>汪玲</w:t>
            </w:r>
          </w:p>
        </w:tc>
        <w:tc>
          <w:tcPr>
            <w:vAlign w:val="center"/>
          </w:tcPr>
          <w:p>
            <w:pPr>
              <w:jc w:val="left"/>
            </w:pPr>
            <w:r>
              <w:rPr>
                <w:color w:val="000000"/>
                <w:sz w:val="24"/>
              </w:rPr>
              <w:t>本基金的基金经理、易方达汇诚养老目标日期2043三年持有期混合型基金中基金（FOF）的基金经理、易方达汇诚养老目标日期2033三年持有期混合型发起式基金中基金（FOF）的基金经理、易方达汇智稳健养老目标一年持有期混合型基金中基金（FOF）的基金经理</w:t>
            </w:r>
          </w:p>
        </w:tc>
        <w:tc>
          <w:tcPr>
            <w:vAlign w:val="center"/>
          </w:tcPr>
          <w:p>
            <w:pPr>
              <w:jc w:val="center"/>
            </w:pPr>
            <w:r>
              <w:rPr>
                <w:color w:val="000000"/>
                <w:sz w:val="24"/>
              </w:rPr>
              <w:t>2019-04-30</w:t>
            </w:r>
          </w:p>
        </w:tc>
        <w:tc>
          <w:tcPr>
            <w:vAlign w:val="center"/>
          </w:tcPr>
          <w:p>
            <w:pPr>
              <w:jc w:val="center"/>
            </w:pPr>
            <w:r>
              <w:rPr>
                <w:color w:val="000000"/>
                <w:sz w:val="24"/>
              </w:rPr>
              <w:t>-</w:t>
            </w:r>
          </w:p>
        </w:tc>
        <w:tc>
          <w:tcPr>
            <w:vAlign w:val="center"/>
          </w:tcPr>
          <w:p>
            <w:pPr>
              <w:jc w:val="center"/>
            </w:pPr>
            <w:r>
              <w:rPr>
                <w:color w:val="000000"/>
                <w:sz w:val="24"/>
              </w:rPr>
              <w:t>12年</w:t>
            </w:r>
          </w:p>
        </w:tc>
        <w:tc>
          <w:tcPr>
            <w:vAlign w:val="center"/>
          </w:tcPr>
          <w:p>
            <w:pPr>
              <w:jc w:val="both"/>
            </w:pPr>
            <w:r>
              <w:rPr>
                <w:color w:val="000000"/>
                <w:sz w:val="24"/>
              </w:rPr>
              <w:t>硕士研究生，具有基金从业资格。曾任合众人寿保险股份有限公司资金管理中心基金研究员、基金投资经理，合众资产管理股份有限公司组合管理部基金投资经理，中国人寿养老保险股份有限公司投资中心组合管理部高级组合基金投资经理。</w:t>
            </w:r>
          </w:p>
        </w:tc>
      </w:tr>
    </w:tbl>
    <w:p>
      <w:pPr>
        <w:spacing w:line="360" w:lineRule="auto"/>
        <w:ind w:firstLine="480" w:firstLineChars="200"/>
        <w:rPr>
          <w:color w:val="000000"/>
          <w:sz w:val="24"/>
          <w:szCs w:val="24"/>
        </w:rPr>
      </w:pPr>
      <w:r>
        <w:rPr>
          <w:color w:val="000000"/>
          <w:sz w:val="24"/>
          <w:szCs w:val="24"/>
        </w:rPr>
        <w:t>注：1.对基金的首任基金经理，其“任职日期”为基金合同生效日，“离任日期”为根据公司决定确定的解聘日期；对此后的非首任基金经理，“任职日期”和“离任日期”分别指根据公司决定确定的聘任日期和解聘日期。</w:t>
      </w:r>
    </w:p>
    <w:p w:rsidP="004D28A3" w:rsidR="00750D48" w:rsidRDefault="004D28A3" w:rsidRPr="00232B03">
      <w:pPr>
        <w:spacing w:line="360" w:lineRule="auto"/>
        <w:ind w:firstLine="480" w:firstLineChars="200"/>
        <w:rPr>
          <w:color w:val="000000"/>
          <w:sz w:val="24"/>
          <w:szCs w:val="24"/>
        </w:rPr>
      </w:pPr>
      <w:r w:rsidRPr="004D28A3">
        <w:rPr>
          <w:color w:val="000000"/>
          <w:sz w:val="24"/>
          <w:szCs w:val="24"/>
        </w:rPr>
        <w:t>2.证券从业的含义遵从《证券业从业人员资格管理办法》的相关规定。</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4.2 </w:t>
      </w:r>
      <w:r w:rsidRPr="00264E55">
        <w:rPr>
          <w:rFonts w:ascii="宋体" w:hAnsi="宋体" w:hint="eastAsia"/>
          <w:b/>
          <w:bCs/>
          <w:color w:val="000000"/>
          <w:kern w:val="0"/>
          <w:sz w:val="24"/>
          <w:szCs w:val="24"/>
        </w:rPr>
        <w:t>管理人对报告期内本基金运作遵规守信情况的说明</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4.3 </w:t>
      </w:r>
      <w:r w:rsidRPr="00264E55">
        <w:rPr>
          <w:rFonts w:ascii="宋体" w:hAnsi="宋体" w:hint="eastAsia"/>
          <w:b/>
          <w:bCs/>
          <w:color w:val="000000"/>
          <w:kern w:val="0"/>
          <w:sz w:val="24"/>
          <w:szCs w:val="24"/>
        </w:rPr>
        <w:t>公平交易专项说明</w:t>
      </w:r>
    </w:p>
    <w:p w:rsidP="009E7C6A" w:rsidR="00750D48" w:rsidRDefault="00750D48" w:rsidRPr="00264E55">
      <w:pPr>
        <w:spacing w:line="360" w:lineRule="auto"/>
        <w:rPr>
          <w:rFonts w:ascii="宋体"/>
          <w:color w:val="000000"/>
          <w:sz w:val="24"/>
          <w:szCs w:val="24"/>
        </w:rPr>
      </w:pPr>
      <w:smartTag w:element="chsdate" w:uri="urn:schemas-microsoft-com:office:smarttags">
        <w:smartTagPr>
          <w:attr w:name="Year" w:val="1899"/>
          <w:attr w:name="Month" w:val="12"/>
          <w:attr w:name="Day" w:val="30"/>
          <w:attr w:name="IsLunarDate" w:val="False"/>
          <w:attr w:name="IsROCDate" w:val="False"/>
        </w:smartTagPr>
        <w:r w:rsidRPr="00264E55">
          <w:rPr>
            <w:rFonts w:ascii="宋体" w:hAnsi="宋体"/>
            <w:color w:val="000000"/>
            <w:sz w:val="24"/>
            <w:szCs w:val="24"/>
          </w:rPr>
          <w:t>4.3.1</w:t>
        </w:r>
      </w:smartTag>
      <w:r w:rsidRPr="00264E55">
        <w:rPr>
          <w:rFonts w:ascii="宋体" w:hAnsi="宋体" w:hint="eastAsia"/>
          <w:color w:val="000000"/>
          <w:sz w:val="24"/>
          <w:szCs w:val="24"/>
        </w:rPr>
        <w:t>公平交易制度的执行情况</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管理人主要通过建立有纪律、规范化的投资研究和决策流程、交易流程，以及强化事后监控分析来确保公平对待不同投资组合，切实防范利益输送。本基金管理人制定了严格的投资权限管理制度、投资备选库管理制度和集中交易制度等，并重视交易执行环节的公平交易措施，以“时间优先、价格优先”作为执行指令的基本原则，通过投资交易系统中的公平交易模块，以尽可能确保公平对待各投资组合。本报告期内，公平交易制度总体执行情况良好。</w:t>
      </w:r>
    </w:p>
    <w:p w:rsidP="009E7C6A" w:rsidR="00750D48" w:rsidRDefault="00750D48" w:rsidRPr="00264E55">
      <w:pPr>
        <w:spacing w:line="360" w:lineRule="auto"/>
        <w:rPr>
          <w:rFonts w:ascii="宋体"/>
          <w:color w:val="000000"/>
          <w:sz w:val="24"/>
          <w:szCs w:val="24"/>
        </w:rPr>
      </w:pPr>
      <w:smartTag w:element="chsdate" w:uri="urn:schemas-microsoft-com:office:smarttags">
        <w:smartTagPr>
          <w:attr w:name="Year" w:val="1899"/>
          <w:attr w:name="Month" w:val="12"/>
          <w:attr w:name="Day" w:val="30"/>
          <w:attr w:name="IsLunarDate" w:val="False"/>
          <w:attr w:name="IsROCDate" w:val="False"/>
        </w:smartTagPr>
        <w:r w:rsidRPr="00264E55">
          <w:rPr>
            <w:rFonts w:ascii="宋体" w:hAnsi="宋体"/>
            <w:color w:val="000000"/>
            <w:sz w:val="24"/>
            <w:szCs w:val="24"/>
          </w:rPr>
          <w:t>4.3.2</w:t>
        </w:r>
      </w:smartTag>
      <w:r w:rsidRPr="00264E55">
        <w:rPr>
          <w:rFonts w:ascii="宋体" w:hAnsi="宋体" w:hint="eastAsia"/>
          <w:color w:val="000000"/>
          <w:sz w:val="24"/>
          <w:szCs w:val="24"/>
        </w:rPr>
        <w:t>异常交易行为的专项说明</w:t>
      </w:r>
    </w:p>
    <w:p>
      <w:pPr>
        <w:spacing w:line="360" w:lineRule="auto"/>
        <w:ind w:firstLine="480" w:firstLineChars="200"/>
        <w:rPr>
          <w:color w:val="000000"/>
          <w:sz w:val="24"/>
          <w:szCs w:val="24"/>
        </w:rPr>
      </w:pPr>
      <w:r>
        <w:rPr>
          <w:color w:val="000000"/>
          <w:sz w:val="24"/>
          <w:szCs w:val="24"/>
        </w:rPr>
        <w:t>本报告期内，公司旗下所有投资组合参与的交易所公开竞价交易中，同日反向交易成交较少的单边交易量超过该证券当日成交量的5%的交易共42次，均为指数量化投资组合因投资策略需要和其他组合发生的反向交易。</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lastRenderedPageBreak/>
        <w:t/>
      </w:r>
      <w:proofErr w:type="spellStart"/>
      <w:r w:rsidRPr="006C56AA">
        <w:rPr>
          <w:color w:val="000000"/>
          <w:sz w:val="24"/>
          <w:szCs w:val="24"/>
        </w:rPr>
        <w:t/>
      </w:r>
      <w:proofErr w:type="spellEnd"/>
      <w:r w:rsidRPr="006C56AA">
        <w:rPr>
          <w:color w:val="000000"/>
          <w:sz w:val="24"/>
          <w:szCs w:val="24"/>
        </w:rPr>
        <w:t>本报告期内，未发现本基金有可能导致不公平交易和利益输送的异常交易。</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4.4 </w:t>
      </w:r>
      <w:r w:rsidRPr="00264E55">
        <w:rPr>
          <w:rFonts w:ascii="宋体" w:hAnsi="宋体" w:hint="eastAsia"/>
          <w:b/>
          <w:bCs/>
          <w:color w:val="000000"/>
          <w:kern w:val="0"/>
          <w:sz w:val="24"/>
          <w:szCs w:val="24"/>
        </w:rPr>
        <w:t>报告期内基金的投资策略和业绩表现说明</w:t>
      </w:r>
    </w:p>
    <w:p w:rsidP="009E7C6A" w:rsidR="00750D48" w:rsidRDefault="00750D48" w:rsidRPr="00264E55">
      <w:pPr>
        <w:spacing w:line="360" w:lineRule="auto"/>
        <w:rPr>
          <w:rFonts w:ascii="宋体"/>
          <w:sz w:val="24"/>
          <w:szCs w:val="24"/>
        </w:rPr>
      </w:pPr>
      <w:smartTag w:element="chsdate" w:uri="urn:schemas-microsoft-com:office:smarttags">
        <w:smartTagPr>
          <w:attr w:name="Year" w:val="1899"/>
          <w:attr w:name="Month" w:val="12"/>
          <w:attr w:name="Day" w:val="30"/>
          <w:attr w:name="IsLunarDate" w:val="False"/>
          <w:attr w:name="IsROCDate" w:val="False"/>
        </w:smartTagPr>
        <w:r w:rsidRPr="00264E55">
          <w:rPr>
            <w:rFonts w:ascii="宋体" w:cs="宋体" w:hAnsi="宋体"/>
            <w:sz w:val="24"/>
            <w:szCs w:val="24"/>
          </w:rPr>
          <w:t>4.4.1</w:t>
        </w:r>
      </w:smartTag>
      <w:r w:rsidRPr="00264E55">
        <w:rPr>
          <w:rFonts w:ascii="宋体" w:cs="宋体" w:hAnsi="宋体" w:hint="eastAsia"/>
          <w:sz w:val="24"/>
          <w:szCs w:val="24"/>
        </w:rPr>
        <w:t>报告期内基金投资策略和运作分析</w:t>
      </w:r>
    </w:p>
    <w:p>
      <w:pPr>
        <w:spacing w:line="360" w:lineRule="auto"/>
        <w:ind w:firstLine="480" w:firstLineChars="200"/>
        <w:rPr>
          <w:color w:val="000000"/>
          <w:sz w:val="24"/>
          <w:szCs w:val="24"/>
        </w:rPr>
      </w:pPr>
      <w:r>
        <w:rPr>
          <w:color w:val="000000"/>
          <w:sz w:val="24"/>
          <w:szCs w:val="24"/>
        </w:rPr>
        <w:t>2020年2季度新冠疫情继续在全球蔓延，世界经济受疫情影响出现大幅下滑，全球货币政策继续维持极度宽松的局面，各国相继推出各种财政刺激政策，欧美等主要经济体逐步开启复工步伐。国内疫情控制得当，随着欧美主要经济体陆续复工，叠加国内政策延续宽松政策，国内经济环比改善。随着经济逐步恢复以及货币政策边际减弱，国内债券收益率大幅上行，权益类资产大幅反弹，创业板和中小板表现强劲，行业方面休闲服务、电子、医药生物和食品饮料大幅上涨，而建筑装饰、纺织服装、采掘却录得负收益。估值方面，A股估值相对历史处于偏低位置，但结构分化更加剧烈；债券收益率水平处于历史较低位置，估值偏高。</w:t>
      </w:r>
    </w:p>
    <w:p>
      <w:pPr>
        <w:spacing w:line="360" w:lineRule="auto"/>
        <w:ind w:firstLine="480" w:firstLineChars="200"/>
        <w:rPr>
          <w:color w:val="000000"/>
          <w:sz w:val="24"/>
          <w:szCs w:val="24"/>
        </w:rPr>
      </w:pPr>
      <w:r>
        <w:rPr>
          <w:color w:val="000000"/>
          <w:sz w:val="24"/>
          <w:szCs w:val="24"/>
        </w:rPr>
        <w:t>在报告期内，经济基本面逐步恢复，资金面充裕，整体估值不高，本基金综合评估以上因素，适当增加了权益类资产的配置比例，更多去捕捉股票市场的结构性机会。随着海外股票市场的大幅反弹，逐步卖出了1季度配置的海外QDII基金。在坚持战略资产配置的前提下，通过动态比较各类资产的相对价值，在战术资产配置上适当增加了权益类资产的配置比例，增加了市场中性策略基金配置比例，适当降低了黄金等商品资产的配置比例，维持债券类资产的略低配比例。截止报告期末，权益类资产配置比例接近下滑曲线预设的权益类资产配置比例，在合同允许的范围内。在结构方面，权益资产的风格配置上整体均衡，略偏科技和低估值类优质资产，债券类资产主要以信用债获取票息收益，增加了打新类基金的配置。在基金品种的选择上，坚持配置风格稳定、超额收益持续的基金，为组合提供稳定的超额收益贡献。</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本基金将遵循稳健投资的理念，坚持绝对收益思路，立足养老产品的定位，秉承勤勉尽责的态度，为持有人创造更加优异的投资回报。</w:t>
      </w:r>
    </w:p>
    <w:p w:rsidP="009E7C6A" w:rsidR="00750D48" w:rsidRDefault="00750D48" w:rsidRPr="00264E55">
      <w:pPr>
        <w:spacing w:line="360" w:lineRule="auto"/>
        <w:rPr>
          <w:rFonts w:ascii="宋体"/>
          <w:sz w:val="24"/>
          <w:szCs w:val="24"/>
        </w:rPr>
      </w:pPr>
      <w:smartTag w:element="chsdate" w:uri="urn:schemas-microsoft-com:office:smarttags">
        <w:smartTagPr>
          <w:attr w:name="Year" w:val="1899"/>
          <w:attr w:name="Month" w:val="12"/>
          <w:attr w:name="Day" w:val="30"/>
          <w:attr w:name="IsLunarDate" w:val="False"/>
          <w:attr w:name="IsROCDate" w:val="False"/>
        </w:smartTagPr>
        <w:r w:rsidRPr="00264E55">
          <w:rPr>
            <w:rFonts w:ascii="宋体" w:cs="宋体" w:hAnsi="宋体"/>
            <w:sz w:val="24"/>
            <w:szCs w:val="24"/>
          </w:rPr>
          <w:t>4.4.2</w:t>
        </w:r>
      </w:smartTag>
      <w:r w:rsidRPr="00264E55">
        <w:rPr>
          <w:rFonts w:ascii="宋体" w:cs="宋体" w:hAnsi="宋体" w:hint="eastAsia"/>
          <w:sz w:val="24"/>
          <w:szCs w:val="24"/>
        </w:rPr>
        <w:t>报告期内基金的业绩表现</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截至报告期末，本基金份额净值为1.1440元，本报告期份额净值增长率为10.35%，同期业绩比较基准收益率为5.59%。</w:t>
      </w: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5  </w:t>
      </w:r>
      <w:r w:rsidRPr="00264E55">
        <w:rPr>
          <w:rFonts w:ascii="宋体" w:hAnsi="宋体" w:hint="eastAsia"/>
          <w:color w:val="000000"/>
          <w:kern w:val="0"/>
          <w:sz w:val="24"/>
          <w:szCs w:val="24"/>
        </w:rPr>
        <w:t>投资组合报告</w:t>
      </w:r>
    </w:p>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5.1 </w:t>
      </w:r>
      <w:r w:rsidRPr="00264E55">
        <w:rPr>
          <w:rFonts w:ascii="宋体" w:hAnsi="宋体" w:hint="eastAsia"/>
          <w:b/>
          <w:bCs/>
          <w:color w:val="000000"/>
          <w:kern w:val="0"/>
          <w:sz w:val="24"/>
          <w:szCs w:val="24"/>
        </w:rPr>
        <w:t>报告期末基金资产组合情况</w:t>
      </w:r>
    </w:p>
    <w:tbl>
      <w:tblPr>
        <w:tblW w:type="dxa" w:w="8897"/>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720"/>
        <w:gridCol w:w="3357"/>
        <w:gridCol w:w="2977"/>
        <w:gridCol w:w="1843"/>
      </w:tblGrid>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序号</w:t>
            </w:r>
          </w:p>
        </w:tc>
        <w:tc>
          <w:tcPr>
            <w:tcW w:type="dxa" w:w="3357"/>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项目</w:t>
            </w:r>
          </w:p>
        </w:tc>
        <w:tc>
          <w:tcPr>
            <w:tcW w:type="dxa" w:w="2977"/>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金额</w:t>
            </w:r>
            <w:r w:rsidR="005F7917" w:rsidRPr="00232B03">
              <w:rPr>
                <w:color w:val="000000"/>
                <w:kern w:val="0"/>
                <w:sz w:val="24"/>
                <w:szCs w:val="24"/>
              </w:rPr>
              <w:t>（元）</w:t>
            </w:r>
          </w:p>
        </w:tc>
        <w:tc>
          <w:tcPr>
            <w:tcW w:type="dxa" w:w="1843"/>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占基金总资产的比例</w:t>
            </w:r>
            <w:r w:rsidR="005F7917" w:rsidRPr="00232B03">
              <w:rPr>
                <w:color w:val="000000"/>
                <w:kern w:val="0"/>
                <w:sz w:val="24"/>
                <w:szCs w:val="24"/>
              </w:rPr>
              <w:t>（</w:t>
            </w:r>
            <w:r w:rsidR="005F7917" w:rsidRPr="00232B03">
              <w:rPr>
                <w:color w:val="000000"/>
                <w:kern w:val="0"/>
                <w:sz w:val="24"/>
                <w:szCs w:val="24"/>
              </w:rPr>
              <w:t>%</w:t>
            </w:r>
            <w:r w:rsidR="005F7917"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1</w:t>
            </w: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权益投资</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其中：股票</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r>
      <w:tr w:rsidR="00C370E0" w:rsidRPr="00264E55" w:rsidTr="00B05049">
        <w:trPr>
          <w:jc w:val="center"/>
        </w:trPr>
        <w:tc>
          <w:tcPr>
            <w:tcW w:type="dxa" w:w="720"/>
            <w:vAlign w:val="center"/>
          </w:tcPr>
          <w:p w:rsidP="00F94C5F" w:rsidR="00C370E0" w:rsidRDefault="00C370E0" w:rsidRPr="00C370E0">
            <w:pPr>
              <w:spacing w:before="29" w:line="360" w:lineRule="auto"/>
              <w:ind w:left="17"/>
              <w:jc w:val="center"/>
              <w:rPr>
                <w:color w:themeColor="text1" w:val="000000"/>
                <w:sz w:val="24"/>
                <w:szCs w:val="24"/>
              </w:rPr>
            </w:pPr>
            <w:r w:rsidRPr="00C370E0">
              <w:rPr>
                <w:color w:themeColor="text1" w:val="000000"/>
                <w:sz w:val="24"/>
                <w:szCs w:val="24"/>
              </w:rPr>
              <w:t>2</w:t>
            </w:r>
          </w:p>
        </w:tc>
        <w:tc>
          <w:tcPr>
            <w:tcW w:type="dxa" w:w="3357"/>
            <w:vAlign w:val="center"/>
          </w:tcPr>
          <w:p w:rsidP="00F94C5F" w:rsidR="00C370E0" w:rsidRDefault="00C370E0" w:rsidRPr="00C370E0">
            <w:pPr>
              <w:spacing w:before="29" w:line="360" w:lineRule="auto"/>
              <w:jc w:val="left"/>
              <w:rPr>
                <w:color w:themeColor="text1" w:val="000000"/>
                <w:sz w:val="24"/>
                <w:szCs w:val="24"/>
              </w:rPr>
            </w:pPr>
            <w:r w:rsidRPr="00C370E0">
              <w:rPr>
                <w:color w:themeColor="text1" w:val="000000"/>
                <w:sz w:val="24"/>
                <w:szCs w:val="24"/>
              </w:rPr>
              <w:t>基金投资</w:t>
            </w:r>
          </w:p>
        </w:tc>
        <w:tc>
          <w:tcPr>
            <w:tcW w:type="dxa" w:w="2977"/>
            <w:vAlign w:val="center"/>
          </w:tcPr>
          <w:p w:rsidP="00F94C5F" w:rsidR="00C370E0" w:rsidRDefault="00C370E0" w:rsidRPr="00C370E0">
            <w:pPr>
              <w:spacing w:before="29" w:line="360" w:lineRule="auto"/>
              <w:ind w:left="17"/>
              <w:jc w:val="right"/>
              <w:rPr>
                <w:color w:themeColor="text1" w:val="000000"/>
                <w:sz w:val="24"/>
                <w:szCs w:val="24"/>
              </w:rPr>
            </w:pPr>
            <w:r w:rsidRPr="00C370E0">
              <w:rPr>
                <w:color w:themeColor="text1" w:val="000000"/>
                <w:sz w:val="24"/>
                <w:szCs w:val="24"/>
              </w:rPr>
              <w:t/>
            </w:r>
            <w:proofErr w:type="spellStart"/>
            <w:r w:rsidRPr="00C370E0">
              <w:rPr>
                <w:color w:themeColor="text1" w:val="000000"/>
                <w:sz w:val="24"/>
                <w:szCs w:val="24"/>
              </w:rPr>
              <w:t/>
            </w:r>
            <w:proofErr w:type="spellEnd"/>
            <w:r w:rsidRPr="00C370E0">
              <w:rPr>
                <w:color w:themeColor="text1" w:val="000000"/>
                <w:sz w:val="24"/>
                <w:szCs w:val="24"/>
              </w:rPr>
              <w:t>13,871,208.28</w:t>
            </w:r>
          </w:p>
        </w:tc>
        <w:tc>
          <w:tcPr>
            <w:tcW w:type="dxa" w:w="1843"/>
            <w:vAlign w:val="center"/>
          </w:tcPr>
          <w:p w:rsidP="00F94C5F" w:rsidR="00C370E0" w:rsidRDefault="00C370E0" w:rsidRPr="00C370E0">
            <w:pPr>
              <w:spacing w:before="29" w:line="360" w:lineRule="auto"/>
              <w:ind w:left="17"/>
              <w:jc w:val="right"/>
              <w:rPr>
                <w:color w:themeColor="text1" w:val="000000"/>
                <w:sz w:val="24"/>
                <w:szCs w:val="24"/>
              </w:rPr>
            </w:pPr>
            <w:r w:rsidRPr="00C370E0">
              <w:rPr>
                <w:color w:themeColor="text1" w:val="000000"/>
                <w:sz w:val="24"/>
                <w:szCs w:val="24"/>
              </w:rPr>
              <w:t/>
            </w:r>
            <w:proofErr w:type="spellStart"/>
            <w:r w:rsidRPr="00C370E0">
              <w:rPr>
                <w:color w:themeColor="text1" w:val="000000"/>
                <w:sz w:val="24"/>
                <w:szCs w:val="24"/>
              </w:rPr>
              <w:t/>
            </w:r>
            <w:r w:rsidRPr="00C370E0">
              <w:rPr>
                <w:color w:themeColor="text1" w:val="000000"/>
                <w:sz w:val="24"/>
                <w:szCs w:val="24"/>
              </w:rPr>
              <w:lastRenderedPageBreak/>
              <w:t/>
            </w:r>
            <w:proofErr w:type="spellEnd"/>
            <w:r w:rsidRPr="00C370E0">
              <w:rPr>
                <w:color w:themeColor="text1" w:val="000000"/>
                <w:sz w:val="24"/>
                <w:szCs w:val="24"/>
              </w:rPr>
              <w:t>90.38</w:t>
            </w:r>
          </w:p>
        </w:tc>
      </w:tr>
      <w:tr w:rsidR="00C370E0" w:rsidRPr="00264E55" w:rsidTr="00B05049">
        <w:trPr>
          <w:jc w:val="center"/>
        </w:trPr>
        <w:tc>
          <w:tcPr>
            <w:tcW w:type="dxa" w:w="720"/>
            <w:vAlign w:val="center"/>
          </w:tcPr>
          <w:p w:rsidP="00B05049" w:rsidR="00C370E0" w:rsidRDefault="00C370E0" w:rsidRPr="00232B03">
            <w:pPr>
              <w:spacing w:before="29" w:line="360" w:lineRule="auto"/>
              <w:ind w:left="17"/>
              <w:jc w:val="center"/>
              <w:rPr>
                <w:color w:val="000000"/>
                <w:kern w:val="0"/>
                <w:sz w:val="24"/>
                <w:szCs w:val="24"/>
              </w:rPr>
            </w:pPr>
            <w:r>
              <w:rPr>
                <w:rFonts w:hint="eastAsia"/>
                <w:color w:val="000000"/>
                <w:kern w:val="0"/>
                <w:sz w:val="24"/>
                <w:szCs w:val="24"/>
              </w:rPr>
              <w:lastRenderedPageBreak/>
              <w:t>3</w:t>
            </w:r>
          </w:p>
        </w:tc>
        <w:tc>
          <w:tcPr>
            <w:tcW w:type="dxa" w:w="3357"/>
            <w:vAlign w:val="center"/>
          </w:tcPr>
          <w:p w:rsidP="00B05049" w:rsidR="00C370E0" w:rsidRDefault="00C370E0" w:rsidRPr="00232B03">
            <w:pPr>
              <w:spacing w:before="29" w:line="360" w:lineRule="auto"/>
              <w:ind w:left="17"/>
              <w:jc w:val="left"/>
              <w:rPr>
                <w:kern w:val="0"/>
                <w:sz w:val="24"/>
                <w:szCs w:val="24"/>
              </w:rPr>
            </w:pPr>
            <w:r w:rsidRPr="00232B03">
              <w:rPr>
                <w:color w:val="000000"/>
                <w:kern w:val="0"/>
                <w:sz w:val="24"/>
                <w:szCs w:val="24"/>
              </w:rPr>
              <w:t>固定收益投资</w:t>
            </w:r>
          </w:p>
        </w:tc>
        <w:tc>
          <w:tcPr>
            <w:tcW w:type="dxa" w:w="2977"/>
            <w:vAlign w:val="center"/>
          </w:tcPr>
          <w:p w:rsidP="00B05049" w:rsidR="00C370E0" w:rsidRDefault="00C370E0"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679,203.70</w:t>
            </w:r>
          </w:p>
        </w:tc>
        <w:tc>
          <w:tcPr>
            <w:tcW w:type="dxa" w:w="1843"/>
            <w:vAlign w:val="center"/>
          </w:tcPr>
          <w:p w:rsidP="00B05049" w:rsidR="00C370E0" w:rsidRDefault="00C370E0" w:rsidRPr="00232B03">
            <w:pPr>
              <w:spacing w:before="29" w:line="360" w:lineRule="auto"/>
              <w:ind w:left="17"/>
              <w:jc w:val="right"/>
              <w:rPr>
                <w:color w:val="000000"/>
                <w:kern w:val="0"/>
                <w:sz w:val="24"/>
                <w:szCs w:val="24"/>
              </w:rPr>
            </w:pPr>
            <w:r w:rsidRPr="00232B03">
              <w:rPr>
                <w:color w:val="000000"/>
                <w:kern w:val="0"/>
                <w:sz w:val="24"/>
                <w:szCs w:val="24"/>
              </w:rPr>
              <w:t>4.43</w:t>
            </w:r>
          </w:p>
        </w:tc>
      </w:tr>
      <w:tr w:rsidR="00C370E0" w:rsidRPr="00264E55" w:rsidTr="00B05049">
        <w:trPr>
          <w:jc w:val="center"/>
        </w:trPr>
        <w:tc>
          <w:tcPr>
            <w:tcW w:type="dxa" w:w="720"/>
            <w:vAlign w:val="center"/>
          </w:tcPr>
          <w:p w:rsidP="00B05049" w:rsidR="00C370E0" w:rsidRDefault="00C370E0" w:rsidRPr="00232B03">
            <w:pPr>
              <w:spacing w:before="29" w:line="360" w:lineRule="auto"/>
              <w:ind w:left="17"/>
              <w:jc w:val="center"/>
              <w:rPr>
                <w:color w:val="000000"/>
                <w:kern w:val="0"/>
                <w:sz w:val="24"/>
                <w:szCs w:val="24"/>
              </w:rPr>
            </w:pPr>
          </w:p>
        </w:tc>
        <w:tc>
          <w:tcPr>
            <w:tcW w:type="dxa" w:w="3357"/>
            <w:vAlign w:val="center"/>
          </w:tcPr>
          <w:p w:rsidP="00B05049" w:rsidR="00C370E0" w:rsidRDefault="00C370E0" w:rsidRPr="00232B03">
            <w:pPr>
              <w:spacing w:before="29" w:line="360" w:lineRule="auto"/>
              <w:ind w:left="17"/>
              <w:jc w:val="left"/>
              <w:rPr>
                <w:kern w:val="0"/>
                <w:sz w:val="24"/>
                <w:szCs w:val="24"/>
              </w:rPr>
            </w:pPr>
            <w:r w:rsidRPr="00232B03">
              <w:rPr>
                <w:color w:val="000000"/>
                <w:kern w:val="0"/>
                <w:sz w:val="24"/>
                <w:szCs w:val="24"/>
              </w:rPr>
              <w:t>其中：债券</w:t>
            </w:r>
          </w:p>
        </w:tc>
        <w:tc>
          <w:tcPr>
            <w:tcW w:type="dxa" w:w="2977"/>
            <w:vAlign w:val="center"/>
          </w:tcPr>
          <w:p w:rsidP="00B05049" w:rsidR="00C370E0" w:rsidRDefault="00C370E0"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679,203.70</w:t>
            </w:r>
          </w:p>
        </w:tc>
        <w:tc>
          <w:tcPr>
            <w:tcW w:type="dxa" w:w="1843"/>
            <w:vAlign w:val="center"/>
          </w:tcPr>
          <w:p w:rsidP="00B05049" w:rsidR="00C370E0" w:rsidRDefault="00C370E0" w:rsidRPr="00232B03">
            <w:pPr>
              <w:spacing w:before="29" w:line="360" w:lineRule="auto"/>
              <w:ind w:left="17"/>
              <w:jc w:val="right"/>
              <w:rPr>
                <w:color w:val="000000"/>
                <w:kern w:val="0"/>
                <w:sz w:val="24"/>
                <w:szCs w:val="24"/>
              </w:rPr>
            </w:pPr>
            <w:r w:rsidRPr="00232B03">
              <w:rPr>
                <w:color w:val="000000"/>
                <w:kern w:val="0"/>
                <w:sz w:val="24"/>
                <w:szCs w:val="24"/>
              </w:rPr>
              <w:t>4.43</w:t>
            </w:r>
          </w:p>
        </w:tc>
      </w:tr>
      <w:tr w:rsidR="00C370E0" w:rsidRPr="00264E55" w:rsidTr="00B05049">
        <w:trPr>
          <w:jc w:val="center"/>
        </w:trPr>
        <w:tc>
          <w:tcPr>
            <w:tcW w:type="dxa" w:w="720"/>
            <w:vAlign w:val="center"/>
          </w:tcPr>
          <w:p w:rsidP="00B05049" w:rsidR="00C370E0" w:rsidRDefault="00C370E0" w:rsidRPr="00232B03">
            <w:pPr>
              <w:spacing w:before="29" w:line="360" w:lineRule="auto"/>
              <w:ind w:left="17"/>
              <w:jc w:val="center"/>
              <w:rPr>
                <w:color w:val="000000"/>
                <w:kern w:val="0"/>
                <w:sz w:val="24"/>
                <w:szCs w:val="24"/>
              </w:rPr>
            </w:pPr>
          </w:p>
        </w:tc>
        <w:tc>
          <w:tcPr>
            <w:tcW w:type="dxa" w:w="3357"/>
            <w:vAlign w:val="center"/>
          </w:tcPr>
          <w:p w:rsidP="00B05049" w:rsidR="00C370E0" w:rsidRDefault="00C370E0" w:rsidRPr="00232B03">
            <w:pPr>
              <w:autoSpaceDE w:val="0"/>
              <w:autoSpaceDN w:val="0"/>
              <w:adjustRightInd w:val="0"/>
              <w:spacing w:before="29" w:line="360" w:lineRule="auto"/>
              <w:ind w:left="17"/>
              <w:jc w:val="left"/>
              <w:rPr>
                <w:color w:val="000000"/>
                <w:kern w:val="0"/>
                <w:sz w:val="24"/>
                <w:szCs w:val="24"/>
              </w:rPr>
            </w:pPr>
            <w:r w:rsidRPr="00232B03">
              <w:rPr>
                <w:color w:val="000000"/>
                <w:kern w:val="0"/>
                <w:sz w:val="24"/>
                <w:szCs w:val="24"/>
              </w:rPr>
              <w:t>资产支持证券</w:t>
            </w:r>
          </w:p>
        </w:tc>
        <w:tc>
          <w:tcPr>
            <w:tcW w:type="dxa" w:w="2977"/>
            <w:vAlign w:val="center"/>
          </w:tcPr>
          <w:p w:rsidP="00B05049" w:rsidR="00C370E0" w:rsidRDefault="00C370E0"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C370E0" w:rsidRDefault="00C370E0" w:rsidRPr="00232B03">
            <w:pPr>
              <w:spacing w:before="29" w:line="360" w:lineRule="auto"/>
              <w:ind w:left="17"/>
              <w:jc w:val="right"/>
              <w:rPr>
                <w:color w:val="000000"/>
                <w:kern w:val="0"/>
                <w:sz w:val="24"/>
                <w:szCs w:val="24"/>
              </w:rPr>
            </w:pPr>
            <w:r w:rsidRPr="00232B03">
              <w:rPr>
                <w:color w:val="000000"/>
                <w:kern w:val="0"/>
                <w:sz w:val="24"/>
                <w:szCs w:val="24"/>
              </w:rPr>
              <w:t>-</w:t>
            </w:r>
          </w:p>
        </w:tc>
      </w:tr>
      <w:tr w:rsidR="00C370E0" w:rsidRPr="00264E55" w:rsidTr="00B05049">
        <w:trPr>
          <w:jc w:val="center"/>
        </w:trPr>
        <w:tc>
          <w:tcPr>
            <w:tcW w:type="dxa" w:w="720"/>
          </w:tcPr>
          <w:p w:rsidP="00B05049" w:rsidR="00C370E0" w:rsidRDefault="00C370E0" w:rsidRPr="00232B03">
            <w:pPr>
              <w:spacing w:before="29" w:line="360" w:lineRule="auto"/>
              <w:ind w:left="17"/>
              <w:jc w:val="center"/>
              <w:rPr>
                <w:color w:val="000000"/>
                <w:kern w:val="0"/>
                <w:sz w:val="24"/>
                <w:szCs w:val="24"/>
              </w:rPr>
            </w:pPr>
            <w:r>
              <w:rPr>
                <w:rFonts w:hint="eastAsia"/>
                <w:color w:val="000000"/>
                <w:kern w:val="0"/>
                <w:sz w:val="24"/>
                <w:szCs w:val="24"/>
              </w:rPr>
              <w:t>4</w:t>
            </w:r>
          </w:p>
        </w:tc>
        <w:tc>
          <w:tcPr>
            <w:tcW w:type="dxa" w:w="3357"/>
          </w:tcPr>
          <w:p w:rsidP="00EB572F" w:rsidR="00C370E0" w:rsidRDefault="00C370E0" w:rsidRPr="00232B03">
            <w:pPr>
              <w:spacing w:before="29" w:line="360" w:lineRule="auto"/>
              <w:ind w:left="105" w:leftChars="50"/>
              <w:rPr>
                <w:color w:val="000000"/>
                <w:kern w:val="0"/>
                <w:sz w:val="24"/>
                <w:szCs w:val="24"/>
              </w:rPr>
            </w:pPr>
            <w:r w:rsidRPr="00232B03">
              <w:rPr>
                <w:color w:val="000000"/>
                <w:kern w:val="0"/>
                <w:sz w:val="24"/>
                <w:szCs w:val="24"/>
              </w:rPr>
              <w:t>贵金属投资</w:t>
            </w:r>
          </w:p>
        </w:tc>
        <w:tc>
          <w:tcPr>
            <w:tcW w:type="dxa" w:w="2977"/>
            <w:vAlign w:val="center"/>
          </w:tcPr>
          <w:p w:rsidP="00B05049" w:rsidR="00C370E0" w:rsidRDefault="00C370E0"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C370E0" w:rsidRDefault="00C370E0"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r>
      <w:tr w:rsidR="00C370E0" w:rsidRPr="00264E55" w:rsidTr="00B05049">
        <w:trPr>
          <w:jc w:val="center"/>
        </w:trPr>
        <w:tc>
          <w:tcPr>
            <w:tcW w:type="dxa" w:w="720"/>
            <w:vAlign w:val="center"/>
          </w:tcPr>
          <w:p w:rsidP="00B05049" w:rsidR="00C370E0" w:rsidRDefault="00C370E0" w:rsidRPr="00232B03">
            <w:pPr>
              <w:spacing w:before="29" w:line="360" w:lineRule="auto"/>
              <w:ind w:left="17"/>
              <w:jc w:val="center"/>
              <w:rPr>
                <w:color w:val="000000"/>
                <w:kern w:val="0"/>
                <w:sz w:val="24"/>
                <w:szCs w:val="24"/>
              </w:rPr>
            </w:pPr>
            <w:r>
              <w:rPr>
                <w:rFonts w:hint="eastAsia"/>
                <w:color w:val="000000"/>
                <w:kern w:val="0"/>
                <w:sz w:val="24"/>
                <w:szCs w:val="24"/>
              </w:rPr>
              <w:t>5</w:t>
            </w:r>
          </w:p>
        </w:tc>
        <w:tc>
          <w:tcPr>
            <w:tcW w:type="dxa" w:w="3357"/>
            <w:vAlign w:val="center"/>
          </w:tcPr>
          <w:p w:rsidP="00B05049" w:rsidR="00C370E0" w:rsidRDefault="00C370E0" w:rsidRPr="00232B03">
            <w:pPr>
              <w:spacing w:before="29" w:line="360" w:lineRule="auto"/>
              <w:ind w:left="17"/>
              <w:jc w:val="left"/>
              <w:rPr>
                <w:color w:val="000000"/>
                <w:kern w:val="0"/>
                <w:sz w:val="24"/>
                <w:szCs w:val="24"/>
              </w:rPr>
            </w:pPr>
            <w:r w:rsidRPr="00232B03">
              <w:rPr>
                <w:color w:val="000000"/>
                <w:kern w:val="0"/>
                <w:sz w:val="24"/>
                <w:szCs w:val="24"/>
              </w:rPr>
              <w:t>金融衍生品投资</w:t>
            </w:r>
          </w:p>
        </w:tc>
        <w:tc>
          <w:tcPr>
            <w:tcW w:type="dxa" w:w="2977"/>
            <w:vAlign w:val="center"/>
          </w:tcPr>
          <w:p w:rsidP="00B05049" w:rsidR="00C370E0" w:rsidRDefault="00C370E0"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C370E0" w:rsidRDefault="00C370E0" w:rsidRPr="00232B03">
            <w:pPr>
              <w:spacing w:before="29" w:line="360" w:lineRule="auto"/>
              <w:ind w:left="17"/>
              <w:jc w:val="right"/>
              <w:rPr>
                <w:color w:val="000000"/>
                <w:kern w:val="0"/>
                <w:sz w:val="24"/>
                <w:szCs w:val="24"/>
              </w:rPr>
            </w:pPr>
            <w:r w:rsidRPr="00232B03">
              <w:rPr>
                <w:color w:val="000000"/>
                <w:kern w:val="0"/>
                <w:sz w:val="24"/>
                <w:szCs w:val="24"/>
              </w:rPr>
              <w:t/>
            </w:r>
            <w:r w:rsidRPr="00232B03">
              <w:rPr>
                <w:color w:val="000000"/>
                <w:kern w:val="0"/>
                <w:sz w:val="24"/>
                <w:szCs w:val="24"/>
              </w:rPr>
              <w:lastRenderedPageBreak/>
              <w:t>-</w:t>
            </w:r>
          </w:p>
        </w:tc>
      </w:tr>
      <w:tr w:rsidR="00C370E0" w:rsidRPr="00264E55" w:rsidTr="00B05049">
        <w:trPr>
          <w:jc w:val="center"/>
        </w:trPr>
        <w:tc>
          <w:tcPr>
            <w:tcW w:type="dxa" w:w="720"/>
            <w:vAlign w:val="center"/>
          </w:tcPr>
          <w:p w:rsidP="00B05049" w:rsidR="00C370E0" w:rsidRDefault="00C370E0" w:rsidRPr="00232B03">
            <w:pPr>
              <w:spacing w:before="29" w:line="360" w:lineRule="auto"/>
              <w:ind w:left="17"/>
              <w:jc w:val="center"/>
              <w:rPr>
                <w:color w:val="000000"/>
                <w:kern w:val="0"/>
                <w:sz w:val="24"/>
                <w:szCs w:val="24"/>
              </w:rPr>
            </w:pPr>
            <w:r>
              <w:rPr>
                <w:rFonts w:hint="eastAsia"/>
                <w:color w:val="000000"/>
                <w:kern w:val="0"/>
                <w:sz w:val="24"/>
                <w:szCs w:val="24"/>
              </w:rPr>
              <w:lastRenderedPageBreak/>
              <w:t>6</w:t>
            </w:r>
          </w:p>
        </w:tc>
        <w:tc>
          <w:tcPr>
            <w:tcW w:type="dxa" w:w="3357"/>
            <w:vAlign w:val="center"/>
          </w:tcPr>
          <w:p w:rsidP="00B05049" w:rsidR="00C370E0" w:rsidRDefault="00C370E0" w:rsidRPr="00232B03">
            <w:pPr>
              <w:spacing w:before="29" w:line="360" w:lineRule="auto"/>
              <w:ind w:left="17"/>
              <w:jc w:val="left"/>
              <w:rPr>
                <w:kern w:val="0"/>
                <w:sz w:val="24"/>
                <w:szCs w:val="24"/>
              </w:rPr>
            </w:pPr>
            <w:r w:rsidRPr="00232B03">
              <w:rPr>
                <w:color w:val="000000"/>
                <w:kern w:val="0"/>
                <w:sz w:val="24"/>
                <w:szCs w:val="24"/>
              </w:rPr>
              <w:t>买入返售金融资产</w:t>
            </w:r>
          </w:p>
        </w:tc>
        <w:tc>
          <w:tcPr>
            <w:tcW w:type="dxa" w:w="2977"/>
            <w:vAlign w:val="center"/>
          </w:tcPr>
          <w:p w:rsidP="00B05049" w:rsidR="00C370E0" w:rsidRDefault="00C370E0"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C370E0" w:rsidRDefault="00C370E0" w:rsidRPr="00232B03">
            <w:pPr>
              <w:spacing w:before="29" w:line="360" w:lineRule="auto"/>
              <w:ind w:left="17"/>
              <w:jc w:val="right"/>
              <w:rPr>
                <w:color w:val="000000"/>
                <w:kern w:val="0"/>
                <w:sz w:val="24"/>
                <w:szCs w:val="24"/>
              </w:rPr>
            </w:pPr>
            <w:r w:rsidRPr="00232B03">
              <w:rPr>
                <w:color w:val="000000"/>
                <w:kern w:val="0"/>
                <w:sz w:val="24"/>
                <w:szCs w:val="24"/>
              </w:rPr>
              <w:t>-</w:t>
            </w:r>
          </w:p>
        </w:tc>
      </w:tr>
      <w:tr w:rsidR="00C370E0" w:rsidRPr="00264E55" w:rsidTr="00B05049">
        <w:trPr>
          <w:jc w:val="center"/>
        </w:trPr>
        <w:tc>
          <w:tcPr>
            <w:tcW w:type="dxa" w:w="720"/>
            <w:vAlign w:val="center"/>
          </w:tcPr>
          <w:p w:rsidP="00B05049" w:rsidR="00C370E0" w:rsidRDefault="00C370E0" w:rsidRPr="00232B03">
            <w:pPr>
              <w:spacing w:before="29" w:line="360" w:lineRule="auto"/>
              <w:ind w:left="17"/>
              <w:jc w:val="center"/>
              <w:rPr>
                <w:color w:val="000000"/>
                <w:kern w:val="0"/>
                <w:sz w:val="24"/>
                <w:szCs w:val="24"/>
              </w:rPr>
            </w:pPr>
          </w:p>
        </w:tc>
        <w:tc>
          <w:tcPr>
            <w:tcW w:type="dxa" w:w="3357"/>
            <w:vAlign w:val="center"/>
          </w:tcPr>
          <w:p w:rsidP="00B05049" w:rsidR="00C370E0" w:rsidRDefault="00C370E0" w:rsidRPr="00232B03">
            <w:pPr>
              <w:spacing w:before="29" w:line="360" w:lineRule="auto"/>
              <w:ind w:left="17"/>
              <w:jc w:val="left"/>
              <w:rPr>
                <w:kern w:val="0"/>
                <w:sz w:val="24"/>
                <w:szCs w:val="24"/>
              </w:rPr>
            </w:pPr>
            <w:r w:rsidRPr="00232B03">
              <w:rPr>
                <w:color w:val="000000"/>
                <w:kern w:val="0"/>
                <w:sz w:val="24"/>
                <w:szCs w:val="24"/>
              </w:rPr>
              <w:t>其中：买断式回购的买入返售金融资产</w:t>
            </w:r>
          </w:p>
        </w:tc>
        <w:tc>
          <w:tcPr>
            <w:tcW w:type="dxa" w:w="2977"/>
            <w:vAlign w:val="center"/>
          </w:tcPr>
          <w:p w:rsidP="00B05049" w:rsidR="00C370E0" w:rsidRDefault="00C370E0" w:rsidRPr="00232B03">
            <w:pPr>
              <w:spacing w:before="29" w:line="360" w:lineRule="auto"/>
              <w:ind w:left="17"/>
              <w:jc w:val="right"/>
              <w:rPr>
                <w:color w:val="000000"/>
                <w:kern w:val="0"/>
                <w:sz w:val="24"/>
                <w:szCs w:val="24"/>
              </w:rPr>
            </w:pPr>
            <w:r w:rsidRPr="00232B03">
              <w:rPr>
                <w:color w:val="000000"/>
                <w:kern w:val="0"/>
                <w:sz w:val="24"/>
                <w:szCs w:val="24"/>
              </w:rPr>
              <w:t>-</w:t>
            </w:r>
          </w:p>
        </w:tc>
        <w:tc>
          <w:tcPr>
            <w:tcW w:type="dxa" w:w="1843"/>
            <w:vAlign w:val="center"/>
          </w:tcPr>
          <w:p w:rsidP="00B05049" w:rsidR="00C370E0" w:rsidRDefault="00C370E0" w:rsidRPr="00232B03">
            <w:pPr>
              <w:spacing w:before="29" w:line="360" w:lineRule="auto"/>
              <w:ind w:left="17"/>
              <w:jc w:val="right"/>
              <w:rPr>
                <w:color w:val="000000"/>
                <w:kern w:val="0"/>
                <w:sz w:val="24"/>
                <w:szCs w:val="24"/>
              </w:rPr>
            </w:pPr>
            <w:r w:rsidRPr="00232B03">
              <w:rPr>
                <w:color w:val="000000"/>
                <w:kern w:val="0"/>
                <w:sz w:val="24"/>
                <w:szCs w:val="24"/>
              </w:rPr>
              <w:t>-</w:t>
            </w:r>
          </w:p>
        </w:tc>
      </w:tr>
      <w:tr w:rsidR="00C370E0" w:rsidRPr="00264E55" w:rsidTr="00B05049">
        <w:trPr>
          <w:jc w:val="center"/>
        </w:trPr>
        <w:tc>
          <w:tcPr>
            <w:tcW w:type="dxa" w:w="720"/>
            <w:vAlign w:val="center"/>
          </w:tcPr>
          <w:p w:rsidP="00B05049" w:rsidR="00C370E0" w:rsidRDefault="00C370E0" w:rsidRPr="00232B03">
            <w:pPr>
              <w:spacing w:before="29" w:line="360" w:lineRule="auto"/>
              <w:ind w:left="17"/>
              <w:jc w:val="center"/>
              <w:rPr>
                <w:color w:val="000000"/>
                <w:kern w:val="0"/>
                <w:sz w:val="24"/>
                <w:szCs w:val="24"/>
              </w:rPr>
            </w:pPr>
            <w:r>
              <w:rPr>
                <w:rFonts w:hint="eastAsia"/>
                <w:color w:val="000000"/>
                <w:kern w:val="0"/>
                <w:sz w:val="24"/>
                <w:szCs w:val="24"/>
              </w:rPr>
              <w:t>7</w:t>
            </w:r>
          </w:p>
        </w:tc>
        <w:tc>
          <w:tcPr>
            <w:tcW w:type="dxa" w:w="3357"/>
            <w:vAlign w:val="center"/>
          </w:tcPr>
          <w:p w:rsidP="00B05049" w:rsidR="00C370E0" w:rsidRDefault="00C370E0" w:rsidRPr="00232B03">
            <w:pPr>
              <w:spacing w:before="29" w:line="360" w:lineRule="auto"/>
              <w:ind w:left="17"/>
              <w:jc w:val="left"/>
              <w:rPr>
                <w:kern w:val="0"/>
                <w:sz w:val="24"/>
                <w:szCs w:val="24"/>
              </w:rPr>
            </w:pPr>
            <w:r w:rsidRPr="00232B03">
              <w:rPr>
                <w:color w:val="000000"/>
                <w:kern w:val="0"/>
                <w:sz w:val="24"/>
                <w:szCs w:val="24"/>
              </w:rPr>
              <w:t>银行存款和结算备付金合计</w:t>
            </w:r>
          </w:p>
        </w:tc>
        <w:tc>
          <w:tcPr>
            <w:tcW w:type="dxa" w:w="2977"/>
            <w:vAlign w:val="center"/>
          </w:tcPr>
          <w:p w:rsidP="00B05049" w:rsidR="00C370E0" w:rsidRDefault="00C370E0"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260,505.97</w:t>
            </w:r>
          </w:p>
        </w:tc>
        <w:tc>
          <w:tcPr>
            <w:tcW w:type="dxa" w:w="1843"/>
            <w:vAlign w:val="center"/>
          </w:tcPr>
          <w:p w:rsidP="00B05049" w:rsidR="00C370E0" w:rsidRDefault="00C370E0" w:rsidRPr="00232B03">
            <w:pPr>
              <w:spacing w:before="29" w:line="360" w:lineRule="auto"/>
              <w:ind w:left="17"/>
              <w:jc w:val="right"/>
              <w:rPr>
                <w:color w:val="000000"/>
                <w:kern w:val="0"/>
                <w:sz w:val="24"/>
                <w:szCs w:val="24"/>
              </w:rPr>
            </w:pPr>
            <w:r w:rsidRPr="00232B03">
              <w:rPr>
                <w:color w:val="000000"/>
                <w:kern w:val="0"/>
                <w:sz w:val="24"/>
                <w:szCs w:val="24"/>
              </w:rPr>
              <w:t>1.70</w:t>
            </w:r>
          </w:p>
        </w:tc>
      </w:tr>
      <w:tr w:rsidR="00C370E0" w:rsidRPr="00264E55" w:rsidTr="00B05049">
        <w:trPr>
          <w:jc w:val="center"/>
        </w:trPr>
        <w:tc>
          <w:tcPr>
            <w:tcW w:type="dxa" w:w="720"/>
            <w:vAlign w:val="center"/>
          </w:tcPr>
          <w:p w:rsidP="00C370E0" w:rsidR="00C370E0" w:rsidRDefault="00C370E0" w:rsidRPr="00232B03">
            <w:pPr>
              <w:spacing w:before="29" w:line="360" w:lineRule="auto"/>
              <w:ind w:left="17"/>
              <w:jc w:val="center"/>
              <w:rPr>
                <w:color w:val="000000"/>
                <w:kern w:val="0"/>
                <w:sz w:val="24"/>
                <w:szCs w:val="24"/>
              </w:rPr>
            </w:pPr>
            <w:r w:rsidRPr="00232B03">
              <w:rPr>
                <w:color w:val="000000"/>
                <w:kern w:val="0"/>
                <w:sz w:val="24"/>
                <w:szCs w:val="24"/>
              </w:rPr>
              <w:t/>
            </w:r>
            <w:r>
              <w:rPr>
                <w:rFonts w:hint="eastAsia"/>
                <w:color w:val="000000"/>
                <w:kern w:val="0"/>
                <w:sz w:val="24"/>
                <w:szCs w:val="24"/>
              </w:rPr>
              <w:t/>
            </w:r>
            <w:r w:rsidRPr="00232B03">
              <w:rPr>
                <w:color w:val="000000"/>
                <w:kern w:val="0"/>
                <w:sz w:val="24"/>
                <w:szCs w:val="24"/>
              </w:rPr>
              <w:t>8</w:t>
            </w:r>
          </w:p>
        </w:tc>
        <w:tc>
          <w:tcPr>
            <w:tcW w:type="dxa" w:w="3357"/>
            <w:vAlign w:val="center"/>
          </w:tcPr>
          <w:p w:rsidP="00B05049" w:rsidR="00C370E0" w:rsidRDefault="00C370E0" w:rsidRPr="00232B03">
            <w:pPr>
              <w:jc w:val="left"/>
              <w:rPr>
                <w:kern w:val="0"/>
                <w:sz w:val="24"/>
                <w:szCs w:val="24"/>
              </w:rPr>
            </w:pPr>
            <w:r w:rsidRPr="00232B03">
              <w:rPr>
                <w:color w:val="000000"/>
                <w:kern w:val="0"/>
                <w:sz w:val="24"/>
                <w:szCs w:val="24"/>
              </w:rPr>
              <w:t>其他资产</w:t>
            </w:r>
          </w:p>
        </w:tc>
        <w:tc>
          <w:tcPr>
            <w:tcW w:type="dxa" w:w="2977"/>
            <w:vAlign w:val="center"/>
          </w:tcPr>
          <w:p w:rsidP="00B05049" w:rsidR="00C370E0" w:rsidRDefault="00C370E0" w:rsidRPr="00232B03">
            <w:pPr>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536,846.52</w:t>
            </w:r>
          </w:p>
        </w:tc>
        <w:tc>
          <w:tcPr>
            <w:tcW w:type="dxa" w:w="1843"/>
            <w:vAlign w:val="center"/>
          </w:tcPr>
          <w:p w:rsidP="00B05049" w:rsidR="00C370E0" w:rsidRDefault="00C370E0" w:rsidRPr="00232B03">
            <w:pPr>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3.50</w:t>
            </w:r>
          </w:p>
        </w:tc>
      </w:tr>
      <w:tr w:rsidR="00C370E0" w:rsidRPr="00264E55" w:rsidTr="00B05049">
        <w:trPr>
          <w:jc w:val="center"/>
        </w:trPr>
        <w:tc>
          <w:tcPr>
            <w:tcW w:type="dxa" w:w="720"/>
            <w:vAlign w:val="center"/>
          </w:tcPr>
          <w:p w:rsidP="00BF4727" w:rsidR="00C370E0" w:rsidRDefault="00C370E0" w:rsidRPr="00232B03">
            <w:pPr>
              <w:spacing w:before="29" w:line="360" w:lineRule="auto"/>
              <w:ind w:left="17"/>
              <w:jc w:val="center"/>
              <w:rPr>
                <w:color w:val="000000"/>
                <w:kern w:val="0"/>
                <w:sz w:val="24"/>
                <w:szCs w:val="24"/>
              </w:rPr>
            </w:pPr>
            <w:r w:rsidRPr="00232B03">
              <w:rPr>
                <w:color w:val="000000"/>
                <w:kern w:val="0"/>
                <w:sz w:val="24"/>
                <w:szCs w:val="24"/>
              </w:rPr>
              <w:lastRenderedPageBreak/>
              <w:t/>
            </w:r>
            <w:r w:rsidR="00BF4727">
              <w:rPr>
                <w:rFonts w:hint="eastAsia"/>
                <w:color w:val="000000"/>
                <w:kern w:val="0"/>
                <w:sz w:val="24"/>
                <w:szCs w:val="24"/>
              </w:rPr>
              <w:t/>
            </w:r>
            <w:r w:rsidRPr="00232B03">
              <w:rPr>
                <w:color w:val="000000"/>
                <w:kern w:val="0"/>
                <w:sz w:val="24"/>
                <w:szCs w:val="24"/>
              </w:rPr>
              <w:t>9</w:t>
            </w:r>
          </w:p>
        </w:tc>
        <w:tc>
          <w:tcPr>
            <w:tcW w:type="dxa" w:w="3357"/>
            <w:vAlign w:val="center"/>
          </w:tcPr>
          <w:p w:rsidP="00B05049" w:rsidR="00C370E0" w:rsidRDefault="00C370E0" w:rsidRPr="00232B03">
            <w:pPr>
              <w:jc w:val="left"/>
              <w:rPr>
                <w:kern w:val="0"/>
                <w:sz w:val="24"/>
                <w:szCs w:val="24"/>
              </w:rPr>
            </w:pPr>
            <w:r w:rsidRPr="00232B03">
              <w:rPr>
                <w:color w:val="000000"/>
                <w:kern w:val="0"/>
                <w:sz w:val="24"/>
                <w:szCs w:val="24"/>
              </w:rPr>
              <w:t>合计</w:t>
            </w:r>
          </w:p>
        </w:tc>
        <w:tc>
          <w:tcPr>
            <w:tcW w:type="dxa" w:w="2977"/>
            <w:vAlign w:val="center"/>
          </w:tcPr>
          <w:p w:rsidP="00B05049" w:rsidR="00C370E0" w:rsidRDefault="00C370E0" w:rsidRPr="00232B03">
            <w:pPr>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15,347,764.47</w:t>
            </w:r>
          </w:p>
        </w:tc>
        <w:tc>
          <w:tcPr>
            <w:tcW w:type="dxa" w:w="1843"/>
            <w:vAlign w:val="center"/>
          </w:tcPr>
          <w:p w:rsidP="00B05049" w:rsidR="00C370E0" w:rsidRDefault="00C370E0" w:rsidRPr="00232B03">
            <w:pPr>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100.00</w:t>
            </w:r>
          </w:p>
        </w:tc>
      </w:tr>
    </w:tbl>
    <w:p w:rsidP="008C2A4F" w:rsidR="008C2A4F" w:rsidRDefault="008C2A4F" w:rsidRPr="00220C32">
      <w:pPr>
        <w:autoSpaceDE w:val="0"/>
        <w:autoSpaceDN w:val="0"/>
        <w:adjustRightInd w:val="0"/>
        <w:spacing w:line="360" w:lineRule="auto"/>
        <w:jc w:val="left"/>
        <w:rPr>
          <w:rFonts w:asciiTheme="minorEastAsia" w:eastAsiaTheme="minorEastAsia" w:hAnsiTheme="minorEastAsia"/>
          <w:b/>
          <w:bCs/>
          <w:color w:themeColor="text1" w:val="000000"/>
          <w:kern w:val="0"/>
          <w:sz w:val="24"/>
          <w:szCs w:val="24"/>
        </w:rPr>
      </w:pPr>
      <w:r w:rsidRPr="00220C32">
        <w:rPr>
          <w:rFonts w:asciiTheme="minorEastAsia" w:eastAsiaTheme="minorEastAsia" w:hAnsiTheme="minorEastAsia"/>
          <w:b/>
          <w:bCs/>
          <w:color w:themeColor="text1" w:val="000000"/>
          <w:kern w:val="0"/>
          <w:sz w:val="24"/>
          <w:szCs w:val="24"/>
        </w:rPr>
        <w:t xml:space="preserve">5.2 </w:t>
      </w:r>
      <w:r w:rsidRPr="00220C32">
        <w:rPr>
          <w:rFonts w:asciiTheme="minorEastAsia" w:eastAsiaTheme="minorEastAsia" w:hAnsiTheme="minorEastAsia" w:hint="eastAsia"/>
          <w:b/>
          <w:bCs/>
          <w:color w:themeColor="text1" w:val="000000"/>
          <w:kern w:val="0"/>
          <w:sz w:val="24"/>
          <w:szCs w:val="24"/>
        </w:rPr>
        <w:t>报告期末按行业分类的股票投资组合</w:t>
      </w:r>
    </w:p>
    <w:p w:rsidP="008C2A4F" w:rsidR="008C2A4F" w:rsidRDefault="008C2A4F" w:rsidRPr="000D7474">
      <w:pPr>
        <w:rPr>
          <w:rFonts w:asciiTheme="minorEastAsia" w:eastAsiaTheme="minorEastAsia" w:hAnsiTheme="minorEastAsia"/>
          <w:b/>
          <w:bCs/>
          <w:color w:themeColor="text1" w:val="000000"/>
          <w:kern w:val="0"/>
          <w:sz w:val="24"/>
          <w:szCs w:val="24"/>
        </w:rPr>
      </w:pPr>
      <w:r w:rsidRPr="000D7474">
        <w:rPr>
          <w:rFonts w:asciiTheme="minorEastAsia" w:eastAsiaTheme="minorEastAsia" w:hAnsiTheme="minorEastAsia"/>
          <w:b/>
          <w:bCs/>
          <w:color w:themeColor="text1" w:val="000000"/>
          <w:kern w:val="0"/>
          <w:sz w:val="24"/>
          <w:szCs w:val="24"/>
        </w:rPr>
        <w:t/>
      </w:r>
      <w:proofErr w:type="spellStart"/>
      <w:r w:rsidRPr="000D7474">
        <w:rPr>
          <w:rFonts w:asciiTheme="minorEastAsia" w:eastAsiaTheme="minorEastAsia" w:hAnsiTheme="minorEastAsia"/>
          <w:b/>
          <w:bCs/>
          <w:color w:themeColor="text1" w:val="000000"/>
          <w:kern w:val="0"/>
          <w:sz w:val="24"/>
          <w:szCs w:val="24"/>
        </w:rPr>
        <w:t/>
      </w:r>
      <w:proofErr w:type="spellEnd"/>
      <w:r w:rsidRPr="000D7474">
        <w:rPr>
          <w:rFonts w:asciiTheme="minorEastAsia" w:eastAsiaTheme="minorEastAsia" w:hAnsiTheme="minorEastAsia"/>
          <w:b/>
          <w:bCs/>
          <w:color w:themeColor="text1" w:val="000000"/>
          <w:kern w:val="0"/>
          <w:sz w:val="24"/>
          <w:szCs w:val="24"/>
        </w:rPr>
        <w:t/>
      </w:r>
      <w:r w:rsidRPr="000D7474">
        <w:rPr>
          <w:rFonts w:asciiTheme="minorEastAsia" w:eastAsiaTheme="minorEastAsia" w:hAnsiTheme="minorEastAsia" w:hint="eastAsia"/>
          <w:b/>
          <w:bCs/>
          <w:color w:themeColor="text1" w:val="000000"/>
          <w:kern w:val="0"/>
          <w:sz w:val="24"/>
          <w:szCs w:val="24"/>
        </w:rPr>
        <w:t>5.2.1报告期末按行业分类的境内股票投资组合</w:t>
      </w:r>
    </w:p>
    <w:p w:rsidP="00403A06" w:rsidR="008C2A4F" w:rsidRDefault="008C2A4F" w:rsidRPr="00403A06">
      <w:pPr>
        <w:spacing w:line="360" w:lineRule="auto"/>
        <w:ind w:firstLine="480" w:firstLineChars="200"/>
        <w:rPr>
          <w:color w:val="000000"/>
          <w:sz w:val="24"/>
          <w:szCs w:val="24"/>
        </w:rPr>
      </w:pPr>
      <w:r w:rsidRPr="00403A06">
        <w:rPr>
          <w:color w:val="000000"/>
          <w:sz w:val="24"/>
          <w:szCs w:val="24"/>
        </w:rPr>
        <w:t/>
      </w:r>
      <w:proofErr w:type="spellStart"/>
      <w:r w:rsidRPr="00403A06">
        <w:rPr>
          <w:color w:val="000000"/>
          <w:sz w:val="24"/>
          <w:szCs w:val="24"/>
        </w:rPr>
        <w:t/>
      </w:r>
      <w:proofErr w:type="spellEnd"/>
      <w:r w:rsidRPr="00403A06">
        <w:rPr>
          <w:color w:val="000000"/>
          <w:sz w:val="24"/>
          <w:szCs w:val="24"/>
        </w:rPr>
        <w:t/>
      </w:r>
      <w:proofErr w:type="spellStart"/>
      <w:r w:rsidRPr="00403A06">
        <w:rPr>
          <w:color w:val="000000"/>
          <w:sz w:val="24"/>
          <w:szCs w:val="24"/>
        </w:rPr>
        <w:t/>
      </w:r>
      <w:proofErr w:type="spellEnd"/>
      <w:r w:rsidRPr="00403A06">
        <w:rPr>
          <w:color w:val="000000"/>
          <w:sz w:val="24"/>
          <w:szCs w:val="24"/>
        </w:rPr>
        <w:t>本基金本报告期末未持有境内股票。</w:t>
      </w:r>
    </w:p>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5.3 </w:t>
      </w:r>
      <w:r w:rsidRPr="00264E55">
        <w:rPr>
          <w:rFonts w:ascii="宋体" w:hAnsi="宋体" w:hint="eastAsia"/>
          <w:b/>
          <w:bCs/>
          <w:color w:val="000000"/>
          <w:kern w:val="0"/>
          <w:sz w:val="24"/>
          <w:szCs w:val="24"/>
        </w:rPr>
        <w:t>报告期末按公允价值占基金资产净值比例大小排序的前十名股票投资明细</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本基金本报告期末未持有股票。</w:t>
      </w:r>
    </w:p>
    <w:p w:rsidP="00CA4677" w:rsidR="00CA4677" w:rsidRDefault="00750D48" w:rsidRPr="00283CAD">
      <w:pPr>
        <w:autoSpaceDE w:val="0"/>
        <w:autoSpaceDN w:val="0"/>
        <w:adjustRightInd w:val="0"/>
        <w:spacing w:line="360" w:lineRule="auto"/>
        <w:jc w:val="left"/>
        <w:rPr>
          <w:rFonts w:eastAsiaTheme="minorEastAsia"/>
          <w:b/>
          <w:bCs/>
          <w:color w:themeColor="text1" w:val="000000"/>
          <w:kern w:val="0"/>
          <w:sz w:val="24"/>
          <w:szCs w:val="24"/>
        </w:rPr>
      </w:pPr>
      <w:r w:rsidRPr="00264E55">
        <w:rPr>
          <w:rFonts w:ascii="宋体" w:hAnsi="宋体"/>
          <w:b/>
          <w:bCs/>
          <w:color w:val="000000"/>
          <w:kern w:val="0"/>
          <w:sz w:val="24"/>
          <w:szCs w:val="24"/>
        </w:rPr>
        <w:t xml:space="preserve">5.4 </w:t>
      </w:r>
      <w:r w:rsidRPr="00264E55">
        <w:rPr>
          <w:rFonts w:ascii="宋体" w:hAnsi="宋体" w:hint="eastAsia"/>
          <w:b/>
          <w:bCs/>
          <w:color w:val="000000"/>
          <w:kern w:val="0"/>
          <w:sz w:val="24"/>
          <w:szCs w:val="24"/>
        </w:rPr>
        <w:t>报告期末按债券品种分类的债券投资组合</w:t>
      </w:r>
    </w:p>
    <w:tbl>
      <w:tblPr>
        <w:tblStyle w:val="af7"/>
        <w:tblW w:type="dxa" w:w="8755"/>
        <w:jc w:val="center"/>
        <w:tblLayout w:type="fixed"/>
        <w:tblLook w:firstColumn="1" w:firstRow="1" w:lastColumn="0" w:lastRow="0" w:noHBand="0" w:noVBand="1" w:val="04A0"/>
      </w:tblPr>
      <w:tblGrid>
        <w:gridCol w:w="817"/>
        <w:gridCol w:w="3260"/>
        <w:gridCol w:w="2949"/>
        <w:gridCol w:w="1729"/>
      </w:tblGrid>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序号</w:t>
            </w:r>
          </w:p>
        </w:tc>
        <w:tc>
          <w:tcPr>
            <w:tcW w:type="dxa" w:w="3260"/>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债券品种</w:t>
            </w: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
            </w:r>
          </w:p>
        </w:tc>
        <w:tc>
          <w:tcPr>
            <w:tcW w:type="dxa" w:w="2949"/>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公允价值</w:t>
            </w:r>
            <w:r w:rsidRPr="00283CAD">
              <w:rPr>
                <w:rFonts w:eastAsiaTheme="minorEastAsia"/>
                <w:color w:themeColor="text1" w:val="000000"/>
                <w:sz w:val="24"/>
                <w:szCs w:val="24"/>
              </w:rPr>
              <w:t>(</w:t>
            </w:r>
            <w:r w:rsidRPr="00283CAD">
              <w:rPr>
                <w:rFonts w:eastAsiaTheme="minorEastAsia"/>
                <w:color w:themeColor="text1" w:val="000000"/>
                <w:sz w:val="24"/>
                <w:szCs w:val="24"/>
              </w:rPr>
              <w:t>元</w:t>
            </w:r>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占基金资产净值比例</w:t>
            </w:r>
            <w:r w:rsidRPr="00283CAD">
              <w:rPr>
                <w:rFonts w:eastAsiaTheme="minorEastAsia"/>
                <w:color w:themeColor="text1" w:val="000000"/>
                <w:sz w:val="24"/>
                <w:szCs w:val="24"/>
              </w:rPr>
              <w:t>(</w:t>
            </w:r>
            <w:r w:rsidRPr="00283CAD">
              <w:rPr>
                <w:rFonts w:eastAsiaTheme="minorEastAsia"/>
                <w:color w:themeColor="text1" w:val="000000"/>
                <w:sz w:val="24"/>
                <w:szCs w:val="24"/>
              </w:rPr>
              <w:t>％</w:t>
            </w:r>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1</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国家债券</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2</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央行票据</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lastRenderedPageBreak/>
              <w:t>3</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金融债券</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679,203.70</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4.43</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其中：政策性金融债</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679,203.70</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4.43</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4</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企业债券</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5</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企业短期融资券</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6</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中期票据</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r w:rsidRPr="00283CAD">
              <w:rPr>
                <w:rFonts w:eastAsiaTheme="minorEastAsia"/>
                <w:color w:themeColor="text1" w:val="000000"/>
                <w:sz w:val="24"/>
                <w:szCs w:val="24"/>
              </w:rPr>
              <w:lastRenderedPageBreak/>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lastRenderedPageBreak/>
              <w:t>7</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可转债</w:t>
            </w:r>
            <w:r w:rsidR="004B5343" w:rsidRPr="004B5343">
              <w:rPr>
                <w:rFonts w:eastAsiaTheme="minorEastAsia" w:hint="eastAsia"/>
                <w:color w:themeColor="text1" w:val="000000"/>
                <w:sz w:val="24"/>
                <w:szCs w:val="24"/>
              </w:rPr>
              <w:t>（可交换债）</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8</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同业存单</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9</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其他</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10</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合计</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679,203.70</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4.43</w:t>
            </w:r>
          </w:p>
        </w:tc>
      </w:tr>
    </w:tbl>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5.5 </w:t>
      </w:r>
      <w:r w:rsidRPr="00264E55">
        <w:rPr>
          <w:rFonts w:ascii="宋体" w:hAnsi="宋体" w:hint="eastAsia"/>
          <w:b/>
          <w:bCs/>
          <w:color w:val="000000"/>
          <w:kern w:val="0"/>
          <w:sz w:val="24"/>
          <w:szCs w:val="24"/>
        </w:rPr>
        <w:t>报告期末按公允价值占基金资产净值比例大小排</w:t>
      </w:r>
      <w:r>
        <w:rPr>
          <w:rFonts w:ascii="宋体" w:hAnsi="宋体" w:hint="eastAsia"/>
          <w:b/>
          <w:bCs/>
          <w:color w:val="000000"/>
          <w:kern w:val="0"/>
          <w:sz w:val="24"/>
          <w:szCs w:val="24"/>
        </w:rPr>
        <w:t>序</w:t>
      </w:r>
      <w:r w:rsidRPr="00264E55">
        <w:rPr>
          <w:rFonts w:ascii="宋体" w:hAnsi="宋体" w:hint="eastAsia"/>
          <w:b/>
          <w:bCs/>
          <w:color w:val="000000"/>
          <w:kern w:val="0"/>
          <w:sz w:val="24"/>
          <w:szCs w:val="24"/>
        </w:rPr>
        <w:t>的前五名债券投资明细</w:t>
      </w:r>
    </w:p>
    <w:tbl>
      <w:tblPr>
        <w:tblW w:type="auto"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959"/>
        <w:gridCol w:w="1276"/>
        <w:gridCol w:w="1275"/>
        <w:gridCol w:w="1560"/>
        <w:gridCol w:w="1984"/>
        <w:gridCol w:w="1474"/>
      </w:tblGrid>
      <w:tr w:rsidR="00750D48" w:rsidRPr="00264E55" w:rsidTr="005602F3">
        <w:tc>
          <w:tcPr>
            <w:tcW w:type="dxa" w:w="959"/>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序号</w:t>
            </w:r>
          </w:p>
        </w:tc>
        <w:tc>
          <w:tcPr>
            <w:tcW w:type="dxa" w:w="1276"/>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债券代码</w:t>
            </w:r>
          </w:p>
        </w:tc>
        <w:tc>
          <w:tcPr>
            <w:tcW w:type="dxa" w:w="1275"/>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债券名称</w:t>
            </w:r>
          </w:p>
        </w:tc>
        <w:tc>
          <w:tcPr>
            <w:tcW w:type="dxa" w:w="1560"/>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数量</w:t>
            </w:r>
            <w:r w:rsidR="005F7917" w:rsidRPr="00232B03">
              <w:rPr>
                <w:color w:val="000000"/>
                <w:kern w:val="0"/>
                <w:sz w:val="24"/>
                <w:szCs w:val="24"/>
              </w:rPr>
              <w:t>（张）</w:t>
            </w:r>
          </w:p>
        </w:tc>
        <w:tc>
          <w:tcPr>
            <w:tcW w:type="dxa" w:w="1984"/>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公允价值</w:t>
            </w:r>
            <w:r w:rsidR="005F7917" w:rsidRPr="00232B03">
              <w:rPr>
                <w:color w:val="000000"/>
                <w:kern w:val="0"/>
                <w:sz w:val="24"/>
                <w:szCs w:val="24"/>
              </w:rPr>
              <w:t>（元）</w:t>
            </w:r>
          </w:p>
        </w:tc>
        <w:tc>
          <w:tcPr>
            <w:tcW w:type="dxa" w:w="1474"/>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占基金资产净值比例</w:t>
            </w:r>
            <w:r w:rsidR="005F7917" w:rsidRPr="00232B03">
              <w:rPr>
                <w:color w:val="000000"/>
                <w:kern w:val="0"/>
                <w:sz w:val="24"/>
                <w:szCs w:val="24"/>
              </w:rPr>
              <w:t>（％）</w:t>
            </w:r>
          </w:p>
        </w:tc>
      </w:tr>
      <w:tr>
        <w:tc>
          <w:tcPr>
            <w:vAlign w:val="center"/>
          </w:tcPr>
          <w:p>
            <w:pPr>
              <w:jc w:val="center"/>
            </w:pPr>
            <w:r>
              <w:rPr>
                <w:color w:val="000000"/>
                <w:kern w:val="0"/>
                <w:sz w:val="24"/>
                <w:szCs w:val="24"/>
              </w:rPr>
              <w:t>1</w:t>
            </w:r>
          </w:p>
        </w:tc>
        <w:tc>
          <w:tcPr>
            <w:vAlign w:val="center"/>
          </w:tcPr>
          <w:p>
            <w:pPr>
              <w:jc w:val="center"/>
            </w:pPr>
            <w:r>
              <w:rPr>
                <w:color w:val="000000"/>
                <w:kern w:val="0"/>
                <w:sz w:val="24"/>
                <w:szCs w:val="24"/>
              </w:rPr>
              <w:t>018013</w:t>
            </w:r>
          </w:p>
        </w:tc>
        <w:tc>
          <w:tcPr>
            <w:vAlign w:val="center"/>
          </w:tcPr>
          <w:p>
            <w:pPr>
              <w:jc w:val="center"/>
            </w:pPr>
            <w:r>
              <w:rPr>
                <w:color w:val="000000"/>
                <w:kern w:val="0"/>
                <w:sz w:val="24"/>
                <w:szCs w:val="24"/>
              </w:rPr>
              <w:t>国开2004</w:t>
            </w:r>
          </w:p>
        </w:tc>
        <w:tc>
          <w:tcPr>
            <w:vAlign w:val="center"/>
          </w:tcPr>
          <w:p>
            <w:pPr>
              <w:jc w:val="right"/>
            </w:pPr>
            <w:r>
              <w:rPr>
                <w:color w:val="000000"/>
                <w:kern w:val="0"/>
                <w:sz w:val="24"/>
                <w:szCs w:val="24"/>
              </w:rPr>
              <w:t>6,790</w:t>
            </w:r>
          </w:p>
        </w:tc>
        <w:tc>
          <w:tcPr>
            <w:vAlign w:val="center"/>
          </w:tcPr>
          <w:p>
            <w:pPr>
              <w:jc w:val="right"/>
            </w:pPr>
            <w:r>
              <w:rPr>
                <w:color w:val="000000"/>
                <w:kern w:val="0"/>
                <w:sz w:val="24"/>
                <w:szCs w:val="24"/>
              </w:rPr>
              <w:t>679,203.70</w:t>
            </w:r>
          </w:p>
        </w:tc>
        <w:tc>
          <w:tcPr>
            <w:vAlign w:val="center"/>
          </w:tcPr>
          <w:p>
            <w:pPr>
              <w:jc w:val="right"/>
            </w:pPr>
            <w:r>
              <w:rPr>
                <w:color w:val="000000"/>
                <w:kern w:val="0"/>
                <w:sz w:val="24"/>
                <w:szCs w:val="24"/>
              </w:rPr>
              <w:t>4.43</w:t>
            </w:r>
          </w:p>
        </w:tc>
      </w:tr>
    </w:tbl>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5.6 </w:t>
      </w:r>
      <w:r w:rsidRPr="00264E55">
        <w:rPr>
          <w:rFonts w:ascii="宋体" w:hAnsi="宋体" w:hint="eastAsia"/>
          <w:b/>
          <w:bCs/>
          <w:color w:val="000000"/>
          <w:kern w:val="0"/>
          <w:sz w:val="24"/>
          <w:szCs w:val="24"/>
        </w:rPr>
        <w:t>报告期末按公允价值占基金资产净值比例大小排</w:t>
      </w:r>
      <w:r>
        <w:rPr>
          <w:rFonts w:ascii="宋体" w:hAnsi="宋体" w:hint="eastAsia"/>
          <w:b/>
          <w:bCs/>
          <w:color w:val="000000"/>
          <w:kern w:val="0"/>
          <w:sz w:val="24"/>
          <w:szCs w:val="24"/>
        </w:rPr>
        <w:t>序</w:t>
      </w:r>
      <w:r w:rsidRPr="00264E55">
        <w:rPr>
          <w:rFonts w:ascii="宋体" w:hAnsi="宋体" w:hint="eastAsia"/>
          <w:b/>
          <w:bCs/>
          <w:color w:val="000000"/>
          <w:kern w:val="0"/>
          <w:sz w:val="24"/>
          <w:szCs w:val="24"/>
        </w:rPr>
        <w:t>的前十名资产支持证券投资明细</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lastRenderedPageBreak/>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本基金本报告期末未持有资产支持证券。</w:t>
      </w:r>
    </w:p>
    <w:p w:rsidP="001D63BB" w:rsidR="00750D48" w:rsidRDefault="00750D48" w:rsidRPr="001D63BB">
      <w:pPr>
        <w:autoSpaceDE w:val="0"/>
        <w:autoSpaceDN w:val="0"/>
        <w:adjustRightInd w:val="0"/>
        <w:spacing w:line="360" w:lineRule="auto"/>
        <w:jc w:val="left"/>
        <w:rPr>
          <w:rFonts w:ascii="宋体"/>
          <w:b/>
          <w:bCs/>
          <w:color w:val="000000"/>
          <w:kern w:val="0"/>
          <w:sz w:val="24"/>
          <w:szCs w:val="24"/>
        </w:rPr>
      </w:pPr>
      <w:r w:rsidRPr="001B0A62">
        <w:rPr>
          <w:rFonts w:ascii="宋体"/>
          <w:b/>
          <w:bCs/>
          <w:color w:val="000000"/>
          <w:kern w:val="0"/>
          <w:sz w:val="24"/>
          <w:szCs w:val="24"/>
        </w:rPr>
        <w:t/>
      </w:r>
      <w:r w:rsidRPr="001B0A62">
        <w:rPr>
          <w:rFonts w:ascii="宋体" w:hAnsi="宋体"/>
          <w:b/>
          <w:bCs/>
          <w:color w:val="000000"/>
          <w:kern w:val="0"/>
          <w:sz w:val="24"/>
          <w:szCs w:val="24"/>
        </w:rPr>
        <w:t>5.</w:t>
      </w:r>
      <w:r>
        <w:rPr>
          <w:rFonts w:ascii="宋体" w:hAnsi="宋体"/>
          <w:b/>
          <w:bCs/>
          <w:color w:val="000000"/>
          <w:kern w:val="0"/>
          <w:sz w:val="24"/>
          <w:szCs w:val="24"/>
        </w:rPr>
        <w:t/>
      </w:r>
      <w:r w:rsidRPr="001B0A62">
        <w:rPr>
          <w:rFonts w:ascii="宋体"/>
          <w:b/>
          <w:bCs/>
          <w:color w:val="000000"/>
          <w:kern w:val="0"/>
          <w:sz w:val="24"/>
          <w:szCs w:val="24"/>
        </w:rPr>
        <w:t>7</w:t>
      </w:r>
      <w:r w:rsidRPr="001D63BB">
        <w:rPr>
          <w:rFonts w:ascii="宋体" w:hAnsi="宋体" w:hint="eastAsia"/>
          <w:b/>
          <w:bCs/>
          <w:color w:val="000000"/>
          <w:kern w:val="0"/>
          <w:sz w:val="24"/>
          <w:szCs w:val="24"/>
        </w:rPr>
        <w:t>报告期末按公允价值占基金资产净值比例大小排序的前五名贵金属投资明细</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本基金本报告期末未持有贵金属。</w:t>
      </w:r>
    </w:p>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Pr>
          <w:rFonts w:ascii="宋体"/>
          <w:b/>
          <w:bCs/>
          <w:color w:val="000000"/>
          <w:kern w:val="0"/>
          <w:sz w:val="24"/>
          <w:szCs w:val="24"/>
        </w:rPr>
        <w:t/>
      </w:r>
      <w:r>
        <w:rPr>
          <w:rFonts w:ascii="宋体" w:hAnsi="宋体"/>
          <w:b/>
          <w:bCs/>
          <w:color w:val="000000"/>
          <w:kern w:val="0"/>
          <w:sz w:val="24"/>
          <w:szCs w:val="24"/>
        </w:rPr>
        <w:t/>
      </w:r>
      <w:r w:rsidRPr="001B0A62">
        <w:rPr>
          <w:rFonts w:ascii="宋体"/>
          <w:b/>
          <w:bCs/>
          <w:color w:val="000000"/>
          <w:kern w:val="0"/>
          <w:sz w:val="24"/>
          <w:szCs w:val="24"/>
        </w:rPr>
        <w:t>5.</w:t>
      </w:r>
      <w:r w:rsidRPr="001B0A62">
        <w:rPr>
          <w:rFonts w:ascii="宋体" w:hAnsi="宋体"/>
          <w:b/>
          <w:bCs/>
          <w:color w:val="000000"/>
          <w:kern w:val="0"/>
          <w:sz w:val="24"/>
          <w:szCs w:val="24"/>
        </w:rPr>
        <w:t/>
      </w:r>
      <w:r>
        <w:rPr>
          <w:rFonts w:ascii="宋体" w:hAnsi="宋体"/>
          <w:b/>
          <w:bCs/>
          <w:color w:val="000000"/>
          <w:kern w:val="0"/>
          <w:sz w:val="24"/>
          <w:szCs w:val="24"/>
        </w:rPr>
        <w:t/>
      </w:r>
      <w:r w:rsidRPr="001B0A62">
        <w:rPr>
          <w:rFonts w:ascii="宋体"/>
          <w:b/>
          <w:bCs/>
          <w:color w:val="000000"/>
          <w:kern w:val="0"/>
          <w:sz w:val="24"/>
          <w:szCs w:val="24"/>
        </w:rPr>
        <w:t>8</w:t>
      </w:r>
      <w:r w:rsidRPr="00264E55">
        <w:rPr>
          <w:rFonts w:ascii="宋体" w:hAnsi="宋体" w:hint="eastAsia"/>
          <w:b/>
          <w:bCs/>
          <w:color w:val="000000"/>
          <w:kern w:val="0"/>
          <w:sz w:val="24"/>
          <w:szCs w:val="24"/>
        </w:rPr>
        <w:t>报告期末按公允价值占基金资产净值比例大小排</w:t>
      </w:r>
      <w:r>
        <w:rPr>
          <w:rFonts w:ascii="宋体" w:hAnsi="宋体" w:hint="eastAsia"/>
          <w:b/>
          <w:bCs/>
          <w:color w:val="000000"/>
          <w:kern w:val="0"/>
          <w:sz w:val="24"/>
          <w:szCs w:val="24"/>
        </w:rPr>
        <w:t>序</w:t>
      </w:r>
      <w:r w:rsidRPr="00264E55">
        <w:rPr>
          <w:rFonts w:ascii="宋体" w:hAnsi="宋体" w:hint="eastAsia"/>
          <w:b/>
          <w:bCs/>
          <w:color w:val="000000"/>
          <w:kern w:val="0"/>
          <w:sz w:val="24"/>
          <w:szCs w:val="24"/>
        </w:rPr>
        <w:t>的前五名权证投资明细</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lastRenderedPageBreak/>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本基金本报告期末未持有权证。</w:t>
      </w:r>
    </w:p>
    <w:p w:rsidP="001B0A62" w:rsidR="00750D48" w:rsidRDefault="00750D48" w:rsidRPr="001B0A62">
      <w:pPr>
        <w:autoSpaceDE w:val="0"/>
        <w:autoSpaceDN w:val="0"/>
        <w:adjustRightInd w:val="0"/>
        <w:spacing w:line="360" w:lineRule="auto"/>
        <w:jc w:val="left"/>
        <w:rPr>
          <w:rFonts w:ascii="宋体"/>
          <w:b/>
          <w:bCs/>
          <w:color w:val="000000"/>
          <w:kern w:val="0"/>
          <w:sz w:val="24"/>
          <w:szCs w:val="24"/>
        </w:rPr>
      </w:pPr>
      <w:r w:rsidRPr="001B0A62">
        <w:rPr>
          <w:rFonts w:ascii="宋体"/>
          <w:b/>
          <w:bCs/>
          <w:color w:val="000000"/>
          <w:kern w:val="0"/>
          <w:sz w:val="24"/>
          <w:szCs w:val="24"/>
        </w:rPr>
        <w:t/>
      </w:r>
      <w:proofErr w:type="spellStart"/>
      <w:r w:rsidRPr="001B0A62">
        <w:rPr>
          <w:rFonts w:ascii="宋体" w:hAnsi="宋体"/>
          <w:b/>
          <w:bCs/>
          <w:color w:val="000000"/>
          <w:kern w:val="0"/>
          <w:sz w:val="24"/>
          <w:szCs w:val="24"/>
        </w:rPr>
        <w:t/>
      </w:r>
      <w:proofErr w:type="spellEnd"/>
      <w:r w:rsidRPr="001B0A62">
        <w:rPr>
          <w:rFonts w:ascii="宋体" w:hAnsi="宋体"/>
          <w:b/>
          <w:bCs/>
          <w:color w:val="000000"/>
          <w:kern w:val="0"/>
          <w:sz w:val="24"/>
          <w:szCs w:val="24"/>
        </w:rPr>
        <w:t>5</w:t>
      </w:r>
      <w:r>
        <w:rPr>
          <w:rFonts w:ascii="宋体"/>
          <w:b/>
          <w:bCs/>
          <w:color w:val="000000"/>
          <w:kern w:val="0"/>
          <w:sz w:val="24"/>
          <w:szCs w:val="24"/>
        </w:rPr>
        <w:t>.</w:t>
      </w:r>
      <w:r>
        <w:rPr>
          <w:rFonts w:ascii="宋体" w:hAnsi="宋体"/>
          <w:b/>
          <w:bCs/>
          <w:color w:val="000000"/>
          <w:kern w:val="0"/>
          <w:sz w:val="24"/>
          <w:szCs w:val="24"/>
        </w:rPr>
        <w:t/>
      </w:r>
      <w:r w:rsidRPr="001B0A62">
        <w:rPr>
          <w:rFonts w:ascii="宋体"/>
          <w:b/>
          <w:bCs/>
          <w:color w:val="000000"/>
          <w:kern w:val="0"/>
          <w:sz w:val="24"/>
          <w:szCs w:val="24"/>
        </w:rPr>
        <w:t>9</w:t>
      </w:r>
      <w:r w:rsidRPr="001B0A62">
        <w:rPr>
          <w:rFonts w:ascii="宋体" w:hAnsi="宋体" w:hint="eastAsia"/>
          <w:b/>
          <w:bCs/>
          <w:color w:val="000000"/>
          <w:kern w:val="0"/>
          <w:sz w:val="24"/>
          <w:szCs w:val="24"/>
        </w:rPr>
        <w:t>报告期末本基金投资的股指期货交易情况说明</w:t>
      </w:r>
    </w:p>
    <w:p w:rsidP="00033E3E" w:rsidR="00033E3E" w:rsidRDefault="00033E3E">
      <w:pPr>
        <w:spacing w:line="360" w:lineRule="auto"/>
        <w:ind w:firstLine="480" w:firstLineChars="200"/>
        <w:rPr>
          <w:rFonts w:eastAsiaTheme="minorEastAsia"/>
          <w:color w:themeColor="text1" w:val="000000"/>
          <w:sz w:val="24"/>
        </w:rPr>
      </w:pPr>
      <w:r>
        <w:rPr>
          <w:color w:val="000000"/>
          <w:sz w:val="24"/>
        </w:rPr>
        <w:t/>
      </w:r>
      <w:proofErr w:type="spellStart"/>
      <w:r>
        <w:rPr>
          <w:color w:val="000000"/>
          <w:sz w:val="24"/>
        </w:rPr>
        <w:t/>
      </w:r>
      <w:proofErr w:type="spellEnd"/>
      <w:r>
        <w:rPr>
          <w:color w:val="000000"/>
          <w:sz w:val="24"/>
        </w:rPr>
        <w:t/>
      </w:r>
      <w:proofErr w:type="spellStart"/>
      <w:r>
        <w:rPr>
          <w:color w:val="000000"/>
          <w:sz w:val="24"/>
        </w:rPr>
        <w:t/>
      </w:r>
      <w:r>
        <w:rPr>
          <w:rFonts w:eastAsiaTheme="minorEastAsia"/>
          <w:color w:themeColor="text1" w:val="000000"/>
          <w:sz w:val="24"/>
        </w:rPr>
        <w:t/>
      </w:r>
      <w:proofErr w:type="spellEnd"/>
      <w:r>
        <w:rPr>
          <w:rFonts w:eastAsiaTheme="minorEastAsia"/>
          <w:color w:themeColor="text1" w:val="000000"/>
          <w:sz w:val="24"/>
        </w:rPr>
        <w:t>本基金本报告期末未投资股指期货。</w:t>
      </w:r>
    </w:p>
    <w:p w:rsidP="001B0A62" w:rsidR="00750D48" w:rsidRDefault="00750D48" w:rsidRPr="001B0A62">
      <w:pPr>
        <w:autoSpaceDE w:val="0"/>
        <w:autoSpaceDN w:val="0"/>
        <w:adjustRightInd w:val="0"/>
        <w:spacing w:line="360" w:lineRule="auto"/>
        <w:jc w:val="left"/>
        <w:rPr>
          <w:rFonts w:ascii="宋体"/>
          <w:b/>
          <w:bCs/>
          <w:color w:val="000000"/>
          <w:kern w:val="0"/>
          <w:sz w:val="24"/>
          <w:szCs w:val="24"/>
        </w:rPr>
      </w:pPr>
      <w:r w:rsidRPr="001B0A62">
        <w:rPr>
          <w:rFonts w:ascii="宋体"/>
          <w:b/>
          <w:bCs/>
          <w:color w:val="000000"/>
          <w:kern w:val="0"/>
          <w:sz w:val="24"/>
          <w:szCs w:val="24"/>
        </w:rPr>
        <w:t/>
      </w:r>
      <w:proofErr w:type="spellStart"/>
      <w:r w:rsidRPr="001B0A62">
        <w:rPr>
          <w:rFonts w:ascii="宋体" w:hAnsi="宋体"/>
          <w:b/>
          <w:bCs/>
          <w:color w:val="000000"/>
          <w:kern w:val="0"/>
          <w:sz w:val="24"/>
          <w:szCs w:val="24"/>
        </w:rPr>
        <w:t/>
      </w:r>
      <w:proofErr w:type="spellEnd"/>
      <w:r w:rsidRPr="001B0A62">
        <w:rPr>
          <w:rFonts w:ascii="宋体" w:hAnsi="宋体"/>
          <w:b/>
          <w:bCs/>
          <w:color w:val="000000"/>
          <w:kern w:val="0"/>
          <w:sz w:val="24"/>
          <w:szCs w:val="24"/>
        </w:rPr>
        <w:t>5.10</w:t>
      </w:r>
      <w:r w:rsidRPr="001B0A62">
        <w:rPr>
          <w:rFonts w:ascii="宋体" w:hAnsi="宋体" w:hint="eastAsia"/>
          <w:b/>
          <w:bCs/>
          <w:color w:val="000000"/>
          <w:kern w:val="0"/>
          <w:sz w:val="24"/>
          <w:szCs w:val="24"/>
        </w:rPr>
        <w:t>报告期末本基金投资的国债期货交易情况说明</w:t>
      </w:r>
    </w:p>
    <w:p w:rsidP="00C26ADA" w:rsidR="00C26ADA" w:rsidRDefault="00C26ADA">
      <w:pPr>
        <w:spacing w:line="360" w:lineRule="auto"/>
        <w:ind w:firstLine="480" w:firstLineChars="200"/>
      </w:pPr>
      <w:r>
        <w:rPr>
          <w:color w:val="000000"/>
          <w:sz w:val="24"/>
        </w:rPr>
        <w:t/>
      </w:r>
      <w:proofErr w:type="spellStart"/>
      <w:r>
        <w:rPr>
          <w:color w:val="000000"/>
          <w:sz w:val="24"/>
        </w:rPr>
        <w:t/>
      </w:r>
      <w:proofErr w:type="spellEnd"/>
      <w:r>
        <w:rPr>
          <w:color w:val="000000"/>
          <w:sz w:val="24"/>
        </w:rPr>
        <w:t/>
      </w:r>
      <w:proofErr w:type="spellStart"/>
      <w:r>
        <w:rPr>
          <w:color w:val="000000"/>
          <w:sz w:val="24"/>
        </w:rPr>
        <w:t/>
      </w:r>
      <w:proofErr w:type="spellEnd"/>
      <w:r>
        <w:rPr>
          <w:color w:val="000000"/>
          <w:sz w:val="24"/>
        </w:rPr>
        <w:t>本基金本报告期末未投资国债期货。</w:t>
      </w:r>
    </w:p>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b/>
          <w:bCs/>
          <w:color w:val="000000"/>
          <w:kern w:val="0"/>
          <w:sz w:val="24"/>
          <w:szCs w:val="24"/>
        </w:rPr>
        <w:t/>
      </w:r>
      <w:r w:rsidRPr="00264E55">
        <w:rPr>
          <w:rFonts w:ascii="宋体" w:hAnsi="宋体"/>
          <w:b/>
          <w:bCs/>
          <w:color w:val="000000"/>
          <w:kern w:val="0"/>
          <w:sz w:val="24"/>
          <w:szCs w:val="24"/>
        </w:rPr>
        <w:t xml:space="preserve">5.11 </w:t>
      </w:r>
      <w:r w:rsidRPr="00264E55">
        <w:rPr>
          <w:rFonts w:ascii="宋体" w:hAnsi="宋体" w:hint="eastAsia"/>
          <w:b/>
          <w:bCs/>
          <w:color w:val="000000"/>
          <w:kern w:val="0"/>
          <w:sz w:val="24"/>
          <w:szCs w:val="24"/>
        </w:rPr>
        <w:t>投资组合报告附注</w:t>
      </w:r>
    </w:p>
    <w:p w:rsidP="001B0A62" w:rsidR="00750D48" w:rsidRDefault="002C5960" w:rsidRPr="00264E55">
      <w:pPr>
        <w:spacing w:line="360" w:lineRule="auto"/>
        <w:rPr>
          <w:rFonts w:ascii="宋体" w:hAnsi="宋体"/>
          <w:color w:val="000000"/>
          <w:sz w:val="24"/>
          <w:szCs w:val="24"/>
        </w:rPr>
      </w:pPr>
      <w:r>
        <w:rPr>
          <w:rFonts w:hint="eastAsia"/>
          <w:color w:val="000000"/>
          <w:sz w:val="24"/>
        </w:rPr>
        <w:t/>
      </w:r>
      <w:proofErr w:type="spellStart"/>
      <w:r>
        <w:rPr>
          <w:rFonts w:hint="eastAsia"/>
          <w:color w:val="000000"/>
          <w:sz w:val="24"/>
        </w:rPr>
        <w:t/>
      </w:r>
      <w:proofErr w:type="spellEnd"/>
      <w:r>
        <w:rPr>
          <w:rFonts w:hint="eastAsia"/>
          <w:color w:val="000000"/>
          <w:sz w:val="24"/>
        </w:rPr>
        <w:t/>
      </w:r>
      <w:r w:rsidR="00750D48" w:rsidRPr="00264E55">
        <w:rPr>
          <w:rFonts w:ascii="宋体"/>
          <w:color w:val="000000"/>
          <w:sz w:val="24"/>
          <w:szCs w:val="24"/>
        </w:rPr>
        <w:t/>
      </w:r>
      <w:proofErr w:type="gramStart"/>
      <w:r w:rsidR="00750D48" w:rsidRPr="00264E55">
        <w:rPr>
          <w:rFonts w:ascii="宋体" w:hAnsi="宋体"/>
          <w:color w:val="000000"/>
          <w:sz w:val="24"/>
          <w:szCs w:val="24"/>
        </w:rPr>
        <w:t/>
      </w:r>
      <w:proofErr w:type="gramEnd"/>
      <w:r w:rsidR="00750D48" w:rsidRPr="00264E55">
        <w:rPr>
          <w:rFonts w:ascii="宋体" w:hAnsi="宋体"/>
          <w:color w:val="000000"/>
          <w:sz w:val="24"/>
          <w:szCs w:val="24"/>
        </w:rPr>
        <w:t>5.11.1</w:t>
      </w:r>
      <w:r w:rsidR="00AB0D05">
        <w:rPr>
          <w:rFonts w:ascii="宋体" w:hAnsi="宋体" w:hint="eastAsia"/>
          <w:color w:val="000000"/>
          <w:sz w:val="24"/>
          <w:szCs w:val="24"/>
        </w:rPr>
        <w:t xml:space="preserve"> </w:t>
      </w:r>
      <w:r w:rsidR="00750D48" w:rsidRPr="00264E55">
        <w:rPr>
          <w:rFonts w:ascii="宋体" w:hAnsi="宋体"/>
          <w:color w:val="000000"/>
          <w:sz w:val="24"/>
          <w:szCs w:val="24"/>
        </w:rPr>
        <w:t>本基金投资的前十名证券的发行主体本期没有出现被监管部门立案调查，或在报告编制日前一年内受到公开谴责、处罚的情形。</w:t>
      </w:r>
    </w:p>
    <w:p w:rsidP="001B0A62" w:rsidR="00750D48" w:rsidRDefault="002C5960" w:rsidRPr="00264E55">
      <w:pPr>
        <w:spacing w:line="360" w:lineRule="auto"/>
        <w:rPr>
          <w:rFonts w:ascii="宋体" w:hAnsi="宋体"/>
          <w:color w:val="000000"/>
          <w:sz w:val="24"/>
          <w:szCs w:val="24"/>
        </w:rPr>
      </w:pPr>
      <w:r>
        <w:rPr>
          <w:rFonts w:hint="eastAsia"/>
          <w:color w:val="000000"/>
          <w:sz w:val="24"/>
        </w:rPr>
        <w:t/>
      </w:r>
      <w:r w:rsidR="00750D48" w:rsidRPr="00264E55">
        <w:rPr>
          <w:rFonts w:ascii="宋体" w:hAnsi="宋体"/>
          <w:color w:val="000000"/>
          <w:sz w:val="24"/>
          <w:szCs w:val="24"/>
        </w:rPr>
        <w:t>5.11.2</w:t>
      </w:r>
      <w:r w:rsidR="00AB0D05">
        <w:rPr>
          <w:rFonts w:ascii="宋体" w:hAnsi="宋体" w:hint="eastAsia"/>
          <w:color w:val="000000"/>
          <w:sz w:val="24"/>
          <w:szCs w:val="24"/>
        </w:rPr>
        <w:t xml:space="preserve"> </w:t>
      </w:r>
      <w:r w:rsidR="00750D48" w:rsidRPr="00264E55">
        <w:rPr>
          <w:rFonts w:ascii="宋体" w:hAnsi="宋体"/>
          <w:color w:val="000000"/>
          <w:sz w:val="24"/>
          <w:szCs w:val="24"/>
        </w:rPr>
        <w:lastRenderedPageBreak/>
        <w:t>本基金本报告期没有投资股票，因此不存在投资的前十名股票超出基金合同规定的备选股票库情况。</w:t>
      </w:r>
    </w:p>
    <w:p w:rsidP="001B0A62" w:rsidR="00750D48" w:rsidRDefault="00750D48" w:rsidRPr="001C7E00">
      <w:pPr>
        <w:autoSpaceDE w:val="0"/>
        <w:autoSpaceDN w:val="0"/>
        <w:adjustRightInd w:val="0"/>
        <w:spacing w:line="360" w:lineRule="auto"/>
        <w:jc w:val="left"/>
        <w:rPr>
          <w:rFonts w:ascii="宋体"/>
          <w:bCs/>
          <w:color w:val="000000"/>
          <w:kern w:val="0"/>
          <w:sz w:val="24"/>
          <w:szCs w:val="24"/>
        </w:rPr>
      </w:pPr>
      <w:r w:rsidRPr="001C7E00">
        <w:rPr>
          <w:rFonts w:ascii="宋体"/>
          <w:bCs/>
          <w:color w:val="000000"/>
          <w:kern w:val="0"/>
          <w:sz w:val="24"/>
          <w:szCs w:val="24"/>
        </w:rPr>
        <w:t/>
      </w:r>
      <w:r w:rsidRPr="001C7E00">
        <w:rPr>
          <w:rFonts w:ascii="宋体" w:hAnsi="宋体"/>
          <w:bCs/>
          <w:color w:val="000000"/>
          <w:kern w:val="0"/>
          <w:sz w:val="24"/>
          <w:szCs w:val="24"/>
        </w:rPr>
        <w:t xml:space="preserve">5.11.3 </w:t>
      </w:r>
      <w:r w:rsidR="00D7102E">
        <w:rPr>
          <w:rFonts w:ascii="宋体" w:hAnsi="宋体" w:hint="eastAsia"/>
          <w:bCs/>
          <w:color w:val="000000"/>
          <w:kern w:val="0"/>
          <w:sz w:val="24"/>
          <w:szCs w:val="24"/>
        </w:rPr>
        <w:t>其他</w:t>
      </w:r>
      <w:bookmarkStart w:id="2" w:name="_GoBack"/>
      <w:bookmarkEnd w:id="2"/>
      <w:r w:rsidRPr="001C7E00">
        <w:rPr>
          <w:rFonts w:ascii="宋体" w:hAnsi="宋体" w:hint="eastAsia"/>
          <w:bCs/>
          <w:color w:val="000000"/>
          <w:kern w:val="0"/>
          <w:sz w:val="24"/>
          <w:szCs w:val="24"/>
        </w:rPr>
        <w:t>资产构成</w:t>
      </w:r>
    </w:p>
    <w:tbl>
      <w:tblPr>
        <w:tblW w:type="auto" w:w="0"/>
        <w:tblInd w:type="dxa" w:w="15"/>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ook w:firstColumn="1" w:firstRow="1" w:lastColumn="0" w:lastRow="0" w:noHBand="0" w:noVBand="0" w:val="00A0"/>
      </w:tblPr>
      <w:tblGrid>
        <w:gridCol w:w="1235"/>
        <w:gridCol w:w="2470"/>
        <w:gridCol w:w="4808"/>
      </w:tblGrid>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7"/>
              <w:jc w:val="center"/>
              <w:rPr>
                <w:color w:val="000000"/>
                <w:kern w:val="0"/>
                <w:sz w:val="24"/>
                <w:szCs w:val="24"/>
              </w:rPr>
            </w:pPr>
            <w:r w:rsidRPr="00B227EA">
              <w:rPr>
                <w:color w:val="000000"/>
                <w:kern w:val="0"/>
                <w:sz w:val="24"/>
                <w:szCs w:val="24"/>
              </w:rPr>
              <w:t>序号</w:t>
            </w:r>
          </w:p>
        </w:tc>
        <w:tc>
          <w:tcPr>
            <w:tcW w:type="dxa" w:w="2470"/>
            <w:vAlign w:val="center"/>
          </w:tcPr>
          <w:p w:rsidP="00B05049" w:rsidR="00750D48" w:rsidRDefault="00750D48" w:rsidRPr="00B227EA">
            <w:pPr>
              <w:autoSpaceDE w:val="0"/>
              <w:autoSpaceDN w:val="0"/>
              <w:adjustRightInd w:val="0"/>
              <w:spacing w:before="29" w:line="360" w:lineRule="auto"/>
              <w:ind w:left="17"/>
              <w:jc w:val="center"/>
              <w:rPr>
                <w:color w:val="000000"/>
                <w:kern w:val="0"/>
                <w:sz w:val="24"/>
                <w:szCs w:val="24"/>
              </w:rPr>
            </w:pPr>
            <w:r w:rsidRPr="00B227EA">
              <w:rPr>
                <w:color w:val="000000"/>
                <w:kern w:val="0"/>
                <w:sz w:val="24"/>
                <w:szCs w:val="24"/>
              </w:rPr>
              <w:t>名称</w:t>
            </w:r>
          </w:p>
        </w:tc>
        <w:tc>
          <w:tcPr>
            <w:tcW w:type="dxa" w:w="4808"/>
            <w:vAlign w:val="center"/>
          </w:tcPr>
          <w:p w:rsidP="005F7917" w:rsidR="00750D48" w:rsidRDefault="00750D48" w:rsidRPr="00B227EA">
            <w:pPr>
              <w:autoSpaceDE w:val="0"/>
              <w:autoSpaceDN w:val="0"/>
              <w:adjustRightInd w:val="0"/>
              <w:spacing w:before="29" w:line="360" w:lineRule="auto"/>
              <w:ind w:left="17"/>
              <w:jc w:val="center"/>
              <w:rPr>
                <w:color w:val="000000"/>
                <w:kern w:val="0"/>
                <w:sz w:val="24"/>
                <w:szCs w:val="24"/>
              </w:rPr>
            </w:pPr>
            <w:r w:rsidRPr="00B227EA">
              <w:rPr>
                <w:color w:val="000000"/>
                <w:kern w:val="0"/>
                <w:sz w:val="24"/>
                <w:szCs w:val="24"/>
              </w:rPr>
              <w:t>金额</w:t>
            </w:r>
            <w:r w:rsidR="005F7917" w:rsidRPr="00B227EA">
              <w:rPr>
                <w:color w:val="000000"/>
                <w:kern w:val="0"/>
                <w:sz w:val="24"/>
                <w:szCs w:val="24"/>
              </w:rPr>
              <w:t>（元）</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1</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存出保证金</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5,857.88</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2</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应收证券清算款</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483,932.78</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3</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应收股利</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4</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应收利息</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4,489.79</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5</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应收申购款</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42,566.07</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6</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其他应收款</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7</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待摊费用</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8</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其他</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9</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合计</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536,846.52</w:t>
            </w:r>
          </w:p>
        </w:tc>
      </w:tr>
    </w:tbl>
    <w:p w:rsidP="001B0A62" w:rsidR="00750D48" w:rsidRDefault="00750D48" w:rsidRPr="001C7E00">
      <w:pPr>
        <w:autoSpaceDE w:val="0"/>
        <w:autoSpaceDN w:val="0"/>
        <w:adjustRightInd w:val="0"/>
        <w:spacing w:line="360" w:lineRule="auto"/>
        <w:jc w:val="left"/>
        <w:rPr>
          <w:rFonts w:ascii="宋体"/>
          <w:bCs/>
          <w:color w:val="000000"/>
          <w:kern w:val="0"/>
          <w:sz w:val="24"/>
          <w:szCs w:val="24"/>
        </w:rPr>
      </w:pPr>
      <w:r w:rsidRPr="001C7E00">
        <w:rPr>
          <w:rFonts w:ascii="宋体"/>
          <w:bCs/>
          <w:color w:val="000000"/>
          <w:kern w:val="0"/>
          <w:sz w:val="24"/>
          <w:szCs w:val="24"/>
        </w:rPr>
        <w:t/>
      </w:r>
      <w:r w:rsidRPr="001C7E00">
        <w:rPr>
          <w:rFonts w:ascii="宋体" w:hAnsi="宋体"/>
          <w:bCs/>
          <w:color w:val="000000"/>
          <w:kern w:val="0"/>
          <w:sz w:val="24"/>
          <w:szCs w:val="24"/>
        </w:rPr>
        <w:t>5.11.4</w:t>
      </w:r>
      <w:r w:rsidRPr="001C7E00">
        <w:rPr>
          <w:rFonts w:ascii="宋体" w:hAnsi="宋体" w:hint="eastAsia"/>
          <w:bCs/>
          <w:color w:val="000000"/>
          <w:kern w:val="0"/>
          <w:sz w:val="24"/>
          <w:szCs w:val="24"/>
        </w:rPr>
        <w:t>报告期末持有的处于转股期的可转换债券明细</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本基金本报告期末未持有处于转股期的可转换债券。</w:t>
      </w:r>
    </w:p>
    <w:p w:rsidP="001B0A62" w:rsidR="00750D48" w:rsidRDefault="00750D48" w:rsidRPr="001C7E00">
      <w:pPr>
        <w:autoSpaceDE w:val="0"/>
        <w:autoSpaceDN w:val="0"/>
        <w:adjustRightInd w:val="0"/>
        <w:spacing w:line="360" w:lineRule="auto"/>
        <w:jc w:val="left"/>
        <w:rPr>
          <w:rFonts w:ascii="宋体"/>
          <w:bCs/>
          <w:color w:val="000000"/>
          <w:kern w:val="0"/>
          <w:sz w:val="24"/>
          <w:szCs w:val="24"/>
        </w:rPr>
      </w:pPr>
      <w:r w:rsidRPr="001C7E00">
        <w:rPr>
          <w:rFonts w:ascii="宋体"/>
          <w:bCs/>
          <w:color w:val="000000"/>
          <w:kern w:val="0"/>
          <w:sz w:val="24"/>
          <w:szCs w:val="24"/>
        </w:rPr>
        <w:t/>
      </w:r>
      <w:r w:rsidRPr="001C7E00">
        <w:rPr>
          <w:rFonts w:ascii="宋体" w:hAnsi="宋体"/>
          <w:bCs/>
          <w:color w:val="000000"/>
          <w:kern w:val="0"/>
          <w:sz w:val="24"/>
          <w:szCs w:val="24"/>
        </w:rPr>
        <w:t>5.11.5</w:t>
      </w:r>
      <w:r w:rsidRPr="001C7E00">
        <w:rPr>
          <w:rFonts w:ascii="宋体" w:hAnsi="宋体" w:hint="eastAsia"/>
          <w:bCs/>
          <w:color w:val="000000"/>
          <w:kern w:val="0"/>
          <w:sz w:val="24"/>
          <w:szCs w:val="24"/>
        </w:rPr>
        <w:t>报告期末前十名股票中存在流通受限情况的说明</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本基金本报告期末未持有股票。</w:t>
      </w:r>
    </w:p>
    <w:p w:rsidP="006A5FB3" w:rsidR="006A5FB3" w:rsidRDefault="006A5FB3" w:rsidRPr="006A5FB3">
      <w:pPr>
        <w:pStyle w:val="1"/>
        <w:spacing w:after="312" w:afterLines="100" w:before="312" w:beforeLines="100" w:line="360" w:lineRule="auto"/>
        <w:jc w:val="center"/>
        <w:rPr>
          <w:color w:val="000000"/>
          <w:kern w:val="0"/>
          <w:sz w:val="24"/>
          <w:szCs w:val="24"/>
        </w:rPr>
      </w:pPr>
      <w:bookmarkStart w:id="3" w:name="OLE_LINK6"/>
      <w:r w:rsidRPr="006A5FB3">
        <w:rPr>
          <w:color w:val="000000"/>
          <w:kern w:val="0"/>
          <w:sz w:val="24"/>
          <w:szCs w:val="24"/>
        </w:rPr>
        <w:t/>
      </w:r>
      <w:proofErr w:type="spellStart"/>
      <w:r w:rsidRPr="006A5FB3">
        <w:rPr>
          <w:color w:val="000000"/>
          <w:kern w:val="0"/>
          <w:sz w:val="24"/>
          <w:szCs w:val="24"/>
        </w:rPr>
        <w:t/>
      </w:r>
      <w:proofErr w:type="spellEnd"/>
      <w:r w:rsidRPr="006A5FB3">
        <w:rPr>
          <w:color w:val="000000"/>
          <w:kern w:val="0"/>
          <w:sz w:val="24"/>
          <w:szCs w:val="24"/>
        </w:rPr>
        <w:t>§6</w:t>
      </w:r>
      <w:r w:rsidR="006D75A5" w:rsidRPr="00264E55">
        <w:rPr>
          <w:rFonts w:ascii="宋体" w:hAnsi="宋体"/>
          <w:color w:val="000000"/>
          <w:kern w:val="0"/>
          <w:sz w:val="24"/>
          <w:szCs w:val="24"/>
        </w:rPr>
        <w:t xml:space="preserve">  </w:t>
      </w:r>
      <w:r w:rsidRPr="006A5FB3">
        <w:rPr>
          <w:color w:val="000000"/>
          <w:kern w:val="0"/>
          <w:sz w:val="24"/>
          <w:szCs w:val="24"/>
        </w:rPr>
        <w:t>基金中基金</w:t>
      </w:r>
    </w:p>
    <w:p w:rsidP="006A5FB3" w:rsidR="006A5FB3" w:rsidRDefault="006A5FB3" w:rsidRPr="006A5FB3">
      <w:pPr>
        <w:autoSpaceDE w:val="0"/>
        <w:autoSpaceDN w:val="0"/>
        <w:adjustRightInd w:val="0"/>
        <w:spacing w:line="360" w:lineRule="auto"/>
        <w:jc w:val="left"/>
        <w:rPr>
          <w:color w:val="000000"/>
          <w:sz w:val="24"/>
          <w:szCs w:val="24"/>
        </w:rPr>
      </w:pPr>
      <w:r w:rsidRPr="006A5FB3">
        <w:rPr>
          <w:color w:val="000000"/>
          <w:sz w:val="24"/>
          <w:szCs w:val="24"/>
        </w:rPr>
        <w:t/>
      </w:r>
      <w:proofErr w:type="spellStart"/>
      <w:r w:rsidRPr="006A5FB3">
        <w:rPr>
          <w:color w:val="000000"/>
          <w:sz w:val="24"/>
          <w:szCs w:val="24"/>
        </w:rPr>
        <w:t/>
      </w:r>
      <w:proofErr w:type="spellEnd"/>
      <w:r w:rsidRPr="006A5FB3">
        <w:rPr>
          <w:color w:val="000000"/>
          <w:sz w:val="24"/>
          <w:szCs w:val="24"/>
        </w:rPr>
        <w:t xml:space="preserve">6.1 </w:t>
      </w:r>
      <w:r w:rsidRPr="006A5FB3">
        <w:rPr>
          <w:color w:val="000000"/>
          <w:sz w:val="24"/>
          <w:szCs w:val="24"/>
        </w:rPr>
        <w:t>报告期末按公允价值占基金资产净值比例大小排序的前十名基金投资明细</w:t>
      </w:r>
    </w:p>
    <w:tbl>
      <w:tblPr>
        <w:tblStyle w:val="af7"/>
        <w:tblW w:type="pct" w:w="4863"/>
        <w:tblInd w:type="dxa" w:w="108"/>
        <w:tblLayout w:type="fixed"/>
        <w:tblLook w:firstColumn="1" w:firstRow="1" w:lastColumn="0" w:lastRow="0" w:noHBand="0" w:noVBand="1" w:val="04A0"/>
      </w:tblPr>
      <w:tblGrid>
        <w:gridCol w:w="668"/>
        <w:gridCol w:w="1068"/>
        <w:gridCol w:w="1072"/>
        <w:gridCol w:w="1072"/>
        <w:gridCol w:w="1070"/>
        <w:gridCol w:w="1204"/>
        <w:gridCol w:w="1072"/>
        <w:gridCol w:w="1068"/>
      </w:tblGrid>
      <w:tr w:rsidR="006A5FB3" w:rsidRPr="006A5FB3" w:rsidTr="00F94C5F">
        <w:tc>
          <w:tcPr>
            <w:tcW w:type="pct" w:w="403"/>
            <w:vAlign w:val="center"/>
          </w:tcPr>
          <w:p w:rsidP="00F94C5F" w:rsidR="006A5FB3" w:rsidRDefault="006A5FB3" w:rsidRPr="006A5FB3">
            <w:pPr>
              <w:pStyle w:val="Default"/>
              <w:spacing w:line="276" w:lineRule="auto"/>
              <w:jc w:val="center"/>
              <w:rPr>
                <w:rFonts w:ascii="Times New Roman" w:cs="Times New Roman" w:hAnsi="Times New Roman"/>
              </w:rPr>
            </w:pPr>
            <w:r w:rsidRPr="006A5FB3">
              <w:rPr>
                <w:rFonts w:ascii="Times New Roman" w:cs="Times New Roman" w:hAnsi="Times New Roman"/>
              </w:rPr>
              <w:t>序号</w:t>
            </w:r>
            <w:r w:rsidRPr="006A5FB3">
              <w:rPr>
                <w:rFonts w:ascii="Times New Roman" w:cs="Times New Roman" w:hAnsi="Times New Roman"/>
                <w:color w:themeColor="text1" w:val="000000"/>
              </w:rPr>
              <w:t/>
            </w:r>
            <w:proofErr w:type="spellStart"/>
            <w:r w:rsidRPr="006A5FB3">
              <w:rPr>
                <w:rFonts w:ascii="Times New Roman" w:cs="Times New Roman" w:hAnsi="Times New Roman"/>
                <w:color w:themeColor="text1" w:val="000000"/>
              </w:rPr>
              <w:t/>
            </w:r>
            <w:proofErr w:type="spellEnd"/>
            <w:r w:rsidRPr="006A5FB3">
              <w:rPr>
                <w:rFonts w:ascii="Times New Roman" w:cs="Times New Roman" w:hAnsi="Times New Roman"/>
                <w:color w:themeColor="text1" w:val="000000"/>
              </w:rPr>
              <w:t/>
            </w:r>
            <w:proofErr w:type="spellStart"/>
            <w:r w:rsidRPr="006A5FB3">
              <w:rPr>
                <w:rFonts w:ascii="Times New Roman" w:cs="Times New Roman" w:hAnsi="Times New Roman"/>
                <w:color w:themeColor="text1" w:val="000000"/>
              </w:rPr>
              <w:t/>
            </w:r>
            <w:proofErr w:type="spellEnd"/>
            <w:r w:rsidRPr="006A5FB3">
              <w:rPr>
                <w:rFonts w:ascii="Times New Roman" w:cs="Times New Roman" w:hAnsi="Times New Roman"/>
                <w:color w:themeColor="text1" w:val="000000"/>
              </w:rPr>
              <w:t/>
            </w:r>
          </w:p>
        </w:tc>
        <w:tc>
          <w:tcPr>
            <w:tcW w:type="pct" w:w="644"/>
            <w:vAlign w:val="center"/>
          </w:tcPr>
          <w:p w:rsidP="00F94C5F" w:rsidR="006A5FB3" w:rsidRDefault="006A5FB3" w:rsidRPr="006A5FB3">
            <w:pPr>
              <w:pStyle w:val="Default"/>
              <w:spacing w:line="276" w:lineRule="auto"/>
              <w:jc w:val="center"/>
              <w:rPr>
                <w:rFonts w:ascii="Times New Roman" w:cs="Times New Roman" w:hAnsi="Times New Roman"/>
              </w:rPr>
            </w:pPr>
            <w:r w:rsidRPr="006A5FB3">
              <w:rPr>
                <w:rFonts w:ascii="Times New Roman" w:cs="Times New Roman" w:hAnsi="Times New Roman"/>
              </w:rPr>
              <w:t>基金代码</w:t>
            </w:r>
          </w:p>
        </w:tc>
        <w:tc>
          <w:tcPr>
            <w:tcW w:type="pct" w:w="646"/>
            <w:vAlign w:val="center"/>
          </w:tcPr>
          <w:p w:rsidP="00F94C5F" w:rsidR="006A5FB3" w:rsidRDefault="006A5FB3" w:rsidRPr="006A5FB3">
            <w:pPr>
              <w:pStyle w:val="Default"/>
              <w:spacing w:line="276" w:lineRule="auto"/>
              <w:jc w:val="center"/>
              <w:rPr>
                <w:rFonts w:ascii="Times New Roman" w:cs="Times New Roman" w:hAnsi="Times New Roman"/>
              </w:rPr>
            </w:pPr>
            <w:r w:rsidRPr="006A5FB3">
              <w:rPr>
                <w:rFonts w:ascii="Times New Roman" w:cs="Times New Roman" w:hAnsi="Times New Roman"/>
              </w:rPr>
              <w:t>基金名称</w:t>
            </w:r>
          </w:p>
        </w:tc>
        <w:tc>
          <w:tcPr>
            <w:tcW w:type="pct" w:w="646"/>
            <w:vAlign w:val="center"/>
          </w:tcPr>
          <w:p w:rsidP="00F94C5F" w:rsidR="006A5FB3" w:rsidRDefault="006A5FB3" w:rsidRPr="006A5FB3">
            <w:pPr>
              <w:pStyle w:val="Default"/>
              <w:spacing w:line="276" w:lineRule="auto"/>
              <w:jc w:val="center"/>
              <w:rPr>
                <w:rFonts w:ascii="Times New Roman" w:cs="Times New Roman" w:hAnsi="Times New Roman"/>
              </w:rPr>
            </w:pPr>
            <w:r w:rsidRPr="006A5FB3">
              <w:rPr>
                <w:rFonts w:ascii="Times New Roman" w:cs="Times New Roman" w:hAnsi="Times New Roman"/>
              </w:rPr>
              <w:t>运作方式</w:t>
            </w:r>
          </w:p>
        </w:tc>
        <w:tc>
          <w:tcPr>
            <w:tcW w:type="pct" w:w="645"/>
            <w:vAlign w:val="center"/>
          </w:tcPr>
          <w:p w:rsidP="00F94C5F" w:rsidR="006A5FB3" w:rsidRDefault="006A5FB3" w:rsidRPr="006A5FB3">
            <w:pPr>
              <w:pStyle w:val="Default"/>
              <w:spacing w:line="276" w:lineRule="auto"/>
              <w:jc w:val="center"/>
              <w:rPr>
                <w:rFonts w:ascii="Times New Roman" w:cs="Times New Roman" w:hAnsi="Times New Roman"/>
              </w:rPr>
            </w:pPr>
            <w:r w:rsidRPr="006A5FB3">
              <w:rPr>
                <w:rFonts w:ascii="Times New Roman" w:cs="Times New Roman" w:hAnsi="Times New Roman"/>
              </w:rPr>
              <w:t>持有份额（份）</w:t>
            </w:r>
          </w:p>
        </w:tc>
        <w:tc>
          <w:tcPr>
            <w:tcW w:type="pct" w:w="726"/>
            <w:vAlign w:val="center"/>
          </w:tcPr>
          <w:p w:rsidP="00F94C5F" w:rsidR="006A5FB3" w:rsidRDefault="006A5FB3" w:rsidRPr="006A5FB3">
            <w:pPr>
              <w:pStyle w:val="Default"/>
              <w:spacing w:line="276" w:lineRule="auto"/>
              <w:jc w:val="center"/>
              <w:rPr>
                <w:rFonts w:ascii="Times New Roman" w:cs="Times New Roman" w:hAnsi="Times New Roman"/>
              </w:rPr>
            </w:pPr>
            <w:r w:rsidRPr="006A5FB3">
              <w:rPr>
                <w:rFonts w:ascii="Times New Roman" w:cs="Times New Roman" w:hAnsi="Times New Roman"/>
              </w:rPr>
              <w:t>公允价值（元）</w:t>
            </w:r>
          </w:p>
        </w:tc>
        <w:tc>
          <w:tcPr>
            <w:tcW w:type="pct" w:w="646"/>
            <w:vAlign w:val="center"/>
          </w:tcPr>
          <w:p w:rsidP="00F94C5F" w:rsidR="006A5FB3" w:rsidRDefault="006A5FB3" w:rsidRPr="006A5FB3">
            <w:pPr>
              <w:pStyle w:val="Default"/>
              <w:spacing w:line="276" w:lineRule="auto"/>
              <w:jc w:val="center"/>
              <w:rPr>
                <w:rFonts w:ascii="Times New Roman" w:cs="Times New Roman" w:hAnsi="Times New Roman"/>
              </w:rPr>
            </w:pPr>
            <w:r w:rsidRPr="006A5FB3">
              <w:rPr>
                <w:rFonts w:ascii="Times New Roman" w:cs="Times New Roman" w:hAnsi="Times New Roman"/>
              </w:rPr>
              <w:t>占基金资产净值比例（</w:t>
            </w:r>
            <w:r w:rsidRPr="006A5FB3">
              <w:rPr>
                <w:rFonts w:ascii="Times New Roman" w:cs="Times New Roman" w:hAnsi="Times New Roman"/>
              </w:rPr>
              <w:t>%</w:t>
            </w:r>
            <w:r w:rsidRPr="006A5FB3">
              <w:rPr>
                <w:rFonts w:ascii="Times New Roman" w:cs="Times New Roman" w:hAnsi="Times New Roman"/>
              </w:rPr>
              <w:t>）</w:t>
            </w:r>
          </w:p>
        </w:tc>
        <w:tc>
          <w:tcPr>
            <w:tcW w:type="pct" w:w="645"/>
            <w:vAlign w:val="center"/>
          </w:tcPr>
          <w:p w:rsidP="00F94C5F" w:rsidR="006A5FB3" w:rsidRDefault="006A5FB3" w:rsidRPr="006A5FB3">
            <w:pPr>
              <w:pStyle w:val="Default"/>
              <w:spacing w:line="276" w:lineRule="auto"/>
              <w:jc w:val="center"/>
              <w:rPr>
                <w:rFonts w:ascii="Times New Roman" w:cs="Times New Roman" w:hAnsi="Times New Roman"/>
              </w:rPr>
            </w:pPr>
            <w:r w:rsidRPr="006A5FB3">
              <w:rPr>
                <w:rFonts w:ascii="Times New Roman" w:cs="Times New Roman" w:hAnsi="Times New Roman"/>
              </w:rPr>
              <w:t>是否属于基金管理人及管理人关联方所管理的基金</w:t>
            </w:r>
          </w:p>
        </w:tc>
      </w:tr>
      <w:tr>
        <w:tc>
          <w:tcPr>
            <w:vAlign w:val="center"/>
          </w:tcPr>
          <w:p>
            <w:pPr>
              <w:jc w:val="center"/>
            </w:pPr>
            <w:r>
              <w:rPr>
                <w:sz w:val="24"/>
                <w:szCs w:val="24"/>
              </w:rPr>
              <w:t>1</w:t>
            </w:r>
          </w:p>
        </w:tc>
        <w:tc>
          <w:tcPr>
            <w:vAlign w:val="center"/>
          </w:tcPr>
          <w:p>
            <w:pPr>
              <w:jc w:val="center"/>
            </w:pPr>
            <w:r>
              <w:rPr>
                <w:sz w:val="24"/>
                <w:szCs w:val="24"/>
              </w:rPr>
              <w:t>001315</w:t>
            </w:r>
          </w:p>
        </w:tc>
        <w:tc>
          <w:tcPr>
            <w:vAlign w:val="center"/>
          </w:tcPr>
          <w:p>
            <w:pPr>
              <w:jc w:val="center"/>
            </w:pPr>
            <w:r>
              <w:rPr>
                <w:sz w:val="24"/>
                <w:szCs w:val="24"/>
              </w:rPr>
              <w:t>易方达新益混合E</w:t>
            </w:r>
          </w:p>
        </w:tc>
        <w:tc>
          <w:tcPr>
            <w:vAlign w:val="center"/>
          </w:tcPr>
          <w:p>
            <w:pPr>
              <w:jc w:val="center"/>
            </w:pPr>
            <w:r>
              <w:rPr>
                <w:sz w:val="24"/>
                <w:szCs w:val="24"/>
              </w:rPr>
              <w:t>契约型开放式</w:t>
            </w:r>
          </w:p>
        </w:tc>
        <w:tc>
          <w:tcPr>
            <w:vAlign w:val="center"/>
          </w:tcPr>
          <w:p>
            <w:pPr>
              <w:jc w:val="center"/>
            </w:pPr>
            <w:r>
              <w:rPr>
                <w:sz w:val="24"/>
                <w:szCs w:val="24"/>
              </w:rPr>
              <w:t>457,165.50</w:t>
            </w:r>
          </w:p>
        </w:tc>
        <w:tc>
          <w:tcPr>
            <w:vAlign w:val="center"/>
          </w:tcPr>
          <w:p>
            <w:pPr>
              <w:jc w:val="center"/>
            </w:pPr>
            <w:r>
              <w:rPr>
                <w:sz w:val="24"/>
                <w:szCs w:val="24"/>
              </w:rPr>
              <w:t>1,126,455.79</w:t>
            </w:r>
          </w:p>
        </w:tc>
        <w:tc>
          <w:tcPr>
            <w:vAlign w:val="center"/>
          </w:tcPr>
          <w:p>
            <w:pPr>
              <w:jc w:val="center"/>
            </w:pPr>
            <w:r>
              <w:rPr>
                <w:sz w:val="24"/>
                <w:szCs w:val="24"/>
              </w:rPr>
              <w:t>7.35%</w:t>
            </w:r>
          </w:p>
        </w:tc>
        <w:tc>
          <w:tcPr>
            <w:vAlign w:val="center"/>
          </w:tcPr>
          <w:p>
            <w:pPr>
              <w:jc w:val="center"/>
            </w:pPr>
            <w:r>
              <w:rPr>
                <w:sz w:val="24"/>
                <w:szCs w:val="24"/>
              </w:rPr>
              <w:t>是</w:t>
            </w:r>
          </w:p>
        </w:tc>
      </w:tr>
      <w:tr>
        <w:tc>
          <w:tcPr>
            <w:vAlign w:val="center"/>
          </w:tcPr>
          <w:p>
            <w:pPr>
              <w:jc w:val="center"/>
            </w:pPr>
            <w:r>
              <w:rPr>
                <w:sz w:val="24"/>
                <w:szCs w:val="24"/>
              </w:rPr>
              <w:t>2</w:t>
            </w:r>
          </w:p>
        </w:tc>
        <w:tc>
          <w:tcPr>
            <w:vAlign w:val="center"/>
          </w:tcPr>
          <w:p>
            <w:pPr>
              <w:jc w:val="center"/>
            </w:pPr>
            <w:r>
              <w:rPr>
                <w:sz w:val="24"/>
                <w:szCs w:val="24"/>
              </w:rPr>
              <w:t>002351</w:t>
            </w:r>
          </w:p>
        </w:tc>
        <w:tc>
          <w:tcPr>
            <w:vAlign w:val="center"/>
          </w:tcPr>
          <w:p>
            <w:pPr>
              <w:jc w:val="center"/>
            </w:pPr>
            <w:r>
              <w:rPr>
                <w:sz w:val="24"/>
                <w:szCs w:val="24"/>
              </w:rPr>
              <w:t>易方达裕祥回报债券</w:t>
            </w:r>
          </w:p>
        </w:tc>
        <w:tc>
          <w:tcPr>
            <w:vAlign w:val="center"/>
          </w:tcPr>
          <w:p>
            <w:pPr>
              <w:jc w:val="center"/>
            </w:pPr>
            <w:r>
              <w:rPr>
                <w:sz w:val="24"/>
                <w:szCs w:val="24"/>
              </w:rPr>
              <w:t>契约型开放式</w:t>
            </w:r>
          </w:p>
        </w:tc>
        <w:tc>
          <w:tcPr>
            <w:vAlign w:val="center"/>
          </w:tcPr>
          <w:p>
            <w:pPr>
              <w:jc w:val="center"/>
            </w:pPr>
            <w:r>
              <w:rPr>
                <w:sz w:val="24"/>
                <w:szCs w:val="24"/>
              </w:rPr>
              <w:t>676,521.32</w:t>
            </w:r>
          </w:p>
        </w:tc>
        <w:tc>
          <w:tcPr>
            <w:vAlign w:val="center"/>
          </w:tcPr>
          <w:p>
            <w:pPr>
              <w:jc w:val="center"/>
            </w:pPr>
            <w:r>
              <w:rPr>
                <w:sz w:val="24"/>
                <w:szCs w:val="24"/>
              </w:rPr>
              <w:t>982,985.48</w:t>
            </w:r>
          </w:p>
        </w:tc>
        <w:tc>
          <w:tcPr>
            <w:vAlign w:val="center"/>
          </w:tcPr>
          <w:p>
            <w:pPr>
              <w:jc w:val="center"/>
            </w:pPr>
            <w:r>
              <w:rPr>
                <w:sz w:val="24"/>
                <w:szCs w:val="24"/>
              </w:rPr>
              <w:t>6.41%</w:t>
            </w:r>
          </w:p>
        </w:tc>
        <w:tc>
          <w:tcPr>
            <w:vAlign w:val="center"/>
          </w:tcPr>
          <w:p>
            <w:pPr>
              <w:jc w:val="center"/>
            </w:pPr>
            <w:r>
              <w:rPr>
                <w:sz w:val="24"/>
                <w:szCs w:val="24"/>
              </w:rPr>
              <w:t>是</w:t>
            </w:r>
          </w:p>
        </w:tc>
      </w:tr>
      <w:tr>
        <w:tc>
          <w:tcPr>
            <w:vAlign w:val="center"/>
          </w:tcPr>
          <w:p>
            <w:pPr>
              <w:jc w:val="center"/>
            </w:pPr>
            <w:r>
              <w:rPr>
                <w:sz w:val="24"/>
                <w:szCs w:val="24"/>
              </w:rPr>
              <w:t>3</w:t>
            </w:r>
          </w:p>
        </w:tc>
        <w:tc>
          <w:tcPr>
            <w:vAlign w:val="center"/>
          </w:tcPr>
          <w:p>
            <w:pPr>
              <w:jc w:val="center"/>
            </w:pPr>
            <w:r>
              <w:rPr>
                <w:sz w:val="24"/>
                <w:szCs w:val="24"/>
              </w:rPr>
              <w:t>000290</w:t>
            </w:r>
          </w:p>
        </w:tc>
        <w:tc>
          <w:tcPr>
            <w:vAlign w:val="center"/>
          </w:tcPr>
          <w:p>
            <w:pPr>
              <w:jc w:val="center"/>
            </w:pPr>
            <w:r>
              <w:rPr>
                <w:sz w:val="24"/>
                <w:szCs w:val="24"/>
              </w:rPr>
              <w:t>鹏华全球高收益债(QDII)</w:t>
            </w:r>
          </w:p>
        </w:tc>
        <w:tc>
          <w:tcPr>
            <w:vAlign w:val="center"/>
          </w:tcPr>
          <w:p>
            <w:pPr>
              <w:jc w:val="center"/>
            </w:pPr>
            <w:r>
              <w:rPr>
                <w:sz w:val="24"/>
                <w:szCs w:val="24"/>
              </w:rPr>
              <w:t>契约型开放式</w:t>
            </w:r>
          </w:p>
        </w:tc>
        <w:tc>
          <w:tcPr>
            <w:vAlign w:val="center"/>
          </w:tcPr>
          <w:p>
            <w:pPr>
              <w:jc w:val="center"/>
            </w:pPr>
            <w:r>
              <w:rPr>
                <w:sz w:val="24"/>
                <w:szCs w:val="24"/>
              </w:rPr>
              <w:t>708,030.13</w:t>
            </w:r>
          </w:p>
        </w:tc>
        <w:tc>
          <w:tcPr>
            <w:vAlign w:val="center"/>
          </w:tcPr>
          <w:p>
            <w:pPr>
              <w:jc w:val="center"/>
            </w:pPr>
            <w:r>
              <w:rPr>
                <w:sz w:val="24"/>
                <w:szCs w:val="24"/>
              </w:rPr>
              <w:t>845,812.79</w:t>
            </w:r>
          </w:p>
        </w:tc>
        <w:tc>
          <w:tcPr>
            <w:vAlign w:val="center"/>
          </w:tcPr>
          <w:p>
            <w:pPr>
              <w:jc w:val="center"/>
            </w:pPr>
            <w:r>
              <w:rPr>
                <w:sz w:val="24"/>
                <w:szCs w:val="24"/>
              </w:rPr>
              <w:t>5.52%</w:t>
            </w:r>
          </w:p>
        </w:tc>
        <w:tc>
          <w:tcPr>
            <w:vAlign w:val="center"/>
          </w:tcPr>
          <w:p>
            <w:pPr>
              <w:jc w:val="center"/>
            </w:pPr>
            <w:r>
              <w:rPr>
                <w:sz w:val="24"/>
                <w:szCs w:val="24"/>
              </w:rPr>
              <w:t>否</w:t>
            </w:r>
          </w:p>
        </w:tc>
      </w:tr>
      <w:tr>
        <w:tc>
          <w:tcPr>
            <w:vAlign w:val="center"/>
          </w:tcPr>
          <w:p>
            <w:pPr>
              <w:jc w:val="center"/>
            </w:pPr>
            <w:r>
              <w:rPr>
                <w:sz w:val="24"/>
                <w:szCs w:val="24"/>
              </w:rPr>
              <w:t>4</w:t>
            </w:r>
          </w:p>
        </w:tc>
        <w:tc>
          <w:tcPr>
            <w:vAlign w:val="center"/>
          </w:tcPr>
          <w:p>
            <w:pPr>
              <w:jc w:val="center"/>
            </w:pPr>
            <w:r>
              <w:rPr>
                <w:sz w:val="24"/>
                <w:szCs w:val="24"/>
              </w:rPr>
              <w:t>000171</w:t>
            </w:r>
          </w:p>
        </w:tc>
        <w:tc>
          <w:tcPr>
            <w:vAlign w:val="center"/>
          </w:tcPr>
          <w:p>
            <w:pPr>
              <w:jc w:val="center"/>
            </w:pPr>
            <w:r>
              <w:rPr>
                <w:sz w:val="24"/>
                <w:szCs w:val="24"/>
              </w:rPr>
              <w:t>易方达裕丰回报债券</w:t>
            </w:r>
          </w:p>
        </w:tc>
        <w:tc>
          <w:tcPr>
            <w:vAlign w:val="center"/>
          </w:tcPr>
          <w:p>
            <w:pPr>
              <w:jc w:val="center"/>
            </w:pPr>
            <w:r>
              <w:rPr>
                <w:sz w:val="24"/>
                <w:szCs w:val="24"/>
              </w:rPr>
              <w:t>契约型开放式</w:t>
            </w:r>
          </w:p>
        </w:tc>
        <w:tc>
          <w:tcPr>
            <w:vAlign w:val="center"/>
          </w:tcPr>
          <w:p>
            <w:pPr>
              <w:jc w:val="center"/>
            </w:pPr>
            <w:r>
              <w:rPr>
                <w:sz w:val="24"/>
                <w:szCs w:val="24"/>
              </w:rPr>
              <w:t>367,342.72</w:t>
            </w:r>
          </w:p>
        </w:tc>
        <w:tc>
          <w:tcPr>
            <w:vAlign w:val="center"/>
          </w:tcPr>
          <w:p>
            <w:pPr>
              <w:jc w:val="center"/>
            </w:pPr>
            <w:r>
              <w:rPr>
                <w:sz w:val="24"/>
                <w:szCs w:val="24"/>
              </w:rPr>
              <w:t>695,379.77</w:t>
            </w:r>
          </w:p>
        </w:tc>
        <w:tc>
          <w:tcPr>
            <w:vAlign w:val="center"/>
          </w:tcPr>
          <w:p>
            <w:pPr>
              <w:jc w:val="center"/>
            </w:pPr>
            <w:r>
              <w:rPr>
                <w:sz w:val="24"/>
                <w:szCs w:val="24"/>
              </w:rPr>
              <w:t>4.54%</w:t>
            </w:r>
          </w:p>
        </w:tc>
        <w:tc>
          <w:tcPr>
            <w:vAlign w:val="center"/>
          </w:tcPr>
          <w:p>
            <w:pPr>
              <w:jc w:val="center"/>
            </w:pPr>
            <w:r>
              <w:rPr>
                <w:sz w:val="24"/>
                <w:szCs w:val="24"/>
              </w:rPr>
              <w:t>是</w:t>
            </w:r>
          </w:p>
        </w:tc>
      </w:tr>
      <w:tr>
        <w:tc>
          <w:tcPr>
            <w:vAlign w:val="center"/>
          </w:tcPr>
          <w:p>
            <w:pPr>
              <w:jc w:val="center"/>
            </w:pPr>
            <w:r>
              <w:rPr>
                <w:sz w:val="24"/>
                <w:szCs w:val="24"/>
              </w:rPr>
              <w:t>5</w:t>
            </w:r>
          </w:p>
        </w:tc>
        <w:tc>
          <w:tcPr>
            <w:vAlign w:val="center"/>
          </w:tcPr>
          <w:p>
            <w:pPr>
              <w:jc w:val="center"/>
            </w:pPr>
            <w:r>
              <w:rPr>
                <w:sz w:val="24"/>
                <w:szCs w:val="24"/>
              </w:rPr>
              <w:t>001710</w:t>
            </w:r>
          </w:p>
        </w:tc>
        <w:tc>
          <w:tcPr>
            <w:vAlign w:val="center"/>
          </w:tcPr>
          <w:p>
            <w:pPr>
              <w:jc w:val="center"/>
            </w:pPr>
            <w:r>
              <w:rPr>
                <w:sz w:val="24"/>
                <w:szCs w:val="24"/>
              </w:rPr>
              <w:t>安信新趋势混合A</w:t>
            </w:r>
          </w:p>
        </w:tc>
        <w:tc>
          <w:tcPr>
            <w:vAlign w:val="center"/>
          </w:tcPr>
          <w:p>
            <w:pPr>
              <w:jc w:val="center"/>
            </w:pPr>
            <w:r>
              <w:rPr>
                <w:sz w:val="24"/>
                <w:szCs w:val="24"/>
              </w:rPr>
              <w:t>契约型开放式</w:t>
            </w:r>
          </w:p>
        </w:tc>
        <w:tc>
          <w:tcPr>
            <w:vAlign w:val="center"/>
          </w:tcPr>
          <w:p>
            <w:pPr>
              <w:jc w:val="center"/>
            </w:pPr>
            <w:r>
              <w:rPr>
                <w:sz w:val="24"/>
                <w:szCs w:val="24"/>
              </w:rPr>
              <w:t>651,380.93</w:t>
            </w:r>
          </w:p>
        </w:tc>
        <w:tc>
          <w:tcPr>
            <w:vAlign w:val="center"/>
          </w:tcPr>
          <w:p>
            <w:pPr>
              <w:jc w:val="center"/>
            </w:pPr>
            <w:r>
              <w:rPr>
                <w:sz w:val="24"/>
                <w:szCs w:val="24"/>
              </w:rPr>
              <w:t>685,904.12</w:t>
            </w:r>
          </w:p>
        </w:tc>
        <w:tc>
          <w:tcPr>
            <w:vAlign w:val="center"/>
          </w:tcPr>
          <w:p>
            <w:pPr>
              <w:jc w:val="center"/>
            </w:pPr>
            <w:r>
              <w:rPr>
                <w:sz w:val="24"/>
                <w:szCs w:val="24"/>
              </w:rPr>
              <w:t>4.47%</w:t>
            </w:r>
          </w:p>
        </w:tc>
        <w:tc>
          <w:tcPr>
            <w:vAlign w:val="center"/>
          </w:tcPr>
          <w:p>
            <w:pPr>
              <w:jc w:val="center"/>
            </w:pPr>
            <w:r>
              <w:rPr>
                <w:sz w:val="24"/>
                <w:szCs w:val="24"/>
              </w:rPr>
              <w:t>否</w:t>
            </w:r>
          </w:p>
        </w:tc>
      </w:tr>
      <w:tr>
        <w:tc>
          <w:tcPr>
            <w:vAlign w:val="center"/>
          </w:tcPr>
          <w:p>
            <w:pPr>
              <w:jc w:val="center"/>
            </w:pPr>
            <w:r>
              <w:rPr>
                <w:sz w:val="24"/>
                <w:szCs w:val="24"/>
              </w:rPr>
              <w:t>6</w:t>
            </w:r>
          </w:p>
        </w:tc>
        <w:tc>
          <w:tcPr>
            <w:vAlign w:val="center"/>
          </w:tcPr>
          <w:p>
            <w:pPr>
              <w:jc w:val="center"/>
            </w:pPr>
            <w:r>
              <w:rPr>
                <w:sz w:val="24"/>
                <w:szCs w:val="24"/>
              </w:rPr>
              <w:t>110007</w:t>
            </w:r>
          </w:p>
        </w:tc>
        <w:tc>
          <w:tcPr>
            <w:vAlign w:val="center"/>
          </w:tcPr>
          <w:p>
            <w:pPr>
              <w:jc w:val="center"/>
            </w:pPr>
            <w:r>
              <w:rPr>
                <w:sz w:val="24"/>
                <w:szCs w:val="24"/>
              </w:rPr>
              <w:t>易方达稳健收益债券A</w:t>
            </w:r>
          </w:p>
        </w:tc>
        <w:tc>
          <w:tcPr>
            <w:vAlign w:val="center"/>
          </w:tcPr>
          <w:p>
            <w:pPr>
              <w:jc w:val="center"/>
            </w:pPr>
            <w:r>
              <w:rPr>
                <w:sz w:val="24"/>
                <w:szCs w:val="24"/>
              </w:rPr>
              <w:t>契约型开放式</w:t>
            </w:r>
          </w:p>
        </w:tc>
        <w:tc>
          <w:tcPr>
            <w:vAlign w:val="center"/>
          </w:tcPr>
          <w:p>
            <w:pPr>
              <w:jc w:val="center"/>
            </w:pPr>
            <w:r>
              <w:rPr>
                <w:sz w:val="24"/>
                <w:szCs w:val="24"/>
              </w:rPr>
              <w:t>523,738.55</w:t>
            </w:r>
          </w:p>
        </w:tc>
        <w:tc>
          <w:tcPr>
            <w:vAlign w:val="center"/>
          </w:tcPr>
          <w:p>
            <w:pPr>
              <w:jc w:val="center"/>
            </w:pPr>
            <w:r>
              <w:rPr>
                <w:sz w:val="24"/>
                <w:szCs w:val="24"/>
              </w:rPr>
              <w:t>684,264.42</w:t>
            </w:r>
          </w:p>
        </w:tc>
        <w:tc>
          <w:tcPr>
            <w:vAlign w:val="center"/>
          </w:tcPr>
          <w:p>
            <w:pPr>
              <w:jc w:val="center"/>
            </w:pPr>
            <w:r>
              <w:rPr>
                <w:sz w:val="24"/>
                <w:szCs w:val="24"/>
              </w:rPr>
              <w:t>4.46%</w:t>
            </w:r>
          </w:p>
        </w:tc>
        <w:tc>
          <w:tcPr>
            <w:vAlign w:val="center"/>
          </w:tcPr>
          <w:p>
            <w:pPr>
              <w:jc w:val="center"/>
            </w:pPr>
            <w:r>
              <w:rPr>
                <w:sz w:val="24"/>
                <w:szCs w:val="24"/>
              </w:rPr>
              <w:t>是</w:t>
            </w:r>
          </w:p>
        </w:tc>
      </w:tr>
      <w:tr>
        <w:tc>
          <w:tcPr>
            <w:vAlign w:val="center"/>
          </w:tcPr>
          <w:p>
            <w:pPr>
              <w:jc w:val="center"/>
            </w:pPr>
            <w:r>
              <w:rPr>
                <w:sz w:val="24"/>
                <w:szCs w:val="24"/>
              </w:rPr>
              <w:t>7</w:t>
            </w:r>
          </w:p>
        </w:tc>
        <w:tc>
          <w:tcPr>
            <w:vAlign w:val="center"/>
          </w:tcPr>
          <w:p>
            <w:pPr>
              <w:jc w:val="center"/>
            </w:pPr>
            <w:r>
              <w:rPr>
                <w:sz w:val="24"/>
                <w:szCs w:val="24"/>
              </w:rPr>
              <w:t>519062</w:t>
            </w:r>
          </w:p>
        </w:tc>
        <w:tc>
          <w:tcPr>
            <w:vAlign w:val="center"/>
          </w:tcPr>
          <w:p>
            <w:pPr>
              <w:jc w:val="center"/>
            </w:pPr>
            <w:r>
              <w:rPr>
                <w:sz w:val="24"/>
                <w:szCs w:val="24"/>
              </w:rPr>
              <w:t>海富通阿尔法对冲混合A</w:t>
            </w:r>
          </w:p>
        </w:tc>
        <w:tc>
          <w:tcPr>
            <w:vAlign w:val="center"/>
          </w:tcPr>
          <w:p>
            <w:pPr>
              <w:jc w:val="center"/>
            </w:pPr>
            <w:r>
              <w:rPr>
                <w:sz w:val="24"/>
                <w:szCs w:val="24"/>
              </w:rPr>
              <w:t>契约型开放式</w:t>
            </w:r>
          </w:p>
        </w:tc>
        <w:tc>
          <w:tcPr>
            <w:vAlign w:val="center"/>
          </w:tcPr>
          <w:p>
            <w:pPr>
              <w:jc w:val="center"/>
            </w:pPr>
            <w:r>
              <w:rPr>
                <w:sz w:val="24"/>
                <w:szCs w:val="24"/>
              </w:rPr>
              <w:t>437,172.61</w:t>
            </w:r>
          </w:p>
        </w:tc>
        <w:tc>
          <w:tcPr>
            <w:vAlign w:val="center"/>
          </w:tcPr>
          <w:p>
            <w:pPr>
              <w:jc w:val="center"/>
            </w:pPr>
            <w:r>
              <w:rPr>
                <w:sz w:val="24"/>
                <w:szCs w:val="24"/>
              </w:rPr>
              <w:t>507,557.40</w:t>
            </w:r>
          </w:p>
        </w:tc>
        <w:tc>
          <w:tcPr>
            <w:vAlign w:val="center"/>
          </w:tcPr>
          <w:p>
            <w:pPr>
              <w:jc w:val="center"/>
            </w:pPr>
            <w:r>
              <w:rPr>
                <w:sz w:val="24"/>
                <w:szCs w:val="24"/>
              </w:rPr>
              <w:t>3.31%</w:t>
            </w:r>
          </w:p>
        </w:tc>
        <w:tc>
          <w:tcPr>
            <w:vAlign w:val="center"/>
          </w:tcPr>
          <w:p>
            <w:pPr>
              <w:jc w:val="center"/>
            </w:pPr>
            <w:r>
              <w:rPr>
                <w:sz w:val="24"/>
                <w:szCs w:val="24"/>
              </w:rPr>
              <w:t>否</w:t>
            </w:r>
          </w:p>
        </w:tc>
      </w:tr>
      <w:tr>
        <w:tc>
          <w:tcPr>
            <w:vAlign w:val="center"/>
          </w:tcPr>
          <w:p>
            <w:pPr>
              <w:jc w:val="center"/>
            </w:pPr>
            <w:r>
              <w:rPr>
                <w:sz w:val="24"/>
                <w:szCs w:val="24"/>
              </w:rPr>
              <w:t>8</w:t>
            </w:r>
          </w:p>
        </w:tc>
        <w:tc>
          <w:tcPr>
            <w:vAlign w:val="center"/>
          </w:tcPr>
          <w:p>
            <w:pPr>
              <w:jc w:val="center"/>
            </w:pPr>
            <w:r>
              <w:rPr>
                <w:sz w:val="24"/>
                <w:szCs w:val="24"/>
              </w:rPr>
              <w:t>000754</w:t>
            </w:r>
          </w:p>
        </w:tc>
        <w:tc>
          <w:tcPr>
            <w:vAlign w:val="center"/>
          </w:tcPr>
          <w:p>
            <w:pPr>
              <w:jc w:val="center"/>
            </w:pPr>
            <w:r>
              <w:rPr>
                <w:sz w:val="24"/>
                <w:szCs w:val="24"/>
              </w:rPr>
              <w:t>华宝量化对冲混合C</w:t>
            </w:r>
          </w:p>
        </w:tc>
        <w:tc>
          <w:tcPr>
            <w:vAlign w:val="center"/>
          </w:tcPr>
          <w:p>
            <w:pPr>
              <w:jc w:val="center"/>
            </w:pPr>
            <w:r>
              <w:rPr>
                <w:sz w:val="24"/>
                <w:szCs w:val="24"/>
              </w:rPr>
              <w:t>契约型开放式</w:t>
            </w:r>
          </w:p>
        </w:tc>
        <w:tc>
          <w:tcPr>
            <w:vAlign w:val="center"/>
          </w:tcPr>
          <w:p>
            <w:pPr>
              <w:jc w:val="center"/>
            </w:pPr>
            <w:r>
              <w:rPr>
                <w:sz w:val="24"/>
                <w:szCs w:val="24"/>
              </w:rPr>
              <w:t>431,555.32</w:t>
            </w:r>
          </w:p>
        </w:tc>
        <w:tc>
          <w:tcPr>
            <w:vAlign w:val="center"/>
          </w:tcPr>
          <w:p>
            <w:pPr>
              <w:jc w:val="center"/>
            </w:pPr>
            <w:r>
              <w:rPr>
                <w:sz w:val="24"/>
                <w:szCs w:val="24"/>
              </w:rPr>
              <w:t>506,041.77</w:t>
            </w:r>
          </w:p>
        </w:tc>
        <w:tc>
          <w:tcPr>
            <w:vAlign w:val="center"/>
          </w:tcPr>
          <w:p>
            <w:pPr>
              <w:jc w:val="center"/>
            </w:pPr>
            <w:r>
              <w:rPr>
                <w:sz w:val="24"/>
                <w:szCs w:val="24"/>
              </w:rPr>
              <w:t>3.30%</w:t>
            </w:r>
          </w:p>
        </w:tc>
        <w:tc>
          <w:tcPr>
            <w:vAlign w:val="center"/>
          </w:tcPr>
          <w:p>
            <w:pPr>
              <w:jc w:val="center"/>
            </w:pPr>
            <w:r>
              <w:rPr>
                <w:sz w:val="24"/>
                <w:szCs w:val="24"/>
              </w:rPr>
              <w:t>否</w:t>
            </w:r>
          </w:p>
        </w:tc>
      </w:tr>
      <w:tr>
        <w:tc>
          <w:tcPr>
            <w:vAlign w:val="center"/>
          </w:tcPr>
          <w:p>
            <w:pPr>
              <w:jc w:val="center"/>
            </w:pPr>
            <w:r>
              <w:rPr>
                <w:sz w:val="24"/>
                <w:szCs w:val="24"/>
              </w:rPr>
              <w:t>9</w:t>
            </w:r>
          </w:p>
        </w:tc>
        <w:tc>
          <w:tcPr>
            <w:vAlign w:val="center"/>
          </w:tcPr>
          <w:p>
            <w:pPr>
              <w:jc w:val="center"/>
            </w:pPr>
            <w:r>
              <w:rPr>
                <w:sz w:val="24"/>
                <w:szCs w:val="24"/>
              </w:rPr>
              <w:t>159934</w:t>
            </w:r>
          </w:p>
        </w:tc>
        <w:tc>
          <w:tcPr>
            <w:vAlign w:val="center"/>
          </w:tcPr>
          <w:p>
            <w:pPr>
              <w:jc w:val="center"/>
            </w:pPr>
            <w:r>
              <w:rPr>
                <w:sz w:val="24"/>
                <w:szCs w:val="24"/>
              </w:rPr>
              <w:t>易方达黄金ETF</w:t>
            </w:r>
          </w:p>
        </w:tc>
        <w:tc>
          <w:tcPr>
            <w:vAlign w:val="center"/>
          </w:tcPr>
          <w:p>
            <w:pPr>
              <w:jc w:val="center"/>
            </w:pPr>
            <w:r>
              <w:rPr>
                <w:sz w:val="24"/>
                <w:szCs w:val="24"/>
              </w:rPr>
              <w:t>契约型开放式</w:t>
            </w:r>
          </w:p>
        </w:tc>
        <w:tc>
          <w:tcPr>
            <w:vAlign w:val="center"/>
          </w:tcPr>
          <w:p>
            <w:pPr>
              <w:jc w:val="center"/>
            </w:pPr>
            <w:r>
              <w:rPr>
                <w:sz w:val="24"/>
                <w:szCs w:val="24"/>
              </w:rPr>
              <w:t>130,000.00</w:t>
            </w:r>
          </w:p>
        </w:tc>
        <w:tc>
          <w:tcPr>
            <w:vAlign w:val="center"/>
          </w:tcPr>
          <w:p>
            <w:pPr>
              <w:jc w:val="center"/>
            </w:pPr>
            <w:r>
              <w:rPr>
                <w:sz w:val="24"/>
                <w:szCs w:val="24"/>
              </w:rPr>
              <w:t>504,660.00</w:t>
            </w:r>
          </w:p>
        </w:tc>
        <w:tc>
          <w:tcPr>
            <w:vAlign w:val="center"/>
          </w:tcPr>
          <w:p>
            <w:pPr>
              <w:jc w:val="center"/>
            </w:pPr>
            <w:r>
              <w:rPr>
                <w:sz w:val="24"/>
                <w:szCs w:val="24"/>
              </w:rPr>
              <w:t>3.29%</w:t>
            </w:r>
          </w:p>
        </w:tc>
        <w:tc>
          <w:tcPr>
            <w:vAlign w:val="center"/>
          </w:tcPr>
          <w:p>
            <w:pPr>
              <w:jc w:val="center"/>
            </w:pPr>
            <w:r>
              <w:rPr>
                <w:sz w:val="24"/>
                <w:szCs w:val="24"/>
              </w:rPr>
              <w:t>是</w:t>
            </w:r>
          </w:p>
        </w:tc>
      </w:tr>
      <w:tr>
        <w:tc>
          <w:tcPr>
            <w:vAlign w:val="center"/>
          </w:tcPr>
          <w:p>
            <w:pPr>
              <w:jc w:val="center"/>
            </w:pPr>
            <w:r>
              <w:rPr>
                <w:sz w:val="24"/>
                <w:szCs w:val="24"/>
              </w:rPr>
              <w:t>10</w:t>
            </w:r>
          </w:p>
        </w:tc>
        <w:tc>
          <w:tcPr>
            <w:vAlign w:val="center"/>
          </w:tcPr>
          <w:p>
            <w:pPr>
              <w:jc w:val="center"/>
            </w:pPr>
            <w:r>
              <w:rPr>
                <w:sz w:val="24"/>
                <w:szCs w:val="24"/>
              </w:rPr>
              <w:t>001249</w:t>
            </w:r>
          </w:p>
        </w:tc>
        <w:tc>
          <w:tcPr>
            <w:vAlign w:val="center"/>
          </w:tcPr>
          <w:p>
            <w:pPr>
              <w:jc w:val="center"/>
            </w:pPr>
            <w:r>
              <w:rPr>
                <w:sz w:val="24"/>
                <w:szCs w:val="24"/>
              </w:rPr>
              <w:t>易方达新利混合</w:t>
            </w:r>
          </w:p>
        </w:tc>
        <w:tc>
          <w:tcPr>
            <w:vAlign w:val="center"/>
          </w:tcPr>
          <w:p>
            <w:pPr>
              <w:jc w:val="center"/>
            </w:pPr>
            <w:r>
              <w:rPr>
                <w:sz w:val="24"/>
                <w:szCs w:val="24"/>
              </w:rPr>
              <w:t>契约型开放式</w:t>
            </w:r>
          </w:p>
        </w:tc>
        <w:tc>
          <w:tcPr>
            <w:vAlign w:val="center"/>
          </w:tcPr>
          <w:p>
            <w:pPr>
              <w:jc w:val="center"/>
            </w:pPr>
            <w:r>
              <w:rPr>
                <w:sz w:val="24"/>
                <w:szCs w:val="24"/>
              </w:rPr>
              <w:t>357,909.81</w:t>
            </w:r>
          </w:p>
        </w:tc>
        <w:tc>
          <w:tcPr>
            <w:vAlign w:val="center"/>
          </w:tcPr>
          <w:p>
            <w:pPr>
              <w:jc w:val="center"/>
            </w:pPr>
            <w:r>
              <w:rPr>
                <w:sz w:val="24"/>
                <w:szCs w:val="24"/>
              </w:rPr>
              <w:t>501,789.55</w:t>
            </w:r>
          </w:p>
        </w:tc>
        <w:tc>
          <w:tcPr>
            <w:vAlign w:val="center"/>
          </w:tcPr>
          <w:p>
            <w:pPr>
              <w:jc w:val="center"/>
            </w:pPr>
            <w:r>
              <w:rPr>
                <w:sz w:val="24"/>
                <w:szCs w:val="24"/>
              </w:rPr>
              <w:t>3.27%</w:t>
            </w:r>
          </w:p>
        </w:tc>
        <w:tc>
          <w:tcPr>
            <w:vAlign w:val="center"/>
          </w:tcPr>
          <w:p>
            <w:pPr>
              <w:jc w:val="center"/>
            </w:pPr>
            <w:r>
              <w:rPr>
                <w:sz w:val="24"/>
                <w:szCs w:val="24"/>
              </w:rPr>
              <w:t>是</w:t>
            </w:r>
          </w:p>
        </w:tc>
      </w:tr>
    </w:tbl>
    <w:p w:rsidP="006A5FB3" w:rsidR="006A5FB3" w:rsidRDefault="006A5FB3" w:rsidRPr="006A5FB3">
      <w:pPr>
        <w:autoSpaceDE w:val="0"/>
        <w:autoSpaceDN w:val="0"/>
        <w:adjustRightInd w:val="0"/>
        <w:spacing w:line="360" w:lineRule="auto"/>
        <w:jc w:val="left"/>
        <w:rPr>
          <w:color w:val="000000"/>
          <w:sz w:val="24"/>
          <w:szCs w:val="24"/>
        </w:rPr>
      </w:pPr>
      <w:r w:rsidRPr="006A5FB3">
        <w:rPr>
          <w:color w:val="000000"/>
          <w:sz w:val="24"/>
          <w:szCs w:val="24"/>
        </w:rPr>
        <w:t/>
      </w:r>
      <w:proofErr w:type="spellStart"/>
      <w:r w:rsidRPr="006A5FB3">
        <w:rPr>
          <w:color w:val="000000"/>
          <w:sz w:val="24"/>
          <w:szCs w:val="24"/>
        </w:rPr>
        <w:t/>
      </w:r>
      <w:proofErr w:type="spellEnd"/>
      <w:r w:rsidRPr="006A5FB3">
        <w:rPr>
          <w:color w:val="000000"/>
          <w:sz w:val="24"/>
          <w:szCs w:val="24"/>
        </w:rPr>
        <w:t xml:space="preserve">6.2 </w:t>
      </w:r>
      <w:r w:rsidRPr="006A5FB3">
        <w:rPr>
          <w:color w:val="000000"/>
          <w:sz w:val="24"/>
          <w:szCs w:val="24"/>
        </w:rPr>
        <w:t>当期交易及持有基金产生的费用</w:t>
      </w:r>
    </w:p>
    <w:tbl>
      <w:tblPr>
        <w:tblStyle w:val="af7"/>
        <w:tblW w:type="dxa" w:w="8364"/>
        <w:tblInd w:type="dxa" w:w="108"/>
        <w:tblLayout w:type="fixed"/>
        <w:tblLook w:firstColumn="1" w:firstRow="1" w:lastColumn="0" w:lastRow="0" w:noHBand="0" w:noVBand="1" w:val="04A0"/>
      </w:tblPr>
      <w:tblGrid>
        <w:gridCol w:w="2410"/>
        <w:gridCol w:w="2835"/>
        <w:gridCol w:w="3119"/>
      </w:tblGrid>
      <w:tr w:rsidR="006A5FB3" w:rsidRPr="006A5FB3" w:rsidTr="006D75A5">
        <w:tc>
          <w:tcPr>
            <w:tcW w:type="dxa" w:w="2410"/>
            <w:vAlign w:val="center"/>
          </w:tcPr>
          <w:p w:rsidP="006A5FB3" w:rsidR="006A5FB3" w:rsidRDefault="006A5FB3" w:rsidRPr="006A5FB3">
            <w:pPr>
              <w:adjustRightInd w:val="0"/>
              <w:snapToGrid w:val="0"/>
              <w:spacing w:before="156" w:beforeLines="50"/>
              <w:jc w:val="center"/>
              <w:rPr>
                <w:color w:themeColor="text1" w:val="000000"/>
                <w:sz w:val="24"/>
                <w:szCs w:val="24"/>
              </w:rPr>
            </w:pPr>
            <w:r w:rsidRPr="006A5FB3">
              <w:rPr>
                <w:sz w:val="24"/>
                <w:szCs w:val="24"/>
              </w:rPr>
              <w:t>项目</w:t>
            </w:r>
            <w:r w:rsidRPr="006A5FB3">
              <w:rPr>
                <w:color w:themeColor="text1" w:val="000000"/>
                <w:sz w:val="24"/>
                <w:szCs w:val="24"/>
              </w:rPr>
              <w:t/>
            </w:r>
            <w:proofErr w:type="spellStart"/>
            <w:r w:rsidRPr="006A5FB3">
              <w:rPr>
                <w:color w:themeColor="text1" w:val="000000"/>
                <w:sz w:val="24"/>
                <w:szCs w:val="24"/>
              </w:rPr>
              <w:t/>
            </w:r>
            <w:proofErr w:type="spellEnd"/>
            <w:r w:rsidRPr="006A5FB3">
              <w:rPr>
                <w:color w:themeColor="text1" w:val="000000"/>
                <w:sz w:val="24"/>
                <w:szCs w:val="24"/>
              </w:rPr>
              <w:t/>
            </w:r>
          </w:p>
        </w:tc>
        <w:tc>
          <w:tcPr>
            <w:tcW w:type="dxa" w:w="2835"/>
            <w:vAlign w:val="center"/>
          </w:tcPr>
          <w:p w:rsidP="00F94C5F" w:rsidR="006A5FB3" w:rsidRDefault="006A5FB3">
            <w:pPr>
              <w:jc w:val="center"/>
              <w:rPr>
                <w:sz w:val="24"/>
                <w:szCs w:val="24"/>
              </w:rPr>
            </w:pPr>
            <w:r w:rsidRPr="006A5FB3">
              <w:rPr>
                <w:sz w:val="24"/>
                <w:szCs w:val="24"/>
              </w:rPr>
              <w:t>本期费用</w:t>
            </w:r>
          </w:p>
          <w:p w:rsidP="00F94C5F" w:rsidR="00457DBA" w:rsidRDefault="00457DBA" w:rsidRPr="006A5FB3">
            <w:pPr>
              <w:jc w:val="center"/>
              <w:rPr>
                <w:sz w:val="24"/>
                <w:szCs w:val="24"/>
              </w:rPr>
            </w:pPr>
            <w:r>
              <w:rPr>
                <w:rFonts w:eastAsiaTheme="minorEastAsia"/>
              </w:rPr>
              <w:t/>
            </w:r>
            <w:proofErr w:type="spellStart"/>
            <w:r>
              <w:rPr>
                <w:rFonts w:eastAsiaTheme="minorEastAsia"/>
              </w:rPr>
              <w:t/>
            </w:r>
            <w:proofErr w:type="spellEnd"/>
            <w:r>
              <w:rPr>
                <w:rFonts w:eastAsiaTheme="minorEastAsia"/>
              </w:rPr>
              <w:t>2020年4月1日</w:t>
            </w:r>
            <w:r>
              <w:rPr>
                <w:rFonts w:eastAsiaTheme="minorEastAsia" w:hint="eastAsia"/>
              </w:rPr>
              <w:t>至</w:t>
            </w:r>
            <w:r>
              <w:rPr>
                <w:rFonts w:eastAsiaTheme="minorEastAsia"/>
              </w:rPr>
              <w:t/>
            </w:r>
            <w:proofErr w:type="spellStart"/>
            <w:r>
              <w:rPr>
                <w:rFonts w:eastAsiaTheme="minorEastAsia"/>
              </w:rPr>
              <w:t/>
            </w:r>
            <w:proofErr w:type="spellEnd"/>
            <w:r>
              <w:rPr>
                <w:rFonts w:eastAsiaTheme="minorEastAsia"/>
              </w:rPr>
              <w:t>2020年6月30日</w:t>
            </w:r>
          </w:p>
        </w:tc>
        <w:tc>
          <w:tcPr>
            <w:tcW w:type="dxa" w:w="3119"/>
            <w:vAlign w:val="center"/>
          </w:tcPr>
          <w:p w:rsidP="00F94C5F" w:rsidR="006A5FB3" w:rsidRDefault="006A5FB3" w:rsidRPr="006A5FB3">
            <w:pPr>
              <w:jc w:val="center"/>
              <w:rPr>
                <w:sz w:val="24"/>
                <w:szCs w:val="24"/>
              </w:rPr>
            </w:pPr>
            <w:r w:rsidRPr="006A5FB3">
              <w:rPr>
                <w:sz w:val="24"/>
                <w:szCs w:val="24"/>
              </w:rPr>
              <w:t>其中：交易及持有基金管理人以及管理人关联方所管理基金产生的费用</w:t>
            </w:r>
          </w:p>
        </w:tc>
      </w:tr>
      <w:tr w:rsidR="006A5FB3" w:rsidRPr="006A5FB3" w:rsidTr="006D75A5">
        <w:tc>
          <w:tcPr>
            <w:tcW w:type="dxa" w:w="2410"/>
            <w:vAlign w:val="center"/>
          </w:tcPr>
          <w:p w:rsidP="006A5FB3" w:rsidR="006A5FB3" w:rsidRDefault="006A5FB3" w:rsidRPr="006A5FB3">
            <w:pPr>
              <w:adjustRightInd w:val="0"/>
              <w:snapToGrid w:val="0"/>
              <w:spacing w:before="156" w:beforeLines="50"/>
              <w:rPr>
                <w:color w:themeColor="text1" w:val="000000"/>
                <w:sz w:val="24"/>
                <w:szCs w:val="24"/>
              </w:rPr>
            </w:pPr>
            <w:r w:rsidRPr="006A5FB3">
              <w:rPr>
                <w:sz w:val="24"/>
                <w:szCs w:val="24"/>
              </w:rPr>
              <w:t>当期交易基金产生的申购费（元）</w:t>
            </w:r>
          </w:p>
        </w:tc>
        <w:tc>
          <w:tcPr>
            <w:tcW w:type="dxa" w:w="2835"/>
            <w:vAlign w:val="center"/>
          </w:tcPr>
          <w:p w:rsidP="006A5FB3" w:rsidR="006A5FB3" w:rsidRDefault="006A5FB3" w:rsidRPr="006A5FB3">
            <w:pPr>
              <w:adjustRightInd w:val="0"/>
              <w:snapToGrid w:val="0"/>
              <w:spacing w:before="156" w:beforeLines="50"/>
              <w:jc w:val="right"/>
              <w:rPr>
                <w:color w:themeColor="text1" w:val="000000"/>
                <w:sz w:val="24"/>
                <w:szCs w:val="24"/>
              </w:rPr>
            </w:pPr>
            <w:r w:rsidRPr="006A5FB3">
              <w:rPr>
                <w:color w:themeColor="text1" w:val="000000"/>
                <w:sz w:val="24"/>
                <w:szCs w:val="24"/>
              </w:rPr>
              <w:t/>
            </w:r>
            <w:proofErr w:type="spellStart"/>
            <w:r w:rsidRPr="006A5FB3">
              <w:rPr>
                <w:color w:themeColor="text1" w:val="000000"/>
                <w:sz w:val="24"/>
                <w:szCs w:val="24"/>
              </w:rPr>
              <w:t/>
            </w:r>
            <w:proofErr w:type="spellEnd"/>
            <w:r w:rsidRPr="006A5FB3">
              <w:rPr>
                <w:color w:themeColor="text1" w:val="000000"/>
                <w:sz w:val="24"/>
                <w:szCs w:val="24"/>
              </w:rPr>
              <w:t>9,177.36</w:t>
            </w:r>
          </w:p>
        </w:tc>
        <w:tc>
          <w:tcPr>
            <w:tcW w:type="dxa" w:w="3119"/>
            <w:vAlign w:val="center"/>
          </w:tcPr>
          <w:p w:rsidP="006A5FB3" w:rsidR="006A5FB3" w:rsidRDefault="006A5FB3" w:rsidRPr="006A5FB3">
            <w:pPr>
              <w:adjustRightInd w:val="0"/>
              <w:snapToGrid w:val="0"/>
              <w:spacing w:before="156" w:beforeLines="50"/>
              <w:jc w:val="right"/>
              <w:rPr>
                <w:color w:themeColor="text1" w:val="000000"/>
                <w:sz w:val="24"/>
                <w:szCs w:val="24"/>
              </w:rPr>
            </w:pPr>
            <w:r w:rsidRPr="006A5FB3">
              <w:rPr>
                <w:color w:themeColor="text1" w:val="000000"/>
                <w:sz w:val="24"/>
                <w:szCs w:val="24"/>
              </w:rPr>
              <w:t>-</w:t>
            </w:r>
          </w:p>
        </w:tc>
      </w:tr>
      <w:tr w:rsidR="006A5FB3" w:rsidRPr="006A5FB3" w:rsidTr="006D75A5">
        <w:tc>
          <w:tcPr>
            <w:tcW w:type="dxa" w:w="2410"/>
            <w:vAlign w:val="center"/>
          </w:tcPr>
          <w:p w:rsidP="006A5FB3" w:rsidR="006A5FB3" w:rsidRDefault="006A5FB3" w:rsidRPr="006A5FB3">
            <w:pPr>
              <w:adjustRightInd w:val="0"/>
              <w:snapToGrid w:val="0"/>
              <w:spacing w:before="156" w:beforeLines="50"/>
              <w:rPr>
                <w:color w:themeColor="text1" w:val="000000"/>
                <w:sz w:val="24"/>
                <w:szCs w:val="24"/>
              </w:rPr>
            </w:pPr>
            <w:r w:rsidRPr="006A5FB3">
              <w:rPr>
                <w:sz w:val="24"/>
                <w:szCs w:val="24"/>
              </w:rPr>
              <w:t>当期交易基金产生的赎回费（元）</w:t>
            </w:r>
          </w:p>
        </w:tc>
        <w:tc>
          <w:tcPr>
            <w:tcW w:type="dxa" w:w="2835"/>
            <w:vAlign w:val="center"/>
          </w:tcPr>
          <w:p w:rsidP="006A5FB3" w:rsidR="006A5FB3" w:rsidRDefault="006A5FB3" w:rsidRPr="006A5FB3">
            <w:pPr>
              <w:adjustRightInd w:val="0"/>
              <w:snapToGrid w:val="0"/>
              <w:spacing w:before="156" w:beforeLines="50"/>
              <w:jc w:val="right"/>
              <w:rPr>
                <w:color w:themeColor="text1" w:val="000000"/>
                <w:sz w:val="24"/>
                <w:szCs w:val="24"/>
              </w:rPr>
            </w:pPr>
            <w:r w:rsidRPr="006A5FB3">
              <w:rPr>
                <w:color w:themeColor="text1" w:val="000000"/>
                <w:sz w:val="24"/>
                <w:szCs w:val="24"/>
              </w:rPr>
              <w:t/>
            </w:r>
            <w:proofErr w:type="spellStart"/>
            <w:r w:rsidRPr="006A5FB3">
              <w:rPr>
                <w:color w:themeColor="text1" w:val="000000"/>
                <w:sz w:val="24"/>
                <w:szCs w:val="24"/>
              </w:rPr>
              <w:t/>
            </w:r>
            <w:proofErr w:type="spellEnd"/>
            <w:r w:rsidRPr="006A5FB3">
              <w:rPr>
                <w:color w:themeColor="text1" w:val="000000"/>
                <w:sz w:val="24"/>
                <w:szCs w:val="24"/>
              </w:rPr>
              <w:t>11,166.54</w:t>
            </w:r>
          </w:p>
        </w:tc>
        <w:tc>
          <w:tcPr>
            <w:tcW w:type="dxa" w:w="3119"/>
            <w:vAlign w:val="center"/>
          </w:tcPr>
          <w:p w:rsidP="006A5FB3" w:rsidR="006A5FB3" w:rsidRDefault="006A5FB3" w:rsidRPr="006A5FB3">
            <w:pPr>
              <w:adjustRightInd w:val="0"/>
              <w:snapToGrid w:val="0"/>
              <w:spacing w:before="156" w:beforeLines="50"/>
              <w:jc w:val="right"/>
              <w:rPr>
                <w:color w:themeColor="text1" w:val="000000"/>
                <w:sz w:val="24"/>
                <w:szCs w:val="24"/>
              </w:rPr>
            </w:pPr>
            <w:r w:rsidRPr="006A5FB3">
              <w:rPr>
                <w:color w:themeColor="text1" w:val="000000"/>
                <w:sz w:val="24"/>
                <w:szCs w:val="24"/>
              </w:rPr>
              <w:t>-</w:t>
            </w:r>
          </w:p>
        </w:tc>
      </w:tr>
      <w:tr w:rsidR="006A5FB3" w:rsidRPr="006A5FB3" w:rsidTr="006D75A5">
        <w:tc>
          <w:tcPr>
            <w:tcW w:type="dxa" w:w="2410"/>
            <w:vAlign w:val="center"/>
          </w:tcPr>
          <w:p w:rsidP="006A5FB3" w:rsidR="006A5FB3" w:rsidRDefault="006A5FB3" w:rsidRPr="006A5FB3">
            <w:pPr>
              <w:adjustRightInd w:val="0"/>
              <w:snapToGrid w:val="0"/>
              <w:spacing w:before="156" w:beforeLines="50"/>
              <w:rPr>
                <w:color w:themeColor="text1" w:val="000000"/>
                <w:sz w:val="24"/>
                <w:szCs w:val="24"/>
              </w:rPr>
            </w:pPr>
            <w:r w:rsidRPr="006A5FB3">
              <w:rPr>
                <w:sz w:val="24"/>
                <w:szCs w:val="24"/>
              </w:rPr>
              <w:t>当期持有基金产生的应支付销售服务费（元）</w:t>
            </w:r>
          </w:p>
        </w:tc>
        <w:tc>
          <w:tcPr>
            <w:tcW w:type="dxa" w:w="2835"/>
            <w:vAlign w:val="center"/>
          </w:tcPr>
          <w:p w:rsidP="006A5FB3" w:rsidR="006A5FB3" w:rsidRDefault="006A5FB3" w:rsidRPr="006A5FB3">
            <w:pPr>
              <w:adjustRightInd w:val="0"/>
              <w:snapToGrid w:val="0"/>
              <w:spacing w:before="156" w:beforeLines="50"/>
              <w:jc w:val="right"/>
              <w:rPr>
                <w:color w:themeColor="text1" w:val="000000"/>
                <w:sz w:val="24"/>
                <w:szCs w:val="24"/>
              </w:rPr>
            </w:pPr>
            <w:r w:rsidRPr="006A5FB3">
              <w:rPr>
                <w:color w:themeColor="text1" w:val="000000"/>
                <w:sz w:val="24"/>
                <w:szCs w:val="24"/>
              </w:rPr>
              <w:t/>
            </w:r>
            <w:proofErr w:type="spellStart"/>
            <w:r w:rsidRPr="006A5FB3">
              <w:rPr>
                <w:color w:themeColor="text1" w:val="000000"/>
                <w:sz w:val="24"/>
                <w:szCs w:val="24"/>
              </w:rPr>
              <w:t/>
            </w:r>
            <w:proofErr w:type="spellEnd"/>
            <w:r w:rsidRPr="006A5FB3">
              <w:rPr>
                <w:color w:themeColor="text1" w:val="000000"/>
                <w:sz w:val="24"/>
                <w:szCs w:val="24"/>
              </w:rPr>
              <w:t>1,474.32</w:t>
            </w:r>
          </w:p>
        </w:tc>
        <w:tc>
          <w:tcPr>
            <w:tcW w:type="dxa" w:w="3119"/>
            <w:vAlign w:val="center"/>
          </w:tcPr>
          <w:p w:rsidP="006A5FB3" w:rsidR="006A5FB3" w:rsidRDefault="006A5FB3" w:rsidRPr="006A5FB3">
            <w:pPr>
              <w:adjustRightInd w:val="0"/>
              <w:snapToGrid w:val="0"/>
              <w:spacing w:before="156" w:beforeLines="50"/>
              <w:jc w:val="right"/>
              <w:rPr>
                <w:color w:themeColor="text1" w:val="000000"/>
                <w:sz w:val="24"/>
                <w:szCs w:val="24"/>
              </w:rPr>
            </w:pPr>
            <w:r w:rsidRPr="006A5FB3">
              <w:rPr>
                <w:color w:themeColor="text1" w:val="000000"/>
                <w:sz w:val="24"/>
                <w:szCs w:val="24"/>
              </w:rPr>
              <w:t>792.99</w:t>
            </w:r>
          </w:p>
        </w:tc>
      </w:tr>
      <w:tr w:rsidR="006A5FB3" w:rsidRPr="006A5FB3" w:rsidTr="006D75A5">
        <w:tc>
          <w:tcPr>
            <w:tcW w:type="dxa" w:w="2410"/>
            <w:vAlign w:val="center"/>
          </w:tcPr>
          <w:p w:rsidP="006A5FB3" w:rsidR="006A5FB3" w:rsidRDefault="006A5FB3" w:rsidRPr="006A5FB3">
            <w:pPr>
              <w:adjustRightInd w:val="0"/>
              <w:snapToGrid w:val="0"/>
              <w:spacing w:before="156" w:beforeLines="50"/>
              <w:rPr>
                <w:color w:themeColor="text1" w:val="000000"/>
                <w:sz w:val="24"/>
                <w:szCs w:val="24"/>
              </w:rPr>
            </w:pPr>
            <w:r w:rsidRPr="006A5FB3">
              <w:rPr>
                <w:sz w:val="24"/>
                <w:szCs w:val="24"/>
              </w:rPr>
              <w:t>当期持有基金产生的应支付管理费（元）</w:t>
            </w:r>
          </w:p>
        </w:tc>
        <w:tc>
          <w:tcPr>
            <w:tcW w:type="dxa" w:w="2835"/>
            <w:vAlign w:val="center"/>
          </w:tcPr>
          <w:p w:rsidP="006A5FB3" w:rsidR="006A5FB3" w:rsidRDefault="006A5FB3" w:rsidRPr="006A5FB3">
            <w:pPr>
              <w:adjustRightInd w:val="0"/>
              <w:snapToGrid w:val="0"/>
              <w:spacing w:before="156" w:beforeLines="50"/>
              <w:jc w:val="right"/>
              <w:rPr>
                <w:color w:themeColor="text1" w:val="000000"/>
                <w:sz w:val="24"/>
                <w:szCs w:val="24"/>
              </w:rPr>
            </w:pPr>
            <w:r w:rsidRPr="006A5FB3">
              <w:rPr>
                <w:color w:themeColor="text1" w:val="000000"/>
                <w:sz w:val="24"/>
                <w:szCs w:val="24"/>
              </w:rPr>
              <w:t/>
            </w:r>
            <w:proofErr w:type="spellStart"/>
            <w:r w:rsidRPr="006A5FB3">
              <w:rPr>
                <w:color w:themeColor="text1" w:val="000000"/>
                <w:sz w:val="24"/>
                <w:szCs w:val="24"/>
              </w:rPr>
              <w:t/>
            </w:r>
            <w:proofErr w:type="spellEnd"/>
            <w:r w:rsidRPr="006A5FB3">
              <w:rPr>
                <w:color w:themeColor="text1" w:val="000000"/>
                <w:sz w:val="24"/>
                <w:szCs w:val="24"/>
              </w:rPr>
              <w:t>31,921.99</w:t>
            </w:r>
          </w:p>
        </w:tc>
        <w:tc>
          <w:tcPr>
            <w:tcW w:type="dxa" w:w="3119"/>
            <w:vAlign w:val="center"/>
          </w:tcPr>
          <w:p w:rsidP="006A5FB3" w:rsidR="006A5FB3" w:rsidRDefault="006A5FB3" w:rsidRPr="006A5FB3">
            <w:pPr>
              <w:adjustRightInd w:val="0"/>
              <w:snapToGrid w:val="0"/>
              <w:spacing w:before="156" w:beforeLines="50"/>
              <w:jc w:val="right"/>
              <w:rPr>
                <w:color w:themeColor="text1" w:val="000000"/>
                <w:sz w:val="24"/>
                <w:szCs w:val="24"/>
              </w:rPr>
            </w:pPr>
            <w:r w:rsidRPr="006A5FB3">
              <w:rPr>
                <w:color w:themeColor="text1" w:val="000000"/>
                <w:sz w:val="24"/>
                <w:szCs w:val="24"/>
              </w:rPr>
              <w:t>10,072.73</w:t>
            </w:r>
          </w:p>
        </w:tc>
      </w:tr>
      <w:tr w:rsidR="006A5FB3" w:rsidRPr="006A5FB3" w:rsidTr="006D75A5">
        <w:tc>
          <w:tcPr>
            <w:tcW w:type="dxa" w:w="2410"/>
            <w:vAlign w:val="center"/>
          </w:tcPr>
          <w:p w:rsidP="006A5FB3" w:rsidR="006A5FB3" w:rsidRDefault="006A5FB3" w:rsidRPr="006A5FB3">
            <w:pPr>
              <w:adjustRightInd w:val="0"/>
              <w:snapToGrid w:val="0"/>
              <w:spacing w:before="156" w:beforeLines="50"/>
              <w:rPr>
                <w:color w:themeColor="text1" w:val="000000"/>
                <w:sz w:val="24"/>
                <w:szCs w:val="24"/>
              </w:rPr>
            </w:pPr>
            <w:r w:rsidRPr="006A5FB3">
              <w:rPr>
                <w:sz w:val="24"/>
                <w:szCs w:val="24"/>
              </w:rPr>
              <w:t>当期持有基金产生的应支付托管费（元）</w:t>
            </w:r>
          </w:p>
        </w:tc>
        <w:tc>
          <w:tcPr>
            <w:tcW w:type="dxa" w:w="2835"/>
            <w:vAlign w:val="center"/>
          </w:tcPr>
          <w:p w:rsidP="006A5FB3" w:rsidR="006A5FB3" w:rsidRDefault="006A5FB3" w:rsidRPr="006A5FB3">
            <w:pPr>
              <w:adjustRightInd w:val="0"/>
              <w:snapToGrid w:val="0"/>
              <w:spacing w:before="156" w:beforeLines="50"/>
              <w:jc w:val="right"/>
              <w:rPr>
                <w:color w:themeColor="text1" w:val="000000"/>
                <w:sz w:val="24"/>
                <w:szCs w:val="24"/>
              </w:rPr>
            </w:pPr>
            <w:r w:rsidRPr="006A5FB3">
              <w:rPr>
                <w:color w:themeColor="text1" w:val="000000"/>
                <w:sz w:val="24"/>
                <w:szCs w:val="24"/>
              </w:rPr>
              <w:t/>
            </w:r>
            <w:proofErr w:type="spellStart"/>
            <w:r w:rsidRPr="006A5FB3">
              <w:rPr>
                <w:color w:themeColor="text1" w:val="000000"/>
                <w:sz w:val="24"/>
                <w:szCs w:val="24"/>
              </w:rPr>
              <w:t/>
            </w:r>
            <w:proofErr w:type="spellEnd"/>
            <w:r w:rsidRPr="006A5FB3">
              <w:rPr>
                <w:color w:themeColor="text1" w:val="000000"/>
                <w:sz w:val="24"/>
                <w:szCs w:val="24"/>
              </w:rPr>
              <w:t>6,540.43</w:t>
            </w:r>
          </w:p>
        </w:tc>
        <w:tc>
          <w:tcPr>
            <w:tcW w:type="dxa" w:w="3119"/>
            <w:vAlign w:val="center"/>
          </w:tcPr>
          <w:p w:rsidP="006A5FB3" w:rsidR="006A5FB3" w:rsidRDefault="006A5FB3" w:rsidRPr="006A5FB3">
            <w:pPr>
              <w:adjustRightInd w:val="0"/>
              <w:snapToGrid w:val="0"/>
              <w:spacing w:before="156" w:beforeLines="50"/>
              <w:jc w:val="right"/>
              <w:rPr>
                <w:color w:themeColor="text1" w:val="000000"/>
                <w:sz w:val="24"/>
                <w:szCs w:val="24"/>
              </w:rPr>
            </w:pPr>
            <w:r w:rsidRPr="006A5FB3">
              <w:rPr>
                <w:color w:themeColor="text1" w:val="000000"/>
                <w:sz w:val="24"/>
                <w:szCs w:val="24"/>
              </w:rPr>
              <w:t>2,293.36</w:t>
            </w:r>
          </w:p>
        </w:tc>
      </w:tr>
      <w:tr>
        <w:tc>
          <w:tcPr>
            <w:vAlign w:val="center"/>
          </w:tcPr>
          <w:p>
            <w:pPr>
              <w:jc w:val="left"/>
            </w:pPr>
            <w:r>
              <w:rPr>
                <w:color w:themeColor="text1" w:val="000000"/>
                <w:sz w:val="24"/>
                <w:szCs w:val="24"/>
              </w:rPr>
              <w:t>当期交易所交易基金产生的交易费（元）</w:t>
            </w:r>
          </w:p>
        </w:tc>
        <w:tc>
          <w:tcPr>
            <w:vAlign w:val="center"/>
          </w:tcPr>
          <w:p>
            <w:pPr>
              <w:jc w:val="right"/>
            </w:pPr>
            <w:r>
              <w:rPr>
                <w:color w:themeColor="text1" w:val="000000"/>
                <w:sz w:val="24"/>
                <w:szCs w:val="24"/>
              </w:rPr>
              <w:t>213.36</w:t>
            </w:r>
          </w:p>
        </w:tc>
        <w:tc>
          <w:tcPr>
            <w:vAlign w:val="center"/>
          </w:tcPr>
          <w:p>
            <w:pPr>
              <w:jc w:val="right"/>
            </w:pPr>
            <w:r>
              <w:rPr>
                <w:color w:themeColor="text1" w:val="000000"/>
                <w:sz w:val="24"/>
                <w:szCs w:val="24"/>
              </w:rPr>
              <w:t>48.35</w:t>
            </w:r>
          </w:p>
        </w:tc>
      </w:tr>
      <w:tr>
        <w:tc>
          <w:tcPr>
            <w:vAlign w:val="center"/>
          </w:tcPr>
          <w:p>
            <w:pPr>
              <w:jc w:val="left"/>
            </w:pPr>
            <w:r>
              <w:rPr>
                <w:color w:themeColor="text1" w:val="000000"/>
                <w:sz w:val="24"/>
                <w:szCs w:val="24"/>
              </w:rPr>
              <w:t>当期交易基金产生的转换费（元）</w:t>
            </w:r>
          </w:p>
        </w:tc>
        <w:tc>
          <w:tcPr>
            <w:vAlign w:val="center"/>
          </w:tcPr>
          <w:p>
            <w:pPr>
              <w:jc w:val="right"/>
            </w:pPr>
            <w:r>
              <w:rPr>
                <w:color w:themeColor="text1" w:val="000000"/>
                <w:sz w:val="24"/>
                <w:szCs w:val="24"/>
              </w:rPr>
              <w:t>2,637.82</w:t>
            </w:r>
          </w:p>
        </w:tc>
        <w:tc>
          <w:tcPr>
            <w:vAlign w:val="center"/>
          </w:tcPr>
          <w:p>
            <w:pPr>
              <w:jc w:val="right"/>
            </w:pPr>
            <w:r>
              <w:rPr>
                <w:color w:themeColor="text1" w:val="000000"/>
                <w:sz w:val="24"/>
                <w:szCs w:val="24"/>
              </w:rPr>
              <w:t>1,524.26</w:t>
            </w:r>
          </w:p>
        </w:tc>
      </w:tr>
    </w:tbl>
    <w:p>
      <w:pPr>
        <w:pStyle w:val="11"/>
        <w:spacing w:line="360" w:lineRule="auto"/>
        <w:ind w:firstLine="420"/>
        <w:jc w:val="left"/>
        <w:rPr>
          <w:sz w:val="24"/>
        </w:rPr>
      </w:pPr>
      <w:r>
        <w:rPr>
          <w:sz w:val="24"/>
        </w:rPr>
        <w:t xml:space="preserve">注：当期持有基金产生的应支付销售服务费、应支付管理费、应支付托管费按照被投资基金基金合同约定已作为费用计入被投资基金的基金份额净值，上表列示金额为按照本基金对被投资基金的实际持仓情况根据被投资基金基金合同约定的相应费率计算得出。 </w:t>
      </w:r>
    </w:p>
    <w:p w:rsidP="006A5FB3" w:rsidR="006A5FB3" w:rsidRDefault="006A5FB3" w:rsidRPr="006A5FB3">
      <w:pPr>
        <w:pStyle w:val="11"/>
        <w:spacing w:line="360" w:lineRule="auto"/>
        <w:ind w:firstLine="420"/>
        <w:jc w:val="left"/>
        <w:rPr>
          <w:sz w:val="24"/>
        </w:rPr>
      </w:pPr>
      <w:r w:rsidRPr="006A5FB3">
        <w:rPr>
          <w:sz w:val="24"/>
        </w:rPr>
        <w:t>根据相关法律法规及本基金合同的约定，基金管理人不得对基金中基金财产中持有的自身管理的基金部分收取基金中基金的管理费，基金托管人不得对基金中基金财产中持有的自身托管的基金部分收取基金中基金的托管费。基金管理人运用本基金财产申购自身管理的其他基金的（ETF除外），应当通过直销渠道申购且不收取申购费、赎回费（按照相关法规、基金招募说明书约定应当收取，并计入基金资产的赎回费用除外）、销售服务费等销售费用，其中申购费、赎回费在实际申购、赎回时按上述规定执行，销售服务费由本基金管理人从被投资基金收取后返还至本基金基金资产。</w:t>
      </w:r>
    </w:p>
    <w:p w:rsidP="006A5FB3" w:rsidR="006A5FB3" w:rsidRDefault="006A5FB3" w:rsidRPr="006A5FB3">
      <w:pPr>
        <w:autoSpaceDE w:val="0"/>
        <w:autoSpaceDN w:val="0"/>
        <w:adjustRightInd w:val="0"/>
        <w:spacing w:line="360" w:lineRule="auto"/>
        <w:jc w:val="left"/>
        <w:rPr>
          <w:color w:val="000000"/>
          <w:sz w:val="24"/>
          <w:szCs w:val="24"/>
        </w:rPr>
      </w:pPr>
      <w:r w:rsidRPr="006A5FB3">
        <w:rPr>
          <w:color w:val="000000"/>
          <w:sz w:val="24"/>
          <w:szCs w:val="24"/>
        </w:rPr>
        <w:lastRenderedPageBreak/>
        <w:t/>
      </w:r>
      <w:proofErr w:type="spellStart"/>
      <w:r w:rsidRPr="006A5FB3">
        <w:rPr>
          <w:color w:val="000000"/>
          <w:sz w:val="24"/>
          <w:szCs w:val="24"/>
        </w:rPr>
        <w:t/>
      </w:r>
      <w:proofErr w:type="spellEnd"/>
      <w:r w:rsidRPr="006A5FB3">
        <w:rPr>
          <w:color w:val="000000"/>
          <w:sz w:val="24"/>
          <w:szCs w:val="24"/>
        </w:rPr>
        <w:t xml:space="preserve">6.3 </w:t>
      </w:r>
      <w:r w:rsidRPr="006A5FB3">
        <w:rPr>
          <w:color w:val="000000"/>
          <w:sz w:val="24"/>
          <w:szCs w:val="24"/>
        </w:rPr>
        <w:t>本报告期持有的基金发生的重大影响事件</w:t>
      </w:r>
    </w:p>
    <w:tbl>
      <w:tblPr>
        <w:tblStyle w:val="af7"/>
        <w:tblW w:type="auto" w:w="0"/>
        <w:tblInd w:type="dxa" w:w="108"/>
        <w:tblLook w:firstColumn="1" w:firstRow="1" w:lastColumn="0" w:lastRow="0" w:noHBand="0" w:noVBand="1" w:val="04A0"/>
      </w:tblPr>
      <w:tblGrid>
        <w:gridCol w:w="8420"/>
      </w:tblGrid>
      <w:tr w:rsidR="006A5FB3" w:rsidRPr="006A5FB3" w:rsidTr="00F94C5F">
        <w:tc>
          <w:tcPr>
            <w:tcW w:type="dxa" w:w="8789"/>
            <w:vAlign w:val="center"/>
          </w:tcPr>
          <w:p w:rsidP="00F94C5F" w:rsidR="006A5FB3" w:rsidRDefault="006A5FB3" w:rsidRPr="006A5FB3">
            <w:pPr>
              <w:autoSpaceDE w:val="0"/>
              <w:autoSpaceDN w:val="0"/>
              <w:adjustRightInd w:val="0"/>
              <w:rPr>
                <w:color w:themeColor="text1" w:val="000000"/>
                <w:sz w:val="24"/>
                <w:szCs w:val="24"/>
              </w:rPr>
            </w:pPr>
            <w:r w:rsidRPr="006A5FB3">
              <w:rPr>
                <w:color w:themeColor="text1" w:val="000000"/>
                <w:sz w:val="24"/>
                <w:szCs w:val="24"/>
              </w:rPr>
              <w:t>本基金持有的基金在报告期未发生重大影响事件。</w:t>
            </w:r>
          </w:p>
        </w:tc>
      </w:tr>
    </w:tbl>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006D75A5" w:rsidRPr="006A5FB3">
        <w:rPr>
          <w:color w:val="000000"/>
          <w:kern w:val="0"/>
          <w:sz w:val="24"/>
          <w:szCs w:val="24"/>
        </w:rPr>
        <w:t>7</w:t>
      </w:r>
      <w:r w:rsidRPr="00264E55">
        <w:rPr>
          <w:rFonts w:ascii="宋体" w:hAnsi="宋体"/>
          <w:color w:val="000000"/>
          <w:kern w:val="0"/>
          <w:sz w:val="24"/>
          <w:szCs w:val="24"/>
        </w:rPr>
        <w:t xml:space="preserve">  </w:t>
      </w:r>
      <w:r w:rsidRPr="00264E55">
        <w:rPr>
          <w:rFonts w:ascii="宋体" w:hAnsi="宋体" w:hint="eastAsia"/>
          <w:color w:val="000000"/>
          <w:kern w:val="0"/>
          <w:sz w:val="24"/>
          <w:szCs w:val="24"/>
        </w:rPr>
        <w:t>开放式基金份额变动</w:t>
      </w:r>
    </w:p>
    <w:p w:rsidP="004061AC" w:rsidR="00750D48" w:rsidRDefault="00750D48" w:rsidRPr="00264E55">
      <w:pPr>
        <w:autoSpaceDE w:val="0"/>
        <w:autoSpaceDN w:val="0"/>
        <w:adjustRightInd w:val="0"/>
        <w:spacing w:before="29" w:line="360" w:lineRule="auto"/>
        <w:ind w:left="15"/>
        <w:jc w:val="right"/>
        <w:rPr>
          <w:rFonts w:ascii="宋体"/>
          <w:color w:val="000000"/>
          <w:kern w:val="0"/>
          <w:sz w:val="24"/>
          <w:szCs w:val="24"/>
        </w:rPr>
      </w:pPr>
      <w:r w:rsidRPr="00264E55">
        <w:rPr>
          <w:rFonts w:ascii="宋体" w:cs="宋体" w:hAnsi="宋体" w:hint="eastAsia"/>
          <w:color w:val="000000"/>
          <w:kern w:val="0"/>
          <w:sz w:val="24"/>
          <w:szCs w:val="24"/>
        </w:rPr>
        <w:t>单位：份</w:t>
      </w:r>
    </w:p>
    <w:tbl>
      <w:tblPr>
        <w:tblW w:type="auto" w:w="0"/>
        <w:tblInd w:type="dxa" w:w="-106"/>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firstColumn="0" w:firstRow="0" w:lastColumn="0" w:lastRow="0" w:noHBand="0" w:noVBand="0" w:val="0000"/>
      </w:tblPr>
      <w:tblGrid>
        <w:gridCol w:w="4609"/>
        <w:gridCol w:w="4025"/>
      </w:tblGrid>
      <w:tr w:rsidR="00750D48" w:rsidRPr="00264E55" w:rsidTr="00D94CCE">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报告期期初基金份额总额</w:t>
            </w:r>
          </w:p>
        </w:tc>
        <w:tc>
          <w:tcPr>
            <w:tcW w:type="dxa" w:w="4025"/>
            <w:vAlign w:val="center"/>
          </w:tcPr>
          <w:p w:rsidP="00924582"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12,713,659.24</w:t>
            </w:r>
          </w:p>
        </w:tc>
      </w:tr>
      <w:tr w:rsidR="00750D48" w:rsidRPr="00264E55" w:rsidTr="00D94CCE">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报告期</w:t>
            </w:r>
            <w:r w:rsidRPr="00B227EA">
              <w:rPr>
                <w:color w:val="000000"/>
                <w:kern w:val="0"/>
                <w:sz w:val="24"/>
                <w:szCs w:val="24"/>
              </w:rPr>
              <w:t>基金总申购份额</w:t>
            </w:r>
          </w:p>
        </w:tc>
        <w:tc>
          <w:tcPr>
            <w:tcW w:type="dxa" w:w="4025"/>
            <w:vAlign w:val="center"/>
          </w:tcPr>
          <w:p w:rsidP="00924582"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686,081.22</w:t>
            </w:r>
          </w:p>
        </w:tc>
      </w:tr>
      <w:tr w:rsidR="00750D48" w:rsidRPr="00264E55" w:rsidTr="00D94CCE">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减：</w:t>
            </w: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报告期</w:t>
            </w:r>
            <w:r w:rsidRPr="00B227EA">
              <w:rPr>
                <w:color w:val="000000"/>
                <w:kern w:val="0"/>
                <w:sz w:val="24"/>
                <w:szCs w:val="24"/>
              </w:rPr>
              <w:t>基金总赎回份额</w:t>
            </w:r>
          </w:p>
        </w:tc>
        <w:tc>
          <w:tcPr>
            <w:tcW w:type="dxa" w:w="4025"/>
            <w:vAlign w:val="center"/>
          </w:tcPr>
          <w:p w:rsidP="00924582"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w:t>
            </w:r>
          </w:p>
        </w:tc>
      </w:tr>
      <w:tr w:rsidR="00750D48" w:rsidRPr="00264E55" w:rsidTr="00D94CCE">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报告期</w:t>
            </w:r>
            <w:r w:rsidRPr="00B227EA">
              <w:rPr>
                <w:color w:val="000000"/>
                <w:kern w:val="0"/>
                <w:sz w:val="24"/>
                <w:szCs w:val="24"/>
              </w:rPr>
              <w:t>基金拆分变动份额</w:t>
            </w:r>
            <w:r w:rsidR="00990A8C" w:rsidRPr="00921BFA">
              <w:rPr>
                <w:rFonts w:hint="eastAsia"/>
                <w:color w:val="000000"/>
                <w:kern w:val="0"/>
                <w:sz w:val="24"/>
                <w:szCs w:val="24"/>
              </w:rPr>
              <w:t>（份额减少以“</w:t>
            </w:r>
            <w:r w:rsidR="00990A8C" w:rsidRPr="00921BFA">
              <w:rPr>
                <w:rFonts w:hint="eastAsia"/>
                <w:color w:val="000000"/>
                <w:kern w:val="0"/>
                <w:sz w:val="24"/>
                <w:szCs w:val="24"/>
              </w:rPr>
              <w:t>-</w:t>
            </w:r>
            <w:r w:rsidR="00990A8C" w:rsidRPr="00921BFA">
              <w:rPr>
                <w:rFonts w:hint="eastAsia"/>
                <w:color w:val="000000"/>
                <w:kern w:val="0"/>
                <w:sz w:val="24"/>
                <w:szCs w:val="24"/>
              </w:rPr>
              <w:t>”填列）</w:t>
            </w:r>
          </w:p>
        </w:tc>
        <w:tc>
          <w:tcPr>
            <w:tcW w:type="dxa" w:w="4025"/>
            <w:vAlign w:val="center"/>
          </w:tcPr>
          <w:p w:rsidP="00924582"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w:t>
            </w:r>
          </w:p>
        </w:tc>
      </w:tr>
      <w:tr w:rsidR="00750D48" w:rsidRPr="00264E55" w:rsidTr="00D94CCE">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报告期期末基金份额总额</w:t>
            </w:r>
          </w:p>
        </w:tc>
        <w:tc>
          <w:tcPr>
            <w:tcW w:type="dxa" w:w="4025"/>
            <w:vAlign w:val="center"/>
          </w:tcPr>
          <w:p w:rsidP="000A2B53"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13,399,740.46</w:t>
            </w:r>
          </w:p>
        </w:tc>
      </w:tr>
    </w:tbl>
    <w:p w:rsidP="004D28A3" w:rsidR="00750D48" w:rsidRDefault="00750D48">
      <w:pPr>
        <w:pStyle w:val="1"/>
        <w:tabs>
          <w:tab w:pos="4156" w:val="center"/>
          <w:tab w:pos="8312" w:val="right"/>
        </w:tabs>
        <w:spacing w:after="312" w:afterLines="100" w:before="312" w:beforeLines="100" w:line="360" w:lineRule="auto"/>
        <w:jc w:val="center"/>
        <w:rPr>
          <w:rFonts w:ascii="方正仿宋简体"/>
          <w:sz w:val="24"/>
          <w:szCs w:val="24"/>
        </w:rPr>
      </w:pPr>
      <w:r>
        <w:rPr>
          <w:rFonts w:ascii="宋体" w:cs="Arial" w:hAnsi="宋体" w:hint="eastAsia"/>
          <w:color w:val="000000"/>
          <w:kern w:val="0"/>
          <w:sz w:val="24"/>
          <w:szCs w:val="24"/>
        </w:rPr>
        <w:t>§</w:t>
      </w:r>
      <w:r>
        <w:rPr>
          <w:rFonts w:ascii="宋体" w:cs="Arial"/>
          <w:color w:val="000000"/>
          <w:kern w:val="0"/>
          <w:sz w:val="24"/>
          <w:szCs w:val="24"/>
        </w:rPr>
        <w:t/>
      </w:r>
      <w:r>
        <w:rPr>
          <w:rFonts w:ascii="宋体" w:cs="Arial" w:hAnsi="宋体"/>
          <w:color w:val="000000"/>
          <w:kern w:val="0"/>
          <w:sz w:val="24"/>
          <w:szCs w:val="24"/>
        </w:rPr>
        <w:t/>
      </w:r>
      <w:r w:rsidR="00160E0A">
        <w:rPr>
          <w:rFonts w:ascii="宋体" w:cs="Arial" w:hAnsi="宋体"/>
          <w:color w:val="000000"/>
          <w:kern w:val="0"/>
          <w:sz w:val="24"/>
          <w:szCs w:val="24"/>
        </w:rPr>
        <w:t/>
      </w:r>
      <w:r>
        <w:rPr>
          <w:rFonts w:ascii="宋体" w:cs="Arial" w:hAnsi="宋体"/>
          <w:color w:val="000000"/>
          <w:kern w:val="0"/>
          <w:sz w:val="24"/>
          <w:szCs w:val="24"/>
        </w:rPr>
        <w:t xml:space="preserve">8  </w:t>
      </w:r>
      <w:r>
        <w:rPr>
          <w:rFonts w:ascii="方正仿宋简体" w:hint="eastAsia"/>
          <w:sz w:val="24"/>
          <w:szCs w:val="24"/>
        </w:rPr>
        <w:t>基金管理人运用固有资金投资本基金情况</w:t>
      </w:r>
    </w:p>
    <w:p w:rsidP="00EB374A" w:rsidR="00750D48" w:rsidRDefault="00750D48">
      <w:pPr>
        <w:spacing w:line="360" w:lineRule="auto"/>
        <w:jc w:val="left"/>
        <w:rPr>
          <w:sz w:val="24"/>
          <w:szCs w:val="24"/>
        </w:rPr>
      </w:pPr>
      <w:r>
        <w:rPr>
          <w:b/>
          <w:sz w:val="24"/>
        </w:rPr>
        <w:t/>
      </w:r>
      <w:proofErr w:type="spellStart"/>
      <w:r>
        <w:rPr>
          <w:b/>
          <w:sz w:val="24"/>
        </w:rPr>
        <w:t/>
      </w:r>
      <w:proofErr w:type="spellEnd"/>
      <w:r>
        <w:rPr>
          <w:b/>
          <w:sz w:val="24"/>
        </w:rPr>
        <w:t xml:space="preserve">8.1 </w:t>
      </w:r>
      <w:r>
        <w:rPr>
          <w:rFonts w:hint="eastAsia"/>
          <w:b/>
          <w:sz w:val="24"/>
        </w:rPr>
        <w:t>基金管理人持有本基金份额变动情况</w:t>
      </w:r>
    </w:p>
    <w:p w:rsidP="00AC11B0" w:rsidR="00AC11B0" w:rsidRDefault="00AC11B0" w:rsidRPr="005A564A">
      <w:pPr>
        <w:autoSpaceDE w:val="0"/>
        <w:autoSpaceDN w:val="0"/>
        <w:adjustRightInd w:val="0"/>
        <w:spacing w:before="29" w:line="360" w:lineRule="auto"/>
        <w:ind w:left="15"/>
        <w:jc w:val="right"/>
        <w:rPr>
          <w:sz w:val="24"/>
        </w:rPr>
      </w:pPr>
      <w:r w:rsidRPr="005A564A">
        <w:rPr>
          <w:sz w:val="24"/>
        </w:rPr>
        <w:t/>
      </w:r>
      <w:proofErr w:type="spellStart"/>
      <w:r w:rsidRPr="005A564A">
        <w:rPr>
          <w:sz w:val="24"/>
        </w:rPr>
        <w:t/>
      </w:r>
      <w:proofErr w:type="spellEnd"/>
      <w:r w:rsidRPr="005A564A">
        <w:rPr>
          <w:sz w:val="24"/>
        </w:rPr>
        <w:t/>
      </w:r>
      <w:r w:rsidRPr="005A564A">
        <w:rPr>
          <w:sz w:val="24"/>
        </w:rPr>
        <w:t>单位：份</w:t>
      </w:r>
    </w:p>
    <w:tbl>
      <w:tblPr>
        <w:tblW w:type="dxa" w:w="8415"/>
        <w:tblInd w:type="dxa" w:w="108"/>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firstColumn="1" w:firstRow="1" w:lastColumn="0" w:lastRow="0" w:noHBand="0" w:noVBand="1" w:val="04A0"/>
      </w:tblPr>
      <w:tblGrid>
        <w:gridCol w:w="5037"/>
        <w:gridCol w:w="3378"/>
      </w:tblGrid>
      <w:tr w:rsidR="00AC11B0" w:rsidRPr="003B42FF" w:rsidTr="00D94CCE">
        <w:tc>
          <w:tcPr>
            <w:tcW w:type="dxa" w:w="5037"/>
            <w:vAlign w:val="center"/>
            <w:hideMark/>
          </w:tcPr>
          <w:p w:rsidP="003328D9" w:rsidR="00AC11B0" w:rsidRDefault="00AC11B0" w:rsidRPr="003B42FF">
            <w:pPr>
              <w:pStyle w:val="ad"/>
              <w:adjustRightInd w:val="0"/>
              <w:snapToGrid w:val="0"/>
              <w:spacing w:line="360" w:lineRule="exact"/>
              <w:rPr>
                <w:rFonts w:eastAsiaTheme="minorEastAsia"/>
                <w:color w:themeColor="text1" w:val="000000"/>
              </w:rPr>
            </w:pPr>
            <w:r w:rsidRPr="003B42FF">
              <w:rPr>
                <w:rFonts w:eastAsiaTheme="minorEastAsia"/>
                <w:color w:themeColor="text1" w:val="000000"/>
              </w:rPr>
              <w:t>报告期期初管理人持有的本基金份额</w:t>
            </w:r>
            <w:r w:rsidRPr="003B42FF">
              <w:rPr>
                <w:rFonts w:eastAsiaTheme="minorEastAsia"/>
                <w:bCs/>
                <w:color w:val="000000"/>
              </w:rPr>
              <w:t/>
            </w:r>
            <w:proofErr w:type="spellStart"/>
            <w:r w:rsidRPr="003B42FF">
              <w:rPr>
                <w:rFonts w:eastAsiaTheme="minorEastAsia"/>
                <w:bCs/>
                <w:color w:val="000000"/>
              </w:rPr>
              <w:t/>
            </w:r>
            <w:proofErr w:type="spellEnd"/>
            <w:r w:rsidRPr="003B42FF">
              <w:rPr>
                <w:rFonts w:eastAsiaTheme="minorEastAsia"/>
                <w:bCs/>
                <w:color w:val="000000"/>
              </w:rPr>
              <w:t/>
            </w:r>
            <w:r w:rsidRPr="003B42FF">
              <w:rPr>
                <w:rFonts w:eastAsiaTheme="minorEastAsia"/>
                <w:color w:themeColor="text1" w:val="000000"/>
              </w:rPr>
              <w:t/>
            </w:r>
            <w:proofErr w:type="spellStart"/>
            <w:r w:rsidRPr="003B42FF">
              <w:rPr>
                <w:rFonts w:eastAsiaTheme="minorEastAsia"/>
                <w:color w:themeColor="text1" w:val="000000"/>
              </w:rPr>
              <w:t/>
            </w:r>
            <w:proofErr w:type="spellEnd"/>
            <w:r w:rsidRPr="003B42FF">
              <w:rPr>
                <w:rFonts w:eastAsiaTheme="minorEastAsia"/>
                <w:color w:themeColor="text1" w:val="000000"/>
              </w:rPr>
              <w:t/>
            </w:r>
          </w:p>
        </w:tc>
        <w:tc>
          <w:tcPr>
            <w:tcW w:type="dxa" w:w="3378"/>
            <w:vAlign w:val="center"/>
            <w:hideMark/>
          </w:tcPr>
          <w:p w:rsidP="003328D9" w:rsidR="00AC11B0" w:rsidRDefault="00AC11B0" w:rsidRPr="003B42FF">
            <w:pPr>
              <w:jc w:val="right"/>
              <w:rPr>
                <w:rFonts w:eastAsiaTheme="minorEastAsia"/>
                <w:color w:themeColor="text1" w:val="000000"/>
                <w:sz w:val="24"/>
                <w:szCs w:val="24"/>
              </w:rPr>
            </w:pPr>
            <w:r w:rsidRPr="003B42FF">
              <w:rPr>
                <w:rFonts w:eastAsiaTheme="minorEastAsia"/>
                <w:color w:themeColor="text1" w:val="000000"/>
                <w:sz w:val="24"/>
                <w:szCs w:val="24"/>
              </w:rPr>
              <w:t>10,000,000.00</w:t>
            </w:r>
          </w:p>
        </w:tc>
      </w:tr>
      <w:tr w:rsidR="00AC11B0" w:rsidRPr="003B42FF" w:rsidTr="00D94CCE">
        <w:tc>
          <w:tcPr>
            <w:tcW w:type="dxa" w:w="5037"/>
            <w:vAlign w:val="center"/>
            <w:hideMark/>
          </w:tcPr>
          <w:p w:rsidP="003328D9" w:rsidR="00AC11B0" w:rsidRDefault="00AC11B0" w:rsidRPr="003B42FF">
            <w:pPr>
              <w:adjustRightInd w:val="0"/>
              <w:snapToGrid w:val="0"/>
              <w:spacing w:line="360" w:lineRule="exact"/>
              <w:rPr>
                <w:rFonts w:eastAsiaTheme="minorEastAsia"/>
                <w:color w:themeColor="text1" w:val="000000"/>
                <w:sz w:val="24"/>
                <w:szCs w:val="24"/>
              </w:rPr>
            </w:pPr>
            <w:r w:rsidRPr="003B42FF">
              <w:rPr>
                <w:rFonts w:eastAsiaTheme="minorEastAsia"/>
                <w:color w:themeColor="text1" w:val="000000"/>
                <w:kern w:val="0"/>
                <w:sz w:val="24"/>
                <w:szCs w:val="24"/>
              </w:rPr>
              <w:t/>
            </w:r>
            <w:proofErr w:type="spellStart"/>
            <w:r w:rsidRPr="003B42FF">
              <w:rPr>
                <w:rFonts w:eastAsiaTheme="minorEastAsia"/>
                <w:color w:themeColor="text1" w:val="000000"/>
                <w:kern w:val="0"/>
                <w:sz w:val="24"/>
                <w:szCs w:val="24"/>
              </w:rPr>
              <w:t/>
            </w:r>
            <w:r w:rsidR="00DA718D">
              <w:rPr>
                <w:color w:val="000000"/>
                <w:kern w:val="0"/>
                <w:sz w:val="24"/>
              </w:rPr>
              <w:t/>
            </w:r>
            <w:proofErr w:type="spellEnd"/>
            <w:r w:rsidRPr="003B42FF">
              <w:rPr>
                <w:rFonts w:eastAsiaTheme="minorEastAsia"/>
                <w:color w:themeColor="text1" w:val="000000"/>
                <w:kern w:val="0"/>
                <w:sz w:val="24"/>
                <w:szCs w:val="24"/>
              </w:rPr>
              <w:t>报告期</w:t>
            </w:r>
            <w:r w:rsidR="00B53067" w:rsidRPr="00B53067">
              <w:rPr>
                <w:rFonts w:eastAsiaTheme="minorEastAsia"/>
                <w:color w:themeColor="text1" w:val="000000"/>
                <w:sz w:val="24"/>
                <w:szCs w:val="24"/>
              </w:rPr>
              <w:t>期间</w:t>
            </w:r>
            <w:r w:rsidRPr="003B42FF">
              <w:rPr>
                <w:rFonts w:eastAsiaTheme="minorEastAsia"/>
                <w:color w:themeColor="text1" w:val="000000"/>
                <w:sz w:val="24"/>
                <w:szCs w:val="24"/>
              </w:rPr>
              <w:t>买入</w:t>
            </w:r>
            <w:r w:rsidRPr="003B42FF">
              <w:rPr>
                <w:rFonts w:eastAsiaTheme="minorEastAsia"/>
                <w:color w:themeColor="text1" w:val="000000"/>
                <w:sz w:val="24"/>
                <w:szCs w:val="24"/>
              </w:rPr>
              <w:t>/</w:t>
            </w:r>
            <w:r w:rsidRPr="003B42FF">
              <w:rPr>
                <w:rFonts w:eastAsiaTheme="minorEastAsia"/>
                <w:color w:themeColor="text1" w:val="000000"/>
                <w:sz w:val="24"/>
                <w:szCs w:val="24"/>
              </w:rPr>
              <w:t>申购总份额</w:t>
            </w:r>
          </w:p>
        </w:tc>
        <w:tc>
          <w:tcPr>
            <w:tcW w:type="dxa" w:w="3378"/>
            <w:vAlign w:val="center"/>
            <w:hideMark/>
          </w:tcPr>
          <w:p w:rsidP="003328D9" w:rsidR="00AC11B0" w:rsidRDefault="00AC11B0" w:rsidRPr="003B42FF">
            <w:pPr>
              <w:jc w:val="right"/>
              <w:rPr>
                <w:rFonts w:eastAsiaTheme="minorEastAsia"/>
                <w:color w:themeColor="text1" w:val="000000"/>
                <w:kern w:val="0"/>
                <w:sz w:val="24"/>
                <w:szCs w:val="24"/>
              </w:rPr>
            </w:pPr>
            <w:r w:rsidRPr="003B42FF">
              <w:rPr>
                <w:rFonts w:eastAsiaTheme="minorEastAsia"/>
                <w:color w:themeColor="text1" w:val="000000"/>
                <w:sz w:val="24"/>
                <w:szCs w:val="24"/>
              </w:rPr>
              <w:t/>
            </w:r>
            <w:proofErr w:type="spellStart"/>
            <w:r w:rsidRPr="003B42FF">
              <w:rPr>
                <w:rFonts w:eastAsiaTheme="minorEastAsia"/>
                <w:color w:themeColor="text1" w:val="000000"/>
                <w:sz w:val="24"/>
                <w:szCs w:val="24"/>
              </w:rPr>
              <w:t/>
            </w:r>
            <w:proofErr w:type="spellEnd"/>
            <w:r w:rsidRPr="003B42FF">
              <w:rPr>
                <w:rFonts w:eastAsiaTheme="minorEastAsia"/>
                <w:color w:themeColor="text1" w:val="000000"/>
                <w:sz w:val="24"/>
                <w:szCs w:val="24"/>
              </w:rPr>
              <w:t>-</w:t>
            </w:r>
          </w:p>
        </w:tc>
      </w:tr>
      <w:tr w:rsidR="00AC11B0" w:rsidRPr="003B42FF" w:rsidTr="00D94CCE">
        <w:tc>
          <w:tcPr>
            <w:tcW w:type="dxa" w:w="5037"/>
            <w:vAlign w:val="center"/>
            <w:hideMark/>
          </w:tcPr>
          <w:p w:rsidP="003328D9" w:rsidR="00AC11B0" w:rsidRDefault="00AC11B0" w:rsidRPr="003B42FF">
            <w:pPr>
              <w:adjustRightInd w:val="0"/>
              <w:snapToGrid w:val="0"/>
              <w:spacing w:line="360" w:lineRule="exact"/>
              <w:rPr>
                <w:rFonts w:eastAsiaTheme="minorEastAsia"/>
                <w:color w:themeColor="text1" w:val="000000"/>
                <w:sz w:val="24"/>
                <w:szCs w:val="24"/>
              </w:rPr>
            </w:pPr>
            <w:r w:rsidRPr="003B42FF">
              <w:rPr>
                <w:rFonts w:eastAsiaTheme="minorEastAsia"/>
                <w:color w:themeColor="text1" w:val="000000"/>
                <w:kern w:val="0"/>
                <w:sz w:val="24"/>
                <w:szCs w:val="24"/>
              </w:rPr>
              <w:t/>
            </w:r>
            <w:proofErr w:type="spellStart"/>
            <w:r w:rsidRPr="003B42FF">
              <w:rPr>
                <w:rFonts w:eastAsiaTheme="minorEastAsia"/>
                <w:color w:themeColor="text1" w:val="000000"/>
                <w:kern w:val="0"/>
                <w:sz w:val="24"/>
                <w:szCs w:val="24"/>
              </w:rPr>
              <w:t/>
            </w:r>
            <w:r w:rsidR="00DA718D">
              <w:rPr>
                <w:color w:val="000000"/>
                <w:kern w:val="0"/>
                <w:sz w:val="24"/>
              </w:rPr>
              <w:t/>
            </w:r>
            <w:proofErr w:type="spellEnd"/>
            <w:r w:rsidRPr="003B42FF">
              <w:rPr>
                <w:rFonts w:eastAsiaTheme="minorEastAsia"/>
                <w:color w:themeColor="text1" w:val="000000"/>
                <w:kern w:val="0"/>
                <w:sz w:val="24"/>
                <w:szCs w:val="24"/>
              </w:rPr>
              <w:t>报告期</w:t>
            </w:r>
            <w:r w:rsidR="00B53067" w:rsidRPr="00B53067">
              <w:rPr>
                <w:rFonts w:eastAsiaTheme="minorEastAsia"/>
                <w:color w:themeColor="text1" w:val="000000"/>
                <w:sz w:val="24"/>
                <w:szCs w:val="24"/>
              </w:rPr>
              <w:t>期间</w:t>
            </w:r>
            <w:r w:rsidRPr="003B42FF">
              <w:rPr>
                <w:rFonts w:eastAsiaTheme="minorEastAsia"/>
                <w:color w:themeColor="text1" w:val="000000"/>
                <w:sz w:val="24"/>
                <w:szCs w:val="24"/>
              </w:rPr>
              <w:t>卖出</w:t>
            </w:r>
            <w:r w:rsidRPr="003B42FF">
              <w:rPr>
                <w:rFonts w:eastAsiaTheme="minorEastAsia"/>
                <w:color w:themeColor="text1" w:val="000000"/>
                <w:sz w:val="24"/>
                <w:szCs w:val="24"/>
              </w:rPr>
              <w:t>/</w:t>
            </w:r>
            <w:r w:rsidRPr="003B42FF">
              <w:rPr>
                <w:rFonts w:eastAsiaTheme="minorEastAsia"/>
                <w:color w:themeColor="text1" w:val="000000"/>
                <w:sz w:val="24"/>
                <w:szCs w:val="24"/>
              </w:rPr>
              <w:t>赎回总份额</w:t>
            </w:r>
          </w:p>
        </w:tc>
        <w:tc>
          <w:tcPr>
            <w:tcW w:type="dxa" w:w="3378"/>
            <w:vAlign w:val="center"/>
            <w:hideMark/>
          </w:tcPr>
          <w:p w:rsidP="003328D9" w:rsidR="00AC11B0" w:rsidRDefault="00AC11B0" w:rsidRPr="003B42FF">
            <w:pPr>
              <w:jc w:val="right"/>
              <w:rPr>
                <w:rFonts w:eastAsiaTheme="minorEastAsia"/>
                <w:color w:themeColor="text1" w:val="000000"/>
                <w:kern w:val="0"/>
                <w:sz w:val="24"/>
                <w:szCs w:val="24"/>
              </w:rPr>
            </w:pPr>
            <w:r w:rsidRPr="003B42FF">
              <w:rPr>
                <w:rFonts w:eastAsiaTheme="minorEastAsia"/>
                <w:color w:themeColor="text1" w:val="000000"/>
                <w:sz w:val="24"/>
                <w:szCs w:val="24"/>
              </w:rPr>
              <w:t/>
            </w:r>
            <w:proofErr w:type="spellStart"/>
            <w:r w:rsidRPr="003B42FF">
              <w:rPr>
                <w:rFonts w:eastAsiaTheme="minorEastAsia"/>
                <w:color w:themeColor="text1" w:val="000000"/>
                <w:sz w:val="24"/>
                <w:szCs w:val="24"/>
              </w:rPr>
              <w:t/>
            </w:r>
            <w:proofErr w:type="spellEnd"/>
            <w:r w:rsidRPr="003B42FF">
              <w:rPr>
                <w:rFonts w:eastAsiaTheme="minorEastAsia"/>
                <w:color w:themeColor="text1" w:val="000000"/>
                <w:sz w:val="24"/>
                <w:szCs w:val="24"/>
              </w:rPr>
              <w:t>-</w:t>
            </w:r>
          </w:p>
        </w:tc>
      </w:tr>
      <w:tr w:rsidR="00AC11B0" w:rsidRPr="003B42FF" w:rsidTr="00D94CCE">
        <w:tc>
          <w:tcPr>
            <w:tcW w:type="dxa" w:w="5037"/>
            <w:vAlign w:val="center"/>
            <w:hideMark/>
          </w:tcPr>
          <w:p w:rsidP="003328D9" w:rsidR="00AC11B0" w:rsidRDefault="00AC11B0" w:rsidRPr="003B42FF">
            <w:pPr>
              <w:adjustRightInd w:val="0"/>
              <w:snapToGrid w:val="0"/>
              <w:spacing w:line="360" w:lineRule="exact"/>
              <w:rPr>
                <w:rFonts w:eastAsiaTheme="minorEastAsia"/>
                <w:color w:themeColor="text1" w:val="000000"/>
                <w:sz w:val="24"/>
                <w:szCs w:val="24"/>
              </w:rPr>
            </w:pPr>
            <w:r w:rsidRPr="003B42FF">
              <w:rPr>
                <w:rFonts w:eastAsiaTheme="minorEastAsia"/>
                <w:color w:themeColor="text1" w:val="000000"/>
                <w:sz w:val="24"/>
                <w:szCs w:val="24"/>
              </w:rPr>
              <w:t>报告期期末管理人持有的本基金份额</w:t>
            </w:r>
          </w:p>
        </w:tc>
        <w:tc>
          <w:tcPr>
            <w:tcW w:type="dxa" w:w="3378"/>
            <w:vAlign w:val="center"/>
            <w:hideMark/>
          </w:tcPr>
          <w:p w:rsidP="003328D9" w:rsidR="00AC11B0" w:rsidRDefault="00AC11B0" w:rsidRPr="003B42FF">
            <w:pPr>
              <w:jc w:val="right"/>
              <w:rPr>
                <w:rFonts w:eastAsiaTheme="minorEastAsia"/>
                <w:color w:themeColor="text1" w:val="000000"/>
                <w:sz w:val="24"/>
                <w:szCs w:val="24"/>
              </w:rPr>
            </w:pPr>
            <w:r w:rsidRPr="003B42FF">
              <w:rPr>
                <w:rFonts w:eastAsiaTheme="minorEastAsia"/>
                <w:color w:themeColor="text1" w:val="000000"/>
                <w:sz w:val="24"/>
                <w:szCs w:val="24"/>
              </w:rPr>
              <w:t/>
            </w:r>
            <w:proofErr w:type="spellStart"/>
            <w:r w:rsidRPr="003B42FF">
              <w:rPr>
                <w:rFonts w:eastAsiaTheme="minorEastAsia"/>
                <w:color w:themeColor="text1" w:val="000000"/>
                <w:sz w:val="24"/>
                <w:szCs w:val="24"/>
              </w:rPr>
              <w:t/>
            </w:r>
            <w:proofErr w:type="spellEnd"/>
            <w:r w:rsidRPr="003B42FF">
              <w:rPr>
                <w:rFonts w:eastAsiaTheme="minorEastAsia"/>
                <w:color w:themeColor="text1" w:val="000000"/>
                <w:sz w:val="24"/>
                <w:szCs w:val="24"/>
              </w:rPr>
              <w:t>10,000,000.00</w:t>
            </w:r>
          </w:p>
        </w:tc>
      </w:tr>
      <w:tr w:rsidR="00AC11B0" w:rsidRPr="003B42FF" w:rsidTr="00D94CCE">
        <w:tc>
          <w:tcPr>
            <w:tcW w:type="dxa" w:w="5037"/>
            <w:vAlign w:val="center"/>
            <w:hideMark/>
          </w:tcPr>
          <w:p w:rsidP="003328D9" w:rsidR="00AC11B0" w:rsidRDefault="00AC11B0" w:rsidRPr="003B42FF">
            <w:pPr>
              <w:adjustRightInd w:val="0"/>
              <w:snapToGrid w:val="0"/>
              <w:spacing w:line="360" w:lineRule="exact"/>
              <w:rPr>
                <w:rFonts w:eastAsiaTheme="minorEastAsia"/>
                <w:color w:themeColor="text1" w:val="000000"/>
                <w:sz w:val="24"/>
                <w:szCs w:val="24"/>
              </w:rPr>
            </w:pPr>
            <w:r w:rsidRPr="003B42FF">
              <w:rPr>
                <w:rFonts w:eastAsiaTheme="minorEastAsia"/>
                <w:color w:themeColor="text1" w:val="000000"/>
                <w:sz w:val="24"/>
                <w:szCs w:val="24"/>
              </w:rPr>
              <w:t>报告期期末持有的本基金份额占基金总份额比例（</w:t>
            </w:r>
            <w:r w:rsidRPr="003B42FF">
              <w:rPr>
                <w:rFonts w:eastAsiaTheme="minorEastAsia"/>
                <w:color w:themeColor="text1" w:val="000000"/>
                <w:sz w:val="24"/>
                <w:szCs w:val="24"/>
              </w:rPr>
              <w:t>%</w:t>
            </w:r>
            <w:r w:rsidRPr="003B42FF">
              <w:rPr>
                <w:rFonts w:eastAsiaTheme="minorEastAsia"/>
                <w:color w:themeColor="text1" w:val="000000"/>
                <w:sz w:val="24"/>
                <w:szCs w:val="24"/>
              </w:rPr>
              <w:t>）</w:t>
            </w:r>
          </w:p>
        </w:tc>
        <w:tc>
          <w:tcPr>
            <w:tcW w:type="dxa" w:w="3378"/>
            <w:vAlign w:val="center"/>
            <w:hideMark/>
          </w:tcPr>
          <w:p w:rsidP="003328D9" w:rsidR="00AC11B0" w:rsidRDefault="00AC11B0" w:rsidRPr="003B42FF">
            <w:pPr>
              <w:jc w:val="right"/>
              <w:rPr>
                <w:rFonts w:eastAsiaTheme="minorEastAsia"/>
                <w:color w:themeColor="text1" w:val="000000"/>
                <w:kern w:val="0"/>
                <w:sz w:val="24"/>
                <w:szCs w:val="24"/>
              </w:rPr>
            </w:pPr>
            <w:r w:rsidRPr="003B42FF">
              <w:rPr>
                <w:rFonts w:eastAsiaTheme="minorEastAsia"/>
                <w:color w:themeColor="text1" w:val="000000"/>
                <w:sz w:val="24"/>
                <w:szCs w:val="24"/>
              </w:rPr>
              <w:t/>
            </w:r>
            <w:proofErr w:type="spellStart"/>
            <w:r w:rsidRPr="003B42FF">
              <w:rPr>
                <w:rFonts w:eastAsiaTheme="minorEastAsia"/>
                <w:color w:themeColor="text1" w:val="000000"/>
                <w:sz w:val="24"/>
                <w:szCs w:val="24"/>
              </w:rPr>
              <w:t/>
            </w:r>
            <w:proofErr w:type="spellEnd"/>
            <w:r w:rsidRPr="003B42FF">
              <w:rPr>
                <w:rFonts w:eastAsiaTheme="minorEastAsia"/>
                <w:color w:themeColor="text1" w:val="000000"/>
                <w:sz w:val="24"/>
                <w:szCs w:val="24"/>
              </w:rPr>
              <w:t>74.6283</w:t>
            </w:r>
          </w:p>
        </w:tc>
      </w:tr>
    </w:tbl>
    <w:p w:rsidP="00EB374A" w:rsidR="00750D48" w:rsidRDefault="00750D48">
      <w:pPr>
        <w:spacing w:line="360" w:lineRule="auto"/>
        <w:jc w:val="left"/>
        <w:rPr>
          <w:sz w:val="24"/>
        </w:rPr>
      </w:pPr>
      <w:r>
        <w:rPr>
          <w:b/>
          <w:sz w:val="24"/>
        </w:rPr>
        <w:t/>
      </w:r>
      <w:proofErr w:type="spellStart"/>
      <w:r>
        <w:rPr>
          <w:b/>
          <w:sz w:val="24"/>
        </w:rPr>
        <w:t/>
      </w:r>
      <w:proofErr w:type="spellEnd"/>
      <w:r>
        <w:rPr>
          <w:b/>
          <w:sz w:val="24"/>
        </w:rPr>
        <w:t xml:space="preserve">8.2 </w:t>
      </w:r>
      <w:r>
        <w:rPr>
          <w:rFonts w:hint="eastAsia"/>
          <w:b/>
          <w:sz w:val="24"/>
        </w:rPr>
        <w:t>基金管理人运用固有资金投资本基金交易明细</w:t>
      </w:r>
    </w:p>
    <w:p w:rsidP="006C56AA"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本报告期内基金管理人未运用固有资金申购、赎回、买卖本基金份额。</w:t>
      </w: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color w:val="000000"/>
          <w:kern w:val="0"/>
          <w:sz w:val="24"/>
          <w:szCs w:val="24"/>
        </w:rPr>
        <w:lastRenderedPageBreak/>
        <w:t/>
      </w:r>
      <w:proofErr w:type="spellStart"/>
      <w:r w:rsidRPr="00264E55">
        <w:rPr>
          <w:rFonts w:ascii="宋体" w:hAnsi="宋体"/>
          <w:color w:val="000000"/>
          <w:kern w:val="0"/>
          <w:sz w:val="24"/>
          <w:szCs w:val="24"/>
        </w:rPr>
        <w:t/>
      </w:r>
      <w:proofErr w:type="spellEnd"/>
      <w:r w:rsidRPr="00264E55">
        <w:rPr>
          <w:rFonts w:ascii="宋体" w:hAnsi="宋体"/>
          <w:color w:val="000000"/>
          <w:kern w:val="0"/>
          <w:sz w:val="24"/>
          <w:szCs w:val="24"/>
        </w:rPr>
        <w:t/>
      </w:r>
      <w:r w:rsidRPr="00264E55">
        <w:rPr>
          <w:rFonts w:ascii="宋体" w:hAnsi="宋体" w:hint="eastAsia"/>
          <w:color w:val="000000"/>
          <w:kern w:val="0"/>
          <w:sz w:val="24"/>
          <w:szCs w:val="24"/>
        </w:rPr>
        <w:t>§</w:t>
      </w:r>
      <w:r w:rsidRPr="00264E55">
        <w:rPr>
          <w:rFonts w:ascii="宋体"/>
          <w:color w:val="000000"/>
          <w:kern w:val="0"/>
          <w:sz w:val="24"/>
          <w:szCs w:val="24"/>
        </w:rPr>
        <w:t/>
      </w:r>
      <w:r w:rsidRPr="00264E55">
        <w:rPr>
          <w:rFonts w:ascii="宋体" w:hAnsi="宋体"/>
          <w:color w:val="000000"/>
          <w:kern w:val="0"/>
          <w:sz w:val="24"/>
          <w:szCs w:val="24"/>
        </w:rPr>
        <w:t xml:space="preserve">9  </w:t>
      </w:r>
      <w:r>
        <w:rPr>
          <w:rFonts w:ascii="宋体" w:hAnsi="宋体" w:hint="eastAsia"/>
          <w:color w:val="000000"/>
          <w:kern w:val="0"/>
          <w:sz w:val="24"/>
          <w:szCs w:val="24"/>
        </w:rPr>
        <w:t>报告期末</w:t>
      </w:r>
      <w:r w:rsidRPr="00264E55">
        <w:rPr>
          <w:rFonts w:ascii="宋体" w:hAnsi="宋体" w:hint="eastAsia"/>
          <w:color w:val="000000"/>
          <w:kern w:val="0"/>
          <w:sz w:val="24"/>
          <w:szCs w:val="24"/>
        </w:rPr>
        <w:t>发起式基金发起资金持有份额情况</w:t>
      </w:r>
    </w:p>
    <w:tbl>
      <w:tblPr>
        <w:tblW w:type="auto" w:w="0"/>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1560"/>
        <w:gridCol w:w="1843"/>
        <w:gridCol w:w="1276"/>
        <w:gridCol w:w="1984"/>
        <w:gridCol w:w="1276"/>
        <w:gridCol w:w="941"/>
      </w:tblGrid>
      <w:tr w:rsidR="00750D48" w:rsidRPr="00264E55" w:rsidTr="00507F99">
        <w:trPr>
          <w:trHeight w:val="543"/>
          <w:jc w:val="center"/>
        </w:trPr>
        <w:tc>
          <w:tcPr>
            <w:tcW w:type="dxa" w:w="1560"/>
            <w:vAlign w:val="center"/>
          </w:tcPr>
          <w:p w:rsidP="00597E49" w:rsidR="00750D48" w:rsidRDefault="00750D48" w:rsidRPr="00B227EA">
            <w:pPr>
              <w:widowControl/>
              <w:jc w:val="left"/>
              <w:rPr>
                <w:color w:val="000000"/>
                <w:sz w:val="24"/>
                <w:szCs w:val="24"/>
              </w:rPr>
            </w:pPr>
            <w:r w:rsidRPr="00B227EA">
              <w:rPr>
                <w:color w:val="000000"/>
                <w:sz w:val="24"/>
                <w:szCs w:val="24"/>
              </w:rPr>
              <w:t>项目</w:t>
            </w: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
            </w:r>
          </w:p>
        </w:tc>
        <w:tc>
          <w:tcPr>
            <w:tcW w:type="dxa" w:w="1843"/>
          </w:tcPr>
          <w:p w:rsidP="00597E49" w:rsidR="00750D48" w:rsidRDefault="00750D48" w:rsidRPr="00B227EA">
            <w:pPr>
              <w:adjustRightInd w:val="0"/>
              <w:snapToGrid w:val="0"/>
              <w:spacing w:line="360" w:lineRule="exact"/>
              <w:rPr>
                <w:color w:val="000000"/>
                <w:sz w:val="24"/>
                <w:szCs w:val="24"/>
              </w:rPr>
            </w:pPr>
            <w:r w:rsidRPr="00B227EA">
              <w:rPr>
                <w:color w:val="000000"/>
                <w:sz w:val="24"/>
                <w:szCs w:val="24"/>
              </w:rPr>
              <w:t>持有份额总数</w:t>
            </w:r>
          </w:p>
        </w:tc>
        <w:tc>
          <w:tcPr>
            <w:tcW w:type="dxa" w:w="1276"/>
          </w:tcPr>
          <w:p w:rsidP="00597E49" w:rsidR="00750D48" w:rsidRDefault="00750D48" w:rsidRPr="00B227EA">
            <w:pPr>
              <w:adjustRightInd w:val="0"/>
              <w:snapToGrid w:val="0"/>
              <w:spacing w:line="360" w:lineRule="exact"/>
              <w:rPr>
                <w:color w:val="000000"/>
                <w:sz w:val="24"/>
                <w:szCs w:val="24"/>
              </w:rPr>
            </w:pPr>
            <w:r w:rsidRPr="00B227EA">
              <w:rPr>
                <w:color w:val="000000"/>
                <w:sz w:val="24"/>
                <w:szCs w:val="24"/>
              </w:rPr>
              <w:t>持有份额占基金总份额比例</w:t>
            </w:r>
          </w:p>
        </w:tc>
        <w:tc>
          <w:tcPr>
            <w:tcW w:type="dxa" w:w="1984"/>
          </w:tcPr>
          <w:p w:rsidP="00597E49" w:rsidR="00750D48" w:rsidRDefault="00750D48" w:rsidRPr="00B227EA">
            <w:pPr>
              <w:adjustRightInd w:val="0"/>
              <w:snapToGrid w:val="0"/>
              <w:spacing w:line="360" w:lineRule="exact"/>
              <w:rPr>
                <w:color w:val="000000"/>
                <w:sz w:val="24"/>
                <w:szCs w:val="24"/>
              </w:rPr>
            </w:pPr>
            <w:r w:rsidRPr="00B227EA">
              <w:rPr>
                <w:color w:val="000000"/>
                <w:sz w:val="24"/>
                <w:szCs w:val="24"/>
              </w:rPr>
              <w:t>发起份额总数</w:t>
            </w:r>
          </w:p>
        </w:tc>
        <w:tc>
          <w:tcPr>
            <w:tcW w:type="dxa" w:w="1276"/>
          </w:tcPr>
          <w:p w:rsidP="00597E49" w:rsidR="00750D48" w:rsidRDefault="00750D48" w:rsidRPr="00B227EA">
            <w:pPr>
              <w:adjustRightInd w:val="0"/>
              <w:snapToGrid w:val="0"/>
              <w:spacing w:line="360" w:lineRule="exact"/>
              <w:rPr>
                <w:color w:val="000000"/>
                <w:sz w:val="24"/>
                <w:szCs w:val="24"/>
              </w:rPr>
            </w:pPr>
            <w:r w:rsidRPr="00B227EA">
              <w:rPr>
                <w:color w:val="000000"/>
                <w:sz w:val="24"/>
                <w:szCs w:val="24"/>
              </w:rPr>
              <w:t>发起份额占基金总份额比例</w:t>
            </w:r>
          </w:p>
        </w:tc>
        <w:tc>
          <w:tcPr>
            <w:tcW w:type="dxa" w:w="941"/>
          </w:tcPr>
          <w:p w:rsidP="00597E49" w:rsidR="00750D48" w:rsidRDefault="00750D48" w:rsidRPr="00B227EA">
            <w:pPr>
              <w:widowControl/>
              <w:jc w:val="left"/>
              <w:rPr>
                <w:color w:val="000000"/>
                <w:sz w:val="24"/>
                <w:szCs w:val="24"/>
              </w:rPr>
            </w:pPr>
            <w:r w:rsidRPr="00B227EA">
              <w:rPr>
                <w:color w:val="000000"/>
                <w:sz w:val="24"/>
                <w:szCs w:val="24"/>
              </w:rPr>
              <w:t>发起份额承诺持有期限</w:t>
            </w:r>
          </w:p>
        </w:tc>
      </w:tr>
      <w:tr w:rsidR="00750D48" w:rsidRPr="00264E55" w:rsidTr="00507F99">
        <w:trPr>
          <w:jc w:val="center"/>
        </w:trPr>
        <w:tc>
          <w:tcPr>
            <w:tcW w:type="dxa" w:w="1560"/>
          </w:tcPr>
          <w:p w:rsidP="00597E49" w:rsidR="00750D48" w:rsidRDefault="00750D48" w:rsidRPr="00B227EA">
            <w:pPr>
              <w:adjustRightInd w:val="0"/>
              <w:snapToGrid w:val="0"/>
              <w:spacing w:line="360" w:lineRule="exact"/>
              <w:rPr>
                <w:color w:val="000000"/>
                <w:sz w:val="24"/>
                <w:szCs w:val="24"/>
              </w:rPr>
            </w:pPr>
            <w:r w:rsidRPr="00B227EA">
              <w:rPr>
                <w:color w:val="000000"/>
                <w:sz w:val="24"/>
                <w:szCs w:val="24"/>
              </w:rPr>
              <w:t>基金管理人固有资金</w:t>
            </w:r>
          </w:p>
        </w:tc>
        <w:tc>
          <w:tcPr>
            <w:tcW w:type="dxa" w:w="1843"/>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t>10,000,000.00</w:t>
            </w:r>
          </w:p>
        </w:tc>
        <w:tc>
          <w:tcPr>
            <w:tcW w:type="dxa" w:w="1276"/>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t>74.6283%</w:t>
            </w:r>
          </w:p>
        </w:tc>
        <w:tc>
          <w:tcPr>
            <w:tcW w:type="dxa" w:w="1984"/>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t>10,000,000.00</w:t>
            </w:r>
          </w:p>
        </w:tc>
        <w:tc>
          <w:tcPr>
            <w:tcW w:type="dxa" w:w="1276"/>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t>74.6283%</w:t>
            </w:r>
          </w:p>
        </w:tc>
        <w:tc>
          <w:tcPr>
            <w:tcW w:type="dxa" w:w="941"/>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t>不少于3年</w:t>
            </w:r>
          </w:p>
        </w:tc>
      </w:tr>
      <w:tr w:rsidR="00750D48" w:rsidRPr="00264E55" w:rsidTr="00507F99">
        <w:trPr>
          <w:trHeight w:val="790"/>
          <w:jc w:val="center"/>
        </w:trPr>
        <w:tc>
          <w:tcPr>
            <w:tcW w:type="dxa" w:w="1560"/>
          </w:tcPr>
          <w:p w:rsidP="00597E49" w:rsidR="00750D48" w:rsidRDefault="00750D48" w:rsidRPr="00B227EA">
            <w:pPr>
              <w:adjustRightInd w:val="0"/>
              <w:snapToGrid w:val="0"/>
              <w:spacing w:line="360" w:lineRule="exact"/>
              <w:rPr>
                <w:color w:val="000000"/>
                <w:sz w:val="24"/>
                <w:szCs w:val="24"/>
              </w:rPr>
            </w:pPr>
            <w:r w:rsidRPr="00B227EA">
              <w:rPr>
                <w:color w:val="000000"/>
                <w:sz w:val="24"/>
                <w:szCs w:val="24"/>
              </w:rPr>
              <w:t>基金管理人高级管理人员</w:t>
            </w:r>
          </w:p>
        </w:tc>
        <w:tc>
          <w:tcPr>
            <w:tcW w:type="dxa" w:w="1843"/>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t>-</w:t>
            </w:r>
          </w:p>
        </w:tc>
        <w:tc>
          <w:tcPr>
            <w:tcW w:type="dxa" w:w="1276"/>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t>-</w:t>
            </w:r>
          </w:p>
        </w:tc>
        <w:tc>
          <w:tcPr>
            <w:tcW w:type="dxa" w:w="1984"/>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t>-</w:t>
            </w:r>
          </w:p>
        </w:tc>
        <w:tc>
          <w:tcPr>
            <w:tcW w:type="dxa" w:w="1276"/>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t>-</w:t>
            </w:r>
          </w:p>
        </w:tc>
        <w:tc>
          <w:tcPr>
            <w:tcW w:type="dxa" w:w="941"/>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t/>
            </w:r>
            <w:r w:rsidRPr="00B227EA">
              <w:rPr>
                <w:kern w:val="0"/>
                <w:sz w:val="24"/>
                <w:szCs w:val="24"/>
              </w:rPr>
              <w:lastRenderedPageBreak/>
              <w:t>-</w:t>
            </w:r>
          </w:p>
        </w:tc>
      </w:tr>
      <w:tr w:rsidR="00750D48" w:rsidRPr="00264E55" w:rsidTr="00507F99">
        <w:trPr>
          <w:jc w:val="center"/>
        </w:trPr>
        <w:tc>
          <w:tcPr>
            <w:tcW w:type="dxa" w:w="1560"/>
          </w:tcPr>
          <w:p w:rsidP="00597E49" w:rsidR="00750D48" w:rsidRDefault="00750D48" w:rsidRPr="00B227EA">
            <w:pPr>
              <w:adjustRightInd w:val="0"/>
              <w:snapToGrid w:val="0"/>
              <w:spacing w:line="360" w:lineRule="exact"/>
              <w:jc w:val="left"/>
              <w:rPr>
                <w:color w:val="000000"/>
                <w:sz w:val="24"/>
                <w:szCs w:val="24"/>
              </w:rPr>
            </w:pPr>
            <w:r w:rsidRPr="00B227EA">
              <w:rPr>
                <w:color w:val="000000"/>
                <w:sz w:val="24"/>
                <w:szCs w:val="24"/>
              </w:rPr>
              <w:lastRenderedPageBreak/>
              <w:t>基金经理等人员</w:t>
            </w:r>
          </w:p>
        </w:tc>
        <w:tc>
          <w:tcPr>
            <w:tcW w:type="dxa" w:w="1843"/>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t>-</w:t>
            </w:r>
          </w:p>
        </w:tc>
        <w:tc>
          <w:tcPr>
            <w:tcW w:type="dxa" w:w="1276"/>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t>-</w:t>
            </w:r>
          </w:p>
        </w:tc>
        <w:tc>
          <w:tcPr>
            <w:tcW w:type="dxa" w:w="1984"/>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t>-</w:t>
            </w:r>
          </w:p>
        </w:tc>
        <w:tc>
          <w:tcPr>
            <w:tcW w:type="dxa" w:w="1276"/>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t>-</w:t>
            </w:r>
          </w:p>
        </w:tc>
        <w:tc>
          <w:tcPr>
            <w:tcW w:type="dxa" w:w="941"/>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t>-</w:t>
            </w:r>
          </w:p>
        </w:tc>
      </w:tr>
      <w:tr w:rsidR="00750D48" w:rsidRPr="00264E55" w:rsidTr="00507F99">
        <w:trPr>
          <w:jc w:val="center"/>
        </w:trPr>
        <w:tc>
          <w:tcPr>
            <w:tcW w:type="dxa" w:w="1560"/>
          </w:tcPr>
          <w:p w:rsidP="00597E49" w:rsidR="00750D48" w:rsidRDefault="00750D48" w:rsidRPr="00B227EA">
            <w:pPr>
              <w:adjustRightInd w:val="0"/>
              <w:snapToGrid w:val="0"/>
              <w:spacing w:line="360" w:lineRule="exact"/>
              <w:jc w:val="left"/>
              <w:rPr>
                <w:color w:val="000000"/>
                <w:sz w:val="24"/>
                <w:szCs w:val="24"/>
              </w:rPr>
            </w:pPr>
            <w:r w:rsidRPr="00B227EA">
              <w:rPr>
                <w:color w:val="000000"/>
                <w:sz w:val="24"/>
                <w:szCs w:val="24"/>
              </w:rPr>
              <w:t>基金管理人股东</w:t>
            </w:r>
          </w:p>
        </w:tc>
        <w:tc>
          <w:tcPr>
            <w:tcW w:type="dxa" w:w="1843"/>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t>-</w:t>
            </w:r>
          </w:p>
        </w:tc>
        <w:tc>
          <w:tcPr>
            <w:tcW w:type="dxa" w:w="1276"/>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t>-</w:t>
            </w:r>
          </w:p>
        </w:tc>
        <w:tc>
          <w:tcPr>
            <w:tcW w:type="dxa" w:w="1984"/>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t>-</w:t>
            </w:r>
          </w:p>
        </w:tc>
        <w:tc>
          <w:tcPr>
            <w:tcW w:type="dxa" w:w="1276"/>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t>-</w:t>
            </w:r>
          </w:p>
        </w:tc>
        <w:tc>
          <w:tcPr>
            <w:tcW w:type="dxa" w:w="941"/>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t>-</w:t>
            </w:r>
          </w:p>
        </w:tc>
      </w:tr>
      <w:tr w:rsidR="00750D48" w:rsidRPr="00264E55" w:rsidTr="00507F99">
        <w:trPr>
          <w:jc w:val="center"/>
        </w:trPr>
        <w:tc>
          <w:tcPr>
            <w:tcW w:type="dxa" w:w="1560"/>
          </w:tcPr>
          <w:p w:rsidP="00597E49" w:rsidR="00750D48" w:rsidRDefault="00750D48" w:rsidRPr="00B227EA">
            <w:pPr>
              <w:adjustRightInd w:val="0"/>
              <w:snapToGrid w:val="0"/>
              <w:spacing w:line="360" w:lineRule="exact"/>
              <w:jc w:val="left"/>
              <w:rPr>
                <w:color w:val="000000"/>
                <w:sz w:val="24"/>
                <w:szCs w:val="24"/>
              </w:rPr>
            </w:pPr>
            <w:r w:rsidRPr="00B227EA">
              <w:rPr>
                <w:color w:val="000000"/>
                <w:sz w:val="24"/>
                <w:szCs w:val="24"/>
              </w:rPr>
              <w:t>其他</w:t>
            </w:r>
          </w:p>
        </w:tc>
        <w:tc>
          <w:tcPr>
            <w:tcW w:type="dxa" w:w="1843"/>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t/>
            </w:r>
            <w:proofErr w:type="spellStart"/>
            <w:r w:rsidRPr="00B227EA">
              <w:rPr>
                <w:kern w:val="0"/>
                <w:sz w:val="24"/>
                <w:szCs w:val="24"/>
              </w:rPr>
              <w:t/>
            </w:r>
            <w:r w:rsidRPr="00B227EA">
              <w:rPr>
                <w:kern w:val="0"/>
                <w:sz w:val="24"/>
                <w:szCs w:val="24"/>
              </w:rPr>
              <w:lastRenderedPageBreak/>
              <w:t/>
            </w:r>
            <w:proofErr w:type="spellEnd"/>
            <w:r w:rsidRPr="00B227EA">
              <w:rPr>
                <w:kern w:val="0"/>
                <w:sz w:val="24"/>
                <w:szCs w:val="24"/>
              </w:rPr>
              <w:t>-</w:t>
            </w:r>
          </w:p>
        </w:tc>
        <w:tc>
          <w:tcPr>
            <w:tcW w:type="dxa" w:w="1276"/>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lastRenderedPageBreak/>
              <w:t/>
            </w:r>
            <w:r w:rsidRPr="00B227EA">
              <w:rPr>
                <w:kern w:val="0"/>
                <w:sz w:val="24"/>
                <w:szCs w:val="24"/>
              </w:rPr>
              <w:lastRenderedPageBreak/>
              <w:t>-</w:t>
            </w:r>
          </w:p>
        </w:tc>
        <w:tc>
          <w:tcPr>
            <w:tcW w:type="dxa" w:w="1984"/>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lastRenderedPageBreak/>
              <w:t/>
            </w:r>
            <w:proofErr w:type="spellStart"/>
            <w:r w:rsidRPr="00B227EA">
              <w:rPr>
                <w:kern w:val="0"/>
                <w:sz w:val="24"/>
                <w:szCs w:val="24"/>
              </w:rPr>
              <w:t/>
            </w:r>
            <w:r w:rsidRPr="00B227EA">
              <w:rPr>
                <w:kern w:val="0"/>
                <w:sz w:val="24"/>
                <w:szCs w:val="24"/>
              </w:rPr>
              <w:lastRenderedPageBreak/>
              <w:t/>
            </w:r>
            <w:proofErr w:type="spellEnd"/>
            <w:r w:rsidRPr="00B227EA">
              <w:rPr>
                <w:kern w:val="0"/>
                <w:sz w:val="24"/>
                <w:szCs w:val="24"/>
              </w:rPr>
              <w:t>-</w:t>
            </w:r>
          </w:p>
        </w:tc>
        <w:tc>
          <w:tcPr>
            <w:tcW w:type="dxa" w:w="1276"/>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lastRenderedPageBreak/>
              <w:t/>
            </w:r>
            <w:r w:rsidRPr="00B227EA">
              <w:rPr>
                <w:kern w:val="0"/>
                <w:sz w:val="24"/>
                <w:szCs w:val="24"/>
              </w:rPr>
              <w:lastRenderedPageBreak/>
              <w:t>-</w:t>
            </w:r>
          </w:p>
        </w:tc>
        <w:tc>
          <w:tcPr>
            <w:tcW w:type="dxa" w:w="941"/>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lastRenderedPageBreak/>
              <w:t/>
            </w:r>
            <w:r w:rsidRPr="00B227EA">
              <w:rPr>
                <w:kern w:val="0"/>
                <w:sz w:val="24"/>
                <w:szCs w:val="24"/>
              </w:rPr>
              <w:lastRenderedPageBreak/>
              <w:t>-</w:t>
            </w:r>
          </w:p>
        </w:tc>
      </w:tr>
      <w:tr w:rsidR="00750D48" w:rsidRPr="00264E55" w:rsidTr="00507F99">
        <w:trPr>
          <w:jc w:val="center"/>
        </w:trPr>
        <w:tc>
          <w:tcPr>
            <w:tcW w:type="dxa" w:w="1560"/>
          </w:tcPr>
          <w:p w:rsidP="00597E49" w:rsidR="00750D48" w:rsidRDefault="00750D48" w:rsidRPr="00B227EA">
            <w:pPr>
              <w:adjustRightInd w:val="0"/>
              <w:snapToGrid w:val="0"/>
              <w:spacing w:line="360" w:lineRule="exact"/>
              <w:jc w:val="left"/>
              <w:rPr>
                <w:color w:val="000000"/>
                <w:sz w:val="24"/>
                <w:szCs w:val="24"/>
              </w:rPr>
            </w:pPr>
            <w:r w:rsidRPr="00B227EA">
              <w:rPr>
                <w:color w:val="000000"/>
                <w:sz w:val="24"/>
                <w:szCs w:val="24"/>
              </w:rPr>
              <w:lastRenderedPageBreak/>
              <w:t>合计</w:t>
            </w:r>
          </w:p>
        </w:tc>
        <w:tc>
          <w:tcPr>
            <w:tcW w:type="dxa" w:w="1843"/>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t/>
            </w:r>
            <w:proofErr w:type="spellStart"/>
            <w:r w:rsidRPr="00B227EA">
              <w:rPr>
                <w:kern w:val="0"/>
                <w:sz w:val="24"/>
                <w:szCs w:val="24"/>
              </w:rPr>
              <w:t/>
            </w:r>
            <w:proofErr w:type="spellEnd"/>
            <w:r w:rsidRPr="00B227EA">
              <w:rPr>
                <w:kern w:val="0"/>
                <w:sz w:val="24"/>
                <w:szCs w:val="24"/>
              </w:rPr>
              <w:t>10,000,000.00</w:t>
            </w:r>
          </w:p>
        </w:tc>
        <w:tc>
          <w:tcPr>
            <w:tcW w:type="dxa" w:w="1276"/>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t>74.6283%</w:t>
            </w:r>
          </w:p>
        </w:tc>
        <w:tc>
          <w:tcPr>
            <w:tcW w:type="dxa" w:w="1984"/>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t/>
            </w:r>
            <w:proofErr w:type="spellStart"/>
            <w:r w:rsidRPr="00B227EA">
              <w:rPr>
                <w:kern w:val="0"/>
                <w:sz w:val="24"/>
                <w:szCs w:val="24"/>
              </w:rPr>
              <w:t/>
            </w:r>
            <w:proofErr w:type="spellEnd"/>
            <w:r w:rsidRPr="00B227EA">
              <w:rPr>
                <w:kern w:val="0"/>
                <w:sz w:val="24"/>
                <w:szCs w:val="24"/>
              </w:rPr>
              <w:t>10,000,000.00</w:t>
            </w:r>
          </w:p>
        </w:tc>
        <w:tc>
          <w:tcPr>
            <w:tcW w:type="dxa" w:w="1276"/>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t>74.6283%</w:t>
            </w:r>
          </w:p>
        </w:tc>
        <w:tc>
          <w:tcPr>
            <w:tcW w:type="dxa" w:w="941"/>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t>-</w:t>
            </w:r>
          </w:p>
        </w:tc>
      </w:tr>
    </w:tbl>
    <w:p w:rsidP="004B7A92" w:rsidR="004B7A92" w:rsidRDefault="004B7A92" w:rsidRPr="004B7A92">
      <w:pPr>
        <w:pStyle w:val="1"/>
        <w:spacing w:after="312" w:afterLines="100" w:before="312" w:beforeLines="100" w:line="360" w:lineRule="auto"/>
        <w:jc w:val="center"/>
        <w:rPr>
          <w:rFonts w:ascii="宋体" w:hAnsi="宋体"/>
          <w:color w:val="000000"/>
          <w:kern w:val="0"/>
          <w:sz w:val="24"/>
          <w:szCs w:val="24"/>
        </w:rPr>
      </w:pPr>
      <w:r w:rsidRPr="004B7A92">
        <w:rPr>
          <w:rFonts w:ascii="宋体" w:hAnsi="宋体"/>
          <w:color w:val="000000"/>
          <w:kern w:val="0"/>
          <w:sz w:val="24"/>
          <w:szCs w:val="24"/>
        </w:rPr>
        <w:t/>
      </w:r>
      <w:proofErr w:type="spellStart"/>
      <w:r w:rsidRPr="004B7A92">
        <w:rPr>
          <w:rFonts w:ascii="宋体" w:hAnsi="宋体"/>
          <w:color w:val="000000"/>
          <w:kern w:val="0"/>
          <w:sz w:val="24"/>
          <w:szCs w:val="24"/>
        </w:rPr>
        <w:t/>
      </w:r>
      <w:proofErr w:type="spellEnd"/>
      <w:r w:rsidRPr="004B7A92">
        <w:rPr>
          <w:rFonts w:ascii="宋体" w:hAnsi="宋体"/>
          <w:color w:val="000000"/>
          <w:kern w:val="0"/>
          <w:sz w:val="24"/>
          <w:szCs w:val="24"/>
        </w:rPr>
        <w:t/>
      </w:r>
      <w:r w:rsidR="00013E6E" w:rsidRPr="00264E55">
        <w:rPr>
          <w:rFonts w:ascii="宋体" w:hAnsi="宋体" w:hint="eastAsia"/>
          <w:color w:val="000000"/>
          <w:kern w:val="0"/>
          <w:sz w:val="24"/>
          <w:szCs w:val="24"/>
        </w:rPr>
        <w:t>§</w:t>
      </w:r>
      <w:r w:rsidRPr="004B7A92">
        <w:rPr>
          <w:rFonts w:ascii="宋体" w:hAnsi="宋体"/>
          <w:color w:val="000000"/>
          <w:kern w:val="0"/>
          <w:sz w:val="24"/>
          <w:szCs w:val="24"/>
        </w:rPr>
        <w:t>10</w:t>
      </w:r>
      <w:r w:rsidR="0043199A" w:rsidRPr="00264E55">
        <w:rPr>
          <w:rFonts w:ascii="宋体" w:hAnsi="宋体"/>
          <w:color w:val="000000"/>
          <w:kern w:val="0"/>
          <w:sz w:val="24"/>
          <w:szCs w:val="24"/>
        </w:rPr>
        <w:t xml:space="preserve">  </w:t>
      </w:r>
      <w:r w:rsidRPr="004B7A92">
        <w:rPr>
          <w:rFonts w:ascii="宋体" w:hAnsi="宋体"/>
          <w:color w:val="000000"/>
          <w:kern w:val="0"/>
          <w:sz w:val="24"/>
          <w:szCs w:val="24"/>
        </w:rPr>
        <w:t>影响投资者决策的其他重要信息</w:t>
      </w:r>
    </w:p>
    <w:p w:rsidP="001F5F5D" w:rsidR="001F5F5D" w:rsidRDefault="001F5F5D" w:rsidRPr="001F5F5D">
      <w:pPr>
        <w:autoSpaceDE w:val="0"/>
        <w:autoSpaceDN w:val="0"/>
        <w:adjustRightInd w:val="0"/>
        <w:spacing w:line="360" w:lineRule="auto"/>
        <w:jc w:val="left"/>
        <w:rPr>
          <w:rFonts w:ascii="宋体"/>
          <w:b/>
          <w:bCs/>
          <w:color w:val="000000"/>
          <w:kern w:val="0"/>
          <w:sz w:val="24"/>
          <w:szCs w:val="24"/>
        </w:rPr>
      </w:pPr>
      <w:r w:rsidRPr="001F5F5D">
        <w:rPr>
          <w:rFonts w:ascii="宋体"/>
          <w:b/>
          <w:bCs/>
          <w:color w:val="000000"/>
          <w:kern w:val="0"/>
          <w:sz w:val="24"/>
          <w:szCs w:val="24"/>
        </w:rPr>
        <w:t/>
      </w:r>
      <w:proofErr w:type="spellStart"/>
      <w:r w:rsidRPr="001F5F5D">
        <w:rPr>
          <w:rFonts w:ascii="宋体"/>
          <w:b/>
          <w:bCs/>
          <w:color w:val="000000"/>
          <w:kern w:val="0"/>
          <w:sz w:val="24"/>
          <w:szCs w:val="24"/>
        </w:rPr>
        <w:t/>
      </w:r>
      <w:proofErr w:type="spellEnd"/>
      <w:r w:rsidRPr="001F5F5D">
        <w:rPr>
          <w:rFonts w:ascii="宋体"/>
          <w:b/>
          <w:bCs/>
          <w:color w:val="000000"/>
          <w:kern w:val="0"/>
          <w:sz w:val="24"/>
          <w:szCs w:val="24"/>
        </w:rPr>
        <w:t>10.1 报告期内单一投资者持有基金份额比例达到或超过20%的情况</w:t>
      </w:r>
    </w:p>
    <w:tbl>
      <w:tblPr>
        <w:tblStyle w:val="af7"/>
        <w:tblW w:type="dxa" w:w="9640"/>
        <w:jc w:val="center"/>
        <w:tblLayout w:type="fixed"/>
        <w:tblLook w:firstColumn="1" w:firstRow="1" w:lastColumn="0" w:lastRow="0" w:noHBand="0" w:noVBand="1" w:val="04A0"/>
      </w:tblPr>
      <w:tblGrid>
        <w:gridCol w:w="1798"/>
        <w:gridCol w:w="709"/>
        <w:gridCol w:w="1985"/>
        <w:gridCol w:w="1134"/>
        <w:gridCol w:w="992"/>
        <w:gridCol w:w="1134"/>
        <w:gridCol w:w="1037"/>
        <w:gridCol w:w="851"/>
      </w:tblGrid>
      <w:tr w:rsidR="001F5F5D" w:rsidRPr="00FC0759" w:rsidTr="007125DB">
        <w:trPr>
          <w:jc w:val="center"/>
        </w:trPr>
        <w:tc>
          <w:tcPr>
            <w:tcW w:type="dxa" w:w="1798"/>
            <w:vMerge w:val="restart"/>
            <w:vAlign w:val="center"/>
          </w:tcPr>
          <w:p w:rsidP="00D9482C" w:rsidR="001F5F5D" w:rsidRDefault="001F5F5D" w:rsidRPr="00FC0759">
            <w:pPr>
              <w:autoSpaceDE w:val="0"/>
              <w:autoSpaceDN w:val="0"/>
              <w:adjustRightInd w:val="0"/>
              <w:jc w:val="center"/>
              <w:rPr>
                <w:rFonts w:eastAsiaTheme="minorEastAsia"/>
                <w:b/>
                <w:bCs/>
                <w:color w:themeColor="text1" w:val="000000"/>
                <w:sz w:val="24"/>
                <w:szCs w:val="24"/>
              </w:rPr>
            </w:pPr>
            <w:r w:rsidRPr="00FC0759">
              <w:rPr>
                <w:color w:val="000000"/>
                <w:sz w:val="24"/>
                <w:szCs w:val="24"/>
              </w:rPr>
              <w:t>投资者类别</w:t>
            </w:r>
            <w:r w:rsidRPr="00FC0759">
              <w:rPr>
                <w:rFonts w:eastAsia="仿宋"/>
                <w:color w:themeColor="text1" w:val="000000"/>
                <w:sz w:val="24"/>
                <w:szCs w:val="24"/>
              </w:rPr>
              <w:t/>
            </w:r>
            <w:proofErr w:type="spellStart"/>
            <w:r w:rsidRPr="00FC0759">
              <w:rPr>
                <w:rFonts w:eastAsia="仿宋"/>
                <w:color w:themeColor="text1" w:val="000000"/>
                <w:sz w:val="24"/>
                <w:szCs w:val="24"/>
              </w:rPr>
              <w:t/>
            </w:r>
            <w:proofErr w:type="spellEnd"/>
            <w:r w:rsidRPr="00FC0759">
              <w:rPr>
                <w:rFonts w:eastAsia="仿宋"/>
                <w:color w:themeColor="text1" w:val="000000"/>
                <w:sz w:val="24"/>
                <w:szCs w:val="24"/>
              </w:rPr>
              <w:t/>
            </w:r>
            <w:proofErr w:type="spellStart"/>
            <w:r w:rsidRPr="00FC0759">
              <w:rPr>
                <w:rFonts w:eastAsia="仿宋"/>
                <w:color w:themeColor="text1" w:val="000000"/>
                <w:sz w:val="24"/>
                <w:szCs w:val="24"/>
              </w:rPr>
              <w:t/>
            </w:r>
            <w:proofErr w:type="spellEnd"/>
            <w:r w:rsidRPr="00FC0759">
              <w:rPr>
                <w:rFonts w:eastAsia="仿宋"/>
                <w:color w:themeColor="text1" w:val="000000"/>
                <w:sz w:val="24"/>
                <w:szCs w:val="24"/>
              </w:rPr>
              <w:t/>
            </w:r>
          </w:p>
        </w:tc>
        <w:tc>
          <w:tcPr>
            <w:tcW w:type="dxa" w:w="5954"/>
            <w:gridSpan w:val="5"/>
            <w:vAlign w:val="center"/>
          </w:tcPr>
          <w:p w:rsidP="00D9482C" w:rsidR="001F5F5D" w:rsidRDefault="001F5F5D" w:rsidRPr="00FC0759">
            <w:pPr>
              <w:autoSpaceDE w:val="0"/>
              <w:autoSpaceDN w:val="0"/>
              <w:adjustRightInd w:val="0"/>
              <w:ind w:firstLine="1126"/>
              <w:jc w:val="center"/>
              <w:rPr>
                <w:rFonts w:eastAsiaTheme="minorEastAsia"/>
                <w:b/>
                <w:bCs/>
                <w:color w:themeColor="text1" w:val="000000"/>
                <w:sz w:val="24"/>
                <w:szCs w:val="24"/>
              </w:rPr>
            </w:pPr>
            <w:r w:rsidRPr="00FC0759">
              <w:rPr>
                <w:color w:val="000000"/>
                <w:sz w:val="24"/>
                <w:szCs w:val="24"/>
              </w:rPr>
              <w:t>报告期内持有基金份额变化情况</w:t>
            </w:r>
          </w:p>
        </w:tc>
        <w:tc>
          <w:tcPr>
            <w:tcW w:type="dxa" w:w="1888"/>
            <w:gridSpan w:val="2"/>
            <w:vAlign w:val="center"/>
          </w:tcPr>
          <w:p w:rsidP="00D9482C" w:rsidR="001F5F5D" w:rsidRDefault="001F5F5D" w:rsidRPr="00FC0759">
            <w:pPr>
              <w:autoSpaceDE w:val="0"/>
              <w:autoSpaceDN w:val="0"/>
              <w:adjustRightInd w:val="0"/>
              <w:jc w:val="center"/>
              <w:rPr>
                <w:rFonts w:eastAsiaTheme="minorEastAsia"/>
                <w:b/>
                <w:bCs/>
                <w:color w:themeColor="text1" w:val="000000"/>
                <w:sz w:val="24"/>
                <w:szCs w:val="24"/>
              </w:rPr>
            </w:pPr>
            <w:r w:rsidRPr="00FC0759">
              <w:rPr>
                <w:color w:val="000000"/>
                <w:sz w:val="24"/>
                <w:szCs w:val="24"/>
              </w:rPr>
              <w:t>报告期末持有基金情况</w:t>
            </w:r>
          </w:p>
        </w:tc>
      </w:tr>
      <w:tr w:rsidR="001F5F5D" w:rsidRPr="00FC0759" w:rsidTr="007125DB">
        <w:trPr>
          <w:jc w:val="center"/>
        </w:trPr>
        <w:tc>
          <w:tcPr>
            <w:tcW w:type="dxa" w:w="1798"/>
            <w:vMerge/>
            <w:vAlign w:val="center"/>
          </w:tcPr>
          <w:p w:rsidP="00D9482C" w:rsidR="001F5F5D" w:rsidRDefault="001F5F5D" w:rsidRPr="00FC0759">
            <w:pPr>
              <w:autoSpaceDE w:val="0"/>
              <w:autoSpaceDN w:val="0"/>
              <w:adjustRightInd w:val="0"/>
              <w:ind w:firstLine="1234"/>
              <w:jc w:val="center"/>
              <w:rPr>
                <w:rFonts w:eastAsiaTheme="minorEastAsia"/>
                <w:b/>
                <w:bCs/>
                <w:color w:themeColor="text1" w:val="000000"/>
                <w:sz w:val="24"/>
                <w:szCs w:val="24"/>
              </w:rPr>
            </w:pPr>
          </w:p>
        </w:tc>
        <w:tc>
          <w:tcPr>
            <w:tcW w:type="dxa" w:w="709"/>
            <w:vAlign w:val="center"/>
          </w:tcPr>
          <w:p w:rsidP="00D9482C" w:rsidR="001F5F5D" w:rsidRDefault="001F5F5D" w:rsidRPr="00FC0759">
            <w:pPr>
              <w:autoSpaceDE w:val="0"/>
              <w:autoSpaceDN w:val="0"/>
              <w:adjustRightInd w:val="0"/>
              <w:jc w:val="center"/>
              <w:rPr>
                <w:rFonts w:eastAsiaTheme="minorEastAsia"/>
                <w:b/>
                <w:bCs/>
                <w:color w:themeColor="text1" w:val="000000"/>
                <w:sz w:val="24"/>
                <w:szCs w:val="24"/>
              </w:rPr>
            </w:pPr>
            <w:r w:rsidRPr="00FC0759">
              <w:rPr>
                <w:color w:val="000000"/>
                <w:sz w:val="24"/>
                <w:szCs w:val="24"/>
              </w:rPr>
              <w:t>序号</w:t>
            </w:r>
          </w:p>
        </w:tc>
        <w:tc>
          <w:tcPr>
            <w:tcW w:type="dxa" w:w="1985"/>
            <w:vAlign w:val="center"/>
          </w:tcPr>
          <w:p w:rsidP="00D9482C" w:rsidR="001F5F5D" w:rsidRDefault="001F5F5D" w:rsidRPr="00FC0759">
            <w:pPr>
              <w:autoSpaceDE w:val="0"/>
              <w:autoSpaceDN w:val="0"/>
              <w:adjustRightInd w:val="0"/>
              <w:jc w:val="center"/>
              <w:rPr>
                <w:rFonts w:eastAsiaTheme="minorEastAsia"/>
                <w:b/>
                <w:bCs/>
                <w:color w:themeColor="text1" w:val="000000"/>
                <w:sz w:val="24"/>
                <w:szCs w:val="24"/>
              </w:rPr>
            </w:pPr>
            <w:r w:rsidRPr="00FC0759">
              <w:rPr>
                <w:color w:val="000000"/>
                <w:sz w:val="24"/>
                <w:szCs w:val="24"/>
              </w:rPr>
              <w:t>持有基金份额比例达到或者超过</w:t>
            </w:r>
            <w:r w:rsidRPr="00FC0759">
              <w:rPr>
                <w:color w:val="000000"/>
                <w:sz w:val="24"/>
                <w:szCs w:val="24"/>
              </w:rPr>
              <w:t>20%</w:t>
            </w:r>
            <w:r w:rsidRPr="00FC0759">
              <w:rPr>
                <w:color w:val="000000"/>
                <w:sz w:val="24"/>
                <w:szCs w:val="24"/>
              </w:rPr>
              <w:t>的时间区间</w:t>
            </w:r>
          </w:p>
        </w:tc>
        <w:tc>
          <w:tcPr>
            <w:tcW w:type="dxa" w:w="1134"/>
            <w:vAlign w:val="center"/>
          </w:tcPr>
          <w:p w:rsidP="00D9482C" w:rsidR="001F5F5D" w:rsidRDefault="001F5F5D" w:rsidRPr="00FC0759">
            <w:pPr>
              <w:widowControl/>
              <w:rPr>
                <w:rFonts w:eastAsiaTheme="minorEastAsia"/>
                <w:b/>
                <w:bCs/>
                <w:color w:themeColor="text1" w:val="000000"/>
                <w:sz w:val="24"/>
                <w:szCs w:val="24"/>
              </w:rPr>
            </w:pPr>
            <w:r w:rsidRPr="00FC0759">
              <w:rPr>
                <w:color w:val="000000"/>
                <w:sz w:val="24"/>
                <w:szCs w:val="24"/>
              </w:rPr>
              <w:t>期初份额</w:t>
            </w:r>
          </w:p>
        </w:tc>
        <w:tc>
          <w:tcPr>
            <w:tcW w:type="dxa" w:w="992"/>
            <w:vAlign w:val="center"/>
          </w:tcPr>
          <w:p w:rsidP="00D9482C" w:rsidR="001F5F5D" w:rsidRDefault="001F5F5D" w:rsidRPr="00FC0759">
            <w:pPr>
              <w:widowControl/>
              <w:rPr>
                <w:rFonts w:eastAsiaTheme="minorEastAsia"/>
                <w:b/>
                <w:bCs/>
                <w:color w:themeColor="text1" w:val="000000"/>
                <w:sz w:val="24"/>
                <w:szCs w:val="24"/>
              </w:rPr>
            </w:pPr>
            <w:r w:rsidRPr="00FC0759">
              <w:rPr>
                <w:color w:val="000000"/>
                <w:sz w:val="24"/>
                <w:szCs w:val="24"/>
              </w:rPr>
              <w:t>申购份额</w:t>
            </w:r>
          </w:p>
        </w:tc>
        <w:tc>
          <w:tcPr>
            <w:tcW w:type="dxa" w:w="1134"/>
            <w:vAlign w:val="center"/>
          </w:tcPr>
          <w:p w:rsidP="00D9482C" w:rsidR="001F5F5D" w:rsidRDefault="001F5F5D" w:rsidRPr="00FC0759">
            <w:pPr>
              <w:widowControl/>
              <w:rPr>
                <w:rFonts w:eastAsiaTheme="minorEastAsia"/>
                <w:b/>
                <w:bCs/>
                <w:color w:themeColor="text1" w:val="000000"/>
                <w:sz w:val="24"/>
                <w:szCs w:val="24"/>
              </w:rPr>
            </w:pPr>
            <w:r w:rsidRPr="00FC0759">
              <w:rPr>
                <w:color w:val="000000"/>
                <w:sz w:val="24"/>
                <w:szCs w:val="24"/>
              </w:rPr>
              <w:t>赎回份额</w:t>
            </w:r>
          </w:p>
        </w:tc>
        <w:tc>
          <w:tcPr>
            <w:tcW w:type="dxa" w:w="1037"/>
            <w:vAlign w:val="center"/>
          </w:tcPr>
          <w:p w:rsidP="00D9482C" w:rsidR="001F5F5D" w:rsidRDefault="001F5F5D" w:rsidRPr="00FC0759">
            <w:pPr>
              <w:autoSpaceDE w:val="0"/>
              <w:autoSpaceDN w:val="0"/>
              <w:adjustRightInd w:val="0"/>
              <w:jc w:val="center"/>
              <w:rPr>
                <w:rFonts w:eastAsiaTheme="minorEastAsia"/>
                <w:b/>
                <w:bCs/>
                <w:color w:themeColor="text1" w:val="000000"/>
                <w:sz w:val="24"/>
                <w:szCs w:val="24"/>
              </w:rPr>
            </w:pPr>
            <w:r w:rsidRPr="00FC0759">
              <w:rPr>
                <w:color w:val="000000"/>
                <w:sz w:val="24"/>
                <w:szCs w:val="24"/>
              </w:rPr>
              <w:t>持有份额</w:t>
            </w:r>
          </w:p>
        </w:tc>
        <w:tc>
          <w:tcPr>
            <w:tcW w:type="dxa" w:w="851"/>
            <w:vAlign w:val="center"/>
          </w:tcPr>
          <w:p w:rsidP="00D9482C" w:rsidR="001F5F5D" w:rsidRDefault="001F5F5D" w:rsidRPr="00FC0759">
            <w:pPr>
              <w:autoSpaceDE w:val="0"/>
              <w:autoSpaceDN w:val="0"/>
              <w:adjustRightInd w:val="0"/>
              <w:jc w:val="center"/>
              <w:rPr>
                <w:rFonts w:eastAsiaTheme="minorEastAsia"/>
                <w:b/>
                <w:bCs/>
                <w:color w:themeColor="text1" w:val="000000"/>
                <w:sz w:val="24"/>
                <w:szCs w:val="24"/>
              </w:rPr>
            </w:pPr>
            <w:r w:rsidRPr="00FC0759">
              <w:rPr>
                <w:color w:val="000000"/>
                <w:sz w:val="24"/>
                <w:szCs w:val="24"/>
              </w:rPr>
              <w:t>份额占比</w:t>
            </w:r>
          </w:p>
        </w:tc>
      </w:tr>
      <w:tr>
        <w:tc>
          <w:tcPr>
            <w:vMerge w:val="restart"/>
            <w:vAlign w:val="center"/>
          </w:tcPr>
          <w:p>
            <w:r>
              <w:rPr>
                <w:rFonts w:eastAsiaTheme="minorEastAsia"/>
                <w:bCs/>
                <w:color w:themeColor="text1" w:val="000000"/>
                <w:sz w:val="24"/>
                <w:szCs w:val="24"/>
              </w:rPr>
              <w:t>机构</w:t>
            </w:r>
          </w:p>
        </w:tc>
        <w:tc>
          <w:tcPr>
            <w:vAlign w:val="center"/>
          </w:tcPr>
          <w:p>
            <w:pPr>
              <w:jc w:val="center"/>
            </w:pPr>
            <w:r>
              <w:rPr>
                <w:sz w:val="24"/>
                <w:szCs w:val="24"/>
              </w:rPr>
              <w:t>1</w:t>
            </w:r>
          </w:p>
        </w:tc>
        <w:tc>
          <w:tcPr>
            <w:vAlign w:val="center"/>
          </w:tcPr>
          <w:p>
            <w:pPr>
              <w:jc w:val="center"/>
            </w:pPr>
            <w:r>
              <w:rPr>
                <w:sz w:val="24"/>
                <w:szCs w:val="24"/>
              </w:rPr>
              <w:t>2020年04月01日~2020年06月30日</w:t>
            </w:r>
          </w:p>
        </w:tc>
        <w:tc>
          <w:tcPr>
            <w:vAlign w:val="center"/>
          </w:tcPr>
          <w:p>
            <w:pPr>
              <w:jc w:val="center"/>
            </w:pPr>
            <w:r>
              <w:rPr>
                <w:sz w:val="24"/>
                <w:szCs w:val="24"/>
              </w:rPr>
              <w:t>10,000,000.00</w:t>
            </w:r>
          </w:p>
        </w:tc>
        <w:tc>
          <w:tcPr>
            <w:vAlign w:val="center"/>
          </w:tcPr>
          <w:p>
            <w:pPr>
              <w:jc w:val="center"/>
            </w:pPr>
            <w:r>
              <w:rPr>
                <w:sz w:val="24"/>
                <w:szCs w:val="24"/>
              </w:rPr>
              <w:t>-</w:t>
            </w:r>
          </w:p>
        </w:tc>
        <w:tc>
          <w:tcPr>
            <w:vAlign w:val="center"/>
          </w:tcPr>
          <w:p>
            <w:pPr>
              <w:jc w:val="center"/>
            </w:pPr>
            <w:r>
              <w:rPr>
                <w:sz w:val="24"/>
                <w:szCs w:val="24"/>
              </w:rPr>
              <w:t>-</w:t>
            </w:r>
          </w:p>
        </w:tc>
        <w:tc>
          <w:tcPr>
            <w:vAlign w:val="center"/>
          </w:tcPr>
          <w:p>
            <w:pPr>
              <w:jc w:val="center"/>
            </w:pPr>
            <w:r>
              <w:rPr>
                <w:sz w:val="24"/>
                <w:szCs w:val="24"/>
              </w:rPr>
              <w:t>10,000,000.00</w:t>
            </w:r>
          </w:p>
        </w:tc>
        <w:tc>
          <w:tcPr>
            <w:vAlign w:val="center"/>
          </w:tcPr>
          <w:p>
            <w:pPr>
              <w:jc w:val="center"/>
            </w:pPr>
            <w:r>
              <w:rPr>
                <w:sz w:val="24"/>
                <w:szCs w:val="24"/>
              </w:rPr>
              <w:t>74.63%</w:t>
            </w:r>
          </w:p>
        </w:tc>
      </w:tr>
    </w:tbl>
    <w:tbl>
      <w:tblPr>
        <w:tblStyle w:val="af7"/>
        <w:tblW w:type="dxa" w:w="9637"/>
        <w:jc w:val="center"/>
        <w:tblLayout w:type="fixed"/>
        <w:tblLook w:firstColumn="1" w:firstRow="1" w:lastColumn="0" w:lastRow="0" w:noHBand="0" w:noVBand="1" w:val="04A0"/>
      </w:tblPr>
      <w:tblGrid>
        <w:gridCol w:w="9637"/>
      </w:tblGrid>
      <w:tr w:rsidR="001F5F5D" w:rsidRPr="00FC0759" w:rsidTr="00D9482C">
        <w:trPr>
          <w:jc w:val="center"/>
        </w:trPr>
        <w:tc>
          <w:tcPr>
            <w:tcW w:type="dxa" w:w="9637"/>
            <w:vAlign w:val="center"/>
          </w:tcPr>
          <w:p w:rsidP="003350A8" w:rsidR="001F5F5D" w:rsidRDefault="001F5F5D" w:rsidRPr="00FC0759">
            <w:pPr>
              <w:autoSpaceDE w:val="0"/>
              <w:autoSpaceDN w:val="0"/>
              <w:adjustRightInd w:val="0"/>
              <w:jc w:val="center"/>
              <w:rPr>
                <w:sz w:val="24"/>
                <w:szCs w:val="24"/>
              </w:rPr>
            </w:pPr>
            <w:r w:rsidRPr="00FC0759">
              <w:rPr>
                <w:color w:val="000000"/>
                <w:sz w:val="24"/>
                <w:szCs w:val="24"/>
              </w:rPr>
              <w:t>产品特有风险</w:t>
            </w:r>
            <w:r w:rsidRPr="00FC0759">
              <w:rPr>
                <w:sz w:val="24"/>
                <w:szCs w:val="24"/>
              </w:rPr>
              <w:t/>
            </w:r>
            <w:proofErr w:type="spellStart"/>
            <w:r w:rsidRPr="00FC0759">
              <w:rPr>
                <w:sz w:val="24"/>
                <w:szCs w:val="24"/>
              </w:rPr>
              <w:t/>
            </w:r>
            <w:proofErr w:type="spellEnd"/>
            <w:r w:rsidRPr="00FC0759">
              <w:rPr>
                <w:sz w:val="24"/>
                <w:szCs w:val="24"/>
              </w:rPr>
              <w:t/>
            </w:r>
          </w:p>
        </w:tc>
      </w:tr>
      <w:tr w:rsidR="001F5F5D" w:rsidRPr="00FC0759" w:rsidTr="00D9482C">
        <w:trPr>
          <w:jc w:val="center"/>
        </w:trPr>
        <w:tc>
          <w:tcPr>
            <w:tcW w:type="dxa" w:w="9637"/>
            <w:vAlign w:val="center"/>
          </w:tcPr>
          <w:p w:rsidP="00D9482C" w:rsidR="001F5F5D" w:rsidRDefault="001F5F5D" w:rsidRPr="00FC0759">
            <w:pPr>
              <w:autoSpaceDE w:val="0"/>
              <w:autoSpaceDN w:val="0"/>
              <w:adjustRightInd w:val="0"/>
              <w:jc w:val="left"/>
              <w:rPr>
                <w:sz w:val="24"/>
                <w:szCs w:val="24"/>
              </w:rPr>
            </w:pPr>
            <w:r w:rsidRPr="00FC0759">
              <w:rPr>
                <w:sz w:val="24"/>
                <w:szCs w:val="24"/>
              </w:rPr>
              <w:t>报告期内，本基金存在单一投资者持有份额比例达到或超过20%的情况，由此可能导致的特有风险主要包括：当投资者持有份额占比较为集中时，个别投资者在满足最短持有期限后的大额赎回可能会对基金资产运作及净值表现产生较大影响；极端情况下基金管理人可能无法以合理价格及时变现基金资产以应对投资者的赎回申请，可能带来流动性风险；如个别投资者大额赎回引发巨额赎回，基金管理人可能根据基金合同约定决定部分延期赎回或暂停接受基金的赎回申请，可能影响投资者赎回业务办理；本基金基金合同生效满三年后继续存续时，若个别投资者大额赎回后本基金出现连续六十个工作日基金资产净值低于5000万元，基金还可能面临转换运作方式、与其他基金合并或者终止基金合同等情形；持有基金份额占比较高的投资者在召开持有人大会并对审议事项进行投票表决时可能拥有较大话语权。</w:t>
            </w:r>
          </w:p>
        </w:tc>
      </w:tr>
    </w:tbl>
    <w:p w:rsidP="001F5F5D" w:rsidR="001F5F5D" w:rsidRDefault="001F5F5D" w:rsidRPr="001F5F5D">
      <w:pPr>
        <w:autoSpaceDE w:val="0"/>
        <w:autoSpaceDN w:val="0"/>
        <w:adjustRightInd w:val="0"/>
        <w:spacing w:line="360" w:lineRule="auto"/>
        <w:jc w:val="left"/>
        <w:rPr>
          <w:rFonts w:ascii="宋体"/>
          <w:b/>
          <w:bCs/>
          <w:color w:val="000000"/>
          <w:kern w:val="0"/>
          <w:sz w:val="24"/>
          <w:szCs w:val="24"/>
        </w:rPr>
      </w:pPr>
      <w:r w:rsidRPr="001F5F5D">
        <w:rPr>
          <w:rFonts w:ascii="宋体"/>
          <w:b/>
          <w:bCs/>
          <w:color w:val="000000"/>
          <w:kern w:val="0"/>
          <w:sz w:val="24"/>
          <w:szCs w:val="24"/>
        </w:rPr>
        <w:t/>
      </w:r>
      <w:proofErr w:type="spellStart"/>
      <w:r w:rsidRPr="001F5F5D">
        <w:rPr>
          <w:rFonts w:ascii="宋体"/>
          <w:b/>
          <w:bCs/>
          <w:color w:val="000000"/>
          <w:kern w:val="0"/>
          <w:sz w:val="24"/>
          <w:szCs w:val="24"/>
        </w:rPr>
        <w:t/>
      </w:r>
      <w:proofErr w:type="spellEnd"/>
      <w:r w:rsidRPr="001F5F5D">
        <w:rPr>
          <w:rFonts w:ascii="宋体"/>
          <w:b/>
          <w:bCs/>
          <w:color w:val="000000"/>
          <w:kern w:val="0"/>
          <w:sz w:val="24"/>
          <w:szCs w:val="24"/>
        </w:rPr>
        <w:t>10.2 影响投资者决策的其他重要信息</w:t>
      </w:r>
    </w:p>
    <w:p>
      <w:pPr>
        <w:spacing w:line="360" w:lineRule="auto"/>
        <w:ind w:firstLine="480" w:firstLineChars="200"/>
        <w:rPr>
          <w:color w:val="000000"/>
          <w:sz w:val="24"/>
          <w:szCs w:val="24"/>
        </w:rPr>
      </w:pPr>
      <w:r>
        <w:rPr>
          <w:rFonts w:eastAsiaTheme="minorEastAsia"/>
          <w:color w:themeColor="text1" w:val="000000"/>
          <w:sz w:val="24"/>
          <w:szCs w:val="24"/>
        </w:rPr>
        <w:t>本基金是基金中基金，投资于其他基金的比例不低于本基金资产的80%，被投资基金的净值变化将影响到本基金的业绩表现，被投资基金的相关风险会直接或间接成为本基金的风险。相关风险包括但不限于：</w:t>
      </w:r>
    </w:p>
    <w:p>
      <w:pPr>
        <w:spacing w:line="360" w:lineRule="auto"/>
        <w:ind w:firstLine="480" w:firstLineChars="200"/>
        <w:rPr>
          <w:color w:val="000000"/>
          <w:sz w:val="24"/>
          <w:szCs w:val="24"/>
        </w:rPr>
      </w:pPr>
      <w:r>
        <w:rPr>
          <w:rFonts w:eastAsiaTheme="minorEastAsia"/>
          <w:color w:themeColor="text1" w:val="000000"/>
          <w:sz w:val="24"/>
          <w:szCs w:val="24"/>
        </w:rPr>
        <w:t>（1）被投资基金的业绩风险。本基金投资于其他基金的比例不低于基金资产的80%，因此本基金投资目标的实现建立在被投资基金本身投资目标实现的基础上。如果由于被投资基金未能实现投资目标，则本基金存在达不成投资目标的风险。</w:t>
      </w:r>
    </w:p>
    <w:p>
      <w:pPr>
        <w:spacing w:line="360" w:lineRule="auto"/>
        <w:ind w:firstLine="480" w:firstLineChars="200"/>
        <w:rPr>
          <w:color w:val="000000"/>
          <w:sz w:val="24"/>
          <w:szCs w:val="24"/>
        </w:rPr>
      </w:pPr>
      <w:r>
        <w:rPr>
          <w:rFonts w:eastAsiaTheme="minorEastAsia"/>
          <w:color w:themeColor="text1" w:val="000000"/>
          <w:sz w:val="24"/>
          <w:szCs w:val="24"/>
        </w:rPr>
        <w:t>（2）赎回资金到账时间较晚的风险。基金赎回的资金交收效率慢于基础证券市场交易的证券，因此本基金赎回款实际到达投资者账户的时间可能晚于普通境内开放式基金，存在对投资者资金安排造成影响的风险。</w:t>
      </w:r>
    </w:p>
    <w:p>
      <w:pPr>
        <w:spacing w:line="360" w:lineRule="auto"/>
        <w:ind w:firstLine="480" w:firstLineChars="200"/>
        <w:rPr>
          <w:color w:val="000000"/>
          <w:sz w:val="24"/>
          <w:szCs w:val="24"/>
        </w:rPr>
      </w:pPr>
      <w:r>
        <w:rPr>
          <w:rFonts w:eastAsiaTheme="minorEastAsia"/>
          <w:color w:themeColor="text1" w:val="000000"/>
          <w:sz w:val="24"/>
          <w:szCs w:val="24"/>
        </w:rPr>
        <w:t>（3）双重收费风险。本基金的投资范围包含全市场基金，投资于非本基金管理人管理的其他基金时，存在本基金与被投资基金各类基金费用的双重收取情况，相较于其他基金产品存在额外增加投资者投资成本的风险。</w:t>
      </w:r>
    </w:p>
    <w:p>
      <w:pPr>
        <w:spacing w:line="360" w:lineRule="auto"/>
        <w:ind w:firstLine="480" w:firstLineChars="200"/>
        <w:rPr>
          <w:color w:val="000000"/>
          <w:sz w:val="24"/>
          <w:szCs w:val="24"/>
        </w:rPr>
      </w:pPr>
      <w:r>
        <w:rPr>
          <w:rFonts w:eastAsiaTheme="minorEastAsia"/>
          <w:color w:themeColor="text1" w:val="000000"/>
          <w:sz w:val="24"/>
          <w:szCs w:val="24"/>
        </w:rPr>
        <w:t>（4）投资QDII基金的特有风险。本基金可投资于QDII基金，主要存在如下风险：①QDII基金主要投资境外市场，因此本基金投资QDII基金时，将间接承担境外市场波动以及汇率波动的风险；②按照目前的业务规则，QDII基金的赎回款项将在T+10内进行支付（T为赎回申请日），晚于普通境内基金的支付时间。因此，可能存在QDII基金赎回款到帐时间较晚，本基金无法及时支付投资者赎回款项的风险；③由于投资QDII基金，正常情况下，本基金将于T+2日（T日为开放日）对T日的基金资产净值进行估值，T+3日对投资人申购、赎回申请的有效性进行确认，投资人可于T+4日到销售网点柜台或以销售机构规定的其他方式查询申请的确认情况，这将导致投资者承担更长时间基金净值波动的风险。</w:t>
      </w:r>
    </w:p>
    <w:p>
      <w:pPr>
        <w:spacing w:line="360" w:lineRule="auto"/>
        <w:ind w:firstLine="480" w:firstLineChars="200"/>
        <w:rPr>
          <w:color w:val="000000"/>
          <w:sz w:val="24"/>
          <w:szCs w:val="24"/>
        </w:rPr>
      </w:pPr>
      <w:r>
        <w:rPr>
          <w:rFonts w:eastAsiaTheme="minorEastAsia"/>
          <w:color w:themeColor="text1" w:val="000000"/>
          <w:sz w:val="24"/>
          <w:szCs w:val="24"/>
        </w:rPr>
        <w:t>（5）投资香港互认基金的特有风险。香港互认基金是指依照香港法律在香港设立、运作和公开销售，并经中国证监会批准在内地公开销售的单位信托、互惠基金或者其他形式的集体投资计划，香港互认基金管理人委托内地符合条件的机构作为代理人办理基金在境内的相关业务。本基金可投资于香港互认基金，主要存在如下风险：</w:t>
      </w:r>
    </w:p>
    <w:p>
      <w:pPr>
        <w:spacing w:line="360" w:lineRule="auto"/>
        <w:ind w:firstLine="480" w:firstLineChars="200"/>
        <w:rPr>
          <w:color w:val="000000"/>
          <w:sz w:val="24"/>
          <w:szCs w:val="24"/>
        </w:rPr>
      </w:pPr>
      <w:r>
        <w:rPr>
          <w:rFonts w:eastAsiaTheme="minorEastAsia"/>
          <w:color w:themeColor="text1" w:val="000000"/>
          <w:sz w:val="24"/>
          <w:szCs w:val="24"/>
        </w:rPr>
        <w:t>1）香港互认基金境外投资风险</w:t>
      </w:r>
    </w:p>
    <w:p>
      <w:pPr>
        <w:spacing w:line="360" w:lineRule="auto"/>
        <w:ind w:firstLine="480" w:firstLineChars="200"/>
        <w:rPr>
          <w:color w:val="000000"/>
          <w:sz w:val="24"/>
          <w:szCs w:val="24"/>
        </w:rPr>
      </w:pPr>
      <w:r>
        <w:rPr>
          <w:rFonts w:eastAsiaTheme="minorEastAsia"/>
          <w:color w:themeColor="text1" w:val="000000"/>
          <w:sz w:val="24"/>
          <w:szCs w:val="24"/>
        </w:rPr>
        <w:t>香港互认基金投资标的主要包括内地以外的其他司法管辖区（简称为“境外”）的金融工具，投资香港互认基金面临不同于内地投资标的的投资风险，包括但不限于境外投资的市场风险、政府管制风险、政治风险、法律风险、汇率风险、基金的税务风险、境外特殊标的风险等，从而可能增加本基金的投资风险。</w:t>
      </w:r>
    </w:p>
    <w:p>
      <w:pPr>
        <w:spacing w:line="360" w:lineRule="auto"/>
        <w:ind w:firstLine="480" w:firstLineChars="200"/>
        <w:rPr>
          <w:color w:val="000000"/>
          <w:sz w:val="24"/>
          <w:szCs w:val="24"/>
        </w:rPr>
      </w:pPr>
      <w:r>
        <w:rPr>
          <w:rFonts w:eastAsiaTheme="minorEastAsia"/>
          <w:color w:themeColor="text1" w:val="000000"/>
          <w:sz w:val="24"/>
          <w:szCs w:val="24"/>
        </w:rPr>
        <w:t>①境外投资市场风险</w:t>
      </w:r>
    </w:p>
    <w:p>
      <w:pPr>
        <w:spacing w:line="360" w:lineRule="auto"/>
        <w:ind w:firstLine="480" w:firstLineChars="200"/>
        <w:rPr>
          <w:color w:val="000000"/>
          <w:sz w:val="24"/>
          <w:szCs w:val="24"/>
        </w:rPr>
      </w:pPr>
      <w:r>
        <w:rPr>
          <w:rFonts w:eastAsiaTheme="minorEastAsia"/>
          <w:color w:themeColor="text1" w:val="000000"/>
          <w:sz w:val="24"/>
          <w:szCs w:val="24"/>
        </w:rPr>
        <w:t>境外投资受到所投资市场宏观经济运行情况、货币政策、财政政策、产业政策、税法、汇率、交易规则、结算、托管以及其他运作风险等多种因素的影响，上述因素的波动和变化可能会使香港互认基金资产面临潜在风险。</w:t>
      </w:r>
    </w:p>
    <w:p>
      <w:pPr>
        <w:spacing w:line="360" w:lineRule="auto"/>
        <w:ind w:firstLine="480" w:firstLineChars="200"/>
        <w:rPr>
          <w:color w:val="000000"/>
          <w:sz w:val="24"/>
          <w:szCs w:val="24"/>
        </w:rPr>
      </w:pPr>
      <w:r>
        <w:rPr>
          <w:rFonts w:eastAsiaTheme="minorEastAsia"/>
          <w:color w:themeColor="text1" w:val="000000"/>
          <w:sz w:val="24"/>
          <w:szCs w:val="24"/>
        </w:rPr>
        <w:t>②政府管制风险</w:t>
      </w:r>
    </w:p>
    <w:p>
      <w:pPr>
        <w:spacing w:line="360" w:lineRule="auto"/>
        <w:ind w:firstLine="480" w:firstLineChars="200"/>
        <w:rPr>
          <w:color w:val="000000"/>
          <w:sz w:val="24"/>
          <w:szCs w:val="24"/>
        </w:rPr>
      </w:pPr>
      <w:r>
        <w:rPr>
          <w:rFonts w:eastAsiaTheme="minorEastAsia"/>
          <w:color w:themeColor="text1" w:val="000000"/>
          <w:sz w:val="24"/>
          <w:szCs w:val="24"/>
        </w:rPr>
        <w:t>境外市场与内地市场的管制程度和具体措施不同，当地政府可能通过对财政、货币、产业等方面的政策进行管制，由此导致市场波动而影响香港互认基金收益。</w:t>
      </w:r>
    </w:p>
    <w:p>
      <w:pPr>
        <w:spacing w:line="360" w:lineRule="auto"/>
        <w:ind w:firstLine="480" w:firstLineChars="200"/>
        <w:rPr>
          <w:color w:val="000000"/>
          <w:sz w:val="24"/>
          <w:szCs w:val="24"/>
        </w:rPr>
      </w:pPr>
      <w:r>
        <w:rPr>
          <w:rFonts w:eastAsiaTheme="minorEastAsia"/>
          <w:color w:themeColor="text1" w:val="000000"/>
          <w:sz w:val="24"/>
          <w:szCs w:val="24"/>
        </w:rPr>
        <w:t>③政治风险</w:t>
      </w:r>
    </w:p>
    <w:p>
      <w:pPr>
        <w:spacing w:line="360" w:lineRule="auto"/>
        <w:ind w:firstLine="480" w:firstLineChars="200"/>
        <w:rPr>
          <w:color w:val="000000"/>
          <w:sz w:val="24"/>
          <w:szCs w:val="24"/>
        </w:rPr>
      </w:pPr>
      <w:r>
        <w:rPr>
          <w:rFonts w:eastAsiaTheme="minorEastAsia"/>
          <w:color w:themeColor="text1" w:val="000000"/>
          <w:sz w:val="24"/>
          <w:szCs w:val="24"/>
        </w:rPr>
        <w:t>因政治局势变化（如战争、罢工等）可能导致当地市场出现较大波动，从而给香港互认基金的投资收益造成直接或间接的影响。此外，香港互认基金所投资市场可能会不时采取某些管制措施，如资本或外汇管制、对公司或行业的国有化以及征收高额税收等，从而对香港互认基金收益带来不利影响。</w:t>
      </w:r>
    </w:p>
    <w:p>
      <w:pPr>
        <w:spacing w:line="360" w:lineRule="auto"/>
        <w:ind w:firstLine="480" w:firstLineChars="200"/>
        <w:rPr>
          <w:color w:val="000000"/>
          <w:sz w:val="24"/>
          <w:szCs w:val="24"/>
        </w:rPr>
      </w:pPr>
      <w:r>
        <w:rPr>
          <w:rFonts w:eastAsiaTheme="minorEastAsia"/>
          <w:color w:themeColor="text1" w:val="000000"/>
          <w:sz w:val="24"/>
          <w:szCs w:val="24"/>
        </w:rPr>
        <w:t>④法律风险</w:t>
      </w:r>
    </w:p>
    <w:p>
      <w:pPr>
        <w:spacing w:line="360" w:lineRule="auto"/>
        <w:ind w:firstLine="480" w:firstLineChars="200"/>
        <w:rPr>
          <w:color w:val="000000"/>
          <w:sz w:val="24"/>
          <w:szCs w:val="24"/>
        </w:rPr>
      </w:pPr>
      <w:r>
        <w:rPr>
          <w:rFonts w:eastAsiaTheme="minorEastAsia"/>
          <w:color w:themeColor="text1" w:val="000000"/>
          <w:sz w:val="24"/>
          <w:szCs w:val="24"/>
        </w:rPr>
        <w:t>由于境外市场法律法规的颁布或变更，可能导致香港互认基金的某些投资行为受到限制，从而使得香港互认基金资产面临损失的可能。</w:t>
      </w:r>
    </w:p>
    <w:p>
      <w:pPr>
        <w:spacing w:line="360" w:lineRule="auto"/>
        <w:ind w:firstLine="480" w:firstLineChars="200"/>
        <w:rPr>
          <w:color w:val="000000"/>
          <w:sz w:val="24"/>
          <w:szCs w:val="24"/>
        </w:rPr>
      </w:pPr>
      <w:r>
        <w:rPr>
          <w:rFonts w:eastAsiaTheme="minorEastAsia"/>
          <w:color w:themeColor="text1" w:val="000000"/>
          <w:sz w:val="24"/>
          <w:szCs w:val="24"/>
        </w:rPr>
        <w:t>⑤汇率风险</w:t>
      </w:r>
    </w:p>
    <w:p>
      <w:pPr>
        <w:spacing w:line="360" w:lineRule="auto"/>
        <w:ind w:firstLine="480" w:firstLineChars="200"/>
        <w:rPr>
          <w:color w:val="000000"/>
          <w:sz w:val="24"/>
          <w:szCs w:val="24"/>
        </w:rPr>
      </w:pPr>
      <w:r>
        <w:rPr>
          <w:rFonts w:eastAsiaTheme="minorEastAsia"/>
          <w:color w:themeColor="text1" w:val="000000"/>
          <w:sz w:val="24"/>
          <w:szCs w:val="24"/>
        </w:rPr>
        <w:t>香港互认基金的计价基础货币可能为美元、港币等外币, 因此, 本基金以人民币投资香港互认基金, 可能承受由于人民币兑外币的汇率波动而产生的外汇风险。外币之间的汇率变化以及换汇费用将会影响本基金的投资收益。</w:t>
      </w:r>
    </w:p>
    <w:p>
      <w:pPr>
        <w:spacing w:line="360" w:lineRule="auto"/>
        <w:ind w:firstLine="480" w:firstLineChars="200"/>
        <w:rPr>
          <w:color w:val="000000"/>
          <w:sz w:val="24"/>
          <w:szCs w:val="24"/>
        </w:rPr>
      </w:pPr>
      <w:r>
        <w:rPr>
          <w:rFonts w:eastAsiaTheme="minorEastAsia"/>
          <w:color w:themeColor="text1" w:val="000000"/>
          <w:sz w:val="24"/>
          <w:szCs w:val="24"/>
        </w:rPr>
        <w:t>⑥基金的税务风险</w:t>
      </w:r>
    </w:p>
    <w:p>
      <w:pPr>
        <w:spacing w:line="360" w:lineRule="auto"/>
        <w:ind w:firstLine="480" w:firstLineChars="200"/>
        <w:rPr>
          <w:color w:val="000000"/>
          <w:sz w:val="24"/>
          <w:szCs w:val="24"/>
        </w:rPr>
      </w:pPr>
      <w:r>
        <w:rPr>
          <w:rFonts w:eastAsiaTheme="minorEastAsia"/>
          <w:color w:themeColor="text1" w:val="000000"/>
          <w:sz w:val="24"/>
          <w:szCs w:val="24"/>
        </w:rPr>
        <w:t>由于境外市场在税务方面的法律法规与内地存在一定差异，境外市场可能会要求香港互认基金就股息、利息、资本利得等收益向当地税务机构缴纳税金，该行为会使香港互认基金收益受到一定影响。此外，境外市场的税收规定可能发生变化，或者实施具有追溯力的修订，从而导致本基金在该市场缴纳额外税项，影响香港互认基金收益。</w:t>
      </w:r>
    </w:p>
    <w:p>
      <w:pPr>
        <w:spacing w:line="360" w:lineRule="auto"/>
        <w:ind w:firstLine="480" w:firstLineChars="200"/>
        <w:rPr>
          <w:color w:val="000000"/>
          <w:sz w:val="24"/>
          <w:szCs w:val="24"/>
        </w:rPr>
      </w:pPr>
      <w:r>
        <w:rPr>
          <w:rFonts w:eastAsiaTheme="minorEastAsia"/>
          <w:color w:themeColor="text1" w:val="000000"/>
          <w:sz w:val="24"/>
          <w:szCs w:val="24"/>
        </w:rPr>
        <w:t>⑦境外特殊标的风险</w:t>
      </w:r>
    </w:p>
    <w:p>
      <w:pPr>
        <w:spacing w:line="360" w:lineRule="auto"/>
        <w:ind w:firstLine="480" w:firstLineChars="200"/>
        <w:rPr>
          <w:color w:val="000000"/>
          <w:sz w:val="24"/>
          <w:szCs w:val="24"/>
        </w:rPr>
      </w:pPr>
      <w:r>
        <w:rPr>
          <w:rFonts w:eastAsiaTheme="minorEastAsia"/>
          <w:color w:themeColor="text1" w:val="000000"/>
          <w:sz w:val="24"/>
          <w:szCs w:val="24"/>
        </w:rPr>
        <w:t>不同于内地证券投资基金，香港互认基金的投资标的可能包括低于投资级别或未评级的债券、其他集合投资计划、房地产投资信托基金、商品、期权、股票挂钩票据等衍生工具等。这些不同于内地的特殊投资标的存在特殊风险，可能使得香港互认基金资产面临损失。</w:t>
      </w:r>
    </w:p>
    <w:p>
      <w:pPr>
        <w:spacing w:line="360" w:lineRule="auto"/>
        <w:ind w:firstLine="480" w:firstLineChars="200"/>
        <w:rPr>
          <w:color w:val="000000"/>
          <w:sz w:val="24"/>
          <w:szCs w:val="24"/>
        </w:rPr>
      </w:pPr>
      <w:r>
        <w:rPr>
          <w:rFonts w:eastAsiaTheme="minorEastAsia"/>
          <w:color w:themeColor="text1" w:val="000000"/>
          <w:sz w:val="24"/>
          <w:szCs w:val="24"/>
        </w:rPr>
        <w:t>2）香港基金互认机制相关风险</w:t>
      </w:r>
    </w:p>
    <w:p>
      <w:pPr>
        <w:spacing w:line="360" w:lineRule="auto"/>
        <w:ind w:firstLine="480" w:firstLineChars="200"/>
        <w:rPr>
          <w:color w:val="000000"/>
          <w:sz w:val="24"/>
          <w:szCs w:val="24"/>
        </w:rPr>
      </w:pPr>
      <w:r>
        <w:rPr>
          <w:rFonts w:eastAsiaTheme="minorEastAsia"/>
          <w:color w:themeColor="text1" w:val="000000"/>
          <w:sz w:val="24"/>
          <w:szCs w:val="24"/>
        </w:rPr>
        <w:t>香港互认基金在内地销售需持续满足相关法规及监管要求，如基金在运作过程中不符合互认基金的条件或香港基金互认机制终止，相关香港互认基金可能会暂停或终止在内地销售；此外，香港互认基金在内地销售还可能面临内地代理人、内地销售机构或内地登记结算机构的操作风险、技术风险，跨境数据传输和跨境资金结算的系统风险、税收风险等，从而可能增加本基金的投资风险。</w:t>
      </w:r>
    </w:p>
    <w:p>
      <w:pPr>
        <w:spacing w:line="360" w:lineRule="auto"/>
        <w:ind w:firstLine="480" w:firstLineChars="200"/>
        <w:rPr>
          <w:color w:val="000000"/>
          <w:sz w:val="24"/>
          <w:szCs w:val="24"/>
        </w:rPr>
      </w:pPr>
      <w:r>
        <w:rPr>
          <w:rFonts w:eastAsiaTheme="minorEastAsia"/>
          <w:color w:themeColor="text1" w:val="000000"/>
          <w:sz w:val="24"/>
          <w:szCs w:val="24"/>
        </w:rPr>
        <w:t>①香港互认基金暂停或终止内地销售的风险</w:t>
      </w:r>
    </w:p>
    <w:p>
      <w:pPr>
        <w:spacing w:line="360" w:lineRule="auto"/>
        <w:ind w:firstLine="480" w:firstLineChars="200"/>
        <w:rPr>
          <w:color w:val="000000"/>
          <w:sz w:val="24"/>
          <w:szCs w:val="24"/>
        </w:rPr>
      </w:pPr>
      <w:r>
        <w:rPr>
          <w:rFonts w:eastAsiaTheme="minorEastAsia"/>
          <w:color w:themeColor="text1" w:val="000000"/>
          <w:sz w:val="24"/>
          <w:szCs w:val="24"/>
        </w:rPr>
        <w:t>若基金管理人或互认基金不满足中国证监会规定的香港互认基金条件，或监管部门终止香港基金互认机制，相关的香港互认基金将可能无法继续在内地销售。此外，香港互认基金将受到全面的额度限制。若在内地销售的全部香港互认基金的销售额度达到中国证监会和/或香港证监会和/或国家外汇管理局和/或其他监管机构规定的额度或者不时调整的额度，香港互认基金将暂停接受内地投资者的申购申请。</w:t>
      </w:r>
    </w:p>
    <w:p>
      <w:pPr>
        <w:spacing w:line="360" w:lineRule="auto"/>
        <w:ind w:firstLine="480" w:firstLineChars="200"/>
        <w:rPr>
          <w:color w:val="000000"/>
          <w:sz w:val="24"/>
          <w:szCs w:val="24"/>
        </w:rPr>
      </w:pPr>
      <w:r>
        <w:rPr>
          <w:rFonts w:eastAsiaTheme="minorEastAsia"/>
          <w:color w:themeColor="text1" w:val="000000"/>
          <w:sz w:val="24"/>
          <w:szCs w:val="24"/>
        </w:rPr>
        <w:t>②内地代理人、内地销售机构或内地登记结算机构的操作风险、技术风险</w:t>
      </w:r>
    </w:p>
    <w:p>
      <w:pPr>
        <w:spacing w:line="360" w:lineRule="auto"/>
        <w:ind w:firstLine="480" w:firstLineChars="200"/>
        <w:rPr>
          <w:color w:val="000000"/>
          <w:sz w:val="24"/>
          <w:szCs w:val="24"/>
        </w:rPr>
      </w:pPr>
      <w:r>
        <w:rPr>
          <w:rFonts w:eastAsiaTheme="minorEastAsia"/>
          <w:color w:themeColor="text1" w:val="000000"/>
          <w:sz w:val="24"/>
          <w:szCs w:val="24"/>
        </w:rPr>
        <w:t>内地投资者的申购、赎回由内地销售机构、内地代理人及/或内地登记结算机构与互认基金的基金管理人、行政管理人进行数据清算和资金交收，并由名义持有人代名持有内地投资者的基金份额。内地销售机构、内地代理人或内地登记结算机构在业务各环节操作过程中，因操作失误或违反操作规程等原因可能引致风险，可能因为技术系统的故障或者差错而影响清算交收的正常进行，或者导致投资者的利益受到影响。</w:t>
      </w:r>
    </w:p>
    <w:p>
      <w:pPr>
        <w:spacing w:line="360" w:lineRule="auto"/>
        <w:ind w:firstLine="480" w:firstLineChars="200"/>
        <w:rPr>
          <w:color w:val="000000"/>
          <w:sz w:val="24"/>
          <w:szCs w:val="24"/>
        </w:rPr>
      </w:pPr>
      <w:r>
        <w:rPr>
          <w:rFonts w:eastAsiaTheme="minorEastAsia"/>
          <w:color w:themeColor="text1" w:val="000000"/>
          <w:sz w:val="24"/>
          <w:szCs w:val="24"/>
        </w:rPr>
        <w:t>③跨境数据传输和跨境资金结算的系统风险</w:t>
      </w:r>
    </w:p>
    <w:p>
      <w:pPr>
        <w:spacing w:line="360" w:lineRule="auto"/>
        <w:ind w:firstLine="480" w:firstLineChars="200"/>
        <w:rPr>
          <w:color w:val="000000"/>
          <w:sz w:val="24"/>
          <w:szCs w:val="24"/>
        </w:rPr>
      </w:pPr>
      <w:r>
        <w:rPr>
          <w:rFonts w:eastAsiaTheme="minorEastAsia"/>
          <w:color w:themeColor="text1" w:val="000000"/>
          <w:sz w:val="24"/>
          <w:szCs w:val="24"/>
        </w:rPr>
        <w:t>申购、赎回香港互认基金的数据清算和资金交收将通过内地登记结算机构的基金登记结算系统平台和基金管理人或行政管理人采用的登记结算系统平台进行传输和交换，可能会发生并非由相关参与主体的过错而导致的技术系统故障或者差错而影响清算交收的正常进行。</w:t>
      </w:r>
    </w:p>
    <w:p>
      <w:pPr>
        <w:spacing w:line="360" w:lineRule="auto"/>
        <w:ind w:firstLine="480" w:firstLineChars="200"/>
        <w:rPr>
          <w:color w:val="000000"/>
          <w:sz w:val="24"/>
          <w:szCs w:val="24"/>
        </w:rPr>
      </w:pPr>
      <w:r>
        <w:rPr>
          <w:rFonts w:eastAsiaTheme="minorEastAsia"/>
          <w:color w:themeColor="text1" w:val="000000"/>
          <w:sz w:val="24"/>
          <w:szCs w:val="24"/>
        </w:rPr>
        <w:t>④税收风险</w:t>
      </w:r>
    </w:p>
    <w:p>
      <w:pPr>
        <w:spacing w:line="360" w:lineRule="auto"/>
        <w:ind w:firstLine="480" w:firstLineChars="200"/>
        <w:rPr>
          <w:color w:val="000000"/>
          <w:sz w:val="24"/>
          <w:szCs w:val="24"/>
        </w:rPr>
      </w:pPr>
      <w:r>
        <w:rPr>
          <w:rFonts w:eastAsiaTheme="minorEastAsia"/>
          <w:color w:themeColor="text1" w:val="000000"/>
          <w:sz w:val="24"/>
          <w:szCs w:val="24"/>
        </w:rPr>
        <w:t>由于中国内地与香港的税收政策存在差异，可能导致在内地销售的香港互认基金份额的资产回报有别于在香港销售的份额。同时，中国内地关于在内地销售的香港互认基金与内地普通证券投资基金之间在税收政策上也存在差异，例如香港互认基金份额转让需支付香港印花税以及份额转让定额税项，内地个人投资者从香港互认基金分配获得的收益需缴纳个人所得税等，以上税收差异可能使内地销售的互认基金份额的投资收益和回报受到影响。</w:t>
      </w:r>
    </w:p>
    <w:p>
      <w:pPr>
        <w:spacing w:line="360" w:lineRule="auto"/>
        <w:ind w:firstLine="480" w:firstLineChars="200"/>
        <w:rPr>
          <w:color w:val="000000"/>
          <w:sz w:val="24"/>
          <w:szCs w:val="24"/>
        </w:rPr>
      </w:pPr>
      <w:r>
        <w:rPr>
          <w:rFonts w:eastAsiaTheme="minorEastAsia"/>
          <w:color w:themeColor="text1" w:val="000000"/>
          <w:sz w:val="24"/>
          <w:szCs w:val="24"/>
        </w:rPr>
        <w:t>⑤名义持有人机制风险</w:t>
      </w:r>
    </w:p>
    <w:p>
      <w:pPr>
        <w:spacing w:line="360" w:lineRule="auto"/>
        <w:ind w:firstLine="480" w:firstLineChars="200"/>
        <w:rPr>
          <w:color w:val="000000"/>
          <w:sz w:val="24"/>
          <w:szCs w:val="24"/>
        </w:rPr>
      </w:pPr>
      <w:r>
        <w:rPr>
          <w:rFonts w:eastAsiaTheme="minorEastAsia"/>
          <w:color w:themeColor="text1" w:val="000000"/>
          <w:sz w:val="24"/>
          <w:szCs w:val="24"/>
        </w:rPr>
        <w:t>与内地基金的注册登记规则不同，内地投资者持有的互认基金份额将由名义持有人代名持有并以名义持有人的名义登记为份额持有人。内地投资者并不会被基金注册登记机构直接登记于份额持有人登记册上。虽然在此安排下内地投资者仍是互认基金份额的实益拥有人，但名义持有人是该等基金份额法律上的拥有人。在此情况下，内地投资者与互认基金管理人、受托人并无任何直接合约关系。内地投资者对互认基金管理人及／或受托人若有任何权利主张，可通过名义持有人向互认基金管理人及／或受托人提出，相应费用由内地投资者自行承担。</w:t>
      </w:r>
    </w:p>
    <w:p>
      <w:pPr>
        <w:spacing w:line="360" w:lineRule="auto"/>
        <w:ind w:firstLine="480" w:firstLineChars="200"/>
        <w:rPr>
          <w:color w:val="000000"/>
          <w:sz w:val="24"/>
          <w:szCs w:val="24"/>
        </w:rPr>
      </w:pPr>
      <w:r>
        <w:rPr>
          <w:rFonts w:eastAsiaTheme="minorEastAsia"/>
          <w:color w:themeColor="text1" w:val="000000"/>
          <w:sz w:val="24"/>
          <w:szCs w:val="24"/>
        </w:rPr>
        <w:t>⑥强制赎回风险</w:t>
      </w:r>
    </w:p>
    <w:p>
      <w:pPr>
        <w:spacing w:line="360" w:lineRule="auto"/>
        <w:ind w:firstLine="480" w:firstLineChars="200"/>
        <w:rPr>
          <w:color w:val="000000"/>
          <w:sz w:val="24"/>
          <w:szCs w:val="24"/>
        </w:rPr>
      </w:pPr>
      <w:r>
        <w:rPr>
          <w:rFonts w:eastAsiaTheme="minorEastAsia"/>
          <w:color w:themeColor="text1" w:val="000000"/>
          <w:sz w:val="24"/>
          <w:szCs w:val="24"/>
        </w:rPr>
        <w:t>对于内地销售的互认基金份额而言，若赎回部分基金份额将导致赎回后其持有的相应类别的基金份额的价值少于互认基金规定的最低持有额，互认基金管理人有权要求剩余的基金份额一并被全部赎回。除此之外，若互认基金管理人认为基金投资者继续持有互认基金份额存在违反任何法律法规、基金合同约定或其他互认基金要求（如可能对互认基金或其他基金份额持有人产生不利的监管、税务或财政后果）的情况下，互认基金管理人可以强制赎回基金投资者持有的互认基金份额。</w:t>
      </w:r>
    </w:p>
    <w:p>
      <w:pPr>
        <w:spacing w:line="360" w:lineRule="auto"/>
        <w:ind w:firstLine="480" w:firstLineChars="200"/>
        <w:rPr>
          <w:color w:val="000000"/>
          <w:sz w:val="24"/>
          <w:szCs w:val="24"/>
        </w:rPr>
      </w:pPr>
      <w:r>
        <w:rPr>
          <w:rFonts w:eastAsiaTheme="minorEastAsia"/>
          <w:color w:themeColor="text1" w:val="000000"/>
          <w:sz w:val="24"/>
          <w:szCs w:val="24"/>
        </w:rPr>
        <w:t>⑦基金份额净值计算和差错处理差异的风险</w:t>
      </w:r>
    </w:p>
    <w:p>
      <w:pPr>
        <w:spacing w:line="360" w:lineRule="auto"/>
        <w:ind w:firstLine="480" w:firstLineChars="200"/>
        <w:rPr>
          <w:color w:val="000000"/>
          <w:sz w:val="24"/>
          <w:szCs w:val="24"/>
        </w:rPr>
      </w:pPr>
      <w:r>
        <w:rPr>
          <w:rFonts w:eastAsiaTheme="minorEastAsia"/>
          <w:color w:themeColor="text1" w:val="000000"/>
          <w:sz w:val="24"/>
          <w:szCs w:val="24"/>
        </w:rPr>
        <w:t>香港互认基金与内地公募基金根据适用的法规以及各自基金合同约定，其在基金份额净值计算、估值错误处理规则等方面存在差异，相应的过错责任方按基金合同约定承担赔偿责任的处理也会有所不同，由此可能增加本基金的相关投资风险。</w:t>
      </w:r>
    </w:p>
    <w:p>
      <w:pPr>
        <w:spacing w:line="360" w:lineRule="auto"/>
        <w:ind w:firstLine="480" w:firstLineChars="200"/>
        <w:rPr>
          <w:color w:val="000000"/>
          <w:sz w:val="24"/>
          <w:szCs w:val="24"/>
        </w:rPr>
      </w:pPr>
      <w:r>
        <w:rPr>
          <w:rFonts w:eastAsiaTheme="minorEastAsia"/>
          <w:color w:themeColor="text1" w:val="000000"/>
          <w:sz w:val="24"/>
          <w:szCs w:val="24"/>
        </w:rPr>
        <w:t>（6）可上市交易基金的二级市场投资风险。本基金可通过二级市场进行ETF、LOF、封闭式基金的买卖交易，由此可能面临交易量不足所引起的流动性风险、交易价格与基金份额净值之间的折溢价风险以及被投资基金暂停交易或退市的风险等。</w:t>
      </w:r>
    </w:p>
    <w:p>
      <w:pPr>
        <w:spacing w:line="360" w:lineRule="auto"/>
        <w:ind w:firstLine="480" w:firstLineChars="200"/>
        <w:rPr>
          <w:color w:val="000000"/>
          <w:sz w:val="24"/>
          <w:szCs w:val="24"/>
        </w:rPr>
      </w:pPr>
      <w:r>
        <w:rPr>
          <w:rFonts w:eastAsiaTheme="minorEastAsia"/>
          <w:color w:themeColor="text1" w:val="000000"/>
          <w:sz w:val="24"/>
          <w:szCs w:val="24"/>
        </w:rPr>
        <w:t>（7）被投资基金的运作风险。具体包括基金投资风格漂移风险、基金经理变更风险、基金实际运作风险以及基金产品设计开发创新风险等。此外，封闭式基金到期转开放、基金清算、基金合并等事件也会带来风险。虽然本基金管理人将会从基金风格、投资能力、管理团队、实际运作情况等多方面精选基金投资品种，但无法完全规避基金运作风险。</w:t>
      </w:r>
    </w:p>
    <w:p>
      <w:pPr>
        <w:spacing w:line="360" w:lineRule="auto"/>
        <w:ind w:firstLine="480" w:firstLineChars="200"/>
        <w:rPr>
          <w:color w:val="000000"/>
          <w:sz w:val="24"/>
          <w:szCs w:val="24"/>
        </w:rPr>
      </w:pPr>
      <w:r>
        <w:rPr>
          <w:rFonts w:eastAsiaTheme="minorEastAsia"/>
          <w:color w:themeColor="text1" w:val="000000"/>
          <w:sz w:val="24"/>
          <w:szCs w:val="24"/>
        </w:rPr>
        <w:t>（8）被投资基金的基金管理人经营风险。基金的投资业绩会受到基金管理人的经营状况的影响。如基金管理人面临的管理能力、财务状况、市场前景、行业竞争、人员素质等因素的变化均会导致基金投资业绩的波动。虽然本基金可以通过投资多样化分散这种非系统风险，但不能完全规避。特别地，在本基金投资策略的实施过程中，可将基金资产部分或全部投资于本基金管理人管理的其他基金，在这种情况下，本基金将无法通过投资多样化来分散这种非系统性风险。</w:t>
      </w:r>
    </w:p>
    <w:p w:rsidP="001F5F5D" w:rsidR="00750D48" w:rsidRDefault="001F5F5D" w:rsidRPr="004B7A92">
      <w:pPr>
        <w:spacing w:line="360" w:lineRule="auto"/>
        <w:ind w:firstLine="480" w:firstLineChars="200"/>
        <w:rPr>
          <w:color w:val="000000"/>
          <w:sz w:val="24"/>
          <w:szCs w:val="24"/>
        </w:rPr>
      </w:pPr>
      <w:r w:rsidRPr="00FC0759">
        <w:rPr>
          <w:rFonts w:eastAsiaTheme="minorEastAsia"/>
          <w:color w:themeColor="text1" w:val="000000"/>
          <w:sz w:val="24"/>
          <w:szCs w:val="24"/>
        </w:rPr>
        <w:t/>
      </w:r>
      <w:proofErr w:type="spellStart"/>
      <w:r w:rsidRPr="00FC0759">
        <w:rPr>
          <w:color w:themeColor="text1" w:val="000000"/>
          <w:sz w:val="24"/>
          <w:szCs w:val="24"/>
        </w:rPr>
        <w:t/>
      </w:r>
      <w:proofErr w:type="spellEnd"/>
      <w:r w:rsidRPr="00FC0759">
        <w:rPr>
          <w:rFonts w:eastAsiaTheme="minorEastAsia"/>
          <w:color w:themeColor="text1" w:val="000000"/>
          <w:sz w:val="24"/>
          <w:szCs w:val="24"/>
        </w:rPr>
        <w:t>（9）被投资基金的相关政策风险。本基金主要投资于各类其他基金，如遇国家金融政策发生重大调整，导致被投资基金的基金管理人、基金投资操作、基金运作方式发生较大变化，可能影响本基金的收益水平。</w:t>
      </w: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color w:val="000000"/>
          <w:kern w:val="0"/>
          <w:sz w:val="24"/>
          <w:szCs w:val="24"/>
        </w:rPr>
        <w:t/>
      </w:r>
      <w:r w:rsidRPr="00264E55">
        <w:rPr>
          <w:rFonts w:ascii="宋体" w:hAnsi="宋体"/>
          <w:color w:val="000000"/>
          <w:kern w:val="0"/>
          <w:sz w:val="24"/>
          <w:szCs w:val="24"/>
        </w:rPr>
        <w:t xml:space="preserve">11  </w:t>
      </w:r>
      <w:r w:rsidRPr="00264E55">
        <w:rPr>
          <w:rFonts w:ascii="宋体" w:hAnsi="宋体" w:hint="eastAsia"/>
          <w:color w:val="000000"/>
          <w:kern w:val="0"/>
          <w:sz w:val="24"/>
          <w:szCs w:val="24"/>
        </w:rPr>
        <w:t>备查文件目录</w:t>
      </w:r>
    </w:p>
    <w:p w:rsidP="00C71497"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b/>
          <w:bCs/>
          <w:color w:val="000000"/>
          <w:kern w:val="0"/>
          <w:sz w:val="24"/>
          <w:szCs w:val="24"/>
        </w:rPr>
        <w:t/>
      </w:r>
      <w:r w:rsidRPr="00264E55">
        <w:rPr>
          <w:rFonts w:ascii="宋体" w:hAnsi="宋体"/>
          <w:b/>
          <w:bCs/>
          <w:color w:val="000000"/>
          <w:kern w:val="0"/>
          <w:sz w:val="24"/>
          <w:szCs w:val="24"/>
        </w:rPr>
        <w:t xml:space="preserve">11.1 </w:t>
      </w:r>
      <w:r w:rsidRPr="00264E55">
        <w:rPr>
          <w:rFonts w:ascii="宋体" w:hAnsi="宋体" w:hint="eastAsia"/>
          <w:b/>
          <w:bCs/>
          <w:color w:val="000000"/>
          <w:kern w:val="0"/>
          <w:sz w:val="24"/>
          <w:szCs w:val="24"/>
        </w:rPr>
        <w:t>备查文件目录</w:t>
      </w:r>
    </w:p>
    <w:p>
      <w:pPr>
        <w:spacing w:line="360" w:lineRule="auto"/>
        <w:ind w:firstLine="480" w:firstLineChars="200"/>
        <w:rPr>
          <w:color w:val="000000"/>
          <w:sz w:val="24"/>
          <w:szCs w:val="24"/>
        </w:rPr>
      </w:pPr>
      <w:r>
        <w:rPr>
          <w:color w:val="000000"/>
          <w:sz w:val="24"/>
          <w:szCs w:val="24"/>
        </w:rPr>
        <w:t>1.中国证监会关于准予易方达汇诚养老目标日期2038三年持有期混合型基金中基金（FOF）变更注册的批复；</w:t>
      </w:r>
    </w:p>
    <w:p>
      <w:pPr>
        <w:spacing w:line="360" w:lineRule="auto"/>
        <w:ind w:firstLine="480" w:firstLineChars="200"/>
        <w:rPr>
          <w:color w:val="000000"/>
          <w:sz w:val="24"/>
          <w:szCs w:val="24"/>
        </w:rPr>
      </w:pPr>
      <w:r>
        <w:rPr>
          <w:color w:val="000000"/>
          <w:sz w:val="24"/>
          <w:szCs w:val="24"/>
        </w:rPr>
        <w:t>2.《易方达汇诚养老目标日期2038三年持有期混合型发起式基金中基金（FOF）基金合同》；</w:t>
      </w:r>
    </w:p>
    <w:p>
      <w:pPr>
        <w:spacing w:line="360" w:lineRule="auto"/>
        <w:ind w:firstLine="480" w:firstLineChars="200"/>
        <w:rPr>
          <w:color w:val="000000"/>
          <w:sz w:val="24"/>
          <w:szCs w:val="24"/>
        </w:rPr>
      </w:pPr>
      <w:r>
        <w:rPr>
          <w:color w:val="000000"/>
          <w:sz w:val="24"/>
          <w:szCs w:val="24"/>
        </w:rPr>
        <w:t>3.《易方达汇诚养老目标日期2038三年持有期混合型发起式基金中基金（FOF）托管协议》；</w:t>
      </w:r>
    </w:p>
    <w:p>
      <w:pPr>
        <w:spacing w:line="360" w:lineRule="auto"/>
        <w:ind w:firstLine="480" w:firstLineChars="200"/>
        <w:rPr>
          <w:color w:val="000000"/>
          <w:sz w:val="24"/>
          <w:szCs w:val="24"/>
        </w:rPr>
      </w:pPr>
      <w:r>
        <w:rPr>
          <w:color w:val="000000"/>
          <w:sz w:val="24"/>
          <w:szCs w:val="24"/>
        </w:rPr>
        <w:t>4.《易方达基金管理有限公司开放式基金业务规则》；</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5.基金管理人业务资格批件、营业执照。</w:t>
      </w:r>
    </w:p>
    <w:p w:rsidP="00C71497"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b/>
          <w:bCs/>
          <w:color w:val="000000"/>
          <w:kern w:val="0"/>
          <w:sz w:val="24"/>
          <w:szCs w:val="24"/>
        </w:rPr>
        <w:t/>
      </w:r>
      <w:r w:rsidRPr="00264E55">
        <w:rPr>
          <w:rFonts w:ascii="宋体" w:hAnsi="宋体"/>
          <w:b/>
          <w:bCs/>
          <w:color w:val="000000"/>
          <w:kern w:val="0"/>
          <w:sz w:val="24"/>
          <w:szCs w:val="24"/>
        </w:rPr>
        <w:t xml:space="preserve">11.2 </w:t>
      </w:r>
      <w:r w:rsidRPr="00264E55">
        <w:rPr>
          <w:rFonts w:ascii="宋体" w:hAnsi="宋体" w:hint="eastAsia"/>
          <w:b/>
          <w:bCs/>
          <w:color w:val="000000"/>
          <w:kern w:val="0"/>
          <w:sz w:val="24"/>
          <w:szCs w:val="24"/>
        </w:rPr>
        <w:t>存放地点</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广州市天河区珠江新城珠江东路30号广州银行大厦40-43楼。</w:t>
      </w:r>
    </w:p>
    <w:p w:rsidP="00C71497"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b/>
          <w:bCs/>
          <w:color w:val="000000"/>
          <w:kern w:val="0"/>
          <w:sz w:val="24"/>
          <w:szCs w:val="24"/>
        </w:rPr>
        <w:t/>
      </w:r>
      <w:r w:rsidRPr="00264E55">
        <w:rPr>
          <w:rFonts w:ascii="宋体" w:hAnsi="宋体"/>
          <w:b/>
          <w:bCs/>
          <w:color w:val="000000"/>
          <w:kern w:val="0"/>
          <w:sz w:val="24"/>
          <w:szCs w:val="24"/>
        </w:rPr>
        <w:t xml:space="preserve">11.3 </w:t>
      </w:r>
      <w:r w:rsidRPr="00264E55">
        <w:rPr>
          <w:rFonts w:ascii="宋体" w:hAnsi="宋体" w:hint="eastAsia"/>
          <w:b/>
          <w:bCs/>
          <w:color w:val="000000"/>
          <w:kern w:val="0"/>
          <w:sz w:val="24"/>
          <w:szCs w:val="24"/>
        </w:rPr>
        <w:t>查阅方式</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投资者可在营业时间免费查阅，也可按工本费购买复印件。</w:t>
      </w:r>
    </w:p>
    <w:p w:rsidP="004061AC" w:rsidR="00750D48" w:rsidRDefault="00750D48">
      <w:pPr>
        <w:spacing w:line="360" w:lineRule="auto"/>
        <w:ind w:left="840"/>
        <w:jc w:val="right"/>
        <w:rPr>
          <w:rFonts w:ascii="宋体"/>
          <w:color w:val="000000"/>
          <w:sz w:val="24"/>
          <w:szCs w:val="24"/>
        </w:rPr>
      </w:pPr>
    </w:p>
    <w:p w:rsidP="004061AC" w:rsidR="00750D48" w:rsidRDefault="00750D48">
      <w:pPr>
        <w:spacing w:line="360" w:lineRule="auto"/>
        <w:ind w:left="840"/>
        <w:jc w:val="right"/>
        <w:rPr>
          <w:rFonts w:ascii="宋体"/>
          <w:color w:val="000000"/>
          <w:sz w:val="24"/>
          <w:szCs w:val="24"/>
        </w:rPr>
      </w:pPr>
    </w:p>
    <w:p w:rsidP="004061AC" w:rsidR="00750D48" w:rsidRDefault="00750D48">
      <w:pPr>
        <w:spacing w:line="360" w:lineRule="auto"/>
        <w:ind w:left="840"/>
        <w:jc w:val="right"/>
        <w:rPr>
          <w:rFonts w:ascii="宋体"/>
          <w:color w:val="000000"/>
          <w:sz w:val="24"/>
          <w:szCs w:val="24"/>
        </w:rPr>
      </w:pPr>
    </w:p>
    <w:p w:rsidP="004061AC" w:rsidR="00750D48" w:rsidRDefault="00750D48">
      <w:pPr>
        <w:spacing w:line="360" w:lineRule="auto"/>
        <w:ind w:left="840"/>
        <w:jc w:val="right"/>
        <w:rPr>
          <w:rFonts w:ascii="宋体"/>
          <w:color w:val="000000"/>
          <w:sz w:val="24"/>
          <w:szCs w:val="24"/>
        </w:rPr>
      </w:pPr>
    </w:p>
    <w:p w:rsidP="004061AC" w:rsidR="00750D48" w:rsidRDefault="00750D48">
      <w:pPr>
        <w:spacing w:line="360" w:lineRule="auto"/>
        <w:ind w:left="840"/>
        <w:jc w:val="right"/>
        <w:rPr>
          <w:rFonts w:ascii="宋体"/>
          <w:color w:val="000000"/>
          <w:sz w:val="24"/>
          <w:szCs w:val="24"/>
        </w:rPr>
      </w:pPr>
    </w:p>
    <w:p w:rsidP="004061AC" w:rsidR="00750D48" w:rsidRDefault="00750D48" w:rsidRPr="00264E55">
      <w:pPr>
        <w:spacing w:line="360" w:lineRule="auto"/>
        <w:ind w:left="840"/>
        <w:jc w:val="right"/>
        <w:rPr>
          <w:rFonts w:ascii="宋体"/>
          <w:color w:val="000000"/>
          <w:sz w:val="24"/>
          <w:szCs w:val="24"/>
        </w:rPr>
      </w:pPr>
    </w:p>
    <w:p w:rsidP="004061AC" w:rsidR="00750D48" w:rsidRDefault="00750D48" w:rsidRPr="00264E55">
      <w:pPr>
        <w:spacing w:line="360" w:lineRule="auto"/>
        <w:ind w:left="840"/>
        <w:jc w:val="right"/>
        <w:rPr>
          <w:rFonts w:ascii="宋体"/>
          <w:color w:val="000000"/>
          <w:sz w:val="24"/>
          <w:szCs w:val="24"/>
        </w:rPr>
      </w:pPr>
    </w:p>
    <w:p w:rsidP="004061AC" w:rsidR="00750D48" w:rsidRDefault="00750D48" w:rsidRPr="00264E55">
      <w:pPr>
        <w:spacing w:line="360" w:lineRule="auto"/>
        <w:ind w:left="840"/>
        <w:jc w:val="right"/>
        <w:rPr>
          <w:rFonts w:ascii="宋体"/>
          <w:color w:val="000000"/>
          <w:sz w:val="24"/>
          <w:szCs w:val="24"/>
        </w:rPr>
      </w:pPr>
    </w:p>
    <w:p w:rsidP="00C71497" w:rsidR="00750D48" w:rsidRDefault="00750D48" w:rsidRPr="00264E55">
      <w:pPr>
        <w:spacing w:line="360" w:lineRule="auto"/>
        <w:jc w:val="right"/>
        <w:rPr>
          <w:rFonts w:ascii="宋体" w:hAnsi="宋体"/>
          <w:b/>
          <w:bCs/>
          <w:sz w:val="24"/>
          <w:szCs w:val="24"/>
        </w:rPr>
      </w:pPr>
      <w:r w:rsidRPr="00264E55">
        <w:rPr>
          <w:rFonts w:ascii="宋体"/>
          <w:b/>
          <w:bCs/>
          <w:sz w:val="24"/>
          <w:szCs w:val="24"/>
        </w:rPr>
        <w:t/>
      </w:r>
      <w:proofErr w:type="spellStart"/>
      <w:r w:rsidRPr="00264E55">
        <w:rPr>
          <w:rFonts w:ascii="宋体" w:hAnsi="宋体"/>
          <w:b/>
          <w:bCs/>
          <w:sz w:val="24"/>
          <w:szCs w:val="24"/>
        </w:rPr>
        <w:t/>
      </w:r>
      <w:proofErr w:type="spellEnd"/>
      <w:r w:rsidRPr="00264E55">
        <w:rPr>
          <w:rFonts w:ascii="宋体" w:hAnsi="宋体"/>
          <w:b/>
          <w:bCs/>
          <w:sz w:val="24"/>
          <w:szCs w:val="24"/>
        </w:rPr>
        <w:t>易方达基金管理有限公司</w:t>
      </w:r>
    </w:p>
    <w:p w:rsidP="002E2237" w:rsidR="00750D48" w:rsidRDefault="00750D48" w:rsidRPr="002E2237">
      <w:pPr>
        <w:spacing w:line="360" w:lineRule="auto"/>
        <w:jc w:val="right"/>
        <w:rPr>
          <w:rFonts w:ascii="宋体" w:hAnsi="宋体"/>
          <w:b/>
          <w:bCs/>
          <w:sz w:val="24"/>
          <w:szCs w:val="24"/>
        </w:rPr>
      </w:pPr>
      <w:r w:rsidRPr="00264E55">
        <w:rPr>
          <w:rFonts w:ascii="宋体" w:hAnsi="宋体"/>
          <w:b/>
          <w:bCs/>
          <w:sz w:val="24"/>
          <w:szCs w:val="24"/>
        </w:rPr>
        <w:t/>
      </w:r>
      <w:proofErr w:type="spellStart"/>
      <w:r w:rsidRPr="00264E55">
        <w:rPr>
          <w:rFonts w:ascii="宋体" w:hAnsi="宋体"/>
          <w:b/>
          <w:bCs/>
          <w:sz w:val="24"/>
          <w:szCs w:val="24"/>
        </w:rPr>
        <w:t/>
      </w:r>
      <w:proofErr w:type="spellEnd"/>
      <w:r w:rsidRPr="00264E55">
        <w:rPr>
          <w:rFonts w:ascii="宋体" w:hAnsi="宋体"/>
          <w:b/>
          <w:bCs/>
          <w:sz w:val="24"/>
          <w:szCs w:val="24"/>
        </w:rPr>
        <w:t>二〇二〇年七月二十一日</w:t>
      </w:r>
    </w:p>
    <w:sectPr w:rsidR="00750D48" w:rsidRPr="002E2237" w:rsidSect="00304A12">
      <w:footerReference r:id="rId12" w:type="default"/>
      <w:pgSz w:code="9" w:h="16838" w:w="11906"/>
      <w:pgMar w:bottom="1440" w:footer="992" w:gutter="0" w:header="851" w:left="1797" w:right="1797" w:top="1440"/>
      <w:cols w:space="425"/>
      <w:docGrid w:linePitch="312" w:type="line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95C6A" w:rsidRDefault="00995C6A" w:rsidP="00876D65">
      <w:r>
        <w:separator/>
      </w:r>
    </w:p>
  </w:endnote>
  <w:endnote w:type="continuationSeparator" w:id="0">
    <w:p w:rsidR="00995C6A" w:rsidRDefault="00995C6A" w:rsidP="00876D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FangSong">
    <w:altName w:val="Arial"/>
    <w:charset w:val="00"/>
    <w:family w:val="auto"/>
    <w:pitch w:val="default"/>
    <w:sig w:usb0="00000003" w:usb1="00000000" w:usb2="00000000" w:usb3="00000000" w:csb0="00000001" w:csb1="00000000"/>
  </w:font>
  <w:font w:name="方正仿宋简体">
    <w:altName w:val="宋体"/>
    <w:charset w:val="86"/>
    <w:family w:val="auto"/>
    <w:pitch w:val="default"/>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P="00EF56B5" w:rsidR="003328D9" w:rsidRDefault="003328D9">
    <w:pPr>
      <w:pStyle w:val="a6"/>
      <w:framePr w:hAnchor="margin" w:vAnchor="text" w:wrap="auto" w:xAlign="center" w:y="1"/>
      <w:rPr>
        <w:rStyle w:val="a7"/>
      </w:rPr>
    </w:pPr>
    <w:r>
      <w:rPr>
        <w:rStyle w:val="a7"/>
        <w:rFonts w:hint="eastAsia"/>
      </w:rPr>
      <w:t>第</w:t>
    </w:r>
    <w:r>
      <w:rPr>
        <w:rStyle w:val="a7"/>
      </w:rPr>
      <w:fldChar w:fldCharType="begin"/>
    </w:r>
    <w:r>
      <w:rPr>
        <w:rStyle w:val="a7"/>
      </w:rPr>
      <w:instrText xml:space="preserve">PAGE  </w:instrText>
    </w:r>
    <w:r>
      <w:rPr>
        <w:rStyle w:val="a7"/>
      </w:rPr>
      <w:fldChar w:fldCharType="separate"/>
    </w:r>
    <w:r w:rsidR="00D7102E">
      <w:rPr>
        <w:rStyle w:val="a7"/>
        <w:noProof/>
      </w:rPr>
      <w:t>1</w:t>
    </w:r>
    <w:r>
      <w:rPr>
        <w:rStyle w:val="a7"/>
      </w:rPr>
      <w:fldChar w:fldCharType="end"/>
    </w:r>
    <w:proofErr w:type="gramStart"/>
    <w:r>
      <w:rPr>
        <w:rStyle w:val="a7"/>
        <w:rFonts w:hint="eastAsia"/>
      </w:rPr>
      <w:t>页共</w:t>
    </w:r>
    <w:proofErr w:type="gramEnd"/>
    <w:r w:rsidR="00DC573D">
      <w:fldChar w:fldCharType="begin"/>
    </w:r>
    <w:r w:rsidR="00DC573D">
      <w:instrText xml:space="preserve"> NUMPAGES  \* Arabic  \* MERGEFORMAT </w:instrText>
    </w:r>
    <w:r w:rsidR="00DC573D">
      <w:fldChar w:fldCharType="separate"/>
    </w:r>
    <w:r w:rsidR="00D7102E" w:rsidRPr="00D7102E">
      <w:rPr>
        <w:rStyle w:val="a7"/>
        <w:noProof/>
      </w:rPr>
      <w:t>29</w:t>
    </w:r>
    <w:r w:rsidR="00DC573D">
      <w:rPr>
        <w:rStyle w:val="a7"/>
        <w:noProof/>
      </w:rPr>
      <w:fldChar w:fldCharType="end"/>
    </w:r>
    <w:r>
      <w:rPr>
        <w:rStyle w:val="a7"/>
        <w:rFonts w:hint="eastAsia"/>
      </w:rPr>
      <w:t>页</w:t>
    </w:r>
  </w:p>
  <w:p w:rsidP="00EF56B5" w:rsidR="003328D9" w:rsidRDefault="003328D9" w:rsidRPr="00EF56B5">
    <w:pPr>
      <w:pStyle w:val="a6"/>
    </w:pPr>
  </w:p>
</w:ftr>
</file>

<file path=word/footer2.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R="003328D9" w:rsidRDefault="003328D9">
    <w:pPr>
      <w:pStyle w:val="a6"/>
      <w:framePr w:hAnchor="margin" w:vAnchor="text" w:wrap="auto" w:xAlign="center" w:y="1"/>
      <w:rPr>
        <w:rStyle w:val="a7"/>
      </w:rPr>
    </w:pPr>
    <w:r>
      <w:rPr>
        <w:rStyle w:val="a7"/>
        <w:rFonts w:hint="eastAsia"/>
      </w:rPr>
      <w:t>第</w:t>
    </w:r>
    <w:r>
      <w:rPr>
        <w:rStyle w:val="a7"/>
      </w:rPr>
      <w:fldChar w:fldCharType="begin"/>
    </w:r>
    <w:r>
      <w:rPr>
        <w:rStyle w:val="a7"/>
      </w:rPr>
      <w:instrText xml:space="preserve">PAGE  </w:instrText>
    </w:r>
    <w:r>
      <w:rPr>
        <w:rStyle w:val="a7"/>
      </w:rPr>
      <w:fldChar w:fldCharType="separate"/>
    </w:r>
    <w:r w:rsidR="00D7102E">
      <w:rPr>
        <w:rStyle w:val="a7"/>
        <w:noProof/>
      </w:rPr>
      <w:t>19</w:t>
    </w:r>
    <w:r>
      <w:rPr>
        <w:rStyle w:val="a7"/>
      </w:rPr>
      <w:fldChar w:fldCharType="end"/>
    </w:r>
    <w:proofErr w:type="gramStart"/>
    <w:r>
      <w:rPr>
        <w:rStyle w:val="a7"/>
        <w:rFonts w:hint="eastAsia"/>
      </w:rPr>
      <w:t>页共</w:t>
    </w:r>
    <w:proofErr w:type="gramEnd"/>
    <w:r w:rsidR="00995C6A">
      <w:fldChar w:fldCharType="begin"/>
    </w:r>
    <w:r w:rsidR="00995C6A">
      <w:instrText xml:space="preserve"> NUMPAGES  \* Arabic  \* MERGEFORMAT </w:instrText>
    </w:r>
    <w:r w:rsidR="00995C6A">
      <w:fldChar w:fldCharType="separate"/>
    </w:r>
    <w:r w:rsidR="00D7102E" w:rsidRPr="00D7102E">
      <w:rPr>
        <w:rStyle w:val="a7"/>
        <w:noProof/>
      </w:rPr>
      <w:t>29</w:t>
    </w:r>
    <w:r w:rsidR="00995C6A">
      <w:rPr>
        <w:rStyle w:val="a7"/>
        <w:noProof/>
      </w:rPr>
      <w:fldChar w:fldCharType="end"/>
    </w:r>
    <w:r>
      <w:rPr>
        <w:rStyle w:val="a7"/>
        <w:rFonts w:hint="eastAsia"/>
      </w:rPr>
      <w:t>页</w:t>
    </w:r>
  </w:p>
  <w:p w:rsidR="003328D9" w:rsidRDefault="003328D9">
    <w:pPr>
      <w:pStyle w:val="a6"/>
    </w:pPr>
  </w:p>
</w:ftr>
</file>

<file path=word/footnotes.xml><?xml version="1.0" encoding="utf-8"?>
<w:footnotes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footnote w:id="-1" w:type="separator">
    <w:p w:rsidP="00876D65" w:rsidR="00995C6A" w:rsidRDefault="00995C6A">
      <w:r>
        <w:separator/>
      </w:r>
    </w:p>
  </w:footnote>
  <w:footnote w:id="0" w:type="continuationSeparator">
    <w:p w:rsidP="00876D65" w:rsidR="00995C6A" w:rsidRDefault="00995C6A">
      <w:r>
        <w:continuationSeparator/>
      </w:r>
    </w:p>
  </w:footnote>
</w:footnotes>
</file>

<file path=word/header1.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P="00090A26" w:rsidR="003328D9" w:rsidRDefault="003328D9" w:rsidRPr="00093704">
    <w:pPr>
      <w:pStyle w:val="a9"/>
      <w:pBdr>
        <w:bottom w:color="auto" w:space="0" w:sz="6" w:val="single"/>
      </w:pBdr>
      <w:jc w:val="right"/>
    </w:pPr>
    <w:r w:rsidRPr="00093704">
      <w:t/>
    </w:r>
    <w:proofErr w:type="spellStart"/>
    <w:proofErr w:type="gramStart"/>
    <w:r w:rsidRPr="00093704">
      <w:t/>
    </w:r>
    <w:proofErr w:type="spellEnd"/>
    <w:proofErr w:type="gramEnd"/>
    <w:r w:rsidRPr="00093704">
      <w:t>易方达汇诚养老目标日期2038三年持有期混合型发起式基金中基金（FOF）</w:t>
    </w:r>
    <w:proofErr w:type="spellStart"/>
    <w:r w:rsidRPr="00093704">
      <w:t/>
    </w:r>
    <w:proofErr w:type="spellEnd"/>
    <w:r w:rsidRPr="00093704">
      <w:t>2020年第2季度报告</w:t>
    </w:r>
  </w:p>
</w:hdr>
</file>

<file path=word/numbering.xml><?xml version="1.0" encoding="utf-8"?>
<w:numbering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abstractNum w:abstractNumId="0">
    <w:nsid w:val="17055987"/>
    <w:multiLevelType w:val="hybridMultilevel"/>
    <w:tmpl w:val="6DACDB38"/>
    <w:lvl w:ilvl="0" w:tplc="307C87E8">
      <w:start w:val="2006"/>
      <w:numFmt w:val="bullet"/>
      <w:lvlText w:val="●"/>
      <w:lvlJc w:val="left"/>
      <w:pPr>
        <w:tabs>
          <w:tab w:pos="780" w:val="num"/>
        </w:tabs>
        <w:ind w:hanging="360" w:left="780"/>
      </w:pPr>
      <w:rPr>
        <w:rFonts w:ascii="Times New Roman" w:eastAsia="宋体" w:hAnsi="Times New Roman" w:hint="default"/>
      </w:rPr>
    </w:lvl>
    <w:lvl w:ilvl="1" w:tplc="04090003">
      <w:start w:val="1"/>
      <w:numFmt w:val="bullet"/>
      <w:lvlText w:val=""/>
      <w:lvlJc w:val="left"/>
      <w:pPr>
        <w:tabs>
          <w:tab w:pos="1260" w:val="num"/>
        </w:tabs>
        <w:ind w:hanging="420" w:left="1260"/>
      </w:pPr>
      <w:rPr>
        <w:rFonts w:ascii="Wingdings" w:hAnsi="Wingdings" w:hint="default"/>
      </w:rPr>
    </w:lvl>
    <w:lvl w:ilvl="2" w:tplc="04090005">
      <w:start w:val="1"/>
      <w:numFmt w:val="bullet"/>
      <w:lvlText w:val=""/>
      <w:lvlJc w:val="left"/>
      <w:pPr>
        <w:tabs>
          <w:tab w:pos="1680" w:val="num"/>
        </w:tabs>
        <w:ind w:hanging="420" w:left="1680"/>
      </w:pPr>
      <w:rPr>
        <w:rFonts w:ascii="Wingdings" w:hAnsi="Wingdings" w:hint="default"/>
      </w:rPr>
    </w:lvl>
    <w:lvl w:ilvl="3" w:tplc="04090001">
      <w:start w:val="1"/>
      <w:numFmt w:val="bullet"/>
      <w:lvlText w:val=""/>
      <w:lvlJc w:val="left"/>
      <w:pPr>
        <w:tabs>
          <w:tab w:pos="2100" w:val="num"/>
        </w:tabs>
        <w:ind w:hanging="420" w:left="2100"/>
      </w:pPr>
      <w:rPr>
        <w:rFonts w:ascii="Wingdings" w:hAnsi="Wingdings" w:hint="default"/>
      </w:rPr>
    </w:lvl>
    <w:lvl w:ilvl="4" w:tplc="04090003">
      <w:start w:val="1"/>
      <w:numFmt w:val="bullet"/>
      <w:lvlText w:val=""/>
      <w:lvlJc w:val="left"/>
      <w:pPr>
        <w:tabs>
          <w:tab w:pos="2520" w:val="num"/>
        </w:tabs>
        <w:ind w:hanging="420" w:left="2520"/>
      </w:pPr>
      <w:rPr>
        <w:rFonts w:ascii="Wingdings" w:hAnsi="Wingdings" w:hint="default"/>
      </w:rPr>
    </w:lvl>
    <w:lvl w:ilvl="5" w:tplc="04090005">
      <w:start w:val="1"/>
      <w:numFmt w:val="bullet"/>
      <w:lvlText w:val=""/>
      <w:lvlJc w:val="left"/>
      <w:pPr>
        <w:tabs>
          <w:tab w:pos="2940" w:val="num"/>
        </w:tabs>
        <w:ind w:hanging="420" w:left="2940"/>
      </w:pPr>
      <w:rPr>
        <w:rFonts w:ascii="Wingdings" w:hAnsi="Wingdings" w:hint="default"/>
      </w:rPr>
    </w:lvl>
    <w:lvl w:ilvl="6" w:tplc="04090001">
      <w:start w:val="1"/>
      <w:numFmt w:val="bullet"/>
      <w:lvlText w:val=""/>
      <w:lvlJc w:val="left"/>
      <w:pPr>
        <w:tabs>
          <w:tab w:pos="3360" w:val="num"/>
        </w:tabs>
        <w:ind w:hanging="420" w:left="3360"/>
      </w:pPr>
      <w:rPr>
        <w:rFonts w:ascii="Wingdings" w:hAnsi="Wingdings" w:hint="default"/>
      </w:rPr>
    </w:lvl>
    <w:lvl w:ilvl="7" w:tplc="04090003">
      <w:start w:val="1"/>
      <w:numFmt w:val="bullet"/>
      <w:lvlText w:val=""/>
      <w:lvlJc w:val="left"/>
      <w:pPr>
        <w:tabs>
          <w:tab w:pos="3780" w:val="num"/>
        </w:tabs>
        <w:ind w:hanging="420" w:left="3780"/>
      </w:pPr>
      <w:rPr>
        <w:rFonts w:ascii="Wingdings" w:hAnsi="Wingdings" w:hint="default"/>
      </w:rPr>
    </w:lvl>
    <w:lvl w:ilvl="8" w:tplc="04090005">
      <w:start w:val="1"/>
      <w:numFmt w:val="bullet"/>
      <w:lvlText w:val=""/>
      <w:lvlJc w:val="left"/>
      <w:pPr>
        <w:tabs>
          <w:tab w:pos="4200" w:val="num"/>
        </w:tabs>
        <w:ind w:hanging="420" w:left="4200"/>
      </w:pPr>
      <w:rPr>
        <w:rFonts w:ascii="Wingdings" w:hAnsi="Wingdings" w:hint="default"/>
      </w:rPr>
    </w:lvl>
  </w:abstractNum>
  <w:abstractNum w:abstractNumId="1">
    <w:nsid w:val="57E8240C"/>
    <w:multiLevelType w:val="hybridMultilevel"/>
    <w:tmpl w:val="300A7112"/>
    <w:lvl w:ilvl="0" w:tplc="3782FDB8">
      <w:start w:val="1"/>
      <w:numFmt w:val="decimal"/>
      <w:lvlText w:val="（%1）"/>
      <w:lvlJc w:val="left"/>
      <w:pPr>
        <w:tabs>
          <w:tab w:pos="1200" w:val="num"/>
        </w:tabs>
        <w:ind w:hanging="720" w:left="1200"/>
      </w:pPr>
      <w:rPr>
        <w:rFonts w:cs="Times New Roman" w:hint="eastAsia"/>
        <w:sz w:val="24"/>
        <w:szCs w:val="24"/>
      </w:rPr>
    </w:lvl>
    <w:lvl w:ilvl="1" w:tplc="04090019">
      <w:start w:val="1"/>
      <w:numFmt w:val="lowerLetter"/>
      <w:lvlText w:val="%2)"/>
      <w:lvlJc w:val="left"/>
      <w:pPr>
        <w:tabs>
          <w:tab w:pos="1320" w:val="num"/>
        </w:tabs>
        <w:ind w:hanging="420" w:left="1320"/>
      </w:pPr>
      <w:rPr>
        <w:rFonts w:cs="Times New Roman"/>
      </w:rPr>
    </w:lvl>
    <w:lvl w:ilvl="2" w:tplc="0409001B">
      <w:start w:val="1"/>
      <w:numFmt w:val="lowerRoman"/>
      <w:lvlText w:val="%3."/>
      <w:lvlJc w:val="right"/>
      <w:pPr>
        <w:tabs>
          <w:tab w:pos="1740" w:val="num"/>
        </w:tabs>
        <w:ind w:hanging="420" w:left="1740"/>
      </w:pPr>
      <w:rPr>
        <w:rFonts w:cs="Times New Roman"/>
      </w:rPr>
    </w:lvl>
    <w:lvl w:ilvl="3" w:tplc="0409000F">
      <w:start w:val="1"/>
      <w:numFmt w:val="decimal"/>
      <w:lvlText w:val="%4."/>
      <w:lvlJc w:val="left"/>
      <w:pPr>
        <w:tabs>
          <w:tab w:pos="2160" w:val="num"/>
        </w:tabs>
        <w:ind w:hanging="420" w:left="2160"/>
      </w:pPr>
      <w:rPr>
        <w:rFonts w:cs="Times New Roman"/>
      </w:rPr>
    </w:lvl>
    <w:lvl w:ilvl="4" w:tplc="04090019">
      <w:start w:val="1"/>
      <w:numFmt w:val="lowerLetter"/>
      <w:lvlText w:val="%5)"/>
      <w:lvlJc w:val="left"/>
      <w:pPr>
        <w:tabs>
          <w:tab w:pos="2580" w:val="num"/>
        </w:tabs>
        <w:ind w:hanging="420" w:left="2580"/>
      </w:pPr>
      <w:rPr>
        <w:rFonts w:cs="Times New Roman"/>
      </w:rPr>
    </w:lvl>
    <w:lvl w:ilvl="5" w:tplc="0409001B">
      <w:start w:val="1"/>
      <w:numFmt w:val="lowerRoman"/>
      <w:lvlText w:val="%6."/>
      <w:lvlJc w:val="right"/>
      <w:pPr>
        <w:tabs>
          <w:tab w:pos="3000" w:val="num"/>
        </w:tabs>
        <w:ind w:hanging="420" w:left="3000"/>
      </w:pPr>
      <w:rPr>
        <w:rFonts w:cs="Times New Roman"/>
      </w:rPr>
    </w:lvl>
    <w:lvl w:ilvl="6" w:tplc="0409000F">
      <w:start w:val="1"/>
      <w:numFmt w:val="decimal"/>
      <w:lvlText w:val="%7."/>
      <w:lvlJc w:val="left"/>
      <w:pPr>
        <w:tabs>
          <w:tab w:pos="3420" w:val="num"/>
        </w:tabs>
        <w:ind w:hanging="420" w:left="3420"/>
      </w:pPr>
      <w:rPr>
        <w:rFonts w:cs="Times New Roman"/>
      </w:rPr>
    </w:lvl>
    <w:lvl w:ilvl="7" w:tplc="04090019">
      <w:start w:val="1"/>
      <w:numFmt w:val="lowerLetter"/>
      <w:lvlText w:val="%8)"/>
      <w:lvlJc w:val="left"/>
      <w:pPr>
        <w:tabs>
          <w:tab w:pos="3840" w:val="num"/>
        </w:tabs>
        <w:ind w:hanging="420" w:left="3840"/>
      </w:pPr>
      <w:rPr>
        <w:rFonts w:cs="Times New Roman"/>
      </w:rPr>
    </w:lvl>
    <w:lvl w:ilvl="8" w:tplc="0409001B">
      <w:start w:val="1"/>
      <w:numFmt w:val="lowerRoman"/>
      <w:lvlText w:val="%9."/>
      <w:lvlJc w:val="right"/>
      <w:pPr>
        <w:tabs>
          <w:tab w:pos="4260" w:val="num"/>
        </w:tabs>
        <w:ind w:hanging="420" w:left="4260"/>
      </w:pPr>
      <w:rPr>
        <w:rFonts w:cs="Times New Roman"/>
      </w:rPr>
    </w:lvl>
  </w:abstractNum>
  <w:abstractNum w:abstractNumId="2">
    <w:nsid w:val="7EC34207"/>
    <w:multiLevelType w:val="hybridMultilevel"/>
    <w:tmpl w:val="58FC50DE"/>
    <w:lvl w:ilvl="0" w:tplc="788C0680">
      <w:start w:val="1"/>
      <w:numFmt w:val="japaneseCounting"/>
      <w:lvlText w:val="%1、"/>
      <w:lvlJc w:val="left"/>
      <w:pPr>
        <w:tabs>
          <w:tab w:pos="480" w:val="num"/>
        </w:tabs>
        <w:ind w:hanging="480" w:left="480"/>
      </w:pPr>
      <w:rPr>
        <w:rFonts w:cs="Times New Roman" w:eastAsia="宋体" w:hint="eastAsia"/>
        <w:color w:val="auto"/>
      </w:rPr>
    </w:lvl>
    <w:lvl w:ilvl="1" w:tplc="D5ACC954">
      <w:start w:val="1"/>
      <w:numFmt w:val="japaneseCounting"/>
      <w:lvlText w:val="(%2)"/>
      <w:lvlJc w:val="left"/>
      <w:pPr>
        <w:tabs>
          <w:tab w:pos="810" w:val="num"/>
        </w:tabs>
        <w:ind w:hanging="390" w:left="810"/>
      </w:pPr>
      <w:rPr>
        <w:rFonts w:cs="Times New Roman" w:hint="eastAsia"/>
      </w:rPr>
    </w:lvl>
    <w:lvl w:ilvl="2" w:tplc="E2F6B948">
      <w:start w:val="1"/>
      <w:numFmt w:val="decimal"/>
      <w:lvlText w:val="%3、"/>
      <w:lvlJc w:val="left"/>
      <w:pPr>
        <w:tabs>
          <w:tab w:pos="1200" w:val="num"/>
        </w:tabs>
        <w:ind w:hanging="360" w:left="1200"/>
      </w:pPr>
      <w:rPr>
        <w:rFonts w:cs="Times New Roman" w:hint="eastAsia"/>
      </w:rPr>
    </w:lvl>
    <w:lvl w:ilvl="3" w:tplc="0409000F">
      <w:start w:val="1"/>
      <w:numFmt w:val="decimal"/>
      <w:lvlText w:val="%4."/>
      <w:lvlJc w:val="left"/>
      <w:pPr>
        <w:tabs>
          <w:tab w:pos="1680" w:val="num"/>
        </w:tabs>
        <w:ind w:hanging="420" w:left="1680"/>
      </w:pPr>
      <w:rPr>
        <w:rFonts w:cs="Times New Roman"/>
      </w:rPr>
    </w:lvl>
    <w:lvl w:ilvl="4" w:tplc="04090019">
      <w:start w:val="1"/>
      <w:numFmt w:val="lowerLetter"/>
      <w:lvlText w:val="%5)"/>
      <w:lvlJc w:val="left"/>
      <w:pPr>
        <w:tabs>
          <w:tab w:pos="2100" w:val="num"/>
        </w:tabs>
        <w:ind w:hanging="420" w:left="2100"/>
      </w:pPr>
      <w:rPr>
        <w:rFonts w:cs="Times New Roman"/>
      </w:rPr>
    </w:lvl>
    <w:lvl w:ilvl="5" w:tplc="0409001B">
      <w:start w:val="1"/>
      <w:numFmt w:val="lowerRoman"/>
      <w:lvlText w:val="%6."/>
      <w:lvlJc w:val="right"/>
      <w:pPr>
        <w:tabs>
          <w:tab w:pos="2520" w:val="num"/>
        </w:tabs>
        <w:ind w:hanging="420" w:left="2520"/>
      </w:pPr>
      <w:rPr>
        <w:rFonts w:cs="Times New Roman"/>
      </w:rPr>
    </w:lvl>
    <w:lvl w:ilvl="6" w:tplc="0409000F">
      <w:start w:val="1"/>
      <w:numFmt w:val="decimal"/>
      <w:lvlText w:val="%7."/>
      <w:lvlJc w:val="left"/>
      <w:pPr>
        <w:tabs>
          <w:tab w:pos="2940" w:val="num"/>
        </w:tabs>
        <w:ind w:hanging="420" w:left="2940"/>
      </w:pPr>
      <w:rPr>
        <w:rFonts w:cs="Times New Roman"/>
      </w:rPr>
    </w:lvl>
    <w:lvl w:ilvl="7" w:tplc="04090019">
      <w:start w:val="1"/>
      <w:numFmt w:val="lowerLetter"/>
      <w:lvlText w:val="%8)"/>
      <w:lvlJc w:val="left"/>
      <w:pPr>
        <w:tabs>
          <w:tab w:pos="3360" w:val="num"/>
        </w:tabs>
        <w:ind w:hanging="420" w:left="3360"/>
      </w:pPr>
      <w:rPr>
        <w:rFonts w:cs="Times New Roman"/>
      </w:rPr>
    </w:lvl>
    <w:lvl w:ilvl="8" w:tplc="0409001B">
      <w:start w:val="1"/>
      <w:numFmt w:val="lowerRoman"/>
      <w:lvlText w:val="%9."/>
      <w:lvlJc w:val="right"/>
      <w:pPr>
        <w:tabs>
          <w:tab w:pos="3780" w:val="num"/>
        </w:tabs>
        <w:ind w:hanging="420" w:left="3780"/>
      </w:pPr>
      <w:rPr>
        <w:rFonts w:cs="Times New Roman"/>
      </w:rPr>
    </w:lvl>
  </w:abstractNum>
  <w:num w:numId="1">
    <w:abstractNumId w:val="2"/>
  </w:num>
  <w:num w:numId="2">
    <w:abstractNumId w:val="1"/>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http://schemas.openxmlformats.org/officeDocument/2006/math" xmlns:mc="http://schemas.openxmlformats.org/markup-compatibility/2006"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xmlns:w14="http://schemas.microsoft.com/office/word/2010/wordml" mc:Ignorable="w14">
  <w:zoom w:percent="100"/>
  <w:bordersDoNotSurroundHeader/>
  <w:bordersDoNotSurroundFooter/>
  <w:proofState w:grammar="clean" w:spelling="clean"/>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spidmax="2049" v:ext="edi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4061AC"/>
    <w:rsid w:val="00013E6E"/>
    <w:rsid w:val="00014099"/>
    <w:rsid w:val="000160C5"/>
    <w:rsid w:val="000210E7"/>
    <w:rsid w:val="00031EBB"/>
    <w:rsid w:val="00033B8D"/>
    <w:rsid w:val="00033E3E"/>
    <w:rsid w:val="00043852"/>
    <w:rsid w:val="000450DD"/>
    <w:rsid w:val="000463DE"/>
    <w:rsid w:val="000553BD"/>
    <w:rsid w:val="0008313A"/>
    <w:rsid w:val="000875EA"/>
    <w:rsid w:val="000907D2"/>
    <w:rsid w:val="00090A26"/>
    <w:rsid w:val="00093704"/>
    <w:rsid w:val="00095F2A"/>
    <w:rsid w:val="000A2B53"/>
    <w:rsid w:val="000A438A"/>
    <w:rsid w:val="000B5257"/>
    <w:rsid w:val="000B624F"/>
    <w:rsid w:val="000B73C6"/>
    <w:rsid w:val="000C190B"/>
    <w:rsid w:val="000C1E17"/>
    <w:rsid w:val="000C493C"/>
    <w:rsid w:val="000C5216"/>
    <w:rsid w:val="000D0E6C"/>
    <w:rsid w:val="000D3ED4"/>
    <w:rsid w:val="000F2DE1"/>
    <w:rsid w:val="000F6CC8"/>
    <w:rsid w:val="00111261"/>
    <w:rsid w:val="00133843"/>
    <w:rsid w:val="00137452"/>
    <w:rsid w:val="00142CAF"/>
    <w:rsid w:val="00144F93"/>
    <w:rsid w:val="00147376"/>
    <w:rsid w:val="00150E7E"/>
    <w:rsid w:val="00154BE1"/>
    <w:rsid w:val="00154C17"/>
    <w:rsid w:val="00160E0A"/>
    <w:rsid w:val="00160EDC"/>
    <w:rsid w:val="0016180A"/>
    <w:rsid w:val="001675CD"/>
    <w:rsid w:val="00170435"/>
    <w:rsid w:val="00171EF0"/>
    <w:rsid w:val="001761D2"/>
    <w:rsid w:val="001830D7"/>
    <w:rsid w:val="00185A34"/>
    <w:rsid w:val="001878B0"/>
    <w:rsid w:val="0019049E"/>
    <w:rsid w:val="00191BDE"/>
    <w:rsid w:val="00196E6C"/>
    <w:rsid w:val="001A73E8"/>
    <w:rsid w:val="001B0A62"/>
    <w:rsid w:val="001B2F35"/>
    <w:rsid w:val="001B3C1C"/>
    <w:rsid w:val="001B5ECC"/>
    <w:rsid w:val="001B6E7E"/>
    <w:rsid w:val="001C0993"/>
    <w:rsid w:val="001C5F9B"/>
    <w:rsid w:val="001C79F2"/>
    <w:rsid w:val="001C7E00"/>
    <w:rsid w:val="001D0DB0"/>
    <w:rsid w:val="001D5B8F"/>
    <w:rsid w:val="001D63BB"/>
    <w:rsid w:val="001D6A4B"/>
    <w:rsid w:val="001D74DB"/>
    <w:rsid w:val="001E4630"/>
    <w:rsid w:val="001F0964"/>
    <w:rsid w:val="001F0EB2"/>
    <w:rsid w:val="001F30DA"/>
    <w:rsid w:val="001F5DC5"/>
    <w:rsid w:val="001F5F5D"/>
    <w:rsid w:val="00200FAB"/>
    <w:rsid w:val="00213821"/>
    <w:rsid w:val="00217B92"/>
    <w:rsid w:val="002279D3"/>
    <w:rsid w:val="00232B03"/>
    <w:rsid w:val="00240248"/>
    <w:rsid w:val="0024363B"/>
    <w:rsid w:val="00261111"/>
    <w:rsid w:val="00264E55"/>
    <w:rsid w:val="002661ED"/>
    <w:rsid w:val="00266337"/>
    <w:rsid w:val="00275745"/>
    <w:rsid w:val="0027688F"/>
    <w:rsid w:val="00276E44"/>
    <w:rsid w:val="00280C9F"/>
    <w:rsid w:val="00286BEF"/>
    <w:rsid w:val="00286FA2"/>
    <w:rsid w:val="002918E3"/>
    <w:rsid w:val="002973A9"/>
    <w:rsid w:val="002B1D1A"/>
    <w:rsid w:val="002C28F2"/>
    <w:rsid w:val="002C5960"/>
    <w:rsid w:val="002D6FB6"/>
    <w:rsid w:val="002E2237"/>
    <w:rsid w:val="002E2255"/>
    <w:rsid w:val="002E3B09"/>
    <w:rsid w:val="002E52B3"/>
    <w:rsid w:val="002F2D46"/>
    <w:rsid w:val="00303679"/>
    <w:rsid w:val="00304A12"/>
    <w:rsid w:val="00305636"/>
    <w:rsid w:val="00311662"/>
    <w:rsid w:val="00312A9F"/>
    <w:rsid w:val="00312F1C"/>
    <w:rsid w:val="00312F30"/>
    <w:rsid w:val="00315D5D"/>
    <w:rsid w:val="00316484"/>
    <w:rsid w:val="00316E01"/>
    <w:rsid w:val="00317067"/>
    <w:rsid w:val="00320300"/>
    <w:rsid w:val="00324508"/>
    <w:rsid w:val="003259C8"/>
    <w:rsid w:val="0032741D"/>
    <w:rsid w:val="003307FE"/>
    <w:rsid w:val="003328D9"/>
    <w:rsid w:val="003350A8"/>
    <w:rsid w:val="003376B7"/>
    <w:rsid w:val="00342369"/>
    <w:rsid w:val="003470E2"/>
    <w:rsid w:val="00352719"/>
    <w:rsid w:val="00354432"/>
    <w:rsid w:val="00355364"/>
    <w:rsid w:val="00364A60"/>
    <w:rsid w:val="00364CCB"/>
    <w:rsid w:val="0039085F"/>
    <w:rsid w:val="00394069"/>
    <w:rsid w:val="003A6061"/>
    <w:rsid w:val="003B6FBC"/>
    <w:rsid w:val="003D7406"/>
    <w:rsid w:val="003D7FAF"/>
    <w:rsid w:val="003E62FB"/>
    <w:rsid w:val="003F39DF"/>
    <w:rsid w:val="003F63BE"/>
    <w:rsid w:val="00403A06"/>
    <w:rsid w:val="004061AC"/>
    <w:rsid w:val="00407DBB"/>
    <w:rsid w:val="004149AC"/>
    <w:rsid w:val="00415AEF"/>
    <w:rsid w:val="0042009D"/>
    <w:rsid w:val="00427F58"/>
    <w:rsid w:val="0043199A"/>
    <w:rsid w:val="00433805"/>
    <w:rsid w:val="00457DBA"/>
    <w:rsid w:val="00466850"/>
    <w:rsid w:val="00467048"/>
    <w:rsid w:val="00471408"/>
    <w:rsid w:val="004858E0"/>
    <w:rsid w:val="004934E9"/>
    <w:rsid w:val="004943C2"/>
    <w:rsid w:val="004A11A7"/>
    <w:rsid w:val="004A4D5B"/>
    <w:rsid w:val="004B5343"/>
    <w:rsid w:val="004B7A92"/>
    <w:rsid w:val="004C0259"/>
    <w:rsid w:val="004C702F"/>
    <w:rsid w:val="004D28A3"/>
    <w:rsid w:val="004D495A"/>
    <w:rsid w:val="004D75CD"/>
    <w:rsid w:val="004E5975"/>
    <w:rsid w:val="004E790A"/>
    <w:rsid w:val="004F04C1"/>
    <w:rsid w:val="004F50FD"/>
    <w:rsid w:val="004F6891"/>
    <w:rsid w:val="00500A03"/>
    <w:rsid w:val="00501495"/>
    <w:rsid w:val="00507F99"/>
    <w:rsid w:val="00512200"/>
    <w:rsid w:val="005143CD"/>
    <w:rsid w:val="005144F2"/>
    <w:rsid w:val="005242A5"/>
    <w:rsid w:val="005249DD"/>
    <w:rsid w:val="00531BA5"/>
    <w:rsid w:val="00531F10"/>
    <w:rsid w:val="00532E86"/>
    <w:rsid w:val="00540B13"/>
    <w:rsid w:val="00542434"/>
    <w:rsid w:val="00542470"/>
    <w:rsid w:val="00542546"/>
    <w:rsid w:val="005425BA"/>
    <w:rsid w:val="005454FB"/>
    <w:rsid w:val="005602F3"/>
    <w:rsid w:val="005659E4"/>
    <w:rsid w:val="005761EE"/>
    <w:rsid w:val="00582D99"/>
    <w:rsid w:val="0058551C"/>
    <w:rsid w:val="00590656"/>
    <w:rsid w:val="0059076B"/>
    <w:rsid w:val="00597E49"/>
    <w:rsid w:val="005A0F1F"/>
    <w:rsid w:val="005A2B83"/>
    <w:rsid w:val="005A478E"/>
    <w:rsid w:val="005A6675"/>
    <w:rsid w:val="005B2E9C"/>
    <w:rsid w:val="005B4F93"/>
    <w:rsid w:val="005B73D2"/>
    <w:rsid w:val="005C5E5B"/>
    <w:rsid w:val="005D2B36"/>
    <w:rsid w:val="005E1093"/>
    <w:rsid w:val="005E475E"/>
    <w:rsid w:val="005E78C0"/>
    <w:rsid w:val="005F3996"/>
    <w:rsid w:val="005F6AF6"/>
    <w:rsid w:val="005F7730"/>
    <w:rsid w:val="005F7917"/>
    <w:rsid w:val="005F7E00"/>
    <w:rsid w:val="00604C26"/>
    <w:rsid w:val="006066D2"/>
    <w:rsid w:val="0061286A"/>
    <w:rsid w:val="00613D7A"/>
    <w:rsid w:val="00614CC4"/>
    <w:rsid w:val="0062025E"/>
    <w:rsid w:val="0062420E"/>
    <w:rsid w:val="00626998"/>
    <w:rsid w:val="006269FB"/>
    <w:rsid w:val="00631ED8"/>
    <w:rsid w:val="00635B05"/>
    <w:rsid w:val="00636DB7"/>
    <w:rsid w:val="0063783A"/>
    <w:rsid w:val="006423B9"/>
    <w:rsid w:val="00654B0D"/>
    <w:rsid w:val="00655CD8"/>
    <w:rsid w:val="006571DC"/>
    <w:rsid w:val="00660D4B"/>
    <w:rsid w:val="00664ECC"/>
    <w:rsid w:val="00670989"/>
    <w:rsid w:val="006757DC"/>
    <w:rsid w:val="00676095"/>
    <w:rsid w:val="006926A7"/>
    <w:rsid w:val="00693843"/>
    <w:rsid w:val="0069426C"/>
    <w:rsid w:val="00694DFB"/>
    <w:rsid w:val="006A1C62"/>
    <w:rsid w:val="006A48FD"/>
    <w:rsid w:val="006A5FB3"/>
    <w:rsid w:val="006A67F8"/>
    <w:rsid w:val="006A7AF1"/>
    <w:rsid w:val="006B11BB"/>
    <w:rsid w:val="006B4C11"/>
    <w:rsid w:val="006C12B8"/>
    <w:rsid w:val="006C37FC"/>
    <w:rsid w:val="006C56AA"/>
    <w:rsid w:val="006C7EA3"/>
    <w:rsid w:val="006D07F3"/>
    <w:rsid w:val="006D39E9"/>
    <w:rsid w:val="006D3BE3"/>
    <w:rsid w:val="006D7004"/>
    <w:rsid w:val="006D75A5"/>
    <w:rsid w:val="006D789D"/>
    <w:rsid w:val="006D7FF8"/>
    <w:rsid w:val="006E042A"/>
    <w:rsid w:val="006E322B"/>
    <w:rsid w:val="006F49EE"/>
    <w:rsid w:val="006F5E68"/>
    <w:rsid w:val="00706D60"/>
    <w:rsid w:val="007075E3"/>
    <w:rsid w:val="00707F66"/>
    <w:rsid w:val="007125DB"/>
    <w:rsid w:val="00720D28"/>
    <w:rsid w:val="00722333"/>
    <w:rsid w:val="00722509"/>
    <w:rsid w:val="00727FCD"/>
    <w:rsid w:val="00733DDD"/>
    <w:rsid w:val="00744628"/>
    <w:rsid w:val="0074694E"/>
    <w:rsid w:val="00750CDF"/>
    <w:rsid w:val="00750D48"/>
    <w:rsid w:val="00752BA5"/>
    <w:rsid w:val="00755D86"/>
    <w:rsid w:val="00767C98"/>
    <w:rsid w:val="00770971"/>
    <w:rsid w:val="00780186"/>
    <w:rsid w:val="0078089C"/>
    <w:rsid w:val="00787D16"/>
    <w:rsid w:val="00796CA8"/>
    <w:rsid w:val="00797305"/>
    <w:rsid w:val="007B035B"/>
    <w:rsid w:val="007B4C04"/>
    <w:rsid w:val="007B5AFB"/>
    <w:rsid w:val="007C1B9B"/>
    <w:rsid w:val="007C54B1"/>
    <w:rsid w:val="007C5862"/>
    <w:rsid w:val="007F31E6"/>
    <w:rsid w:val="008014F9"/>
    <w:rsid w:val="0080358B"/>
    <w:rsid w:val="008059BD"/>
    <w:rsid w:val="00812D46"/>
    <w:rsid w:val="00815999"/>
    <w:rsid w:val="00815A38"/>
    <w:rsid w:val="0082103F"/>
    <w:rsid w:val="008279FE"/>
    <w:rsid w:val="00831259"/>
    <w:rsid w:val="0083208A"/>
    <w:rsid w:val="0083218A"/>
    <w:rsid w:val="00832A00"/>
    <w:rsid w:val="00837845"/>
    <w:rsid w:val="008442C4"/>
    <w:rsid w:val="00846739"/>
    <w:rsid w:val="00853140"/>
    <w:rsid w:val="00854537"/>
    <w:rsid w:val="008606B6"/>
    <w:rsid w:val="008635E6"/>
    <w:rsid w:val="00866CF2"/>
    <w:rsid w:val="008700EC"/>
    <w:rsid w:val="00876D65"/>
    <w:rsid w:val="00890AD5"/>
    <w:rsid w:val="00891261"/>
    <w:rsid w:val="00895A8A"/>
    <w:rsid w:val="008A09E5"/>
    <w:rsid w:val="008A21B2"/>
    <w:rsid w:val="008B2FDD"/>
    <w:rsid w:val="008C2A4F"/>
    <w:rsid w:val="008C75E7"/>
    <w:rsid w:val="008C7CA8"/>
    <w:rsid w:val="008D09EC"/>
    <w:rsid w:val="008D799F"/>
    <w:rsid w:val="008E07EB"/>
    <w:rsid w:val="008E2DCB"/>
    <w:rsid w:val="008E326D"/>
    <w:rsid w:val="008F5A8D"/>
    <w:rsid w:val="008F5F67"/>
    <w:rsid w:val="008F60F2"/>
    <w:rsid w:val="0090217D"/>
    <w:rsid w:val="00904749"/>
    <w:rsid w:val="00905C5E"/>
    <w:rsid w:val="009078DC"/>
    <w:rsid w:val="00907B61"/>
    <w:rsid w:val="009161AF"/>
    <w:rsid w:val="00921AC7"/>
    <w:rsid w:val="00922880"/>
    <w:rsid w:val="00924582"/>
    <w:rsid w:val="00931291"/>
    <w:rsid w:val="00932DC0"/>
    <w:rsid w:val="0093367D"/>
    <w:rsid w:val="009431FA"/>
    <w:rsid w:val="00945AF6"/>
    <w:rsid w:val="00951C43"/>
    <w:rsid w:val="0095204B"/>
    <w:rsid w:val="0095280A"/>
    <w:rsid w:val="00954A4B"/>
    <w:rsid w:val="009550BE"/>
    <w:rsid w:val="00955531"/>
    <w:rsid w:val="00955BE8"/>
    <w:rsid w:val="00957594"/>
    <w:rsid w:val="00963F40"/>
    <w:rsid w:val="00965CFB"/>
    <w:rsid w:val="0098122D"/>
    <w:rsid w:val="00986596"/>
    <w:rsid w:val="00990685"/>
    <w:rsid w:val="00990A8C"/>
    <w:rsid w:val="00991411"/>
    <w:rsid w:val="00992238"/>
    <w:rsid w:val="00995C6A"/>
    <w:rsid w:val="009A0ABE"/>
    <w:rsid w:val="009B2D4B"/>
    <w:rsid w:val="009B3243"/>
    <w:rsid w:val="009C4E99"/>
    <w:rsid w:val="009C5186"/>
    <w:rsid w:val="009C60F7"/>
    <w:rsid w:val="009D0952"/>
    <w:rsid w:val="009D54EA"/>
    <w:rsid w:val="009E31DA"/>
    <w:rsid w:val="009E402C"/>
    <w:rsid w:val="009E7C6A"/>
    <w:rsid w:val="009F7ED4"/>
    <w:rsid w:val="00A03AAC"/>
    <w:rsid w:val="00A047D1"/>
    <w:rsid w:val="00A22AD0"/>
    <w:rsid w:val="00A22DA8"/>
    <w:rsid w:val="00A234BE"/>
    <w:rsid w:val="00A31671"/>
    <w:rsid w:val="00A45320"/>
    <w:rsid w:val="00A52C6D"/>
    <w:rsid w:val="00A5612C"/>
    <w:rsid w:val="00A5689C"/>
    <w:rsid w:val="00A57AE4"/>
    <w:rsid w:val="00A63F19"/>
    <w:rsid w:val="00A66F42"/>
    <w:rsid w:val="00A727C1"/>
    <w:rsid w:val="00A76625"/>
    <w:rsid w:val="00A82CBA"/>
    <w:rsid w:val="00A83500"/>
    <w:rsid w:val="00A90049"/>
    <w:rsid w:val="00A917BF"/>
    <w:rsid w:val="00A96A94"/>
    <w:rsid w:val="00AA257D"/>
    <w:rsid w:val="00AA3A38"/>
    <w:rsid w:val="00AA4F94"/>
    <w:rsid w:val="00AB047E"/>
    <w:rsid w:val="00AB0D05"/>
    <w:rsid w:val="00AB519D"/>
    <w:rsid w:val="00AC11B0"/>
    <w:rsid w:val="00AC592E"/>
    <w:rsid w:val="00AC6C10"/>
    <w:rsid w:val="00AC7BC6"/>
    <w:rsid w:val="00AD24AA"/>
    <w:rsid w:val="00AE7962"/>
    <w:rsid w:val="00AF5BA0"/>
    <w:rsid w:val="00B014D7"/>
    <w:rsid w:val="00B05049"/>
    <w:rsid w:val="00B12B7D"/>
    <w:rsid w:val="00B16985"/>
    <w:rsid w:val="00B221B8"/>
    <w:rsid w:val="00B227EA"/>
    <w:rsid w:val="00B27206"/>
    <w:rsid w:val="00B32AA7"/>
    <w:rsid w:val="00B3392B"/>
    <w:rsid w:val="00B4012D"/>
    <w:rsid w:val="00B40F64"/>
    <w:rsid w:val="00B42A76"/>
    <w:rsid w:val="00B53067"/>
    <w:rsid w:val="00B66B7D"/>
    <w:rsid w:val="00B7378D"/>
    <w:rsid w:val="00B82413"/>
    <w:rsid w:val="00B85352"/>
    <w:rsid w:val="00B87214"/>
    <w:rsid w:val="00B912D0"/>
    <w:rsid w:val="00B92FF5"/>
    <w:rsid w:val="00B959E6"/>
    <w:rsid w:val="00BA0A6A"/>
    <w:rsid w:val="00BA40BB"/>
    <w:rsid w:val="00BA4338"/>
    <w:rsid w:val="00BA604D"/>
    <w:rsid w:val="00BB6813"/>
    <w:rsid w:val="00BC4585"/>
    <w:rsid w:val="00BC50F1"/>
    <w:rsid w:val="00BC73E5"/>
    <w:rsid w:val="00BD7473"/>
    <w:rsid w:val="00BD7703"/>
    <w:rsid w:val="00BE12B4"/>
    <w:rsid w:val="00BE3D2D"/>
    <w:rsid w:val="00BE420D"/>
    <w:rsid w:val="00BF4727"/>
    <w:rsid w:val="00C11A5E"/>
    <w:rsid w:val="00C21520"/>
    <w:rsid w:val="00C222B2"/>
    <w:rsid w:val="00C225FB"/>
    <w:rsid w:val="00C26ADA"/>
    <w:rsid w:val="00C370E0"/>
    <w:rsid w:val="00C41870"/>
    <w:rsid w:val="00C46B88"/>
    <w:rsid w:val="00C5218C"/>
    <w:rsid w:val="00C52191"/>
    <w:rsid w:val="00C5642F"/>
    <w:rsid w:val="00C57A3E"/>
    <w:rsid w:val="00C63554"/>
    <w:rsid w:val="00C71497"/>
    <w:rsid w:val="00C72F5B"/>
    <w:rsid w:val="00C73BCD"/>
    <w:rsid w:val="00C77AEF"/>
    <w:rsid w:val="00C77E37"/>
    <w:rsid w:val="00C86EB7"/>
    <w:rsid w:val="00C87129"/>
    <w:rsid w:val="00C91E1B"/>
    <w:rsid w:val="00CA2BD3"/>
    <w:rsid w:val="00CA4677"/>
    <w:rsid w:val="00CA5FD5"/>
    <w:rsid w:val="00CA7703"/>
    <w:rsid w:val="00CB0F92"/>
    <w:rsid w:val="00CB1953"/>
    <w:rsid w:val="00CD4E6D"/>
    <w:rsid w:val="00CD5707"/>
    <w:rsid w:val="00CD7702"/>
    <w:rsid w:val="00CD7FC9"/>
    <w:rsid w:val="00CE075A"/>
    <w:rsid w:val="00CE29EA"/>
    <w:rsid w:val="00CF47EB"/>
    <w:rsid w:val="00CF6572"/>
    <w:rsid w:val="00CF7885"/>
    <w:rsid w:val="00D02347"/>
    <w:rsid w:val="00D04755"/>
    <w:rsid w:val="00D1193B"/>
    <w:rsid w:val="00D13737"/>
    <w:rsid w:val="00D15D27"/>
    <w:rsid w:val="00D1638E"/>
    <w:rsid w:val="00D21D10"/>
    <w:rsid w:val="00D21FFF"/>
    <w:rsid w:val="00D272A5"/>
    <w:rsid w:val="00D43AFB"/>
    <w:rsid w:val="00D564C7"/>
    <w:rsid w:val="00D57B7C"/>
    <w:rsid w:val="00D62BEE"/>
    <w:rsid w:val="00D65B44"/>
    <w:rsid w:val="00D7102E"/>
    <w:rsid w:val="00D8099B"/>
    <w:rsid w:val="00D866A8"/>
    <w:rsid w:val="00D87469"/>
    <w:rsid w:val="00D90B03"/>
    <w:rsid w:val="00D92F47"/>
    <w:rsid w:val="00D94B8D"/>
    <w:rsid w:val="00D94CCE"/>
    <w:rsid w:val="00D96C8D"/>
    <w:rsid w:val="00DA2876"/>
    <w:rsid w:val="00DA718D"/>
    <w:rsid w:val="00DB0A8D"/>
    <w:rsid w:val="00DB348F"/>
    <w:rsid w:val="00DC0B51"/>
    <w:rsid w:val="00DC573D"/>
    <w:rsid w:val="00DE27F7"/>
    <w:rsid w:val="00E06069"/>
    <w:rsid w:val="00E115C0"/>
    <w:rsid w:val="00E44E18"/>
    <w:rsid w:val="00E54301"/>
    <w:rsid w:val="00E5483F"/>
    <w:rsid w:val="00E55ABD"/>
    <w:rsid w:val="00E60817"/>
    <w:rsid w:val="00E6412C"/>
    <w:rsid w:val="00E645C0"/>
    <w:rsid w:val="00E73286"/>
    <w:rsid w:val="00E8246B"/>
    <w:rsid w:val="00E90C35"/>
    <w:rsid w:val="00EA70F1"/>
    <w:rsid w:val="00EB2516"/>
    <w:rsid w:val="00EB2C07"/>
    <w:rsid w:val="00EB374A"/>
    <w:rsid w:val="00EB3CE7"/>
    <w:rsid w:val="00EB572F"/>
    <w:rsid w:val="00EC1B4D"/>
    <w:rsid w:val="00ED040B"/>
    <w:rsid w:val="00ED62BE"/>
    <w:rsid w:val="00EF17AB"/>
    <w:rsid w:val="00EF56B5"/>
    <w:rsid w:val="00EF6FA5"/>
    <w:rsid w:val="00F078B5"/>
    <w:rsid w:val="00F11104"/>
    <w:rsid w:val="00F126C4"/>
    <w:rsid w:val="00F13122"/>
    <w:rsid w:val="00F16E3F"/>
    <w:rsid w:val="00F171C5"/>
    <w:rsid w:val="00F22499"/>
    <w:rsid w:val="00F22B0F"/>
    <w:rsid w:val="00F234A0"/>
    <w:rsid w:val="00F24B42"/>
    <w:rsid w:val="00F24F73"/>
    <w:rsid w:val="00F27299"/>
    <w:rsid w:val="00F31F6E"/>
    <w:rsid w:val="00F3389C"/>
    <w:rsid w:val="00F375F2"/>
    <w:rsid w:val="00F40868"/>
    <w:rsid w:val="00F54EAE"/>
    <w:rsid w:val="00F66A51"/>
    <w:rsid w:val="00F71057"/>
    <w:rsid w:val="00F71A4B"/>
    <w:rsid w:val="00F728CF"/>
    <w:rsid w:val="00F743D4"/>
    <w:rsid w:val="00F83B17"/>
    <w:rsid w:val="00F87EDA"/>
    <w:rsid w:val="00F932F8"/>
    <w:rsid w:val="00F970EE"/>
    <w:rsid w:val="00FB0BC9"/>
    <w:rsid w:val="00FB0F9B"/>
    <w:rsid w:val="00FB41D3"/>
    <w:rsid w:val="00FB4F70"/>
    <w:rsid w:val="00FB5EFC"/>
    <w:rsid w:val="00FB77BB"/>
    <w:rsid w:val="00FC15AA"/>
    <w:rsid w:val="00FD1375"/>
    <w:rsid w:val="00FD359E"/>
    <w:rsid w:val="00FD5F37"/>
    <w:rsid w:val="00FE0A17"/>
    <w:rsid w:val="00FE179F"/>
    <w:rsid w:val="00FF213A"/>
    <w:rsid w:val="00FF3C2E"/>
    <w:rsid w:val="00FF6E8F"/>
  </w:rsids>
  <m:mathPr>
    <m:mathFont m:val="Cambria Math"/>
    <m:brkBin m:val="before"/>
    <m:brkBinSub m:val="--"/>
    <m:smallFrac/>
    <m:dispDef/>
    <m:lMargin m:val="0"/>
    <m:rMargin m:val="0"/>
    <m:defJc m:val="centerGroup"/>
    <m:wrapIndent m:val="1440"/>
    <m:intLim m:val="subSup"/>
    <m:naryLim m:val="undOvr"/>
  </m:mathPr>
  <w:themeFontLang w:eastAsia="zh-CN" w:val="en-US"/>
  <w:clrSchemeMapping w:accent1="accent1" w:accent2="accent2" w:accent3="accent3" w:accent4="accent4" w:accent5="accent5" w:accent6="accent6" w:bg1="light1" w:bg2="light2" w:followedHyperlink="followedHyperlink" w:hyperlink="hyperlink" w:t1="dark1" w:t2="dark2"/>
  <w:doNotIncludeSubdocsInStats/>
  <w:doNotAutoCompressPictures/>
  <w:smartTagType w:name="chsdate" w:namespaceuri="urn:schemas-microsoft-com:office:smarttags"/>
  <w:shapeDefaults>
    <o:shapedefaults spidmax="2049" v:ext="edit"/>
    <o:shapelayout v:ext="edit">
      <o:idmap data="1"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cs="Times New Roman" w:eastAsia="宋体" w:hAnsi="Calibri"/>
        <w:lang w:bidi="ar-SA" w:eastAsia="zh-CN"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nhideWhenUsed="0"/>
    <w:lsdException w:locked="1" w:name="heading 2" w:qFormat="1" w:semiHidden="0" w:uiPriority="0" w:unhideWhenUsed="0"/>
    <w:lsdException w:locked="1" w:name="heading 3" w:qFormat="1" w:semiHidden="0" w:uiPriority="0" w:unhideWhenUsed="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footnote text" w:semiHidden="0" w:uiPriority="0" w:unhideWhenUsed="0"/>
    <w:lsdException w:locked="1" w:name="caption" w:qFormat="1" w:uiPriority="0"/>
    <w:lsdException w:locked="1" w:name="footnote reference" w:semiHidden="0" w:uiPriority="0" w:unhideWhenUsed="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Date" w:semiHidden="0" w:uiPriority="0" w:unhideWhenUsed="0"/>
    <w:lsdException w:locked="1" w:name="Strong" w:qFormat="1" w:semiHidden="0" w:uiPriority="22" w:unhideWhenUsed="0"/>
    <w:lsdException w:locked="1" w:name="Emphasis" w:qFormat="1" w:semiHidden="0" w:uiPriority="0" w:unhideWhenUsed="0"/>
    <w:lsdException w:locked="1" w:name="Table Grid" w:qFormat="1"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a" w:type="paragraph">
    <w:name w:val="Normal"/>
    <w:qFormat/>
    <w:rsid w:val="004061AC"/>
    <w:pPr>
      <w:widowControl w:val="0"/>
      <w:jc w:val="both"/>
    </w:pPr>
    <w:rPr>
      <w:rFonts w:ascii="Times New Roman" w:hAnsi="Times New Roman"/>
      <w:kern w:val="2"/>
      <w:sz w:val="21"/>
      <w:szCs w:val="21"/>
    </w:rPr>
  </w:style>
  <w:style w:styleId="1" w:type="paragraph">
    <w:name w:val="heading 1"/>
    <w:basedOn w:val="a"/>
    <w:next w:val="a"/>
    <w:link w:val="1Char"/>
    <w:uiPriority w:val="99"/>
    <w:qFormat/>
    <w:rsid w:val="004061AC"/>
    <w:pPr>
      <w:keepNext/>
      <w:keepLines/>
      <w:spacing w:after="330" w:before="340" w:line="578" w:lineRule="auto"/>
      <w:outlineLvl w:val="0"/>
    </w:pPr>
    <w:rPr>
      <w:b/>
      <w:bCs/>
      <w:kern w:val="44"/>
      <w:sz w:val="44"/>
      <w:szCs w:val="44"/>
    </w:rPr>
  </w:style>
  <w:style w:styleId="2" w:type="paragraph">
    <w:name w:val="heading 2"/>
    <w:basedOn w:val="a"/>
    <w:next w:val="a0"/>
    <w:link w:val="2Char"/>
    <w:uiPriority w:val="99"/>
    <w:qFormat/>
    <w:rsid w:val="004061AC"/>
    <w:pPr>
      <w:keepNext/>
      <w:keepLines/>
      <w:spacing w:after="260" w:before="260" w:line="360" w:lineRule="auto"/>
      <w:outlineLvl w:val="1"/>
    </w:pPr>
    <w:rPr>
      <w:rFonts w:ascii="Arial" w:hAnsi="Arial"/>
      <w:b/>
      <w:bCs/>
      <w:kern w:val="0"/>
      <w:sz w:val="24"/>
      <w:szCs w:val="24"/>
    </w:rPr>
  </w:style>
  <w:style w:styleId="3" w:type="paragraph">
    <w:name w:val="heading 3"/>
    <w:basedOn w:val="a"/>
    <w:next w:val="a"/>
    <w:link w:val="3Char"/>
    <w:uiPriority w:val="99"/>
    <w:qFormat/>
    <w:rsid w:val="004061AC"/>
    <w:pPr>
      <w:keepNext/>
      <w:keepLines/>
      <w:spacing w:after="260" w:before="260" w:line="416" w:lineRule="auto"/>
      <w:outlineLvl w:val="2"/>
    </w:pPr>
    <w:rPr>
      <w:b/>
      <w:bCs/>
      <w:kern w:val="0"/>
      <w:sz w:val="32"/>
      <w:szCs w:val="32"/>
    </w:rPr>
  </w:style>
  <w:style w:default="1" w:styleId="a1" w:type="character">
    <w:name w:val="Default Paragraph Font"/>
    <w:uiPriority w:val="1"/>
    <w:semiHidden/>
    <w:unhideWhenUsed/>
  </w:style>
  <w:style w:default="1" w:styleId="a2" w:type="table">
    <w:name w:val="Normal Table"/>
    <w:uiPriority w:val="99"/>
    <w:semiHidden/>
    <w:unhideWhenUsed/>
    <w:tblPr>
      <w:tblInd w:type="dxa" w:w="0"/>
      <w:tblCellMar>
        <w:top w:type="dxa" w:w="0"/>
        <w:left w:type="dxa" w:w="108"/>
        <w:bottom w:type="dxa" w:w="0"/>
        <w:right w:type="dxa" w:w="108"/>
      </w:tblCellMar>
    </w:tblPr>
  </w:style>
  <w:style w:default="1" w:styleId="a3" w:type="numbering">
    <w:name w:val="No List"/>
    <w:uiPriority w:val="99"/>
    <w:semiHidden/>
    <w:unhideWhenUsed/>
  </w:style>
  <w:style w:customStyle="1" w:styleId="1Char" w:type="character">
    <w:name w:val="标题 1 Char"/>
    <w:link w:val="1"/>
    <w:uiPriority w:val="99"/>
    <w:locked/>
    <w:rsid w:val="004061AC"/>
    <w:rPr>
      <w:rFonts w:ascii="Times New Roman" w:cs="Times New Roman" w:eastAsia="宋体" w:hAnsi="Times New Roman"/>
      <w:b/>
      <w:bCs/>
      <w:kern w:val="44"/>
      <w:sz w:val="44"/>
      <w:szCs w:val="44"/>
    </w:rPr>
  </w:style>
  <w:style w:customStyle="1" w:styleId="2Char" w:type="character">
    <w:name w:val="标题 2 Char"/>
    <w:link w:val="2"/>
    <w:uiPriority w:val="99"/>
    <w:locked/>
    <w:rsid w:val="004061AC"/>
    <w:rPr>
      <w:rFonts w:ascii="Arial" w:cs="Arial" w:eastAsia="宋体" w:hAnsi="Arial"/>
      <w:b/>
      <w:bCs/>
      <w:sz w:val="24"/>
      <w:szCs w:val="24"/>
    </w:rPr>
  </w:style>
  <w:style w:customStyle="1" w:styleId="3Char" w:type="character">
    <w:name w:val="标题 3 Char"/>
    <w:link w:val="3"/>
    <w:uiPriority w:val="99"/>
    <w:locked/>
    <w:rsid w:val="004061AC"/>
    <w:rPr>
      <w:rFonts w:ascii="Times New Roman" w:cs="Times New Roman" w:eastAsia="宋体" w:hAnsi="Times New Roman"/>
      <w:b/>
      <w:bCs/>
      <w:sz w:val="32"/>
      <w:szCs w:val="32"/>
    </w:rPr>
  </w:style>
  <w:style w:styleId="a0" w:type="paragraph">
    <w:name w:val="Normal Indent"/>
    <w:basedOn w:val="a"/>
    <w:uiPriority w:val="99"/>
    <w:rsid w:val="004061AC"/>
    <w:pPr>
      <w:ind w:firstLine="420" w:firstLineChars="200"/>
    </w:pPr>
  </w:style>
  <w:style w:styleId="a4" w:type="paragraph">
    <w:name w:val="Body Text Indent"/>
    <w:basedOn w:val="a"/>
    <w:link w:val="Char"/>
    <w:uiPriority w:val="99"/>
    <w:rsid w:val="004061AC"/>
    <w:pPr>
      <w:widowControl/>
      <w:spacing w:after="100" w:afterAutospacing="1" w:before="100" w:beforeAutospacing="1"/>
      <w:jc w:val="left"/>
    </w:pPr>
    <w:rPr>
      <w:rFonts w:ascii="Arial Unicode MS" w:eastAsia="Arial Unicode MS" w:hAnsi="Arial Unicode MS"/>
      <w:kern w:val="0"/>
      <w:sz w:val="24"/>
      <w:szCs w:val="24"/>
    </w:rPr>
  </w:style>
  <w:style w:customStyle="1" w:styleId="Char" w:type="character">
    <w:name w:val="正文文本缩进 Char"/>
    <w:link w:val="a4"/>
    <w:uiPriority w:val="99"/>
    <w:locked/>
    <w:rsid w:val="004061AC"/>
    <w:rPr>
      <w:rFonts w:ascii="Arial Unicode MS" w:cs="Arial Unicode MS" w:eastAsia="Arial Unicode MS" w:hAnsi="Arial Unicode MS"/>
      <w:kern w:val="0"/>
      <w:sz w:val="24"/>
      <w:szCs w:val="24"/>
    </w:rPr>
  </w:style>
  <w:style w:styleId="a5" w:type="paragraph">
    <w:name w:val="Plain Text"/>
    <w:basedOn w:val="a"/>
    <w:link w:val="Char0"/>
    <w:uiPriority w:val="99"/>
    <w:rsid w:val="004061AC"/>
    <w:rPr>
      <w:rFonts w:ascii="宋体" w:hAnsi="Courier New"/>
      <w:kern w:val="0"/>
    </w:rPr>
  </w:style>
  <w:style w:customStyle="1" w:styleId="Char0" w:type="character">
    <w:name w:val="纯文本 Char"/>
    <w:link w:val="a5"/>
    <w:uiPriority w:val="99"/>
    <w:locked/>
    <w:rsid w:val="004061AC"/>
    <w:rPr>
      <w:rFonts w:ascii="宋体" w:cs="宋体" w:eastAsia="宋体" w:hAnsi="Courier New"/>
      <w:sz w:val="21"/>
      <w:szCs w:val="21"/>
    </w:rPr>
  </w:style>
  <w:style w:styleId="20" w:type="paragraph">
    <w:name w:val="Body Text Indent 2"/>
    <w:basedOn w:val="a"/>
    <w:link w:val="2Char0"/>
    <w:uiPriority w:val="99"/>
    <w:rsid w:val="004061AC"/>
    <w:pPr>
      <w:spacing w:line="560" w:lineRule="exact"/>
      <w:ind w:firstLine="480" w:firstLineChars="200"/>
    </w:pPr>
    <w:rPr>
      <w:rFonts w:ascii="宋体" w:hAnsi="宋体"/>
      <w:color w:val="FF0000"/>
      <w:kern w:val="0"/>
      <w:sz w:val="24"/>
      <w:szCs w:val="24"/>
    </w:rPr>
  </w:style>
  <w:style w:customStyle="1" w:styleId="2Char0" w:type="character">
    <w:name w:val="正文文本缩进 2 Char"/>
    <w:link w:val="20"/>
    <w:uiPriority w:val="99"/>
    <w:locked/>
    <w:rsid w:val="004061AC"/>
    <w:rPr>
      <w:rFonts w:ascii="宋体" w:cs="宋体" w:eastAsia="宋体" w:hAnsi="宋体"/>
      <w:color w:val="FF0000"/>
      <w:sz w:val="24"/>
      <w:szCs w:val="24"/>
    </w:rPr>
  </w:style>
  <w:style w:styleId="a6" w:type="paragraph">
    <w:name w:val="footer"/>
    <w:basedOn w:val="a"/>
    <w:link w:val="Char1"/>
    <w:uiPriority w:val="99"/>
    <w:rsid w:val="004061AC"/>
    <w:pPr>
      <w:tabs>
        <w:tab w:pos="4153" w:val="center"/>
        <w:tab w:pos="8306" w:val="right"/>
      </w:tabs>
      <w:snapToGrid w:val="0"/>
      <w:jc w:val="left"/>
    </w:pPr>
    <w:rPr>
      <w:kern w:val="0"/>
      <w:sz w:val="18"/>
      <w:szCs w:val="18"/>
    </w:rPr>
  </w:style>
  <w:style w:customStyle="1" w:styleId="Char1" w:type="character">
    <w:name w:val="页脚 Char"/>
    <w:link w:val="a6"/>
    <w:uiPriority w:val="99"/>
    <w:locked/>
    <w:rsid w:val="004061AC"/>
    <w:rPr>
      <w:rFonts w:ascii="Times New Roman" w:cs="Times New Roman" w:eastAsia="宋体" w:hAnsi="Times New Roman"/>
      <w:sz w:val="18"/>
      <w:szCs w:val="18"/>
    </w:rPr>
  </w:style>
  <w:style w:styleId="a7" w:type="character">
    <w:name w:val="page number"/>
    <w:uiPriority w:val="99"/>
    <w:rsid w:val="004061AC"/>
    <w:rPr>
      <w:rFonts w:cs="Times New Roman"/>
    </w:rPr>
  </w:style>
  <w:style w:styleId="a8" w:type="character">
    <w:name w:val="Hyperlink"/>
    <w:uiPriority w:val="99"/>
    <w:rsid w:val="004061AC"/>
    <w:rPr>
      <w:rFonts w:cs="Times New Roman"/>
      <w:color w:val="0000FF"/>
      <w:u w:val="single"/>
    </w:rPr>
  </w:style>
  <w:style w:styleId="30" w:type="paragraph">
    <w:name w:val="Body Text Indent 3"/>
    <w:basedOn w:val="a"/>
    <w:link w:val="3Char0"/>
    <w:uiPriority w:val="99"/>
    <w:rsid w:val="004061AC"/>
    <w:pPr>
      <w:spacing w:line="560" w:lineRule="exact"/>
      <w:ind w:firstLine="420" w:firstLineChars="200"/>
    </w:pPr>
    <w:rPr>
      <w:rFonts w:ascii="Arial" w:hAnsi="Arial"/>
      <w:color w:val="FF0000"/>
      <w:kern w:val="0"/>
    </w:rPr>
  </w:style>
  <w:style w:customStyle="1" w:styleId="3Char0" w:type="character">
    <w:name w:val="正文文本缩进 3 Char"/>
    <w:link w:val="30"/>
    <w:uiPriority w:val="99"/>
    <w:locked/>
    <w:rsid w:val="004061AC"/>
    <w:rPr>
      <w:rFonts w:ascii="Arial" w:cs="Arial" w:eastAsia="宋体" w:hAnsi="Arial"/>
      <w:color w:val="FF0000"/>
      <w:sz w:val="21"/>
      <w:szCs w:val="21"/>
    </w:rPr>
  </w:style>
  <w:style w:styleId="a9" w:type="paragraph">
    <w:name w:val="header"/>
    <w:basedOn w:val="a"/>
    <w:link w:val="Char2"/>
    <w:uiPriority w:val="99"/>
    <w:rsid w:val="004061AC"/>
    <w:pPr>
      <w:pBdr>
        <w:bottom w:color="auto" w:space="1" w:sz="6" w:val="single"/>
      </w:pBdr>
      <w:tabs>
        <w:tab w:pos="4153" w:val="center"/>
        <w:tab w:pos="8306" w:val="right"/>
      </w:tabs>
      <w:snapToGrid w:val="0"/>
      <w:jc w:val="center"/>
    </w:pPr>
    <w:rPr>
      <w:kern w:val="0"/>
      <w:sz w:val="18"/>
      <w:szCs w:val="18"/>
    </w:rPr>
  </w:style>
  <w:style w:customStyle="1" w:styleId="Char2" w:type="character">
    <w:name w:val="页眉 Char"/>
    <w:link w:val="a9"/>
    <w:uiPriority w:val="99"/>
    <w:locked/>
    <w:rsid w:val="004061AC"/>
    <w:rPr>
      <w:rFonts w:ascii="Times New Roman" w:cs="Times New Roman" w:eastAsia="宋体" w:hAnsi="Times New Roman"/>
      <w:sz w:val="18"/>
      <w:szCs w:val="18"/>
    </w:rPr>
  </w:style>
  <w:style w:styleId="aa" w:type="character">
    <w:name w:val="FollowedHyperlink"/>
    <w:uiPriority w:val="99"/>
    <w:rsid w:val="004061AC"/>
    <w:rPr>
      <w:rFonts w:cs="Times New Roman"/>
      <w:color w:val="800080"/>
      <w:u w:val="single"/>
    </w:rPr>
  </w:style>
  <w:style w:styleId="ab" w:type="paragraph">
    <w:name w:val="List"/>
    <w:basedOn w:val="ac"/>
    <w:uiPriority w:val="99"/>
    <w:rsid w:val="004061AC"/>
    <w:pPr>
      <w:spacing w:after="220" w:line="220" w:lineRule="atLeast"/>
      <w:ind w:hanging="360" w:left="1440"/>
    </w:pPr>
  </w:style>
  <w:style w:styleId="ac" w:type="paragraph">
    <w:name w:val="Body Text"/>
    <w:basedOn w:val="a"/>
    <w:link w:val="Char3"/>
    <w:uiPriority w:val="99"/>
    <w:rsid w:val="004061AC"/>
    <w:pPr>
      <w:spacing w:after="120"/>
    </w:pPr>
    <w:rPr>
      <w:kern w:val="0"/>
    </w:rPr>
  </w:style>
  <w:style w:customStyle="1" w:styleId="Char3" w:type="character">
    <w:name w:val="正文文本 Char"/>
    <w:link w:val="ac"/>
    <w:uiPriority w:val="99"/>
    <w:locked/>
    <w:rsid w:val="004061AC"/>
    <w:rPr>
      <w:rFonts w:ascii="Times New Roman" w:cs="Times New Roman" w:eastAsia="宋体" w:hAnsi="Times New Roman"/>
      <w:sz w:val="21"/>
      <w:szCs w:val="21"/>
    </w:rPr>
  </w:style>
  <w:style w:styleId="ad" w:type="paragraph">
    <w:name w:val="Date"/>
    <w:basedOn w:val="a"/>
    <w:next w:val="a"/>
    <w:link w:val="Char4"/>
    <w:uiPriority w:val="99"/>
    <w:rsid w:val="004061AC"/>
    <w:rPr>
      <w:kern w:val="0"/>
      <w:sz w:val="24"/>
      <w:szCs w:val="24"/>
    </w:rPr>
  </w:style>
  <w:style w:customStyle="1" w:styleId="Char4" w:type="character">
    <w:name w:val="日期 Char"/>
    <w:link w:val="ad"/>
    <w:uiPriority w:val="99"/>
    <w:locked/>
    <w:rsid w:val="004061AC"/>
    <w:rPr>
      <w:rFonts w:ascii="Times New Roman" w:cs="Times New Roman" w:eastAsia="宋体" w:hAnsi="Times New Roman"/>
      <w:sz w:val="24"/>
      <w:szCs w:val="24"/>
    </w:rPr>
  </w:style>
  <w:style w:customStyle="1" w:styleId="c1" w:type="character">
    <w:name w:val="c1"/>
    <w:uiPriority w:val="99"/>
    <w:rsid w:val="004061AC"/>
    <w:rPr>
      <w:rFonts w:cs="Times New Roman"/>
      <w:color w:val="000000"/>
      <w:sz w:val="18"/>
      <w:szCs w:val="18"/>
    </w:rPr>
  </w:style>
  <w:style w:styleId="10" w:type="paragraph">
    <w:name w:val="index 1"/>
    <w:basedOn w:val="a"/>
    <w:next w:val="a"/>
    <w:autoRedefine/>
    <w:uiPriority w:val="99"/>
    <w:semiHidden/>
    <w:rsid w:val="004061AC"/>
    <w:pPr>
      <w:jc w:val="right"/>
    </w:pPr>
    <w:rPr>
      <w:color w:val="008000"/>
    </w:rPr>
  </w:style>
  <w:style w:customStyle="1" w:styleId="font5" w:type="paragraph">
    <w:name w:val="font5"/>
    <w:basedOn w:val="a"/>
    <w:uiPriority w:val="99"/>
    <w:rsid w:val="004061AC"/>
    <w:pPr>
      <w:widowControl/>
      <w:spacing w:after="100" w:afterAutospacing="1" w:before="100" w:beforeAutospacing="1"/>
      <w:jc w:val="left"/>
    </w:pPr>
    <w:rPr>
      <w:rFonts w:ascii="宋体" w:cs="宋体" w:hAnsi="宋体"/>
      <w:kern w:val="0"/>
      <w:sz w:val="18"/>
      <w:szCs w:val="18"/>
    </w:rPr>
  </w:style>
  <w:style w:customStyle="1" w:styleId="xl24" w:type="paragraph">
    <w:name w:val="xl24"/>
    <w:basedOn w:val="a"/>
    <w:uiPriority w:val="99"/>
    <w:rsid w:val="004061AC"/>
    <w:pPr>
      <w:widowControl/>
      <w:pBdr>
        <w:top w:color="000000" w:space="0" w:sz="6" w:val="doub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b/>
      <w:bCs/>
      <w:color w:val="0000FF"/>
      <w:kern w:val="0"/>
      <w:sz w:val="29"/>
      <w:szCs w:val="29"/>
    </w:rPr>
  </w:style>
  <w:style w:customStyle="1" w:styleId="xl25" w:type="paragraph">
    <w:name w:val="xl25"/>
    <w:basedOn w:val="a"/>
    <w:uiPriority w:val="99"/>
    <w:rsid w:val="004061AC"/>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left"/>
    </w:pPr>
    <w:rPr>
      <w:rFonts w:ascii="Arial Unicode MS" w:cs="Arial Unicode MS" w:eastAsia="Arial Unicode MS" w:hAnsi="Arial Unicode MS"/>
      <w:b/>
      <w:bCs/>
      <w:color w:val="000000"/>
      <w:kern w:val="0"/>
      <w:sz w:val="24"/>
      <w:szCs w:val="24"/>
    </w:rPr>
  </w:style>
  <w:style w:customStyle="1" w:styleId="xl26" w:type="paragraph">
    <w:name w:val="xl26"/>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szCs w:val="24"/>
    </w:rPr>
  </w:style>
  <w:style w:customStyle="1" w:styleId="xl27" w:type="paragraph">
    <w:name w:val="xl27"/>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12"/>
      <w:szCs w:val="12"/>
    </w:rPr>
  </w:style>
  <w:style w:customStyle="1" w:styleId="xl28" w:type="paragraph">
    <w:name w:val="xl28"/>
    <w:basedOn w:val="a"/>
    <w:uiPriority w:val="99"/>
    <w:rsid w:val="004061AC"/>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right"/>
    </w:pPr>
    <w:rPr>
      <w:rFonts w:ascii="Arial Unicode MS" w:cs="Arial Unicode MS" w:eastAsia="Arial Unicode MS" w:hAnsi="Arial Unicode MS"/>
      <w:b/>
      <w:bCs/>
      <w:color w:val="000000"/>
      <w:kern w:val="0"/>
      <w:sz w:val="24"/>
      <w:szCs w:val="24"/>
    </w:rPr>
  </w:style>
  <w:style w:customStyle="1" w:styleId="xl29" w:type="paragraph">
    <w:name w:val="xl29"/>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szCs w:val="24"/>
    </w:rPr>
  </w:style>
  <w:style w:customStyle="1" w:styleId="xl30" w:type="paragraph">
    <w:name w:val="xl30"/>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szCs w:val="24"/>
    </w:rPr>
  </w:style>
  <w:style w:customStyle="1" w:styleId="xl31" w:type="paragraph">
    <w:name w:val="xl31"/>
    <w:basedOn w:val="a"/>
    <w:uiPriority w:val="99"/>
    <w:rsid w:val="004061AC"/>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2" w:type="paragraph">
    <w:name w:val="xl32"/>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3" w:type="paragraph">
    <w:name w:val="xl33"/>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color w:val="000000"/>
      <w:kern w:val="0"/>
      <w:sz w:val="22"/>
      <w:szCs w:val="22"/>
    </w:rPr>
  </w:style>
  <w:style w:customStyle="1" w:styleId="xl34" w:type="paragraph">
    <w:name w:val="xl34"/>
    <w:basedOn w:val="a"/>
    <w:uiPriority w:val="99"/>
    <w:rsid w:val="004061AC"/>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5" w:type="paragraph">
    <w:name w:val="xl35"/>
    <w:basedOn w:val="a"/>
    <w:uiPriority w:val="99"/>
    <w:rsid w:val="004061AC"/>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b/>
      <w:bCs/>
      <w:color w:val="000000"/>
      <w:kern w:val="0"/>
      <w:sz w:val="23"/>
      <w:szCs w:val="23"/>
    </w:rPr>
  </w:style>
  <w:style w:customStyle="1" w:styleId="xl36" w:type="paragraph">
    <w:name w:val="xl36"/>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b/>
      <w:bCs/>
      <w:color w:val="FF0000"/>
      <w:kern w:val="0"/>
      <w:sz w:val="23"/>
      <w:szCs w:val="23"/>
    </w:rPr>
  </w:style>
  <w:style w:customStyle="1" w:styleId="xl37" w:type="paragraph">
    <w:name w:val="xl37"/>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FF0000"/>
      <w:kern w:val="0"/>
      <w:sz w:val="23"/>
      <w:szCs w:val="23"/>
    </w:rPr>
  </w:style>
  <w:style w:customStyle="1" w:styleId="xl38" w:type="paragraph">
    <w:name w:val="xl38"/>
    <w:basedOn w:val="a"/>
    <w:uiPriority w:val="99"/>
    <w:rsid w:val="004061AC"/>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b/>
      <w:bCs/>
      <w:color w:val="FF0000"/>
      <w:kern w:val="0"/>
      <w:sz w:val="23"/>
      <w:szCs w:val="23"/>
    </w:rPr>
  </w:style>
  <w:style w:styleId="ae" w:type="paragraph">
    <w:name w:val="Balloon Text"/>
    <w:basedOn w:val="a"/>
    <w:link w:val="Char5"/>
    <w:uiPriority w:val="99"/>
    <w:semiHidden/>
    <w:rsid w:val="004061AC"/>
    <w:rPr>
      <w:kern w:val="0"/>
      <w:sz w:val="18"/>
      <w:szCs w:val="18"/>
    </w:rPr>
  </w:style>
  <w:style w:customStyle="1" w:styleId="Char5" w:type="character">
    <w:name w:val="批注框文本 Char"/>
    <w:link w:val="ae"/>
    <w:uiPriority w:val="99"/>
    <w:semiHidden/>
    <w:locked/>
    <w:rsid w:val="004061AC"/>
    <w:rPr>
      <w:rFonts w:ascii="Times New Roman" w:cs="Times New Roman" w:eastAsia="宋体" w:hAnsi="Times New Roman"/>
      <w:sz w:val="18"/>
      <w:szCs w:val="18"/>
    </w:rPr>
  </w:style>
  <w:style w:styleId="af" w:type="character">
    <w:name w:val="annotation reference"/>
    <w:uiPriority w:val="99"/>
    <w:semiHidden/>
    <w:rsid w:val="004061AC"/>
    <w:rPr>
      <w:rFonts w:cs="Times New Roman"/>
      <w:sz w:val="21"/>
      <w:szCs w:val="21"/>
    </w:rPr>
  </w:style>
  <w:style w:styleId="af0" w:type="paragraph">
    <w:name w:val="annotation text"/>
    <w:basedOn w:val="a"/>
    <w:link w:val="Char6"/>
    <w:uiPriority w:val="99"/>
    <w:semiHidden/>
    <w:rsid w:val="004061AC"/>
    <w:pPr>
      <w:jc w:val="left"/>
    </w:pPr>
    <w:rPr>
      <w:kern w:val="0"/>
    </w:rPr>
  </w:style>
  <w:style w:customStyle="1" w:styleId="Char6" w:type="character">
    <w:name w:val="批注文字 Char"/>
    <w:link w:val="af0"/>
    <w:uiPriority w:val="99"/>
    <w:semiHidden/>
    <w:locked/>
    <w:rsid w:val="004061AC"/>
    <w:rPr>
      <w:rFonts w:ascii="Times New Roman" w:cs="Times New Roman" w:eastAsia="宋体" w:hAnsi="Times New Roman"/>
      <w:sz w:val="21"/>
      <w:szCs w:val="21"/>
    </w:rPr>
  </w:style>
  <w:style w:styleId="af1" w:type="paragraph">
    <w:name w:val="annotation subject"/>
    <w:basedOn w:val="af0"/>
    <w:next w:val="af0"/>
    <w:link w:val="Char7"/>
    <w:uiPriority w:val="99"/>
    <w:semiHidden/>
    <w:rsid w:val="004061AC"/>
    <w:rPr>
      <w:b/>
      <w:bCs/>
    </w:rPr>
  </w:style>
  <w:style w:customStyle="1" w:styleId="Char7" w:type="character">
    <w:name w:val="批注主题 Char"/>
    <w:link w:val="af1"/>
    <w:uiPriority w:val="99"/>
    <w:semiHidden/>
    <w:locked/>
    <w:rsid w:val="004061AC"/>
    <w:rPr>
      <w:rFonts w:ascii="Times New Roman" w:cs="Times New Roman" w:eastAsia="宋体" w:hAnsi="Times New Roman"/>
      <w:b/>
      <w:bCs/>
      <w:sz w:val="21"/>
      <w:szCs w:val="21"/>
    </w:rPr>
  </w:style>
  <w:style w:customStyle="1" w:styleId="Char8" w:type="paragraph">
    <w:name w:val="Char"/>
    <w:basedOn w:val="a"/>
    <w:uiPriority w:val="99"/>
    <w:rsid w:val="004061AC"/>
  </w:style>
  <w:style w:styleId="af2" w:type="paragraph">
    <w:name w:val="Document Map"/>
    <w:basedOn w:val="a"/>
    <w:link w:val="Char9"/>
    <w:uiPriority w:val="99"/>
    <w:semiHidden/>
    <w:rsid w:val="004061AC"/>
    <w:pPr>
      <w:shd w:color="auto" w:fill="000080" w:val="clear"/>
    </w:pPr>
    <w:rPr>
      <w:kern w:val="0"/>
    </w:rPr>
  </w:style>
  <w:style w:customStyle="1" w:styleId="Char9" w:type="character">
    <w:name w:val="文档结构图 Char"/>
    <w:link w:val="af2"/>
    <w:uiPriority w:val="99"/>
    <w:semiHidden/>
    <w:locked/>
    <w:rsid w:val="004061AC"/>
    <w:rPr>
      <w:rFonts w:ascii="Times New Roman" w:cs="Times New Roman" w:eastAsia="宋体" w:hAnsi="Times New Roman"/>
      <w:sz w:val="21"/>
      <w:szCs w:val="21"/>
      <w:shd w:color="auto" w:fill="000080" w:val="clear"/>
    </w:rPr>
  </w:style>
  <w:style w:customStyle="1" w:styleId="af3" w:type="paragraph">
    <w:name w:val="正文 + (符号) 宋体"/>
    <w:aliases w:val="小四,紧缩量  0.2 磅"/>
    <w:basedOn w:val="a"/>
    <w:uiPriority w:val="99"/>
    <w:rsid w:val="004061AC"/>
    <w:pPr>
      <w:autoSpaceDE w:val="0"/>
      <w:autoSpaceDN w:val="0"/>
      <w:adjustRightInd w:val="0"/>
      <w:ind w:firstLine="1229" w:firstLineChars="512" w:right="1409" w:rightChars="671"/>
      <w:jc w:val="distribute"/>
    </w:pPr>
    <w:rPr>
      <w:sz w:val="24"/>
      <w:szCs w:val="24"/>
    </w:rPr>
  </w:style>
  <w:style w:styleId="af4" w:type="paragraph">
    <w:name w:val="footnote text"/>
    <w:basedOn w:val="a"/>
    <w:link w:val="Chara"/>
    <w:uiPriority w:val="99"/>
    <w:rsid w:val="004061AC"/>
    <w:pPr>
      <w:snapToGrid w:val="0"/>
      <w:jc w:val="left"/>
    </w:pPr>
    <w:rPr>
      <w:kern w:val="0"/>
      <w:sz w:val="18"/>
      <w:szCs w:val="18"/>
    </w:rPr>
  </w:style>
  <w:style w:customStyle="1" w:styleId="Chara" w:type="character">
    <w:name w:val="脚注文本 Char"/>
    <w:link w:val="af4"/>
    <w:uiPriority w:val="99"/>
    <w:locked/>
    <w:rsid w:val="004061AC"/>
    <w:rPr>
      <w:rFonts w:ascii="Times New Roman" w:cs="Times New Roman" w:eastAsia="宋体" w:hAnsi="Times New Roman"/>
      <w:sz w:val="18"/>
      <w:szCs w:val="18"/>
    </w:rPr>
  </w:style>
  <w:style w:styleId="af5" w:type="character">
    <w:name w:val="footnote reference"/>
    <w:uiPriority w:val="99"/>
    <w:rsid w:val="004061AC"/>
    <w:rPr>
      <w:rFonts w:cs="Times New Roman"/>
      <w:vertAlign w:val="superscript"/>
    </w:rPr>
  </w:style>
  <w:style w:styleId="af6" w:type="paragraph">
    <w:name w:val="Normal (Web)"/>
    <w:basedOn w:val="a"/>
    <w:uiPriority w:val="99"/>
    <w:rsid w:val="004061AC"/>
    <w:pPr>
      <w:widowControl/>
      <w:spacing w:after="100" w:afterAutospacing="1" w:before="100" w:beforeAutospacing="1"/>
      <w:jc w:val="left"/>
    </w:pPr>
    <w:rPr>
      <w:rFonts w:ascii="宋体" w:cs="宋体" w:hAnsi="宋体"/>
      <w:kern w:val="0"/>
      <w:sz w:val="24"/>
      <w:szCs w:val="24"/>
    </w:rPr>
  </w:style>
  <w:style w:styleId="af7" w:type="table">
    <w:name w:val="Table Grid"/>
    <w:basedOn w:val="a2"/>
    <w:qFormat/>
    <w:rsid w:val="004061AC"/>
    <w:pPr>
      <w:widowControl w:val="0"/>
      <w:jc w:val="both"/>
    </w:pPr>
    <w:rPr>
      <w:rFonts w:ascii="Times New Roman" w:hAnsi="Times New Roman"/>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Char10" w:type="paragraph">
    <w:name w:val="Char1"/>
    <w:basedOn w:val="a"/>
    <w:uiPriority w:val="99"/>
    <w:rsid w:val="004061AC"/>
  </w:style>
  <w:style w:customStyle="1" w:styleId="CharCharCharCharCharChar1CharCharChar" w:type="paragraph">
    <w:name w:val="Char Char Char Char Char Char1 Char Char Char"/>
    <w:basedOn w:val="a"/>
    <w:uiPriority w:val="99"/>
    <w:rsid w:val="004061AC"/>
    <w:pPr>
      <w:autoSpaceDE w:val="0"/>
      <w:autoSpaceDN w:val="0"/>
      <w:adjustRightInd w:val="0"/>
      <w:jc w:val="left"/>
      <w:textAlignment w:val="baseline"/>
    </w:pPr>
    <w:rPr>
      <w:rFonts w:ascii="宋体" w:cs="宋体"/>
      <w:kern w:val="0"/>
      <w:sz w:val="34"/>
      <w:szCs w:val="34"/>
    </w:rPr>
  </w:style>
  <w:style w:customStyle="1" w:styleId="CharCharCharCharCharChar1CharCharChar2" w:type="paragraph">
    <w:name w:val="Char Char Char Char Char Char1 Char Char Char2"/>
    <w:basedOn w:val="a"/>
    <w:uiPriority w:val="99"/>
    <w:rsid w:val="004061AC"/>
    <w:pPr>
      <w:autoSpaceDE w:val="0"/>
      <w:autoSpaceDN w:val="0"/>
      <w:adjustRightInd w:val="0"/>
      <w:jc w:val="left"/>
      <w:textAlignment w:val="baseline"/>
    </w:pPr>
    <w:rPr>
      <w:rFonts w:ascii="宋体" w:cs="宋体"/>
      <w:kern w:val="0"/>
      <w:sz w:val="34"/>
      <w:szCs w:val="34"/>
    </w:rPr>
  </w:style>
  <w:style w:styleId="af8" w:type="paragraph">
    <w:name w:val="Title"/>
    <w:basedOn w:val="a"/>
    <w:next w:val="a"/>
    <w:link w:val="Charb"/>
    <w:uiPriority w:val="99"/>
    <w:qFormat/>
    <w:rsid w:val="004061AC"/>
    <w:pPr>
      <w:spacing w:after="60" w:before="240"/>
      <w:jc w:val="center"/>
      <w:outlineLvl w:val="0"/>
    </w:pPr>
    <w:rPr>
      <w:rFonts w:ascii="Cambria" w:hAnsi="Cambria"/>
      <w:b/>
      <w:bCs/>
      <w:kern w:val="0"/>
      <w:sz w:val="32"/>
      <w:szCs w:val="32"/>
    </w:rPr>
  </w:style>
  <w:style w:customStyle="1" w:styleId="Charb" w:type="character">
    <w:name w:val="标题 Char"/>
    <w:link w:val="af8"/>
    <w:uiPriority w:val="99"/>
    <w:locked/>
    <w:rsid w:val="004061AC"/>
    <w:rPr>
      <w:rFonts w:ascii="Cambria" w:cs="Cambria" w:eastAsia="宋体" w:hAnsi="Cambria"/>
      <w:b/>
      <w:bCs/>
      <w:sz w:val="32"/>
      <w:szCs w:val="32"/>
    </w:rPr>
  </w:style>
  <w:style w:customStyle="1" w:styleId="CharCharCharCharCharChar1CharCharChar1" w:type="paragraph">
    <w:name w:val="Char Char Char Char Char Char1 Char Char Char1"/>
    <w:basedOn w:val="a"/>
    <w:uiPriority w:val="99"/>
    <w:rsid w:val="004061AC"/>
    <w:pPr>
      <w:autoSpaceDE w:val="0"/>
      <w:autoSpaceDN w:val="0"/>
      <w:adjustRightInd w:val="0"/>
      <w:jc w:val="left"/>
      <w:textAlignment w:val="baseline"/>
    </w:pPr>
    <w:rPr>
      <w:rFonts w:ascii="宋体" w:cs="宋体"/>
      <w:kern w:val="0"/>
      <w:sz w:val="34"/>
      <w:szCs w:val="34"/>
    </w:rPr>
  </w:style>
  <w:style w:styleId="af9" w:type="paragraph">
    <w:name w:val="No Spacing"/>
    <w:link w:val="Charc"/>
    <w:uiPriority w:val="99"/>
    <w:qFormat/>
    <w:rsid w:val="004061AC"/>
    <w:rPr>
      <w:rFonts w:cs="Calibri"/>
      <w:sz w:val="22"/>
      <w:szCs w:val="22"/>
    </w:rPr>
  </w:style>
  <w:style w:customStyle="1" w:styleId="Charc" w:type="character">
    <w:name w:val="无间隔 Char"/>
    <w:link w:val="af9"/>
    <w:uiPriority w:val="99"/>
    <w:locked/>
    <w:rsid w:val="004061AC"/>
    <w:rPr>
      <w:rFonts w:cs="Calibri"/>
      <w:sz w:val="22"/>
      <w:szCs w:val="22"/>
      <w:lang w:bidi="ar-SA" w:eastAsia="zh-CN" w:val="en-US"/>
    </w:rPr>
  </w:style>
  <w:style w:customStyle="1" w:styleId="t1" w:type="character">
    <w:name w:val="t1"/>
    <w:uiPriority w:val="99"/>
    <w:rsid w:val="004061AC"/>
    <w:rPr>
      <w:rFonts w:cs="Times New Roman"/>
      <w:color w:val="auto"/>
    </w:rPr>
  </w:style>
  <w:style w:styleId="afa" w:type="paragraph">
    <w:name w:val="List Paragraph"/>
    <w:basedOn w:val="a"/>
    <w:uiPriority w:val="99"/>
    <w:qFormat/>
    <w:rsid w:val="00154BE1"/>
    <w:pPr>
      <w:ind w:firstLine="420" w:firstLineChars="200"/>
    </w:pPr>
  </w:style>
  <w:style w:customStyle="1" w:styleId="Default" w:type="paragraph">
    <w:name w:val="Default"/>
    <w:uiPriority w:val="99"/>
    <w:rsid w:val="00275745"/>
    <w:pPr>
      <w:widowControl w:val="0"/>
      <w:autoSpaceDE w:val="0"/>
      <w:autoSpaceDN w:val="0"/>
      <w:adjustRightInd w:val="0"/>
    </w:pPr>
    <w:rPr>
      <w:rFonts w:ascii="FangSong" w:cs="FangSong" w:hAnsi="FangSong"/>
      <w:color w:val="000000"/>
      <w:sz w:val="24"/>
      <w:szCs w:val="24"/>
    </w:rPr>
  </w:style>
  <w:style w:styleId="afb" w:type="character">
    <w:name w:val="Strong"/>
    <w:uiPriority w:val="22"/>
    <w:qFormat/>
    <w:locked/>
    <w:rsid w:val="00D87469"/>
    <w:rPr>
      <w:b/>
      <w:bCs/>
    </w:rPr>
  </w:style>
  <w:style w:customStyle="1" w:styleId="2CharCharChar" w:type="character">
    <w:name w:val="标题 2 Char Char Char"/>
    <w:rsid w:val="006A5FB3"/>
    <w:rPr>
      <w:rFonts w:ascii="Arial" w:eastAsia="宋体" w:hAnsi="Arial"/>
      <w:b/>
      <w:kern w:val="2"/>
      <w:sz w:val="28"/>
      <w:szCs w:val="28"/>
      <w:lang w:bidi="ar-SA" w:eastAsia="zh-CN" w:val="en-US"/>
    </w:rPr>
  </w:style>
  <w:style w:customStyle="1" w:styleId="11" w:type="paragraph">
    <w:name w:val="正文_1"/>
    <w:qFormat/>
    <w:rsid w:val="006A5FB3"/>
    <w:pPr>
      <w:widowControl w:val="0"/>
      <w:jc w:val="both"/>
    </w:pPr>
    <w:rPr>
      <w:rFonts w:ascii="Times New Roman" w:hAnsi="Times New Roman"/>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6953">
      <w:bodyDiv w:val="1"/>
      <w:marLeft w:val="0"/>
      <w:marRight w:val="0"/>
      <w:marTop w:val="0"/>
      <w:marBottom w:val="0"/>
      <w:divBdr>
        <w:top w:val="none" w:sz="0" w:space="0" w:color="auto"/>
        <w:left w:val="none" w:sz="0" w:space="0" w:color="auto"/>
        <w:bottom w:val="none" w:sz="0" w:space="0" w:color="auto"/>
        <w:right w:val="none" w:sz="0" w:space="0" w:color="auto"/>
      </w:divBdr>
    </w:div>
    <w:div w:id="1068840387">
      <w:bodyDiv w:val="1"/>
      <w:marLeft w:val="0"/>
      <w:marRight w:val="0"/>
      <w:marTop w:val="0"/>
      <w:marBottom w:val="0"/>
      <w:divBdr>
        <w:top w:val="none" w:sz="0" w:space="0" w:color="auto"/>
        <w:left w:val="none" w:sz="0" w:space="0" w:color="auto"/>
        <w:bottom w:val="none" w:sz="0" w:space="0" w:color="auto"/>
        <w:right w:val="none" w:sz="0" w:space="0" w:color="auto"/>
      </w:divBdr>
    </w:div>
    <w:div w:id="1494878767">
      <w:marLeft w:val="0"/>
      <w:marRight w:val="0"/>
      <w:marTop w:val="0"/>
      <w:marBottom w:val="0"/>
      <w:divBdr>
        <w:top w:val="none" w:sz="0" w:space="0" w:color="auto"/>
        <w:left w:val="none" w:sz="0" w:space="0" w:color="auto"/>
        <w:bottom w:val="none" w:sz="0" w:space="0" w:color="auto"/>
        <w:right w:val="none" w:sz="0" w:space="0" w:color="auto"/>
      </w:divBdr>
    </w:div>
    <w:div w:id="149487876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10" Target="footer1.xml" Type="http://schemas.openxmlformats.org/officeDocument/2006/relationships/footer"/>
<Relationship Id="rId11" Target="media/image1.jpeg" Type="http://schemas.openxmlformats.org/officeDocument/2006/relationships/image"/>
<Relationship Id="rId12" Target="footer2.xml" Type="http://schemas.openxmlformats.org/officeDocument/2006/relationships/footer"/>
<Relationship Id="rId13" Target="fontTable.xml" Type="http://schemas.openxmlformats.org/officeDocument/2006/relationships/fontTable"/>
<Relationship Id="rId14" Target="theme/theme1.xml" Type="http://schemas.openxmlformats.org/officeDocument/2006/relationships/theme"/>
<Relationship Id="rId2" Target="numbering.xml" Type="http://schemas.openxmlformats.org/officeDocument/2006/relationships/numbering"/>
<Relationship Id="rId3" Target="styles.xml" Type="http://schemas.openxmlformats.org/officeDocument/2006/relationships/styles"/>
<Relationship Id="rId4" Target="stylesWithEffects.xml" Type="http://schemas.microsoft.com/office/2007/relationships/stylesWithEffects"/>
<Relationship Id="rId5" Target="settings.xml" Type="http://schemas.openxmlformats.org/officeDocument/2006/relationships/settings"/>
<Relationship Id="rId6" Target="webSettings.xml" Type="http://schemas.openxmlformats.org/officeDocument/2006/relationships/webSettings"/>
<Relationship Id="rId7" Target="footnotes.xml" Type="http://schemas.openxmlformats.org/officeDocument/2006/relationships/footnotes"/>
<Relationship Id="rId8" Target="endnotes.xml" Type="http://schemas.openxmlformats.org/officeDocument/2006/relationships/endnotes"/>
<Relationship Id="rId9" Target="header1.xml" Type="http://schemas.openxmlformats.org/officeDocument/2006/relationships/header"/>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876311-EF79-45CE-A9F5-00A9DBDF85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1779</TotalTime>
  <Pages>29</Pages>
  <Words>4229</Words>
  <Characters>24106</Characters>
  <Application>Microsoft Office Word</Application>
  <DocSecurity>0</DocSecurity>
  <Lines>200</Lines>
  <Paragraphs>56</Paragraphs>
  <ScaleCrop>false</ScaleCrop>
  <Company/>
  <LinksUpToDate>false</LinksUpToDate>
  <CharactersWithSpaces>28279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2012-10-16T06:07:00Z</dcterms:created>
  <cp:lastModifiedBy>sirong han</cp:lastModifiedBy>
  <dcterms:modified xsi:type="dcterms:W3CDTF">2020-07-09T02:56:00Z</dcterms:modified>
  <cp:revision>342</cp:revision>
</cp:coreProperties>
</file>