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易方达汇诚养老目标日期2033三年持有期混合型发起式基金中基金（FOF）</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易方达汇诚养老2033三年持有混合发起式（FOF）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006859</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006859</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2019年4月30日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12,624,606.73</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在投资管理过程中遵循各个阶段既定的投资比例，动态调整大类资产配置，控制基金下行风险，力争追求基金长期稳健增值。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属于目标日期策略基金，基金管理人根据设计的下滑曲线确定权益类资产与非权益类资产的配置比例，随着所设定目标日期的临近，本基金从整体趋势上将逐步降低权益类资产的配置比例，增加非权益类资产的配置比例。本基金的主要投资策略包括资产配置策略、基金筛选策略、基金配置策略。资产配置策略在根据下滑曲线确定的投资比例范围之内通过战略资产配置与战术资产配置确定各个大类资产的配置比例。本基金根据下滑曲线在不同时期均设定了权益类资产与非权益类资产投资比例范围。本基金的战略资产配置策略即在满足各个时间段约定的权益类资产与非权益类资产投资比例限制的前提下，确定股票、债券、商品、货币等各类资产的资产配置比例。战术资产配置是根据经济状况与市场环境对资产配置进行动态调整，进一步优化配置、增强收益的方法。本基金使用的战术资产配置策略主要基于对宏观经济面、政策面、基本面、技术面、估值面的深入分析，形成战术配置观点。通过战略资产配置策略与战术资产配置策略，本基金将最终形成目标资产配置比例，并以此指导后续基金的配置。基金筛选策略通过全方位的定量和定性分析筛选出符合基金管理人要求的标的基金，本基金所投资的全部基金都应是通过基金筛选策略选择出的标的基金。基金配置策略是通过对短周期内的基金多因子分解，结合公开披露的信息估算拟投资基金的最新的资产配置比例和短期的风格定位，通过优化求解的方法，得到匹配目标资产配置比例的最优基金组合，在此基础之上，基金管理人可以结合其他定性因素对组合进行调整，形成最终的投资组合。</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基金合同生效日至2023年12月31日：40%×沪深300指数收益率+55%×中债新综合财富指数收益率+5%×活期存款利率；2024年1月1日至2028年12月31日：30%×沪深300指数收益率+65%×中债新综合财富指数收益率+5%×活期存款利率；2029年1月1日至2033年12月31日：20%×沪深300指数收益率+75%×中债新综合财富指数收益率+5%×活期存款利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属于采用目标日期策略的基金中基金，2033年12月31日为本基金的目标日期。从基金合同生效日至目标日期止，本基金的预期风险与预期收益水平将随着时间的流逝逐步降低。基金合同生效日至2033年12月31日，理论上本基金的预期风险与预期收益水平低于股票型基金、股票型基金中基金（FOF），高于债券型基金、债券型基金中基金（FOF）、货币市场基金和货币型基金中基金（FOF）。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62420E" w:rsidR="0062420E" w:rsidRDefault="0062420E"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62420E" w:rsidRPr="006506EF" w:rsidTr="00C3442A">
        <w:tc>
          <w:tcPr>
            <w:tcW w:type="dxa" w:w="3402"/>
            <w:vAlign w:val="center"/>
          </w:tcPr>
          <w:p w:rsidP="00C3442A" w:rsidR="0062420E" w:rsidRDefault="0062420E"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62420E" w:rsidRDefault="0062420E" w:rsidRPr="006506EF">
            <w:pPr>
              <w:adjustRightInd w:val="0"/>
              <w:spacing w:before="29" w:line="360" w:lineRule="auto"/>
              <w:ind w:left="17"/>
              <w:jc w:val="center"/>
              <w:rPr>
                <w:color w:val="000000"/>
                <w:sz w:val="24"/>
              </w:rPr>
            </w:pPr>
            <w:r w:rsidRPr="006506EF">
              <w:rPr>
                <w:color w:val="000000"/>
                <w:sz w:val="24"/>
              </w:rPr>
              <w:t>报告期</w:t>
            </w:r>
          </w:p>
          <w:p w:rsidP="00C3442A" w:rsidR="0062420E" w:rsidRDefault="0062420E"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62420E" w:rsidRDefault="0062420E"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-38,570.74</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902,947.26</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0.0758</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13,918,179.73</w:t>
            </w:r>
          </w:p>
        </w:tc>
        <w:tc>
          <w:tcPr>
            <w:tcW w:type="dxa" w:w="2410"/>
            <w:hMerge/>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rPr>
          <w:trHeight w:val="158"/>
        </w:trPr>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1.1025</w:t>
            </w:r>
          </w:p>
        </w:tc>
        <w:tc>
          <w:tcPr>
            <w:tcW w:type="dxa" w:w="2410"/>
            <w:hMerge/>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62420E"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7.32%</w:t>
            </w:r>
          </w:p>
        </w:tc>
        <w:tc>
          <w:tcPr>
            <w:vAlign w:val="center"/>
          </w:tcPr>
          <w:p>
            <w:pPr>
              <w:jc w:val="center"/>
            </w:pPr>
            <w:r>
              <w:rPr>
                <w:color w:val="000000"/>
                <w:kern w:val="0"/>
                <w:sz w:val="24"/>
                <w:szCs w:val="24"/>
              </w:rPr>
              <w:t>0.34%</w:t>
            </w:r>
          </w:p>
        </w:tc>
        <w:tc>
          <w:tcPr>
            <w:vAlign w:val="center"/>
          </w:tcPr>
          <w:p>
            <w:pPr>
              <w:jc w:val="center"/>
            </w:pPr>
            <w:r>
              <w:rPr>
                <w:color w:val="000000"/>
                <w:kern w:val="0"/>
                <w:sz w:val="24"/>
                <w:szCs w:val="24"/>
              </w:rPr>
              <w:t>4.93%</w:t>
            </w:r>
          </w:p>
        </w:tc>
        <w:tc>
          <w:tcPr>
            <w:vAlign w:val="center"/>
          </w:tcPr>
          <w:p>
            <w:pPr>
              <w:jc w:val="center"/>
            </w:pPr>
            <w:r>
              <w:rPr>
                <w:color w:val="000000"/>
                <w:kern w:val="0"/>
                <w:sz w:val="24"/>
                <w:szCs w:val="24"/>
              </w:rPr>
              <w:t>0.36%</w:t>
            </w:r>
          </w:p>
        </w:tc>
        <w:tc>
          <w:tcPr>
            <w:vAlign w:val="center"/>
          </w:tcPr>
          <w:p>
            <w:pPr>
              <w:jc w:val="center"/>
            </w:pPr>
            <w:r>
              <w:rPr>
                <w:color w:val="000000"/>
                <w:kern w:val="0"/>
                <w:sz w:val="24"/>
                <w:szCs w:val="24"/>
              </w:rPr>
              <w:t>2.39%</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5.97%</w:t>
            </w:r>
          </w:p>
        </w:tc>
        <w:tc>
          <w:tcPr>
            <w:vAlign w:val="center"/>
          </w:tcPr>
          <w:p>
            <w:pPr>
              <w:jc w:val="center"/>
            </w:pPr>
            <w:r>
              <w:rPr>
                <w:color w:val="000000"/>
                <w:kern w:val="0"/>
                <w:sz w:val="24"/>
                <w:szCs w:val="24"/>
              </w:rPr>
              <w:t>0.52%</w:t>
            </w:r>
          </w:p>
        </w:tc>
        <w:tc>
          <w:tcPr>
            <w:vAlign w:val="center"/>
          </w:tcPr>
          <w:p>
            <w:pPr>
              <w:jc w:val="center"/>
            </w:pPr>
            <w:r>
              <w:rPr>
                <w:color w:val="000000"/>
                <w:kern w:val="0"/>
                <w:sz w:val="24"/>
                <w:szCs w:val="24"/>
              </w:rPr>
              <w:t>2.31%</w:t>
            </w:r>
          </w:p>
        </w:tc>
        <w:tc>
          <w:tcPr>
            <w:vAlign w:val="center"/>
          </w:tcPr>
          <w:p>
            <w:pPr>
              <w:jc w:val="center"/>
            </w:pPr>
            <w:r>
              <w:rPr>
                <w:color w:val="000000"/>
                <w:kern w:val="0"/>
                <w:sz w:val="24"/>
                <w:szCs w:val="24"/>
              </w:rPr>
              <w:t>0.59%</w:t>
            </w:r>
          </w:p>
        </w:tc>
        <w:tc>
          <w:tcPr>
            <w:vAlign w:val="center"/>
          </w:tcPr>
          <w:p>
            <w:pPr>
              <w:jc w:val="center"/>
            </w:pPr>
            <w:r>
              <w:rPr>
                <w:color w:val="000000"/>
                <w:kern w:val="0"/>
                <w:sz w:val="24"/>
                <w:szCs w:val="24"/>
              </w:rPr>
              <w:t>3.66%</w:t>
            </w:r>
          </w:p>
        </w:tc>
        <w:tc>
          <w:tcPr>
            <w:vAlign w:val="center"/>
          </w:tcPr>
          <w:p>
            <w:pPr>
              <w:jc w:val="center"/>
            </w:pPr>
            <w:r>
              <w:rPr>
                <w:color w:val="000000"/>
                <w:kern w:val="0"/>
                <w:sz w:val="24"/>
                <w:szCs w:val="24"/>
              </w:rPr>
              <w:t>-0.07%</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9.77%</w:t>
            </w:r>
          </w:p>
        </w:tc>
        <w:tc>
          <w:tcPr>
            <w:vAlign w:val="center"/>
          </w:tcPr>
          <w:p>
            <w:pPr>
              <w:jc w:val="center"/>
            </w:pPr>
            <w:r>
              <w:rPr>
                <w:color w:val="000000"/>
                <w:kern w:val="0"/>
                <w:sz w:val="24"/>
                <w:szCs w:val="24"/>
              </w:rPr>
              <w:t>0.37%</w:t>
            </w:r>
          </w:p>
        </w:tc>
        <w:tc>
          <w:tcPr>
            <w:vAlign w:val="center"/>
          </w:tcPr>
          <w:p>
            <w:pPr>
              <w:jc w:val="center"/>
            </w:pPr>
            <w:r>
              <w:rPr>
                <w:color w:val="000000"/>
                <w:kern w:val="0"/>
                <w:sz w:val="24"/>
                <w:szCs w:val="24"/>
              </w:rPr>
              <w:t>6.84%</w:t>
            </w:r>
          </w:p>
        </w:tc>
        <w:tc>
          <w:tcPr>
            <w:vAlign w:val="center"/>
          </w:tcPr>
          <w:p>
            <w:pPr>
              <w:jc w:val="center"/>
            </w:pPr>
            <w:r>
              <w:rPr>
                <w:color w:val="000000"/>
                <w:kern w:val="0"/>
                <w:sz w:val="24"/>
                <w:szCs w:val="24"/>
              </w:rPr>
              <w:t>0.47%</w:t>
            </w:r>
          </w:p>
        </w:tc>
        <w:tc>
          <w:tcPr>
            <w:vAlign w:val="center"/>
          </w:tcPr>
          <w:p>
            <w:pPr>
              <w:jc w:val="center"/>
            </w:pPr>
            <w:r>
              <w:rPr>
                <w:color w:val="000000"/>
                <w:kern w:val="0"/>
                <w:sz w:val="24"/>
                <w:szCs w:val="24"/>
              </w:rPr>
              <w:t>2.93%</w:t>
            </w:r>
          </w:p>
        </w:tc>
        <w:tc>
          <w:tcPr>
            <w:vAlign w:val="center"/>
          </w:tcPr>
          <w:p>
            <w:pPr>
              <w:jc w:val="center"/>
            </w:pPr>
            <w:r>
              <w:rPr>
                <w:color w:val="000000"/>
                <w:kern w:val="0"/>
                <w:sz w:val="24"/>
                <w:szCs w:val="24"/>
              </w:rPr>
              <w:t>-0.10%</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10.25%</w:t>
            </w:r>
          </w:p>
        </w:tc>
        <w:tc>
          <w:tcPr>
            <w:vAlign w:val="center"/>
          </w:tcPr>
          <w:p>
            <w:pPr>
              <w:jc w:val="center"/>
            </w:pPr>
            <w:r>
              <w:rPr>
                <w:color w:val="000000"/>
                <w:kern w:val="0"/>
                <w:sz w:val="24"/>
                <w:szCs w:val="24"/>
              </w:rPr>
              <w:t>0.34%</w:t>
            </w:r>
          </w:p>
        </w:tc>
        <w:tc>
          <w:tcPr>
            <w:vAlign w:val="center"/>
          </w:tcPr>
          <w:p>
            <w:pPr>
              <w:jc w:val="center"/>
            </w:pPr>
            <w:r>
              <w:rPr>
                <w:color w:val="000000"/>
                <w:kern w:val="0"/>
                <w:sz w:val="24"/>
                <w:szCs w:val="24"/>
              </w:rPr>
              <w:t>6.91%</w:t>
            </w:r>
          </w:p>
        </w:tc>
        <w:tc>
          <w:tcPr>
            <w:vAlign w:val="center"/>
          </w:tcPr>
          <w:p>
            <w:pPr>
              <w:jc w:val="center"/>
            </w:pPr>
            <w:r>
              <w:rPr>
                <w:color w:val="000000"/>
                <w:kern w:val="0"/>
                <w:sz w:val="24"/>
                <w:szCs w:val="24"/>
              </w:rPr>
              <w:t>0.50%</w:t>
            </w:r>
          </w:p>
        </w:tc>
        <w:tc>
          <w:tcPr>
            <w:vAlign w:val="center"/>
          </w:tcPr>
          <w:p>
            <w:pPr>
              <w:jc w:val="center"/>
            </w:pPr>
            <w:r>
              <w:rPr>
                <w:color w:val="000000"/>
                <w:kern w:val="0"/>
                <w:sz w:val="24"/>
                <w:szCs w:val="24"/>
              </w:rPr>
              <w:t>3.34%</w:t>
            </w:r>
          </w:p>
        </w:tc>
        <w:tc>
          <w:tcPr>
            <w:vAlign w:val="center"/>
          </w:tcPr>
          <w:p>
            <w:pPr>
              <w:jc w:val="center"/>
            </w:pPr>
            <w:r>
              <w:rPr>
                <w:color w:val="000000"/>
                <w:kern w:val="0"/>
                <w:sz w:val="24"/>
                <w:szCs w:val="24"/>
              </w:rPr>
              <w:t>-0.16%</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易方达汇诚养老目标日期2033三年持有期混合型发起式基金中基金（FOF）</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2019年4月30日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D7102E"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注：1.按基金合同和招募说明书的约定，本基金的建仓期为六个月，建仓期结束时各项资产配置比例符合基金合同（第十二部分二、投资范围，三、投资策略和四、投资限制）的有关约定。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2.自基金合同生效至报告期末,基金份额净值增长率为10.25%,同期业绩比较基准收益率为6.91%。</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汪玲</w:t>
            </w:r>
          </w:p>
        </w:tc>
        <w:tc>
          <w:tcPr>
            <w:vAlign w:val="center"/>
          </w:tcPr>
          <w:p>
            <w:pPr>
              <w:jc w:val="left"/>
            </w:pPr>
            <w:r>
              <w:rPr>
                <w:color w:val="000000"/>
                <w:sz w:val="24"/>
              </w:rPr>
              <w:t>本基金的基金经理、易方达汇诚养老目标日期2043三年持有期混合型基金中基金（FOF）的基金经理、易方达汇诚养老目标日期2038三年持有期混合型发起式基金中基金（FOF）的基金经理、易方达汇智稳健养老目标一年持有期混合型基金中基金（FOF）的基金经理</w:t>
            </w:r>
          </w:p>
        </w:tc>
        <w:tc>
          <w:tcPr>
            <w:vAlign w:val="center"/>
          </w:tcPr>
          <w:p>
            <w:pPr>
              <w:jc w:val="center"/>
            </w:pPr>
            <w:r>
              <w:rPr>
                <w:color w:val="000000"/>
                <w:sz w:val="24"/>
              </w:rPr>
              <w:t>2019-04-30</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合众人寿保险股份有限公司资金管理中心基金研究员、基金投资经理，合众资产管理股份有限公司组合管理部基金投资经理，中国人寿养老保险股份有限公司投资中心组合管理部高级组合基金投资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2季度新冠疫情继续在全球蔓延，世界经济受疫情影响出现大幅下滑，全球货币政策继续维持极度宽松的局面，各国相继推出各种财政刺激政策，欧美等主要经济体逐步开启复工步伐。国内疫情控制得当，随着欧美主要经济体陆续复工，叠加国内政策延续宽松政策，国内经济环比改善。随着经济逐步恢复以及货币政策边际减弱，国内债券收益率大幅上行，权益类资产大幅反弹，创业板和中小板表现强劲，行业方面休闲服务、电子、医药生物和食品饮料大幅上涨，而建筑装饰、纺织服装、采掘却录得负收益。估值方面，A股估值相对历史处于偏低位置，但结构分化更加剧烈；债券收益率水平处于历史较低位置，估值偏高。</w:t>
      </w:r>
    </w:p>
    <w:p>
      <w:pPr>
        <w:spacing w:line="360" w:lineRule="auto"/>
        <w:ind w:firstLine="480" w:firstLineChars="200"/>
        <w:rPr>
          <w:color w:val="000000"/>
          <w:sz w:val="24"/>
          <w:szCs w:val="24"/>
        </w:rPr>
      </w:pPr>
      <w:r>
        <w:rPr>
          <w:color w:val="000000"/>
          <w:sz w:val="24"/>
          <w:szCs w:val="24"/>
        </w:rPr>
        <w:t>在报告期内，经济基本面逐步恢复，资金面充裕，整体估值不高，本基金综合评估以上因素，适当增加了权益类资产的配置比例，更多去捕捉股票市场的结构性机会。随着海外股票市场的大幅反弹，逐步卖出了1季度配置的海外QDII基金。在坚持战略资产配置的前提下，通过动态比较各类资产的相对价值，在战术资产配置上适当增加了权益类资产的配置比例，少量增加了黄金等商品资产的配置比例，维持债券类资产的略低配比例，维持市场中性策略基金配置比例。截止报告期末，权益类资产配置比例接近下滑曲线预设的权益类资产配置比例，在合同允许的范围内。在结构方面，权益资产的风格配置上整体均衡，略偏科技和低估值类优质资产，债券类资产主要以信用债获取票息收益，增加了打新类基金的配置。在基金品种的选择上，坚持配置风格稳定、超额收益持续的基金，为组合提供稳定的超额收益贡献。</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本基金将遵循稳健投资的理念，坚持绝对收益思路，立足养老产品的定位，秉承勤勉尽责的态度，为持有人创造更加优异的投资回报。</w:t>
      </w:r>
    </w:p>
    <w:p w:rsidP="009E7C6A" w:rsidR="00750D48" w:rsidRDefault="00750D48" w:rsidRPr="00264E55">
      <w:pPr>
        <w:spacing w:line="360" w:lineRule="auto"/>
        <w:rPr>
          <w:rFonts w:ascii="宋体"/>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截至报告期末，本基金份额净值为1.1025元，本报告期份额净值增长率为7.32%，同期业绩比较基准收益率为4.93%。</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C370E0" w:rsidRPr="00264E55" w:rsidTr="00B05049">
        <w:trPr>
          <w:jc w:val="center"/>
        </w:trPr>
        <w:tc>
          <w:tcPr>
            <w:tcW w:type="dxa" w:w="720"/>
            <w:vAlign w:val="center"/>
          </w:tcPr>
          <w:p w:rsidP="00F94C5F" w:rsidR="00C370E0" w:rsidRDefault="00C370E0" w:rsidRPr="00C370E0">
            <w:pPr>
              <w:spacing w:before="29" w:line="360" w:lineRule="auto"/>
              <w:ind w:left="17"/>
              <w:jc w:val="center"/>
              <w:rPr>
                <w:color w:themeColor="text1" w:val="000000"/>
                <w:sz w:val="24"/>
                <w:szCs w:val="24"/>
              </w:rPr>
            </w:pPr>
            <w:r w:rsidRPr="00C370E0">
              <w:rPr>
                <w:color w:themeColor="text1" w:val="000000"/>
                <w:sz w:val="24"/>
                <w:szCs w:val="24"/>
              </w:rPr>
              <w:t>2</w:t>
            </w:r>
          </w:p>
        </w:tc>
        <w:tc>
          <w:tcPr>
            <w:tcW w:type="dxa" w:w="3357"/>
            <w:vAlign w:val="center"/>
          </w:tcPr>
          <w:p w:rsidP="00F94C5F" w:rsidR="00C370E0" w:rsidRDefault="00C370E0" w:rsidRPr="00C370E0">
            <w:pPr>
              <w:spacing w:before="29" w:line="360" w:lineRule="auto"/>
              <w:jc w:val="left"/>
              <w:rPr>
                <w:color w:themeColor="text1" w:val="000000"/>
                <w:sz w:val="24"/>
                <w:szCs w:val="24"/>
              </w:rPr>
            </w:pPr>
            <w:r w:rsidRPr="00C370E0">
              <w:rPr>
                <w:color w:themeColor="text1" w:val="000000"/>
                <w:sz w:val="24"/>
                <w:szCs w:val="24"/>
              </w:rPr>
              <w:t>基金投资</w:t>
            </w:r>
          </w:p>
        </w:tc>
        <w:tc>
          <w:tcPr>
            <w:tcW w:type="dxa" w:w="2977"/>
            <w:vAlign w:val="center"/>
          </w:tcPr>
          <w:p w:rsidP="00F94C5F" w:rsidR="00C370E0" w:rsidRDefault="00C370E0" w:rsidRPr="00C370E0">
            <w:pPr>
              <w:spacing w:before="29" w:line="360" w:lineRule="auto"/>
              <w:ind w:left="17"/>
              <w:jc w:val="right"/>
              <w:rPr>
                <w:color w:themeColor="text1" w:val="000000"/>
                <w:sz w:val="24"/>
                <w:szCs w:val="24"/>
              </w:rPr>
            </w:pPr>
            <w:r w:rsidRPr="00C370E0">
              <w:rPr>
                <w:color w:themeColor="text1" w:val="000000"/>
                <w:sz w:val="24"/>
                <w:szCs w:val="24"/>
              </w:rPr>
              <w:t/>
            </w:r>
            <w:proofErr w:type="spellStart"/>
            <w:r w:rsidRPr="00C370E0">
              <w:rPr>
                <w:color w:themeColor="text1" w:val="000000"/>
                <w:sz w:val="24"/>
                <w:szCs w:val="24"/>
              </w:rPr>
              <w:t/>
            </w:r>
            <w:proofErr w:type="spellEnd"/>
            <w:r w:rsidRPr="00C370E0">
              <w:rPr>
                <w:color w:themeColor="text1" w:val="000000"/>
                <w:sz w:val="24"/>
                <w:szCs w:val="24"/>
              </w:rPr>
              <w:t>12,376,620.61</w:t>
            </w:r>
          </w:p>
        </w:tc>
        <w:tc>
          <w:tcPr>
            <w:tcW w:type="dxa" w:w="1843"/>
            <w:vAlign w:val="center"/>
          </w:tcPr>
          <w:p w:rsidP="00F94C5F" w:rsidR="00C370E0" w:rsidRDefault="00C370E0" w:rsidRPr="00C370E0">
            <w:pPr>
              <w:spacing w:before="29" w:line="360" w:lineRule="auto"/>
              <w:ind w:left="17"/>
              <w:jc w:val="right"/>
              <w:rPr>
                <w:color w:themeColor="text1" w:val="000000"/>
                <w:sz w:val="24"/>
                <w:szCs w:val="24"/>
              </w:rPr>
            </w:pPr>
            <w:r w:rsidRPr="00C370E0">
              <w:rPr>
                <w:color w:themeColor="text1" w:val="000000"/>
                <w:sz w:val="24"/>
                <w:szCs w:val="24"/>
              </w:rPr>
              <w:t/>
            </w:r>
            <w:proofErr w:type="spellStart"/>
            <w:r w:rsidRPr="00C370E0">
              <w:rPr>
                <w:color w:themeColor="text1" w:val="000000"/>
                <w:sz w:val="24"/>
                <w:szCs w:val="24"/>
              </w:rPr>
              <w:t/>
            </w:r>
            <w:r w:rsidRPr="00C370E0">
              <w:rPr>
                <w:color w:themeColor="text1" w:val="000000"/>
                <w:sz w:val="24"/>
                <w:szCs w:val="24"/>
              </w:rPr>
              <w:lastRenderedPageBreak/>
              <w:t/>
            </w:r>
            <w:proofErr w:type="spellEnd"/>
            <w:r w:rsidRPr="00C370E0">
              <w:rPr>
                <w:color w:themeColor="text1" w:val="000000"/>
                <w:sz w:val="24"/>
                <w:szCs w:val="24"/>
              </w:rPr>
              <w:t>85.74</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lastRenderedPageBreak/>
              <w:t>3</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604,302.00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4.19</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604,302.00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4.19</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r>
      <w:tr w:rsidR="00C370E0" w:rsidRPr="00264E55" w:rsidTr="00B05049">
        <w:trPr>
          <w:jc w:val="center"/>
        </w:trPr>
        <w:tc>
          <w:tcPr>
            <w:tcW w:type="dxa" w:w="720"/>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4</w:t>
            </w:r>
          </w:p>
        </w:tc>
        <w:tc>
          <w:tcPr>
            <w:tcW w:type="dxa" w:w="3357"/>
          </w:tcPr>
          <w:p w:rsidP="00EB572F" w:rsidR="00C370E0" w:rsidRDefault="00C370E0"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5</w:t>
            </w:r>
          </w:p>
        </w:tc>
        <w:tc>
          <w:tcPr>
            <w:tcW w:type="dxa" w:w="3357"/>
            <w:vAlign w:val="center"/>
          </w:tcPr>
          <w:p w:rsidP="00B05049" w:rsidR="00C370E0" w:rsidRDefault="00C370E0"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lastRenderedPageBreak/>
              <w:t>6</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500,000.00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3.46</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7</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778,161.43</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5.39</w:t>
            </w:r>
          </w:p>
        </w:tc>
      </w:tr>
      <w:tr w:rsidR="00C370E0" w:rsidRPr="00264E55" w:rsidTr="00B05049">
        <w:trPr>
          <w:jc w:val="center"/>
        </w:trPr>
        <w:tc>
          <w:tcPr>
            <w:tcW w:type="dxa" w:w="720"/>
            <w:vAlign w:val="center"/>
          </w:tcPr>
          <w:p w:rsidP="00C370E0" w:rsidR="00C370E0" w:rsidRDefault="00C370E0" w:rsidRPr="00232B03">
            <w:pPr>
              <w:spacing w:before="29" w:line="360" w:lineRule="auto"/>
              <w:ind w:left="17"/>
              <w:jc w:val="center"/>
              <w:rPr>
                <w:color w:val="000000"/>
                <w:kern w:val="0"/>
                <w:sz w:val="24"/>
                <w:szCs w:val="24"/>
              </w:rPr>
            </w:pPr>
            <w:r w:rsidRPr="00232B03">
              <w:rPr>
                <w:color w:val="000000"/>
                <w:kern w:val="0"/>
                <w:sz w:val="24"/>
                <w:szCs w:val="24"/>
              </w:rPr>
              <w:t/>
            </w:r>
            <w:r>
              <w:rPr>
                <w:rFonts w:hint="eastAsia"/>
                <w:color w:val="000000"/>
                <w:kern w:val="0"/>
                <w:sz w:val="24"/>
                <w:szCs w:val="24"/>
              </w:rPr>
              <w:t/>
            </w:r>
            <w:r w:rsidRPr="00232B03">
              <w:rPr>
                <w:color w:val="000000"/>
                <w:kern w:val="0"/>
                <w:sz w:val="24"/>
                <w:szCs w:val="24"/>
              </w:rPr>
              <w:t>8</w:t>
            </w:r>
          </w:p>
        </w:tc>
        <w:tc>
          <w:tcPr>
            <w:tcW w:type="dxa" w:w="3357"/>
            <w:vAlign w:val="center"/>
          </w:tcPr>
          <w:p w:rsidP="00B05049" w:rsidR="00C370E0" w:rsidRDefault="00C370E0"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176,376.98</w:t>
            </w:r>
          </w:p>
        </w:tc>
        <w:tc>
          <w:tcPr>
            <w:tcW w:type="dxa" w:w="1843"/>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1.22</w:t>
            </w:r>
          </w:p>
        </w:tc>
      </w:tr>
      <w:tr w:rsidR="00C370E0" w:rsidRPr="00264E55" w:rsidTr="00B05049">
        <w:trPr>
          <w:jc w:val="center"/>
        </w:trPr>
        <w:tc>
          <w:tcPr>
            <w:tcW w:type="dxa" w:w="720"/>
            <w:vAlign w:val="center"/>
          </w:tcPr>
          <w:p w:rsidP="00BF4727" w:rsidR="00C370E0" w:rsidRDefault="00C370E0" w:rsidRPr="00232B03">
            <w:pPr>
              <w:spacing w:before="29" w:line="360" w:lineRule="auto"/>
              <w:ind w:left="17"/>
              <w:jc w:val="center"/>
              <w:rPr>
                <w:color w:val="000000"/>
                <w:kern w:val="0"/>
                <w:sz w:val="24"/>
                <w:szCs w:val="24"/>
              </w:rPr>
            </w:pPr>
            <w:r w:rsidRPr="00232B03">
              <w:rPr>
                <w:color w:val="000000"/>
                <w:kern w:val="0"/>
                <w:sz w:val="24"/>
                <w:szCs w:val="24"/>
              </w:rPr>
              <w:lastRenderedPageBreak/>
              <w:t/>
            </w:r>
            <w:r w:rsidR="00BF4727">
              <w:rPr>
                <w:rFonts w:hint="eastAsia"/>
                <w:color w:val="000000"/>
                <w:kern w:val="0"/>
                <w:sz w:val="24"/>
                <w:szCs w:val="24"/>
              </w:rPr>
              <w:t/>
            </w:r>
            <w:r w:rsidRPr="00232B03">
              <w:rPr>
                <w:color w:val="000000"/>
                <w:kern w:val="0"/>
                <w:sz w:val="24"/>
                <w:szCs w:val="24"/>
              </w:rPr>
              <w:t>9</w:t>
            </w:r>
          </w:p>
        </w:tc>
        <w:tc>
          <w:tcPr>
            <w:tcW w:type="dxa" w:w="3357"/>
            <w:vAlign w:val="center"/>
          </w:tcPr>
          <w:p w:rsidP="00B05049" w:rsidR="00C370E0" w:rsidRDefault="00C370E0" w:rsidRPr="00232B03">
            <w:pPr>
              <w:jc w:val="left"/>
              <w:rPr>
                <w:kern w:val="0"/>
                <w:sz w:val="24"/>
                <w:szCs w:val="24"/>
              </w:rPr>
            </w:pPr>
            <w:r w:rsidRPr="00232B03">
              <w:rPr>
                <w:color w:val="000000"/>
                <w:kern w:val="0"/>
                <w:sz w:val="24"/>
                <w:szCs w:val="24"/>
              </w:rPr>
              <w:t>合计</w:t>
            </w:r>
          </w:p>
        </w:tc>
        <w:tc>
          <w:tcPr>
            <w:tcW w:type="dxa" w:w="2977"/>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14,435,461.02</w:t>
            </w:r>
          </w:p>
        </w:tc>
        <w:tc>
          <w:tcPr>
            <w:tcW w:type="dxa" w:w="1843"/>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604,302.00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4.34</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604,302.00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4.34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019627</w:t>
            </w:r>
          </w:p>
        </w:tc>
        <w:tc>
          <w:tcPr>
            <w:vAlign w:val="center"/>
          </w:tcPr>
          <w:p>
            <w:pPr>
              <w:jc w:val="center"/>
            </w:pPr>
            <w:r>
              <w:rPr>
                <w:color w:val="000000"/>
                <w:kern w:val="0"/>
                <w:sz w:val="24"/>
                <w:szCs w:val="24"/>
              </w:rPr>
              <w:t>20国债01</w:t>
            </w:r>
          </w:p>
        </w:tc>
        <w:tc>
          <w:tcPr>
            <w:vAlign w:val="center"/>
          </w:tcPr>
          <w:p>
            <w:pPr>
              <w:jc w:val="right"/>
            </w:pPr>
            <w:r>
              <w:rPr>
                <w:color w:val="000000"/>
                <w:kern w:val="0"/>
                <w:sz w:val="24"/>
                <w:szCs w:val="24"/>
              </w:rPr>
              <w:t>6,040</w:t>
            </w:r>
          </w:p>
        </w:tc>
        <w:tc>
          <w:tcPr>
            <w:vAlign w:val="center"/>
          </w:tcPr>
          <w:p>
            <w:pPr>
              <w:jc w:val="right"/>
            </w:pPr>
            <w:r>
              <w:rPr>
                <w:color w:val="000000"/>
                <w:kern w:val="0"/>
                <w:sz w:val="24"/>
                <w:szCs w:val="24"/>
              </w:rPr>
              <w:t>604,302.00</w:t>
            </w:r>
          </w:p>
        </w:tc>
        <w:tc>
          <w:tcPr>
            <w:vAlign w:val="center"/>
          </w:tcPr>
          <w:p>
            <w:pPr>
              <w:jc w:val="right"/>
            </w:pPr>
            <w:r>
              <w:rPr>
                <w:color w:val="000000"/>
                <w:kern w:val="0"/>
                <w:sz w:val="24"/>
                <w:szCs w:val="24"/>
              </w:rPr>
              <w:t>4.34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033E3E" w:rsidR="00033E3E" w:rsidRDefault="00033E3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C26ADA" w:rsidR="00C26ADA" w:rsidRDefault="00C26ADA">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5.11.1</w:t>
      </w:r>
      <w:r w:rsidR="00AB0D05">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hAnsi="宋体"/>
          <w:color w:val="000000"/>
          <w:sz w:val="24"/>
          <w:szCs w:val="24"/>
        </w:rPr>
        <w:t>5.11.2</w:t>
      </w:r>
      <w:r w:rsidR="00AB0D05">
        <w:rPr>
          <w:rFonts w:ascii="宋体" w:hAnsi="宋体" w:hint="eastAsia"/>
          <w:color w:val="000000"/>
          <w:sz w:val="24"/>
          <w:szCs w:val="24"/>
        </w:rPr>
        <w:t xml:space="preserve"> </w:t>
      </w:r>
      <w:r w:rsidR="00750D48" w:rsidRPr="00264E55">
        <w:rPr>
          <w:rFonts w:ascii="宋体" w:hAnsi="宋体"/>
          <w:color w:val="000000"/>
          <w:sz w:val="24"/>
          <w:szCs w:val="24"/>
        </w:rPr>
        <w:lastRenderedPageBreak/>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D7102E">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672.99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6,498.81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169,205.18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176,376.98</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6A5FB3" w:rsidR="006A5FB3" w:rsidRDefault="006A5FB3" w:rsidRPr="006A5FB3">
      <w:pPr>
        <w:pStyle w:val="1"/>
        <w:spacing w:after="312" w:afterLines="100" w:before="312" w:beforeLines="100" w:line="360" w:lineRule="auto"/>
        <w:jc w:val="center"/>
        <w:rPr>
          <w:color w:val="000000"/>
          <w:kern w:val="0"/>
          <w:sz w:val="24"/>
          <w:szCs w:val="24"/>
        </w:rPr>
      </w:pPr>
      <w:bookmarkStart w:id="3" w:name="OLE_LINK6"/>
      <w:r w:rsidRPr="006A5FB3">
        <w:rPr>
          <w:color w:val="000000"/>
          <w:kern w:val="0"/>
          <w:sz w:val="24"/>
          <w:szCs w:val="24"/>
        </w:rPr>
        <w:t/>
      </w:r>
      <w:proofErr w:type="spellStart"/>
      <w:r w:rsidRPr="006A5FB3">
        <w:rPr>
          <w:color w:val="000000"/>
          <w:kern w:val="0"/>
          <w:sz w:val="24"/>
          <w:szCs w:val="24"/>
        </w:rPr>
        <w:t/>
      </w:r>
      <w:proofErr w:type="spellEnd"/>
      <w:r w:rsidRPr="006A5FB3">
        <w:rPr>
          <w:color w:val="000000"/>
          <w:kern w:val="0"/>
          <w:sz w:val="24"/>
          <w:szCs w:val="24"/>
        </w:rPr>
        <w:t>§6</w:t>
      </w:r>
      <w:r w:rsidR="006D75A5" w:rsidRPr="00264E55">
        <w:rPr>
          <w:rFonts w:ascii="宋体" w:hAnsi="宋体"/>
          <w:color w:val="000000"/>
          <w:kern w:val="0"/>
          <w:sz w:val="24"/>
          <w:szCs w:val="24"/>
        </w:rPr>
        <w:t xml:space="preserve">  </w:t>
      </w:r>
      <w:r w:rsidRPr="006A5FB3">
        <w:rPr>
          <w:color w:val="000000"/>
          <w:kern w:val="0"/>
          <w:sz w:val="24"/>
          <w:szCs w:val="24"/>
        </w:rPr>
        <w:t>基金中基金</w:t>
      </w:r>
    </w:p>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t/>
      </w:r>
      <w:proofErr w:type="spellStart"/>
      <w:r w:rsidRPr="006A5FB3">
        <w:rPr>
          <w:color w:val="000000"/>
          <w:sz w:val="24"/>
          <w:szCs w:val="24"/>
        </w:rPr>
        <w:t/>
      </w:r>
      <w:proofErr w:type="spellEnd"/>
      <w:r w:rsidRPr="006A5FB3">
        <w:rPr>
          <w:color w:val="000000"/>
          <w:sz w:val="24"/>
          <w:szCs w:val="24"/>
        </w:rPr>
        <w:t xml:space="preserve">6.1 </w:t>
      </w:r>
      <w:r w:rsidRPr="006A5FB3">
        <w:rPr>
          <w:color w:val="000000"/>
          <w:sz w:val="24"/>
          <w:szCs w:val="24"/>
        </w:rPr>
        <w:t>报告期末按公允价值占基金资产净值比例大小排序的前十名基金投资明细</w:t>
      </w:r>
    </w:p>
    <w:tbl>
      <w:tblPr>
        <w:tblStyle w:val="af7"/>
        <w:tblW w:type="pct" w:w="4863"/>
        <w:tblInd w:type="dxa" w:w="108"/>
        <w:tblLayout w:type="fixed"/>
        <w:tblLook w:firstColumn="1" w:firstRow="1" w:lastColumn="0" w:lastRow="0" w:noHBand="0" w:noVBand="1" w:val="04A0"/>
      </w:tblPr>
      <w:tblGrid>
        <w:gridCol w:w="668"/>
        <w:gridCol w:w="1068"/>
        <w:gridCol w:w="1072"/>
        <w:gridCol w:w="1072"/>
        <w:gridCol w:w="1070"/>
        <w:gridCol w:w="1204"/>
        <w:gridCol w:w="1072"/>
        <w:gridCol w:w="1068"/>
      </w:tblGrid>
      <w:tr w:rsidR="006A5FB3" w:rsidRPr="006A5FB3" w:rsidTr="00F94C5F">
        <w:tc>
          <w:tcPr>
            <w:tcW w:type="pct" w:w="403"/>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序号</w:t>
            </w:r>
            <w:r w:rsidRPr="006A5FB3">
              <w:rPr>
                <w:rFonts w:ascii="Times New Roman" w:cs="Times New Roman" w:hAnsi="Times New Roman"/>
                <w:color w:themeColor="text1" w:val="000000"/>
              </w:rPr>
              <w:t/>
            </w:r>
            <w:proofErr w:type="spellStart"/>
            <w:r w:rsidRPr="006A5FB3">
              <w:rPr>
                <w:rFonts w:ascii="Times New Roman" w:cs="Times New Roman" w:hAnsi="Times New Roman"/>
                <w:color w:themeColor="text1" w:val="000000"/>
              </w:rPr>
              <w:t/>
            </w:r>
            <w:proofErr w:type="spellEnd"/>
            <w:r w:rsidRPr="006A5FB3">
              <w:rPr>
                <w:rFonts w:ascii="Times New Roman" w:cs="Times New Roman" w:hAnsi="Times New Roman"/>
                <w:color w:themeColor="text1" w:val="000000"/>
              </w:rPr>
              <w:t/>
            </w:r>
            <w:proofErr w:type="spellStart"/>
            <w:r w:rsidRPr="006A5FB3">
              <w:rPr>
                <w:rFonts w:ascii="Times New Roman" w:cs="Times New Roman" w:hAnsi="Times New Roman"/>
                <w:color w:themeColor="text1" w:val="000000"/>
              </w:rPr>
              <w:t/>
            </w:r>
            <w:proofErr w:type="spellEnd"/>
            <w:r w:rsidRPr="006A5FB3">
              <w:rPr>
                <w:rFonts w:ascii="Times New Roman" w:cs="Times New Roman" w:hAnsi="Times New Roman"/>
                <w:color w:themeColor="text1" w:val="000000"/>
              </w:rPr>
              <w:t/>
            </w:r>
          </w:p>
        </w:tc>
        <w:tc>
          <w:tcPr>
            <w:tcW w:type="pct" w:w="644"/>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基金代码</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基金名称</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运作方式</w:t>
            </w:r>
          </w:p>
        </w:tc>
        <w:tc>
          <w:tcPr>
            <w:tcW w:type="pct" w:w="645"/>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持有份额（份）</w:t>
            </w:r>
          </w:p>
        </w:tc>
        <w:tc>
          <w:tcPr>
            <w:tcW w:type="pct" w:w="72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公允价值（元）</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占基金资产净值比例（</w:t>
            </w:r>
            <w:r w:rsidRPr="006A5FB3">
              <w:rPr>
                <w:rFonts w:ascii="Times New Roman" w:cs="Times New Roman" w:hAnsi="Times New Roman"/>
              </w:rPr>
              <w:t>%</w:t>
            </w:r>
            <w:r w:rsidRPr="006A5FB3">
              <w:rPr>
                <w:rFonts w:ascii="Times New Roman" w:cs="Times New Roman" w:hAnsi="Times New Roman"/>
              </w:rPr>
              <w:t>）</w:t>
            </w:r>
          </w:p>
        </w:tc>
        <w:tc>
          <w:tcPr>
            <w:tcW w:type="pct" w:w="645"/>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是否属于基金管理人及管理人关联方所管理的基金</w:t>
            </w:r>
          </w:p>
        </w:tc>
      </w:tr>
      <w:tr>
        <w:tc>
          <w:tcPr>
            <w:vAlign w:val="center"/>
          </w:tcPr>
          <w:p>
            <w:pPr>
              <w:jc w:val="center"/>
            </w:pPr>
            <w:r>
              <w:rPr>
                <w:sz w:val="24"/>
                <w:szCs w:val="24"/>
              </w:rPr>
              <w:t>1</w:t>
            </w:r>
          </w:p>
        </w:tc>
        <w:tc>
          <w:tcPr>
            <w:vAlign w:val="center"/>
          </w:tcPr>
          <w:p>
            <w:pPr>
              <w:jc w:val="center"/>
            </w:pPr>
            <w:r>
              <w:rPr>
                <w:sz w:val="24"/>
                <w:szCs w:val="24"/>
              </w:rPr>
              <w:t>000754</w:t>
            </w:r>
          </w:p>
        </w:tc>
        <w:tc>
          <w:tcPr>
            <w:vAlign w:val="center"/>
          </w:tcPr>
          <w:p>
            <w:pPr>
              <w:jc w:val="center"/>
            </w:pPr>
            <w:r>
              <w:rPr>
                <w:sz w:val="24"/>
                <w:szCs w:val="24"/>
              </w:rPr>
              <w:t>华宝量化对冲混合C</w:t>
            </w:r>
          </w:p>
        </w:tc>
        <w:tc>
          <w:tcPr>
            <w:vAlign w:val="center"/>
          </w:tcPr>
          <w:p>
            <w:pPr>
              <w:jc w:val="center"/>
            </w:pPr>
            <w:r>
              <w:rPr>
                <w:sz w:val="24"/>
                <w:szCs w:val="24"/>
              </w:rPr>
              <w:t>契约型开放式</w:t>
            </w:r>
          </w:p>
        </w:tc>
        <w:tc>
          <w:tcPr>
            <w:vAlign w:val="center"/>
          </w:tcPr>
          <w:p>
            <w:pPr>
              <w:jc w:val="center"/>
            </w:pPr>
            <w:r>
              <w:rPr>
                <w:sz w:val="24"/>
                <w:szCs w:val="24"/>
              </w:rPr>
              <w:t>907,929.86</w:t>
            </w:r>
          </w:p>
        </w:tc>
        <w:tc>
          <w:tcPr>
            <w:vAlign w:val="center"/>
          </w:tcPr>
          <w:p>
            <w:pPr>
              <w:jc w:val="center"/>
            </w:pPr>
            <w:r>
              <w:rPr>
                <w:sz w:val="24"/>
                <w:szCs w:val="24"/>
              </w:rPr>
              <w:t>1,064,638.55</w:t>
            </w:r>
          </w:p>
        </w:tc>
        <w:tc>
          <w:tcPr>
            <w:vAlign w:val="center"/>
          </w:tcPr>
          <w:p>
            <w:pPr>
              <w:jc w:val="center"/>
            </w:pPr>
            <w:r>
              <w:rPr>
                <w:sz w:val="24"/>
                <w:szCs w:val="24"/>
              </w:rPr>
              <w:t>7.65%</w:t>
            </w:r>
          </w:p>
        </w:tc>
        <w:tc>
          <w:tcPr>
            <w:vAlign w:val="center"/>
          </w:tcPr>
          <w:p>
            <w:pPr>
              <w:jc w:val="center"/>
            </w:pPr>
            <w:r>
              <w:rPr>
                <w:sz w:val="24"/>
                <w:szCs w:val="24"/>
              </w:rPr>
              <w:t>否</w:t>
            </w:r>
          </w:p>
        </w:tc>
      </w:tr>
      <w:tr>
        <w:tc>
          <w:tcPr>
            <w:vAlign w:val="center"/>
          </w:tcPr>
          <w:p>
            <w:pPr>
              <w:jc w:val="center"/>
            </w:pPr>
            <w:r>
              <w:rPr>
                <w:sz w:val="24"/>
                <w:szCs w:val="24"/>
              </w:rPr>
              <w:t>2</w:t>
            </w:r>
          </w:p>
        </w:tc>
        <w:tc>
          <w:tcPr>
            <w:vAlign w:val="center"/>
          </w:tcPr>
          <w:p>
            <w:pPr>
              <w:jc w:val="center"/>
            </w:pPr>
            <w:r>
              <w:rPr>
                <w:sz w:val="24"/>
                <w:szCs w:val="24"/>
              </w:rPr>
              <w:t>002351</w:t>
            </w:r>
          </w:p>
        </w:tc>
        <w:tc>
          <w:tcPr>
            <w:vAlign w:val="center"/>
          </w:tcPr>
          <w:p>
            <w:pPr>
              <w:jc w:val="center"/>
            </w:pPr>
            <w:r>
              <w:rPr>
                <w:sz w:val="24"/>
                <w:szCs w:val="24"/>
              </w:rPr>
              <w:t>易方达裕祥回报债券</w:t>
            </w:r>
          </w:p>
        </w:tc>
        <w:tc>
          <w:tcPr>
            <w:vAlign w:val="center"/>
          </w:tcPr>
          <w:p>
            <w:pPr>
              <w:jc w:val="center"/>
            </w:pPr>
            <w:r>
              <w:rPr>
                <w:sz w:val="24"/>
                <w:szCs w:val="24"/>
              </w:rPr>
              <w:t>契约型开放式</w:t>
            </w:r>
          </w:p>
        </w:tc>
        <w:tc>
          <w:tcPr>
            <w:vAlign w:val="center"/>
          </w:tcPr>
          <w:p>
            <w:pPr>
              <w:jc w:val="center"/>
            </w:pPr>
            <w:r>
              <w:rPr>
                <w:sz w:val="24"/>
                <w:szCs w:val="24"/>
              </w:rPr>
              <w:t>706,363.74</w:t>
            </w:r>
          </w:p>
        </w:tc>
        <w:tc>
          <w:tcPr>
            <w:vAlign w:val="center"/>
          </w:tcPr>
          <w:p>
            <w:pPr>
              <w:jc w:val="center"/>
            </w:pPr>
            <w:r>
              <w:rPr>
                <w:sz w:val="24"/>
                <w:szCs w:val="24"/>
              </w:rPr>
              <w:t>1,026,346.51</w:t>
            </w:r>
          </w:p>
        </w:tc>
        <w:tc>
          <w:tcPr>
            <w:vAlign w:val="center"/>
          </w:tcPr>
          <w:p>
            <w:pPr>
              <w:jc w:val="center"/>
            </w:pPr>
            <w:r>
              <w:rPr>
                <w:sz w:val="24"/>
                <w:szCs w:val="24"/>
              </w:rPr>
              <w:t>7.37%</w:t>
            </w:r>
          </w:p>
        </w:tc>
        <w:tc>
          <w:tcPr>
            <w:vAlign w:val="center"/>
          </w:tcPr>
          <w:p>
            <w:pPr>
              <w:jc w:val="center"/>
            </w:pPr>
            <w:r>
              <w:rPr>
                <w:sz w:val="24"/>
                <w:szCs w:val="24"/>
              </w:rPr>
              <w:t>是</w:t>
            </w:r>
          </w:p>
        </w:tc>
      </w:tr>
      <w:tr>
        <w:tc>
          <w:tcPr>
            <w:vAlign w:val="center"/>
          </w:tcPr>
          <w:p>
            <w:pPr>
              <w:jc w:val="center"/>
            </w:pPr>
            <w:r>
              <w:rPr>
                <w:sz w:val="24"/>
                <w:szCs w:val="24"/>
              </w:rPr>
              <w:t>3</w:t>
            </w:r>
          </w:p>
        </w:tc>
        <w:tc>
          <w:tcPr>
            <w:vAlign w:val="center"/>
          </w:tcPr>
          <w:p>
            <w:pPr>
              <w:jc w:val="center"/>
            </w:pPr>
            <w:r>
              <w:rPr>
                <w:sz w:val="24"/>
                <w:szCs w:val="24"/>
              </w:rPr>
              <w:t>001249</w:t>
            </w:r>
          </w:p>
        </w:tc>
        <w:tc>
          <w:tcPr>
            <w:vAlign w:val="center"/>
          </w:tcPr>
          <w:p>
            <w:pPr>
              <w:jc w:val="center"/>
            </w:pPr>
            <w:r>
              <w:rPr>
                <w:sz w:val="24"/>
                <w:szCs w:val="24"/>
              </w:rPr>
              <w:t>易方达新利混合</w:t>
            </w:r>
          </w:p>
        </w:tc>
        <w:tc>
          <w:tcPr>
            <w:vAlign w:val="center"/>
          </w:tcPr>
          <w:p>
            <w:pPr>
              <w:jc w:val="center"/>
            </w:pPr>
            <w:r>
              <w:rPr>
                <w:sz w:val="24"/>
                <w:szCs w:val="24"/>
              </w:rPr>
              <w:t>契约型开放式</w:t>
            </w:r>
          </w:p>
        </w:tc>
        <w:tc>
          <w:tcPr>
            <w:vAlign w:val="center"/>
          </w:tcPr>
          <w:p>
            <w:pPr>
              <w:jc w:val="center"/>
            </w:pPr>
            <w:r>
              <w:rPr>
                <w:sz w:val="24"/>
                <w:szCs w:val="24"/>
              </w:rPr>
              <w:t>562,369.42</w:t>
            </w:r>
          </w:p>
        </w:tc>
        <w:tc>
          <w:tcPr>
            <w:vAlign w:val="center"/>
          </w:tcPr>
          <w:p>
            <w:pPr>
              <w:jc w:val="center"/>
            </w:pPr>
            <w:r>
              <w:rPr>
                <w:sz w:val="24"/>
                <w:szCs w:val="24"/>
              </w:rPr>
              <w:t>788,441.93</w:t>
            </w:r>
          </w:p>
        </w:tc>
        <w:tc>
          <w:tcPr>
            <w:vAlign w:val="center"/>
          </w:tcPr>
          <w:p>
            <w:pPr>
              <w:jc w:val="center"/>
            </w:pPr>
            <w:r>
              <w:rPr>
                <w:sz w:val="24"/>
                <w:szCs w:val="24"/>
              </w:rPr>
              <w:t>5.66%</w:t>
            </w:r>
          </w:p>
        </w:tc>
        <w:tc>
          <w:tcPr>
            <w:vAlign w:val="center"/>
          </w:tcPr>
          <w:p>
            <w:pPr>
              <w:jc w:val="center"/>
            </w:pPr>
            <w:r>
              <w:rPr>
                <w:sz w:val="24"/>
                <w:szCs w:val="24"/>
              </w:rPr>
              <w:t>是</w:t>
            </w:r>
          </w:p>
        </w:tc>
      </w:tr>
      <w:tr>
        <w:tc>
          <w:tcPr>
            <w:vAlign w:val="center"/>
          </w:tcPr>
          <w:p>
            <w:pPr>
              <w:jc w:val="center"/>
            </w:pPr>
            <w:r>
              <w:rPr>
                <w:sz w:val="24"/>
                <w:szCs w:val="24"/>
              </w:rPr>
              <w:t>4</w:t>
            </w:r>
          </w:p>
        </w:tc>
        <w:tc>
          <w:tcPr>
            <w:vAlign w:val="center"/>
          </w:tcPr>
          <w:p>
            <w:pPr>
              <w:jc w:val="center"/>
            </w:pPr>
            <w:r>
              <w:rPr>
                <w:sz w:val="24"/>
                <w:szCs w:val="24"/>
              </w:rPr>
              <w:t>001315</w:t>
            </w:r>
          </w:p>
        </w:tc>
        <w:tc>
          <w:tcPr>
            <w:vAlign w:val="center"/>
          </w:tcPr>
          <w:p>
            <w:pPr>
              <w:jc w:val="center"/>
            </w:pPr>
            <w:r>
              <w:rPr>
                <w:sz w:val="24"/>
                <w:szCs w:val="24"/>
              </w:rPr>
              <w:t>易方达新益混合E</w:t>
            </w:r>
          </w:p>
        </w:tc>
        <w:tc>
          <w:tcPr>
            <w:vAlign w:val="center"/>
          </w:tcPr>
          <w:p>
            <w:pPr>
              <w:jc w:val="center"/>
            </w:pPr>
            <w:r>
              <w:rPr>
                <w:sz w:val="24"/>
                <w:szCs w:val="24"/>
              </w:rPr>
              <w:t>契约型开放式</w:t>
            </w:r>
          </w:p>
        </w:tc>
        <w:tc>
          <w:tcPr>
            <w:vAlign w:val="center"/>
          </w:tcPr>
          <w:p>
            <w:pPr>
              <w:jc w:val="center"/>
            </w:pPr>
            <w:r>
              <w:rPr>
                <w:sz w:val="24"/>
                <w:szCs w:val="24"/>
              </w:rPr>
              <w:t>314,214.03</w:t>
            </w:r>
          </w:p>
        </w:tc>
        <w:tc>
          <w:tcPr>
            <w:vAlign w:val="center"/>
          </w:tcPr>
          <w:p>
            <w:pPr>
              <w:jc w:val="center"/>
            </w:pPr>
            <w:r>
              <w:rPr>
                <w:sz w:val="24"/>
                <w:szCs w:val="24"/>
              </w:rPr>
              <w:t>774,223.37</w:t>
            </w:r>
          </w:p>
        </w:tc>
        <w:tc>
          <w:tcPr>
            <w:vAlign w:val="center"/>
          </w:tcPr>
          <w:p>
            <w:pPr>
              <w:jc w:val="center"/>
            </w:pPr>
            <w:r>
              <w:rPr>
                <w:sz w:val="24"/>
                <w:szCs w:val="24"/>
              </w:rPr>
              <w:t>5.56%</w:t>
            </w:r>
          </w:p>
        </w:tc>
        <w:tc>
          <w:tcPr>
            <w:vAlign w:val="center"/>
          </w:tcPr>
          <w:p>
            <w:pPr>
              <w:jc w:val="center"/>
            </w:pPr>
            <w:r>
              <w:rPr>
                <w:sz w:val="24"/>
                <w:szCs w:val="24"/>
              </w:rPr>
              <w:t>是</w:t>
            </w:r>
          </w:p>
        </w:tc>
      </w:tr>
      <w:tr>
        <w:tc>
          <w:tcPr>
            <w:vAlign w:val="center"/>
          </w:tcPr>
          <w:p>
            <w:pPr>
              <w:jc w:val="center"/>
            </w:pPr>
            <w:r>
              <w:rPr>
                <w:sz w:val="24"/>
                <w:szCs w:val="24"/>
              </w:rPr>
              <w:t>5</w:t>
            </w:r>
          </w:p>
        </w:tc>
        <w:tc>
          <w:tcPr>
            <w:vAlign w:val="center"/>
          </w:tcPr>
          <w:p>
            <w:pPr>
              <w:jc w:val="center"/>
            </w:pPr>
            <w:r>
              <w:rPr>
                <w:sz w:val="24"/>
                <w:szCs w:val="24"/>
              </w:rPr>
              <w:t>001710</w:t>
            </w:r>
          </w:p>
        </w:tc>
        <w:tc>
          <w:tcPr>
            <w:vAlign w:val="center"/>
          </w:tcPr>
          <w:p>
            <w:pPr>
              <w:jc w:val="center"/>
            </w:pPr>
            <w:r>
              <w:rPr>
                <w:sz w:val="24"/>
                <w:szCs w:val="24"/>
              </w:rPr>
              <w:t>安信新趋势混合A</w:t>
            </w:r>
          </w:p>
        </w:tc>
        <w:tc>
          <w:tcPr>
            <w:vAlign w:val="center"/>
          </w:tcPr>
          <w:p>
            <w:pPr>
              <w:jc w:val="center"/>
            </w:pPr>
            <w:r>
              <w:rPr>
                <w:sz w:val="24"/>
                <w:szCs w:val="24"/>
              </w:rPr>
              <w:t>契约型开放式</w:t>
            </w:r>
          </w:p>
        </w:tc>
        <w:tc>
          <w:tcPr>
            <w:vAlign w:val="center"/>
          </w:tcPr>
          <w:p>
            <w:pPr>
              <w:jc w:val="center"/>
            </w:pPr>
            <w:r>
              <w:rPr>
                <w:sz w:val="24"/>
                <w:szCs w:val="24"/>
              </w:rPr>
              <w:t>713,376.70</w:t>
            </w:r>
          </w:p>
        </w:tc>
        <w:tc>
          <w:tcPr>
            <w:vAlign w:val="center"/>
          </w:tcPr>
          <w:p>
            <w:pPr>
              <w:jc w:val="center"/>
            </w:pPr>
            <w:r>
              <w:rPr>
                <w:sz w:val="24"/>
                <w:szCs w:val="24"/>
              </w:rPr>
              <w:t>751,185.67</w:t>
            </w:r>
          </w:p>
        </w:tc>
        <w:tc>
          <w:tcPr>
            <w:vAlign w:val="center"/>
          </w:tcPr>
          <w:p>
            <w:pPr>
              <w:jc w:val="center"/>
            </w:pPr>
            <w:r>
              <w:rPr>
                <w:sz w:val="24"/>
                <w:szCs w:val="24"/>
              </w:rPr>
              <w:t>5.40%</w:t>
            </w:r>
          </w:p>
        </w:tc>
        <w:tc>
          <w:tcPr>
            <w:vAlign w:val="center"/>
          </w:tcPr>
          <w:p>
            <w:pPr>
              <w:jc w:val="center"/>
            </w:pPr>
            <w:r>
              <w:rPr>
                <w:sz w:val="24"/>
                <w:szCs w:val="24"/>
              </w:rPr>
              <w:t>否</w:t>
            </w:r>
          </w:p>
        </w:tc>
      </w:tr>
      <w:tr>
        <w:tc>
          <w:tcPr>
            <w:vAlign w:val="center"/>
          </w:tcPr>
          <w:p>
            <w:pPr>
              <w:jc w:val="center"/>
            </w:pPr>
            <w:r>
              <w:rPr>
                <w:sz w:val="24"/>
                <w:szCs w:val="24"/>
              </w:rPr>
              <w:t>6</w:t>
            </w:r>
          </w:p>
        </w:tc>
        <w:tc>
          <w:tcPr>
            <w:vAlign w:val="center"/>
          </w:tcPr>
          <w:p>
            <w:pPr>
              <w:jc w:val="center"/>
            </w:pPr>
            <w:r>
              <w:rPr>
                <w:sz w:val="24"/>
                <w:szCs w:val="24"/>
              </w:rPr>
              <w:t>000171</w:t>
            </w:r>
          </w:p>
        </w:tc>
        <w:tc>
          <w:tcPr>
            <w:vAlign w:val="center"/>
          </w:tcPr>
          <w:p>
            <w:pPr>
              <w:jc w:val="center"/>
            </w:pPr>
            <w:r>
              <w:rPr>
                <w:sz w:val="24"/>
                <w:szCs w:val="24"/>
              </w:rPr>
              <w:t>易方达裕丰回报债券</w:t>
            </w:r>
          </w:p>
        </w:tc>
        <w:tc>
          <w:tcPr>
            <w:vAlign w:val="center"/>
          </w:tcPr>
          <w:p>
            <w:pPr>
              <w:jc w:val="center"/>
            </w:pPr>
            <w:r>
              <w:rPr>
                <w:sz w:val="24"/>
                <w:szCs w:val="24"/>
              </w:rPr>
              <w:t>契约型开放式</w:t>
            </w:r>
          </w:p>
        </w:tc>
        <w:tc>
          <w:tcPr>
            <w:vAlign w:val="center"/>
          </w:tcPr>
          <w:p>
            <w:pPr>
              <w:jc w:val="center"/>
            </w:pPr>
            <w:r>
              <w:rPr>
                <w:sz w:val="24"/>
                <w:szCs w:val="24"/>
              </w:rPr>
              <w:t>389,080.88</w:t>
            </w:r>
          </w:p>
        </w:tc>
        <w:tc>
          <w:tcPr>
            <w:vAlign w:val="center"/>
          </w:tcPr>
          <w:p>
            <w:pPr>
              <w:jc w:val="center"/>
            </w:pPr>
            <w:r>
              <w:rPr>
                <w:sz w:val="24"/>
                <w:szCs w:val="24"/>
              </w:rPr>
              <w:t>736,530.11</w:t>
            </w:r>
          </w:p>
        </w:tc>
        <w:tc>
          <w:tcPr>
            <w:vAlign w:val="center"/>
          </w:tcPr>
          <w:p>
            <w:pPr>
              <w:jc w:val="center"/>
            </w:pPr>
            <w:r>
              <w:rPr>
                <w:sz w:val="24"/>
                <w:szCs w:val="24"/>
              </w:rPr>
              <w:t>5.29%</w:t>
            </w:r>
          </w:p>
        </w:tc>
        <w:tc>
          <w:tcPr>
            <w:vAlign w:val="center"/>
          </w:tcPr>
          <w:p>
            <w:pPr>
              <w:jc w:val="center"/>
            </w:pPr>
            <w:r>
              <w:rPr>
                <w:sz w:val="24"/>
                <w:szCs w:val="24"/>
              </w:rPr>
              <w:t>是</w:t>
            </w:r>
          </w:p>
        </w:tc>
      </w:tr>
      <w:tr>
        <w:tc>
          <w:tcPr>
            <w:vAlign w:val="center"/>
          </w:tcPr>
          <w:p>
            <w:pPr>
              <w:jc w:val="center"/>
            </w:pPr>
            <w:r>
              <w:rPr>
                <w:sz w:val="24"/>
                <w:szCs w:val="24"/>
              </w:rPr>
              <w:t>7</w:t>
            </w:r>
          </w:p>
        </w:tc>
        <w:tc>
          <w:tcPr>
            <w:vAlign w:val="center"/>
          </w:tcPr>
          <w:p>
            <w:pPr>
              <w:jc w:val="center"/>
            </w:pPr>
            <w:r>
              <w:rPr>
                <w:sz w:val="24"/>
                <w:szCs w:val="24"/>
              </w:rPr>
              <w:t>110008</w:t>
            </w:r>
          </w:p>
        </w:tc>
        <w:tc>
          <w:tcPr>
            <w:vAlign w:val="center"/>
          </w:tcPr>
          <w:p>
            <w:pPr>
              <w:jc w:val="center"/>
            </w:pPr>
            <w:r>
              <w:rPr>
                <w:sz w:val="24"/>
                <w:szCs w:val="24"/>
              </w:rPr>
              <w:t>易方达稳健收益债券B</w:t>
            </w:r>
          </w:p>
        </w:tc>
        <w:tc>
          <w:tcPr>
            <w:vAlign w:val="center"/>
          </w:tcPr>
          <w:p>
            <w:pPr>
              <w:jc w:val="center"/>
            </w:pPr>
            <w:r>
              <w:rPr>
                <w:sz w:val="24"/>
                <w:szCs w:val="24"/>
              </w:rPr>
              <w:t>契约型开放式</w:t>
            </w:r>
          </w:p>
        </w:tc>
        <w:tc>
          <w:tcPr>
            <w:vAlign w:val="center"/>
          </w:tcPr>
          <w:p>
            <w:pPr>
              <w:jc w:val="center"/>
            </w:pPr>
            <w:r>
              <w:rPr>
                <w:sz w:val="24"/>
                <w:szCs w:val="24"/>
              </w:rPr>
              <w:t>504,068.11</w:t>
            </w:r>
          </w:p>
        </w:tc>
        <w:tc>
          <w:tcPr>
            <w:vAlign w:val="center"/>
          </w:tcPr>
          <w:p>
            <w:pPr>
              <w:jc w:val="center"/>
            </w:pPr>
            <w:r>
              <w:rPr>
                <w:sz w:val="24"/>
                <w:szCs w:val="24"/>
              </w:rPr>
              <w:t>659,270.68</w:t>
            </w:r>
          </w:p>
        </w:tc>
        <w:tc>
          <w:tcPr>
            <w:vAlign w:val="center"/>
          </w:tcPr>
          <w:p>
            <w:pPr>
              <w:jc w:val="center"/>
            </w:pPr>
            <w:r>
              <w:rPr>
                <w:sz w:val="24"/>
                <w:szCs w:val="24"/>
              </w:rPr>
              <w:t>4.74%</w:t>
            </w:r>
          </w:p>
        </w:tc>
        <w:tc>
          <w:tcPr>
            <w:vAlign w:val="center"/>
          </w:tcPr>
          <w:p>
            <w:pPr>
              <w:jc w:val="center"/>
            </w:pPr>
            <w:r>
              <w:rPr>
                <w:sz w:val="24"/>
                <w:szCs w:val="24"/>
              </w:rPr>
              <w:t>是</w:t>
            </w:r>
          </w:p>
        </w:tc>
      </w:tr>
      <w:tr>
        <w:tc>
          <w:tcPr>
            <w:vAlign w:val="center"/>
          </w:tcPr>
          <w:p>
            <w:pPr>
              <w:jc w:val="center"/>
            </w:pPr>
            <w:r>
              <w:rPr>
                <w:sz w:val="24"/>
                <w:szCs w:val="24"/>
              </w:rPr>
              <w:t>8</w:t>
            </w:r>
          </w:p>
        </w:tc>
        <w:tc>
          <w:tcPr>
            <w:vAlign w:val="center"/>
          </w:tcPr>
          <w:p>
            <w:pPr>
              <w:jc w:val="center"/>
            </w:pPr>
            <w:r>
              <w:rPr>
                <w:sz w:val="24"/>
                <w:szCs w:val="24"/>
              </w:rPr>
              <w:t>001836</w:t>
            </w:r>
          </w:p>
        </w:tc>
        <w:tc>
          <w:tcPr>
            <w:vAlign w:val="center"/>
          </w:tcPr>
          <w:p>
            <w:pPr>
              <w:jc w:val="center"/>
            </w:pPr>
            <w:r>
              <w:rPr>
                <w:sz w:val="24"/>
                <w:szCs w:val="24"/>
              </w:rPr>
              <w:t>易方达瑞祥混合E</w:t>
            </w:r>
          </w:p>
        </w:tc>
        <w:tc>
          <w:tcPr>
            <w:vAlign w:val="center"/>
          </w:tcPr>
          <w:p>
            <w:pPr>
              <w:jc w:val="center"/>
            </w:pPr>
            <w:r>
              <w:rPr>
                <w:sz w:val="24"/>
                <w:szCs w:val="24"/>
              </w:rPr>
              <w:t>契约型开放式</w:t>
            </w:r>
          </w:p>
        </w:tc>
        <w:tc>
          <w:tcPr>
            <w:vAlign w:val="center"/>
          </w:tcPr>
          <w:p>
            <w:pPr>
              <w:jc w:val="center"/>
            </w:pPr>
            <w:r>
              <w:rPr>
                <w:sz w:val="24"/>
                <w:szCs w:val="24"/>
              </w:rPr>
              <w:t>504,080.75</w:t>
            </w:r>
          </w:p>
        </w:tc>
        <w:tc>
          <w:tcPr>
            <w:vAlign w:val="center"/>
          </w:tcPr>
          <w:p>
            <w:pPr>
              <w:jc w:val="center"/>
            </w:pPr>
            <w:r>
              <w:rPr>
                <w:sz w:val="24"/>
                <w:szCs w:val="24"/>
              </w:rPr>
              <w:t>615,986.68</w:t>
            </w:r>
          </w:p>
        </w:tc>
        <w:tc>
          <w:tcPr>
            <w:vAlign w:val="center"/>
          </w:tcPr>
          <w:p>
            <w:pPr>
              <w:jc w:val="center"/>
            </w:pPr>
            <w:r>
              <w:rPr>
                <w:sz w:val="24"/>
                <w:szCs w:val="24"/>
              </w:rPr>
              <w:t>4.43%</w:t>
            </w:r>
          </w:p>
        </w:tc>
        <w:tc>
          <w:tcPr>
            <w:vAlign w:val="center"/>
          </w:tcPr>
          <w:p>
            <w:pPr>
              <w:jc w:val="center"/>
            </w:pPr>
            <w:r>
              <w:rPr>
                <w:sz w:val="24"/>
                <w:szCs w:val="24"/>
              </w:rPr>
              <w:t>是</w:t>
            </w:r>
          </w:p>
        </w:tc>
      </w:tr>
      <w:tr>
        <w:tc>
          <w:tcPr>
            <w:vAlign w:val="center"/>
          </w:tcPr>
          <w:p>
            <w:pPr>
              <w:jc w:val="center"/>
            </w:pPr>
            <w:r>
              <w:rPr>
                <w:sz w:val="24"/>
                <w:szCs w:val="24"/>
              </w:rPr>
              <w:t>9</w:t>
            </w:r>
          </w:p>
        </w:tc>
        <w:tc>
          <w:tcPr>
            <w:vAlign w:val="center"/>
          </w:tcPr>
          <w:p>
            <w:pPr>
              <w:jc w:val="center"/>
            </w:pPr>
            <w:r>
              <w:rPr>
                <w:sz w:val="24"/>
                <w:szCs w:val="24"/>
              </w:rPr>
              <w:t>000992</w:t>
            </w:r>
          </w:p>
        </w:tc>
        <w:tc>
          <w:tcPr>
            <w:vAlign w:val="center"/>
          </w:tcPr>
          <w:p>
            <w:pPr>
              <w:jc w:val="center"/>
            </w:pPr>
            <w:r>
              <w:rPr>
                <w:sz w:val="24"/>
                <w:szCs w:val="24"/>
              </w:rPr>
              <w:t>广发对冲套利定期开放混合</w:t>
            </w:r>
          </w:p>
        </w:tc>
        <w:tc>
          <w:tcPr>
            <w:vAlign w:val="center"/>
          </w:tcPr>
          <w:p>
            <w:pPr>
              <w:jc w:val="center"/>
            </w:pPr>
            <w:r>
              <w:rPr>
                <w:sz w:val="24"/>
                <w:szCs w:val="24"/>
              </w:rPr>
              <w:t>契约型开放式</w:t>
            </w:r>
          </w:p>
        </w:tc>
        <w:tc>
          <w:tcPr>
            <w:vAlign w:val="center"/>
          </w:tcPr>
          <w:p>
            <w:pPr>
              <w:jc w:val="center"/>
            </w:pPr>
            <w:r>
              <w:rPr>
                <w:sz w:val="24"/>
                <w:szCs w:val="24"/>
              </w:rPr>
              <w:t>374,040.12</w:t>
            </w:r>
          </w:p>
        </w:tc>
        <w:tc>
          <w:tcPr>
            <w:vAlign w:val="center"/>
          </w:tcPr>
          <w:p>
            <w:pPr>
              <w:jc w:val="center"/>
            </w:pPr>
            <w:r>
              <w:rPr>
                <w:sz w:val="24"/>
                <w:szCs w:val="24"/>
              </w:rPr>
              <w:t>500,465.68</w:t>
            </w:r>
          </w:p>
        </w:tc>
        <w:tc>
          <w:tcPr>
            <w:vAlign w:val="center"/>
          </w:tcPr>
          <w:p>
            <w:pPr>
              <w:jc w:val="center"/>
            </w:pPr>
            <w:r>
              <w:rPr>
                <w:sz w:val="24"/>
                <w:szCs w:val="24"/>
              </w:rPr>
              <w:t>3.60%</w:t>
            </w:r>
          </w:p>
        </w:tc>
        <w:tc>
          <w:tcPr>
            <w:vAlign w:val="center"/>
          </w:tcPr>
          <w:p>
            <w:pPr>
              <w:jc w:val="center"/>
            </w:pPr>
            <w:r>
              <w:rPr>
                <w:sz w:val="24"/>
                <w:szCs w:val="24"/>
              </w:rPr>
              <w:t>否</w:t>
            </w:r>
          </w:p>
        </w:tc>
      </w:tr>
      <w:tr>
        <w:tc>
          <w:tcPr>
            <w:vAlign w:val="center"/>
          </w:tcPr>
          <w:p>
            <w:pPr>
              <w:jc w:val="center"/>
            </w:pPr>
            <w:r>
              <w:rPr>
                <w:sz w:val="24"/>
                <w:szCs w:val="24"/>
              </w:rPr>
              <w:t>10</w:t>
            </w:r>
          </w:p>
        </w:tc>
        <w:tc>
          <w:tcPr>
            <w:vAlign w:val="center"/>
          </w:tcPr>
          <w:p>
            <w:pPr>
              <w:jc w:val="center"/>
            </w:pPr>
            <w:r>
              <w:rPr>
                <w:sz w:val="24"/>
                <w:szCs w:val="24"/>
              </w:rPr>
              <w:t>519062</w:t>
            </w:r>
          </w:p>
        </w:tc>
        <w:tc>
          <w:tcPr>
            <w:vAlign w:val="center"/>
          </w:tcPr>
          <w:p>
            <w:pPr>
              <w:jc w:val="center"/>
            </w:pPr>
            <w:r>
              <w:rPr>
                <w:sz w:val="24"/>
                <w:szCs w:val="24"/>
              </w:rPr>
              <w:t>海富通阿尔法对冲混合A</w:t>
            </w:r>
          </w:p>
        </w:tc>
        <w:tc>
          <w:tcPr>
            <w:vAlign w:val="center"/>
          </w:tcPr>
          <w:p>
            <w:pPr>
              <w:jc w:val="center"/>
            </w:pPr>
            <w:r>
              <w:rPr>
                <w:sz w:val="24"/>
                <w:szCs w:val="24"/>
              </w:rPr>
              <w:t>契约型开放式</w:t>
            </w:r>
          </w:p>
        </w:tc>
        <w:tc>
          <w:tcPr>
            <w:vAlign w:val="center"/>
          </w:tcPr>
          <w:p>
            <w:pPr>
              <w:jc w:val="center"/>
            </w:pPr>
            <w:r>
              <w:rPr>
                <w:sz w:val="24"/>
                <w:szCs w:val="24"/>
              </w:rPr>
              <w:t>390,650.33</w:t>
            </w:r>
          </w:p>
        </w:tc>
        <w:tc>
          <w:tcPr>
            <w:vAlign w:val="center"/>
          </w:tcPr>
          <w:p>
            <w:pPr>
              <w:jc w:val="center"/>
            </w:pPr>
            <w:r>
              <w:rPr>
                <w:sz w:val="24"/>
                <w:szCs w:val="24"/>
              </w:rPr>
              <w:t>453,545.03</w:t>
            </w:r>
          </w:p>
        </w:tc>
        <w:tc>
          <w:tcPr>
            <w:vAlign w:val="center"/>
          </w:tcPr>
          <w:p>
            <w:pPr>
              <w:jc w:val="center"/>
            </w:pPr>
            <w:r>
              <w:rPr>
                <w:sz w:val="24"/>
                <w:szCs w:val="24"/>
              </w:rPr>
              <w:t>3.26%</w:t>
            </w:r>
          </w:p>
        </w:tc>
        <w:tc>
          <w:tcPr>
            <w:vAlign w:val="center"/>
          </w:tcPr>
          <w:p>
            <w:pPr>
              <w:jc w:val="center"/>
            </w:pPr>
            <w:r>
              <w:rPr>
                <w:sz w:val="24"/>
                <w:szCs w:val="24"/>
              </w:rPr>
              <w:t>否</w:t>
            </w:r>
          </w:p>
        </w:tc>
      </w:tr>
    </w:tbl>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t/>
      </w:r>
      <w:proofErr w:type="spellStart"/>
      <w:r w:rsidRPr="006A5FB3">
        <w:rPr>
          <w:color w:val="000000"/>
          <w:sz w:val="24"/>
          <w:szCs w:val="24"/>
        </w:rPr>
        <w:t/>
      </w:r>
      <w:proofErr w:type="spellEnd"/>
      <w:r w:rsidRPr="006A5FB3">
        <w:rPr>
          <w:color w:val="000000"/>
          <w:sz w:val="24"/>
          <w:szCs w:val="24"/>
        </w:rPr>
        <w:t xml:space="preserve">6.2 </w:t>
      </w:r>
      <w:r w:rsidRPr="006A5FB3">
        <w:rPr>
          <w:color w:val="000000"/>
          <w:sz w:val="24"/>
          <w:szCs w:val="24"/>
        </w:rPr>
        <w:t>当期交易及持有基金产生的费用</w:t>
      </w:r>
    </w:p>
    <w:tbl>
      <w:tblPr>
        <w:tblStyle w:val="af7"/>
        <w:tblW w:type="dxa" w:w="8364"/>
        <w:tblInd w:type="dxa" w:w="108"/>
        <w:tblLayout w:type="fixed"/>
        <w:tblLook w:firstColumn="1" w:firstRow="1" w:lastColumn="0" w:lastRow="0" w:noHBand="0" w:noVBand="1" w:val="04A0"/>
      </w:tblPr>
      <w:tblGrid>
        <w:gridCol w:w="2410"/>
        <w:gridCol w:w="2835"/>
        <w:gridCol w:w="3119"/>
      </w:tblGrid>
      <w:tr w:rsidR="006A5FB3" w:rsidRPr="006A5FB3" w:rsidTr="006D75A5">
        <w:tc>
          <w:tcPr>
            <w:tcW w:type="dxa" w:w="2410"/>
            <w:vAlign w:val="center"/>
          </w:tcPr>
          <w:p w:rsidP="006A5FB3" w:rsidR="006A5FB3" w:rsidRDefault="006A5FB3" w:rsidRPr="006A5FB3">
            <w:pPr>
              <w:adjustRightInd w:val="0"/>
              <w:snapToGrid w:val="0"/>
              <w:spacing w:before="156" w:beforeLines="50"/>
              <w:jc w:val="center"/>
              <w:rPr>
                <w:color w:themeColor="text1" w:val="000000"/>
                <w:sz w:val="24"/>
                <w:szCs w:val="24"/>
              </w:rPr>
            </w:pPr>
            <w:r w:rsidRPr="006A5FB3">
              <w:rPr>
                <w:sz w:val="24"/>
                <w:szCs w:val="24"/>
              </w:rPr>
              <w:t>项目</w:t>
            </w: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
            </w:r>
          </w:p>
        </w:tc>
        <w:tc>
          <w:tcPr>
            <w:tcW w:type="dxa" w:w="2835"/>
            <w:vAlign w:val="center"/>
          </w:tcPr>
          <w:p w:rsidP="00F94C5F" w:rsidR="006A5FB3" w:rsidRDefault="006A5FB3">
            <w:pPr>
              <w:jc w:val="center"/>
              <w:rPr>
                <w:sz w:val="24"/>
                <w:szCs w:val="24"/>
              </w:rPr>
            </w:pPr>
            <w:r w:rsidRPr="006A5FB3">
              <w:rPr>
                <w:sz w:val="24"/>
                <w:szCs w:val="24"/>
              </w:rPr>
              <w:t>本期费用</w:t>
            </w:r>
          </w:p>
          <w:p w:rsidP="00F94C5F" w:rsidR="00457DBA" w:rsidRDefault="00457DBA" w:rsidRPr="006A5FB3">
            <w:pPr>
              <w:jc w:val="center"/>
              <w:rPr>
                <w:sz w:val="24"/>
                <w:szCs w:val="24"/>
              </w:rPr>
            </w:pPr>
            <w:r>
              <w:rPr>
                <w:rFonts w:eastAsiaTheme="minorEastAsia"/>
              </w:rPr>
              <w:t/>
            </w:r>
            <w:proofErr w:type="spellStart"/>
            <w:r>
              <w:rPr>
                <w:rFonts w:eastAsiaTheme="minorEastAsia"/>
              </w:rPr>
              <w:t/>
            </w:r>
            <w:proofErr w:type="spellEnd"/>
            <w:r>
              <w:rPr>
                <w:rFonts w:eastAsiaTheme="minorEastAsia"/>
              </w:rPr>
              <w:t>2020年4月1日</w:t>
            </w:r>
            <w:r>
              <w:rPr>
                <w:rFonts w:eastAsiaTheme="minorEastAsia" w:hint="eastAsia"/>
              </w:rPr>
              <w:t>至</w:t>
            </w:r>
            <w:r>
              <w:rPr>
                <w:rFonts w:eastAsiaTheme="minorEastAsia"/>
              </w:rPr>
              <w:t/>
            </w:r>
            <w:proofErr w:type="spellStart"/>
            <w:r>
              <w:rPr>
                <w:rFonts w:eastAsiaTheme="minorEastAsia"/>
              </w:rPr>
              <w:t/>
            </w:r>
            <w:proofErr w:type="spellEnd"/>
            <w:r>
              <w:rPr>
                <w:rFonts w:eastAsiaTheme="minorEastAsia"/>
              </w:rPr>
              <w:t>2020年6月30日</w:t>
            </w:r>
          </w:p>
        </w:tc>
        <w:tc>
          <w:tcPr>
            <w:tcW w:type="dxa" w:w="3119"/>
            <w:vAlign w:val="center"/>
          </w:tcPr>
          <w:p w:rsidP="00F94C5F" w:rsidR="006A5FB3" w:rsidRDefault="006A5FB3" w:rsidRPr="006A5FB3">
            <w:pPr>
              <w:jc w:val="center"/>
              <w:rPr>
                <w:sz w:val="24"/>
                <w:szCs w:val="24"/>
              </w:rPr>
            </w:pPr>
            <w:r w:rsidRPr="006A5FB3">
              <w:rPr>
                <w:sz w:val="24"/>
                <w:szCs w:val="24"/>
              </w:rPr>
              <w:t>其中：交易及持有基金管理人以及管理人关联方所管理基金产生的费用</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当期交易基金产生的申购费（元）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当期交易基金产生的赎回费（元）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1,543.14</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237.42</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当期持有基金产生的应支付销售服务费（元）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1,360.17</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313.65</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当期持有基金产生的应支付管理费（元）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25,764.84</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7,883.21</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当期持有基金产生的应支付托管费（元）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5,381.66</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2,045.95</w:t>
            </w:r>
          </w:p>
        </w:tc>
      </w:tr>
      <w:tr>
        <w:tc>
          <w:tcPr>
            <w:vAlign w:val="center"/>
          </w:tcPr>
          <w:p>
            <w:pPr>
              <w:jc w:val="left"/>
            </w:pPr>
            <w:r>
              <w:rPr>
                <w:color w:themeColor="text1" w:val="000000"/>
                <w:sz w:val="24"/>
                <w:szCs w:val="24"/>
              </w:rPr>
              <w:t>当期交易所交易基金产生的交易费（元）</w:t>
            </w:r>
          </w:p>
        </w:tc>
        <w:tc>
          <w:tcPr>
            <w:vAlign w:val="center"/>
          </w:tcPr>
          <w:p>
            <w:pPr>
              <w:jc w:val="right"/>
            </w:pPr>
            <w:r>
              <w:rPr>
                <w:color w:themeColor="text1" w:val="000000"/>
                <w:sz w:val="24"/>
                <w:szCs w:val="24"/>
              </w:rPr>
              <w:t>111.51</w:t>
            </w:r>
          </w:p>
        </w:tc>
        <w:tc>
          <w:tcPr>
            <w:vAlign w:val="center"/>
          </w:tcPr>
          <w:p>
            <w:pPr>
              <w:jc w:val="right"/>
            </w:pPr>
            <w:r>
              <w:rPr>
                <w:color w:themeColor="text1" w:val="000000"/>
                <w:sz w:val="24"/>
                <w:szCs w:val="24"/>
              </w:rPr>
              <w:t>21.51</w:t>
            </w:r>
          </w:p>
        </w:tc>
      </w:tr>
      <w:tr>
        <w:tc>
          <w:tcPr>
            <w:vAlign w:val="center"/>
          </w:tcPr>
          <w:p>
            <w:pPr>
              <w:jc w:val="left"/>
            </w:pPr>
            <w:r>
              <w:rPr>
                <w:color w:themeColor="text1" w:val="000000"/>
                <w:sz w:val="24"/>
                <w:szCs w:val="24"/>
              </w:rPr>
              <w:t>当期交易基金产生的转换费（元）</w:t>
            </w:r>
          </w:p>
        </w:tc>
        <w:tc>
          <w:tcPr>
            <w:vAlign w:val="center"/>
          </w:tcPr>
          <w:p>
            <w:pPr>
              <w:jc w:val="right"/>
            </w:pPr>
            <w:r>
              <w:rPr>
                <w:color w:themeColor="text1" w:val="000000"/>
                <w:sz w:val="24"/>
                <w:szCs w:val="24"/>
              </w:rPr>
              <w:t>650.72</w:t>
            </w:r>
          </w:p>
        </w:tc>
        <w:tc>
          <w:tcPr>
            <w:vAlign w:val="center"/>
          </w:tcPr>
          <w:p>
            <w:pPr>
              <w:jc w:val="right"/>
            </w:pPr>
            <w:r>
              <w:rPr>
                <w:color w:themeColor="text1" w:val="000000"/>
                <w:sz w:val="24"/>
                <w:szCs w:val="24"/>
              </w:rPr>
              <w:t>650.72</w:t>
            </w:r>
          </w:p>
        </w:tc>
      </w:tr>
    </w:tbl>
    <w:p>
      <w:pPr>
        <w:pStyle w:val="11"/>
        <w:spacing w:line="360" w:lineRule="auto"/>
        <w:ind w:firstLine="420"/>
        <w:jc w:val="left"/>
        <w:rPr>
          <w:sz w:val="24"/>
        </w:rPr>
      </w:pPr>
      <w:r>
        <w:rPr>
          <w:sz w:val="24"/>
        </w:rPr>
        <w:t xml:space="preserve">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 </w:t>
      </w:r>
    </w:p>
    <w:p w:rsidP="006A5FB3" w:rsidR="006A5FB3" w:rsidRDefault="006A5FB3" w:rsidRPr="006A5FB3">
      <w:pPr>
        <w:pStyle w:val="11"/>
        <w:spacing w:line="360" w:lineRule="auto"/>
        <w:ind w:firstLine="420"/>
        <w:jc w:val="left"/>
        <w:rPr>
          <w:sz w:val="24"/>
        </w:rPr>
      </w:pPr>
      <w:r w:rsidRPr="006A5FB3">
        <w:rPr>
          <w:sz w:val="24"/>
        </w:rPr>
        <w:t>根据相关法律法规及本基金合同的约定，基金管理人不得对基金中基金财产中持有的自身管理的基金部分收取基金中基金的管理费，基金托管人不得对基金中基金财产中持有的自身托管的基金部分收取基金中基金的托管费。基金管理人运用本基金财产申购自身管理的其他基金的（ETF除外），应当通过直销渠道申购且不收取申购费、赎回费（按照相关法规、基金招募说明书约定应当收取，并计入基金资产的赎回费用除外）、销售服务费等销售费用，其中申购费、赎回费在实际申购、赎回时按上述规定执行，销售服务费由本基金管理人从被投资基金收取后返还至本基金基金资产。</w:t>
      </w:r>
    </w:p>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lastRenderedPageBreak/>
        <w:t/>
      </w:r>
      <w:proofErr w:type="spellStart"/>
      <w:r w:rsidRPr="006A5FB3">
        <w:rPr>
          <w:color w:val="000000"/>
          <w:sz w:val="24"/>
          <w:szCs w:val="24"/>
        </w:rPr>
        <w:t/>
      </w:r>
      <w:proofErr w:type="spellEnd"/>
      <w:r w:rsidRPr="006A5FB3">
        <w:rPr>
          <w:color w:val="000000"/>
          <w:sz w:val="24"/>
          <w:szCs w:val="24"/>
        </w:rPr>
        <w:t xml:space="preserve">6.3 </w:t>
      </w:r>
      <w:r w:rsidRPr="006A5FB3">
        <w:rPr>
          <w:color w:val="000000"/>
          <w:sz w:val="24"/>
          <w:szCs w:val="24"/>
        </w:rPr>
        <w:t>本报告期持有的基金发生的重大影响事件</w:t>
      </w:r>
    </w:p>
    <w:tbl>
      <w:tblPr>
        <w:tblStyle w:val="af7"/>
        <w:tblW w:type="auto" w:w="0"/>
        <w:tblInd w:type="dxa" w:w="108"/>
        <w:tblLook w:firstColumn="1" w:firstRow="1" w:lastColumn="0" w:lastRow="0" w:noHBand="0" w:noVBand="1" w:val="04A0"/>
      </w:tblPr>
      <w:tblGrid>
        <w:gridCol w:w="8420"/>
      </w:tblGrid>
      <w:tr w:rsidR="006A5FB3" w:rsidRPr="006A5FB3" w:rsidTr="00F94C5F">
        <w:tc>
          <w:tcPr>
            <w:tcW w:type="dxa" w:w="8789"/>
            <w:vAlign w:val="center"/>
          </w:tcPr>
          <w:p w:rsidP="00F94C5F" w:rsidR="006A5FB3" w:rsidRDefault="006A5FB3" w:rsidRPr="006A5FB3">
            <w:pPr>
              <w:autoSpaceDE w:val="0"/>
              <w:autoSpaceDN w:val="0"/>
              <w:adjustRightInd w:val="0"/>
              <w:rPr>
                <w:color w:themeColor="text1" w:val="000000"/>
                <w:sz w:val="24"/>
                <w:szCs w:val="24"/>
              </w:rPr>
            </w:pPr>
            <w:r w:rsidRPr="006A5FB3">
              <w:rPr>
                <w:color w:themeColor="text1" w:val="000000"/>
                <w:sz w:val="24"/>
                <w:szCs w:val="24"/>
              </w:rPr>
              <w:t>本基金持有的基金在报告期未发生重大影响事件。</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006D75A5" w:rsidRPr="006A5FB3">
        <w:rPr>
          <w:color w:val="000000"/>
          <w:kern w:val="0"/>
          <w:sz w:val="24"/>
          <w:szCs w:val="24"/>
        </w:rPr>
        <w:t>7</w:t>
      </w:r>
      <w:r w:rsidRPr="00264E55">
        <w:rPr>
          <w:rFonts w:ascii="宋体" w:hAnsi="宋体"/>
          <w:color w:val="000000"/>
          <w:kern w:val="0"/>
          <w:sz w:val="24"/>
          <w:szCs w:val="24"/>
        </w:rPr>
        <w:t xml:space="preserve">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11,505,231.32</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1,119,375.41</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90A8C" w:rsidRPr="00921BFA">
              <w:rPr>
                <w:rFonts w:hint="eastAsia"/>
                <w:color w:val="000000"/>
                <w:kern w:val="0"/>
                <w:sz w:val="24"/>
                <w:szCs w:val="24"/>
              </w:rPr>
              <w:t>（份额减少以“</w:t>
            </w:r>
            <w:r w:rsidR="00990A8C" w:rsidRPr="00921BFA">
              <w:rPr>
                <w:rFonts w:hint="eastAsia"/>
                <w:color w:val="000000"/>
                <w:kern w:val="0"/>
                <w:sz w:val="24"/>
                <w:szCs w:val="24"/>
              </w:rPr>
              <w:t>-</w:t>
            </w:r>
            <w:r w:rsidR="00990A8C"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12,624,606.73</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00160E0A">
        <w:rPr>
          <w:rFonts w:ascii="宋体" w:cs="Arial" w:hAnsi="宋体"/>
          <w:color w:val="000000"/>
          <w:kern w:val="0"/>
          <w:sz w:val="24"/>
          <w:szCs w:val="24"/>
        </w:rPr>
        <w:t/>
      </w:r>
      <w:r>
        <w:rPr>
          <w:rFonts w:ascii="宋体" w:cs="Arial" w:hAnsi="宋体"/>
          <w:color w:val="000000"/>
          <w:kern w:val="0"/>
          <w:sz w:val="24"/>
          <w:szCs w:val="24"/>
        </w:rPr>
        <w:t xml:space="preserve">8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8.1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D94CCE">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10,000,000.00</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10,000,000.00</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79.2104</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8.2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lastRenderedPageBreak/>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79.2104%</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79.2104%</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不少于3年</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r w:rsidRPr="00B227EA">
              <w:rPr>
                <w:kern w:val="0"/>
                <w:sz w:val="24"/>
                <w:szCs w:val="24"/>
              </w:rPr>
              <w:lastRenderedPageBreak/>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proofErr w:type="spellStart"/>
            <w:r w:rsidRPr="00B227EA">
              <w:rPr>
                <w:kern w:val="0"/>
                <w:sz w:val="24"/>
                <w:szCs w:val="24"/>
              </w:rPr>
              <w:t/>
            </w:r>
            <w:r w:rsidRPr="00B227EA">
              <w:rPr>
                <w:kern w:val="0"/>
                <w:sz w:val="24"/>
                <w:szCs w:val="24"/>
              </w:rPr>
              <w:lastRenderedPageBreak/>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79.2104%</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79.2104%</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10</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10.1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10,000,000.00</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10,000,000.00</w:t>
            </w:r>
          </w:p>
        </w:tc>
        <w:tc>
          <w:tcPr>
            <w:vAlign w:val="center"/>
          </w:tcPr>
          <w:p>
            <w:pPr>
              <w:jc w:val="center"/>
            </w:pPr>
            <w:r>
              <w:rPr>
                <w:sz w:val="24"/>
                <w:szCs w:val="24"/>
              </w:rPr>
              <w:t>79.21%</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在满足最短持有期限后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10.2 影响投资者决策的其他重要信息</w:t>
      </w:r>
    </w:p>
    <w:p>
      <w:pPr>
        <w:spacing w:line="360" w:lineRule="auto"/>
        <w:ind w:firstLine="480" w:firstLineChars="200"/>
        <w:rPr>
          <w:color w:val="000000"/>
          <w:sz w:val="24"/>
          <w:szCs w:val="24"/>
        </w:rPr>
      </w:pPr>
      <w:r>
        <w:rPr>
          <w:rFonts w:eastAsiaTheme="minorEastAsia"/>
          <w:color w:themeColor="text1" w:val="000000"/>
          <w:sz w:val="24"/>
          <w:szCs w:val="24"/>
        </w:rPr>
        <w:t>本基金是基金中基金，投资于其他基金的比例不低于本基金资产的80%，被投资基金的净值变化将影响到本基金的业绩表现，被投资基金的相关风险会直接或间接成为本基金的风险。相关风险包括但不限于：</w:t>
      </w:r>
    </w:p>
    <w:p>
      <w:pPr>
        <w:spacing w:line="360" w:lineRule="auto"/>
        <w:ind w:firstLine="480" w:firstLineChars="200"/>
        <w:rPr>
          <w:color w:val="000000"/>
          <w:sz w:val="24"/>
          <w:szCs w:val="24"/>
        </w:rPr>
      </w:pPr>
      <w:r>
        <w:rPr>
          <w:rFonts w:eastAsiaTheme="minorEastAsia"/>
          <w:color w:themeColor="text1" w:val="000000"/>
          <w:sz w:val="24"/>
          <w:szCs w:val="24"/>
        </w:rPr>
        <w:t>（1）被投资基金的业绩风险。本基金投资于其他基金的比例不低于基金资产的80%，因此本基金投资目标的实现建立在被投资基金本身投资目标实现的基础上。如果由于被投资基金未能实现投资目标，则本基金存在达不成投资目标的风险。</w:t>
      </w:r>
    </w:p>
    <w:p>
      <w:pPr>
        <w:spacing w:line="360" w:lineRule="auto"/>
        <w:ind w:firstLine="480" w:firstLineChars="200"/>
        <w:rPr>
          <w:color w:val="000000"/>
          <w:sz w:val="24"/>
          <w:szCs w:val="24"/>
        </w:rPr>
      </w:pPr>
      <w:r>
        <w:rPr>
          <w:rFonts w:eastAsiaTheme="minorEastAsia"/>
          <w:color w:themeColor="text1" w:val="000000"/>
          <w:sz w:val="24"/>
          <w:szCs w:val="24"/>
        </w:rPr>
        <w:t>（2）赎回资金到账时间较晚的风险。基金赎回的资金交收效率慢于基础证券市场交易的证券，因此本基金赎回款实际到达投资者账户的时间可能晚于普通境内开放式基金，存在对投资者资金安排造成影响的风险。</w:t>
      </w:r>
    </w:p>
    <w:p>
      <w:pPr>
        <w:spacing w:line="360" w:lineRule="auto"/>
        <w:ind w:firstLine="480" w:firstLineChars="200"/>
        <w:rPr>
          <w:color w:val="000000"/>
          <w:sz w:val="24"/>
          <w:szCs w:val="24"/>
        </w:rPr>
      </w:pPr>
      <w:r>
        <w:rPr>
          <w:rFonts w:eastAsiaTheme="minorEastAsia"/>
          <w:color w:themeColor="text1" w:val="000000"/>
          <w:sz w:val="24"/>
          <w:szCs w:val="24"/>
        </w:rPr>
        <w:t>（3）双重收费风险。本基金的投资范围包含全市场基金，投资于非本基金管理人管理的其他基金时，存在本基金与被投资基金各类基金费用的双重收取情况，相较于其他基金产品存在额外增加投资者投资成本的风险。</w:t>
      </w:r>
    </w:p>
    <w:p>
      <w:pPr>
        <w:spacing w:line="360" w:lineRule="auto"/>
        <w:ind w:firstLine="480" w:firstLineChars="200"/>
        <w:rPr>
          <w:color w:val="000000"/>
          <w:sz w:val="24"/>
          <w:szCs w:val="24"/>
        </w:rPr>
      </w:pPr>
      <w:r>
        <w:rPr>
          <w:rFonts w:eastAsiaTheme="minorEastAsia"/>
          <w:color w:themeColor="text1" w:val="000000"/>
          <w:sz w:val="24"/>
          <w:szCs w:val="24"/>
        </w:rPr>
        <w:t>（4）投资QDII基金的特有风险。本基金可投资于QDII基金，主要存在如下风险：①QDII基金主要投资境外市场，因此本基金投资QDII基金时，将间接承担境外市场波动以及汇率波动的风险；②按照目前的业务规则，QDII基金的赎回款项将在T+10内进行支付（T为赎回申请日），晚于普通境内基金的支付时间。因此，可能存在QDII基金赎回款到帐时间较晚，本基金无法及时支付投资者赎回款项的风险；③由于投资QDII基金，正常情况下，本基金将于T+2日（T日为开放日）对T日的基金资产净值进行估值，T+3日对投资人申购、赎回申请的有效性进行确认，投资人可于T+4日到销售网点柜台或以销售机构规定的其他方式查询申请的确认情况，这将导致投资者承担更长时间基金净值波动的风险。</w:t>
      </w:r>
    </w:p>
    <w:p>
      <w:pPr>
        <w:spacing w:line="360" w:lineRule="auto"/>
        <w:ind w:firstLine="480" w:firstLineChars="200"/>
        <w:rPr>
          <w:color w:val="000000"/>
          <w:sz w:val="24"/>
          <w:szCs w:val="24"/>
        </w:rPr>
      </w:pPr>
      <w:r>
        <w:rPr>
          <w:rFonts w:eastAsiaTheme="minorEastAsia"/>
          <w:color w:themeColor="text1" w:val="000000"/>
          <w:sz w:val="24"/>
          <w:szCs w:val="24"/>
        </w:rPr>
        <w:t>（5）投资香港互认基金的特有风险。香港互认基金是指依照香港法律在香港设立、运作和公开销售，并经中国证监会批准在内地公开销售的单位信托、互惠基金或者其他形式的集体投资计划，香港互认基金管理人委托内地符合条件的机构作为代理人办理基金在境内的相关业务。本基金可投资于香港互认基金，主要存在如下风险：</w:t>
      </w:r>
    </w:p>
    <w:p>
      <w:pPr>
        <w:spacing w:line="360" w:lineRule="auto"/>
        <w:ind w:firstLine="480" w:firstLineChars="200"/>
        <w:rPr>
          <w:color w:val="000000"/>
          <w:sz w:val="24"/>
          <w:szCs w:val="24"/>
        </w:rPr>
      </w:pPr>
      <w:r>
        <w:rPr>
          <w:rFonts w:eastAsiaTheme="minorEastAsia"/>
          <w:color w:themeColor="text1" w:val="000000"/>
          <w:sz w:val="24"/>
          <w:szCs w:val="24"/>
        </w:rPr>
        <w:t>1）香港互认基金境外投资风险</w:t>
      </w:r>
    </w:p>
    <w:p>
      <w:pPr>
        <w:spacing w:line="360" w:lineRule="auto"/>
        <w:ind w:firstLine="480" w:firstLineChars="200"/>
        <w:rPr>
          <w:color w:val="000000"/>
          <w:sz w:val="24"/>
          <w:szCs w:val="24"/>
        </w:rPr>
      </w:pPr>
      <w:r>
        <w:rPr>
          <w:rFonts w:eastAsiaTheme="minorEastAsia"/>
          <w:color w:themeColor="text1" w:val="000000"/>
          <w:sz w:val="24"/>
          <w:szCs w:val="24"/>
        </w:rPr>
        <w:t>香港互认基金投资标的主要包括内地以外的其他司法管辖区（简称为“境外”）的金融工具，投资香港互认基金面临不同于内地投资标的的投资风险，包括但不限于境外投资的市场风险、政府管制风险、政治风险、法律风险、汇率风险、基金的税务风险、境外特殊标的风险等，从而可能增加本基金的投资风险。</w:t>
      </w:r>
    </w:p>
    <w:p>
      <w:pPr>
        <w:spacing w:line="360" w:lineRule="auto"/>
        <w:ind w:firstLine="480" w:firstLineChars="200"/>
        <w:rPr>
          <w:color w:val="000000"/>
          <w:sz w:val="24"/>
          <w:szCs w:val="24"/>
        </w:rPr>
      </w:pPr>
      <w:r>
        <w:rPr>
          <w:rFonts w:eastAsiaTheme="minorEastAsia"/>
          <w:color w:themeColor="text1" w:val="000000"/>
          <w:sz w:val="24"/>
          <w:szCs w:val="24"/>
        </w:rPr>
        <w:t>①境外投资市场风险</w:t>
      </w:r>
    </w:p>
    <w:p>
      <w:pPr>
        <w:spacing w:line="360" w:lineRule="auto"/>
        <w:ind w:firstLine="480" w:firstLineChars="200"/>
        <w:rPr>
          <w:color w:val="000000"/>
          <w:sz w:val="24"/>
          <w:szCs w:val="24"/>
        </w:rPr>
      </w:pPr>
      <w:r>
        <w:rPr>
          <w:rFonts w:eastAsiaTheme="minorEastAsia"/>
          <w:color w:themeColor="text1" w:val="000000"/>
          <w:sz w:val="24"/>
          <w:szCs w:val="24"/>
        </w:rPr>
        <w:t>境外投资受到所投资市场宏观经济运行情况、货币政策、财政政策、产业政策、税法、汇率、交易规则、结算、托管以及其他运作风险等多种因素的影响，上述因素的波动和变化可能会使香港互认基金资产面临潜在风险。</w:t>
      </w:r>
    </w:p>
    <w:p>
      <w:pPr>
        <w:spacing w:line="360" w:lineRule="auto"/>
        <w:ind w:firstLine="480" w:firstLineChars="200"/>
        <w:rPr>
          <w:color w:val="000000"/>
          <w:sz w:val="24"/>
          <w:szCs w:val="24"/>
        </w:rPr>
      </w:pPr>
      <w:r>
        <w:rPr>
          <w:rFonts w:eastAsiaTheme="minorEastAsia"/>
          <w:color w:themeColor="text1" w:val="000000"/>
          <w:sz w:val="24"/>
          <w:szCs w:val="24"/>
        </w:rPr>
        <w:t>②政府管制风险</w:t>
      </w:r>
    </w:p>
    <w:p>
      <w:pPr>
        <w:spacing w:line="360" w:lineRule="auto"/>
        <w:ind w:firstLine="480" w:firstLineChars="200"/>
        <w:rPr>
          <w:color w:val="000000"/>
          <w:sz w:val="24"/>
          <w:szCs w:val="24"/>
        </w:rPr>
      </w:pPr>
      <w:r>
        <w:rPr>
          <w:rFonts w:eastAsiaTheme="minorEastAsia"/>
          <w:color w:themeColor="text1" w:val="000000"/>
          <w:sz w:val="24"/>
          <w:szCs w:val="24"/>
        </w:rPr>
        <w:t>境外市场与内地市场的管制程度和具体措施不同，当地政府可能通过对财政、货币、产业等方面的政策进行管制，由此导致市场波动而影响香港互认基金收益。</w:t>
      </w:r>
    </w:p>
    <w:p>
      <w:pPr>
        <w:spacing w:line="360" w:lineRule="auto"/>
        <w:ind w:firstLine="480" w:firstLineChars="200"/>
        <w:rPr>
          <w:color w:val="000000"/>
          <w:sz w:val="24"/>
          <w:szCs w:val="24"/>
        </w:rPr>
      </w:pPr>
      <w:r>
        <w:rPr>
          <w:rFonts w:eastAsiaTheme="minorEastAsia"/>
          <w:color w:themeColor="text1" w:val="000000"/>
          <w:sz w:val="24"/>
          <w:szCs w:val="24"/>
        </w:rPr>
        <w:t>③政治风险</w:t>
      </w:r>
    </w:p>
    <w:p>
      <w:pPr>
        <w:spacing w:line="360" w:lineRule="auto"/>
        <w:ind w:firstLine="480" w:firstLineChars="200"/>
        <w:rPr>
          <w:color w:val="000000"/>
          <w:sz w:val="24"/>
          <w:szCs w:val="24"/>
        </w:rPr>
      </w:pPr>
      <w:r>
        <w:rPr>
          <w:rFonts w:eastAsiaTheme="minorEastAsia"/>
          <w:color w:themeColor="text1" w:val="000000"/>
          <w:sz w:val="24"/>
          <w:szCs w:val="24"/>
        </w:rPr>
        <w:t>因政治局势变化（如战争、罢工等）可能导致当地市场出现较大波动，从而给香港互认基金的投资收益造成直接或间接的影响。此外，香港互认基金所投资市场可能会不时采取某些管制措施，如资本或外汇管制、对公司或行业的国有化以及征收高额税收等，从而对香港互认基金收益带来不利影响。</w:t>
      </w:r>
    </w:p>
    <w:p>
      <w:pPr>
        <w:spacing w:line="360" w:lineRule="auto"/>
        <w:ind w:firstLine="480" w:firstLineChars="200"/>
        <w:rPr>
          <w:color w:val="000000"/>
          <w:sz w:val="24"/>
          <w:szCs w:val="24"/>
        </w:rPr>
      </w:pPr>
      <w:r>
        <w:rPr>
          <w:rFonts w:eastAsiaTheme="minorEastAsia"/>
          <w:color w:themeColor="text1" w:val="000000"/>
          <w:sz w:val="24"/>
          <w:szCs w:val="24"/>
        </w:rPr>
        <w:t>④法律风险</w:t>
      </w:r>
    </w:p>
    <w:p>
      <w:pPr>
        <w:spacing w:line="360" w:lineRule="auto"/>
        <w:ind w:firstLine="480" w:firstLineChars="200"/>
        <w:rPr>
          <w:color w:val="000000"/>
          <w:sz w:val="24"/>
          <w:szCs w:val="24"/>
        </w:rPr>
      </w:pPr>
      <w:r>
        <w:rPr>
          <w:rFonts w:eastAsiaTheme="minorEastAsia"/>
          <w:color w:themeColor="text1" w:val="000000"/>
          <w:sz w:val="24"/>
          <w:szCs w:val="24"/>
        </w:rPr>
        <w:t>由于境外市场法律法规的颁布或变更，可能导致香港互认基金的某些投资行为受到限制，从而使得香港互认基金资产面临损失的可能。</w:t>
      </w:r>
    </w:p>
    <w:p>
      <w:pPr>
        <w:spacing w:line="360" w:lineRule="auto"/>
        <w:ind w:firstLine="480" w:firstLineChars="200"/>
        <w:rPr>
          <w:color w:val="000000"/>
          <w:sz w:val="24"/>
          <w:szCs w:val="24"/>
        </w:rPr>
      </w:pPr>
      <w:r>
        <w:rPr>
          <w:rFonts w:eastAsiaTheme="minorEastAsia"/>
          <w:color w:themeColor="text1" w:val="000000"/>
          <w:sz w:val="24"/>
          <w:szCs w:val="24"/>
        </w:rPr>
        <w:t>⑤汇率风险</w:t>
      </w:r>
    </w:p>
    <w:p>
      <w:pPr>
        <w:spacing w:line="360" w:lineRule="auto"/>
        <w:ind w:firstLine="480" w:firstLineChars="200"/>
        <w:rPr>
          <w:color w:val="000000"/>
          <w:sz w:val="24"/>
          <w:szCs w:val="24"/>
        </w:rPr>
      </w:pPr>
      <w:r>
        <w:rPr>
          <w:rFonts w:eastAsiaTheme="minorEastAsia"/>
          <w:color w:themeColor="text1" w:val="000000"/>
          <w:sz w:val="24"/>
          <w:szCs w:val="24"/>
        </w:rPr>
        <w:t>香港互认基金的计价基础货币可能为美元、港币等外币, 因此, 本基金以人民币投资香港互认基金, 可能承受由于人民币兑外币的汇率波动而产生的外汇风险。外币之间的汇率变化以及换汇费用将会影响本基金的投资收益。</w:t>
      </w:r>
    </w:p>
    <w:p>
      <w:pPr>
        <w:spacing w:line="360" w:lineRule="auto"/>
        <w:ind w:firstLine="480" w:firstLineChars="200"/>
        <w:rPr>
          <w:color w:val="000000"/>
          <w:sz w:val="24"/>
          <w:szCs w:val="24"/>
        </w:rPr>
      </w:pPr>
      <w:r>
        <w:rPr>
          <w:rFonts w:eastAsiaTheme="minorEastAsia"/>
          <w:color w:themeColor="text1" w:val="000000"/>
          <w:sz w:val="24"/>
          <w:szCs w:val="24"/>
        </w:rPr>
        <w:t>⑥基金的税务风险</w:t>
      </w:r>
    </w:p>
    <w:p>
      <w:pPr>
        <w:spacing w:line="360" w:lineRule="auto"/>
        <w:ind w:firstLine="480" w:firstLineChars="200"/>
        <w:rPr>
          <w:color w:val="000000"/>
          <w:sz w:val="24"/>
          <w:szCs w:val="24"/>
        </w:rPr>
      </w:pPr>
      <w:r>
        <w:rPr>
          <w:rFonts w:eastAsiaTheme="minorEastAsia"/>
          <w:color w:themeColor="text1" w:val="000000"/>
          <w:sz w:val="24"/>
          <w:szCs w:val="24"/>
        </w:rPr>
        <w:t>由于境外市场在税务方面的法律法规与内地存在一定差异，境外市场可能会要求香港互认基金就股息、利息、资本利得等收益向当地税务机构缴纳税金，该行为会使香港互认基金收益受到一定影响。此外，境外市场的税收规定可能发生变化，或者实施具有追溯力的修订，从而导致本基金在该市场缴纳额外税项，影响香港互认基金收益。</w:t>
      </w:r>
    </w:p>
    <w:p>
      <w:pPr>
        <w:spacing w:line="360" w:lineRule="auto"/>
        <w:ind w:firstLine="480" w:firstLineChars="200"/>
        <w:rPr>
          <w:color w:val="000000"/>
          <w:sz w:val="24"/>
          <w:szCs w:val="24"/>
        </w:rPr>
      </w:pPr>
      <w:r>
        <w:rPr>
          <w:rFonts w:eastAsiaTheme="minorEastAsia"/>
          <w:color w:themeColor="text1" w:val="000000"/>
          <w:sz w:val="24"/>
          <w:szCs w:val="24"/>
        </w:rPr>
        <w:t>⑦境外特殊标的风险</w:t>
      </w:r>
    </w:p>
    <w:p>
      <w:pPr>
        <w:spacing w:line="360" w:lineRule="auto"/>
        <w:ind w:firstLine="480" w:firstLineChars="200"/>
        <w:rPr>
          <w:color w:val="000000"/>
          <w:sz w:val="24"/>
          <w:szCs w:val="24"/>
        </w:rPr>
      </w:pPr>
      <w:r>
        <w:rPr>
          <w:rFonts w:eastAsiaTheme="minorEastAsia"/>
          <w:color w:themeColor="text1" w:val="000000"/>
          <w:sz w:val="24"/>
          <w:szCs w:val="24"/>
        </w:rPr>
        <w:t>不同于内地证券投资基金，香港互认基金的投资标的可能包括低于投资级别或未评级的债券、其他集合投资计划、房地产投资信托基金、商品、期权、股票挂钩票据等衍生工具等。这些不同于内地的特殊投资标的存在特殊风险，可能使得香港互认基金资产面临损失。</w:t>
      </w:r>
    </w:p>
    <w:p>
      <w:pPr>
        <w:spacing w:line="360" w:lineRule="auto"/>
        <w:ind w:firstLine="480" w:firstLineChars="200"/>
        <w:rPr>
          <w:color w:val="000000"/>
          <w:sz w:val="24"/>
          <w:szCs w:val="24"/>
        </w:rPr>
      </w:pPr>
      <w:r>
        <w:rPr>
          <w:rFonts w:eastAsiaTheme="minorEastAsia"/>
          <w:color w:themeColor="text1" w:val="000000"/>
          <w:sz w:val="24"/>
          <w:szCs w:val="24"/>
        </w:rPr>
        <w:t>2）香港基金互认机制相关风险</w:t>
      </w:r>
    </w:p>
    <w:p>
      <w:pPr>
        <w:spacing w:line="360" w:lineRule="auto"/>
        <w:ind w:firstLine="480" w:firstLineChars="200"/>
        <w:rPr>
          <w:color w:val="000000"/>
          <w:sz w:val="24"/>
          <w:szCs w:val="24"/>
        </w:rPr>
      </w:pPr>
      <w:r>
        <w:rPr>
          <w:rFonts w:eastAsiaTheme="minorEastAsia"/>
          <w:color w:themeColor="text1" w:val="000000"/>
          <w:sz w:val="24"/>
          <w:szCs w:val="24"/>
        </w:rPr>
        <w:t>香港互认基金在内地销售需持续满足相关法规及监管要求，如基金在运作过程中不符合互认基金的条件或香港基金互认机制终止，相关香港互认基金可能会暂停或终止在内地销售；此外，香港互认基金在内地销售还可能面临内地代理人、内地销售机构或内地登记结算机构的操作风险、技术风险，跨境数据传输和跨境资金结算的系统风险、税收风险等，从而可能增加本基金的投资风险。</w:t>
      </w:r>
    </w:p>
    <w:p>
      <w:pPr>
        <w:spacing w:line="360" w:lineRule="auto"/>
        <w:ind w:firstLine="480" w:firstLineChars="200"/>
        <w:rPr>
          <w:color w:val="000000"/>
          <w:sz w:val="24"/>
          <w:szCs w:val="24"/>
        </w:rPr>
      </w:pPr>
      <w:r>
        <w:rPr>
          <w:rFonts w:eastAsiaTheme="minorEastAsia"/>
          <w:color w:themeColor="text1" w:val="000000"/>
          <w:sz w:val="24"/>
          <w:szCs w:val="24"/>
        </w:rPr>
        <w:t>①香港互认基金暂停或终止内地销售的风险</w:t>
      </w:r>
    </w:p>
    <w:p>
      <w:pPr>
        <w:spacing w:line="360" w:lineRule="auto"/>
        <w:ind w:firstLine="480" w:firstLineChars="200"/>
        <w:rPr>
          <w:color w:val="000000"/>
          <w:sz w:val="24"/>
          <w:szCs w:val="24"/>
        </w:rPr>
      </w:pPr>
      <w:r>
        <w:rPr>
          <w:rFonts w:eastAsiaTheme="minorEastAsia"/>
          <w:color w:themeColor="text1" w:val="000000"/>
          <w:sz w:val="24"/>
          <w:szCs w:val="24"/>
        </w:rPr>
        <w:t>若基金管理人或互认基金不满足中国证监会规定的香港互认基金条件，或监管部门终止香港基金互认机制，相关的香港互认基金将可能无法继续在内地销售。此外，香港互认基金将受到全面的额度限制。若在内地销售的全部香港互认基金的销售额度达到中国证监会和/或香港证监会和/或国家外汇管理局和/或其他监管机构规定的额度或者不时调整的额度，香港互认基金将暂停接受内地投资者的申购申请。</w:t>
      </w:r>
    </w:p>
    <w:p>
      <w:pPr>
        <w:spacing w:line="360" w:lineRule="auto"/>
        <w:ind w:firstLine="480" w:firstLineChars="200"/>
        <w:rPr>
          <w:color w:val="000000"/>
          <w:sz w:val="24"/>
          <w:szCs w:val="24"/>
        </w:rPr>
      </w:pPr>
      <w:r>
        <w:rPr>
          <w:rFonts w:eastAsiaTheme="minorEastAsia"/>
          <w:color w:themeColor="text1" w:val="000000"/>
          <w:sz w:val="24"/>
          <w:szCs w:val="24"/>
        </w:rPr>
        <w:t>②内地代理人、内地销售机构或内地登记结算机构的操作风险、技术风险</w:t>
      </w:r>
    </w:p>
    <w:p>
      <w:pPr>
        <w:spacing w:line="360" w:lineRule="auto"/>
        <w:ind w:firstLine="480" w:firstLineChars="200"/>
        <w:rPr>
          <w:color w:val="000000"/>
          <w:sz w:val="24"/>
          <w:szCs w:val="24"/>
        </w:rPr>
      </w:pPr>
      <w:r>
        <w:rPr>
          <w:rFonts w:eastAsiaTheme="minorEastAsia"/>
          <w:color w:themeColor="text1" w:val="000000"/>
          <w:sz w:val="24"/>
          <w:szCs w:val="24"/>
        </w:rPr>
        <w:t>内地投资者的申购、赎回由内地销售机构、内地代理人及/或内地登记结算机构与互认基金的基金管理人、行政管理人进行数据清算和资金交收，并由名义持有人代名持有内地投资者的基金份额。内地销售机构、内地代理人或内地登记结算机构在业务各环节操作过程中，因操作失误或违反操作规程等原因可能引致风险，可能因为技术系统的故障或者差错而影响清算交收的正常进行，或者导致投资者的利益受到影响。</w:t>
      </w:r>
    </w:p>
    <w:p>
      <w:pPr>
        <w:spacing w:line="360" w:lineRule="auto"/>
        <w:ind w:firstLine="480" w:firstLineChars="200"/>
        <w:rPr>
          <w:color w:val="000000"/>
          <w:sz w:val="24"/>
          <w:szCs w:val="24"/>
        </w:rPr>
      </w:pPr>
      <w:r>
        <w:rPr>
          <w:rFonts w:eastAsiaTheme="minorEastAsia"/>
          <w:color w:themeColor="text1" w:val="000000"/>
          <w:sz w:val="24"/>
          <w:szCs w:val="24"/>
        </w:rPr>
        <w:t>③跨境数据传输和跨境资金结算的系统风险</w:t>
      </w:r>
    </w:p>
    <w:p>
      <w:pPr>
        <w:spacing w:line="360" w:lineRule="auto"/>
        <w:ind w:firstLine="480" w:firstLineChars="200"/>
        <w:rPr>
          <w:color w:val="000000"/>
          <w:sz w:val="24"/>
          <w:szCs w:val="24"/>
        </w:rPr>
      </w:pPr>
      <w:r>
        <w:rPr>
          <w:rFonts w:eastAsiaTheme="minorEastAsia"/>
          <w:color w:themeColor="text1" w:val="000000"/>
          <w:sz w:val="24"/>
          <w:szCs w:val="24"/>
        </w:rPr>
        <w:t>申购、赎回香港互认基金的数据清算和资金交收将通过内地登记结算机构的基金登记结算系统平台和基金管理人或行政管理人采用的登记结算系统平台进行传输和交换，可能会发生并非由相关参与主体的过错而导致的技术系统故障或者差错而影响清算交收的正常进行。</w:t>
      </w:r>
    </w:p>
    <w:p>
      <w:pPr>
        <w:spacing w:line="360" w:lineRule="auto"/>
        <w:ind w:firstLine="480" w:firstLineChars="200"/>
        <w:rPr>
          <w:color w:val="000000"/>
          <w:sz w:val="24"/>
          <w:szCs w:val="24"/>
        </w:rPr>
      </w:pPr>
      <w:r>
        <w:rPr>
          <w:rFonts w:eastAsiaTheme="minorEastAsia"/>
          <w:color w:themeColor="text1" w:val="000000"/>
          <w:sz w:val="24"/>
          <w:szCs w:val="24"/>
        </w:rPr>
        <w:t>④税收风险</w:t>
      </w:r>
    </w:p>
    <w:p>
      <w:pPr>
        <w:spacing w:line="360" w:lineRule="auto"/>
        <w:ind w:firstLine="480" w:firstLineChars="200"/>
        <w:rPr>
          <w:color w:val="000000"/>
          <w:sz w:val="24"/>
          <w:szCs w:val="24"/>
        </w:rPr>
      </w:pPr>
      <w:r>
        <w:rPr>
          <w:rFonts w:eastAsiaTheme="minorEastAsia"/>
          <w:color w:themeColor="text1" w:val="000000"/>
          <w:sz w:val="24"/>
          <w:szCs w:val="24"/>
        </w:rPr>
        <w:t>由于中国内地与香港的税收政策存在差异，可能导致在内地销售的香港互认基金份额的资产回报有别于在香港销售的份额。同时，中国内地关于在内地销售的香港互认基金与内地普通证券投资基金之间在税收政策上也存在差异，例如香港互认基金份额转让需支付香港印花税以及份额转让定额税项，内地个人投资者从香港互认基金分配获得的收益需缴纳个人所得税等，以上税收差异可能使内地销售的互认基金份额的投资收益和回报受到影响。</w:t>
      </w:r>
    </w:p>
    <w:p>
      <w:pPr>
        <w:spacing w:line="360" w:lineRule="auto"/>
        <w:ind w:firstLine="480" w:firstLineChars="200"/>
        <w:rPr>
          <w:color w:val="000000"/>
          <w:sz w:val="24"/>
          <w:szCs w:val="24"/>
        </w:rPr>
      </w:pPr>
      <w:r>
        <w:rPr>
          <w:rFonts w:eastAsiaTheme="minorEastAsia"/>
          <w:color w:themeColor="text1" w:val="000000"/>
          <w:sz w:val="24"/>
          <w:szCs w:val="24"/>
        </w:rPr>
        <w:t>⑤名义持有人机制风险</w:t>
      </w:r>
    </w:p>
    <w:p>
      <w:pPr>
        <w:spacing w:line="360" w:lineRule="auto"/>
        <w:ind w:firstLine="480" w:firstLineChars="200"/>
        <w:rPr>
          <w:color w:val="000000"/>
          <w:sz w:val="24"/>
          <w:szCs w:val="24"/>
        </w:rPr>
      </w:pPr>
      <w:r>
        <w:rPr>
          <w:rFonts w:eastAsiaTheme="minorEastAsia"/>
          <w:color w:themeColor="text1" w:val="000000"/>
          <w:sz w:val="24"/>
          <w:szCs w:val="24"/>
        </w:rPr>
        <w:t>与内地基金的注册登记规则不同，内地投资者持有的互认基金份额将由名义持有人代名持有并以名义持有人的名义登记为份额持有人。内地投资者并不会被基金注册登记机构直接登记于份额持有人登记册上。虽然在此安排下内地投资者仍是互认基金份额的实益拥有人，但名义持有人是该等基金份额法律上的拥有人。在此情况下，内地投资者与互认基金管理人、受托人并无任何直接合约关系。内地投资者对互认基金管理人及／或受托人若有任何权利主张，可通过名义持有人向互认基金管理人及／或受托人提出，相应费用由内地投资者自行承担。</w:t>
      </w:r>
    </w:p>
    <w:p>
      <w:pPr>
        <w:spacing w:line="360" w:lineRule="auto"/>
        <w:ind w:firstLine="480" w:firstLineChars="200"/>
        <w:rPr>
          <w:color w:val="000000"/>
          <w:sz w:val="24"/>
          <w:szCs w:val="24"/>
        </w:rPr>
      </w:pPr>
      <w:r>
        <w:rPr>
          <w:rFonts w:eastAsiaTheme="minorEastAsia"/>
          <w:color w:themeColor="text1" w:val="000000"/>
          <w:sz w:val="24"/>
          <w:szCs w:val="24"/>
        </w:rPr>
        <w:t>⑥强制赎回风险</w:t>
      </w:r>
    </w:p>
    <w:p>
      <w:pPr>
        <w:spacing w:line="360" w:lineRule="auto"/>
        <w:ind w:firstLine="480" w:firstLineChars="200"/>
        <w:rPr>
          <w:color w:val="000000"/>
          <w:sz w:val="24"/>
          <w:szCs w:val="24"/>
        </w:rPr>
      </w:pPr>
      <w:r>
        <w:rPr>
          <w:rFonts w:eastAsiaTheme="minorEastAsia"/>
          <w:color w:themeColor="text1" w:val="000000"/>
          <w:sz w:val="24"/>
          <w:szCs w:val="24"/>
        </w:rPr>
        <w:t>对于内地销售的互认基金份额而言，若赎回部分基金份额将导致赎回后其持有的相应类别的基金份额的价值少于互认基金规定的最低持有额，互认基金管理人有权要求剩余的基金份额一并被全部赎回。除此之外，若互认基金管理人认为基金投资者继续持有互认基金份额存在违反任何法律法规、基金合同约定或其他互认基金要求（如可能对互认基金或其他基金份额持有人产生不利的监管、税务或财政后果）的情况下，互认基金管理人可以强制赎回基金投资者持有的互认基金份额。</w:t>
      </w:r>
    </w:p>
    <w:p>
      <w:pPr>
        <w:spacing w:line="360" w:lineRule="auto"/>
        <w:ind w:firstLine="480" w:firstLineChars="200"/>
        <w:rPr>
          <w:color w:val="000000"/>
          <w:sz w:val="24"/>
          <w:szCs w:val="24"/>
        </w:rPr>
      </w:pPr>
      <w:r>
        <w:rPr>
          <w:rFonts w:eastAsiaTheme="minorEastAsia"/>
          <w:color w:themeColor="text1" w:val="000000"/>
          <w:sz w:val="24"/>
          <w:szCs w:val="24"/>
        </w:rPr>
        <w:t>⑦基金份额净值计算和差错处理差异的风险</w:t>
      </w:r>
    </w:p>
    <w:p>
      <w:pPr>
        <w:spacing w:line="360" w:lineRule="auto"/>
        <w:ind w:firstLine="480" w:firstLineChars="200"/>
        <w:rPr>
          <w:color w:val="000000"/>
          <w:sz w:val="24"/>
          <w:szCs w:val="24"/>
        </w:rPr>
      </w:pPr>
      <w:r>
        <w:rPr>
          <w:rFonts w:eastAsiaTheme="minorEastAsia"/>
          <w:color w:themeColor="text1" w:val="000000"/>
          <w:sz w:val="24"/>
          <w:szCs w:val="24"/>
        </w:rPr>
        <w:t>香港互认基金与内地公募基金根据适用的法规以及各自基金合同约定，其在基金份额净值计算、估值错误处理规则等方面存在差异，相应的过错责任方按基金合同约定承担赔偿责任的处理也会有所不同，由此可能增加本基金的相关投资风险。</w:t>
      </w:r>
    </w:p>
    <w:p>
      <w:pPr>
        <w:spacing w:line="360" w:lineRule="auto"/>
        <w:ind w:firstLine="480" w:firstLineChars="200"/>
        <w:rPr>
          <w:color w:val="000000"/>
          <w:sz w:val="24"/>
          <w:szCs w:val="24"/>
        </w:rPr>
      </w:pPr>
      <w:r>
        <w:rPr>
          <w:rFonts w:eastAsiaTheme="minorEastAsia"/>
          <w:color w:themeColor="text1" w:val="000000"/>
          <w:sz w:val="24"/>
          <w:szCs w:val="24"/>
        </w:rPr>
        <w:t>（6）可上市交易基金的二级市场投资风险。本基金可通过二级市场进行ETF、LOF、封闭式基金的买卖交易，由此可能面临交易量不足所引起的流动性风险、交易价格与基金份额净值之间的折溢价风险以及被投资基金暂停交易或退市的风险等。</w:t>
      </w:r>
    </w:p>
    <w:p>
      <w:pPr>
        <w:spacing w:line="360" w:lineRule="auto"/>
        <w:ind w:firstLine="480" w:firstLineChars="200"/>
        <w:rPr>
          <w:color w:val="000000"/>
          <w:sz w:val="24"/>
          <w:szCs w:val="24"/>
        </w:rPr>
      </w:pPr>
      <w:r>
        <w:rPr>
          <w:rFonts w:eastAsiaTheme="minorEastAsia"/>
          <w:color w:themeColor="text1" w:val="000000"/>
          <w:sz w:val="24"/>
          <w:szCs w:val="24"/>
        </w:rPr>
        <w:t>（7）被投资基金的运作风险。具体包括基金投资风格漂移风险、基金经理变更风险、基金实际运作风险以及基金产品设计开发创新风险等。此外，封闭式基金到期转开放、基金清算、基金合并等事件也会带来风险。虽然本基金管理人将会从基金风格、投资能力、管理团队、实际运作情况等多方面精选基金投资品种，但无法完全规避基金运作风险。</w:t>
      </w:r>
    </w:p>
    <w:p>
      <w:pPr>
        <w:spacing w:line="360" w:lineRule="auto"/>
        <w:ind w:firstLine="480" w:firstLineChars="200"/>
        <w:rPr>
          <w:color w:val="000000"/>
          <w:sz w:val="24"/>
          <w:szCs w:val="24"/>
        </w:rPr>
      </w:pPr>
      <w:r>
        <w:rPr>
          <w:rFonts w:eastAsiaTheme="minorEastAsia"/>
          <w:color w:themeColor="text1" w:val="000000"/>
          <w:sz w:val="24"/>
          <w:szCs w:val="24"/>
        </w:rPr>
        <w:t>（8）被投资基金的基金管理人经营风险。基金的投资业绩会受到基金管理人的经营状况的影响。如基金管理人面临的管理能力、财务状况、市场前景、行业竞争、人员素质等因素的变化均会导致基金投资业绩的波动。虽然本基金可以通过投资多样化分散这种非系统风险，但不能完全规避。特别地，在本基金投资策略的实施过程中，可将基金资产部分或全部投资于本基金管理人管理的其他基金，在这种情况下，本基金将无法通过投资多样化来分散这种非系统性风险。</w:t>
      </w:r>
    </w:p>
    <w:p w:rsidP="001F5F5D" w:rsidR="00750D48" w:rsidRDefault="001F5F5D" w:rsidRPr="004B7A92">
      <w:pPr>
        <w:spacing w:line="360" w:lineRule="auto"/>
        <w:ind w:firstLine="480" w:firstLineChars="200"/>
        <w:rPr>
          <w:color w:val="000000"/>
          <w:sz w:val="24"/>
          <w:szCs w:val="24"/>
        </w:rPr>
      </w:pPr>
      <w:r w:rsidRPr="00FC0759">
        <w:rPr>
          <w:rFonts w:eastAsiaTheme="minorEastAsia"/>
          <w:color w:themeColor="text1" w:val="000000"/>
          <w:sz w:val="24"/>
          <w:szCs w:val="24"/>
        </w:rPr>
        <w:t/>
      </w:r>
      <w:proofErr w:type="spellStart"/>
      <w:r w:rsidRPr="00FC0759">
        <w:rPr>
          <w:color w:themeColor="text1" w:val="000000"/>
          <w:sz w:val="24"/>
          <w:szCs w:val="24"/>
        </w:rPr>
        <w:t/>
      </w:r>
      <w:proofErr w:type="spellEnd"/>
      <w:r w:rsidRPr="00FC0759">
        <w:rPr>
          <w:rFonts w:eastAsiaTheme="minorEastAsia"/>
          <w:color w:themeColor="text1" w:val="000000"/>
          <w:sz w:val="24"/>
          <w:szCs w:val="24"/>
        </w:rPr>
        <w:t>（9）被投资基金的相关政策风险。本基金主要投资于各类其他基金，如遇国家金融政策发生重大调整，导致被投资基金的基金管理人、基金投资操作、基金运作方式发生较大变化，可能影响本基金的收益水平。</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11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11.1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1.中国证监会关于准予易方达汇诚养老目标日期2033三年持有期混合型基金中基金（FOF）变更注册的批复；</w:t>
      </w:r>
    </w:p>
    <w:p>
      <w:pPr>
        <w:spacing w:line="360" w:lineRule="auto"/>
        <w:ind w:firstLine="480" w:firstLineChars="200"/>
        <w:rPr>
          <w:color w:val="000000"/>
          <w:sz w:val="24"/>
          <w:szCs w:val="24"/>
        </w:rPr>
      </w:pPr>
      <w:r>
        <w:rPr>
          <w:color w:val="000000"/>
          <w:sz w:val="24"/>
          <w:szCs w:val="24"/>
        </w:rPr>
        <w:t>2.《易方达汇诚养老目标日期2033三年持有期混合型发起式基金中基金（FOF）基金合同》；</w:t>
      </w:r>
    </w:p>
    <w:p>
      <w:pPr>
        <w:spacing w:line="360" w:lineRule="auto"/>
        <w:ind w:firstLine="480" w:firstLineChars="200"/>
        <w:rPr>
          <w:color w:val="000000"/>
          <w:sz w:val="24"/>
          <w:szCs w:val="24"/>
        </w:rPr>
      </w:pPr>
      <w:r>
        <w:rPr>
          <w:color w:val="000000"/>
          <w:sz w:val="24"/>
          <w:szCs w:val="24"/>
        </w:rPr>
        <w:t>3.《易方达汇诚养老目标日期2033三年持有期混合型发起式基金中基金（FOF）托管协议》；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11.2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11.3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2E2237" w:rsidR="00750D48" w:rsidRDefault="00750D48" w:rsidRPr="002E223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2E223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C6A" w:rsidRDefault="00995C6A" w:rsidP="00876D65">
      <w:r>
        <w:separator/>
      </w:r>
    </w:p>
  </w:endnote>
  <w:endnote w:type="continuationSeparator" w:id="0">
    <w:p w:rsidR="00995C6A" w:rsidRDefault="00995C6A"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D7102E">
      <w:rPr>
        <w:rStyle w:val="a7"/>
        <w:noProof/>
      </w:rPr>
      <w:t>1</w:t>
    </w:r>
    <w:r>
      <w:rPr>
        <w:rStyle w:val="a7"/>
      </w:rPr>
      <w:fldChar w:fldCharType="end"/>
    </w:r>
    <w:proofErr w:type="gramStart"/>
    <w:r>
      <w:rPr>
        <w:rStyle w:val="a7"/>
        <w:rFonts w:hint="eastAsia"/>
      </w:rPr>
      <w:t>页共</w:t>
    </w:r>
    <w:proofErr w:type="gramEnd"/>
    <w:r w:rsidR="00DC573D">
      <w:fldChar w:fldCharType="begin"/>
    </w:r>
    <w:r w:rsidR="00DC573D">
      <w:instrText xml:space="preserve"> NUMPAGES  \* Arabic  \* MERGEFORMAT </w:instrText>
    </w:r>
    <w:r w:rsidR="00DC573D">
      <w:fldChar w:fldCharType="separate"/>
    </w:r>
    <w:r w:rsidR="00D7102E" w:rsidRPr="00D7102E">
      <w:rPr>
        <w:rStyle w:val="a7"/>
        <w:noProof/>
      </w:rPr>
      <w:t>29</w:t>
    </w:r>
    <w:r w:rsidR="00DC573D">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D7102E">
      <w:rPr>
        <w:rStyle w:val="a7"/>
        <w:noProof/>
      </w:rPr>
      <w:t>19</w:t>
    </w:r>
    <w:r>
      <w:rPr>
        <w:rStyle w:val="a7"/>
      </w:rPr>
      <w:fldChar w:fldCharType="end"/>
    </w:r>
    <w:proofErr w:type="gramStart"/>
    <w:r>
      <w:rPr>
        <w:rStyle w:val="a7"/>
        <w:rFonts w:hint="eastAsia"/>
      </w:rPr>
      <w:t>页共</w:t>
    </w:r>
    <w:proofErr w:type="gramEnd"/>
    <w:r w:rsidR="00995C6A">
      <w:fldChar w:fldCharType="begin"/>
    </w:r>
    <w:r w:rsidR="00995C6A">
      <w:instrText xml:space="preserve"> NUMPAGES  \* Arabic  \* MERGEFORMAT </w:instrText>
    </w:r>
    <w:r w:rsidR="00995C6A">
      <w:fldChar w:fldCharType="separate"/>
    </w:r>
    <w:r w:rsidR="00D7102E" w:rsidRPr="00D7102E">
      <w:rPr>
        <w:rStyle w:val="a7"/>
        <w:noProof/>
      </w:rPr>
      <w:t>29</w:t>
    </w:r>
    <w:r w:rsidR="00995C6A">
      <w:rPr>
        <w:rStyle w:val="a7"/>
        <w:noProof/>
      </w:rPr>
      <w:fldChar w:fldCharType="end"/>
    </w:r>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995C6A" w:rsidRDefault="00995C6A">
      <w:r>
        <w:separator/>
      </w:r>
    </w:p>
  </w:footnote>
  <w:footnote w:id="0" w:type="continuationSeparator">
    <w:p w:rsidP="00876D65" w:rsidR="00995C6A" w:rsidRDefault="00995C6A">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易方达汇诚养老目标日期2033三年持有期混合型发起式基金中基金（FOF）</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31EBB"/>
    <w:rsid w:val="00033B8D"/>
    <w:rsid w:val="00033E3E"/>
    <w:rsid w:val="00043852"/>
    <w:rsid w:val="000450DD"/>
    <w:rsid w:val="000463DE"/>
    <w:rsid w:val="000553BD"/>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0A"/>
    <w:rsid w:val="00160EDC"/>
    <w:rsid w:val="0016180A"/>
    <w:rsid w:val="001675CD"/>
    <w:rsid w:val="00170435"/>
    <w:rsid w:val="00171EF0"/>
    <w:rsid w:val="001761D2"/>
    <w:rsid w:val="001830D7"/>
    <w:rsid w:val="00185A34"/>
    <w:rsid w:val="001878B0"/>
    <w:rsid w:val="0019049E"/>
    <w:rsid w:val="00191BDE"/>
    <w:rsid w:val="00196E6C"/>
    <w:rsid w:val="001A73E8"/>
    <w:rsid w:val="001B0A62"/>
    <w:rsid w:val="001B2F35"/>
    <w:rsid w:val="001B3C1C"/>
    <w:rsid w:val="001B5ECC"/>
    <w:rsid w:val="001B6E7E"/>
    <w:rsid w:val="001C0993"/>
    <w:rsid w:val="001C5F9B"/>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80C9F"/>
    <w:rsid w:val="00286BEF"/>
    <w:rsid w:val="00286FA2"/>
    <w:rsid w:val="002918E3"/>
    <w:rsid w:val="002973A9"/>
    <w:rsid w:val="002B1D1A"/>
    <w:rsid w:val="002C28F2"/>
    <w:rsid w:val="002C5960"/>
    <w:rsid w:val="002D6FB6"/>
    <w:rsid w:val="002E2237"/>
    <w:rsid w:val="002E2255"/>
    <w:rsid w:val="002E3B09"/>
    <w:rsid w:val="002E52B3"/>
    <w:rsid w:val="002F2D46"/>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4069"/>
    <w:rsid w:val="003A6061"/>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57DBA"/>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420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5FB3"/>
    <w:rsid w:val="006A67F8"/>
    <w:rsid w:val="006A7AF1"/>
    <w:rsid w:val="006B11BB"/>
    <w:rsid w:val="006B4C11"/>
    <w:rsid w:val="006C12B8"/>
    <w:rsid w:val="006C37FC"/>
    <w:rsid w:val="006C56AA"/>
    <w:rsid w:val="006C7EA3"/>
    <w:rsid w:val="006D07F3"/>
    <w:rsid w:val="006D39E9"/>
    <w:rsid w:val="006D3BE3"/>
    <w:rsid w:val="006D7004"/>
    <w:rsid w:val="006D75A5"/>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0AD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61AF"/>
    <w:rsid w:val="00921AC7"/>
    <w:rsid w:val="00922880"/>
    <w:rsid w:val="00924582"/>
    <w:rsid w:val="00931291"/>
    <w:rsid w:val="00932DC0"/>
    <w:rsid w:val="0093367D"/>
    <w:rsid w:val="009431FA"/>
    <w:rsid w:val="00945AF6"/>
    <w:rsid w:val="00951C43"/>
    <w:rsid w:val="0095204B"/>
    <w:rsid w:val="0095280A"/>
    <w:rsid w:val="00954A4B"/>
    <w:rsid w:val="009550BE"/>
    <w:rsid w:val="00955531"/>
    <w:rsid w:val="00955BE8"/>
    <w:rsid w:val="00957594"/>
    <w:rsid w:val="00963F40"/>
    <w:rsid w:val="00965CFB"/>
    <w:rsid w:val="0098122D"/>
    <w:rsid w:val="00986596"/>
    <w:rsid w:val="00990685"/>
    <w:rsid w:val="00990A8C"/>
    <w:rsid w:val="00991411"/>
    <w:rsid w:val="00992238"/>
    <w:rsid w:val="00995C6A"/>
    <w:rsid w:val="009A0ABE"/>
    <w:rsid w:val="009B2D4B"/>
    <w:rsid w:val="009B3243"/>
    <w:rsid w:val="009C4E99"/>
    <w:rsid w:val="009C5186"/>
    <w:rsid w:val="009C60F7"/>
    <w:rsid w:val="009D0952"/>
    <w:rsid w:val="009D54EA"/>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42"/>
    <w:rsid w:val="00A727C1"/>
    <w:rsid w:val="00A76625"/>
    <w:rsid w:val="00A82CBA"/>
    <w:rsid w:val="00A83500"/>
    <w:rsid w:val="00A90049"/>
    <w:rsid w:val="00A917BF"/>
    <w:rsid w:val="00A96A94"/>
    <w:rsid w:val="00AA257D"/>
    <w:rsid w:val="00AA3A38"/>
    <w:rsid w:val="00AA4F94"/>
    <w:rsid w:val="00AB047E"/>
    <w:rsid w:val="00AB0D05"/>
    <w:rsid w:val="00AB519D"/>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F4727"/>
    <w:rsid w:val="00C11A5E"/>
    <w:rsid w:val="00C21520"/>
    <w:rsid w:val="00C222B2"/>
    <w:rsid w:val="00C225FB"/>
    <w:rsid w:val="00C26ADA"/>
    <w:rsid w:val="00C370E0"/>
    <w:rsid w:val="00C41870"/>
    <w:rsid w:val="00C46B88"/>
    <w:rsid w:val="00C5218C"/>
    <w:rsid w:val="00C52191"/>
    <w:rsid w:val="00C5642F"/>
    <w:rsid w:val="00C57A3E"/>
    <w:rsid w:val="00C63554"/>
    <w:rsid w:val="00C71497"/>
    <w:rsid w:val="00C72F5B"/>
    <w:rsid w:val="00C73BCD"/>
    <w:rsid w:val="00C77AEF"/>
    <w:rsid w:val="00C77E37"/>
    <w:rsid w:val="00C86EB7"/>
    <w:rsid w:val="00C87129"/>
    <w:rsid w:val="00C91E1B"/>
    <w:rsid w:val="00CA2BD3"/>
    <w:rsid w:val="00CA4677"/>
    <w:rsid w:val="00CA5FD5"/>
    <w:rsid w:val="00CA7703"/>
    <w:rsid w:val="00CB0F92"/>
    <w:rsid w:val="00CB1953"/>
    <w:rsid w:val="00CD4E6D"/>
    <w:rsid w:val="00CD5707"/>
    <w:rsid w:val="00CD7702"/>
    <w:rsid w:val="00CD7FC9"/>
    <w:rsid w:val="00CE075A"/>
    <w:rsid w:val="00CE29EA"/>
    <w:rsid w:val="00CF47EB"/>
    <w:rsid w:val="00CF6572"/>
    <w:rsid w:val="00CF7885"/>
    <w:rsid w:val="00D02347"/>
    <w:rsid w:val="00D04755"/>
    <w:rsid w:val="00D1193B"/>
    <w:rsid w:val="00D13737"/>
    <w:rsid w:val="00D15D27"/>
    <w:rsid w:val="00D1638E"/>
    <w:rsid w:val="00D21D10"/>
    <w:rsid w:val="00D21FFF"/>
    <w:rsid w:val="00D272A5"/>
    <w:rsid w:val="00D43AFB"/>
    <w:rsid w:val="00D564C7"/>
    <w:rsid w:val="00D57B7C"/>
    <w:rsid w:val="00D62BEE"/>
    <w:rsid w:val="00D65B44"/>
    <w:rsid w:val="00D7102E"/>
    <w:rsid w:val="00D8099B"/>
    <w:rsid w:val="00D866A8"/>
    <w:rsid w:val="00D87469"/>
    <w:rsid w:val="00D90B03"/>
    <w:rsid w:val="00D92F47"/>
    <w:rsid w:val="00D94B8D"/>
    <w:rsid w:val="00D94CCE"/>
    <w:rsid w:val="00D96C8D"/>
    <w:rsid w:val="00DA2876"/>
    <w:rsid w:val="00DA718D"/>
    <w:rsid w:val="00DB0A8D"/>
    <w:rsid w:val="00DB348F"/>
    <w:rsid w:val="00DC0B51"/>
    <w:rsid w:val="00DC573D"/>
    <w:rsid w:val="00DE27F7"/>
    <w:rsid w:val="00E06069"/>
    <w:rsid w:val="00E115C0"/>
    <w:rsid w:val="00E44E18"/>
    <w:rsid w:val="00E54301"/>
    <w:rsid w:val="00E5483F"/>
    <w:rsid w:val="00E55ABD"/>
    <w:rsid w:val="00E60817"/>
    <w:rsid w:val="00E6412C"/>
    <w:rsid w:val="00E645C0"/>
    <w:rsid w:val="00E73286"/>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 w:customStyle="1" w:styleId="2CharCharChar" w:type="character">
    <w:name w:val="标题 2 Char Char Char"/>
    <w:rsid w:val="006A5FB3"/>
    <w:rPr>
      <w:rFonts w:ascii="Arial" w:eastAsia="宋体" w:hAnsi="Arial"/>
      <w:b/>
      <w:kern w:val="2"/>
      <w:sz w:val="28"/>
      <w:szCs w:val="28"/>
      <w:lang w:bidi="ar-SA" w:eastAsia="zh-CN" w:val="en-US"/>
    </w:rPr>
  </w:style>
  <w:style w:customStyle="1" w:styleId="11" w:type="paragraph">
    <w:name w:val="正文_1"/>
    <w:qFormat/>
    <w:rsid w:val="006A5FB3"/>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953">
      <w:bodyDiv w:val="1"/>
      <w:marLeft w:val="0"/>
      <w:marRight w:val="0"/>
      <w:marTop w:val="0"/>
      <w:marBottom w:val="0"/>
      <w:divBdr>
        <w:top w:val="none" w:sz="0" w:space="0" w:color="auto"/>
        <w:left w:val="none" w:sz="0" w:space="0" w:color="auto"/>
        <w:bottom w:val="none" w:sz="0" w:space="0" w:color="auto"/>
        <w:right w:val="none" w:sz="0" w:space="0" w:color="auto"/>
      </w:divBdr>
    </w:div>
    <w:div w:id="1068840387">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76311-EF79-45CE-A9F5-00A9DBDF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1779</TotalTime>
  <Pages>29</Pages>
  <Words>4229</Words>
  <Characters>24106</Characters>
  <Application>Microsoft Office Word</Application>
  <DocSecurity>0</DocSecurity>
  <Lines>200</Lines>
  <Paragraphs>56</Paragraphs>
  <ScaleCrop>false</ScaleCrop>
  <Company/>
  <LinksUpToDate>false</LinksUpToDate>
  <CharactersWithSpaces>28279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2020-07-09T02:56:00Z</dcterms:modified>
  <cp:revision>342</cp:revision>
</cp:coreProperties>
</file>