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易方达MSCI中国A股国际通交易型开放式指数证券投资基金发起式联接基金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易方达MSCI中国A股国际通ETF联接发起式</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006704</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2019年3月13日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73,423,331.65</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紧密跟踪业绩比较基准，追求跟踪偏离度和跟踪误差的最小化。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 xml:space="preserve">本基金为易方达MSCI中国A股国际通ETF 的联接基金，主要通过投资于易方达MSCI中国A股国际通ETF 实现对业绩比较基准的紧密跟踪，力争将日均跟踪偏离度控制在0.35%以内，年化跟踪误差控制在4%以内。 </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 xml:space="preserve">MSCI中国A股国际通指数（MSCI China A Inclusion RMB Index）收益率×95%+活期存款利率（税后）×5% </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ETF联接基金，预期风险与预期收益水平高于混合型基金、债券型基金与货币市场基金。本基金主要通过投资于易方达MSCI中国A股国际通ETF实现对业绩比较基准的紧密跟踪。因此，本基金的业绩表现与MSCI中国A股国际通指数的表现密切相关。</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易方达MSCI中国A股国际通ETF联接发起式A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易方达MSCI中国A股国际通ETF联接发起式C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006704</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006705</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35,272,115.72</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38,151,215.93</w:t>
            </w:r>
            <w:r w:rsidR="00D305C9" w:rsidRPr="00B34368">
              <w:rPr>
                <w:rFonts w:eastAsiaTheme="minorEastAsia" w:hAnsiTheme="minorEastAsia"/>
                <w:color w:themeColor="text1" w:val="000000"/>
                <w:kern w:val="0"/>
                <w:sz w:val="24"/>
              </w:rPr>
              <w:t>份</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易方达MSCI中国A股国际通交易型开放式指数证券投资基金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512090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2018年5月17日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2018年6月1日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 </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MSCI中国A股国际通指数（MSCI China A Inclusion RMB Index）收益率 </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xml:space="preserve">本基金为股票型基金，预期风险与预期收益水平高于混合型基金、债券型基金与货币市场基金。本基金为指数型基金，主要采用完全复制法跟踪标的指数的表现，具有与标的指数相似的风险收益特征。 </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易方达MSCI中国A股国际通ETF联接发起式A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易方达MSCI中国A股国际通ETF联接发起式C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648,042.12</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733,942.08</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6,139,393.56</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7,284,295.44</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0.1687</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0.1662</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42,110,344.27</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45,383,601.18</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1.1939</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1.1896</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 xml:space="preserve">2.本期已实现收益指基金本期利息收入、投资收益、其他收入(不含公允价值变动收益)扣除相关费用后的余额，本期利润为本期已实现收益加上本期公允价值变动收益。 </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易方达MSCI中国A股国际通ETF联接发起式A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16.50%</w:t>
            </w:r>
          </w:p>
        </w:tc>
        <w:tc>
          <w:tcPr>
            <w:vAlign w:val="center"/>
          </w:tcPr>
          <w:p>
            <w:pPr>
              <w:jc w:val="right"/>
            </w:pPr>
            <w:r>
              <w:rPr>
                <w:rFonts w:eastAsiaTheme="minorEastAsia"/>
                <w:color w:themeColor="text1" w:val="000000"/>
                <w:sz w:val="24"/>
              </w:rPr>
              <w:t>0.89%</w:t>
            </w:r>
          </w:p>
        </w:tc>
        <w:tc>
          <w:tcPr>
            <w:vAlign w:val="center"/>
          </w:tcPr>
          <w:p>
            <w:pPr>
              <w:jc w:val="right"/>
            </w:pPr>
            <w:r>
              <w:rPr>
                <w:rFonts w:eastAsiaTheme="minorEastAsia"/>
                <w:color w:themeColor="text1" w:val="000000"/>
                <w:sz w:val="24"/>
              </w:rPr>
              <w:t>13.74%</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2.76%</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9.78%</w:t>
            </w:r>
          </w:p>
        </w:tc>
        <w:tc>
          <w:tcPr>
            <w:vAlign w:val="center"/>
          </w:tcPr>
          <w:p>
            <w:pPr>
              <w:jc w:val="right"/>
            </w:pPr>
            <w:r>
              <w:rPr>
                <w:rFonts w:eastAsiaTheme="minorEastAsia"/>
                <w:color w:themeColor="text1" w:val="000000"/>
                <w:sz w:val="24"/>
              </w:rPr>
              <w:t>1.44%</w:t>
            </w:r>
          </w:p>
        </w:tc>
        <w:tc>
          <w:tcPr>
            <w:vAlign w:val="center"/>
          </w:tcPr>
          <w:p>
            <w:pPr>
              <w:jc w:val="right"/>
            </w:pPr>
            <w:r>
              <w:rPr>
                <w:rFonts w:eastAsiaTheme="minorEastAsia"/>
                <w:color w:themeColor="text1" w:val="000000"/>
                <w:sz w:val="24"/>
              </w:rPr>
              <w:t>5.58%</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4.20%</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19.91%</w:t>
            </w:r>
          </w:p>
        </w:tc>
        <w:tc>
          <w:tcPr>
            <w:vAlign w:val="center"/>
          </w:tcPr>
          <w:p>
            <w:pPr>
              <w:jc w:val="right"/>
            </w:pPr>
            <w:r>
              <w:rPr>
                <w:rFonts w:eastAsiaTheme="minorEastAsia"/>
                <w:color w:themeColor="text1" w:val="000000"/>
                <w:sz w:val="24"/>
              </w:rPr>
              <w:t>1.15%</w:t>
            </w:r>
          </w:p>
        </w:tc>
        <w:tc>
          <w:tcPr>
            <w:vAlign w:val="center"/>
          </w:tcPr>
          <w:p>
            <w:pPr>
              <w:jc w:val="right"/>
            </w:pPr>
            <w:r>
              <w:rPr>
                <w:rFonts w:eastAsiaTheme="minorEastAsia"/>
                <w:color w:themeColor="text1" w:val="000000"/>
                <w:sz w:val="24"/>
              </w:rPr>
              <w:t>13.39%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6.52%</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19.39%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15.48%</w:t>
            </w:r>
          </w:p>
        </w:tc>
        <w:tc>
          <w:tcPr>
            <w:vAlign w:val="center"/>
          </w:tcPr>
          <w:p>
            <w:pPr>
              <w:jc w:val="right"/>
            </w:pPr>
            <w:r>
              <w:rPr>
                <w:rFonts w:eastAsiaTheme="minorEastAsia"/>
                <w:color w:themeColor="text1" w:val="000000"/>
                <w:sz w:val="24"/>
              </w:rPr>
              <w:t>1.22%</w:t>
            </w:r>
          </w:p>
        </w:tc>
        <w:tc>
          <w:tcPr>
            <w:vAlign w:val="center"/>
          </w:tcPr>
          <w:p>
            <w:pPr>
              <w:jc w:val="right"/>
            </w:pPr>
            <w:r>
              <w:rPr>
                <w:rFonts w:eastAsiaTheme="minorEastAsia"/>
                <w:color w:themeColor="text1" w:val="000000"/>
                <w:sz w:val="24"/>
              </w:rPr>
              <w:t>3.91%</w:t>
            </w:r>
          </w:p>
        </w:tc>
        <w:tc>
          <w:tcPr>
            <w:vAlign w:val="center"/>
          </w:tcPr>
          <w:p>
            <w:pPr>
              <w:jc w:val="right"/>
            </w:pPr>
            <w:r>
              <w:rPr>
                <w:rFonts w:eastAsiaTheme="minorEastAsia"/>
                <w:color w:themeColor="text1" w:val="000000"/>
                <w:sz w:val="24"/>
              </w:rPr>
              <w:t>-0.06%</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易方达MSCI中国A股国际通ETF联接发起式C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16.48%</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13.74%</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2.74%</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9.73%</w:t>
            </w:r>
          </w:p>
        </w:tc>
        <w:tc>
          <w:tcPr>
            <w:vAlign w:val="center"/>
          </w:tcPr>
          <w:p>
            <w:pPr>
              <w:jc w:val="right"/>
            </w:pPr>
            <w:r>
              <w:rPr>
                <w:rFonts w:eastAsiaTheme="minorEastAsia"/>
                <w:color w:themeColor="text1" w:val="000000"/>
                <w:sz w:val="24"/>
              </w:rPr>
              <w:t>1.44%</w:t>
            </w:r>
          </w:p>
        </w:tc>
        <w:tc>
          <w:tcPr>
            <w:vAlign w:val="center"/>
          </w:tcPr>
          <w:p>
            <w:pPr>
              <w:jc w:val="right"/>
            </w:pPr>
            <w:r>
              <w:rPr>
                <w:rFonts w:eastAsiaTheme="minorEastAsia"/>
                <w:color w:themeColor="text1" w:val="000000"/>
                <w:sz w:val="24"/>
              </w:rPr>
              <w:t>5.58%</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4.15%</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19.67%</w:t>
            </w:r>
          </w:p>
        </w:tc>
        <w:tc>
          <w:tcPr>
            <w:vAlign w:val="center"/>
          </w:tcPr>
          <w:p>
            <w:pPr>
              <w:jc w:val="right"/>
            </w:pPr>
            <w:r>
              <w:rPr>
                <w:rFonts w:eastAsiaTheme="minorEastAsia"/>
                <w:color w:themeColor="text1" w:val="000000"/>
                <w:sz w:val="24"/>
              </w:rPr>
              <w:t>1.15%</w:t>
            </w:r>
          </w:p>
        </w:tc>
        <w:tc>
          <w:tcPr>
            <w:vAlign w:val="center"/>
          </w:tcPr>
          <w:p>
            <w:pPr>
              <w:jc w:val="right"/>
            </w:pPr>
            <w:r>
              <w:rPr>
                <w:rFonts w:eastAsiaTheme="minorEastAsia"/>
                <w:color w:themeColor="text1" w:val="000000"/>
                <w:sz w:val="24"/>
              </w:rPr>
              <w:t>13.39%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6.28%</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18.96%</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15.48%</w:t>
            </w:r>
          </w:p>
        </w:tc>
        <w:tc>
          <w:tcPr>
            <w:vAlign w:val="center"/>
          </w:tcPr>
          <w:p>
            <w:pPr>
              <w:jc w:val="right"/>
            </w:pPr>
            <w:r>
              <w:rPr>
                <w:rFonts w:eastAsiaTheme="minorEastAsia"/>
                <w:color w:themeColor="text1" w:val="000000"/>
                <w:sz w:val="24"/>
              </w:rPr>
              <w:t>1.22%</w:t>
            </w:r>
          </w:p>
        </w:tc>
        <w:tc>
          <w:tcPr>
            <w:vAlign w:val="center"/>
          </w:tcPr>
          <w:p>
            <w:pPr>
              <w:jc w:val="right"/>
            </w:pPr>
            <w:r>
              <w:rPr>
                <w:rFonts w:eastAsiaTheme="minorEastAsia"/>
                <w:color w:themeColor="text1" w:val="000000"/>
                <w:sz w:val="24"/>
              </w:rPr>
              <w:t>3.48%</w:t>
            </w:r>
          </w:p>
        </w:tc>
        <w:tc>
          <w:tcPr>
            <w:vAlign w:val="center"/>
          </w:tcPr>
          <w:p>
            <w:pPr>
              <w:jc w:val="right"/>
            </w:pPr>
            <w:r>
              <w:rPr>
                <w:rFonts w:eastAsiaTheme="minorEastAsia"/>
                <w:color w:themeColor="text1" w:val="000000"/>
                <w:sz w:val="24"/>
              </w:rPr>
              <w:t>-0.06%</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易方达MSCI中国A股国际通交易型开放式指数证券投资基金发起式联接基金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937445" w:rsidR="00F84D52" w:rsidRDefault="00F84D52">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proofErr w:type="gramStart"/>
      <w:r>
        <w:rPr>
          <w:rFonts w:ascii="Times New Roman" w:hAnsi="Times New Roman"/>
          <w:sz w:val="24"/>
          <w:szCs w:val="24"/>
        </w:rPr>
        <w:t/>
      </w:r>
      <w:proofErr w:type="spellEnd"/>
      <w:r>
        <w:rPr>
          <w:rFonts w:ascii="Times New Roman" w:hAnsi="Times New Roman"/>
          <w:sz w:val="24"/>
          <w:szCs w:val="24"/>
        </w:rPr>
        <w:t/>
      </w:r>
      <w:proofErr w:type="gramEnd"/>
      <w:r>
        <w:rPr>
          <w:rFonts w:ascii="Times New Roman" w:hAnsi="Times New Roman"/>
          <w:sz w:val="24"/>
          <w:szCs w:val="24"/>
        </w:rPr>
        <w:t>（2019年3月13日至2020年6月30日）</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易方达MSCI中国A股国际通ETF联接发起式A</w:t>
      </w:r>
      <w:r w:rsidR="009238DB" w:rsidRPr="00B34368">
        <w:rPr>
          <w:rFonts w:eastAsiaTheme="minorEastAsia" w:hAnsiTheme="minorEastAsia"/>
          <w:color w:themeColor="text1" w:val="000000"/>
          <w:sz w:val="24"/>
        </w:rPr>
        <w:t>：</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易方达MSCI中国A股国际通ETF联接发起式C</w:t>
      </w:r>
      <w:r w:rsidRPr="00B34368">
        <w:rPr>
          <w:rFonts w:eastAsiaTheme="minorEastAsia" w:hAnsiTheme="minorEastAsia"/>
          <w:color w:themeColor="text1" w:val="000000"/>
          <w:sz w:val="24"/>
        </w:rPr>
        <w:t>：</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注：1.按基金合同和招募说明书的约定，本基金的建仓期为六个月，建仓期结束时各项资产配置比例符合基金合同（第十二部分二、投资范围，三、投资策略和四、投资限制）的有关约定。</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 xml:space="preserve">2.自基金合同生效至报告期末，A类基金份额净值增长率为19.39%，C类基金份额净值增长率为18.96%，同期业绩比较基准收益率为15.48%。 </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中证海外中国互联网50交易型开放式指数证券投资基金的基金经理、易方达黄金交易型开放式证券投资基金联接基金的基金经理、易方达标普生物科技指数证券投资基金（LOF）的基金经理、易方达原油证券投资基金（QDII）的基金经理、易方达黄金交易型开放式证券投资基金的基金经理、易方达标普信息科技指数证券投资基金（LOF）的基金经理、易方达标普500指数证券投资基金（LOF）的基金经理、易方达标普医疗保健指数证券投资基金（LOF）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2019-03-13</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深证100交易型开放式指数证券投资基金联接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创业板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联接基金的基金经理、易方达原油证券投资基金（QDII）的基金经理、易方达恒生中国企业交易型开放式指数证券投资基金的基金经理、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2019-03-13</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回顾2020年二季度，全球经济前景仍然充满不确定性，疫情感染人数继续攀升。全球主要经济体纷纷开启货币及财政政策刺激，提高了市场的风险偏好，MSCI中国A股国际通指数在二季度也一路走高。中国虽然是第一个受到新冠疫情影响的国家，但由于政府采用了多重强力措施来遏制疫情，中国也成为第一个大规模重启经济的大国。国内资本市场改革政策利好不断，在新三板“精选层”首批公开发行落地的同时，创业板注册制也正式进入实操阶段。MSCI今年以来没有继续增加指数中A股的纳入比例，但北向资金在二季度仍然持续流入A股市场。</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本基金是易方达MSCI中国A股国际通ETF的联接基金，我们在操作中严格遵守基金合同，坚持既定的指数化投资策略，力求追踪误差最小化。</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截至报告期末，本基金A类基金份额净值为1.1939元，本报告期份额净值增长率为16.50%，同期业绩比较基准收益率为13.74%；C类基金份额净值为1.1896元，本报告期份额净值增长率为16.48%，同期业绩比较基准收益率为13.74%，年化跟踪误差0.890%，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82,762,334.28</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93.93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4,879,993.33</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5.54</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468,806.87</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0.53</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88,111,134.48</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易方达MSCI中国A股国际通交易型开放式指数证券投资基金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82,762,334.28</w:t>
            </w:r>
          </w:p>
        </w:tc>
        <w:tc>
          <w:tcPr>
            <w:vAlign w:val="center"/>
          </w:tcPr>
          <w:p>
            <w:pPr>
              <w:jc w:val="right"/>
            </w:pPr>
            <w:r>
              <w:rPr>
                <w:rFonts w:eastAsiaTheme="minorEastAsia"/>
                <w:color w:themeColor="text1" w:val="000000"/>
                <w:sz w:val="24"/>
              </w:rPr>
              <w:t>94.59</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本基金本报告期末未持有境内股票。</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本基金本报告期末未持有股票。</w:t>
      </w:r>
    </w:p>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兴业银行、招商银行外，本基金目标ETF投资的其他前十名证券的发行主体本期没有出现被监管部门立案调查，或在报告编制日前一年内受到公开谴责、处罚的情形。</w:t>
      </w:r>
    </w:p>
    <w:p>
      <w:pPr>
        <w:widowControl/>
        <w:spacing w:line="360" w:lineRule="auto"/>
        <w:rPr>
          <w:rFonts w:eastAsiaTheme="minorEastAsia"/>
          <w:color w:themeColor="text1" w:val="000000"/>
          <w:sz w:val="24"/>
        </w:rPr>
      </w:pPr>
      <w:r>
        <w:rPr>
          <w:rFonts w:eastAsiaTheme="minorEastAsia"/>
          <w:color w:themeColor="text1" w:val="000000"/>
          <w:sz w:val="24"/>
        </w:rPr>
        <w:t>本联接基金投资的前十名证券的发行主体本期没有出现被监管部门立案调查，或在报告编制日前一年内受到公开谴责、处罚的情形。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本基金本报告期末未持有股票，不存在投资的前十名股票超出基金合同规定的备选股票库情况。</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44,708.03</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478.46</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423,620.38</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468,806.87</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本基金本报告期末未持有股票。</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易方达MSCI中国A股国际通ETF联接发起式A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易方达MSCI中国A股国际通ETF联接发起式C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36,869,419.33</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46,900,408.75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4,941,219.50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6,607,201.76</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6,538,523.11</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15,356,394.58</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35,272,115.72</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38,151,215.93</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A01C74" w:rsidR="00A01C74" w:rsidRDefault="00A01C74"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A01C74" w:rsidRPr="00E90B39" w:rsidTr="004E70B7">
        <w:trPr>
          <w:trHeight w:val="248"/>
        </w:trPr>
        <w:tc>
          <w:tcPr>
            <w:tcW w:type="dxa" w:w="3167"/>
            <w:vAlign w:val="center"/>
          </w:tcPr>
          <w:p w:rsidP="00202439" w:rsidR="00A01C74" w:rsidRDefault="00A01C74"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202439" w:rsidR="00A01C74" w:rsidRDefault="00A01C74"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易方达MSCI中国A股国际通ETF联接发起式A</w:t>
            </w:r>
          </w:p>
        </w:tc>
        <w:tc>
          <w:tcPr>
            <w:tcW w:type="dxa" w:w="2631"/>
            <w:vAlign w:val="bottom"/>
          </w:tcPr>
          <w:p w:rsidP="00202439" w:rsidR="00A01C74" w:rsidRDefault="00A01C74" w:rsidRPr="00FA472B">
            <w:pPr>
              <w:jc w:val="center"/>
              <w:rPr>
                <w:sz w:val="24"/>
              </w:rPr>
            </w:pPr>
            <w:r w:rsidRPr="00FA472B">
              <w:rPr>
                <w:color w:val="000000"/>
                <w:kern w:val="0"/>
                <w:sz w:val="24"/>
              </w:rPr>
              <w:t/>
            </w:r>
            <w:r w:rsidRPr="00FA472B">
              <w:rPr>
                <w:sz w:val="24"/>
              </w:rPr>
              <w:t>易方达MSCI中国A股国际通ETF联接发起式C</w:t>
            </w:r>
          </w:p>
        </w:tc>
      </w:tr>
      <w:tr w:rsidR="00A01C74" w:rsidRPr="00E90B39" w:rsidTr="004E70B7">
        <w:trPr>
          <w:trHeight w:val="247"/>
        </w:trPr>
        <w:tc>
          <w:tcPr>
            <w:tcW w:type="dxa" w:w="3167"/>
            <w:vAlign w:val="center"/>
          </w:tcPr>
          <w:p w:rsidP="00202439" w:rsidR="00A01C74" w:rsidRDefault="00A01C74"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202439" w:rsidR="00A01C74" w:rsidRDefault="00A01C74" w:rsidRPr="00FA472B">
            <w:pPr>
              <w:jc w:val="right"/>
              <w:rPr>
                <w:sz w:val="24"/>
              </w:rPr>
            </w:pPr>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202439" w:rsidR="00A01C74" w:rsidRDefault="00A01C74"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202439" w:rsidR="00A01C74" w:rsidRDefault="00A01C74" w:rsidRPr="00FA472B">
            <w:pPr>
              <w:jc w:val="right"/>
              <w:rPr>
                <w:color w:val="000000"/>
                <w:kern w:val="0"/>
                <w:sz w:val="24"/>
              </w:rPr>
            </w:pPr>
            <w:r w:rsidRPr="00FA472B">
              <w:rPr>
                <w:color w:val="000000"/>
                <w:sz w:val="24"/>
              </w:rPr>
              <w:t>28.3510</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bl>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B47574" w:rsidRDefault="006B046C" w:rsidRPr="00B34368">
      <w:pPr>
        <w:pStyle w:val="1"/>
        <w:spacing w:after="312" w:afterLines="100" w:before="312" w:beforeLines="100" w:line="360" w:lineRule="auto"/>
        <w:jc w:val="center"/>
        <w:rPr>
          <w:rFonts w:eastAsiaTheme="minorEastAsia"/>
          <w:b w:val="0"/>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w:t>
      </w:r>
      <w:r w:rsidR="00D66685"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 xml:space="preserve">8  </w:t>
      </w:r>
      <w:r w:rsidR="00EA7533" w:rsidRPr="00B34368">
        <w:rPr>
          <w:rFonts w:eastAsiaTheme="minorEastAsia" w:hAnsiTheme="minorEastAsia"/>
          <w:color w:themeColor="text1" w:val="000000"/>
          <w:kern w:val="0"/>
          <w:sz w:val="24"/>
          <w:szCs w:val="24"/>
        </w:rPr>
        <w:t>报告期末</w:t>
      </w:r>
      <w:r w:rsidR="00B47574" w:rsidRPr="00B34368">
        <w:rPr>
          <w:rFonts w:eastAsiaTheme="minorEastAsia" w:hAnsiTheme="minorEastAsia"/>
          <w:color w:themeColor="text1" w:val="000000"/>
          <w:kern w:val="0"/>
          <w:sz w:val="24"/>
          <w:szCs w:val="24"/>
        </w:rPr>
        <w:t>发起</w:t>
      </w:r>
      <w:proofErr w:type="gramStart"/>
      <w:r w:rsidR="00B47574" w:rsidRPr="00B34368">
        <w:rPr>
          <w:rFonts w:eastAsiaTheme="minorEastAsia" w:hAnsiTheme="minorEastAsia"/>
          <w:color w:themeColor="text1" w:val="000000"/>
          <w:kern w:val="0"/>
          <w:sz w:val="24"/>
          <w:szCs w:val="24"/>
        </w:rPr>
        <w:t>式基金</w:t>
      </w:r>
      <w:proofErr w:type="gramEnd"/>
      <w:r w:rsidR="00B47574" w:rsidRPr="00B34368">
        <w:rPr>
          <w:rFonts w:eastAsiaTheme="minorEastAsia" w:hAnsiTheme="minorEastAsia"/>
          <w:color w:themeColor="text1" w:val="000000"/>
          <w:kern w:val="0"/>
          <w:sz w:val="24"/>
          <w:szCs w:val="24"/>
        </w:rPr>
        <w:t>发起资金持有份额情况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2391"/>
        <w:gridCol w:w="1157"/>
        <w:gridCol w:w="1314"/>
        <w:gridCol w:w="1065"/>
        <w:gridCol w:w="1458"/>
        <w:gridCol w:w="1495"/>
      </w:tblGrid>
      <w:tr w:rsidR="00D3639B" w:rsidRPr="00B34368" w:rsidTr="004E70B7">
        <w:trPr>
          <w:trHeight w:val="543"/>
        </w:trPr>
        <w:tc>
          <w:tcPr>
            <w:tcW w:type="dxa" w:w="2391"/>
            <w:vAlign w:val="center"/>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项目</w:t>
            </w:r>
            <w:r w:rsidR="00FB6808" w:rsidRPr="00B34368">
              <w:rPr>
                <w:rFonts w:eastAsiaTheme="minorEastAsia"/>
                <w:color w:themeColor="text1" w:val="000000"/>
                <w:sz w:val="24"/>
              </w:rPr>
              <w:t/>
            </w:r>
            <w:proofErr w:type="spellStart"/>
            <w:r w:rsidR="00FB6808" w:rsidRPr="00B34368">
              <w:rPr>
                <w:rFonts w:eastAsiaTheme="minorEastAsia"/>
                <w:color w:themeColor="text1" w:val="000000"/>
                <w:sz w:val="24"/>
              </w:rPr>
              <w:t/>
            </w:r>
            <w:proofErr w:type="spellEnd"/>
            <w:r w:rsidR="00FB6808" w:rsidRPr="00B34368">
              <w:rPr>
                <w:rFonts w:eastAsiaTheme="minorEastAsia"/>
                <w:color w:themeColor="text1" w:val="000000"/>
                <w:sz w:val="24"/>
              </w:rPr>
              <w:t/>
            </w:r>
            <w:r w:rsidR="00FC60F6" w:rsidRPr="00B34368">
              <w:rPr>
                <w:rFonts w:eastAsiaTheme="minorEastAsia"/>
                <w:color w:themeColor="text1" w:val="000000"/>
                <w:sz w:val="24"/>
              </w:rPr>
              <w:t/>
            </w:r>
            <w:proofErr w:type="spellStart"/>
            <w:r w:rsidR="00FC60F6" w:rsidRPr="00B34368">
              <w:rPr>
                <w:rFonts w:eastAsiaTheme="minorEastAsia"/>
                <w:color w:themeColor="text1" w:val="000000"/>
                <w:sz w:val="24"/>
              </w:rPr>
              <w:t/>
            </w:r>
            <w:proofErr w:type="spellEnd"/>
            <w:r w:rsidR="00FC60F6" w:rsidRPr="00B34368">
              <w:rPr>
                <w:rFonts w:eastAsiaTheme="minorEastAsia"/>
                <w:color w:themeColor="text1" w:val="000000"/>
                <w:sz w:val="24"/>
              </w:rPr>
              <w:t/>
            </w:r>
          </w:p>
        </w:tc>
        <w:tc>
          <w:tcPr>
            <w:tcW w:type="dxa" w:w="1157"/>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持有份额总数</w:t>
            </w:r>
          </w:p>
        </w:tc>
        <w:tc>
          <w:tcPr>
            <w:tcW w:type="dxa" w:w="1314"/>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持有份额占基金总份额比例</w:t>
            </w:r>
          </w:p>
        </w:tc>
        <w:tc>
          <w:tcPr>
            <w:tcW w:type="dxa" w:w="1065"/>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发起份额总数</w:t>
            </w:r>
          </w:p>
        </w:tc>
        <w:tc>
          <w:tcPr>
            <w:tcW w:type="dxa" w:w="1458"/>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发起份额占基金总份额比例</w:t>
            </w:r>
          </w:p>
        </w:tc>
        <w:tc>
          <w:tcPr>
            <w:tcW w:type="dxa" w:w="1495"/>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发起份额承诺持有期限</w:t>
            </w:r>
          </w:p>
        </w:tc>
      </w:tr>
      <w:tr w:rsidR="00D3639B" w:rsidRPr="00B34368" w:rsidTr="004E70B7">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w:t>
            </w:r>
            <w:proofErr w:type="gramStart"/>
            <w:r w:rsidRPr="00B34368">
              <w:rPr>
                <w:rFonts w:eastAsiaTheme="minorEastAsia" w:hAnsiTheme="minorEastAsia"/>
                <w:color w:themeColor="text1" w:val="000000"/>
                <w:sz w:val="24"/>
              </w:rPr>
              <w:t>固有资金</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13.6196%</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13.6196%</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不少于3年</w:t>
            </w:r>
          </w:p>
        </w:tc>
      </w:tr>
      <w:tr w:rsidR="00D3639B" w:rsidRPr="00B34368" w:rsidTr="004E70B7">
        <w:trPr>
          <w:trHeight w:val="790"/>
        </w:trPr>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基金管理人高级管理人员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基金经理等人员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lastRenderedPageBreak/>
              <w:t>基金管理</w:t>
            </w:r>
            <w:proofErr w:type="gramStart"/>
            <w:r w:rsidRPr="00B34368">
              <w:rPr>
                <w:rFonts w:eastAsiaTheme="minorEastAsia" w:hAnsiTheme="minorEastAsia"/>
                <w:color w:themeColor="text1" w:val="000000"/>
                <w:sz w:val="24"/>
              </w:rPr>
              <w:t>人股东</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13.6196%</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13.6196%</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9</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1.中国证监会准予易方达MSCI中国A股国际通交易型开放式指数证券投资基金发起式联接基金注册的文件；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2.《易方达MSCI中国A股国际通交易型开放式指数证券投资基金发起式联接基金基金合同》；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3.《易方达MSCI中国A股国际通交易型开放式指数证券投资基金发起式联接基金托管协议》；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易方达MSCI中国A股国际通交易型开放式指数证券投资基金发起式联接基金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