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易方达科融混合型证券投资基金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交通银行股份有限公司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基金托管人交通银行股份有限公司根据本基金合同规定，于2020年7月17日复核了本报告中的财务指标、净值表现和投资组合报告等内容，保证复核内容不存在虚假记载、误导性陈述或者重大遗漏。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易方达科融混合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006533</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006533</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2019年3月26日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341,089,421.53</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本基金在控制风险的前提下，力争实现基金资产的长期稳健增值。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基于定量与定性相结合的宏观及市场分析，确定组合中股票、债券、货币市场工具及其他金融工具的比例。股票投资方面，本基金以地区配置策略（对内地和香港市场进行自上而下的研究，主要通过对财政金融政策、GDP 增长率、物价水平、利率走势、汇率走势、证券市场相对估值水平等方面的分析，对内地和香港市场的投资价值进行综合评价）、行业配置策略（将通过分析行业景气度与竞争格局，对各行业的投资价值进行综合评估）及个股投资策略（选择经营稳健、财务状况运行良好、公司治理结构合理的公司），同时结合估值水平分析，进行股票组合的构建与调整。债券投资方面，本基金将主要通过类属配置与券种选择两个层次进行投资管理。</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60%×中证500指数收益率+20%×中证港股通综合指数收益率＋20%×中债总指数收益率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pPr>
              <w:adjustRightInd w:val="0"/>
              <w:spacing w:before="29" w:line="360" w:lineRule="auto"/>
              <w:ind w:left="17"/>
              <w:jc w:val="left"/>
              <w:rPr>
                <w:color w:val="000000"/>
                <w:sz w:val="24"/>
                <w:szCs w:val="24"/>
              </w:rPr>
            </w:pPr>
            <w:r>
              <w:rPr>
                <w:color w:val="000000"/>
                <w:kern w:val="0"/>
                <w:sz w:val="24"/>
                <w:szCs w:val="24"/>
              </w:rPr>
              <w:t>本基金为混合基金，理论上其预期风险与预期收益水平低于股票基金，高于债券基金和货币市场基金。</w:t>
            </w:r>
          </w:p>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交通银行股份有限公司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22,867,020.89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155,011,914.42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0.4749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594,674,074.25</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1.7435</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 xml:space="preserve">2.本期已实现收益指基金本期利息收入、投资收益、其他收入(不含公允价值变动收益)扣除相关费用后的余额，本期利润为本期已实现收益加上本期公允价值变动收益。 </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37.01%</w:t>
            </w:r>
          </w:p>
        </w:tc>
        <w:tc>
          <w:tcPr>
            <w:vAlign w:val="center"/>
          </w:tcPr>
          <w:p>
            <w:pPr>
              <w:jc w:val="center"/>
            </w:pPr>
            <w:r>
              <w:rPr>
                <w:color w:val="000000"/>
                <w:kern w:val="0"/>
                <w:sz w:val="24"/>
                <w:szCs w:val="24"/>
              </w:rPr>
              <w:t>1.32%</w:t>
            </w:r>
          </w:p>
        </w:tc>
        <w:tc>
          <w:tcPr>
            <w:vAlign w:val="center"/>
          </w:tcPr>
          <w:p>
            <w:pPr>
              <w:jc w:val="center"/>
            </w:pPr>
            <w:r>
              <w:rPr>
                <w:color w:val="000000"/>
                <w:kern w:val="0"/>
                <w:sz w:val="24"/>
                <w:szCs w:val="24"/>
              </w:rPr>
              <w:t>11.31%</w:t>
            </w:r>
          </w:p>
        </w:tc>
        <w:tc>
          <w:tcPr>
            <w:vAlign w:val="center"/>
          </w:tcPr>
          <w:p>
            <w:pPr>
              <w:jc w:val="center"/>
            </w:pPr>
            <w:r>
              <w:rPr>
                <w:color w:val="000000"/>
                <w:kern w:val="0"/>
                <w:sz w:val="24"/>
                <w:szCs w:val="24"/>
              </w:rPr>
              <w:t>0.86%</w:t>
            </w:r>
          </w:p>
        </w:tc>
        <w:tc>
          <w:tcPr>
            <w:vAlign w:val="center"/>
          </w:tcPr>
          <w:p>
            <w:pPr>
              <w:jc w:val="center"/>
            </w:pPr>
            <w:r>
              <w:rPr>
                <w:color w:val="000000"/>
                <w:kern w:val="0"/>
                <w:sz w:val="24"/>
                <w:szCs w:val="24"/>
              </w:rPr>
              <w:t>25.70%</w:t>
            </w:r>
          </w:p>
        </w:tc>
        <w:tc>
          <w:tcPr>
            <w:vAlign w:val="center"/>
          </w:tcPr>
          <w:p>
            <w:pPr>
              <w:jc w:val="center"/>
            </w:pPr>
            <w:r>
              <w:rPr>
                <w:color w:val="000000"/>
                <w:kern w:val="0"/>
                <w:sz w:val="24"/>
                <w:szCs w:val="24"/>
              </w:rPr>
              <w:t>0.46%</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43.97%</w:t>
            </w:r>
          </w:p>
        </w:tc>
        <w:tc>
          <w:tcPr>
            <w:vAlign w:val="center"/>
          </w:tcPr>
          <w:p>
            <w:pPr>
              <w:jc w:val="center"/>
            </w:pPr>
            <w:r>
              <w:rPr>
                <w:color w:val="000000"/>
                <w:kern w:val="0"/>
                <w:sz w:val="24"/>
                <w:szCs w:val="24"/>
              </w:rPr>
              <w:t>1.89%</w:t>
            </w:r>
          </w:p>
        </w:tc>
        <w:tc>
          <w:tcPr>
            <w:vAlign w:val="center"/>
          </w:tcPr>
          <w:p>
            <w:pPr>
              <w:jc w:val="center"/>
            </w:pPr>
            <w:r>
              <w:rPr>
                <w:color w:val="000000"/>
                <w:kern w:val="0"/>
                <w:sz w:val="24"/>
                <w:szCs w:val="24"/>
              </w:rPr>
              <w:t>5.95%</w:t>
            </w:r>
          </w:p>
        </w:tc>
        <w:tc>
          <w:tcPr>
            <w:vAlign w:val="center"/>
          </w:tcPr>
          <w:p>
            <w:pPr>
              <w:jc w:val="center"/>
            </w:pPr>
            <w:r>
              <w:rPr>
                <w:color w:val="000000"/>
                <w:kern w:val="0"/>
                <w:sz w:val="24"/>
                <w:szCs w:val="24"/>
              </w:rPr>
              <w:t>1.32%</w:t>
            </w:r>
          </w:p>
        </w:tc>
        <w:tc>
          <w:tcPr>
            <w:vAlign w:val="center"/>
          </w:tcPr>
          <w:p>
            <w:pPr>
              <w:jc w:val="center"/>
            </w:pPr>
            <w:r>
              <w:rPr>
                <w:color w:val="000000"/>
                <w:kern w:val="0"/>
                <w:sz w:val="24"/>
                <w:szCs w:val="24"/>
              </w:rPr>
              <w:t>38.02%</w:t>
            </w:r>
          </w:p>
        </w:tc>
        <w:tc>
          <w:tcPr>
            <w:vAlign w:val="center"/>
          </w:tcPr>
          <w:p>
            <w:pPr>
              <w:jc w:val="center"/>
            </w:pPr>
            <w:r>
              <w:rPr>
                <w:color w:val="000000"/>
                <w:kern w:val="0"/>
                <w:sz w:val="24"/>
                <w:szCs w:val="24"/>
              </w:rPr>
              <w:t>0.57%</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75.33%</w:t>
            </w:r>
          </w:p>
        </w:tc>
        <w:tc>
          <w:tcPr>
            <w:vAlign w:val="center"/>
          </w:tcPr>
          <w:p>
            <w:pPr>
              <w:jc w:val="center"/>
            </w:pPr>
            <w:r>
              <w:rPr>
                <w:color w:val="000000"/>
                <w:kern w:val="0"/>
                <w:sz w:val="24"/>
                <w:szCs w:val="24"/>
              </w:rPr>
              <w:t>1.51%</w:t>
            </w:r>
          </w:p>
        </w:tc>
        <w:tc>
          <w:tcPr>
            <w:vAlign w:val="center"/>
          </w:tcPr>
          <w:p>
            <w:pPr>
              <w:jc w:val="center"/>
            </w:pPr>
            <w:r>
              <w:rPr>
                <w:color w:val="000000"/>
                <w:kern w:val="0"/>
                <w:sz w:val="24"/>
                <w:szCs w:val="24"/>
              </w:rPr>
              <w:t>11.02%</w:t>
            </w:r>
          </w:p>
        </w:tc>
        <w:tc>
          <w:tcPr>
            <w:vAlign w:val="center"/>
          </w:tcPr>
          <w:p>
            <w:pPr>
              <w:jc w:val="center"/>
            </w:pPr>
            <w:r>
              <w:rPr>
                <w:color w:val="000000"/>
                <w:kern w:val="0"/>
                <w:sz w:val="24"/>
                <w:szCs w:val="24"/>
              </w:rPr>
              <w:t>1.06%</w:t>
            </w:r>
          </w:p>
        </w:tc>
        <w:tc>
          <w:tcPr>
            <w:vAlign w:val="center"/>
          </w:tcPr>
          <w:p>
            <w:pPr>
              <w:jc w:val="center"/>
            </w:pPr>
            <w:r>
              <w:rPr>
                <w:color w:val="000000"/>
                <w:kern w:val="0"/>
                <w:sz w:val="24"/>
                <w:szCs w:val="24"/>
              </w:rPr>
              <w:t>64.31%</w:t>
            </w:r>
          </w:p>
        </w:tc>
        <w:tc>
          <w:tcPr>
            <w:vAlign w:val="center"/>
          </w:tcPr>
          <w:p>
            <w:pPr>
              <w:jc w:val="center"/>
            </w:pPr>
            <w:r>
              <w:rPr>
                <w:color w:val="000000"/>
                <w:kern w:val="0"/>
                <w:sz w:val="24"/>
                <w:szCs w:val="24"/>
              </w:rPr>
              <w:t>0.45%</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74.35%</w:t>
            </w:r>
          </w:p>
        </w:tc>
        <w:tc>
          <w:tcPr>
            <w:vAlign w:val="center"/>
          </w:tcPr>
          <w:p>
            <w:pPr>
              <w:jc w:val="center"/>
            </w:pPr>
            <w:r>
              <w:rPr>
                <w:color w:val="000000"/>
                <w:kern w:val="0"/>
                <w:sz w:val="24"/>
                <w:szCs w:val="24"/>
              </w:rPr>
              <w:t>1.35%</w:t>
            </w:r>
          </w:p>
        </w:tc>
        <w:tc>
          <w:tcPr>
            <w:vAlign w:val="center"/>
          </w:tcPr>
          <w:p>
            <w:pPr>
              <w:jc w:val="center"/>
            </w:pPr>
            <w:r>
              <w:rPr>
                <w:color w:val="000000"/>
                <w:kern w:val="0"/>
                <w:sz w:val="24"/>
                <w:szCs w:val="24"/>
              </w:rPr>
              <w:t>3.55%</w:t>
            </w:r>
          </w:p>
        </w:tc>
        <w:tc>
          <w:tcPr>
            <w:vAlign w:val="center"/>
          </w:tcPr>
          <w:p>
            <w:pPr>
              <w:jc w:val="center"/>
            </w:pPr>
            <w:r>
              <w:rPr>
                <w:color w:val="000000"/>
                <w:kern w:val="0"/>
                <w:sz w:val="24"/>
                <w:szCs w:val="24"/>
              </w:rPr>
              <w:t>1.09%</w:t>
            </w:r>
          </w:p>
        </w:tc>
        <w:tc>
          <w:tcPr>
            <w:vAlign w:val="center"/>
          </w:tcPr>
          <w:p>
            <w:pPr>
              <w:jc w:val="center"/>
            </w:pPr>
            <w:r>
              <w:rPr>
                <w:color w:val="000000"/>
                <w:kern w:val="0"/>
                <w:sz w:val="24"/>
                <w:szCs w:val="24"/>
              </w:rPr>
              <w:t>70.80%</w:t>
            </w:r>
          </w:p>
        </w:tc>
        <w:tc>
          <w:tcPr>
            <w:vAlign w:val="center"/>
          </w:tcPr>
          <w:p>
            <w:pPr>
              <w:jc w:val="center"/>
            </w:pPr>
            <w:r>
              <w:rPr>
                <w:color w:val="000000"/>
                <w:kern w:val="0"/>
                <w:sz w:val="24"/>
                <w:szCs w:val="24"/>
              </w:rPr>
              <w:t>0.26%</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易方达科融混合型证券投资基金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2019年3月26日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按基金合同和招募说明书的约定，本基金的建仓期为六个月，建仓期结束时股票资产占基金资产的比例超过95%，现金或者到期日在一年以内的政府债券比例低于5%，均为被动超标，已在规定的期限内调整完毕，其他各项资产配置比例符合基金合同（第十二部分二、投资范围，三、投资策略和四、投资限制）的有关约定。</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2.自基金合同生效至报告期末，基金份额净值增长率为74.35%，同期业绩比较基准收益率为3.55%。</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陈皓</w:t>
            </w:r>
          </w:p>
        </w:tc>
        <w:tc>
          <w:tcPr>
            <w:vAlign w:val="center"/>
          </w:tcPr>
          <w:p>
            <w:pPr>
              <w:jc w:val="left"/>
            </w:pPr>
            <w:r>
              <w:rPr>
                <w:color w:val="000000"/>
                <w:sz w:val="24"/>
              </w:rPr>
              <w:t>本基金的基金经理、易方达平稳增长证券投资基金的基金经理、易方达科翔混合型证券投资基金的基金经理、易方达新经济灵活配置混合型证券投资基金的基金经理、易方达国防军工混合型证券投资基金的基金经理（自2015年06月19日至2020年06月05日）、易方达科讯混合型证券投资基金的基金经理、易方达均衡成长股票型证券投资基金的基金经理、投资一部总经理</w:t>
            </w:r>
          </w:p>
        </w:tc>
        <w:tc>
          <w:tcPr>
            <w:vAlign w:val="center"/>
          </w:tcPr>
          <w:p>
            <w:pPr>
              <w:jc w:val="center"/>
            </w:pPr>
            <w:r>
              <w:rPr>
                <w:color w:val="000000"/>
                <w:sz w:val="24"/>
              </w:rPr>
              <w:t>2019-03-26</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易方达基金管理有限公司行业研究员、基金经理助理、基金投资部基金经理助理、投资一部总经理助理、投资一部副总经理、投资经理、易方达价值精选混合型证券投资基金基金经理、易方达供给改革灵活配置混合型证券投资基金基金经理。</w:t>
            </w:r>
          </w:p>
        </w:tc>
      </w:tr>
      <w:tr>
        <w:tc>
          <w:tcPr>
            <w:vAlign w:val="center"/>
          </w:tcPr>
          <w:p>
            <w:pPr>
              <w:jc w:val="center"/>
            </w:pPr>
            <w:r>
              <w:rPr>
                <w:color w:val="000000"/>
                <w:sz w:val="24"/>
              </w:rPr>
              <w:t>刘健维</w:t>
            </w:r>
          </w:p>
        </w:tc>
        <w:tc>
          <w:tcPr>
            <w:vAlign w:val="center"/>
          </w:tcPr>
          <w:p>
            <w:pPr>
              <w:jc w:val="left"/>
            </w:pPr>
            <w:r>
              <w:rPr>
                <w:color w:val="000000"/>
                <w:sz w:val="24"/>
              </w:rPr>
              <w:t>本基金的基金经理、易方达科讯混合型证券投资基金的基金经理</w:t>
            </w:r>
          </w:p>
        </w:tc>
        <w:tc>
          <w:tcPr>
            <w:vAlign w:val="center"/>
          </w:tcPr>
          <w:p>
            <w:pPr>
              <w:jc w:val="center"/>
            </w:pPr>
            <w:r>
              <w:rPr>
                <w:color w:val="000000"/>
                <w:sz w:val="24"/>
              </w:rPr>
              <w:t>2020-06-06</w:t>
            </w:r>
          </w:p>
        </w:tc>
        <w:tc>
          <w:tcPr>
            <w:vAlign w:val="center"/>
          </w:tcPr>
          <w:p>
            <w:pPr>
              <w:jc w:val="center"/>
            </w:pPr>
            <w:r>
              <w:rPr>
                <w:color w:val="000000"/>
                <w:sz w:val="24"/>
              </w:rPr>
              <w:t>-</w:t>
            </w:r>
          </w:p>
        </w:tc>
        <w:tc>
          <w:tcPr>
            <w:vAlign w:val="center"/>
          </w:tcPr>
          <w:p>
            <w:pPr>
              <w:jc w:val="center"/>
            </w:pPr>
            <w:r>
              <w:rPr>
                <w:color w:val="000000"/>
                <w:sz w:val="24"/>
              </w:rPr>
              <w:t>6年</w:t>
            </w:r>
          </w:p>
        </w:tc>
        <w:tc>
          <w:tcPr>
            <w:vAlign w:val="center"/>
          </w:tcPr>
          <w:p>
            <w:pPr>
              <w:jc w:val="both"/>
            </w:pPr>
            <w:r>
              <w:rPr>
                <w:color w:val="000000"/>
                <w:sz w:val="24"/>
              </w:rPr>
              <w:t>硕士研究生，具有基金从业资格。曾任广发基金管理有限公司研究部研究员，国泰基金管理有限公司研究部研究员，易方达基金管理有限公司行业研究员、易方达科讯混合型证券投资基金基金经理助理。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上证综指上涨8.52%，创业板指数上涨30.25%，中证500指数上涨16.32%，市场整体涨幅较大，成长板块表现显著强于大盘蓝筹板块。新兴成长板块经过3月份的大幅调整下跌幅度较大，电子、新能源、计算机等领域的优质个股经过调整后投资风险收益比提升。二季度，疫情恐慌过后，新兴成长板块开始反弹，高新电子、云计算、新能源等代表未来成长方向的板块涨幅较大；同期医药生物板块涨幅也较大。</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本基金二季度采取了较为积极的投资策略，提升了组合的整体仓位水平并调整了组合内不同板块的配置比例，加大了对成长确定性较高且估值水平合理的新兴成长板块个股的配置，取得了较好超额收益。</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截至报告期末，本基金份额净值为1.7435元，本报告期份额净值增长率为37.01%，同期业绩比较基准收益率为11.31%。</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559,621,960.20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91.47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559,621,960.20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91.47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868,686.00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0.14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868,686.00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0.14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37,822,536.05</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6.18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13,469,318.51</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2.20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611,782,500.76</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注：本基金本报告期末通过港股通交易机制投资的港股市值为66,890,133.35元，占净值比例11.25%。 </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329,640,600.00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55.43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24,063,182.40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4.05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87,100,774.15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14.65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31,075,993.42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5.23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14,882,196.00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2.50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5,956,314.56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492,731,826.85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82.86</w:t>
            </w:r>
          </w:p>
        </w:tc>
      </w:tr>
    </w:tbl>
    <w:p w:rsidP="008C2A4F" w:rsidR="008C2A4F" w:rsidRDefault="008C2A4F" w:rsidRPr="008C2A4F">
      <w:pPr>
        <w:jc w:val="left"/>
        <w:rPr>
          <w:rFonts w:eastAsiaTheme="minorEastAsia"/>
          <w:b/>
          <w:bCs/>
          <w:color w:themeColor="text1" w:val="000000"/>
          <w:kern w:val="0"/>
          <w:sz w:val="24"/>
          <w:szCs w:val="24"/>
        </w:rPr>
      </w:pPr>
      <w:r w:rsidRPr="008C2A4F">
        <w:rPr>
          <w:rFonts w:eastAsiaTheme="minorEastAsia"/>
          <w:b/>
          <w:bCs/>
          <w:color w:themeColor="text1" w:val="000000"/>
          <w:kern w:val="0"/>
          <w:sz w:val="24"/>
          <w:szCs w:val="24"/>
        </w:rPr>
        <w:t xml:space="preserve"> </w:t>
      </w:r>
      <w:proofErr w:type="spellStart"/>
      <w:r w:rsidRPr="008C2A4F">
        <w:rPr>
          <w:rFonts w:eastAsiaTheme="minorEastAsia"/>
          <w:b/>
          <w:bCs/>
          <w:color w:themeColor="text1" w:val="000000"/>
          <w:kern w:val="0"/>
          <w:sz w:val="24"/>
          <w:szCs w:val="24"/>
        </w:rPr>
        <w:t/>
      </w:r>
      <w:proofErr w:type="spellEnd"/>
      <w:r w:rsidRPr="008C2A4F">
        <w:rPr>
          <w:rFonts w:eastAsiaTheme="minorEastAsia"/>
          <w:b/>
          <w:bCs/>
          <w:color w:themeColor="text1" w:val="000000"/>
          <w:kern w:val="0"/>
          <w:sz w:val="24"/>
          <w:szCs w:val="24"/>
        </w:rPr>
        <w:t>5.2.2</w:t>
      </w:r>
      <w:r w:rsidR="00B912D0">
        <w:rPr>
          <w:rFonts w:eastAsiaTheme="minorEastAsia"/>
          <w:b/>
          <w:bCs/>
          <w:color w:themeColor="text1" w:val="000000"/>
          <w:kern w:val="0"/>
          <w:sz w:val="24"/>
          <w:szCs w:val="24"/>
        </w:rPr>
        <w:t>报告期末按行业分类的</w:t>
      </w:r>
      <w:r w:rsidR="00B912D0">
        <w:rPr>
          <w:rFonts w:eastAsiaTheme="minorEastAsia" w:hint="eastAsia"/>
          <w:b/>
          <w:bCs/>
          <w:color w:themeColor="text1" w:val="000000"/>
          <w:kern w:val="0"/>
          <w:sz w:val="24"/>
          <w:szCs w:val="24"/>
        </w:rPr>
        <w:t>港股通</w:t>
      </w:r>
      <w:r w:rsidRPr="008C2A4F">
        <w:rPr>
          <w:rFonts w:eastAsiaTheme="minorEastAsia"/>
          <w:b/>
          <w:bCs/>
          <w:color w:themeColor="text1" w:val="000000"/>
          <w:kern w:val="0"/>
          <w:sz w:val="24"/>
          <w:szCs w:val="24"/>
        </w:rPr>
        <w:t>投资股票投资组合</w:t>
      </w:r>
    </w:p>
    <w:tbl>
      <w:tblPr>
        <w:tblW w:type="dxa" w:w="863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2397"/>
        <w:gridCol w:w="3119"/>
        <w:gridCol w:w="3118"/>
      </w:tblGrid>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119"/>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公允价值（人民币）</w:t>
            </w:r>
          </w:p>
        </w:tc>
        <w:tc>
          <w:tcPr>
            <w:tcW w:type="dxa" w:w="3118"/>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r w:rsidRPr="008C2A4F">
              <w:rPr>
                <w:rFonts w:eastAsiaTheme="minorEastAsia"/>
                <w:color w:themeColor="text1" w:val="000000"/>
                <w:kern w:val="0"/>
                <w:sz w:val="24"/>
                <w:szCs w:val="24"/>
              </w:rPr>
              <w:t>%</w:t>
            </w:r>
            <w:r w:rsidRPr="008C2A4F">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能源</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材料</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工业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非必需消费品</w:t>
            </w:r>
          </w:p>
        </w:tc>
        <w:tc>
          <w:tcPr>
            <w:vAlign w:val="center"/>
          </w:tcPr>
          <w:p>
            <w:pPr>
              <w:jc w:val="center"/>
            </w:pPr>
            <w:r>
              <w:rPr>
                <w:rFonts w:eastAsiaTheme="minorEastAsia"/>
                <w:color w:themeColor="text1" w:val="000000"/>
                <w:kern w:val="0"/>
                <w:sz w:val="24"/>
                <w:szCs w:val="24"/>
              </w:rPr>
              <w:t>8,667,522.55</w:t>
            </w:r>
          </w:p>
        </w:tc>
        <w:tc>
          <w:tcPr>
            <w:vAlign w:val="center"/>
          </w:tcPr>
          <w:p>
            <w:pPr>
              <w:jc w:val="center"/>
            </w:pPr>
            <w:r>
              <w:rPr>
                <w:rFonts w:eastAsiaTheme="minorEastAsia"/>
                <w:color w:themeColor="text1" w:val="000000"/>
                <w:kern w:val="0"/>
                <w:sz w:val="24"/>
                <w:szCs w:val="24"/>
              </w:rPr>
              <w:t>1.46</w:t>
            </w:r>
          </w:p>
        </w:tc>
      </w:tr>
      <w:tr>
        <w:tc>
          <w:tcPr>
            <w:vAlign w:val="center"/>
          </w:tcPr>
          <w:p>
            <w:pPr>
              <w:jc w:val="center"/>
            </w:pPr>
            <w:r>
              <w:rPr>
                <w:rFonts w:eastAsiaTheme="minorEastAsia"/>
                <w:color w:themeColor="text1" w:val="000000"/>
                <w:kern w:val="0"/>
                <w:sz w:val="24"/>
                <w:szCs w:val="24"/>
              </w:rPr>
              <w:t>必需消费品</w:t>
            </w:r>
          </w:p>
        </w:tc>
        <w:tc>
          <w:tcPr>
            <w:vAlign w:val="center"/>
          </w:tcPr>
          <w:p>
            <w:pPr>
              <w:jc w:val="center"/>
            </w:pPr>
            <w:r>
              <w:rPr>
                <w:rFonts w:eastAsiaTheme="minorEastAsia"/>
                <w:color w:themeColor="text1" w:val="000000"/>
                <w:kern w:val="0"/>
                <w:sz w:val="24"/>
                <w:szCs w:val="24"/>
              </w:rPr>
              <w:t>3,218,085.66</w:t>
            </w:r>
          </w:p>
        </w:tc>
        <w:tc>
          <w:tcPr>
            <w:vAlign w:val="center"/>
          </w:tcPr>
          <w:p>
            <w:pPr>
              <w:jc w:val="center"/>
            </w:pPr>
            <w:r>
              <w:rPr>
                <w:rFonts w:eastAsiaTheme="minorEastAsia"/>
                <w:color w:themeColor="text1" w:val="000000"/>
                <w:kern w:val="0"/>
                <w:sz w:val="24"/>
                <w:szCs w:val="24"/>
              </w:rPr>
              <w:t>0.54</w:t>
            </w:r>
          </w:p>
        </w:tc>
      </w:tr>
      <w:tr>
        <w:tc>
          <w:tcPr>
            <w:vAlign w:val="center"/>
          </w:tcPr>
          <w:p>
            <w:pPr>
              <w:jc w:val="center"/>
            </w:pPr>
            <w:r>
              <w:rPr>
                <w:rFonts w:eastAsiaTheme="minorEastAsia"/>
                <w:color w:themeColor="text1" w:val="000000"/>
                <w:kern w:val="0"/>
                <w:sz w:val="24"/>
                <w:szCs w:val="24"/>
              </w:rPr>
              <w:t>保健</w:t>
            </w:r>
          </w:p>
        </w:tc>
        <w:tc>
          <w:tcPr>
            <w:vAlign w:val="center"/>
          </w:tcPr>
          <w:p>
            <w:pPr>
              <w:jc w:val="center"/>
            </w:pPr>
            <w:r>
              <w:rPr>
                <w:rFonts w:eastAsiaTheme="minorEastAsia"/>
                <w:color w:themeColor="text1" w:val="000000"/>
                <w:kern w:val="0"/>
                <w:sz w:val="24"/>
                <w:szCs w:val="24"/>
              </w:rPr>
              <w:t>29,909,715.90</w:t>
            </w:r>
          </w:p>
        </w:tc>
        <w:tc>
          <w:tcPr>
            <w:vAlign w:val="center"/>
          </w:tcPr>
          <w:p>
            <w:pPr>
              <w:jc w:val="center"/>
            </w:pPr>
            <w:r>
              <w:rPr>
                <w:rFonts w:eastAsiaTheme="minorEastAsia"/>
                <w:color w:themeColor="text1" w:val="000000"/>
                <w:kern w:val="0"/>
                <w:sz w:val="24"/>
                <w:szCs w:val="24"/>
              </w:rPr>
              <w:t>5.03</w:t>
            </w:r>
          </w:p>
        </w:tc>
      </w:tr>
      <w:tr>
        <w:tc>
          <w:tcPr>
            <w:vAlign w:val="center"/>
          </w:tcPr>
          <w:p>
            <w:pPr>
              <w:jc w:val="center"/>
            </w:pPr>
            <w:r>
              <w:rPr>
                <w:rFonts w:eastAsiaTheme="minorEastAsia"/>
                <w:color w:themeColor="text1" w:val="000000"/>
                <w:kern w:val="0"/>
                <w:sz w:val="24"/>
                <w:szCs w:val="24"/>
              </w:rPr>
              <w:t>金融</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信息技术</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电信服务</w:t>
            </w:r>
          </w:p>
        </w:tc>
        <w:tc>
          <w:tcPr>
            <w:vAlign w:val="center"/>
          </w:tcPr>
          <w:p>
            <w:pPr>
              <w:jc w:val="center"/>
            </w:pPr>
            <w:r>
              <w:rPr>
                <w:rFonts w:eastAsiaTheme="minorEastAsia"/>
                <w:color w:themeColor="text1" w:val="000000"/>
                <w:kern w:val="0"/>
                <w:sz w:val="24"/>
                <w:szCs w:val="24"/>
              </w:rPr>
              <w:t>25,094,809.24</w:t>
            </w:r>
          </w:p>
        </w:tc>
        <w:tc>
          <w:tcPr>
            <w:vAlign w:val="center"/>
          </w:tcPr>
          <w:p>
            <w:pPr>
              <w:jc w:val="center"/>
            </w:pPr>
            <w:r>
              <w:rPr>
                <w:rFonts w:eastAsiaTheme="minorEastAsia"/>
                <w:color w:themeColor="text1" w:val="000000"/>
                <w:kern w:val="0"/>
                <w:sz w:val="24"/>
                <w:szCs w:val="24"/>
              </w:rPr>
              <w:t>4.22</w:t>
            </w:r>
          </w:p>
        </w:tc>
      </w:tr>
      <w:tr>
        <w:tc>
          <w:tcPr>
            <w:vAlign w:val="center"/>
          </w:tcPr>
          <w:p>
            <w:pPr>
              <w:jc w:val="center"/>
            </w:pPr>
            <w:r>
              <w:rPr>
                <w:rFonts w:eastAsiaTheme="minorEastAsia"/>
                <w:color w:themeColor="text1" w:val="000000"/>
                <w:kern w:val="0"/>
                <w:sz w:val="24"/>
                <w:szCs w:val="24"/>
              </w:rPr>
              <w:t>公用事业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房地产</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311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66,890,133.35</w:t>
            </w:r>
          </w:p>
        </w:tc>
        <w:tc>
          <w:tcPr>
            <w:tcW w:type="dxa" w:w="3118"/>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11.25</w:t>
            </w:r>
          </w:p>
        </w:tc>
      </w:tr>
    </w:tbl>
    <w:p w:rsidP="008C2A4F" w:rsidR="00750D48" w:rsidRDefault="008C2A4F" w:rsidRPr="008C2A4F">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注：以上分类采用全球行业分类标准（GICS）。</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300476</w:t>
            </w:r>
          </w:p>
        </w:tc>
        <w:tc>
          <w:tcPr>
            <w:vAlign w:val="center"/>
          </w:tcPr>
          <w:p>
            <w:pPr>
              <w:jc w:val="center"/>
            </w:pPr>
            <w:r>
              <w:rPr>
                <w:color w:val="000000"/>
                <w:kern w:val="0"/>
                <w:sz w:val="24"/>
                <w:szCs w:val="24"/>
              </w:rPr>
              <w:t>胜宏科技</w:t>
            </w:r>
          </w:p>
        </w:tc>
        <w:tc>
          <w:tcPr>
            <w:vAlign w:val="center"/>
          </w:tcPr>
          <w:p>
            <w:pPr>
              <w:jc w:val="right"/>
            </w:pPr>
            <w:r>
              <w:rPr>
                <w:color w:val="000000"/>
                <w:kern w:val="0"/>
                <w:sz w:val="24"/>
                <w:szCs w:val="24"/>
              </w:rPr>
              <w:t>2,030,928</w:t>
            </w:r>
          </w:p>
        </w:tc>
        <w:tc>
          <w:tcPr>
            <w:vAlign w:val="center"/>
          </w:tcPr>
          <w:p>
            <w:pPr>
              <w:jc w:val="right"/>
            </w:pPr>
            <w:r>
              <w:rPr>
                <w:color w:val="000000"/>
                <w:kern w:val="0"/>
                <w:sz w:val="24"/>
                <w:szCs w:val="24"/>
              </w:rPr>
              <w:t>48,843,818.40</w:t>
            </w:r>
          </w:p>
        </w:tc>
        <w:tc>
          <w:tcPr>
            <w:vAlign w:val="center"/>
          </w:tcPr>
          <w:p>
            <w:pPr>
              <w:jc w:val="right"/>
            </w:pPr>
            <w:r>
              <w:rPr>
                <w:color w:val="000000"/>
                <w:kern w:val="0"/>
                <w:sz w:val="24"/>
                <w:szCs w:val="24"/>
              </w:rPr>
              <w:t>8.21</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300033</w:t>
            </w:r>
          </w:p>
        </w:tc>
        <w:tc>
          <w:tcPr>
            <w:vAlign w:val="center"/>
          </w:tcPr>
          <w:p>
            <w:pPr>
              <w:jc w:val="center"/>
            </w:pPr>
            <w:r>
              <w:rPr>
                <w:color w:val="000000"/>
                <w:kern w:val="0"/>
                <w:sz w:val="24"/>
                <w:szCs w:val="24"/>
              </w:rPr>
              <w:t>同花顺</w:t>
            </w:r>
          </w:p>
        </w:tc>
        <w:tc>
          <w:tcPr>
            <w:vAlign w:val="center"/>
          </w:tcPr>
          <w:p>
            <w:pPr>
              <w:jc w:val="right"/>
            </w:pPr>
            <w:r>
              <w:rPr>
                <w:color w:val="000000"/>
                <w:kern w:val="0"/>
                <w:sz w:val="24"/>
                <w:szCs w:val="24"/>
              </w:rPr>
              <w:t>257,605</w:t>
            </w:r>
          </w:p>
        </w:tc>
        <w:tc>
          <w:tcPr>
            <w:vAlign w:val="center"/>
          </w:tcPr>
          <w:p>
            <w:pPr>
              <w:jc w:val="right"/>
            </w:pPr>
            <w:r>
              <w:rPr>
                <w:color w:val="000000"/>
                <w:kern w:val="0"/>
                <w:sz w:val="24"/>
                <w:szCs w:val="24"/>
              </w:rPr>
              <w:t>34,282,073.40</w:t>
            </w:r>
          </w:p>
        </w:tc>
        <w:tc>
          <w:tcPr>
            <w:vAlign w:val="center"/>
          </w:tcPr>
          <w:p>
            <w:pPr>
              <w:jc w:val="right"/>
            </w:pPr>
            <w:r>
              <w:rPr>
                <w:color w:val="000000"/>
                <w:kern w:val="0"/>
                <w:sz w:val="24"/>
                <w:szCs w:val="24"/>
              </w:rPr>
              <w:t>5.76</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002127</w:t>
            </w:r>
          </w:p>
        </w:tc>
        <w:tc>
          <w:tcPr>
            <w:vAlign w:val="center"/>
          </w:tcPr>
          <w:p>
            <w:pPr>
              <w:jc w:val="center"/>
            </w:pPr>
            <w:r>
              <w:rPr>
                <w:color w:val="000000"/>
                <w:kern w:val="0"/>
                <w:sz w:val="24"/>
                <w:szCs w:val="24"/>
              </w:rPr>
              <w:t>南极电商</w:t>
            </w:r>
          </w:p>
        </w:tc>
        <w:tc>
          <w:tcPr>
            <w:vAlign w:val="center"/>
          </w:tcPr>
          <w:p>
            <w:pPr>
              <w:jc w:val="right"/>
            </w:pPr>
            <w:r>
              <w:rPr>
                <w:color w:val="000000"/>
                <w:kern w:val="0"/>
                <w:sz w:val="24"/>
                <w:szCs w:val="24"/>
              </w:rPr>
              <w:t>1,467,926</w:t>
            </w:r>
          </w:p>
        </w:tc>
        <w:tc>
          <w:tcPr>
            <w:vAlign w:val="center"/>
          </w:tcPr>
          <w:p>
            <w:pPr>
              <w:jc w:val="right"/>
            </w:pPr>
            <w:r>
              <w:rPr>
                <w:color w:val="000000"/>
                <w:kern w:val="0"/>
                <w:sz w:val="24"/>
                <w:szCs w:val="24"/>
              </w:rPr>
              <w:t>31,075,993.42</w:t>
            </w:r>
          </w:p>
        </w:tc>
        <w:tc>
          <w:tcPr>
            <w:vAlign w:val="center"/>
          </w:tcPr>
          <w:p>
            <w:pPr>
              <w:jc w:val="right"/>
            </w:pPr>
            <w:r>
              <w:rPr>
                <w:color w:val="000000"/>
                <w:kern w:val="0"/>
                <w:sz w:val="24"/>
                <w:szCs w:val="24"/>
              </w:rPr>
              <w:t>5.23</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002106</w:t>
            </w:r>
          </w:p>
        </w:tc>
        <w:tc>
          <w:tcPr>
            <w:vAlign w:val="center"/>
          </w:tcPr>
          <w:p>
            <w:pPr>
              <w:jc w:val="center"/>
            </w:pPr>
            <w:r>
              <w:rPr>
                <w:color w:val="000000"/>
                <w:kern w:val="0"/>
                <w:sz w:val="24"/>
                <w:szCs w:val="24"/>
              </w:rPr>
              <w:t>莱宝高科</w:t>
            </w:r>
          </w:p>
        </w:tc>
        <w:tc>
          <w:tcPr>
            <w:vAlign w:val="center"/>
          </w:tcPr>
          <w:p>
            <w:pPr>
              <w:jc w:val="right"/>
            </w:pPr>
            <w:r>
              <w:rPr>
                <w:color w:val="000000"/>
                <w:kern w:val="0"/>
                <w:sz w:val="24"/>
                <w:szCs w:val="24"/>
              </w:rPr>
              <w:t>2,227,400</w:t>
            </w:r>
          </w:p>
        </w:tc>
        <w:tc>
          <w:tcPr>
            <w:vAlign w:val="center"/>
          </w:tcPr>
          <w:p>
            <w:pPr>
              <w:jc w:val="right"/>
            </w:pPr>
            <w:r>
              <w:rPr>
                <w:color w:val="000000"/>
                <w:kern w:val="0"/>
                <w:sz w:val="24"/>
                <w:szCs w:val="24"/>
              </w:rPr>
              <w:t>29,268,036.00</w:t>
            </w:r>
          </w:p>
        </w:tc>
        <w:tc>
          <w:tcPr>
            <w:vAlign w:val="center"/>
          </w:tcPr>
          <w:p>
            <w:pPr>
              <w:jc w:val="right"/>
            </w:pPr>
            <w:r>
              <w:rPr>
                <w:color w:val="000000"/>
                <w:kern w:val="0"/>
                <w:sz w:val="24"/>
                <w:szCs w:val="24"/>
              </w:rPr>
              <w:t>4.92</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600570</w:t>
            </w:r>
          </w:p>
        </w:tc>
        <w:tc>
          <w:tcPr>
            <w:vAlign w:val="center"/>
          </w:tcPr>
          <w:p>
            <w:pPr>
              <w:jc w:val="center"/>
            </w:pPr>
            <w:r>
              <w:rPr>
                <w:color w:val="000000"/>
                <w:kern w:val="0"/>
                <w:sz w:val="24"/>
                <w:szCs w:val="24"/>
              </w:rPr>
              <w:t>恒生电子</w:t>
            </w:r>
          </w:p>
        </w:tc>
        <w:tc>
          <w:tcPr>
            <w:vAlign w:val="center"/>
          </w:tcPr>
          <w:p>
            <w:pPr>
              <w:jc w:val="right"/>
            </w:pPr>
            <w:r>
              <w:rPr>
                <w:color w:val="000000"/>
                <w:kern w:val="0"/>
                <w:sz w:val="24"/>
                <w:szCs w:val="24"/>
              </w:rPr>
              <w:t>253,000</w:t>
            </w:r>
          </w:p>
        </w:tc>
        <w:tc>
          <w:tcPr>
            <w:vAlign w:val="center"/>
          </w:tcPr>
          <w:p>
            <w:pPr>
              <w:jc w:val="right"/>
            </w:pPr>
            <w:r>
              <w:rPr>
                <w:color w:val="000000"/>
                <w:kern w:val="0"/>
                <w:sz w:val="24"/>
                <w:szCs w:val="24"/>
              </w:rPr>
              <w:t>27,248,100.00</w:t>
            </w:r>
          </w:p>
        </w:tc>
        <w:tc>
          <w:tcPr>
            <w:vAlign w:val="center"/>
          </w:tcPr>
          <w:p>
            <w:pPr>
              <w:jc w:val="right"/>
            </w:pPr>
            <w:r>
              <w:rPr>
                <w:color w:val="000000"/>
                <w:kern w:val="0"/>
                <w:sz w:val="24"/>
                <w:szCs w:val="24"/>
              </w:rPr>
              <w:t>4.58</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603890</w:t>
            </w:r>
          </w:p>
        </w:tc>
        <w:tc>
          <w:tcPr>
            <w:vAlign w:val="center"/>
          </w:tcPr>
          <w:p>
            <w:pPr>
              <w:jc w:val="center"/>
            </w:pPr>
            <w:r>
              <w:rPr>
                <w:color w:val="000000"/>
                <w:kern w:val="0"/>
                <w:sz w:val="24"/>
                <w:szCs w:val="24"/>
              </w:rPr>
              <w:t>春秋电子</w:t>
            </w:r>
          </w:p>
        </w:tc>
        <w:tc>
          <w:tcPr>
            <w:vAlign w:val="center"/>
          </w:tcPr>
          <w:p>
            <w:pPr>
              <w:jc w:val="right"/>
            </w:pPr>
            <w:r>
              <w:rPr>
                <w:color w:val="000000"/>
                <w:kern w:val="0"/>
                <w:sz w:val="24"/>
                <w:szCs w:val="24"/>
              </w:rPr>
              <w:t>1,494,139</w:t>
            </w:r>
          </w:p>
        </w:tc>
        <w:tc>
          <w:tcPr>
            <w:vAlign w:val="center"/>
          </w:tcPr>
          <w:p>
            <w:pPr>
              <w:jc w:val="right"/>
            </w:pPr>
            <w:r>
              <w:rPr>
                <w:color w:val="000000"/>
                <w:kern w:val="0"/>
                <w:sz w:val="24"/>
                <w:szCs w:val="24"/>
              </w:rPr>
              <w:t>26,849,677.83</w:t>
            </w:r>
          </w:p>
        </w:tc>
        <w:tc>
          <w:tcPr>
            <w:vAlign w:val="center"/>
          </w:tcPr>
          <w:p>
            <w:pPr>
              <w:jc w:val="right"/>
            </w:pPr>
            <w:r>
              <w:rPr>
                <w:color w:val="000000"/>
                <w:kern w:val="0"/>
                <w:sz w:val="24"/>
                <w:szCs w:val="24"/>
              </w:rPr>
              <w:t>4.52</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01951</w:t>
            </w:r>
          </w:p>
        </w:tc>
        <w:tc>
          <w:tcPr>
            <w:vAlign w:val="center"/>
          </w:tcPr>
          <w:p>
            <w:pPr>
              <w:jc w:val="center"/>
            </w:pPr>
            <w:r>
              <w:rPr>
                <w:color w:val="000000"/>
                <w:kern w:val="0"/>
                <w:sz w:val="24"/>
                <w:szCs w:val="24"/>
              </w:rPr>
              <w:t>锦欣生殖</w:t>
            </w:r>
          </w:p>
        </w:tc>
        <w:tc>
          <w:tcPr>
            <w:vAlign w:val="center"/>
          </w:tcPr>
          <w:p>
            <w:pPr>
              <w:jc w:val="right"/>
            </w:pPr>
            <w:r>
              <w:rPr>
                <w:color w:val="000000"/>
                <w:kern w:val="0"/>
                <w:sz w:val="24"/>
                <w:szCs w:val="24"/>
              </w:rPr>
              <w:t>2,446,000</w:t>
            </w:r>
          </w:p>
        </w:tc>
        <w:tc>
          <w:tcPr>
            <w:vAlign w:val="center"/>
          </w:tcPr>
          <w:p>
            <w:pPr>
              <w:jc w:val="right"/>
            </w:pPr>
            <w:r>
              <w:rPr>
                <w:color w:val="000000"/>
                <w:kern w:val="0"/>
                <w:sz w:val="24"/>
                <w:szCs w:val="24"/>
              </w:rPr>
              <w:t>26,230,379.58</w:t>
            </w:r>
          </w:p>
        </w:tc>
        <w:tc>
          <w:tcPr>
            <w:vAlign w:val="center"/>
          </w:tcPr>
          <w:p>
            <w:pPr>
              <w:jc w:val="right"/>
            </w:pPr>
            <w:r>
              <w:rPr>
                <w:color w:val="000000"/>
                <w:kern w:val="0"/>
                <w:sz w:val="24"/>
                <w:szCs w:val="24"/>
              </w:rPr>
              <w:t>4.41</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00700</w:t>
            </w:r>
          </w:p>
        </w:tc>
        <w:tc>
          <w:tcPr>
            <w:vAlign w:val="center"/>
          </w:tcPr>
          <w:p>
            <w:pPr>
              <w:jc w:val="center"/>
            </w:pPr>
            <w:r>
              <w:rPr>
                <w:color w:val="000000"/>
                <w:kern w:val="0"/>
                <w:sz w:val="24"/>
                <w:szCs w:val="24"/>
              </w:rPr>
              <w:t>腾讯控股</w:t>
            </w:r>
          </w:p>
        </w:tc>
        <w:tc>
          <w:tcPr>
            <w:vAlign w:val="center"/>
          </w:tcPr>
          <w:p>
            <w:pPr>
              <w:jc w:val="right"/>
            </w:pPr>
            <w:r>
              <w:rPr>
                <w:color w:val="000000"/>
                <w:kern w:val="0"/>
                <w:sz w:val="24"/>
                <w:szCs w:val="24"/>
              </w:rPr>
              <w:t>55,100</w:t>
            </w:r>
          </w:p>
        </w:tc>
        <w:tc>
          <w:tcPr>
            <w:vAlign w:val="center"/>
          </w:tcPr>
          <w:p>
            <w:pPr>
              <w:jc w:val="right"/>
            </w:pPr>
            <w:r>
              <w:rPr>
                <w:color w:val="000000"/>
                <w:kern w:val="0"/>
                <w:sz w:val="24"/>
                <w:szCs w:val="24"/>
              </w:rPr>
              <w:t>25,094,809.24</w:t>
            </w:r>
          </w:p>
        </w:tc>
        <w:tc>
          <w:tcPr>
            <w:vAlign w:val="center"/>
          </w:tcPr>
          <w:p>
            <w:pPr>
              <w:jc w:val="right"/>
            </w:pPr>
            <w:r>
              <w:rPr>
                <w:color w:val="000000"/>
                <w:kern w:val="0"/>
                <w:sz w:val="24"/>
                <w:szCs w:val="24"/>
              </w:rPr>
              <w:t>4.22</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603887</w:t>
            </w:r>
          </w:p>
        </w:tc>
        <w:tc>
          <w:tcPr>
            <w:vAlign w:val="center"/>
          </w:tcPr>
          <w:p>
            <w:pPr>
              <w:jc w:val="center"/>
            </w:pPr>
            <w:r>
              <w:rPr>
                <w:color w:val="000000"/>
                <w:kern w:val="0"/>
                <w:sz w:val="24"/>
                <w:szCs w:val="24"/>
              </w:rPr>
              <w:t>城地股份</w:t>
            </w:r>
          </w:p>
        </w:tc>
        <w:tc>
          <w:tcPr>
            <w:vAlign w:val="center"/>
          </w:tcPr>
          <w:p>
            <w:pPr>
              <w:jc w:val="right"/>
            </w:pPr>
            <w:r>
              <w:rPr>
                <w:color w:val="000000"/>
                <w:kern w:val="0"/>
                <w:sz w:val="24"/>
                <w:szCs w:val="24"/>
              </w:rPr>
              <w:t>986,196</w:t>
            </w:r>
          </w:p>
        </w:tc>
        <w:tc>
          <w:tcPr>
            <w:vAlign w:val="center"/>
          </w:tcPr>
          <w:p>
            <w:pPr>
              <w:jc w:val="right"/>
            </w:pPr>
            <w:r>
              <w:rPr>
                <w:color w:val="000000"/>
                <w:kern w:val="0"/>
                <w:sz w:val="24"/>
                <w:szCs w:val="24"/>
              </w:rPr>
              <w:t>24,063,182.40</w:t>
            </w:r>
          </w:p>
        </w:tc>
        <w:tc>
          <w:tcPr>
            <w:vAlign w:val="center"/>
          </w:tcPr>
          <w:p>
            <w:pPr>
              <w:jc w:val="right"/>
            </w:pPr>
            <w:r>
              <w:rPr>
                <w:color w:val="000000"/>
                <w:kern w:val="0"/>
                <w:sz w:val="24"/>
                <w:szCs w:val="24"/>
              </w:rPr>
              <w:t>4.05</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300014</w:t>
            </w:r>
          </w:p>
        </w:tc>
        <w:tc>
          <w:tcPr>
            <w:vAlign w:val="center"/>
          </w:tcPr>
          <w:p>
            <w:pPr>
              <w:jc w:val="center"/>
            </w:pPr>
            <w:r>
              <w:rPr>
                <w:color w:val="000000"/>
                <w:kern w:val="0"/>
                <w:sz w:val="24"/>
                <w:szCs w:val="24"/>
              </w:rPr>
              <w:t>亿纬锂能</w:t>
            </w:r>
          </w:p>
        </w:tc>
        <w:tc>
          <w:tcPr>
            <w:vAlign w:val="center"/>
          </w:tcPr>
          <w:p>
            <w:pPr>
              <w:jc w:val="right"/>
            </w:pPr>
            <w:r>
              <w:rPr>
                <w:color w:val="000000"/>
                <w:kern w:val="0"/>
                <w:sz w:val="24"/>
                <w:szCs w:val="24"/>
              </w:rPr>
              <w:t>420,473</w:t>
            </w:r>
          </w:p>
        </w:tc>
        <w:tc>
          <w:tcPr>
            <w:vAlign w:val="center"/>
          </w:tcPr>
          <w:p>
            <w:pPr>
              <w:jc w:val="right"/>
            </w:pPr>
            <w:r>
              <w:rPr>
                <w:color w:val="000000"/>
                <w:kern w:val="0"/>
                <w:sz w:val="24"/>
                <w:szCs w:val="24"/>
              </w:rPr>
              <w:t>20,119,633.05</w:t>
            </w:r>
          </w:p>
        </w:tc>
        <w:tc>
          <w:tcPr>
            <w:vAlign w:val="center"/>
          </w:tcPr>
          <w:p>
            <w:pPr>
              <w:jc w:val="right"/>
            </w:pPr>
            <w:r>
              <w:rPr>
                <w:color w:val="000000"/>
                <w:kern w:val="0"/>
                <w:sz w:val="24"/>
                <w:szCs w:val="24"/>
              </w:rPr>
              <w:t>3.38</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868,686.00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0.15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868,686.00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0.15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113577</w:t>
            </w:r>
          </w:p>
        </w:tc>
        <w:tc>
          <w:tcPr>
            <w:vAlign w:val="center"/>
          </w:tcPr>
          <w:p>
            <w:pPr>
              <w:jc w:val="center"/>
            </w:pPr>
            <w:r>
              <w:rPr>
                <w:color w:val="000000"/>
                <w:kern w:val="0"/>
                <w:sz w:val="24"/>
                <w:szCs w:val="24"/>
              </w:rPr>
              <w:t>春秋转债</w:t>
            </w:r>
          </w:p>
        </w:tc>
        <w:tc>
          <w:tcPr>
            <w:vAlign w:val="center"/>
          </w:tcPr>
          <w:p>
            <w:pPr>
              <w:jc w:val="right"/>
            </w:pPr>
            <w:r>
              <w:rPr>
                <w:color w:val="000000"/>
                <w:kern w:val="0"/>
                <w:sz w:val="24"/>
                <w:szCs w:val="24"/>
              </w:rPr>
              <w:t>5,590</w:t>
            </w:r>
          </w:p>
        </w:tc>
        <w:tc>
          <w:tcPr>
            <w:vAlign w:val="center"/>
          </w:tcPr>
          <w:p>
            <w:pPr>
              <w:jc w:val="right"/>
            </w:pPr>
            <w:r>
              <w:rPr>
                <w:color w:val="000000"/>
                <w:kern w:val="0"/>
                <w:sz w:val="24"/>
                <w:szCs w:val="24"/>
              </w:rPr>
              <w:t>868,686.00</w:t>
            </w:r>
          </w:p>
        </w:tc>
        <w:tc>
          <w:tcPr>
            <w:vAlign w:val="center"/>
          </w:tcPr>
          <w:p>
            <w:pPr>
              <w:jc w:val="right"/>
            </w:pPr>
            <w:r>
              <w:rPr>
                <w:color w:val="000000"/>
                <w:kern w:val="0"/>
                <w:sz w:val="24"/>
                <w:szCs w:val="24"/>
              </w:rPr>
              <w:t>0.15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310,261.72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61,242.30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7,916.45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13,089,898.04</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13,469,318.51</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327,590,957.79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123,327,939.05</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109,829,475.31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341,089,421.53</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1.中国证监会准予易方达科融混合型证券投资基金注册的文件；</w:t>
      </w:r>
    </w:p>
    <w:p>
      <w:pPr>
        <w:spacing w:line="360" w:lineRule="auto"/>
        <w:ind w:firstLine="480" w:firstLineChars="200"/>
        <w:rPr>
          <w:color w:val="000000"/>
          <w:sz w:val="24"/>
          <w:szCs w:val="24"/>
        </w:rPr>
      </w:pPr>
      <w:r>
        <w:rPr>
          <w:color w:val="000000"/>
          <w:sz w:val="24"/>
          <w:szCs w:val="24"/>
        </w:rPr>
        <w:t>2.《易方达科融混合型证券投资基金基金合同》；</w:t>
      </w:r>
    </w:p>
    <w:p>
      <w:pPr>
        <w:spacing w:line="360" w:lineRule="auto"/>
        <w:ind w:firstLine="480" w:firstLineChars="200"/>
        <w:rPr>
          <w:color w:val="000000"/>
          <w:sz w:val="24"/>
          <w:szCs w:val="24"/>
        </w:rPr>
      </w:pPr>
      <w:r>
        <w:rPr>
          <w:color w:val="000000"/>
          <w:sz w:val="24"/>
          <w:szCs w:val="24"/>
        </w:rPr>
        <w:t>3.《易方达科融混合型证券投资基金托管协议》；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易方达科融混合型证券投资基金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