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397616" w:rsidR="00397616" w:rsidRDefault="00397616"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397616" w:rsidR="00397616" w:rsidRDefault="00397616"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397616" w:rsidR="00397616" w:rsidRDefault="00397616"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F22F00" w:rsidR="00F22F00" w:rsidRDefault="00F22F00"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506D57" w:rsidR="00F22F00" w:rsidRDefault="00F22F00" w:rsidRPr="008277FF">
      <w:pPr>
        <w:spacing w:line="360" w:lineRule="auto"/>
        <w:jc w:val="center"/>
        <w:rPr>
          <w:rFonts w:asciiTheme="minorEastAsia" w:eastAsiaTheme="minorEastAsia" w:hAnsiTheme="minorEastAsia"/>
          <w:b/>
          <w:color w:themeColor="text1" w:val="000000"/>
          <w:sz w:val="36"/>
          <w:szCs w:val="36"/>
        </w:rPr>
      </w:pPr>
      <w:r w:rsidRPr="008277FF">
        <w:rPr>
          <w:rFonts w:asciiTheme="minorEastAsia" w:eastAsiaTheme="minorEastAsia" w:hAnsiTheme="minorEastAsia" w:hint="eastAsia"/>
          <w:b/>
          <w:color w:themeColor="text1" w:val="000000"/>
          <w:sz w:val="36"/>
          <w:szCs w:val="36"/>
        </w:rPr>
        <w:t/>
      </w:r>
      <w:proofErr w:type="spellStart"/>
      <w:proofErr w:type="gramStart"/>
      <w:r w:rsidRPr="008277FF">
        <w:rPr>
          <w:rFonts w:asciiTheme="minorEastAsia" w:eastAsiaTheme="minorEastAsia" w:hAnsiTheme="minorEastAsia"/>
          <w:b/>
          <w:color w:themeColor="text1" w:val="000000"/>
          <w:sz w:val="36"/>
          <w:szCs w:val="36"/>
        </w:rPr>
        <w:t/>
      </w:r>
      <w:r w:rsidRPr="008277FF">
        <w:rPr>
          <w:rFonts w:asciiTheme="minorEastAsia" w:eastAsiaTheme="minorEastAsia" w:hAnsiTheme="minorEastAsia" w:hint="eastAsia"/>
          <w:b/>
          <w:color w:themeColor="text1" w:val="000000"/>
          <w:sz w:val="36"/>
          <w:szCs w:val="36"/>
        </w:rPr>
        <w:t/>
      </w:r>
      <w:r w:rsidRPr="008277FF">
        <w:rPr>
          <w:rFonts w:asciiTheme="minorEastAsia" w:eastAsiaTheme="minorEastAsia" w:hAnsiTheme="minorEastAsia"/>
          <w:b/>
          <w:color w:themeColor="text1" w:val="000000"/>
          <w:sz w:val="36"/>
          <w:szCs w:val="36"/>
        </w:rPr>
        <w:t/>
      </w:r>
      <w:proofErr w:type="spellEnd"/>
      <w:proofErr w:type="gramEnd"/>
      <w:r w:rsidRPr="008277FF">
        <w:rPr>
          <w:rFonts w:asciiTheme="minorEastAsia" w:eastAsiaTheme="minorEastAsia" w:hAnsiTheme="minorEastAsia" w:hint="eastAsia"/>
          <w:b/>
          <w:color w:themeColor="text1" w:val="000000"/>
          <w:sz w:val="36"/>
          <w:szCs w:val="36"/>
        </w:rPr>
        <w:t>易方达中证海外中国互联网50交易型开放式指数证券投资基金联接基金</w:t>
      </w:r>
    </w:p>
    <w:p w:rsidP="00506D57" w:rsidR="00F22F00" w:rsidRDefault="00F22F00" w:rsidRPr="008277FF">
      <w:pPr>
        <w:spacing w:line="360" w:lineRule="auto"/>
        <w:jc w:val="center"/>
        <w:rPr>
          <w:rFonts w:asciiTheme="minorEastAsia" w:eastAsiaTheme="minorEastAsia" w:hAnsiTheme="minorEastAsia"/>
          <w:b/>
          <w:color w:themeColor="text1" w:val="000000"/>
          <w:sz w:val="36"/>
          <w:szCs w:val="36"/>
        </w:rPr>
      </w:pPr>
      <w:r w:rsidRPr="008277FF">
        <w:rPr>
          <w:rFonts w:asciiTheme="minorEastAsia" w:eastAsiaTheme="minorEastAsia" w:hAnsiTheme="minorEastAsia" w:hint="eastAsia"/>
          <w:b/>
          <w:color w:themeColor="text1" w:val="000000"/>
          <w:sz w:val="36"/>
          <w:szCs w:val="36"/>
        </w:rPr>
        <w:t/>
      </w:r>
      <w:proofErr w:type="spellStart"/>
      <w:r w:rsidRPr="008277FF">
        <w:rPr>
          <w:rFonts w:asciiTheme="minorEastAsia" w:eastAsiaTheme="minorEastAsia" w:hAnsiTheme="minorEastAsia" w:hint="eastAsia"/>
          <w:b/>
          <w:color w:themeColor="text1" w:val="000000"/>
          <w:sz w:val="36"/>
          <w:szCs w:val="36"/>
        </w:rPr>
        <w:t/>
      </w:r>
      <w:proofErr w:type="spellEnd"/>
      <w:r w:rsidRPr="008277FF">
        <w:rPr>
          <w:rFonts w:asciiTheme="minorEastAsia" w:eastAsiaTheme="minorEastAsia" w:hAnsiTheme="minorEastAsia" w:hint="eastAsia"/>
          <w:b/>
          <w:color w:themeColor="text1" w:val="000000"/>
          <w:sz w:val="36"/>
          <w:szCs w:val="36"/>
        </w:rPr>
        <w:t>2020年第2季度报告</w:t>
      </w:r>
    </w:p>
    <w:p w:rsidP="00506D57" w:rsidR="00397616" w:rsidRDefault="00623556" w:rsidRPr="008277FF">
      <w:pPr>
        <w:spacing w:line="360" w:lineRule="auto"/>
        <w:jc w:val="center"/>
        <w:rPr>
          <w:rFonts w:asciiTheme="minorEastAsia" w:eastAsiaTheme="minorEastAsia" w:hAnsiTheme="minorEastAsia"/>
          <w:b/>
          <w:color w:themeColor="text1" w:val="000000"/>
          <w:sz w:val="24"/>
        </w:rPr>
      </w:pPr>
      <w:r w:rsidRPr="008277FF">
        <w:rPr>
          <w:rFonts w:asciiTheme="minorEastAsia" w:eastAsiaTheme="minorEastAsia" w:hAnsiTheme="minorEastAsia"/>
          <w:b/>
          <w:color w:themeColor="text1" w:val="000000"/>
          <w:sz w:val="24"/>
        </w:rPr>
        <w:t/>
      </w:r>
      <w:proofErr w:type="spellStart"/>
      <w:proofErr w:type="gramStart"/>
      <w:r w:rsidRPr="008277FF">
        <w:rPr>
          <w:rFonts w:asciiTheme="minorEastAsia" w:eastAsiaTheme="minorEastAsia" w:hAnsiTheme="minorEastAsia"/>
          <w:b/>
          <w:color w:themeColor="text1" w:val="000000"/>
          <w:sz w:val="24"/>
        </w:rPr>
        <w:t/>
      </w:r>
      <w:proofErr w:type="spellEnd"/>
      <w:proofErr w:type="gramEnd"/>
      <w:r w:rsidRPr="008277FF">
        <w:rPr>
          <w:rFonts w:asciiTheme="minorEastAsia" w:eastAsiaTheme="minorEastAsia" w:hAnsiTheme="minorEastAsia"/>
          <w:b/>
          <w:color w:themeColor="text1" w:val="000000"/>
          <w:sz w:val="24"/>
        </w:rPr>
        <w:t>2020年6月30日</w:t>
      </w: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826B12" w:rsidR="00397616" w:rsidRDefault="00397616" w:rsidRPr="008277FF">
      <w:pPr>
        <w:spacing w:line="288" w:lineRule="auto"/>
        <w:ind w:firstLine="2168" w:firstLineChars="900"/>
        <w:rPr>
          <w:rFonts w:asciiTheme="minorEastAsia" w:eastAsiaTheme="minorEastAsia" w:hAnsiTheme="minorEastAsia"/>
          <w:b/>
          <w:color w:themeColor="text1" w:val="000000"/>
          <w:sz w:val="24"/>
        </w:rPr>
      </w:pPr>
    </w:p>
    <w:p w:rsidP="00506D57" w:rsidR="007D1292" w:rsidRDefault="007D1292" w:rsidRPr="008277FF">
      <w:pPr>
        <w:spacing w:line="360" w:lineRule="auto"/>
        <w:ind w:firstLine="2168" w:firstLineChars="900"/>
        <w:rPr>
          <w:rFonts w:asciiTheme="minorEastAsia" w:eastAsiaTheme="minorEastAsia" w:hAnsiTheme="minorEastAsia"/>
          <w:b/>
          <w:color w:themeColor="text1" w:val="000000"/>
          <w:sz w:val="24"/>
        </w:rPr>
      </w:pPr>
      <w:r w:rsidRPr="008277FF">
        <w:rPr>
          <w:rFonts w:asciiTheme="minorEastAsia" w:eastAsiaTheme="minorEastAsia" w:hAnsiTheme="minorEastAsia" w:hint="eastAsia"/>
          <w:b/>
          <w:color w:themeColor="text1" w:val="000000"/>
          <w:sz w:val="24"/>
        </w:rPr>
        <w:t>基金管理人：</w:t>
      </w:r>
      <w:r w:rsidRPr="008277FF">
        <w:rPr>
          <w:rFonts w:asciiTheme="minorEastAsia" w:eastAsiaTheme="minorEastAsia" w:hAnsiTheme="minorEastAsia"/>
          <w:b/>
          <w:color w:themeColor="text1" w:val="000000"/>
          <w:sz w:val="24"/>
        </w:rPr>
        <w:t/>
      </w:r>
      <w:proofErr w:type="spellStart"/>
      <w:proofErr w:type="gramStart"/>
      <w:r w:rsidRPr="008277FF">
        <w:rPr>
          <w:rFonts w:asciiTheme="minorEastAsia" w:eastAsiaTheme="minorEastAsia" w:hAnsiTheme="minorEastAsia"/>
          <w:b/>
          <w:color w:themeColor="text1" w:val="000000"/>
          <w:sz w:val="24"/>
        </w:rPr>
        <w:t/>
      </w:r>
      <w:proofErr w:type="spellEnd"/>
      <w:proofErr w:type="gramEnd"/>
      <w:r w:rsidRPr="008277FF">
        <w:rPr>
          <w:rFonts w:asciiTheme="minorEastAsia" w:eastAsiaTheme="minorEastAsia" w:hAnsiTheme="minorEastAsia"/>
          <w:b/>
          <w:color w:themeColor="text1" w:val="000000"/>
          <w:sz w:val="24"/>
        </w:rPr>
        <w:t>易方达基金管理有限公司</w:t>
      </w:r>
    </w:p>
    <w:p w:rsidP="00506D57" w:rsidR="007D1292" w:rsidRDefault="007D1292" w:rsidRPr="008277FF">
      <w:pPr>
        <w:spacing w:line="360" w:lineRule="auto"/>
        <w:ind w:firstLine="2168" w:firstLineChars="900"/>
        <w:rPr>
          <w:rFonts w:asciiTheme="minorEastAsia" w:eastAsiaTheme="minorEastAsia" w:hAnsiTheme="minorEastAsia"/>
          <w:b/>
          <w:color w:themeColor="text1" w:val="000000"/>
          <w:sz w:val="24"/>
        </w:rPr>
      </w:pPr>
      <w:r w:rsidRPr="008277FF">
        <w:rPr>
          <w:rFonts w:asciiTheme="minorEastAsia" w:eastAsiaTheme="minorEastAsia" w:hAnsiTheme="minorEastAsia" w:hint="eastAsia"/>
          <w:b/>
          <w:color w:themeColor="text1" w:val="000000"/>
          <w:sz w:val="24"/>
        </w:rPr>
        <w:t>基金托管人：</w:t>
      </w:r>
      <w:r w:rsidRPr="008277FF">
        <w:rPr>
          <w:rFonts w:asciiTheme="minorEastAsia" w:eastAsiaTheme="minorEastAsia" w:hAnsiTheme="minorEastAsia"/>
          <w:b/>
          <w:color w:themeColor="text1" w:val="000000"/>
          <w:sz w:val="24"/>
        </w:rPr>
        <w:t/>
      </w:r>
      <w:proofErr w:type="spellStart"/>
      <w:proofErr w:type="gramStart"/>
      <w:r w:rsidRPr="008277FF">
        <w:rPr>
          <w:rFonts w:asciiTheme="minorEastAsia" w:eastAsiaTheme="minorEastAsia" w:hAnsiTheme="minorEastAsia"/>
          <w:b/>
          <w:color w:themeColor="text1" w:val="000000"/>
          <w:sz w:val="24"/>
        </w:rPr>
        <w:t/>
      </w:r>
      <w:proofErr w:type="spellEnd"/>
      <w:proofErr w:type="gramEnd"/>
      <w:r w:rsidRPr="008277FF">
        <w:rPr>
          <w:rFonts w:asciiTheme="minorEastAsia" w:eastAsiaTheme="minorEastAsia" w:hAnsiTheme="minorEastAsia"/>
          <w:b/>
          <w:color w:themeColor="text1" w:val="000000"/>
          <w:sz w:val="24"/>
        </w:rPr>
        <w:t>招商银行股份有限公司</w:t>
      </w:r>
    </w:p>
    <w:p w:rsidP="00506D57" w:rsidR="007D1292" w:rsidRDefault="007D1292" w:rsidRPr="008277FF">
      <w:pPr>
        <w:spacing w:line="360" w:lineRule="auto"/>
        <w:ind w:firstLine="2168" w:firstLineChars="900"/>
        <w:rPr>
          <w:rFonts w:asciiTheme="minorEastAsia" w:eastAsiaTheme="minorEastAsia" w:hAnsiTheme="minorEastAsia"/>
          <w:b/>
          <w:color w:themeColor="text1" w:val="000000"/>
          <w:sz w:val="24"/>
        </w:rPr>
        <w:sectPr w:rsidR="007D1292" w:rsidRPr="008277FF" w:rsidSect="00B918B8">
          <w:headerReference r:id="rId8" w:type="default"/>
          <w:footerReference r:id="rId9" w:type="default"/>
          <w:pgSz w:h="15840" w:w="11926"/>
          <w:pgMar w:bottom="851" w:footer="992" w:gutter="0" w:header="851" w:left="1418" w:right="1418" w:top="1418"/>
          <w:cols w:space="720"/>
          <w:noEndnote/>
        </w:sectPr>
      </w:pPr>
      <w:r w:rsidRPr="008277FF">
        <w:rPr>
          <w:rFonts w:asciiTheme="minorEastAsia" w:eastAsiaTheme="minorEastAsia" w:hAnsiTheme="minorEastAsia" w:hint="eastAsia"/>
          <w:b/>
          <w:color w:themeColor="text1" w:val="000000"/>
          <w:sz w:val="24"/>
        </w:rPr>
        <w:t>报告送出日期：</w:t>
      </w:r>
      <w:r w:rsidR="00CB44DE" w:rsidRPr="008277FF">
        <w:rPr>
          <w:rFonts w:asciiTheme="minorEastAsia" w:eastAsiaTheme="minorEastAsia" w:hAnsiTheme="minorEastAsia"/>
          <w:b/>
          <w:color w:themeColor="text1" w:val="000000"/>
          <w:sz w:val="24"/>
        </w:rPr>
        <w:t/>
      </w:r>
      <w:proofErr w:type="spellStart"/>
      <w:proofErr w:type="gramStart"/>
      <w:r w:rsidR="00CB44DE" w:rsidRPr="008277FF">
        <w:rPr>
          <w:rFonts w:asciiTheme="minorEastAsia" w:eastAsiaTheme="minorEastAsia" w:hAnsiTheme="minorEastAsia" w:hint="eastAsia"/>
          <w:b/>
          <w:color w:themeColor="text1" w:val="000000"/>
          <w:sz w:val="24"/>
        </w:rPr>
        <w:t/>
      </w:r>
      <w:r w:rsidR="00623556" w:rsidRPr="008277FF">
        <w:rPr>
          <w:rFonts w:asciiTheme="minorEastAsia" w:eastAsiaTheme="minorEastAsia" w:hAnsiTheme="minorEastAsia" w:hint="eastAsia"/>
          <w:b/>
          <w:color w:themeColor="text1" w:val="000000"/>
          <w:sz w:val="24"/>
        </w:rPr>
        <w:t/>
      </w:r>
      <w:proofErr w:type="spellEnd"/>
      <w:proofErr w:type="gramEnd"/>
      <w:r w:rsidR="00CB44DE" w:rsidRPr="008277FF">
        <w:rPr>
          <w:rFonts w:asciiTheme="minorEastAsia" w:eastAsiaTheme="minorEastAsia" w:hAnsiTheme="minorEastAsia"/>
          <w:b/>
          <w:color w:themeColor="text1" w:val="000000"/>
          <w:sz w:val="24"/>
        </w:rPr>
        <w:t>二〇二〇年七月二十一日</w:t>
      </w:r>
    </w:p>
    <w:p w:rsidP="00CB3783" w:rsidR="0076518F" w:rsidRDefault="0076518F" w:rsidRPr="00A67563">
      <w:pPr>
        <w:pStyle w:val="1"/>
        <w:spacing w:after="312" w:afterLines="100" w:before="312" w:beforeLines="100" w:line="360" w:lineRule="auto"/>
        <w:jc w:val="center"/>
        <w:rPr>
          <w:b w:val="0"/>
          <w:color w:themeColor="text1" w:val="000000"/>
          <w:kern w:val="0"/>
          <w:sz w:val="24"/>
          <w:szCs w:val="24"/>
        </w:rPr>
      </w:pPr>
      <w:r w:rsidRPr="00A67563">
        <w:rPr>
          <w:color w:themeColor="text1" w:val="000000"/>
          <w:kern w:val="0"/>
          <w:sz w:val="24"/>
          <w:szCs w:val="24"/>
        </w:rPr>
        <w:lastRenderedPageBreak/>
        <w:t xml:space="preserve">§1  </w:t>
      </w:r>
      <w:r w:rsidRPr="00A67563">
        <w:rPr>
          <w:color w:themeColor="text1" w:val="000000"/>
          <w:kern w:val="0"/>
          <w:sz w:val="24"/>
          <w:szCs w:val="24"/>
        </w:rPr>
        <w:t>重要提示</w:t>
      </w:r>
    </w:p>
    <w:p>
      <w:pPr>
        <w:spacing w:line="360" w:lineRule="auto"/>
        <w:ind w:firstLine="480" w:firstLineChars="200"/>
        <w:rPr>
          <w:color w:themeColor="text1" w:val="000000"/>
          <w:sz w:val="24"/>
        </w:rPr>
      </w:pPr>
      <w:r>
        <w:rPr>
          <w:color w:themeColor="text1"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themeColor="text1" w:val="000000"/>
          <w:sz w:val="24"/>
        </w:rPr>
      </w:pPr>
      <w:r>
        <w:rPr>
          <w:color w:themeColor="text1" w:val="000000"/>
          <w:sz w:val="24"/>
        </w:rPr>
        <w:t xml:space="preserve">基金托管人招商银行股份有限公司根据本基金合同规定，于2020年7月17日复核了本报告中的财务指标、净值表现和投资组合报告等内容，保证复核内容不存在虚假记载、误导性陈述或者重大遗漏。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themeColor="text1" w:val="000000"/>
          <w:sz w:val="24"/>
        </w:rPr>
      </w:pPr>
      <w:r>
        <w:rPr>
          <w:color w:themeColor="text1" w:val="000000"/>
          <w:sz w:val="24"/>
        </w:rPr>
        <w:t xml:space="preserve">基金管理人承诺以诚实信用、勤勉尽责的原则管理和运用基金资产，但不保证基金一定盈利。 </w:t>
      </w:r>
    </w:p>
    <w:p>
      <w:pPr>
        <w:spacing w:line="360" w:lineRule="auto"/>
        <w:ind w:firstLine="480" w:firstLineChars="200"/>
        <w:rPr>
          <w:color w:themeColor="text1" w:val="000000"/>
          <w:sz w:val="24"/>
        </w:rPr>
      </w:pPr>
      <w:r>
        <w:rPr>
          <w:color w:themeColor="text1"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themeColor="text1" w:val="000000"/>
          <w:sz w:val="24"/>
        </w:rPr>
      </w:pPr>
      <w:r>
        <w:rPr>
          <w:color w:themeColor="text1" w:val="000000"/>
          <w:sz w:val="24"/>
        </w:rPr>
        <w:t>本报告中财务资料未经审计。</w:t>
      </w:r>
    </w:p>
    <w:p w:rsidP="006669C9" w:rsidR="007D1292" w:rsidRDefault="007D1292" w:rsidRPr="00A67563">
      <w:pPr>
        <w:spacing w:line="360" w:lineRule="auto"/>
        <w:ind w:firstLine="480" w:firstLineChars="200"/>
        <w:rPr>
          <w:color w:themeColor="text1" w:val="00000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本报告期自2020年4月1日起至6月30日止。</w:t>
      </w:r>
    </w:p>
    <w:p w:rsidP="00CB3783" w:rsidR="0076518F" w:rsidRDefault="0076518F">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§2  </w:t>
      </w:r>
      <w:r w:rsidRPr="00A67563">
        <w:rPr>
          <w:color w:themeColor="text1" w:val="000000"/>
          <w:kern w:val="0"/>
          <w:sz w:val="24"/>
          <w:szCs w:val="24"/>
        </w:rPr>
        <w:t>基金产品概况</w:t>
      </w:r>
    </w:p>
    <w:p w:rsidP="00375147" w:rsidR="00375147" w:rsidRDefault="00375147" w:rsidRPr="00D8134F">
      <w:pPr>
        <w:autoSpaceDE w:val="0"/>
        <w:autoSpaceDN w:val="0"/>
        <w:adjustRightInd w:val="0"/>
        <w:spacing w:line="360" w:lineRule="auto"/>
        <w:jc w:val="left"/>
        <w:rPr>
          <w:rFonts w:ascii="宋体"/>
        </w:rPr>
      </w:pPr>
      <w:bookmarkStart w:id="0" w:name="_Toc245193810"/>
      <w:r w:rsidRPr="000B1C85">
        <w:rPr>
          <w:rFonts w:ascii="宋体" w:cs="Arial" w:hAnsi="宋体"/>
          <w:b/>
          <w:color w:val="000000"/>
          <w:kern w:val="0"/>
          <w:sz w:val="24"/>
        </w:rPr>
        <w:t>2.1</w:t>
      </w:r>
      <w:r w:rsidRPr="000B1C85">
        <w:rPr>
          <w:rFonts w:ascii="宋体" w:cs="Arial" w:hAnsi="宋体" w:hint="eastAsia"/>
          <w:b/>
          <w:color w:val="000000"/>
          <w:kern w:val="0"/>
          <w:sz w:val="24"/>
        </w:rPr>
        <w:t>基金产品概况</w:t>
      </w:r>
      <w:bookmarkEnd w:id="0"/>
    </w:p>
    <w:tbl>
      <w:tblPr>
        <w:tblW w:type="dxa" w:w="8423"/>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980"/>
        <w:gridCol w:w="2721"/>
        <w:gridCol w:w="59"/>
        <w:gridCol w:w="2663"/>
      </w:tblGrid>
      <w:tr w:rsidR="008277FF" w:rsidRPr="00A67563" w:rsidTr="003376D5">
        <w:tc>
          <w:tcPr>
            <w:tcW w:type="dxa" w:w="2980"/>
            <w:vAlign w:val="center"/>
          </w:tcPr>
          <w:p w:rsidP="003376D5" w:rsidR="00363E15" w:rsidRDefault="00363E15" w:rsidRPr="00A67563">
            <w:pPr>
              <w:adjustRightInd w:val="0"/>
              <w:spacing w:before="29" w:line="360" w:lineRule="auto"/>
              <w:ind w:left="17"/>
              <w:rPr>
                <w:color w:themeColor="text1" w:val="000000"/>
                <w:kern w:val="0"/>
                <w:sz w:val="24"/>
              </w:rPr>
            </w:pPr>
            <w:r w:rsidRPr="00A67563">
              <w:rPr>
                <w:color w:themeColor="text1" w:val="000000"/>
                <w:kern w:val="0"/>
                <w:sz w:val="24"/>
              </w:rPr>
              <w:t>基金简称</w:t>
            </w:r>
          </w:p>
        </w:tc>
        <w:tc>
          <w:tcPr>
            <w:tcW w:type="dxa" w:w="5443"/>
            <w:gridSpan w:val="3"/>
            <w:vAlign w:val="center"/>
          </w:tcPr>
          <w:p w:rsidP="003376D5" w:rsidR="00363E15" w:rsidRDefault="00363E15"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易方达中证海外中国互联网50ETF联接（QDII）</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kern w:val="0"/>
                <w:sz w:val="24"/>
              </w:rPr>
            </w:pPr>
            <w:r w:rsidRPr="00A67563">
              <w:rPr>
                <w:color w:themeColor="text1" w:val="000000"/>
                <w:kern w:val="0"/>
                <w:sz w:val="24"/>
              </w:rPr>
              <w:t>基金主代码</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006327</w:t>
            </w:r>
          </w:p>
        </w:tc>
      </w:tr>
      <w:tr w:rsidR="008277FF" w:rsidRPr="00A67563" w:rsidTr="003376D5">
        <w:tc>
          <w:tcPr>
            <w:tcW w:type="dxa" w:w="2980"/>
            <w:vAlign w:val="center"/>
          </w:tcPr>
          <w:p w:rsidP="003376D5" w:rsidR="005837E4" w:rsidRDefault="005837E4" w:rsidRPr="00A67563">
            <w:pPr>
              <w:adjustRightInd w:val="0"/>
              <w:spacing w:before="29" w:line="360" w:lineRule="auto"/>
              <w:ind w:left="17"/>
              <w:rPr>
                <w:color w:themeColor="text1" w:val="000000"/>
                <w:kern w:val="0"/>
                <w:sz w:val="24"/>
              </w:rPr>
            </w:pPr>
            <w:r w:rsidRPr="00A67563">
              <w:rPr>
                <w:color w:themeColor="text1" w:val="000000"/>
                <w:kern w:val="0"/>
                <w:sz w:val="24"/>
              </w:rPr>
              <w:t>交易代码</w:t>
            </w:r>
          </w:p>
        </w:tc>
        <w:tc>
          <w:tcPr>
            <w:tcW w:type="dxa" w:w="5443"/>
            <w:gridSpan w:val="3"/>
            <w:vAlign w:val="center"/>
          </w:tcPr>
          <w:p w:rsidP="003376D5" w:rsidR="005837E4" w:rsidRDefault="005837E4"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006327</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基金运作方式</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契约型开放式</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基金合同生效日</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2019年1月18日</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报告期末基金份额总额</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554,642,975.13</w:t>
            </w:r>
            <w:r w:rsidRPr="00A67563">
              <w:rPr>
                <w:color w:themeColor="text1" w:val="000000"/>
                <w:kern w:val="0"/>
                <w:sz w:val="24"/>
              </w:rPr>
              <w:t>份</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投资目标</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紧密跟踪业绩比较基准，追求跟踪偏离度及跟踪误差的最小化。</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投资策略</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本基金力求紧密跟踪业绩比较基准，追求跟踪偏离度及跟踪误差的最小化。本基金资产主要投资于具有良好流动性的金融工具，包括目标ETF，已与中国证监会签署双边监管合作谅解备忘录的国家或地区证券监管机构登记注册的跟踪同一标的指数的公募基金，已与中国证监会签署双边监管合作谅解备忘录的国家或地区证券市场挂牌交易的标的指数成份股及备选成份股，经中国证监会认可的境外交易所上市交易的跟踪标的指数的股指期货等金融衍生品。在正常市场情况下，本基金力争净值增长率与业绩比较基准之间的日均跟踪偏离度不超过0.35%，年跟踪误差不超过4%。如因指数编制规则调整或其他因素导致跟踪偏离度和跟踪误差超过上述范围，基金管理人应采取合理措施避免跟踪偏离度、跟踪误差进一步扩大。为实现投资目标，本基金将以不低于基金资产净值90%的资产投资于目标ETF。为更好地实现投资目标，本基金可少量投资于非成份股、债券、资产支持证券、债券回购、银行存款、货币市场工具、权证、股指期货以及经中国证监会允许基金投资的其他金融工具，但需符合中国证监会的相关规定。</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业绩比较基准</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中证海外中国互联网50指数收益率×95%+活期存款利率(税后) ×5%</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风险收益特征</w:t>
            </w:r>
          </w:p>
        </w:tc>
        <w:tc>
          <w:tcPr>
            <w:tcW w:type="dxa" w:w="5443"/>
            <w:gridSpan w:val="3"/>
            <w:vAlign w:val="center"/>
          </w:tcPr>
          <w:p>
            <w:pPr>
              <w:adjustRightInd w:val="0"/>
              <w:spacing w:before="29" w:line="360" w:lineRule="auto"/>
              <w:ind w:left="17"/>
              <w:rPr>
                <w:color w:themeColor="text1" w:val="000000"/>
                <w:sz w:val="24"/>
              </w:rPr>
            </w:pPr>
            <w:r>
              <w:rPr>
                <w:color w:themeColor="text1" w:val="000000"/>
                <w:kern w:val="0"/>
                <w:sz w:val="24"/>
              </w:rPr>
              <w:t>本基金是ETF联接基金，预期风险与收益水平高于混合型基金、债券基金和货币市场基金。</w:t>
            </w:r>
          </w:p>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本基金主要通过投资于易方达中证海外中国互联网50指数ETF实现对业绩比较基准的紧密跟踪。因此，本基金的业绩表现与中证海外中国互联网50指数的表现密切相关。此外，本基金为境外股票指数基金，需承担汇率风险以及境外市场的风险。</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基金管理人</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易方达基金管理有限公司</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基金托管人</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招商银行股份有限公司</w:t>
            </w:r>
          </w:p>
        </w:tc>
      </w:tr>
      <w:tr w:rsidR="005F58F9" w:rsidRPr="00A67563" w:rsidTr="003376D5">
        <w:tc>
          <w:tcPr>
            <w:tcW w:type="dxa" w:w="2980"/>
            <w:vMerge w:val="restart"/>
            <w:vAlign w:val="center"/>
          </w:tcPr>
          <w:p w:rsidP="005F58F9" w:rsidR="005F58F9" w:rsidRDefault="005F58F9" w:rsidRPr="00A67563">
            <w:pPr>
              <w:adjustRightInd w:val="0"/>
              <w:spacing w:before="29" w:line="360" w:lineRule="auto"/>
              <w:ind w:left="17"/>
              <w:rPr>
                <w:color w:themeColor="text1" w:val="000000"/>
                <w:kern w:val="0"/>
                <w:sz w:val="24"/>
              </w:rPr>
            </w:pPr>
            <w:r w:rsidRPr="00A67563">
              <w:rPr>
                <w:color w:themeColor="text1" w:val="000000"/>
                <w:kern w:val="0"/>
                <w:sz w:val="24"/>
              </w:rPr>
              <w:t>境外投资顾问</w:t>
            </w:r>
          </w:p>
        </w:tc>
        <w:tc>
          <w:tcPr>
            <w:tcW w:type="dxa" w:w="5443"/>
            <w:gridSpan w:val="3"/>
            <w:vAlign w:val="center"/>
          </w:tcPr>
          <w:p w:rsidP="00DE63B3" w:rsidR="005F58F9" w:rsidRDefault="005F58F9" w:rsidRPr="00A67563">
            <w:pPr>
              <w:adjustRightInd w:val="0"/>
              <w:spacing w:before="29" w:line="360" w:lineRule="auto"/>
              <w:ind w:left="17"/>
              <w:jc w:val="left"/>
              <w:rPr>
                <w:color w:themeColor="text1" w:val="000000"/>
                <w:kern w:val="0"/>
                <w:sz w:val="24"/>
              </w:rPr>
            </w:pPr>
            <w:r w:rsidRPr="00A67563">
              <w:rPr>
                <w:color w:themeColor="text1" w:val="000000"/>
                <w:kern w:val="0"/>
                <w:sz w:val="24"/>
              </w:rPr>
              <w:t>英文名称</w:t>
            </w:r>
            <w:r>
              <w:rPr>
                <w:rFonts w:hint="eastAsia"/>
                <w:color w:themeColor="text1" w:val="000000"/>
                <w:kern w:val="0"/>
                <w:sz w:val="24"/>
              </w:rPr>
              <w:t>：</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无</w:t>
            </w:r>
          </w:p>
        </w:tc>
      </w:tr>
      <w:tr w:rsidR="005F58F9" w:rsidRPr="00A67563" w:rsidTr="003376D5">
        <w:tc>
          <w:tcPr>
            <w:tcW w:type="dxa" w:w="2980"/>
            <w:vMerge/>
            <w:vAlign w:val="center"/>
          </w:tcPr>
          <w:p w:rsidP="005F58F9" w:rsidR="005F58F9" w:rsidRDefault="005F58F9" w:rsidRPr="00A67563">
            <w:pPr>
              <w:adjustRightInd w:val="0"/>
              <w:spacing w:before="29" w:line="360" w:lineRule="auto"/>
              <w:ind w:left="17"/>
              <w:rPr>
                <w:color w:themeColor="text1" w:val="000000"/>
                <w:kern w:val="0"/>
                <w:sz w:val="24"/>
              </w:rPr>
            </w:pPr>
          </w:p>
        </w:tc>
        <w:tc>
          <w:tcPr>
            <w:tcW w:type="dxa" w:w="5443"/>
            <w:gridSpan w:val="3"/>
            <w:vAlign w:val="center"/>
          </w:tcPr>
          <w:p w:rsidP="00DE63B3" w:rsidR="005F58F9" w:rsidRDefault="005F58F9" w:rsidRPr="00A67563">
            <w:pPr>
              <w:adjustRightInd w:val="0"/>
              <w:spacing w:before="29" w:line="360" w:lineRule="auto"/>
              <w:ind w:left="17"/>
              <w:jc w:val="left"/>
              <w:rPr>
                <w:color w:themeColor="text1" w:val="000000"/>
                <w:kern w:val="0"/>
                <w:sz w:val="24"/>
              </w:rPr>
            </w:pPr>
            <w:r w:rsidRPr="00A67563">
              <w:rPr>
                <w:color w:themeColor="text1" w:val="000000"/>
                <w:kern w:val="0"/>
                <w:sz w:val="24"/>
              </w:rPr>
              <w:t>中文名称</w:t>
            </w:r>
            <w:r>
              <w:rPr>
                <w:rFonts w:hint="eastAsia"/>
                <w:color w:themeColor="text1" w:val="000000"/>
                <w:kern w:val="0"/>
                <w:sz w:val="24"/>
              </w:rPr>
              <w:t>：</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无</w:t>
            </w:r>
          </w:p>
        </w:tc>
      </w:tr>
      <w:tr w:rsidR="005F58F9" w:rsidRPr="00A67563" w:rsidTr="0031104D">
        <w:tc>
          <w:tcPr>
            <w:tcW w:type="dxa" w:w="2980"/>
            <w:vMerge w:val="restart"/>
            <w:vAlign w:val="center"/>
          </w:tcPr>
          <w:p w:rsidP="005F58F9" w:rsidR="005F58F9" w:rsidRDefault="005F58F9" w:rsidRPr="00A67563">
            <w:pPr>
              <w:adjustRightInd w:val="0"/>
              <w:spacing w:before="29" w:line="360" w:lineRule="auto"/>
              <w:ind w:left="17"/>
              <w:rPr>
                <w:color w:themeColor="text1" w:val="000000"/>
                <w:kern w:val="0"/>
                <w:sz w:val="24"/>
              </w:rPr>
            </w:pPr>
            <w:r w:rsidRPr="00A67563">
              <w:rPr>
                <w:color w:themeColor="text1" w:val="000000"/>
                <w:kern w:val="0"/>
                <w:sz w:val="24"/>
              </w:rPr>
              <w:t>境外资产托管人</w:t>
            </w:r>
          </w:p>
        </w:tc>
        <w:tc>
          <w:tcPr>
            <w:tcW w:type="dxa" w:w="5443"/>
            <w:gridSpan w:val="3"/>
            <w:vAlign w:val="center"/>
          </w:tcPr>
          <w:p w:rsidP="00DE63B3" w:rsidR="005F58F9" w:rsidRDefault="005F58F9" w:rsidRPr="00A67563">
            <w:pPr>
              <w:adjustRightInd w:val="0"/>
              <w:spacing w:before="29" w:line="360" w:lineRule="auto"/>
              <w:ind w:left="17"/>
              <w:jc w:val="left"/>
              <w:rPr>
                <w:color w:themeColor="text1" w:val="000000"/>
                <w:kern w:val="0"/>
                <w:sz w:val="24"/>
              </w:rPr>
            </w:pPr>
            <w:r w:rsidRPr="00A67563">
              <w:rPr>
                <w:color w:themeColor="text1" w:val="000000"/>
                <w:kern w:val="0"/>
                <w:sz w:val="24"/>
              </w:rPr>
              <w:t>英文名称</w:t>
            </w:r>
            <w:r>
              <w:rPr>
                <w:rFonts w:hint="eastAsia"/>
                <w:color w:themeColor="text1" w:val="000000"/>
                <w:kern w:val="0"/>
                <w:sz w:val="24"/>
              </w:rPr>
              <w:t>：</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The Hongkong and Shanghai Banking Corporation Limited</w:t>
            </w:r>
          </w:p>
        </w:tc>
      </w:tr>
      <w:tr w:rsidR="005F58F9" w:rsidRPr="00A67563" w:rsidTr="0031104D">
        <w:tc>
          <w:tcPr>
            <w:tcW w:type="dxa" w:w="2980"/>
            <w:vMerge/>
            <w:vAlign w:val="center"/>
          </w:tcPr>
          <w:p w:rsidP="005F58F9" w:rsidR="005F58F9" w:rsidRDefault="005F58F9" w:rsidRPr="00A67563">
            <w:pPr>
              <w:adjustRightInd w:val="0"/>
              <w:spacing w:before="29" w:line="360" w:lineRule="auto"/>
              <w:rPr>
                <w:color w:themeColor="text1" w:val="000000"/>
                <w:kern w:val="0"/>
                <w:sz w:val="24"/>
              </w:rPr>
            </w:pPr>
          </w:p>
        </w:tc>
        <w:tc>
          <w:tcPr>
            <w:tcW w:type="dxa" w:w="5443"/>
            <w:gridSpan w:val="3"/>
            <w:vAlign w:val="center"/>
          </w:tcPr>
          <w:p w:rsidP="00DE63B3" w:rsidR="005F58F9" w:rsidRDefault="005F58F9" w:rsidRPr="00A67563">
            <w:pPr>
              <w:adjustRightInd w:val="0"/>
              <w:spacing w:before="29" w:line="360" w:lineRule="auto"/>
              <w:ind w:left="17"/>
              <w:jc w:val="left"/>
              <w:rPr>
                <w:color w:themeColor="text1" w:val="000000"/>
                <w:kern w:val="0"/>
                <w:sz w:val="24"/>
              </w:rPr>
            </w:pPr>
            <w:r w:rsidRPr="00A67563">
              <w:rPr>
                <w:color w:themeColor="text1" w:val="000000"/>
                <w:kern w:val="0"/>
                <w:sz w:val="24"/>
              </w:rPr>
              <w:t>中文名称</w:t>
            </w:r>
            <w:r>
              <w:rPr>
                <w:rFonts w:hint="eastAsia"/>
                <w:color w:themeColor="text1" w:val="000000"/>
                <w:kern w:val="0"/>
                <w:sz w:val="24"/>
              </w:rPr>
              <w:t>：</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香港上海汇丰银行有限公司</w:t>
            </w:r>
          </w:p>
        </w:tc>
      </w:tr>
      <w:tr w:rsidR="00070DD6" w:rsidRPr="00A67563" w:rsidTr="00845292">
        <w:tblPrEx>
          <w:tblLook w:firstColumn="0" w:firstRow="0" w:lastColumn="0" w:lastRow="0" w:noHBand="0" w:noVBand="0" w:val="0000"/>
        </w:tblPrEx>
        <w:trPr>
          <w:trHeight w:val="866"/>
        </w:trPr>
        <w:tc>
          <w:tcPr>
            <w:tcW w:type="dxa" w:w="2980"/>
          </w:tcPr>
          <w:p w:rsidP="00845292" w:rsidR="00070DD6" w:rsidRDefault="00070DD6" w:rsidRPr="00A67563">
            <w:pPr>
              <w:adjustRightInd w:val="0"/>
              <w:spacing w:before="29" w:line="360" w:lineRule="auto"/>
              <w:ind w:left="17"/>
              <w:jc w:val="left"/>
              <w:rPr>
                <w:color w:themeColor="text1" w:val="000000"/>
                <w:kern w:val="0"/>
                <w:sz w:val="24"/>
              </w:rPr>
            </w:pPr>
            <w:r w:rsidRPr="00A67563">
              <w:rPr>
                <w:color w:themeColor="text1" w:val="000000"/>
                <w:sz w:val="24"/>
              </w:rPr>
              <w:t>下属分级基金的基金简称</w:t>
            </w:r>
          </w:p>
        </w:tc>
        <w:tc>
          <w:tcPr>
            <w:tcW w:type="dxa" w:w="2780"/>
            <w:gridSpan w:val="2"/>
            <w:vAlign w:val="center"/>
          </w:tcPr>
          <w:p w:rsidP="00845292" w:rsidR="00070DD6" w:rsidRDefault="00070DD6" w:rsidRPr="00A67563">
            <w:pPr>
              <w:jc w:val="left"/>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sz w:val="24"/>
              </w:rPr>
              <w:t>易方达中证海外中国互联网50ETF联接（QDII）A</w:t>
            </w:r>
          </w:p>
        </w:tc>
        <w:tc>
          <w:tcPr>
            <w:tcW w:type="dxa" w:w="2663"/>
            <w:vAlign w:val="center"/>
          </w:tcPr>
          <w:p w:rsidP="00845292" w:rsidR="00070DD6" w:rsidRDefault="00070DD6" w:rsidRPr="00A67563">
            <w:pPr>
              <w:jc w:val="left"/>
              <w:rPr>
                <w:color w:themeColor="text1" w:val="000000"/>
                <w:sz w:val="24"/>
              </w:rPr>
            </w:pPr>
            <w:r w:rsidRPr="00A67563">
              <w:rPr>
                <w:color w:themeColor="text1" w:val="000000"/>
                <w:kern w:val="0"/>
                <w:sz w:val="24"/>
              </w:rPr>
              <w:t/>
            </w:r>
            <w:r w:rsidRPr="00A67563">
              <w:rPr>
                <w:color w:themeColor="text1" w:val="000000"/>
                <w:sz w:val="24"/>
              </w:rPr>
              <w:t>易方达中证海外中国互联网50ETF联接（QDII）C</w:t>
            </w:r>
          </w:p>
        </w:tc>
      </w:tr>
      <w:tr w:rsidR="00070DD6" w:rsidRPr="00A67563" w:rsidTr="00845292">
        <w:tblPrEx>
          <w:tblLook w:firstColumn="0" w:firstRow="0" w:lastColumn="0" w:lastRow="0" w:noHBand="0" w:noVBand="0" w:val="0000"/>
        </w:tblPrEx>
        <w:trPr>
          <w:trHeight w:val="628"/>
        </w:trPr>
        <w:tc>
          <w:tcPr>
            <w:tcW w:type="dxa" w:w="2980"/>
          </w:tcPr>
          <w:p w:rsidP="00845292" w:rsidR="00070DD6" w:rsidRDefault="00070DD6" w:rsidRPr="00A67563">
            <w:pPr>
              <w:adjustRightInd w:val="0"/>
              <w:spacing w:before="29" w:line="360" w:lineRule="auto"/>
              <w:ind w:left="17"/>
              <w:jc w:val="left"/>
              <w:rPr>
                <w:color w:themeColor="text1" w:val="000000"/>
                <w:sz w:val="24"/>
              </w:rPr>
            </w:pPr>
            <w:r w:rsidRPr="00A67563">
              <w:rPr>
                <w:color w:themeColor="text1" w:val="000000"/>
                <w:sz w:val="24"/>
              </w:rPr>
              <w:t>下属分级基金的交易代码</w:t>
            </w:r>
          </w:p>
        </w:tc>
        <w:tc>
          <w:tcPr>
            <w:tcW w:type="dxa" w:w="2780"/>
            <w:gridSpan w:val="2"/>
            <w:vAlign w:val="center"/>
          </w:tcPr>
          <w:p w:rsidP="00845292" w:rsidR="00070DD6" w:rsidRDefault="00070DD6" w:rsidRPr="00A67563">
            <w:pPr>
              <w:jc w:val="left"/>
              <w:rPr>
                <w:color w:themeColor="text1" w:val="000000"/>
                <w:sz w:val="24"/>
              </w:rPr>
            </w:pPr>
            <w:r w:rsidRPr="00A67563">
              <w:rPr>
                <w:color w:themeColor="text1" w:val="000000"/>
                <w:kern w:val="0"/>
                <w:sz w:val="24"/>
              </w:rPr>
              <w:t/>
            </w:r>
            <w:proofErr w:type="spellStart"/>
            <w:r w:rsidRPr="00A67563">
              <w:rPr>
                <w:color w:themeColor="text1" w:val="000000"/>
                <w:sz w:val="24"/>
              </w:rPr>
              <w:t/>
            </w:r>
            <w:proofErr w:type="spellEnd"/>
            <w:r w:rsidRPr="00A67563">
              <w:rPr>
                <w:color w:themeColor="text1" w:val="000000"/>
                <w:sz w:val="24"/>
              </w:rPr>
              <w:t>006327</w:t>
            </w:r>
          </w:p>
        </w:tc>
        <w:tc>
          <w:tcPr>
            <w:tcW w:type="dxa" w:w="2663"/>
            <w:vAlign w:val="center"/>
          </w:tcPr>
          <w:p w:rsidP="00845292" w:rsidR="00070DD6" w:rsidRDefault="00070DD6" w:rsidRPr="00A67563">
            <w:pPr>
              <w:jc w:val="left"/>
              <w:rPr>
                <w:color w:themeColor="text1" w:val="000000"/>
                <w:sz w:val="24"/>
              </w:rPr>
            </w:pPr>
            <w:r w:rsidRPr="00A67563">
              <w:rPr>
                <w:color w:themeColor="text1" w:val="000000"/>
                <w:kern w:val="0"/>
                <w:sz w:val="24"/>
              </w:rPr>
              <w:t/>
            </w:r>
            <w:r w:rsidRPr="00A67563">
              <w:rPr>
                <w:color w:themeColor="text1" w:val="000000"/>
                <w:sz w:val="24"/>
              </w:rPr>
              <w:t>006328</w:t>
            </w:r>
          </w:p>
        </w:tc>
      </w:tr>
      <w:tr w:rsidR="00322A5E" w:rsidRPr="00A67563" w:rsidTr="0031104D">
        <w:tblPrEx>
          <w:tblLook w:firstColumn="0" w:firstRow="0" w:lastColumn="0" w:lastRow="0" w:noHBand="0" w:noVBand="0" w:val="0000"/>
        </w:tblPrEx>
        <w:trPr>
          <w:trHeight w:val="555"/>
        </w:trPr>
        <w:tc>
          <w:tcPr>
            <w:tcW w:type="dxa" w:w="2980"/>
            <w:vAlign w:val="center"/>
          </w:tcPr>
          <w:p w:rsidP="00845292" w:rsidR="00322A5E" w:rsidRDefault="00322A5E" w:rsidRPr="00A67563">
            <w:pPr>
              <w:adjustRightInd w:val="0"/>
              <w:spacing w:before="29" w:line="360" w:lineRule="auto"/>
              <w:ind w:left="17"/>
              <w:rPr>
                <w:color w:themeColor="text1" w:val="000000"/>
                <w:sz w:val="24"/>
              </w:rPr>
            </w:pPr>
            <w:r w:rsidRPr="00A67563">
              <w:rPr>
                <w:color w:themeColor="text1" w:val="000000"/>
                <w:sz w:val="24"/>
              </w:rPr>
              <w:t>报告期末下属分级基金的份额总额</w:t>
            </w:r>
          </w:p>
        </w:tc>
        <w:tc>
          <w:tcPr>
            <w:tcW w:type="dxa" w:w="2780"/>
            <w:gridSpan w:val="2"/>
            <w:vAlign w:val="center"/>
          </w:tcPr>
          <w:p w:rsidP="00845292" w:rsidR="00322A5E" w:rsidRDefault="00322A5E" w:rsidRPr="00A67563">
            <w:pPr>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sz w:val="24"/>
              </w:rPr>
              <w:t>528,153,985.41</w:t>
            </w:r>
            <w:r w:rsidRPr="00A67563">
              <w:rPr>
                <w:color w:themeColor="text1" w:val="000000"/>
                <w:kern w:val="0"/>
                <w:sz w:val="24"/>
              </w:rPr>
              <w:t>份</w:t>
            </w:r>
          </w:p>
        </w:tc>
        <w:tc>
          <w:tcPr>
            <w:tcW w:type="dxa" w:w="2663"/>
            <w:vAlign w:val="center"/>
          </w:tcPr>
          <w:p w:rsidP="00845292" w:rsidR="00322A5E" w:rsidRDefault="00322A5E" w:rsidRPr="00A67563">
            <w:pPr>
              <w:rPr>
                <w:color w:themeColor="text1" w:val="000000"/>
                <w:sz w:val="24"/>
              </w:rPr>
            </w:pPr>
            <w:r w:rsidRPr="00A67563">
              <w:rPr>
                <w:color w:themeColor="text1" w:val="000000"/>
                <w:kern w:val="0"/>
                <w:sz w:val="24"/>
              </w:rPr>
              <w:t/>
            </w:r>
            <w:r w:rsidRPr="00A67563">
              <w:rPr>
                <w:color w:themeColor="text1" w:val="000000"/>
                <w:sz w:val="24"/>
              </w:rPr>
              <w:t>26,488,989.72</w:t>
            </w:r>
            <w:r w:rsidRPr="00A67563">
              <w:rPr>
                <w:color w:themeColor="text1" w:val="000000"/>
                <w:kern w:val="0"/>
                <w:sz w:val="24"/>
              </w:rPr>
              <w:t>份</w:t>
            </w:r>
          </w:p>
        </w:tc>
      </w:tr>
    </w:tbl>
    <w:p w:rsidP="002D6955" w:rsidR="00363E15" w:rsidRDefault="00363E15">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注：易方达中证海外中国互联网50ETF联接（QDII）A含A类人民币份额（份额代码：006327）及A类美元现汇份额（份额代码：006329），交易代码仅列示A类人民币份额代码；易方达中证海外中国互联网50ETF联接（QDII）C含C类人民币份额（份额代码：006328）及C类美元现汇份额（份额代码：006330），交易代码仅列示C类人民币份额代码。</w:t>
      </w:r>
    </w:p>
    <w:p w:rsidP="00375147" w:rsidR="00375147" w:rsidRDefault="00375147" w:rsidRPr="000B1C85">
      <w:pPr>
        <w:autoSpaceDE w:val="0"/>
        <w:autoSpaceDN w:val="0"/>
        <w:adjustRightInd w:val="0"/>
        <w:spacing w:line="360" w:lineRule="auto"/>
        <w:jc w:val="left"/>
        <w:rPr>
          <w:rFonts w:ascii="宋体" w:cs="Arial" w:hAnsi="宋体"/>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0B1C85">
          <w:rPr>
            <w:rFonts w:ascii="宋体" w:cs="Arial" w:hAnsi="宋体"/>
            <w:b/>
            <w:color w:val="000000"/>
            <w:kern w:val="0"/>
            <w:sz w:val="24"/>
          </w:rPr>
          <w:t>2.1.1</w:t>
        </w:r>
      </w:smartTag>
      <w:r w:rsidRPr="000B1C85">
        <w:rPr>
          <w:rFonts w:ascii="宋体" w:cs="Arial" w:hAnsi="宋体" w:hint="eastAsia"/>
          <w:b/>
          <w:color w:val="000000"/>
          <w:kern w:val="0"/>
          <w:sz w:val="24"/>
        </w:rPr>
        <w:t>目标基金基本情况</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2724"/>
        <w:gridCol w:w="5736"/>
      </w:tblGrid>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基金名称</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 xml:space="preserve">易方达中证海外中国互联网50交易型开放式指数证券投资基金 </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基金主代码</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513050</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基金运作方式</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交易型开放式（ETF）</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基金合同生效日</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
            </w:r>
            <w:proofErr w:type="spellStart"/>
            <w:r w:rsidRPr="008043C8">
              <w:rPr>
                <w:sz w:val="24"/>
              </w:rPr>
              <w:t/>
            </w:r>
            <w:proofErr w:type="spellEnd"/>
            <w:r w:rsidRPr="008043C8">
              <w:rPr>
                <w:sz w:val="24"/>
              </w:rPr>
              <w:t>2017年1月4日</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基金份额上市的证券交易所</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上海证券交易所</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上市日期</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
            </w:r>
            <w:proofErr w:type="spellStart"/>
            <w:r w:rsidRPr="008043C8">
              <w:rPr>
                <w:sz w:val="24"/>
              </w:rPr>
              <w:t/>
            </w:r>
            <w:proofErr w:type="spellEnd"/>
            <w:r w:rsidRPr="008043C8">
              <w:rPr>
                <w:sz w:val="24"/>
              </w:rPr>
              <w:t>2017年1月18日</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基金管理人名称</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易方达基金管理有限公司</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lastRenderedPageBreak/>
              <w:t>基金托管人名称</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招商银行股份有限公司</w:t>
            </w:r>
          </w:p>
        </w:tc>
      </w:tr>
    </w:tbl>
    <w:p w:rsidP="00375147" w:rsidR="00375147" w:rsidRDefault="00375147" w:rsidRPr="000B1C85">
      <w:pPr>
        <w:autoSpaceDE w:val="0"/>
        <w:autoSpaceDN w:val="0"/>
        <w:adjustRightInd w:val="0"/>
        <w:spacing w:line="360" w:lineRule="auto"/>
        <w:jc w:val="left"/>
        <w:rPr>
          <w:rFonts w:ascii="宋体" w:cs="Arial" w:hAnsi="宋体"/>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0B1C85">
          <w:rPr>
            <w:rFonts w:ascii="宋体" w:cs="Arial" w:hAnsi="宋体"/>
            <w:b/>
            <w:color w:val="000000"/>
            <w:kern w:val="0"/>
            <w:sz w:val="24"/>
          </w:rPr>
          <w:t>2.1.2</w:t>
        </w:r>
      </w:smartTag>
      <w:r w:rsidRPr="000B1C85">
        <w:rPr>
          <w:rFonts w:ascii="宋体" w:cs="Arial" w:hAnsi="宋体" w:hint="eastAsia"/>
          <w:b/>
          <w:color w:val="000000"/>
          <w:kern w:val="0"/>
          <w:sz w:val="24"/>
        </w:rPr>
        <w:t>目标基金产品说明</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0" w:firstRow="0" w:lastColumn="0" w:lastRow="0" w:noHBand="0" w:noVBand="0" w:val="0000"/>
      </w:tblPr>
      <w:tblGrid>
        <w:gridCol w:w="2820"/>
        <w:gridCol w:w="5640"/>
      </w:tblGrid>
      <w:tr w:rsidR="00375147" w:rsidRPr="00E85E29" w:rsidTr="00AB23E1">
        <w:tc>
          <w:tcPr>
            <w:tcW w:type="dxa" w:w="2820"/>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投资目标</w:t>
            </w:r>
          </w:p>
        </w:tc>
        <w:tc>
          <w:tcPr>
            <w:tcW w:type="dxa" w:w="5640"/>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紧密跟踪标的指数，追求跟踪偏离度及跟踪误差的最小化。</w:t>
            </w:r>
          </w:p>
        </w:tc>
      </w:tr>
      <w:tr w:rsidR="00375147" w:rsidRPr="00E85E29" w:rsidTr="00AB23E1">
        <w:tc>
          <w:tcPr>
            <w:tcW w:type="dxa" w:w="2820"/>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投资策略</w:t>
            </w:r>
          </w:p>
        </w:tc>
        <w:tc>
          <w:tcPr>
            <w:tcW w:type="dxa" w:w="5640"/>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作为追踪中证海外中国互联网50指数的被动式海外指数基金，本基金主要采取组合复制策略和适当的替代性策略实现对标的指数的紧密跟踪。</w:t>
            </w:r>
          </w:p>
        </w:tc>
      </w:tr>
      <w:tr w:rsidR="00375147" w:rsidRPr="00E85E29" w:rsidTr="00AB23E1">
        <w:tc>
          <w:tcPr>
            <w:tcW w:type="dxa" w:w="2820"/>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业绩比较基准</w:t>
            </w:r>
          </w:p>
        </w:tc>
        <w:tc>
          <w:tcPr>
            <w:tcW w:type="dxa" w:w="5640"/>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中证海外中国互联网50指数</w:t>
            </w:r>
          </w:p>
        </w:tc>
      </w:tr>
      <w:tr w:rsidR="00375147" w:rsidRPr="00E85E29" w:rsidTr="00AB23E1">
        <w:tc>
          <w:tcPr>
            <w:tcW w:type="dxa" w:w="2820"/>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风险收益特征</w:t>
            </w:r>
          </w:p>
        </w:tc>
        <w:tc>
          <w:tcPr>
            <w:tcW w:type="dxa" w:w="5640"/>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本基金属股票指数基金，预期风险与收益水平高于混合基金、债券基金与货币市场基金。本基金主要采用完全复制法跟踪标的指数的表现，具有与标的指数相似的风险收益特征。</w:t>
            </w:r>
          </w:p>
        </w:tc>
      </w:tr>
    </w:tbl>
    <w:p w:rsidP="00CB3783"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§3  </w:t>
      </w:r>
      <w:r w:rsidRPr="00A67563">
        <w:rPr>
          <w:color w:themeColor="text1" w:val="000000"/>
          <w:kern w:val="0"/>
          <w:sz w:val="24"/>
          <w:szCs w:val="24"/>
        </w:rPr>
        <w:t>主要财务指标和基金净值表现</w:t>
      </w:r>
    </w:p>
    <w:p w:rsidP="00506D57"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xml:space="preserve">3.1 </w:t>
      </w:r>
      <w:r w:rsidRPr="00A67563">
        <w:rPr>
          <w:b/>
          <w:color w:themeColor="text1" w:val="000000"/>
          <w:kern w:val="0"/>
          <w:sz w:val="24"/>
        </w:rPr>
        <w:t>主要财务指标</w:t>
      </w:r>
    </w:p>
    <w:p w:rsidP="008B6A4A" w:rsidR="0076518F" w:rsidRDefault="0076518F"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225051" w:rsidRPr="00A67563" w:rsidTr="00845292">
        <w:tc>
          <w:tcPr>
            <w:tcW w:type="dxa" w:w="3402"/>
            <w:vMerge w:val="restart"/>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主要财务指标</w:t>
            </w:r>
          </w:p>
        </w:tc>
        <w:tc>
          <w:tcPr>
            <w:tcW w:type="dxa" w:w="4962"/>
            <w:gridSpan w:val="2"/>
            <w:vAlign w:val="center"/>
          </w:tcPr>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sz w:val="24"/>
              </w:rPr>
              <w:t>报告期</w:t>
            </w:r>
          </w:p>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sz w:val="24"/>
              </w:rPr>
              <w:t>(</w:t>
            </w:r>
            <w:proofErr w:type="spellStart"/>
            <w:r w:rsidRPr="00A67563">
              <w:rPr>
                <w:color w:themeColor="text1" w:val="000000"/>
                <w:sz w:val="24"/>
              </w:rPr>
              <w:t/>
            </w:r>
            <w:proofErr w:type="spellEnd"/>
            <w:r w:rsidRPr="00A67563">
              <w:rPr>
                <w:color w:themeColor="text1" w:val="000000"/>
                <w:sz w:val="24"/>
              </w:rPr>
              <w:t>2020年4月1日-</w:t>
            </w:r>
            <w:proofErr w:type="spellStart"/>
            <w:r w:rsidRPr="00A67563">
              <w:rPr>
                <w:color w:themeColor="text1" w:val="000000"/>
                <w:sz w:val="24"/>
              </w:rPr>
              <w:t/>
            </w:r>
            <w:proofErr w:type="spellEnd"/>
            <w:r w:rsidRPr="00A67563">
              <w:rPr>
                <w:color w:themeColor="text1" w:val="000000"/>
                <w:sz w:val="24"/>
              </w:rPr>
              <w:t>2020年6月30日)</w:t>
            </w:r>
          </w:p>
        </w:tc>
      </w:tr>
      <w:tr w:rsidR="00225051" w:rsidRPr="00A67563" w:rsidTr="00845292">
        <w:tc>
          <w:tcPr>
            <w:tcW w:type="dxa" w:w="3402"/>
            <w:vMerge/>
            <w:vAlign w:val="center"/>
          </w:tcPr>
          <w:p w:rsidP="00845292" w:rsidR="00225051" w:rsidRDefault="00225051" w:rsidRPr="00A67563">
            <w:pPr>
              <w:adjustRightInd w:val="0"/>
              <w:spacing w:before="29" w:line="360" w:lineRule="auto"/>
              <w:ind w:left="17"/>
              <w:rPr>
                <w:color w:themeColor="text1" w:val="000000"/>
                <w:kern w:val="0"/>
                <w:sz w:val="24"/>
              </w:rPr>
            </w:pPr>
          </w:p>
        </w:tc>
        <w:tc>
          <w:tcPr>
            <w:tcW w:type="dxa" w:w="2481"/>
            <w:vAlign w:val="center"/>
          </w:tcPr>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kern w:val="0"/>
                <w:sz w:val="24"/>
              </w:rPr>
              <w:t/>
            </w:r>
            <w:proofErr w:type="spellStart"/>
            <w:r w:rsidRPr="00A67563">
              <w:rPr>
                <w:color w:themeColor="text1" w:val="000000"/>
                <w:sz w:val="24"/>
              </w:rPr>
              <w:t/>
            </w:r>
            <w:proofErr w:type="spellEnd"/>
            <w:r w:rsidRPr="00A67563">
              <w:rPr>
                <w:color w:themeColor="text1" w:val="000000"/>
                <w:sz w:val="24"/>
              </w:rPr>
              <w:t>易方达中证海外中国互联网50ETF联接（QDII）A</w:t>
            </w:r>
          </w:p>
        </w:tc>
        <w:tc>
          <w:tcPr>
            <w:tcW w:type="dxa" w:w="2481"/>
            <w:vAlign w:val="center"/>
          </w:tcPr>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kern w:val="0"/>
                <w:sz w:val="24"/>
              </w:rPr>
              <w:t/>
            </w:r>
            <w:r w:rsidRPr="00A67563">
              <w:rPr>
                <w:color w:themeColor="text1" w:val="000000"/>
                <w:sz w:val="24"/>
              </w:rPr>
              <w:t>易方达中证海外中国互联网50ETF联接（QDII）C</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1.</w:t>
            </w:r>
            <w:r w:rsidRPr="00A67563">
              <w:rPr>
                <w:color w:themeColor="text1" w:val="000000"/>
                <w:kern w:val="0"/>
                <w:sz w:val="24"/>
              </w:rPr>
              <w:t>本期已实现收益</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8,528,314.93</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388,957.43</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2.</w:t>
            </w:r>
            <w:r w:rsidRPr="00A67563">
              <w:rPr>
                <w:color w:themeColor="text1" w:val="000000"/>
                <w:kern w:val="0"/>
                <w:sz w:val="24"/>
              </w:rPr>
              <w:t>本期利润</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166,992,683.31</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9,237,229.48</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3.</w:t>
            </w:r>
            <w:r w:rsidRPr="00A67563">
              <w:rPr>
                <w:color w:themeColor="text1" w:val="000000"/>
                <w:kern w:val="0"/>
                <w:sz w:val="24"/>
              </w:rPr>
              <w:t>加权平均基金份额本期利润</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0.3136</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0.2995</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4.</w:t>
            </w:r>
            <w:r w:rsidRPr="00A67563">
              <w:rPr>
                <w:color w:themeColor="text1" w:val="000000"/>
                <w:kern w:val="0"/>
                <w:sz w:val="24"/>
              </w:rPr>
              <w:t>期末基金资产净值</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735,348,032.95</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36,499,696.05</w:t>
            </w:r>
          </w:p>
        </w:tc>
      </w:tr>
      <w:tr w:rsidR="00225051" w:rsidRPr="00A67563" w:rsidTr="00845292">
        <w:trPr>
          <w:trHeight w:val="158"/>
        </w:trPr>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5.</w:t>
            </w:r>
            <w:r w:rsidRPr="00A67563">
              <w:rPr>
                <w:color w:themeColor="text1" w:val="000000"/>
                <w:kern w:val="0"/>
                <w:sz w:val="24"/>
              </w:rPr>
              <w:t>期末基金份额净值</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r w:rsidRPr="00A67563">
              <w:rPr>
                <w:color w:themeColor="text1" w:val="000000"/>
                <w:sz w:val="24"/>
              </w:rPr>
              <w:lastRenderedPageBreak/>
              <w:t/>
            </w:r>
            <w:proofErr w:type="spellEnd"/>
            <w:r w:rsidRPr="00A67563">
              <w:rPr>
                <w:color w:themeColor="text1" w:val="000000"/>
                <w:sz w:val="24"/>
              </w:rPr>
              <w:t>1.3923</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lastRenderedPageBreak/>
              <w:t/>
            </w:r>
            <w:r w:rsidRPr="00A67563">
              <w:rPr>
                <w:color w:themeColor="text1" w:val="000000"/>
                <w:sz w:val="24"/>
              </w:rPr>
              <w:lastRenderedPageBreak/>
              <w:t>1.3779</w:t>
            </w:r>
          </w:p>
        </w:tc>
      </w:tr>
    </w:tbl>
    <w:p>
      <w:pPr>
        <w:autoSpaceDE w:val="0"/>
        <w:autoSpaceDN w:val="0"/>
        <w:adjustRightInd w:val="0"/>
        <w:spacing w:line="360" w:lineRule="auto"/>
        <w:ind w:firstLine="480" w:firstLineChars="200"/>
        <w:jc w:val="left"/>
        <w:rPr>
          <w:color w:themeColor="text1" w:val="000000"/>
          <w:sz w:val="24"/>
        </w:rPr>
      </w:pPr>
      <w:r>
        <w:rPr>
          <w:color w:themeColor="text1" w:val="000000"/>
          <w:sz w:val="24"/>
        </w:rPr>
        <w:t>注：1.所述基金业绩指标不包括持有人认购或交易基金的各项费用，计入费用后实际收益水平要低于所列数字。</w:t>
      </w:r>
    </w:p>
    <w:p w:rsidP="002D6955" w:rsidR="007D1292" w:rsidRDefault="007D1292"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r w:rsidR="00C00D1C">
        <w:rPr>
          <w:color w:themeColor="text1" w:val="000000"/>
          <w:sz w:val="24"/>
        </w:rPr>
        <w:t/>
      </w: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2.本期已实现收益指基金本期利息收入、投资收益、其他收入（不含公允价值变动收益）扣除相关费用后的余额，本期利润为本期已实现收益加上本期公允价值变动收益。</w:t>
      </w:r>
    </w:p>
    <w:p w:rsidP="008B6A4A" w:rsidR="0076518F" w:rsidRDefault="0076518F" w:rsidRPr="00A67563">
      <w:pPr>
        <w:autoSpaceDE w:val="0"/>
        <w:autoSpaceDN w:val="0"/>
        <w:adjustRightInd w:val="0"/>
        <w:spacing w:line="360" w:lineRule="auto"/>
        <w:jc w:val="left"/>
        <w:rPr>
          <w:color w:themeColor="text1" w:val="000000"/>
          <w:kern w:val="0"/>
          <w:sz w:val="24"/>
        </w:rPr>
      </w:pPr>
    </w:p>
    <w:p w:rsidP="00EC4BA3"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xml:space="preserve">3.2 </w:t>
      </w:r>
      <w:r w:rsidRPr="00A67563">
        <w:rPr>
          <w:b/>
          <w:color w:themeColor="text1" w:val="000000"/>
          <w:kern w:val="0"/>
          <w:sz w:val="24"/>
        </w:rPr>
        <w:t>基金净值表现</w:t>
      </w:r>
    </w:p>
    <w:p w:rsidP="00EC4BA3" w:rsidR="0076518F" w:rsidRDefault="0076518F" w:rsidRPr="00A67563">
      <w:pPr>
        <w:autoSpaceDE w:val="0"/>
        <w:autoSpaceDN w:val="0"/>
        <w:adjustRightInd w:val="0"/>
        <w:spacing w:line="360" w:lineRule="auto"/>
        <w:jc w:val="left"/>
        <w:rPr>
          <w:b/>
          <w:color w:themeColor="text1"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A67563">
          <w:rPr>
            <w:b/>
            <w:color w:themeColor="text1" w:val="000000"/>
            <w:kern w:val="0"/>
            <w:sz w:val="24"/>
          </w:rPr>
          <w:t>3.2.1</w:t>
        </w:r>
      </w:smartTag>
      <w:r w:rsidRPr="00A67563">
        <w:rPr>
          <w:b/>
          <w:color w:themeColor="text1" w:val="000000"/>
          <w:kern w:val="0"/>
          <w:sz w:val="24"/>
        </w:rPr>
        <w:t>本报告期基金份额净值增长率及其与同期业绩比较基准收益率的比较</w:t>
      </w:r>
    </w:p>
    <w:p w:rsidP="0065601A" w:rsidR="0065601A" w:rsidRDefault="0065601A" w:rsidRPr="00A67563">
      <w:pPr>
        <w:spacing w:line="360" w:lineRule="auto"/>
        <w:rPr>
          <w:b/>
          <w:color w:themeColor="text1" w:val="000000"/>
          <w:sz w:val="24"/>
        </w:rPr>
      </w:pPr>
      <w:r w:rsidRPr="00A67563">
        <w:rPr>
          <w:b/>
          <w:color w:themeColor="text1" w:val="000000"/>
          <w:kern w:val="0"/>
          <w:sz w:val="24"/>
        </w:rPr>
        <w:t/>
      </w:r>
      <w:proofErr w:type="gramStart"/>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
      </w:r>
      <w:proofErr w:type="gramEnd"/>
      <w:r w:rsidRPr="00A67563">
        <w:rPr>
          <w:b/>
          <w:color w:themeColor="text1" w:val="000000"/>
          <w:kern w:val="0"/>
          <w:sz w:val="24"/>
        </w:rPr>
        <w:t>易方达中证海外中国互联网50ETF联接（QDII）A</w:t>
      </w:r>
    </w:p>
    <w:tbl>
      <w:tblPr>
        <w:tblStyle w:val="af7"/>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65601A" w:rsidRPr="00A67563" w:rsidTr="00845292">
        <w:tc>
          <w:tcPr>
            <w:tcW w:type="dxa" w:w="1290"/>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阶段</w:t>
            </w: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净值增长率</w:t>
            </w:r>
            <w:r w:rsidRPr="00A67563">
              <w:rPr>
                <w:rFonts w:ascii="宋体" w:cs="宋体" w:hAnsi="宋体" w:hint="eastAsia"/>
                <w:color w:themeColor="text1" w:val="000000"/>
                <w:sz w:val="24"/>
              </w:rPr>
              <w:t>①</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净值增长率标准差</w:t>
            </w:r>
            <w:r w:rsidRPr="00A67563">
              <w:rPr>
                <w:rFonts w:ascii="宋体" w:cs="宋体" w:hAnsi="宋体" w:hint="eastAsia"/>
                <w:color w:themeColor="text1" w:val="000000"/>
                <w:sz w:val="24"/>
              </w:rPr>
              <w:t>②</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业绩比较基准收益率标准差</w:t>
            </w:r>
            <w:r w:rsidRPr="00A67563">
              <w:rPr>
                <w:rFonts w:ascii="宋体" w:cs="宋体" w:hAnsi="宋体" w:hint="eastAsia"/>
                <w:color w:themeColor="text1" w:val="000000"/>
                <w:sz w:val="24"/>
              </w:rPr>
              <w:t>④</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①</w:t>
            </w:r>
            <w:r w:rsidRPr="00A67563">
              <w:rPr>
                <w:color w:themeColor="text1" w:val="000000"/>
                <w:sz w:val="24"/>
              </w:rPr>
              <w:t>－</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②</w:t>
            </w:r>
            <w:r w:rsidRPr="00A67563">
              <w:rPr>
                <w:color w:themeColor="text1" w:val="000000"/>
                <w:sz w:val="24"/>
              </w:rPr>
              <w:t>－</w:t>
            </w:r>
            <w:r w:rsidRPr="00A67563">
              <w:rPr>
                <w:rFonts w:ascii="宋体" w:cs="宋体" w:hAnsi="宋体" w:hint="eastAsia"/>
                <w:color w:themeColor="text1" w:val="000000"/>
                <w:sz w:val="24"/>
              </w:rPr>
              <w:t>④</w:t>
            </w:r>
          </w:p>
        </w:tc>
      </w:tr>
      <w:tr>
        <w:tc>
          <w:tcPr>
            <w:vAlign w:val="center"/>
          </w:tcPr>
          <w:p>
            <w:pPr>
              <w:jc w:val="left"/>
            </w:pPr>
            <w:r>
              <w:rPr>
                <w:color w:themeColor="text1" w:val="000000"/>
                <w:sz w:val="24"/>
              </w:rPr>
              <w:t>过去三个月</w:t>
            </w:r>
          </w:p>
        </w:tc>
        <w:tc>
          <w:tcPr>
            <w:vAlign w:val="center"/>
          </w:tcPr>
          <w:p>
            <w:pPr>
              <w:jc w:val="right"/>
            </w:pPr>
            <w:r>
              <w:rPr>
                <w:color w:themeColor="text1" w:val="000000"/>
                <w:sz w:val="24"/>
              </w:rPr>
              <w:t>28.62%</w:t>
            </w:r>
          </w:p>
        </w:tc>
        <w:tc>
          <w:tcPr>
            <w:vAlign w:val="center"/>
          </w:tcPr>
          <w:p>
            <w:pPr>
              <w:jc w:val="right"/>
            </w:pPr>
            <w:r>
              <w:rPr>
                <w:color w:themeColor="text1" w:val="000000"/>
                <w:sz w:val="24"/>
              </w:rPr>
              <w:t>1.65%</w:t>
            </w:r>
          </w:p>
        </w:tc>
        <w:tc>
          <w:tcPr>
            <w:vAlign w:val="center"/>
          </w:tcPr>
          <w:p>
            <w:pPr>
              <w:jc w:val="right"/>
            </w:pPr>
            <w:r>
              <w:rPr>
                <w:color w:themeColor="text1" w:val="000000"/>
                <w:sz w:val="24"/>
              </w:rPr>
              <w:t>29.51%</w:t>
            </w:r>
          </w:p>
        </w:tc>
        <w:tc>
          <w:tcPr>
            <w:vAlign w:val="center"/>
          </w:tcPr>
          <w:p>
            <w:pPr>
              <w:jc w:val="right"/>
            </w:pPr>
            <w:r>
              <w:rPr>
                <w:color w:themeColor="text1" w:val="000000"/>
                <w:sz w:val="24"/>
              </w:rPr>
              <w:t>1.67%</w:t>
            </w:r>
          </w:p>
        </w:tc>
        <w:tc>
          <w:tcPr>
            <w:vAlign w:val="center"/>
          </w:tcPr>
          <w:p>
            <w:pPr>
              <w:jc w:val="right"/>
            </w:pPr>
            <w:r>
              <w:rPr>
                <w:color w:themeColor="text1" w:val="000000"/>
                <w:sz w:val="24"/>
              </w:rPr>
              <w:t>-0.89%</w:t>
            </w:r>
          </w:p>
        </w:tc>
        <w:tc>
          <w:tcPr>
            <w:vAlign w:val="center"/>
          </w:tcPr>
          <w:p>
            <w:pPr>
              <w:jc w:val="right"/>
            </w:pPr>
            <w:r>
              <w:rPr>
                <w:color w:themeColor="text1" w:val="000000"/>
                <w:sz w:val="24"/>
              </w:rPr>
              <w:t>-0.02%</w:t>
            </w:r>
          </w:p>
        </w:tc>
      </w:tr>
      <w:tr>
        <w:tc>
          <w:tcPr>
            <w:vAlign w:val="center"/>
          </w:tcPr>
          <w:p>
            <w:pPr>
              <w:jc w:val="left"/>
            </w:pPr>
            <w:r>
              <w:rPr>
                <w:color w:themeColor="text1" w:val="000000"/>
                <w:sz w:val="24"/>
              </w:rPr>
              <w:t>过去六个月</w:t>
            </w:r>
          </w:p>
        </w:tc>
        <w:tc>
          <w:tcPr>
            <w:vAlign w:val="center"/>
          </w:tcPr>
          <w:p>
            <w:pPr>
              <w:jc w:val="right"/>
            </w:pPr>
            <w:r>
              <w:rPr>
                <w:color w:themeColor="text1" w:val="000000"/>
                <w:sz w:val="24"/>
              </w:rPr>
              <w:t>23.58%</w:t>
            </w:r>
          </w:p>
        </w:tc>
        <w:tc>
          <w:tcPr>
            <w:vAlign w:val="center"/>
          </w:tcPr>
          <w:p>
            <w:pPr>
              <w:jc w:val="right"/>
            </w:pPr>
            <w:r>
              <w:rPr>
                <w:color w:themeColor="text1" w:val="000000"/>
                <w:sz w:val="24"/>
              </w:rPr>
              <w:t>1.94%</w:t>
            </w:r>
          </w:p>
        </w:tc>
        <w:tc>
          <w:tcPr>
            <w:vAlign w:val="center"/>
          </w:tcPr>
          <w:p>
            <w:pPr>
              <w:jc w:val="right"/>
            </w:pPr>
            <w:r>
              <w:rPr>
                <w:color w:themeColor="text1" w:val="000000"/>
                <w:sz w:val="24"/>
              </w:rPr>
              <w:t>26.23%</w:t>
            </w:r>
          </w:p>
        </w:tc>
        <w:tc>
          <w:tcPr>
            <w:vAlign w:val="center"/>
          </w:tcPr>
          <w:p>
            <w:pPr>
              <w:jc w:val="right"/>
            </w:pPr>
            <w:r>
              <w:rPr>
                <w:color w:themeColor="text1" w:val="000000"/>
                <w:sz w:val="24"/>
              </w:rPr>
              <w:t>2.03%</w:t>
            </w:r>
          </w:p>
        </w:tc>
        <w:tc>
          <w:tcPr>
            <w:vAlign w:val="center"/>
          </w:tcPr>
          <w:p>
            <w:pPr>
              <w:jc w:val="right"/>
            </w:pPr>
            <w:r>
              <w:rPr>
                <w:color w:themeColor="text1" w:val="000000"/>
                <w:sz w:val="24"/>
              </w:rPr>
              <w:t>-2.65%</w:t>
            </w:r>
          </w:p>
        </w:tc>
        <w:tc>
          <w:tcPr>
            <w:vAlign w:val="center"/>
          </w:tcPr>
          <w:p>
            <w:pPr>
              <w:jc w:val="right"/>
            </w:pPr>
            <w:r>
              <w:rPr>
                <w:color w:themeColor="text1" w:val="000000"/>
                <w:sz w:val="24"/>
              </w:rPr>
              <w:t>-0.09%</w:t>
            </w:r>
          </w:p>
        </w:tc>
      </w:tr>
      <w:tr>
        <w:tc>
          <w:tcPr>
            <w:vAlign w:val="center"/>
          </w:tcPr>
          <w:p>
            <w:pPr>
              <w:jc w:val="left"/>
            </w:pPr>
            <w:r>
              <w:rPr>
                <w:color w:themeColor="text1" w:val="000000"/>
                <w:sz w:val="24"/>
              </w:rPr>
              <w:t>过去一年</w:t>
            </w:r>
          </w:p>
        </w:tc>
        <w:tc>
          <w:tcPr>
            <w:vAlign w:val="center"/>
          </w:tcPr>
          <w:p>
            <w:pPr>
              <w:jc w:val="right"/>
            </w:pPr>
            <w:r>
              <w:rPr>
                <w:color w:themeColor="text1" w:val="000000"/>
                <w:sz w:val="24"/>
              </w:rPr>
              <w:t>42.86%</w:t>
            </w:r>
          </w:p>
        </w:tc>
        <w:tc>
          <w:tcPr>
            <w:vAlign w:val="center"/>
          </w:tcPr>
          <w:p>
            <w:pPr>
              <w:jc w:val="right"/>
            </w:pPr>
            <w:r>
              <w:rPr>
                <w:color w:themeColor="text1" w:val="000000"/>
                <w:sz w:val="24"/>
              </w:rPr>
              <w:t>1.59%</w:t>
            </w:r>
          </w:p>
        </w:tc>
        <w:tc>
          <w:tcPr>
            <w:vAlign w:val="center"/>
          </w:tcPr>
          <w:p>
            <w:pPr>
              <w:jc w:val="right"/>
            </w:pPr>
            <w:r>
              <w:rPr>
                <w:color w:themeColor="text1" w:val="000000"/>
                <w:sz w:val="24"/>
              </w:rPr>
              <w:t>46.57%</w:t>
            </w:r>
          </w:p>
        </w:tc>
        <w:tc>
          <w:tcPr>
            <w:vAlign w:val="center"/>
          </w:tcPr>
          <w:p>
            <w:pPr>
              <w:jc w:val="right"/>
            </w:pPr>
            <w:r>
              <w:rPr>
                <w:color w:themeColor="text1" w:val="000000"/>
                <w:sz w:val="24"/>
              </w:rPr>
              <w:t>1.65%</w:t>
            </w:r>
          </w:p>
        </w:tc>
        <w:tc>
          <w:tcPr>
            <w:vAlign w:val="center"/>
          </w:tcPr>
          <w:p>
            <w:pPr>
              <w:jc w:val="right"/>
            </w:pPr>
            <w:r>
              <w:rPr>
                <w:color w:themeColor="text1" w:val="000000"/>
                <w:sz w:val="24"/>
              </w:rPr>
              <w:t>-3.71%</w:t>
            </w:r>
          </w:p>
        </w:tc>
        <w:tc>
          <w:tcPr>
            <w:vAlign w:val="center"/>
          </w:tcPr>
          <w:p>
            <w:pPr>
              <w:jc w:val="right"/>
            </w:pPr>
            <w:r>
              <w:rPr>
                <w:color w:themeColor="text1" w:val="000000"/>
                <w:sz w:val="24"/>
              </w:rPr>
              <w:t>-0.06%</w:t>
            </w:r>
          </w:p>
        </w:tc>
      </w:tr>
      <w:tr>
        <w:tc>
          <w:tcPr>
            <w:vAlign w:val="center"/>
          </w:tcPr>
          <w:p>
            <w:pPr>
              <w:jc w:val="left"/>
            </w:pPr>
            <w:r>
              <w:rPr>
                <w:color w:themeColor="text1" w:val="000000"/>
                <w:sz w:val="24"/>
              </w:rPr>
              <w:t>过去三年</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过去五年</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自基金合同生效起至今</w:t>
            </w:r>
          </w:p>
        </w:tc>
        <w:tc>
          <w:tcPr>
            <w:vAlign w:val="center"/>
          </w:tcPr>
          <w:p>
            <w:pPr>
              <w:jc w:val="right"/>
            </w:pPr>
            <w:r>
              <w:rPr>
                <w:color w:themeColor="text1" w:val="000000"/>
                <w:sz w:val="24"/>
              </w:rPr>
              <w:t>39.23%</w:t>
            </w:r>
          </w:p>
        </w:tc>
        <w:tc>
          <w:tcPr>
            <w:vAlign w:val="center"/>
          </w:tcPr>
          <w:p>
            <w:pPr>
              <w:jc w:val="right"/>
            </w:pPr>
            <w:r>
              <w:rPr>
                <w:color w:themeColor="text1" w:val="000000"/>
                <w:sz w:val="24"/>
              </w:rPr>
              <w:t>1.47%</w:t>
            </w:r>
          </w:p>
        </w:tc>
        <w:tc>
          <w:tcPr>
            <w:vAlign w:val="center"/>
          </w:tcPr>
          <w:p>
            <w:pPr>
              <w:jc w:val="right"/>
            </w:pPr>
            <w:r>
              <w:rPr>
                <w:color w:themeColor="text1" w:val="000000"/>
                <w:sz w:val="24"/>
              </w:rPr>
              <w:t>57.47%</w:t>
            </w:r>
          </w:p>
        </w:tc>
        <w:tc>
          <w:tcPr>
            <w:vAlign w:val="center"/>
          </w:tcPr>
          <w:p>
            <w:pPr>
              <w:jc w:val="right"/>
            </w:pPr>
            <w:r>
              <w:rPr>
                <w:color w:themeColor="text1" w:val="000000"/>
                <w:sz w:val="24"/>
              </w:rPr>
              <w:t>1.58%</w:t>
            </w:r>
          </w:p>
        </w:tc>
        <w:tc>
          <w:tcPr>
            <w:vAlign w:val="center"/>
          </w:tcPr>
          <w:p>
            <w:pPr>
              <w:jc w:val="right"/>
            </w:pPr>
            <w:r>
              <w:rPr>
                <w:color w:themeColor="text1" w:val="000000"/>
                <w:sz w:val="24"/>
              </w:rPr>
              <w:t>-18.24%</w:t>
            </w:r>
          </w:p>
        </w:tc>
        <w:tc>
          <w:tcPr>
            <w:vAlign w:val="center"/>
          </w:tcPr>
          <w:p>
            <w:pPr>
              <w:jc w:val="right"/>
            </w:pPr>
            <w:r>
              <w:rPr>
                <w:color w:themeColor="text1" w:val="000000"/>
                <w:sz w:val="24"/>
              </w:rPr>
              <w:t>-0.11%</w:t>
            </w:r>
          </w:p>
        </w:tc>
      </w:tr>
    </w:tbl>
    <w:p w:rsidP="00CB3783" w:rsidR="0065601A" w:rsidRDefault="0065601A" w:rsidRPr="00A67563">
      <w:pPr>
        <w:adjustRightInd w:val="0"/>
        <w:spacing w:before="156" w:beforeLines="50" w:line="360" w:lineRule="auto"/>
        <w:rPr>
          <w:b/>
          <w:color w:themeColor="text1" w:val="000000"/>
          <w:kern w:val="0"/>
          <w:sz w:val="24"/>
        </w:rPr>
      </w:pPr>
      <w:r w:rsidRPr="00A67563">
        <w:rPr>
          <w:b/>
          <w:color w:themeColor="text1" w:val="000000"/>
          <w:kern w:val="0"/>
          <w:sz w:val="24"/>
        </w:rPr>
        <w:t/>
      </w:r>
      <w:proofErr w:type="gramStart"/>
      <w:r w:rsidRPr="00A67563">
        <w:rPr>
          <w:b/>
          <w:color w:themeColor="text1" w:val="000000"/>
          <w:kern w:val="0"/>
          <w:sz w:val="24"/>
        </w:rPr>
        <w:t/>
      </w:r>
      <w:proofErr w:type="gramEnd"/>
      <w:r w:rsidRPr="00A67563">
        <w:rPr>
          <w:b/>
          <w:color w:themeColor="text1" w:val="000000"/>
          <w:kern w:val="0"/>
          <w:sz w:val="24"/>
        </w:rPr>
        <w:t>易方达中证海外中国互联网50ETF联接（QDII）C</w:t>
      </w:r>
    </w:p>
    <w:tbl>
      <w:tblPr>
        <w:tblStyle w:val="af7"/>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65601A" w:rsidRPr="00A67563" w:rsidTr="00845292">
        <w:tc>
          <w:tcPr>
            <w:tcW w:type="dxa" w:w="1290"/>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阶段</w:t>
            </w: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
        </w:tc>
        <w:tc>
          <w:tcPr>
            <w:tcW w:type="dxa" w:w="1291"/>
            <w:vAlign w:val="center"/>
          </w:tcPr>
          <w:p w:rsidP="00845292" w:rsidR="0065601A" w:rsidRDefault="0065601A" w:rsidRPr="00A67563">
            <w:pPr>
              <w:snapToGrid w:val="0"/>
              <w:spacing w:line="288" w:lineRule="auto"/>
              <w:jc w:val="center"/>
              <w:rPr>
                <w:color w:themeColor="text1" w:val="000000"/>
                <w:sz w:val="24"/>
                <w:highlight w:val="green"/>
              </w:rPr>
            </w:pPr>
            <w:r w:rsidRPr="00A67563">
              <w:rPr>
                <w:color w:themeColor="text1" w:val="000000"/>
                <w:sz w:val="24"/>
              </w:rPr>
              <w:t>净值增长率</w:t>
            </w:r>
            <w:r w:rsidRPr="00A67563">
              <w:rPr>
                <w:rFonts w:ascii="宋体" w:cs="宋体" w:hAnsi="宋体" w:hint="eastAsia"/>
                <w:color w:themeColor="text1" w:val="000000"/>
                <w:sz w:val="24"/>
              </w:rPr>
              <w:t>①</w:t>
            </w:r>
          </w:p>
        </w:tc>
        <w:tc>
          <w:tcPr>
            <w:tcW w:type="dxa" w:w="1291"/>
            <w:vAlign w:val="center"/>
          </w:tcPr>
          <w:p w:rsidP="00845292" w:rsidR="0065601A" w:rsidRDefault="0065601A" w:rsidRPr="00A67563">
            <w:pPr>
              <w:snapToGrid w:val="0"/>
              <w:spacing w:line="288" w:lineRule="auto"/>
              <w:jc w:val="center"/>
              <w:rPr>
                <w:color w:themeColor="text1" w:val="000000"/>
                <w:sz w:val="24"/>
                <w:highlight w:val="green"/>
              </w:rPr>
            </w:pPr>
            <w:r w:rsidRPr="00A67563">
              <w:rPr>
                <w:color w:themeColor="text1" w:val="000000"/>
                <w:sz w:val="24"/>
              </w:rPr>
              <w:t>净值增长率标准差</w:t>
            </w:r>
            <w:r w:rsidRPr="00A67563">
              <w:rPr>
                <w:rFonts w:ascii="宋体" w:cs="宋体" w:hAnsi="宋体" w:hint="eastAsia"/>
                <w:color w:themeColor="text1" w:val="000000"/>
                <w:sz w:val="24"/>
              </w:rPr>
              <w:t>②</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业绩比较基准收益率标准差</w:t>
            </w:r>
            <w:r w:rsidRPr="00A67563">
              <w:rPr>
                <w:rFonts w:ascii="宋体" w:cs="宋体" w:hAnsi="宋体" w:hint="eastAsia"/>
                <w:color w:themeColor="text1" w:val="000000"/>
                <w:sz w:val="24"/>
              </w:rPr>
              <w:t>④</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①</w:t>
            </w:r>
            <w:r w:rsidRPr="00A67563">
              <w:rPr>
                <w:color w:themeColor="text1" w:val="000000"/>
                <w:sz w:val="24"/>
              </w:rPr>
              <w:t>－</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②</w:t>
            </w:r>
            <w:r w:rsidRPr="00A67563">
              <w:rPr>
                <w:color w:themeColor="text1" w:val="000000"/>
                <w:sz w:val="24"/>
              </w:rPr>
              <w:t>－</w:t>
            </w:r>
            <w:r w:rsidRPr="00A67563">
              <w:rPr>
                <w:rFonts w:ascii="宋体" w:cs="宋体" w:hAnsi="宋体" w:hint="eastAsia"/>
                <w:color w:themeColor="text1" w:val="000000"/>
                <w:sz w:val="24"/>
              </w:rPr>
              <w:t>④</w:t>
            </w:r>
          </w:p>
        </w:tc>
      </w:tr>
      <w:tr>
        <w:tc>
          <w:tcPr>
            <w:vAlign w:val="center"/>
          </w:tcPr>
          <w:p>
            <w:pPr>
              <w:jc w:val="left"/>
            </w:pPr>
            <w:r>
              <w:rPr>
                <w:color w:themeColor="text1" w:val="000000"/>
                <w:sz w:val="24"/>
              </w:rPr>
              <w:t>过去三个月</w:t>
            </w:r>
          </w:p>
        </w:tc>
        <w:tc>
          <w:tcPr>
            <w:vAlign w:val="center"/>
          </w:tcPr>
          <w:p>
            <w:pPr>
              <w:jc w:val="right"/>
            </w:pPr>
            <w:r>
              <w:rPr>
                <w:color w:themeColor="text1" w:val="000000"/>
                <w:sz w:val="24"/>
              </w:rPr>
              <w:t>28.48%</w:t>
            </w:r>
          </w:p>
        </w:tc>
        <w:tc>
          <w:tcPr>
            <w:vAlign w:val="center"/>
          </w:tcPr>
          <w:p>
            <w:pPr>
              <w:jc w:val="right"/>
            </w:pPr>
            <w:r>
              <w:rPr>
                <w:color w:themeColor="text1" w:val="000000"/>
                <w:sz w:val="24"/>
              </w:rPr>
              <w:t>1.64%</w:t>
            </w:r>
          </w:p>
        </w:tc>
        <w:tc>
          <w:tcPr>
            <w:vAlign w:val="center"/>
          </w:tcPr>
          <w:p>
            <w:pPr>
              <w:jc w:val="right"/>
            </w:pPr>
            <w:r>
              <w:rPr>
                <w:color w:themeColor="text1" w:val="000000"/>
                <w:sz w:val="24"/>
              </w:rPr>
              <w:t>29.51%</w:t>
            </w:r>
          </w:p>
        </w:tc>
        <w:tc>
          <w:tcPr>
            <w:vAlign w:val="center"/>
          </w:tcPr>
          <w:p>
            <w:pPr>
              <w:jc w:val="right"/>
            </w:pPr>
            <w:r>
              <w:rPr>
                <w:color w:themeColor="text1" w:val="000000"/>
                <w:sz w:val="24"/>
              </w:rPr>
              <w:t>1.67%</w:t>
            </w:r>
          </w:p>
        </w:tc>
        <w:tc>
          <w:tcPr>
            <w:vAlign w:val="center"/>
          </w:tcPr>
          <w:p>
            <w:pPr>
              <w:jc w:val="right"/>
            </w:pPr>
            <w:r>
              <w:rPr>
                <w:color w:themeColor="text1" w:val="000000"/>
                <w:sz w:val="24"/>
              </w:rPr>
              <w:t>-1.03%</w:t>
            </w:r>
          </w:p>
        </w:tc>
        <w:tc>
          <w:tcPr>
            <w:vAlign w:val="center"/>
          </w:tcPr>
          <w:p>
            <w:pPr>
              <w:jc w:val="right"/>
            </w:pPr>
            <w:r>
              <w:rPr>
                <w:color w:themeColor="text1" w:val="000000"/>
                <w:sz w:val="24"/>
              </w:rPr>
              <w:t>-0.03%</w:t>
            </w:r>
          </w:p>
        </w:tc>
      </w:tr>
      <w:tr>
        <w:tc>
          <w:tcPr>
            <w:vAlign w:val="center"/>
          </w:tcPr>
          <w:p>
            <w:pPr>
              <w:jc w:val="left"/>
            </w:pPr>
            <w:r>
              <w:rPr>
                <w:color w:themeColor="text1" w:val="000000"/>
                <w:sz w:val="24"/>
              </w:rPr>
              <w:t>过去六个月</w:t>
            </w:r>
          </w:p>
        </w:tc>
        <w:tc>
          <w:tcPr>
            <w:vAlign w:val="center"/>
          </w:tcPr>
          <w:p>
            <w:pPr>
              <w:jc w:val="right"/>
            </w:pPr>
            <w:r>
              <w:rPr>
                <w:color w:themeColor="text1" w:val="000000"/>
                <w:sz w:val="24"/>
              </w:rPr>
              <w:t>23.36%</w:t>
            </w:r>
          </w:p>
        </w:tc>
        <w:tc>
          <w:tcPr>
            <w:vAlign w:val="center"/>
          </w:tcPr>
          <w:p>
            <w:pPr>
              <w:jc w:val="right"/>
            </w:pPr>
            <w:r>
              <w:rPr>
                <w:color w:themeColor="text1" w:val="000000"/>
                <w:sz w:val="24"/>
              </w:rPr>
              <w:t>1.94%</w:t>
            </w:r>
          </w:p>
        </w:tc>
        <w:tc>
          <w:tcPr>
            <w:vAlign w:val="center"/>
          </w:tcPr>
          <w:p>
            <w:pPr>
              <w:jc w:val="right"/>
            </w:pPr>
            <w:r>
              <w:rPr>
                <w:color w:themeColor="text1" w:val="000000"/>
                <w:sz w:val="24"/>
              </w:rPr>
              <w:t>26.23%</w:t>
            </w:r>
          </w:p>
        </w:tc>
        <w:tc>
          <w:tcPr>
            <w:vAlign w:val="center"/>
          </w:tcPr>
          <w:p>
            <w:pPr>
              <w:jc w:val="right"/>
            </w:pPr>
            <w:r>
              <w:rPr>
                <w:color w:themeColor="text1" w:val="000000"/>
                <w:sz w:val="24"/>
              </w:rPr>
              <w:t>2.03%</w:t>
            </w:r>
          </w:p>
        </w:tc>
        <w:tc>
          <w:tcPr>
            <w:vAlign w:val="center"/>
          </w:tcPr>
          <w:p>
            <w:pPr>
              <w:jc w:val="right"/>
            </w:pPr>
            <w:r>
              <w:rPr>
                <w:color w:themeColor="text1" w:val="000000"/>
                <w:sz w:val="24"/>
              </w:rPr>
              <w:t>-2.87%</w:t>
            </w:r>
          </w:p>
        </w:tc>
        <w:tc>
          <w:tcPr>
            <w:vAlign w:val="center"/>
          </w:tcPr>
          <w:p>
            <w:pPr>
              <w:jc w:val="right"/>
            </w:pPr>
            <w:r>
              <w:rPr>
                <w:color w:themeColor="text1" w:val="000000"/>
                <w:sz w:val="24"/>
              </w:rPr>
              <w:t>-0.09%</w:t>
            </w:r>
          </w:p>
        </w:tc>
      </w:tr>
      <w:tr>
        <w:tc>
          <w:tcPr>
            <w:vAlign w:val="center"/>
          </w:tcPr>
          <w:p>
            <w:pPr>
              <w:jc w:val="left"/>
            </w:pPr>
            <w:r>
              <w:rPr>
                <w:color w:themeColor="text1" w:val="000000"/>
                <w:sz w:val="24"/>
              </w:rPr>
              <w:t>过去一年</w:t>
            </w:r>
          </w:p>
        </w:tc>
        <w:tc>
          <w:tcPr>
            <w:vAlign w:val="center"/>
          </w:tcPr>
          <w:p>
            <w:pPr>
              <w:jc w:val="right"/>
            </w:pPr>
            <w:r>
              <w:rPr>
                <w:color w:themeColor="text1" w:val="000000"/>
                <w:sz w:val="24"/>
              </w:rPr>
              <w:t>42.35%</w:t>
            </w:r>
          </w:p>
        </w:tc>
        <w:tc>
          <w:tcPr>
            <w:vAlign w:val="center"/>
          </w:tcPr>
          <w:p>
            <w:pPr>
              <w:jc w:val="right"/>
            </w:pPr>
            <w:r>
              <w:rPr>
                <w:color w:themeColor="text1" w:val="000000"/>
                <w:sz w:val="24"/>
              </w:rPr>
              <w:t>1.59%</w:t>
            </w:r>
          </w:p>
        </w:tc>
        <w:tc>
          <w:tcPr>
            <w:vAlign w:val="center"/>
          </w:tcPr>
          <w:p>
            <w:pPr>
              <w:jc w:val="right"/>
            </w:pPr>
            <w:r>
              <w:rPr>
                <w:color w:themeColor="text1" w:val="000000"/>
                <w:sz w:val="24"/>
              </w:rPr>
              <w:t>46.57%</w:t>
            </w:r>
          </w:p>
        </w:tc>
        <w:tc>
          <w:tcPr>
            <w:vAlign w:val="center"/>
          </w:tcPr>
          <w:p>
            <w:pPr>
              <w:jc w:val="right"/>
            </w:pPr>
            <w:r>
              <w:rPr>
                <w:color w:themeColor="text1" w:val="000000"/>
                <w:sz w:val="24"/>
              </w:rPr>
              <w:t>1.65%</w:t>
            </w:r>
          </w:p>
        </w:tc>
        <w:tc>
          <w:tcPr>
            <w:vAlign w:val="center"/>
          </w:tcPr>
          <w:p>
            <w:pPr>
              <w:jc w:val="right"/>
            </w:pPr>
            <w:r>
              <w:rPr>
                <w:color w:themeColor="text1" w:val="000000"/>
                <w:sz w:val="24"/>
              </w:rPr>
              <w:t>-4.22%</w:t>
            </w:r>
          </w:p>
        </w:tc>
        <w:tc>
          <w:tcPr>
            <w:vAlign w:val="center"/>
          </w:tcPr>
          <w:p>
            <w:pPr>
              <w:jc w:val="right"/>
            </w:pPr>
            <w:r>
              <w:rPr>
                <w:color w:themeColor="text1" w:val="000000"/>
                <w:sz w:val="24"/>
              </w:rPr>
              <w:t>-0.06%</w:t>
            </w:r>
          </w:p>
        </w:tc>
      </w:tr>
      <w:tr>
        <w:tc>
          <w:tcPr>
            <w:vAlign w:val="center"/>
          </w:tcPr>
          <w:p>
            <w:pPr>
              <w:jc w:val="left"/>
            </w:pPr>
            <w:r>
              <w:rPr>
                <w:color w:themeColor="text1" w:val="000000"/>
                <w:sz w:val="24"/>
              </w:rPr>
              <w:t>过去三年</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过去五年</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自基金合同生效起至今</w:t>
            </w:r>
          </w:p>
        </w:tc>
        <w:tc>
          <w:tcPr>
            <w:vAlign w:val="center"/>
          </w:tcPr>
          <w:p>
            <w:pPr>
              <w:jc w:val="right"/>
            </w:pPr>
            <w:r>
              <w:rPr>
                <w:color w:themeColor="text1" w:val="000000"/>
                <w:sz w:val="24"/>
              </w:rPr>
              <w:t>37.79%</w:t>
            </w:r>
          </w:p>
        </w:tc>
        <w:tc>
          <w:tcPr>
            <w:vAlign w:val="center"/>
          </w:tcPr>
          <w:p>
            <w:pPr>
              <w:jc w:val="right"/>
            </w:pPr>
            <w:r>
              <w:rPr>
                <w:color w:themeColor="text1" w:val="000000"/>
                <w:sz w:val="24"/>
              </w:rPr>
              <w:t>1.47%</w:t>
            </w:r>
          </w:p>
        </w:tc>
        <w:tc>
          <w:tcPr>
            <w:vAlign w:val="center"/>
          </w:tcPr>
          <w:p>
            <w:pPr>
              <w:jc w:val="right"/>
            </w:pPr>
            <w:r>
              <w:rPr>
                <w:color w:themeColor="text1" w:val="000000"/>
                <w:sz w:val="24"/>
              </w:rPr>
              <w:t>57.47%</w:t>
            </w:r>
          </w:p>
        </w:tc>
        <w:tc>
          <w:tcPr>
            <w:vAlign w:val="center"/>
          </w:tcPr>
          <w:p>
            <w:pPr>
              <w:jc w:val="right"/>
            </w:pPr>
            <w:r>
              <w:rPr>
                <w:color w:themeColor="text1" w:val="000000"/>
                <w:sz w:val="24"/>
              </w:rPr>
              <w:t>1.58%</w:t>
            </w:r>
          </w:p>
        </w:tc>
        <w:tc>
          <w:tcPr>
            <w:vAlign w:val="center"/>
          </w:tcPr>
          <w:p>
            <w:pPr>
              <w:jc w:val="right"/>
            </w:pPr>
            <w:r>
              <w:rPr>
                <w:color w:themeColor="text1" w:val="000000"/>
                <w:sz w:val="24"/>
              </w:rPr>
              <w:t>-19.68%</w:t>
            </w:r>
          </w:p>
        </w:tc>
        <w:tc>
          <w:tcPr>
            <w:vAlign w:val="center"/>
          </w:tcPr>
          <w:p>
            <w:pPr>
              <w:jc w:val="right"/>
            </w:pPr>
            <w:r>
              <w:rPr>
                <w:color w:themeColor="text1" w:val="000000"/>
                <w:sz w:val="24"/>
              </w:rPr>
              <w:t>-0.11%</w:t>
            </w:r>
          </w:p>
        </w:tc>
      </w:tr>
    </w:tbl>
    <w:p w:rsidP="008B6A4A" w:rsidR="0076518F" w:rsidRDefault="0076518F" w:rsidRPr="00A67563">
      <w:pPr>
        <w:autoSpaceDE w:val="0"/>
        <w:autoSpaceDN w:val="0"/>
        <w:adjustRightInd w:val="0"/>
        <w:spacing w:line="360" w:lineRule="auto"/>
        <w:jc w:val="left"/>
        <w:rPr>
          <w:color w:themeColor="text1" w:val="000000"/>
          <w:kern w:val="0"/>
          <w:sz w:val="24"/>
        </w:rPr>
      </w:pPr>
    </w:p>
    <w:p w:rsidP="00EC4BA3"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3.2.2</w:t>
      </w:r>
      <w:r w:rsidR="00867510">
        <w:rPr>
          <w:rFonts w:hint="eastAsia"/>
          <w:b/>
          <w:color w:themeColor="text1" w:val="000000"/>
          <w:kern w:val="0"/>
          <w:sz w:val="24"/>
        </w:rPr>
        <w:t xml:space="preserve"> </w:t>
      </w:r>
      <w:r w:rsidR="0045214F">
        <w:rPr>
          <w:rStyle w:val="af8"/>
          <w:rFonts w:cs="宋体" w:hAnsi="宋体"/>
          <w:color w:val="000000"/>
          <w:shd w:color="auto" w:fill="FFFFFF" w:val="clear"/>
        </w:rPr>
        <w:t/>
      </w:r>
      <w:proofErr w:type="spellStart"/>
      <w:r w:rsidR="0045214F">
        <w:rPr>
          <w:rStyle w:val="af8"/>
          <w:rFonts w:cs="宋体" w:hAnsi="宋体"/>
          <w:color w:val="000000"/>
          <w:shd w:color="auto" w:fill="FFFFFF" w:val="clear"/>
        </w:rPr>
        <w:t/>
      </w:r>
      <w:proofErr w:type="spellEnd"/>
      <w:r w:rsidR="0045214F">
        <w:rPr>
          <w:rStyle w:val="af8"/>
          <w:rFonts w:cs="宋体" w:hAnsi="宋体"/>
          <w:color w:val="000000"/>
          <w:shd w:color="auto" w:fill="FFFFFF" w:val="clear"/>
        </w:rPr>
        <w:t>自基金合同生效以来</w:t>
      </w:r>
      <w:r w:rsidRPr="00A67563">
        <w:rPr>
          <w:b/>
          <w:color w:themeColor="text1" w:val="000000"/>
          <w:kern w:val="0"/>
          <w:sz w:val="24"/>
        </w:rPr>
        <w:t>基金累计</w:t>
      </w:r>
      <w:r w:rsidR="004339D9" w:rsidRPr="00A67563">
        <w:rPr>
          <w:b/>
          <w:color w:themeColor="text1" w:val="000000"/>
          <w:kern w:val="0"/>
          <w:sz w:val="24"/>
        </w:rPr>
        <w:t>份额</w:t>
      </w:r>
      <w:r w:rsidRPr="00A67563">
        <w:rPr>
          <w:b/>
          <w:color w:themeColor="text1" w:val="000000"/>
          <w:kern w:val="0"/>
          <w:sz w:val="24"/>
        </w:rPr>
        <w:t>净值增长率变动及其与同期业绩比较基准收益率变动的比较</w:t>
      </w:r>
    </w:p>
    <w:p w:rsidP="00EC4BA3" w:rsidR="00A96FD9" w:rsidRDefault="00A96FD9" w:rsidRPr="00A67563">
      <w:pPr>
        <w:spacing w:line="360" w:lineRule="auto"/>
        <w:jc w:val="center"/>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易方达中证海外中国互联网50交易型开放式指数证券投资基金联接基金</w:t>
      </w:r>
    </w:p>
    <w:p w:rsidP="00532FD8" w:rsidR="00532FD8" w:rsidRDefault="00180BBB">
      <w:pPr>
        <w:pStyle w:val="a5"/>
        <w:snapToGrid w:val="0"/>
        <w:spacing w:line="360" w:lineRule="auto"/>
        <w:ind w:firstLine="480"/>
        <w:jc w:val="center"/>
        <w:rPr>
          <w:rFonts w:ascii="Times New Roman" w:eastAsiaTheme="minorEastAsia" w:hAnsi="Times New Roman"/>
          <w:color w:themeColor="text1" w:val="000000"/>
          <w:sz w:val="24"/>
          <w:szCs w:val="24"/>
        </w:rPr>
      </w:pPr>
      <w:r>
        <w:rPr>
          <w:rFonts w:ascii="Times New Roman" w:hAnsi="Times New Roman" w:hint="eastAsia"/>
          <w:color w:val="000000"/>
          <w:sz w:val="24"/>
          <w:szCs w:val="24"/>
        </w:rPr>
        <w:t>累计净值增长率与业绩比较基准收益率的历史走势对比图</w:t>
      </w:r>
    </w:p>
    <w:p w:rsidP="00F22C3A" w:rsidR="00532FD8" w:rsidRDefault="00532FD8">
      <w:pPr>
        <w:pStyle w:val="a5"/>
        <w:snapToGrid w:val="0"/>
        <w:spacing w:line="360" w:lineRule="auto"/>
        <w:jc w:val="center"/>
        <w:rPr>
          <w:rFonts w:ascii="Times New Roman" w:hAnsi="Times New Roman"/>
          <w:sz w:val="24"/>
          <w:szCs w:val="24"/>
        </w:rPr>
      </w:pPr>
      <w:r>
        <w:rPr>
          <w:rFonts w:ascii="Times New Roman" w:hAnsi="Times New Roman"/>
          <w:sz w:val="24"/>
          <w:szCs w:val="24"/>
        </w:rPr>
        <w:t/>
      </w:r>
      <w:proofErr w:type="spellStart"/>
      <w:r>
        <w:rPr>
          <w:rFonts w:ascii="Times New Roman" w:hAnsi="Times New Roman"/>
          <w:sz w:val="24"/>
          <w:szCs w:val="24"/>
        </w:rPr>
        <w:t/>
      </w:r>
      <w:proofErr w:type="spellEnd"/>
      <w:r>
        <w:rPr>
          <w:rFonts w:ascii="Times New Roman" w:hAnsi="Times New Roman"/>
          <w:sz w:val="24"/>
          <w:szCs w:val="24"/>
        </w:rPr>
        <w:t>（2019年1月18日至2020年6月30日）</w:t>
      </w:r>
    </w:p>
    <w:p w:rsidP="00532FD8" w:rsidR="00532FD8" w:rsidRDefault="0065601A">
      <w:pPr>
        <w:snapToGrid w:val="0"/>
        <w:spacing w:line="360" w:lineRule="auto"/>
        <w:rPr>
          <w:rFonts w:eastAsiaTheme="minorEastAsia" w:hAnsiTheme="minorEastAsia"/>
          <w:color w:themeColor="text1" w:val="000000"/>
          <w:sz w:val="24"/>
        </w:rPr>
      </w:pPr>
      <w:r w:rsidRPr="00A67563">
        <w:rPr>
          <w:color w:themeColor="text1" w:val="000000"/>
          <w:sz w:val="24"/>
        </w:rPr>
        <w:t/>
      </w:r>
      <w:proofErr w:type="gramStart"/>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gramEnd"/>
      <w:r w:rsidRPr="00A67563">
        <w:rPr>
          <w:color w:themeColor="text1" w:val="000000"/>
          <w:sz w:val="24"/>
        </w:rPr>
        <w:t>易方达中证海外中国互联网50ETF联接（QDII）A</w:t>
      </w:r>
    </w:p>
    <w:p w:rsidP="0065601A" w:rsidR="0065601A" w:rsidRDefault="0065601A" w:rsidRPr="00A67563">
      <w:pPr>
        <w:pStyle w:val="20"/>
        <w:spacing w:line="288" w:lineRule="auto"/>
        <w:ind w:firstLine="0" w:firstLineChars="0"/>
        <w:jc w:val="center"/>
        <w:rPr>
          <w:rFonts w:ascii="Times New Roman" w:hAnsi="Times New Roman"/>
          <w:color w:themeColor="text1" w:val="000000"/>
        </w:rPr>
      </w:pPr>
      <w:r w:rsidRPr="00A67563">
        <w:rPr>
          <w:rFonts w:ascii="Times New Roman" w:hAnsi="Times New Roman"/>
          <w:noProof/>
          <w:color w:themeColor="text1" w:val="000000"/>
        </w:rPr>
        <w:lastRenderedPageBreak/>
        <w:drawing>
          <wp:inline distB="0" distL="0" distR="0" distT="0">
            <wp:extent cx="5591175" cy="3276600"/>
            <wp:effectExtent b="0" l="0" r="0" t="0"/>
            <wp:docPr descr="D:\浏览器下载\走势图柱状图\走势图1.jpg"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1.jpg" id="0" name="Picture 1"/>
                    <pic:cNvPicPr>
                      <a:picLocks noChangeArrowheads="1" noChangeAspect="1"/>
                    </pic:cNvPicPr>
                  </pic:nvPicPr>
                  <pic:blipFill>
                    <a:blip cstate="print" r:embed="rId10">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P="00532FD8" w:rsidR="00532FD8" w:rsidRDefault="0065601A">
      <w:pPr>
        <w:snapToGrid w:val="0"/>
        <w:spacing w:before="312" w:beforeLines="100" w:line="360" w:lineRule="auto"/>
        <w:rPr>
          <w:rFonts w:eastAsiaTheme="minorEastAsia" w:hAnsiTheme="minorEastAsia"/>
          <w:color w:themeColor="text1" w:val="000000"/>
          <w:sz w:val="24"/>
        </w:rPr>
      </w:pPr>
      <w:r w:rsidRPr="00A67563">
        <w:rPr>
          <w:color w:themeColor="text1" w:val="000000"/>
          <w:sz w:val="24"/>
        </w:rPr>
        <w:t>易方达中证海外中国互联网50ETF联接（QDII）C</w:t>
      </w:r>
    </w:p>
    <w:p w:rsidP="0065601A" w:rsidR="0065601A" w:rsidRDefault="0065601A" w:rsidRPr="00A67563">
      <w:pPr>
        <w:pStyle w:val="20"/>
        <w:spacing w:line="288" w:lineRule="auto"/>
        <w:ind w:firstLine="0" w:firstLineChars="0"/>
        <w:jc w:val="center"/>
        <w:rPr>
          <w:rFonts w:ascii="Times New Roman" w:hAnsi="Times New Roman"/>
          <w:color w:themeColor="text1" w:val="000000"/>
        </w:rPr>
      </w:pPr>
      <w:r w:rsidRPr="00A67563">
        <w:rPr>
          <w:rFonts w:ascii="Times New Roman" w:hAnsi="Times New Roman"/>
          <w:noProof/>
          <w:color w:themeColor="text1" w:val="000000"/>
        </w:rPr>
        <w:drawing>
          <wp:inline distB="0" distL="0" distR="0" distT="0" wp14:anchorId="469BBEFE" wp14:editId="5FFAE4A6">
            <wp:extent cx="5591175" cy="3276600"/>
            <wp:effectExtent b="0" l="0" r="0" t="0"/>
            <wp:docPr descr="D:\浏览器下载\走势图柱状图\走势图2.jpg"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2.jpg" id="0" name="Picture 2"/>
                    <pic:cNvPicPr>
                      <a:picLocks noChangeArrowheads="1" noChangeAspect="1"/>
                    </pic:cNvPicPr>
                  </pic:nvPicPr>
                  <pic:blipFill>
                    <a:blip cstate="print" r:embed="rId11">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pPr>
        <w:autoSpaceDE w:val="0"/>
        <w:autoSpaceDN w:val="0"/>
        <w:adjustRightInd w:val="0"/>
        <w:spacing w:line="360" w:lineRule="auto"/>
        <w:ind w:firstLine="480" w:firstLineChars="200"/>
        <w:jc w:val="left"/>
        <w:rPr>
          <w:color w:themeColor="text1" w:val="000000"/>
          <w:sz w:val="24"/>
        </w:rPr>
      </w:pPr>
      <w:r>
        <w:rPr>
          <w:color w:themeColor="text1" w:val="000000"/>
          <w:sz w:val="24"/>
        </w:rPr>
        <w:t>注：1.按基金合同和招募说明书的约定，本基金的建仓期为六个月，建仓期结束时各项资产配置比例符合基金合同（第十二部分二、投资范围，三、投资策略和四、投资限制）的有关约定。</w:t>
      </w:r>
    </w:p>
    <w:p w:rsidP="002D6955" w:rsidR="0065601A" w:rsidRDefault="0065601A"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lastRenderedPageBreak/>
        <w:t>2.自基金合同生效至报告期末，A类基金份额净值增长率为39.23%，C类基金份额净值增长率为37.79%，同期业绩比较基准收益率为57.47%。</w:t>
      </w:r>
    </w:p>
    <w:p w:rsidP="00CB3783"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§4  </w:t>
      </w:r>
      <w:r w:rsidRPr="00A67563">
        <w:rPr>
          <w:color w:themeColor="text1" w:val="000000"/>
          <w:kern w:val="0"/>
          <w:sz w:val="24"/>
          <w:szCs w:val="24"/>
        </w:rPr>
        <w:t>管理人报告</w:t>
      </w:r>
    </w:p>
    <w:p w:rsidP="0040617F" w:rsidR="0040617F" w:rsidRDefault="0076518F" w:rsidRPr="006506EF">
      <w:pPr>
        <w:autoSpaceDE w:val="0"/>
        <w:autoSpaceDN w:val="0"/>
        <w:adjustRightInd w:val="0"/>
        <w:spacing w:line="360" w:lineRule="auto"/>
        <w:jc w:val="left"/>
        <w:rPr>
          <w:b/>
          <w:color w:val="000000"/>
          <w:kern w:val="0"/>
          <w:sz w:val="24"/>
        </w:rPr>
      </w:pPr>
      <w:r w:rsidRPr="00A67563">
        <w:rPr>
          <w:b/>
          <w:color w:themeColor="text1" w:val="000000"/>
          <w:kern w:val="0"/>
          <w:sz w:val="24"/>
        </w:rPr>
        <w:t xml:space="preserve">4.1 </w:t>
      </w:r>
      <w:r w:rsidRPr="00A67563">
        <w:rPr>
          <w:b/>
          <w:color w:themeColor="text1"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3260"/>
        <w:gridCol w:w="1276"/>
        <w:gridCol w:w="1276"/>
        <w:gridCol w:w="850"/>
        <w:gridCol w:w="1418"/>
      </w:tblGrid>
      <w:tr w:rsidR="0040617F" w:rsidRPr="006506EF" w:rsidTr="00AB23E1">
        <w:trPr>
          <w:cantSplit/>
          <w:trHeight w:val="292"/>
        </w:trPr>
        <w:tc>
          <w:tcPr>
            <w:tcW w:type="dxa" w:w="851"/>
            <w:vMerge w:val="restart"/>
            <w:vAlign w:val="center"/>
          </w:tcPr>
          <w:p w:rsidP="00AB23E1" w:rsidR="0040617F" w:rsidRDefault="0040617F" w:rsidRPr="006506EF">
            <w:pPr>
              <w:widowControl/>
              <w:spacing w:before="29" w:line="360" w:lineRule="auto"/>
              <w:ind w:left="17"/>
              <w:jc w:val="center"/>
              <w:rPr>
                <w:color w:val="000000"/>
                <w:kern w:val="0"/>
                <w:sz w:val="24"/>
              </w:rPr>
            </w:pPr>
            <w:r w:rsidRPr="006506EF">
              <w:rPr>
                <w:color w:val="000000"/>
                <w:kern w:val="0"/>
                <w:sz w:val="24"/>
              </w:rPr>
              <w:t>姓名</w:t>
            </w:r>
          </w:p>
        </w:tc>
        <w:tc>
          <w:tcPr>
            <w:tcW w:type="dxa" w:w="3260"/>
            <w:vMerge w:val="restart"/>
            <w:vAlign w:val="center"/>
          </w:tcPr>
          <w:p w:rsidP="00AB23E1" w:rsidR="0040617F" w:rsidRDefault="0040617F" w:rsidRPr="006506EF">
            <w:pPr>
              <w:widowControl/>
              <w:spacing w:before="29" w:line="360" w:lineRule="auto"/>
              <w:ind w:left="17"/>
              <w:jc w:val="center"/>
              <w:rPr>
                <w:color w:val="000000"/>
                <w:kern w:val="0"/>
                <w:sz w:val="24"/>
              </w:rPr>
            </w:pPr>
            <w:r w:rsidRPr="006506EF">
              <w:rPr>
                <w:color w:val="000000"/>
                <w:kern w:val="0"/>
                <w:sz w:val="24"/>
              </w:rPr>
              <w:t>职务</w:t>
            </w:r>
          </w:p>
        </w:tc>
        <w:tc>
          <w:tcPr>
            <w:tcW w:type="dxa" w:w="2552"/>
            <w:gridSpan w:val="2"/>
            <w:vAlign w:val="center"/>
          </w:tcPr>
          <w:p w:rsidP="00AB23E1"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任本基金的基金经理期限</w:t>
            </w:r>
          </w:p>
        </w:tc>
        <w:tc>
          <w:tcPr>
            <w:tcW w:type="dxa" w:w="850"/>
            <w:vMerge w:val="restart"/>
            <w:vAlign w:val="center"/>
          </w:tcPr>
          <w:p w:rsidP="00AB23E1"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证券从业年限</w:t>
            </w:r>
          </w:p>
        </w:tc>
        <w:tc>
          <w:tcPr>
            <w:tcW w:type="dxa" w:w="1418"/>
            <w:vMerge w:val="restart"/>
            <w:vAlign w:val="center"/>
          </w:tcPr>
          <w:p w:rsidP="00AB23E1" w:rsidR="0040617F" w:rsidRDefault="0040617F" w:rsidRPr="006506EF">
            <w:pPr>
              <w:widowControl/>
              <w:spacing w:before="29" w:line="360" w:lineRule="auto"/>
              <w:ind w:left="17"/>
              <w:jc w:val="center"/>
              <w:rPr>
                <w:color w:val="000000"/>
                <w:kern w:val="0"/>
                <w:sz w:val="24"/>
              </w:rPr>
            </w:pPr>
            <w:r w:rsidRPr="006506EF">
              <w:rPr>
                <w:color w:val="000000"/>
                <w:kern w:val="0"/>
                <w:sz w:val="24"/>
              </w:rPr>
              <w:t>说明</w:t>
            </w:r>
          </w:p>
        </w:tc>
      </w:tr>
      <w:tr w:rsidR="0040617F" w:rsidRPr="006506EF" w:rsidTr="00AB23E1">
        <w:trPr>
          <w:cantSplit/>
        </w:trPr>
        <w:tc>
          <w:tcPr>
            <w:tcW w:type="dxa" w:w="851"/>
            <w:vMerge/>
            <w:vAlign w:val="center"/>
          </w:tcPr>
          <w:p w:rsidP="00AB23E1" w:rsidR="0040617F" w:rsidRDefault="0040617F" w:rsidRPr="006506EF">
            <w:pPr>
              <w:widowControl/>
              <w:spacing w:line="360" w:lineRule="auto"/>
              <w:jc w:val="left"/>
              <w:rPr>
                <w:color w:val="000000"/>
                <w:kern w:val="0"/>
                <w:sz w:val="24"/>
              </w:rPr>
            </w:pPr>
          </w:p>
        </w:tc>
        <w:tc>
          <w:tcPr>
            <w:tcW w:type="dxa" w:w="3260"/>
            <w:vMerge/>
            <w:vAlign w:val="center"/>
          </w:tcPr>
          <w:p w:rsidP="00AB23E1" w:rsidR="0040617F" w:rsidRDefault="0040617F" w:rsidRPr="006506EF">
            <w:pPr>
              <w:widowControl/>
              <w:spacing w:line="360" w:lineRule="auto"/>
              <w:jc w:val="left"/>
              <w:rPr>
                <w:color w:val="000000"/>
                <w:kern w:val="0"/>
                <w:sz w:val="24"/>
              </w:rPr>
            </w:pPr>
          </w:p>
        </w:tc>
        <w:tc>
          <w:tcPr>
            <w:tcW w:type="dxa" w:w="1276"/>
            <w:vAlign w:val="center"/>
          </w:tcPr>
          <w:p w:rsidP="00AB23E1"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任职日期</w:t>
            </w:r>
          </w:p>
        </w:tc>
        <w:tc>
          <w:tcPr>
            <w:tcW w:type="dxa" w:w="1276"/>
            <w:vAlign w:val="center"/>
          </w:tcPr>
          <w:p w:rsidP="00AB23E1"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离任日期</w:t>
            </w:r>
          </w:p>
        </w:tc>
        <w:tc>
          <w:tcPr>
            <w:tcW w:type="dxa" w:w="850"/>
            <w:vMerge/>
            <w:vAlign w:val="center"/>
          </w:tcPr>
          <w:p w:rsidP="00AB23E1" w:rsidR="0040617F" w:rsidRDefault="0040617F" w:rsidRPr="006506EF">
            <w:pPr>
              <w:widowControl/>
              <w:spacing w:line="360" w:lineRule="auto"/>
              <w:jc w:val="left"/>
              <w:rPr>
                <w:color w:val="000000"/>
                <w:kern w:val="0"/>
                <w:sz w:val="24"/>
              </w:rPr>
            </w:pPr>
          </w:p>
        </w:tc>
        <w:tc>
          <w:tcPr>
            <w:tcW w:type="dxa" w:w="1418"/>
            <w:vMerge/>
            <w:vAlign w:val="center"/>
          </w:tcPr>
          <w:p w:rsidP="00AB23E1" w:rsidR="0040617F" w:rsidRDefault="0040617F" w:rsidRPr="006506EF">
            <w:pPr>
              <w:widowControl/>
              <w:spacing w:line="360" w:lineRule="auto"/>
              <w:jc w:val="left"/>
              <w:rPr>
                <w:color w:val="000000"/>
                <w:kern w:val="0"/>
                <w:sz w:val="24"/>
              </w:rPr>
            </w:pPr>
          </w:p>
        </w:tc>
      </w:tr>
      <w:tr>
        <w:tc>
          <w:tcPr>
            <w:vAlign w:val="center"/>
          </w:tcPr>
          <w:p>
            <w:pPr>
              <w:jc w:val="center"/>
            </w:pPr>
            <w:r>
              <w:rPr>
                <w:color w:val="000000"/>
                <w:sz w:val="24"/>
              </w:rPr>
              <w:t>FAN BING（范冰）</w:t>
            </w:r>
          </w:p>
        </w:tc>
        <w:tc>
          <w:tcPr>
            <w:vAlign w:val="center"/>
          </w:tcPr>
          <w:p>
            <w:pPr>
              <w:jc w:val="left"/>
            </w:pPr>
            <w:r>
              <w:rPr>
                <w:color w:val="000000"/>
                <w:sz w:val="24"/>
              </w:rPr>
              <w:t>本基金的基金经理、易方达黄金交易型开放式证券投资基金联接基金的基金经理、易方达标普500指数证券投资基金（LOF）的基金经理、易方达标普生物科技指数证券投资基金（LOF）的基金经理、易方达标普信息科技指数证券投资基金（LOF）的基金经理、易方达原油证券投资基金（QDII）的基金经理、易方达中证海外中国互联网50交易型开放式指数证券投资基金的基金经理、易方达黄金交易型开放式证券投资基金的基金经理、易方达标普医疗保健指数证券投资基金（LOF）的基金经理、易方达纳斯达克100指数证券投资基金（LOF）的基金经理、易方达MSCI中国A股国际通交易型开放式指数证券投资基金的基金经理、易方达MSCI中国A股国际通交易型开放式指数证券投资基金发起式联接基金的基金经理、易方达日兴资管日经225交易型开放式指数证券投资基金（QDII）的基金经理、易方达中证香港证券投资主题交易型开放式指数证券投资基金的基金经理</w:t>
            </w:r>
          </w:p>
        </w:tc>
        <w:tc>
          <w:tcPr>
            <w:vAlign w:val="center"/>
          </w:tcPr>
          <w:p>
            <w:pPr>
              <w:jc w:val="center"/>
            </w:pPr>
            <w:r>
              <w:rPr>
                <w:color w:val="000000"/>
                <w:sz w:val="24"/>
              </w:rPr>
              <w:t>2019-01-18</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left"/>
            </w:pPr>
            <w:r>
              <w:rPr>
                <w:color w:val="000000"/>
                <w:sz w:val="24"/>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易方达基金管理有限公司易方达标普全球高端消费品指数增强型证券投资基金基金经理。</w:t>
            </w: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证券公司指数分级证券投资基金的基金经理、易方达军工指数分级证券投资基金的基金经理、易方达沪深300交易型开放式指数发起式证券投资基金的基金经理、易方达中证500交易型开放式指数证券投资基金的基金经理、易方达沪深300交易型开放式指数发起式证券投资基金联接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黄金交易型开放式证券投资基金联接基金的基金经理、易方达黄金交易型开放式证券投资基金的基金经理、易方达恒生中国企业交易型开放式指数证券投资基金联接基金的基金经理、易方达恒生中国企业交易型开放式指数证券投资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2019-01-18</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left"/>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bl>
    <w:p>
      <w:pPr>
        <w:autoSpaceDE w:val="0"/>
        <w:autoSpaceDN w:val="0"/>
        <w:adjustRightInd w:val="0"/>
        <w:spacing w:line="360" w:lineRule="auto"/>
        <w:ind w:firstLine="480" w:firstLineChars="200"/>
        <w:jc w:val="left"/>
        <w:rPr>
          <w:color w:themeColor="text1"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120EAF" w:rsidR="00A47E47" w:rsidRDefault="0040617F" w:rsidRPr="00A67563">
      <w:pPr>
        <w:autoSpaceDE w:val="0"/>
        <w:autoSpaceDN w:val="0"/>
        <w:adjustRightInd w:val="0"/>
        <w:spacing w:line="360" w:lineRule="auto"/>
        <w:ind w:firstLine="480" w:firstLineChars="200"/>
        <w:jc w:val="left"/>
        <w:rPr>
          <w:color w:themeColor="text1" w:val="000000"/>
          <w:sz w:val="24"/>
        </w:rPr>
      </w:pPr>
      <w:r w:rsidRPr="006506EF">
        <w:rPr>
          <w:color w:val="000000"/>
          <w:sz w:val="24"/>
        </w:rPr>
        <w:t>2.证券从业的含义遵从《证券业从业人员资格管理办法》的相关规定。</w:t>
      </w:r>
    </w:p>
    <w:p w:rsidP="00EC4BA3" w:rsidR="0076518F" w:rsidRDefault="00B95E5A"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
      </w:r>
      <w:r w:rsidR="0076518F" w:rsidRPr="00A67563">
        <w:rPr>
          <w:b/>
          <w:color w:themeColor="text1" w:val="000000"/>
          <w:kern w:val="0"/>
          <w:sz w:val="24"/>
        </w:rPr>
        <w:t>4.</w:t>
      </w:r>
      <w:r w:rsidR="00F077D2" w:rsidRPr="00A67563">
        <w:rPr>
          <w:b/>
          <w:color w:themeColor="text1" w:val="000000"/>
          <w:kern w:val="0"/>
          <w:sz w:val="24"/>
        </w:rPr>
        <w:t>2</w:t>
      </w:r>
      <w:r w:rsidR="00A32FDA" w:rsidRPr="00A67563">
        <w:rPr>
          <w:b/>
          <w:color w:themeColor="text1" w:val="000000"/>
          <w:kern w:val="0"/>
          <w:sz w:val="24"/>
        </w:rPr>
        <w:t xml:space="preserve"> </w:t>
      </w:r>
      <w:r w:rsidR="0076518F" w:rsidRPr="00A67563">
        <w:rPr>
          <w:b/>
          <w:color w:themeColor="text1" w:val="000000"/>
          <w:kern w:val="0"/>
          <w:sz w:val="24"/>
        </w:rPr>
        <w:t>境外投资顾问为本基金提供投资建议的主要成员简介</w:t>
      </w:r>
    </w:p>
    <w:p w:rsidP="002D6955" w:rsidR="00363E15" w:rsidRDefault="00363E15"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本基金未聘请境外投资顾问。</w:t>
      </w:r>
    </w:p>
    <w:p w:rsidP="00180BBB" w:rsidR="00180BBB" w:rsidRDefault="00B95E5A">
      <w:pPr>
        <w:autoSpaceDE w:val="0"/>
        <w:autoSpaceDN w:val="0"/>
        <w:adjustRightInd w:val="0"/>
        <w:spacing w:line="360" w:lineRule="auto"/>
        <w:jc w:val="left"/>
        <w:rPr>
          <w:b/>
          <w:color w:val="000000"/>
          <w:kern w:val="0"/>
          <w:sz w:val="24"/>
        </w:rPr>
      </w:pPr>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
      </w:r>
      <w:r w:rsidR="0076518F" w:rsidRPr="00A67563">
        <w:rPr>
          <w:b/>
          <w:color w:themeColor="text1" w:val="000000"/>
          <w:kern w:val="0"/>
          <w:sz w:val="24"/>
        </w:rPr>
        <w:t>4.</w:t>
      </w:r>
      <w:r w:rsidR="00A32FDA" w:rsidRPr="00A67563">
        <w:rPr>
          <w:b/>
          <w:color w:themeColor="text1" w:val="000000"/>
          <w:kern w:val="0"/>
          <w:sz w:val="24"/>
        </w:rPr>
        <w:t>3</w:t>
      </w:r>
      <w:r w:rsidR="00180BBB">
        <w:rPr>
          <w:rFonts w:hint="eastAsia"/>
          <w:b/>
          <w:color w:val="000000"/>
          <w:kern w:val="0"/>
          <w:sz w:val="24"/>
        </w:rPr>
        <w:t>报告期内本基金运作遵规守信情况说明</w:t>
      </w:r>
    </w:p>
    <w:p w:rsidP="00AB23E1" w:rsidR="0076518F" w:rsidRDefault="00363E15" w:rsidRPr="00A67563">
      <w:pPr>
        <w:spacing w:line="360" w:lineRule="auto"/>
        <w:ind w:firstLine="480" w:firstLineChars="200"/>
        <w:rPr>
          <w:color w:themeColor="text1" w:val="000000"/>
          <w:kern w:val="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A70E23"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4.</w:t>
      </w:r>
      <w:r w:rsidR="00A32FDA" w:rsidRPr="00A67563">
        <w:rPr>
          <w:b/>
          <w:color w:themeColor="text1" w:val="000000"/>
          <w:kern w:val="0"/>
          <w:sz w:val="24"/>
        </w:rPr>
        <w:t>4</w:t>
      </w:r>
      <w:r w:rsidRPr="00A67563">
        <w:rPr>
          <w:b/>
          <w:color w:themeColor="text1" w:val="000000"/>
          <w:kern w:val="0"/>
          <w:sz w:val="24"/>
        </w:rPr>
        <w:t xml:space="preserve"> </w:t>
      </w:r>
      <w:r w:rsidRPr="00A67563">
        <w:rPr>
          <w:b/>
          <w:color w:themeColor="text1" w:val="000000"/>
          <w:kern w:val="0"/>
          <w:sz w:val="24"/>
        </w:rPr>
        <w:t>公平交易专项说明</w:t>
      </w:r>
    </w:p>
    <w:p w:rsidP="00A70E23" w:rsidR="00AB42E2" w:rsidRDefault="00AB42E2" w:rsidRPr="00A67563">
      <w:pPr>
        <w:spacing w:line="360" w:lineRule="auto"/>
        <w:rPr>
          <w:color w:themeColor="text1" w:val="000000"/>
          <w:sz w:val="24"/>
        </w:rPr>
      </w:pPr>
      <w:r w:rsidRPr="00A67563">
        <w:rPr>
          <w:color w:themeColor="text1" w:val="000000"/>
          <w:sz w:val="24"/>
        </w:rPr>
        <w:t>4.</w:t>
      </w:r>
      <w:r w:rsidR="00A32FDA" w:rsidRPr="00A67563">
        <w:rPr>
          <w:color w:themeColor="text1" w:val="000000"/>
          <w:sz w:val="24"/>
        </w:rPr>
        <w:t>4.1</w:t>
      </w:r>
      <w:r w:rsidRPr="00A67563">
        <w:rPr>
          <w:color w:themeColor="text1" w:val="000000"/>
          <w:sz w:val="24"/>
        </w:rPr>
        <w:t>公平交易制度的执行情况</w:t>
      </w:r>
    </w:p>
    <w:p w:rsidP="00797DD2" w:rsidR="00AB42E2" w:rsidRDefault="001F3C28" w:rsidRPr="00A67563">
      <w:pPr>
        <w:spacing w:line="360" w:lineRule="auto"/>
        <w:ind w:firstLine="480" w:firstLineChars="200"/>
        <w:rPr>
          <w:color w:themeColor="text1" w:val="00000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P="00A70E23" w:rsidR="00AB42E2" w:rsidRDefault="00AB42E2" w:rsidRPr="00A67563">
      <w:pPr>
        <w:spacing w:line="360" w:lineRule="auto"/>
        <w:rPr>
          <w:color w:themeColor="text1" w:val="000000"/>
          <w:sz w:val="24"/>
        </w:rPr>
      </w:pPr>
      <w:proofErr w:type="gramStart"/>
      <w:r w:rsidRPr="00A67563">
        <w:rPr>
          <w:color w:themeColor="text1" w:val="000000"/>
          <w:sz w:val="24"/>
        </w:rPr>
        <w:lastRenderedPageBreak/>
        <w:t>4.</w:t>
      </w:r>
      <w:r w:rsidR="00A32FDA" w:rsidRPr="00A67563">
        <w:rPr>
          <w:color w:themeColor="text1" w:val="000000"/>
          <w:sz w:val="24"/>
        </w:rPr>
        <w:t/>
      </w:r>
      <w:proofErr w:type="gramEnd"/>
      <w:r w:rsidR="00A32FDA" w:rsidRPr="00A67563">
        <w:rPr>
          <w:color w:themeColor="text1" w:val="000000"/>
          <w:sz w:val="24"/>
        </w:rPr>
        <w:t>4</w:t>
      </w:r>
      <w:r w:rsidRPr="00A67563">
        <w:rPr>
          <w:color w:themeColor="text1" w:val="000000"/>
          <w:sz w:val="24"/>
        </w:rPr>
        <w:t>.</w:t>
      </w:r>
      <w:r w:rsidR="00A32FDA" w:rsidRPr="00A67563">
        <w:rPr>
          <w:color w:themeColor="text1" w:val="000000"/>
          <w:sz w:val="24"/>
        </w:rPr>
        <w:t>2</w:t>
      </w:r>
      <w:r w:rsidRPr="00A67563">
        <w:rPr>
          <w:color w:themeColor="text1" w:val="000000"/>
          <w:sz w:val="24"/>
        </w:rPr>
        <w:t>异常交易行为的专项说明</w:t>
      </w:r>
    </w:p>
    <w:p>
      <w:pPr>
        <w:spacing w:line="360" w:lineRule="auto"/>
        <w:ind w:firstLine="480" w:firstLineChars="200"/>
        <w:rPr>
          <w:color w:themeColor="text1" w:val="000000"/>
          <w:kern w:val="0"/>
          <w:sz w:val="24"/>
        </w:rPr>
      </w:pPr>
      <w:r>
        <w:rPr>
          <w:color w:themeColor="text1"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AB23E1" w:rsidR="0076518F" w:rsidRDefault="001F3C28" w:rsidRPr="00A67563">
      <w:pPr>
        <w:spacing w:line="360" w:lineRule="auto"/>
        <w:ind w:firstLine="480" w:firstLineChars="200"/>
        <w:rPr>
          <w:color w:themeColor="text1" w:val="000000"/>
          <w:kern w:val="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本报告期内，未发现本基金有可能导致不公平交易和利益输送的异常交易。</w:t>
      </w:r>
    </w:p>
    <w:p w:rsidP="0009273D" w:rsidR="0009273D" w:rsidRDefault="0076518F" w:rsidRPr="0009273D">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4.</w:t>
      </w:r>
      <w:r w:rsidR="00A32FDA" w:rsidRPr="00A67563">
        <w:rPr>
          <w:b/>
          <w:color w:themeColor="text1" w:val="000000"/>
          <w:kern w:val="0"/>
          <w:sz w:val="24"/>
        </w:rPr>
        <w:t>5</w:t>
      </w:r>
      <w:r w:rsidR="0037337F">
        <w:rPr>
          <w:rFonts w:hint="eastAsia"/>
          <w:b/>
          <w:color w:themeColor="text1" w:val="000000"/>
          <w:kern w:val="0"/>
          <w:sz w:val="24"/>
        </w:rPr>
        <w:t xml:space="preserve"> </w:t>
      </w:r>
      <w:r w:rsidR="0009273D" w:rsidRPr="0009273D">
        <w:rPr>
          <w:rFonts w:hint="eastAsia"/>
          <w:b/>
          <w:color w:themeColor="text1" w:val="000000"/>
          <w:kern w:val="0"/>
          <w:sz w:val="24"/>
        </w:rPr>
        <w:t>报告期内基金的投资策略和业绩表现说明</w:t>
      </w:r>
    </w:p>
    <w:p>
      <w:pPr>
        <w:spacing w:line="360" w:lineRule="auto"/>
        <w:ind w:firstLine="480" w:firstLineChars="200"/>
        <w:rPr>
          <w:color w:themeColor="text1" w:val="000000"/>
          <w:sz w:val="24"/>
        </w:rPr>
      </w:pPr>
      <w:r>
        <w:rPr>
          <w:color w:themeColor="text1" w:val="000000"/>
          <w:sz w:val="24"/>
        </w:rPr>
        <w:t>回顾2020年二季度，在货币及财政政策刺激下，美股出现明显反弹，美国重启经济，进一步提高了市场的风险偏好。美联储6月货币政策会议决议鸽派基调明显，符合市场预期，加息路径点阵图显示，利率预计将维持在当前水平直至2022年。全球经济前景仍然充满不确定性，但中国经济复苏的步伐领先全球其他主要经济体，以科技互联网为代表的中国新经济更是体现出了很强的韧性，腾讯和阿里巴巴等中概互联指数代表性公司也交出了超预期的季报。网易和京东相继在香港完成第二上市，IPO期间均获得大幅超额认购，体现了投资者对其前景的认可。</w:t>
      </w:r>
    </w:p>
    <w:p>
      <w:pPr>
        <w:spacing w:line="360" w:lineRule="auto"/>
        <w:ind w:firstLine="480" w:firstLineChars="200"/>
        <w:rPr>
          <w:color w:themeColor="text1" w:val="000000"/>
          <w:sz w:val="24"/>
        </w:rPr>
      </w:pPr>
      <w:r>
        <w:rPr>
          <w:color w:themeColor="text1" w:val="000000"/>
          <w:sz w:val="24"/>
        </w:rPr>
        <w:t>本基金是易方达中证海外互联ETF的联接基金，作为追踪中证海外中国互联网50指数的被动式海外指数基金，我们在操作中严格遵守基金合同，坚持既定的指数化投资策略，力求追踪误差最小化。</w:t>
      </w:r>
    </w:p>
    <w:p w:rsidP="00A70E23" w:rsidR="00C736BB" w:rsidRDefault="0037337F" w:rsidRPr="00A67563">
      <w:pPr>
        <w:spacing w:line="360" w:lineRule="auto"/>
        <w:ind w:firstLine="480" w:firstLineChars="200"/>
        <w:rPr>
          <w:color w:themeColor="text1" w:val="000000"/>
          <w:sz w:val="24"/>
        </w:rPr>
      </w:pPr>
      <w:r>
        <w:rPr>
          <w:color w:themeColor="text1" w:val="000000"/>
          <w:sz w:val="24"/>
        </w:rPr>
        <w:t/>
      </w:r>
      <w:proofErr w:type="spellStart"/>
      <w:proofErr w:type="gramStart"/>
      <w:r>
        <w:rPr>
          <w:color w:themeColor="text1" w:val="000000"/>
          <w:sz w:val="24"/>
        </w:rPr>
        <w:t/>
      </w:r>
      <w:r w:rsidR="0009273D" w:rsidRPr="00C14EF1">
        <w:rPr>
          <w:color w:themeColor="text1" w:val="000000"/>
          <w:sz w:val="24"/>
        </w:rPr>
        <w:t/>
      </w:r>
      <w:proofErr w:type="spellEnd"/>
      <w:proofErr w:type="gramEnd"/>
      <w:r w:rsidR="0009273D" w:rsidRPr="00C14EF1">
        <w:rPr>
          <w:color w:themeColor="text1" w:val="000000"/>
          <w:sz w:val="24"/>
        </w:rPr>
        <w:t>截至报告期末，本基金A类基金份额净值为1.3923元，本报告期份额净值增长率为28.62%，同期业绩比较基准收益率为29.51%；C类基金份额净值为1.3779元，本报告期份额净值增长率为28.48%，同期业绩比较基准收益率为29.51%，年化跟踪误差0.747%，在合同规定的目标控制范围之内。</w:t>
      </w:r>
    </w:p>
    <w:p w:rsidP="00CB3783"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§5  </w:t>
      </w:r>
      <w:r w:rsidRPr="00A67563">
        <w:rPr>
          <w:color w:themeColor="text1" w:val="000000"/>
          <w:kern w:val="0"/>
          <w:sz w:val="24"/>
          <w:szCs w:val="24"/>
        </w:rPr>
        <w:t>投资组合报告</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 xml:space="preserve">5.1 </w:t>
      </w:r>
      <w:r w:rsidRPr="002149AE">
        <w:rPr>
          <w:rFonts w:ascii="宋体" w:cs="Arial" w:hAnsi="宋体" w:hint="eastAsia"/>
          <w:b/>
          <w:color w:val="000000"/>
          <w:kern w:val="0"/>
          <w:sz w:val="24"/>
        </w:rPr>
        <w:t>报告期末基金资产组合情况</w:t>
      </w:r>
    </w:p>
    <w:tbl>
      <w:tblPr>
        <w:tblW w:type="dxa" w:w="9498"/>
        <w:tblInd w:type="dxa" w:w="-34"/>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4253"/>
        <w:gridCol w:w="2835"/>
        <w:gridCol w:w="1559"/>
      </w:tblGrid>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序号</w:t>
            </w:r>
          </w:p>
        </w:tc>
        <w:tc>
          <w:tcPr>
            <w:tcW w:type="dxa" w:w="4253"/>
            <w:vAlign w:val="center"/>
          </w:tcPr>
          <w:p w:rsidP="00AB23E1" w:rsidR="000C6832" w:rsidRDefault="000C6832" w:rsidRPr="008043C8">
            <w:pPr>
              <w:spacing w:before="29" w:line="360" w:lineRule="auto"/>
              <w:ind w:left="17"/>
              <w:jc w:val="center"/>
              <w:rPr>
                <w:color w:val="000000"/>
                <w:sz w:val="24"/>
              </w:rPr>
            </w:pPr>
            <w:r w:rsidRPr="008043C8">
              <w:rPr>
                <w:color w:val="000000"/>
                <w:sz w:val="24"/>
              </w:rPr>
              <w:t>项目</w:t>
            </w:r>
            <w:r w:rsidRPr="008043C8">
              <w:rPr>
                <w:color w:val="000000"/>
                <w:sz w:val="24"/>
              </w:rPr>
              <w:t/>
            </w:r>
            <w:proofErr w:type="spellStart"/>
            <w:r w:rsidRPr="008043C8">
              <w:rPr>
                <w:color w:val="000000"/>
                <w:sz w:val="24"/>
              </w:rPr>
              <w:t/>
            </w:r>
            <w:proofErr w:type="spellEnd"/>
            <w:r w:rsidRPr="008043C8">
              <w:rPr>
                <w:color w:val="000000"/>
                <w:sz w:val="24"/>
              </w:rPr>
              <w:t/>
            </w:r>
          </w:p>
        </w:tc>
        <w:tc>
          <w:tcPr>
            <w:tcW w:type="dxa" w:w="2835"/>
            <w:vAlign w:val="center"/>
          </w:tcPr>
          <w:p w:rsidP="00AB23E1" w:rsidR="000C6832" w:rsidRDefault="000C6832" w:rsidRPr="008043C8">
            <w:pPr>
              <w:spacing w:before="29" w:line="360" w:lineRule="auto"/>
              <w:ind w:left="17"/>
              <w:jc w:val="center"/>
              <w:rPr>
                <w:color w:val="000000"/>
                <w:sz w:val="24"/>
              </w:rPr>
            </w:pPr>
            <w:r w:rsidRPr="008043C8">
              <w:rPr>
                <w:color w:val="000000"/>
                <w:sz w:val="24"/>
              </w:rPr>
              <w:t>金额（人民币元）</w:t>
            </w:r>
          </w:p>
        </w:tc>
        <w:tc>
          <w:tcPr>
            <w:tcW w:type="dxa" w:w="1559"/>
            <w:vAlign w:val="center"/>
          </w:tcPr>
          <w:p w:rsidP="00AB23E1" w:rsidR="000C6832" w:rsidRDefault="000C6832" w:rsidRPr="008043C8">
            <w:pPr>
              <w:spacing w:before="29" w:line="360" w:lineRule="auto"/>
              <w:ind w:left="17"/>
              <w:jc w:val="center"/>
              <w:rPr>
                <w:color w:val="000000"/>
                <w:sz w:val="24"/>
              </w:rPr>
            </w:pPr>
            <w:r w:rsidRPr="008043C8">
              <w:rPr>
                <w:color w:val="000000"/>
                <w:sz w:val="24"/>
              </w:rPr>
              <w:t>占基金总资产的比例（</w:t>
            </w:r>
            <w:r w:rsidRPr="008043C8">
              <w:rPr>
                <w:color w:val="000000"/>
                <w:sz w:val="24"/>
              </w:rPr>
              <w:t>%</w:t>
            </w: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1</w:t>
            </w: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权益投资</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其中：普通股</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firstLine="720" w:firstLineChars="300" w:left="17"/>
              <w:jc w:val="left"/>
              <w:rPr>
                <w:color w:val="000000"/>
                <w:sz w:val="24"/>
              </w:rPr>
            </w:pPr>
            <w:r w:rsidRPr="008043C8">
              <w:rPr>
                <w:color w:val="000000"/>
                <w:sz w:val="24"/>
              </w:rPr>
              <w:t>存托凭证</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r w:rsidRPr="008043C8">
              <w:rPr>
                <w:color w:val="000000"/>
                <w:sz w:val="24"/>
              </w:rPr>
              <w:lastRenderedPageBreak/>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lastRenderedPageBreak/>
              <w:t/>
            </w:r>
            <w:r w:rsidRPr="008043C8">
              <w:rPr>
                <w:color w:val="000000"/>
                <w:sz w:val="24"/>
              </w:rPr>
              <w:lastRenderedPageBreak/>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firstLine="720" w:firstLineChars="300" w:left="17"/>
              <w:jc w:val="left"/>
              <w:rPr>
                <w:color w:val="000000"/>
                <w:sz w:val="24"/>
              </w:rPr>
            </w:pPr>
            <w:r w:rsidRPr="008043C8">
              <w:rPr>
                <w:color w:val="000000"/>
                <w:sz w:val="24"/>
              </w:rPr>
              <w:t>优先股</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firstLine="720" w:firstLineChars="300" w:left="17"/>
              <w:jc w:val="left"/>
              <w:rPr>
                <w:color w:val="000000"/>
                <w:sz w:val="24"/>
              </w:rPr>
            </w:pPr>
            <w:r w:rsidRPr="008043C8">
              <w:rPr>
                <w:color w:val="000000"/>
                <w:sz w:val="24"/>
              </w:rPr>
              <w:t>房地产信托</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tcPr>
          <w:p w:rsidP="00AB23E1" w:rsidR="000C6832" w:rsidRDefault="000C6832" w:rsidRPr="008043C8">
            <w:pPr>
              <w:adjustRightInd w:val="0"/>
              <w:snapToGrid w:val="0"/>
              <w:spacing w:line="400" w:lineRule="exact"/>
              <w:jc w:val="center"/>
              <w:rPr>
                <w:color w:val="000000"/>
                <w:sz w:val="24"/>
              </w:rPr>
            </w:pPr>
            <w:r w:rsidRPr="008043C8">
              <w:rPr>
                <w:color w:val="000000"/>
                <w:sz w:val="24"/>
              </w:rPr>
              <w:t>2</w:t>
            </w:r>
          </w:p>
        </w:tc>
        <w:tc>
          <w:tcPr>
            <w:tcW w:type="dxa" w:w="4253"/>
          </w:tcPr>
          <w:p w:rsidP="00AB23E1" w:rsidR="000C6832" w:rsidRDefault="000C6832" w:rsidRPr="008043C8">
            <w:pPr>
              <w:adjustRightInd w:val="0"/>
              <w:snapToGrid w:val="0"/>
              <w:spacing w:line="400" w:lineRule="exact"/>
              <w:rPr>
                <w:color w:val="000000"/>
                <w:sz w:val="24"/>
              </w:rPr>
            </w:pPr>
            <w:r w:rsidRPr="008043C8">
              <w:rPr>
                <w:color w:val="000000"/>
                <w:sz w:val="24"/>
              </w:rPr>
              <w:t>基金投资</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731,816,990.74</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92.20</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3</w:t>
            </w: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固定收益投资</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其中：债券</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autoSpaceDE w:val="0"/>
              <w:autoSpaceDN w:val="0"/>
              <w:adjustRightInd w:val="0"/>
              <w:spacing w:before="29" w:line="360" w:lineRule="auto"/>
              <w:ind w:firstLine="720" w:firstLineChars="300" w:left="17"/>
              <w:jc w:val="left"/>
              <w:rPr>
                <w:color w:val="000000"/>
                <w:sz w:val="24"/>
              </w:rPr>
            </w:pPr>
            <w:r w:rsidRPr="008043C8">
              <w:rPr>
                <w:color w:val="000000"/>
                <w:sz w:val="24"/>
              </w:rPr>
              <w:t>资产支持证券</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4</w:t>
            </w: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金融衍生品投资</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tcPr>
          <w:p w:rsidP="00AB23E1" w:rsidR="000C6832" w:rsidRDefault="000C6832" w:rsidRPr="008043C8">
            <w:pPr>
              <w:adjustRightInd w:val="0"/>
              <w:snapToGrid w:val="0"/>
              <w:spacing w:line="400" w:lineRule="exact"/>
              <w:rPr>
                <w:color w:val="000000"/>
                <w:sz w:val="24"/>
              </w:rPr>
            </w:pPr>
            <w:r w:rsidRPr="008043C8">
              <w:rPr>
                <w:color w:val="000000"/>
                <w:sz w:val="24"/>
              </w:rPr>
              <w:t>其中：远期</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tcPr>
          <w:p w:rsidDel="00455464" w:rsidP="00AB23E1" w:rsidR="000C6832" w:rsidRDefault="000C6832" w:rsidRPr="008043C8">
            <w:pPr>
              <w:adjustRightInd w:val="0"/>
              <w:snapToGrid w:val="0"/>
              <w:spacing w:line="400" w:lineRule="exact"/>
              <w:ind w:firstLine="720" w:firstLineChars="300"/>
              <w:rPr>
                <w:color w:val="000000"/>
                <w:sz w:val="24"/>
              </w:rPr>
            </w:pPr>
            <w:r w:rsidRPr="008043C8">
              <w:rPr>
                <w:color w:val="000000"/>
                <w:sz w:val="24"/>
              </w:rPr>
              <w:t>期货</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tcPr>
          <w:p w:rsidP="00AB23E1" w:rsidR="000C6832" w:rsidRDefault="000C6832" w:rsidRPr="008043C8">
            <w:pPr>
              <w:adjustRightInd w:val="0"/>
              <w:snapToGrid w:val="0"/>
              <w:spacing w:line="400" w:lineRule="exact"/>
              <w:ind w:firstLine="720" w:firstLineChars="300"/>
              <w:rPr>
                <w:color w:val="000000"/>
                <w:sz w:val="24"/>
              </w:rPr>
            </w:pPr>
            <w:r w:rsidRPr="008043C8">
              <w:rPr>
                <w:color w:val="000000"/>
                <w:sz w:val="24"/>
              </w:rPr>
              <w:t>期权</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tcPr>
          <w:p w:rsidP="00AB23E1" w:rsidR="000C6832" w:rsidRDefault="000C6832" w:rsidRPr="008043C8">
            <w:pPr>
              <w:adjustRightInd w:val="0"/>
              <w:snapToGrid w:val="0"/>
              <w:spacing w:line="400" w:lineRule="exact"/>
              <w:ind w:firstLine="715" w:firstLineChars="298"/>
              <w:rPr>
                <w:color w:val="000000"/>
                <w:sz w:val="24"/>
              </w:rPr>
            </w:pPr>
            <w:r w:rsidRPr="008043C8">
              <w:rPr>
                <w:color w:val="000000"/>
                <w:sz w:val="24"/>
              </w:rPr>
              <w:t>权证</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5</w:t>
            </w: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买入返售金融资产</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其中：买断式回购的买入返售金融资产</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r w:rsidRPr="008043C8">
              <w:rPr>
                <w:color w:val="000000"/>
                <w:sz w:val="24"/>
              </w:rPr>
              <w:lastRenderedPageBreak/>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lastRenderedPageBreak/>
              <w:t/>
            </w:r>
            <w:r w:rsidRPr="008043C8">
              <w:rPr>
                <w:color w:val="000000"/>
                <w:sz w:val="24"/>
              </w:rPr>
              <w:lastRenderedPageBreak/>
              <w:t>-</w:t>
            </w:r>
          </w:p>
        </w:tc>
      </w:tr>
      <w:tr w:rsidR="000C6832" w:rsidRPr="002149AE" w:rsidTr="00AB23E1">
        <w:tc>
          <w:tcPr>
            <w:tcW w:type="dxa" w:w="851"/>
          </w:tcPr>
          <w:p w:rsidP="00AB23E1" w:rsidR="000C6832" w:rsidRDefault="000C6832" w:rsidRPr="008043C8">
            <w:pPr>
              <w:adjustRightInd w:val="0"/>
              <w:snapToGrid w:val="0"/>
              <w:spacing w:line="400" w:lineRule="exact"/>
              <w:jc w:val="center"/>
              <w:rPr>
                <w:color w:val="000000"/>
                <w:sz w:val="24"/>
              </w:rPr>
            </w:pPr>
            <w:r w:rsidRPr="008043C8">
              <w:rPr>
                <w:color w:val="000000"/>
                <w:sz w:val="24"/>
              </w:rPr>
              <w:lastRenderedPageBreak/>
              <w:t>6</w:t>
            </w:r>
          </w:p>
        </w:tc>
        <w:tc>
          <w:tcPr>
            <w:tcW w:type="dxa" w:w="4253"/>
          </w:tcPr>
          <w:p w:rsidP="00AB23E1" w:rsidR="000C6832" w:rsidRDefault="000C6832" w:rsidRPr="008043C8">
            <w:pPr>
              <w:adjustRightInd w:val="0"/>
              <w:snapToGrid w:val="0"/>
              <w:spacing w:line="400" w:lineRule="exact"/>
              <w:rPr>
                <w:color w:val="000000"/>
                <w:sz w:val="24"/>
              </w:rPr>
            </w:pPr>
            <w:r w:rsidRPr="008043C8">
              <w:rPr>
                <w:color w:val="000000"/>
                <w:sz w:val="24"/>
              </w:rPr>
              <w:t>货币市场工具</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7</w:t>
            </w: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银行存款和结算备付金合计</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51,499,961.00</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6.49</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8</w:t>
            </w:r>
          </w:p>
        </w:tc>
        <w:tc>
          <w:tcPr>
            <w:tcW w:type="dxa" w:w="4253"/>
            <w:vAlign w:val="center"/>
          </w:tcPr>
          <w:p w:rsidP="00AB23E1" w:rsidR="000C6832" w:rsidRDefault="000C6832" w:rsidRPr="008043C8">
            <w:pPr>
              <w:jc w:val="left"/>
              <w:rPr>
                <w:sz w:val="24"/>
              </w:rPr>
            </w:pPr>
            <w:r w:rsidRPr="008043C8">
              <w:rPr>
                <w:color w:val="000000"/>
                <w:sz w:val="24"/>
              </w:rPr>
              <w:t>其他资产</w:t>
            </w:r>
          </w:p>
        </w:tc>
        <w:tc>
          <w:tcPr>
            <w:tcW w:type="dxa" w:w="2835"/>
            <w:vAlign w:val="center"/>
          </w:tcPr>
          <w:p w:rsidP="00AB23E1" w:rsidR="000C6832" w:rsidRDefault="000C6832" w:rsidRPr="008043C8">
            <w:pPr>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10,444,051.77</w:t>
            </w:r>
          </w:p>
        </w:tc>
        <w:tc>
          <w:tcPr>
            <w:tcW w:type="dxa" w:w="1559"/>
            <w:vAlign w:val="center"/>
          </w:tcPr>
          <w:p w:rsidP="00AB23E1" w:rsidR="000C6832" w:rsidRDefault="000C6832" w:rsidRPr="008043C8">
            <w:pPr>
              <w:jc w:val="right"/>
              <w:rPr>
                <w:color w:val="000000"/>
                <w:sz w:val="24"/>
              </w:rPr>
            </w:pPr>
            <w:r w:rsidRPr="008043C8">
              <w:rPr>
                <w:color w:val="000000"/>
                <w:sz w:val="24"/>
              </w:rPr>
              <w:t/>
            </w:r>
            <w:proofErr w:type="spellStart"/>
            <w:r w:rsidRPr="008043C8">
              <w:rPr>
                <w:color w:val="000000"/>
                <w:sz w:val="24"/>
              </w:rPr>
              <w:t/>
            </w:r>
            <w:r w:rsidRPr="008043C8">
              <w:rPr>
                <w:color w:val="000000"/>
                <w:sz w:val="24"/>
              </w:rPr>
              <w:lastRenderedPageBreak/>
              <w:t/>
            </w:r>
            <w:proofErr w:type="spellEnd"/>
            <w:r w:rsidRPr="008043C8">
              <w:rPr>
                <w:color w:val="000000"/>
                <w:sz w:val="24"/>
              </w:rPr>
              <w:t>1.32</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lastRenderedPageBreak/>
              <w:t>9</w:t>
            </w:r>
          </w:p>
        </w:tc>
        <w:tc>
          <w:tcPr>
            <w:tcW w:type="dxa" w:w="4253"/>
            <w:vAlign w:val="center"/>
          </w:tcPr>
          <w:p w:rsidP="00AB23E1" w:rsidR="000C6832" w:rsidRDefault="000C6832" w:rsidRPr="008043C8">
            <w:pPr>
              <w:jc w:val="left"/>
              <w:rPr>
                <w:sz w:val="24"/>
              </w:rPr>
            </w:pPr>
            <w:r w:rsidRPr="008043C8">
              <w:rPr>
                <w:color w:val="000000"/>
                <w:sz w:val="24"/>
              </w:rPr>
              <w:t>合计</w:t>
            </w:r>
          </w:p>
        </w:tc>
        <w:tc>
          <w:tcPr>
            <w:tcW w:type="dxa" w:w="2835"/>
            <w:vAlign w:val="center"/>
          </w:tcPr>
          <w:p w:rsidP="00AB23E1" w:rsidR="000C6832" w:rsidRDefault="000C6832" w:rsidRPr="008043C8">
            <w:pPr>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793,761,003.51</w:t>
            </w:r>
          </w:p>
        </w:tc>
        <w:tc>
          <w:tcPr>
            <w:tcW w:type="dxa" w:w="1559"/>
            <w:vAlign w:val="center"/>
          </w:tcPr>
          <w:p w:rsidP="00AB23E1" w:rsidR="000C6832" w:rsidRDefault="000C6832" w:rsidRPr="008043C8">
            <w:pPr>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100.00</w:t>
            </w:r>
          </w:p>
        </w:tc>
      </w:tr>
    </w:tbl>
    <w:p w:rsidP="000C6832" w:rsidR="000C6832" w:rsidRDefault="000C6832" w:rsidRPr="00E85E29">
      <w:pPr>
        <w:autoSpaceDE w:val="0"/>
        <w:autoSpaceDN w:val="0"/>
        <w:adjustRightInd w:val="0"/>
        <w:spacing w:line="360" w:lineRule="auto"/>
        <w:jc w:val="left"/>
        <w:rPr>
          <w:rFonts w:ascii="宋体" w:cs="Arial"/>
          <w:b/>
          <w:kern w:val="0"/>
          <w:sz w:val="24"/>
        </w:rPr>
      </w:pPr>
      <w:r w:rsidRPr="00E85E29">
        <w:rPr>
          <w:rFonts w:ascii="宋体" w:cs="Arial" w:hAnsi="宋体"/>
          <w:b/>
          <w:kern w:val="0"/>
          <w:sz w:val="24"/>
        </w:rPr>
        <w:t>5.2</w:t>
      </w:r>
      <w:r w:rsidRPr="00E85E29">
        <w:rPr>
          <w:rFonts w:ascii="宋体" w:cs="Arial" w:hAnsi="宋体" w:hint="eastAsia"/>
          <w:b/>
          <w:kern w:val="0"/>
          <w:sz w:val="24"/>
        </w:rPr>
        <w:t>期末投资目标基金明细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170"/>
        <w:gridCol w:w="1172"/>
        <w:gridCol w:w="1172"/>
        <w:gridCol w:w="1172"/>
        <w:gridCol w:w="1172"/>
        <w:gridCol w:w="1220"/>
        <w:gridCol w:w="1435"/>
      </w:tblGrid>
      <w:tr w:rsidR="000C6832" w:rsidRPr="00E85E29" w:rsidTr="00AB23E1">
        <w:tc>
          <w:tcPr>
            <w:tcW w:type="dxa" w:w="1215"/>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序号</w:t>
            </w:r>
          </w:p>
        </w:tc>
        <w:tc>
          <w:tcPr>
            <w:tcW w:type="dxa" w:w="1216"/>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基金名称</w:t>
            </w:r>
          </w:p>
        </w:tc>
        <w:tc>
          <w:tcPr>
            <w:tcW w:type="dxa" w:w="1216"/>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基金类型</w:t>
            </w:r>
          </w:p>
        </w:tc>
        <w:tc>
          <w:tcPr>
            <w:tcW w:type="dxa" w:w="1216"/>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运作方式</w:t>
            </w:r>
          </w:p>
        </w:tc>
        <w:tc>
          <w:tcPr>
            <w:tcW w:type="dxa" w:w="1216"/>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管理人</w:t>
            </w:r>
          </w:p>
        </w:tc>
        <w:tc>
          <w:tcPr>
            <w:tcW w:type="dxa" w:w="1217"/>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公允价值</w:t>
            </w:r>
            <w:r w:rsidR="00F36A0F" w:rsidRPr="00A67563">
              <w:rPr>
                <w:color w:themeColor="text1" w:val="000000"/>
                <w:kern w:val="0"/>
                <w:sz w:val="24"/>
              </w:rPr>
              <w:t>(</w:t>
            </w:r>
            <w:r w:rsidR="00F36A0F" w:rsidRPr="00A67563">
              <w:rPr>
                <w:color w:themeColor="text1" w:val="000000"/>
                <w:kern w:val="0"/>
                <w:sz w:val="24"/>
              </w:rPr>
              <w:t>人民币元</w:t>
            </w:r>
            <w:r w:rsidR="00F36A0F" w:rsidRPr="00A67563">
              <w:rPr>
                <w:color w:themeColor="text1" w:val="000000"/>
                <w:kern w:val="0"/>
                <w:sz w:val="24"/>
              </w:rPr>
              <w:t>)</w:t>
            </w:r>
          </w:p>
        </w:tc>
        <w:tc>
          <w:tcPr>
            <w:tcW w:type="dxa" w:w="1217"/>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占基金资产净值比例（</w:t>
            </w:r>
            <w:r w:rsidRPr="008043C8">
              <w:rPr>
                <w:kern w:val="0"/>
                <w:sz w:val="24"/>
              </w:rPr>
              <w:t>%</w:t>
            </w:r>
            <w:r w:rsidRPr="008043C8">
              <w:rPr>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易方达中证海外中国互联网50交易型开放式指数证券投资基金</w:t>
            </w:r>
          </w:p>
        </w:tc>
        <w:tc>
          <w:tcPr>
            <w:vAlign w:val="center"/>
          </w:tcPr>
          <w:p>
            <w:pPr>
              <w:jc w:val="center"/>
            </w:pPr>
            <w:r>
              <w:rPr>
                <w:color w:val="000000"/>
                <w:sz w:val="24"/>
              </w:rPr>
              <w:t>股票型</w:t>
            </w:r>
          </w:p>
        </w:tc>
        <w:tc>
          <w:tcPr>
            <w:vAlign w:val="center"/>
          </w:tcPr>
          <w:p>
            <w:pPr>
              <w:jc w:val="center"/>
            </w:pPr>
            <w:r>
              <w:rPr>
                <w:color w:val="000000"/>
                <w:sz w:val="24"/>
              </w:rPr>
              <w:t>交易型开放式（ETF）</w:t>
            </w:r>
          </w:p>
        </w:tc>
        <w:tc>
          <w:tcPr>
            <w:vAlign w:val="center"/>
          </w:tcPr>
          <w:p>
            <w:pPr>
              <w:jc w:val="center"/>
            </w:pPr>
            <w:r>
              <w:rPr>
                <w:color w:val="000000"/>
                <w:sz w:val="24"/>
              </w:rPr>
              <w:t>易方达基金管理有限公司</w:t>
            </w:r>
          </w:p>
        </w:tc>
        <w:tc>
          <w:tcPr>
            <w:vAlign w:val="center"/>
          </w:tcPr>
          <w:p>
            <w:pPr>
              <w:jc w:val="right"/>
            </w:pPr>
            <w:r>
              <w:rPr>
                <w:color w:val="000000"/>
                <w:sz w:val="24"/>
              </w:rPr>
              <w:t>731,816,990.74</w:t>
            </w:r>
          </w:p>
        </w:tc>
        <w:tc>
          <w:tcPr>
            <w:vAlign w:val="center"/>
          </w:tcPr>
          <w:p>
            <w:pPr>
              <w:jc w:val="right"/>
            </w:pPr>
            <w:r>
              <w:rPr>
                <w:color w:val="000000"/>
                <w:sz w:val="24"/>
              </w:rPr>
              <w:t>94.81</w:t>
            </w:r>
          </w:p>
        </w:tc>
      </w:tr>
    </w:tbl>
    <w:p w:rsidP="000C6832" w:rsidR="000C6832" w:rsidRDefault="000C6832">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3</w:t>
      </w:r>
      <w:r w:rsidRPr="002149AE">
        <w:rPr>
          <w:rFonts w:ascii="宋体" w:cs="Arial" w:hAnsi="宋体" w:hint="eastAsia"/>
          <w:b/>
          <w:color w:val="000000"/>
          <w:kern w:val="0"/>
          <w:sz w:val="24"/>
        </w:rPr>
        <w:t>报告期末在各个国家（地区）证券市场的股票及存托凭证投资分布</w:t>
      </w:r>
    </w:p>
    <w:p w:rsidP="000C6832" w:rsidR="000C6832" w:rsidRDefault="000C6832" w:rsidRPr="008043C8">
      <w:pPr>
        <w:spacing w:line="360" w:lineRule="auto"/>
        <w:ind w:firstLine="480" w:firstLineChars="200"/>
        <w:rPr>
          <w:color w:val="000000"/>
          <w:sz w:val="24"/>
        </w:rPr>
      </w:pPr>
      <w:r w:rsidRPr="00C9686C">
        <w:rPr>
          <w:color w:val="000000"/>
          <w:sz w:val="24"/>
        </w:rPr>
        <w:lastRenderedPageBreak/>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本基金本报告期末未持有权益投资。</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4</w:t>
      </w:r>
      <w:r w:rsidRPr="002149AE">
        <w:rPr>
          <w:rFonts w:ascii="宋体" w:cs="Arial" w:hAnsi="宋体" w:hint="eastAsia"/>
          <w:b/>
          <w:color w:val="000000"/>
          <w:kern w:val="0"/>
          <w:sz w:val="24"/>
        </w:rPr>
        <w:t>报告期末按行业分类的股票及存托凭证投资组合</w:t>
      </w:r>
    </w:p>
    <w:p w:rsidP="000C6832" w:rsidR="000C6832" w:rsidRDefault="000C6832" w:rsidRPr="008043C8">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本基金本报告期末未持有权益投资。</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5</w:t>
      </w:r>
      <w:r w:rsidRPr="002149AE">
        <w:rPr>
          <w:rFonts w:ascii="宋体" w:cs="Arial" w:hAnsi="宋体" w:hint="eastAsia"/>
          <w:b/>
          <w:color w:val="000000"/>
          <w:kern w:val="0"/>
          <w:sz w:val="24"/>
        </w:rPr>
        <w:t>报告期末按公允价值占基金资产净值比例大小排序的前十名股票及存托凭证投资明细</w:t>
      </w:r>
    </w:p>
    <w:p w:rsidP="000C6832" w:rsidR="000C6832" w:rsidRDefault="000C6832" w:rsidRPr="008043C8">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本基金本报告期末未持有权益投资。</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6</w:t>
      </w:r>
      <w:r w:rsidRPr="002149AE">
        <w:rPr>
          <w:rFonts w:ascii="宋体" w:cs="Arial" w:hAnsi="宋体" w:hint="eastAsia"/>
          <w:b/>
          <w:color w:val="000000"/>
          <w:kern w:val="0"/>
          <w:sz w:val="24"/>
        </w:rPr>
        <w:t>报告期末按债券信用等级分类的债券投资组合</w:t>
      </w:r>
    </w:p>
    <w:p w:rsidP="000C6832" w:rsidR="000C6832" w:rsidRDefault="000C6832" w:rsidRPr="008043C8">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本基金本报告期末未持有债券。</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7</w:t>
      </w:r>
      <w:r>
        <w:rPr>
          <w:rFonts w:ascii="宋体" w:cs="Arial" w:hAnsi="宋体" w:hint="eastAsia"/>
          <w:b/>
          <w:color w:val="000000"/>
          <w:kern w:val="0"/>
          <w:sz w:val="24"/>
        </w:rPr>
        <w:t>报告期末按公允价值占基金资产净值比例大小排序</w:t>
      </w:r>
      <w:r w:rsidRPr="002149AE">
        <w:rPr>
          <w:rFonts w:ascii="宋体" w:cs="Arial" w:hAnsi="宋体" w:hint="eastAsia"/>
          <w:b/>
          <w:color w:val="000000"/>
          <w:kern w:val="0"/>
          <w:sz w:val="24"/>
        </w:rPr>
        <w:t>的前五名债券投资明细</w:t>
      </w:r>
    </w:p>
    <w:p w:rsidP="000C6832" w:rsidR="000C6832" w:rsidRDefault="000C6832" w:rsidRPr="008043C8">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本基金本报告期末未持有债券。</w:t>
      </w:r>
    </w:p>
    <w:p w:rsidP="000C6832" w:rsidR="000C6832" w:rsidRDefault="000C6832" w:rsidRPr="00EC4BA3">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8</w:t>
      </w:r>
      <w:r>
        <w:rPr>
          <w:rFonts w:ascii="宋体" w:cs="Arial" w:hAnsi="宋体" w:hint="eastAsia"/>
          <w:b/>
          <w:color w:val="000000"/>
          <w:kern w:val="0"/>
          <w:sz w:val="24"/>
        </w:rPr>
        <w:t>报告期末按公允价值占基金资产净值比例大小排序</w:t>
      </w:r>
      <w:r w:rsidRPr="00EC4BA3">
        <w:rPr>
          <w:rFonts w:ascii="宋体" w:cs="Arial" w:hAnsi="宋体" w:hint="eastAsia"/>
          <w:b/>
          <w:color w:val="000000"/>
          <w:kern w:val="0"/>
          <w:sz w:val="24"/>
        </w:rPr>
        <w:t>的前十名资产支持证券投资明细</w:t>
      </w:r>
    </w:p>
    <w:p w:rsidP="000C6832" w:rsidR="000C6832" w:rsidRDefault="000C6832" w:rsidRPr="008043C8">
      <w:pPr>
        <w:spacing w:line="360" w:lineRule="auto"/>
        <w:ind w:firstLine="480" w:firstLineChars="200"/>
        <w:rPr>
          <w:color w:val="000000"/>
          <w:sz w:val="24"/>
        </w:rPr>
      </w:pPr>
      <w:r w:rsidRPr="00C9686C">
        <w:rPr>
          <w:color w:val="000000"/>
          <w:sz w:val="24"/>
        </w:rPr>
        <w:lastRenderedPageBreak/>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本基金本报告期末未持有资产支持证券。</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0E5244">
        <w:rPr>
          <w:rFonts w:ascii="宋体" w:cs="Arial" w:hAnsi="宋体" w:hint="eastAsia"/>
          <w:b/>
          <w:color w:val="000000"/>
          <w:kern w:val="0"/>
          <w:sz w:val="24"/>
        </w:rPr>
        <w:t>5.9</w:t>
      </w:r>
      <w:r>
        <w:rPr>
          <w:rFonts w:ascii="宋体" w:cs="Arial" w:hAnsi="宋体" w:hint="eastAsia"/>
          <w:b/>
          <w:color w:val="000000"/>
          <w:kern w:val="0"/>
          <w:sz w:val="24"/>
        </w:rPr>
        <w:t>报告期末按公允价值占基金资产净值比例大小排序</w:t>
      </w:r>
      <w:r w:rsidRPr="002149AE">
        <w:rPr>
          <w:rFonts w:ascii="宋体" w:cs="Arial" w:hAnsi="宋体" w:hint="eastAsia"/>
          <w:b/>
          <w:color w:val="000000"/>
          <w:kern w:val="0"/>
          <w:sz w:val="24"/>
        </w:rPr>
        <w:t>的前五名金融衍生品投资明细</w:t>
      </w:r>
    </w:p>
    <w:p w:rsidP="000C6832" w:rsidR="000C6832" w:rsidRDefault="000C6832" w:rsidRPr="008043C8">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本基金本报告期末未持有金融衍生品。</w:t>
      </w:r>
    </w:p>
    <w:p w:rsidP="000C6832" w:rsidR="000C6832" w:rsidRDefault="000C6832" w:rsidRPr="00EC4BA3">
      <w:pPr>
        <w:autoSpaceDE w:val="0"/>
        <w:autoSpaceDN w:val="0"/>
        <w:adjustRightInd w:val="0"/>
        <w:spacing w:line="360" w:lineRule="auto"/>
        <w:jc w:val="left"/>
        <w:rPr>
          <w:rFonts w:ascii="宋体" w:cs="Arial"/>
          <w:b/>
          <w:color w:val="000000"/>
          <w:kern w:val="0"/>
          <w:sz w:val="24"/>
        </w:rPr>
      </w:pPr>
      <w:r w:rsidRPr="000E5244">
        <w:rPr>
          <w:rFonts w:ascii="宋体" w:cs="Arial" w:hAnsi="宋体" w:hint="eastAsia"/>
          <w:b/>
          <w:color w:val="000000"/>
          <w:kern w:val="0"/>
          <w:sz w:val="24"/>
        </w:rPr>
        <w:t>5.10报告期末</w:t>
      </w:r>
      <w:r w:rsidRPr="00EC4BA3">
        <w:rPr>
          <w:rFonts w:ascii="宋体" w:cs="Arial" w:hAnsi="宋体" w:hint="eastAsia"/>
          <w:b/>
          <w:color w:val="000000"/>
          <w:kern w:val="0"/>
          <w:sz w:val="24"/>
        </w:rPr>
        <w:t>按公允价值占基金资产净值比例大小排序的前十名基金投资明细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159"/>
        <w:gridCol w:w="1158"/>
        <w:gridCol w:w="1158"/>
        <w:gridCol w:w="1158"/>
        <w:gridCol w:w="1158"/>
        <w:gridCol w:w="1302"/>
        <w:gridCol w:w="1420"/>
      </w:tblGrid>
      <w:tr w:rsidR="000C6832" w:rsidRPr="002149AE" w:rsidTr="00AB23E1">
        <w:tc>
          <w:tcPr>
            <w:tcW w:type="dxa" w:w="1215"/>
            <w:vAlign w:val="center"/>
          </w:tcPr>
          <w:p w:rsidP="00AB23E1" w:rsidR="000C6832" w:rsidRDefault="000C6832" w:rsidRPr="008043C8">
            <w:pPr>
              <w:spacing w:line="360" w:lineRule="auto"/>
              <w:jc w:val="center"/>
              <w:rPr>
                <w:sz w:val="24"/>
              </w:rPr>
            </w:pPr>
            <w:r w:rsidRPr="008043C8">
              <w:rPr>
                <w:sz w:val="24"/>
              </w:rPr>
              <w:t>序号</w:t>
            </w:r>
          </w:p>
        </w:tc>
        <w:tc>
          <w:tcPr>
            <w:tcW w:type="dxa" w:w="1216"/>
            <w:vAlign w:val="center"/>
          </w:tcPr>
          <w:p w:rsidP="00AB23E1" w:rsidR="000C6832" w:rsidRDefault="000C6832" w:rsidRPr="008043C8">
            <w:pPr>
              <w:spacing w:line="360" w:lineRule="auto"/>
              <w:rPr>
                <w:sz w:val="24"/>
              </w:rPr>
            </w:pPr>
            <w:r w:rsidRPr="008043C8">
              <w:rPr>
                <w:sz w:val="24"/>
              </w:rPr>
              <w:t>基金名称</w:t>
            </w:r>
          </w:p>
        </w:tc>
        <w:tc>
          <w:tcPr>
            <w:tcW w:type="dxa" w:w="1216"/>
            <w:vAlign w:val="center"/>
          </w:tcPr>
          <w:p w:rsidP="00AB23E1" w:rsidR="000C6832" w:rsidRDefault="000C6832" w:rsidRPr="008043C8">
            <w:pPr>
              <w:spacing w:line="360" w:lineRule="auto"/>
              <w:rPr>
                <w:sz w:val="24"/>
              </w:rPr>
            </w:pPr>
            <w:r w:rsidRPr="008043C8">
              <w:rPr>
                <w:sz w:val="24"/>
              </w:rPr>
              <w:t>基金类型</w:t>
            </w:r>
          </w:p>
        </w:tc>
        <w:tc>
          <w:tcPr>
            <w:tcW w:type="dxa" w:w="1216"/>
            <w:vAlign w:val="center"/>
          </w:tcPr>
          <w:p w:rsidP="00AB23E1" w:rsidR="000C6832" w:rsidRDefault="000C6832" w:rsidRPr="008043C8">
            <w:pPr>
              <w:spacing w:line="360" w:lineRule="auto"/>
              <w:jc w:val="center"/>
              <w:rPr>
                <w:sz w:val="24"/>
              </w:rPr>
            </w:pPr>
            <w:r w:rsidRPr="008043C8">
              <w:rPr>
                <w:sz w:val="24"/>
              </w:rPr>
              <w:t>运作方式</w:t>
            </w:r>
          </w:p>
        </w:tc>
        <w:tc>
          <w:tcPr>
            <w:tcW w:type="dxa" w:w="1216"/>
            <w:vAlign w:val="center"/>
          </w:tcPr>
          <w:p w:rsidP="00AB23E1" w:rsidR="000C6832" w:rsidRDefault="000C6832" w:rsidRPr="008043C8">
            <w:pPr>
              <w:spacing w:line="360" w:lineRule="auto"/>
              <w:jc w:val="center"/>
              <w:rPr>
                <w:sz w:val="24"/>
              </w:rPr>
            </w:pPr>
            <w:r w:rsidRPr="008043C8">
              <w:rPr>
                <w:sz w:val="24"/>
              </w:rPr>
              <w:t>管理人</w:t>
            </w:r>
          </w:p>
        </w:tc>
        <w:tc>
          <w:tcPr>
            <w:tcW w:type="dxa" w:w="1217"/>
            <w:vAlign w:val="center"/>
          </w:tcPr>
          <w:p w:rsidP="00AB23E1" w:rsidR="000C6832" w:rsidRDefault="000C6832" w:rsidRPr="008043C8">
            <w:pPr>
              <w:spacing w:line="360" w:lineRule="auto"/>
              <w:jc w:val="center"/>
              <w:rPr>
                <w:sz w:val="24"/>
              </w:rPr>
            </w:pPr>
            <w:r w:rsidRPr="008043C8">
              <w:rPr>
                <w:sz w:val="24"/>
              </w:rPr>
              <w:t>公允价值</w:t>
            </w:r>
          </w:p>
          <w:p w:rsidP="00AB23E1" w:rsidR="000C6832" w:rsidRDefault="000C6832" w:rsidRPr="008043C8">
            <w:pPr>
              <w:spacing w:line="360" w:lineRule="auto"/>
              <w:jc w:val="center"/>
              <w:rPr>
                <w:sz w:val="24"/>
              </w:rPr>
            </w:pPr>
            <w:r w:rsidRPr="008043C8">
              <w:rPr>
                <w:sz w:val="24"/>
              </w:rPr>
              <w:t>（人民币元）</w:t>
            </w:r>
          </w:p>
        </w:tc>
        <w:tc>
          <w:tcPr>
            <w:tcW w:type="dxa" w:w="1217"/>
            <w:vAlign w:val="center"/>
          </w:tcPr>
          <w:p w:rsidP="00AB23E1" w:rsidR="000C6832" w:rsidRDefault="000C6832" w:rsidRPr="008043C8">
            <w:pPr>
              <w:spacing w:line="360" w:lineRule="auto"/>
              <w:jc w:val="center"/>
              <w:rPr>
                <w:sz w:val="24"/>
              </w:rPr>
            </w:pPr>
            <w:r w:rsidRPr="008043C8">
              <w:rPr>
                <w:sz w:val="24"/>
              </w:rPr>
              <w:t>占基金资产净值比例（</w:t>
            </w:r>
            <w:r w:rsidRPr="008043C8">
              <w:rPr>
                <w:sz w:val="24"/>
              </w:rPr>
              <w:t>%</w:t>
            </w:r>
            <w:r w:rsidRPr="008043C8">
              <w:rPr>
                <w:sz w:val="24"/>
              </w:rPr>
              <w:t>）</w:t>
            </w:r>
          </w:p>
        </w:tc>
      </w:tr>
      <w:tr>
        <w:tc>
          <w:tcPr>
            <w:vAlign w:val="center"/>
          </w:tcPr>
          <w:p>
            <w:pPr>
              <w:jc w:val="center"/>
            </w:pPr>
            <w:r>
              <w:rPr>
                <w:color w:val="000000"/>
                <w:sz w:val="24"/>
              </w:rPr>
              <w:t>1</w:t>
            </w:r>
          </w:p>
        </w:tc>
        <w:tc>
          <w:tcPr>
            <w:vAlign w:val="center"/>
          </w:tcPr>
          <w:p>
            <w:pPr>
              <w:jc w:val="center"/>
            </w:pPr>
            <w:r>
              <w:rPr>
                <w:color w:val="000000"/>
                <w:sz w:val="24"/>
              </w:rPr>
              <w:t>易方达中证海外中国互联网50交易型开放式指数证券投资基金</w:t>
            </w:r>
          </w:p>
        </w:tc>
        <w:tc>
          <w:tcPr>
            <w:vAlign w:val="center"/>
          </w:tcPr>
          <w:p>
            <w:pPr>
              <w:jc w:val="center"/>
            </w:pPr>
            <w:r>
              <w:rPr>
                <w:color w:val="000000"/>
                <w:sz w:val="24"/>
              </w:rPr>
              <w:t>股票型</w:t>
            </w:r>
          </w:p>
        </w:tc>
        <w:tc>
          <w:tcPr>
            <w:vAlign w:val="center"/>
          </w:tcPr>
          <w:p>
            <w:pPr>
              <w:jc w:val="center"/>
            </w:pPr>
            <w:r>
              <w:rPr>
                <w:color w:val="000000"/>
                <w:sz w:val="24"/>
              </w:rPr>
              <w:t>交易型开放式（ETF）</w:t>
            </w:r>
          </w:p>
        </w:tc>
        <w:tc>
          <w:tcPr>
            <w:vAlign w:val="center"/>
          </w:tcPr>
          <w:p>
            <w:pPr>
              <w:jc w:val="center"/>
            </w:pPr>
            <w:r>
              <w:rPr>
                <w:color w:val="000000"/>
                <w:sz w:val="24"/>
              </w:rPr>
              <w:t>易方达基金管理有限公司</w:t>
            </w:r>
          </w:p>
        </w:tc>
        <w:tc>
          <w:tcPr>
            <w:vAlign w:val="center"/>
          </w:tcPr>
          <w:p>
            <w:pPr>
              <w:jc w:val="right"/>
            </w:pPr>
            <w:r>
              <w:rPr>
                <w:color w:val="000000"/>
                <w:sz w:val="24"/>
              </w:rPr>
              <w:t>731,816,990.74</w:t>
            </w:r>
          </w:p>
        </w:tc>
        <w:tc>
          <w:tcPr>
            <w:vAlign w:val="center"/>
          </w:tcPr>
          <w:p>
            <w:pPr>
              <w:jc w:val="right"/>
            </w:pPr>
            <w:r>
              <w:rPr>
                <w:color w:val="000000"/>
                <w:sz w:val="24"/>
              </w:rPr>
              <w:t>94.81</w:t>
            </w:r>
          </w:p>
        </w:tc>
      </w:tr>
    </w:tbl>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0E5244">
        <w:rPr>
          <w:rFonts w:ascii="宋体" w:cs="Arial" w:hAnsi="宋体" w:hint="eastAsia"/>
          <w:b/>
          <w:color w:val="000000"/>
          <w:kern w:val="0"/>
          <w:sz w:val="24"/>
        </w:rPr>
        <w:t>5</w:t>
      </w:r>
      <w:r w:rsidRPr="000E5244">
        <w:rPr>
          <w:rFonts w:ascii="宋体" w:cs="Arial" w:hAnsi="宋体"/>
          <w:b/>
          <w:color w:val="000000"/>
          <w:kern w:val="0"/>
          <w:sz w:val="24"/>
        </w:rPr>
        <w:t>.</w:t>
      </w:r>
      <w:r w:rsidRPr="000E5244">
        <w:rPr>
          <w:rFonts w:ascii="宋体" w:cs="Arial" w:hAnsi="宋体" w:hint="eastAsia"/>
          <w:b/>
          <w:color w:val="000000"/>
          <w:kern w:val="0"/>
          <w:sz w:val="24"/>
        </w:rPr>
        <w:t>11</w:t>
      </w:r>
      <w:r w:rsidRPr="002149AE">
        <w:rPr>
          <w:rFonts w:ascii="宋体" w:cs="Arial" w:hAnsi="宋体" w:hint="eastAsia"/>
          <w:b/>
          <w:color w:val="000000"/>
          <w:kern w:val="0"/>
          <w:sz w:val="24"/>
        </w:rPr>
        <w:t>投资组合报告附注</w:t>
      </w:r>
    </w:p>
    <w:p w:rsidP="000C6832" w:rsidR="000C6832" w:rsidRDefault="000C6832" w:rsidRPr="0027576B">
      <w:pPr>
        <w:widowControl/>
        <w:spacing w:line="360" w:lineRule="auto"/>
        <w:rPr>
          <w:rFonts w:ascii="宋体" w:hAnsi="宋体"/>
          <w:color w:val="000000"/>
          <w:sz w:val="24"/>
        </w:rPr>
      </w:pPr>
      <w:r>
        <w:rPr>
          <w:rFonts w:asciiTheme="minorEastAsia" w:eastAsiaTheme="minorEastAsia" w:hAnsiTheme="minorEastAsia" w:hint="eastAsia"/>
          <w:color w:val="000000"/>
          <w:sz w:val="24"/>
        </w:rPr>
        <w:t>5</w:t>
      </w:r>
      <w:r w:rsidRPr="0027576B">
        <w:rPr>
          <w:rFonts w:asciiTheme="minorEastAsia" w:eastAsiaTheme="minorEastAsia" w:hAnsiTheme="minorEastAsia"/>
          <w:color w:val="000000"/>
          <w:sz w:val="24"/>
        </w:rPr>
        <w:t>.11.1</w:t>
      </w:r>
      <w:r w:rsidR="00C8209A">
        <w:rPr>
          <w:rFonts w:asciiTheme="minorEastAsia" w:eastAsiaTheme="minorEastAsia" w:hAnsiTheme="minorEastAsia" w:hint="eastAsia"/>
          <w:color w:val="000000"/>
          <w:sz w:val="24"/>
        </w:rPr>
        <w:t xml:space="preserve"> </w:t>
      </w:r>
      <w:r w:rsidRPr="008043C8">
        <w:rPr>
          <w:color w:val="000000"/>
          <w:sz w:val="24"/>
        </w:rPr>
        <w:t>本基金投资的前十名证券的发行主体本期没有出现被监管部门立案调查，或在报告编制日前一年内受到公开谴责、处罚的情形。</w:t>
      </w:r>
    </w:p>
    <w:p w:rsidP="000C6832" w:rsidR="000C6832" w:rsidRDefault="000C6832" w:rsidRPr="008043C8">
      <w:pPr>
        <w:widowControl/>
        <w:spacing w:line="360" w:lineRule="auto"/>
        <w:rPr>
          <w:rFonts w:ascii="Verdana" w:hAnsi="Verdana"/>
          <w:color w:val="000000"/>
          <w:sz w:val="24"/>
        </w:rPr>
      </w:pPr>
      <w:proofErr w:type="gramStart"/>
      <w:r>
        <w:rPr>
          <w:rFonts w:asciiTheme="minorEastAsia" w:eastAsiaTheme="minorEastAsia" w:hAnsiTheme="minorEastAsia" w:hint="eastAsia"/>
          <w:color w:val="000000"/>
          <w:sz w:val="24"/>
        </w:rPr>
        <w:t>5</w:t>
      </w:r>
      <w:r w:rsidRPr="0027576B">
        <w:rPr>
          <w:rFonts w:asciiTheme="minorEastAsia" w:eastAsiaTheme="minorEastAsia" w:hAnsiTheme="minorEastAsia"/>
          <w:color w:val="000000"/>
          <w:sz w:val="24"/>
        </w:rPr>
        <w:t>.</w:t>
      </w:r>
      <w:proofErr w:type="gramEnd"/>
      <w:r w:rsidRPr="0027576B">
        <w:rPr>
          <w:rFonts w:asciiTheme="minorEastAsia" w:eastAsiaTheme="minorEastAsia" w:hAnsiTheme="minorEastAsia"/>
          <w:color w:val="000000"/>
          <w:sz w:val="24"/>
        </w:rPr>
        <w:t>11.2</w:t>
      </w:r>
      <w:r w:rsidR="00C8209A">
        <w:rPr>
          <w:rFonts w:asciiTheme="minorEastAsia" w:eastAsiaTheme="minorEastAsia" w:hAnsiTheme="minorEastAsia" w:hint="eastAsia"/>
          <w:color w:val="000000"/>
          <w:sz w:val="24"/>
        </w:rPr>
        <w:t xml:space="preserve"> </w:t>
      </w:r>
      <w:r w:rsidRPr="008043C8">
        <w:rPr>
          <w:color w:val="000000"/>
          <w:sz w:val="24"/>
        </w:rPr>
        <w:t>本基金本报告期末未持有股票，不存在投资的前十名股票超出基金合同规定的备选股票库情况。</w:t>
      </w:r>
    </w:p>
    <w:p w:rsidP="000C6832" w:rsidR="000C6832" w:rsidRDefault="000C6832" w:rsidRPr="006623F7">
      <w:pPr>
        <w:autoSpaceDE w:val="0"/>
        <w:autoSpaceDN w:val="0"/>
        <w:adjustRightInd w:val="0"/>
        <w:spacing w:line="360" w:lineRule="auto"/>
        <w:jc w:val="left"/>
        <w:rPr>
          <w:rFonts w:ascii="宋体" w:cs="Arial"/>
          <w:color w:val="000000"/>
          <w:kern w:val="0"/>
          <w:sz w:val="24"/>
        </w:rPr>
      </w:pPr>
      <w:r w:rsidRPr="006623F7">
        <w:rPr>
          <w:rFonts w:ascii="宋体" w:cs="Arial" w:hAnsi="宋体"/>
          <w:color w:val="000000"/>
          <w:kern w:val="0"/>
          <w:sz w:val="24"/>
        </w:rPr>
        <w:t>5.1</w:t>
      </w:r>
      <w:r>
        <w:rPr>
          <w:rFonts w:ascii="宋体" w:cs="Arial" w:hAnsi="宋体" w:hint="eastAsia"/>
          <w:color w:val="000000"/>
          <w:kern w:val="0"/>
          <w:sz w:val="24"/>
        </w:rPr>
        <w:t>1</w:t>
      </w:r>
      <w:r w:rsidRPr="006623F7">
        <w:rPr>
          <w:rFonts w:ascii="宋体" w:cs="Arial" w:hAnsi="宋体"/>
          <w:color w:val="000000"/>
          <w:kern w:val="0"/>
          <w:sz w:val="24"/>
        </w:rPr>
        <w:t>.3</w:t>
      </w:r>
      <w:r w:rsidR="00FC6E2E">
        <w:rPr>
          <w:rFonts w:hint="eastAsia"/>
          <w:b/>
          <w:color w:themeColor="text1" w:val="000000"/>
          <w:kern w:val="0"/>
          <w:sz w:val="24"/>
        </w:rPr>
        <w:t>其他</w:t>
      </w:r>
      <w:bookmarkStart w:id="3" w:name="_GoBack"/>
      <w:bookmarkEnd w:id="3"/>
      <w:r w:rsidR="005827A3">
        <w:rPr>
          <w:rFonts w:hint="eastAsia"/>
          <w:b/>
          <w:color w:themeColor="text1" w:val="000000"/>
          <w:kern w:val="0"/>
          <w:sz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2903"/>
        <w:gridCol w:w="4808"/>
      </w:tblGrid>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7"/>
              <w:jc w:val="center"/>
              <w:rPr>
                <w:color w:val="000000"/>
                <w:kern w:val="0"/>
                <w:sz w:val="24"/>
              </w:rPr>
            </w:pPr>
            <w:r w:rsidRPr="008043C8">
              <w:rPr>
                <w:color w:val="000000"/>
                <w:kern w:val="0"/>
                <w:sz w:val="24"/>
              </w:rPr>
              <w:t>序号</w:t>
            </w:r>
          </w:p>
        </w:tc>
        <w:tc>
          <w:tcPr>
            <w:tcW w:type="dxa" w:w="2903"/>
            <w:vAlign w:val="center"/>
          </w:tcPr>
          <w:p w:rsidP="00AB23E1" w:rsidR="000C6832" w:rsidRDefault="000C6832" w:rsidRPr="008043C8">
            <w:pPr>
              <w:autoSpaceDE w:val="0"/>
              <w:autoSpaceDN w:val="0"/>
              <w:adjustRightInd w:val="0"/>
              <w:spacing w:before="29" w:line="360" w:lineRule="auto"/>
              <w:ind w:left="17"/>
              <w:jc w:val="center"/>
              <w:rPr>
                <w:color w:val="000000"/>
                <w:kern w:val="0"/>
                <w:sz w:val="24"/>
              </w:rPr>
            </w:pPr>
            <w:r w:rsidRPr="008043C8">
              <w:rPr>
                <w:color w:val="000000"/>
                <w:kern w:val="0"/>
                <w:sz w:val="24"/>
              </w:rPr>
              <w:t>名称</w:t>
            </w:r>
          </w:p>
        </w:tc>
        <w:tc>
          <w:tcPr>
            <w:tcW w:type="dxa" w:w="4808"/>
            <w:vAlign w:val="center"/>
          </w:tcPr>
          <w:p w:rsidP="00AB23E1" w:rsidR="000C6832" w:rsidRDefault="000C6832" w:rsidRPr="008043C8">
            <w:pPr>
              <w:autoSpaceDE w:val="0"/>
              <w:autoSpaceDN w:val="0"/>
              <w:adjustRightInd w:val="0"/>
              <w:spacing w:before="29" w:line="360" w:lineRule="auto"/>
              <w:ind w:left="17"/>
              <w:jc w:val="center"/>
              <w:rPr>
                <w:color w:val="000000"/>
                <w:kern w:val="0"/>
                <w:sz w:val="24"/>
              </w:rPr>
            </w:pPr>
            <w:r w:rsidRPr="008043C8">
              <w:rPr>
                <w:color w:val="000000"/>
                <w:kern w:val="0"/>
                <w:sz w:val="24"/>
              </w:rPr>
              <w:t>金额（人民币元</w:t>
            </w:r>
            <w:r w:rsidRPr="008043C8">
              <w:rPr>
                <w:color w:val="000000"/>
                <w:kern w:val="0"/>
                <w:sz w:val="24"/>
              </w:rPr>
              <w:t>)</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kern w:val="0"/>
                <w:sz w:val="24"/>
              </w:rPr>
            </w:pPr>
            <w:r w:rsidRPr="008043C8">
              <w:rPr>
                <w:color w:val="000000"/>
                <w:sz w:val="24"/>
              </w:rPr>
              <w:t>1</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存出保证金</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81,932.11</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2</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应收证券清算款</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5,541,105.80</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3</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应收股利</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4</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应收利息</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4,547.49</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5</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应收申购款</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4,816,466.37</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6</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其他应收款</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7</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sz w:val="24"/>
              </w:rPr>
            </w:pPr>
            <w:r w:rsidRPr="008043C8">
              <w:rPr>
                <w:color w:val="000000"/>
                <w:sz w:val="24"/>
              </w:rPr>
              <w:t>待摊费用</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8</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其他</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9</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合计</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10,444,051.77</w:t>
            </w:r>
          </w:p>
        </w:tc>
      </w:tr>
    </w:tbl>
    <w:p w:rsidP="000C6832" w:rsidR="000C6832" w:rsidRDefault="000C6832" w:rsidRPr="006623F7">
      <w:pPr>
        <w:autoSpaceDE w:val="0"/>
        <w:autoSpaceDN w:val="0"/>
        <w:adjustRightInd w:val="0"/>
        <w:spacing w:line="360" w:lineRule="auto"/>
        <w:jc w:val="left"/>
        <w:rPr>
          <w:rFonts w:ascii="宋体" w:cs="Arial"/>
          <w:color w:val="000000"/>
          <w:kern w:val="0"/>
          <w:sz w:val="24"/>
        </w:rPr>
      </w:pPr>
      <w:r w:rsidRPr="006623F7">
        <w:rPr>
          <w:rFonts w:ascii="宋体" w:cs="Arial" w:hAnsi="宋体"/>
          <w:color w:val="000000"/>
          <w:kern w:val="0"/>
          <w:sz w:val="24"/>
        </w:rPr>
        <w:t>5.1</w:t>
      </w:r>
      <w:r>
        <w:rPr>
          <w:rFonts w:ascii="宋体" w:cs="Arial" w:hAnsi="宋体" w:hint="eastAsia"/>
          <w:color w:val="000000"/>
          <w:kern w:val="0"/>
          <w:sz w:val="24"/>
        </w:rPr>
        <w:t>1</w:t>
      </w:r>
      <w:r w:rsidRPr="006623F7">
        <w:rPr>
          <w:rFonts w:ascii="宋体" w:cs="Arial" w:hAnsi="宋体"/>
          <w:color w:val="000000"/>
          <w:kern w:val="0"/>
          <w:sz w:val="24"/>
        </w:rPr>
        <w:t>.4</w:t>
      </w:r>
      <w:r w:rsidRPr="006623F7">
        <w:rPr>
          <w:rFonts w:ascii="宋体" w:cs="Arial" w:hAnsi="宋体" w:hint="eastAsia"/>
          <w:color w:val="000000"/>
          <w:kern w:val="0"/>
          <w:sz w:val="24"/>
        </w:rPr>
        <w:t>报告期末持有的处于转股期的可转换债券明细</w:t>
      </w:r>
    </w:p>
    <w:p w:rsidP="000C6832" w:rsidR="000C6832" w:rsidRDefault="000C6832" w:rsidRPr="00C9686C">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本基金本报告期末未持有处于转股期的可转换债券。</w:t>
      </w:r>
    </w:p>
    <w:p w:rsidP="000C6832" w:rsidR="000C6832" w:rsidRDefault="000C6832" w:rsidRPr="006623F7">
      <w:pPr>
        <w:autoSpaceDE w:val="0"/>
        <w:autoSpaceDN w:val="0"/>
        <w:adjustRightInd w:val="0"/>
        <w:spacing w:line="360" w:lineRule="auto"/>
        <w:jc w:val="left"/>
        <w:rPr>
          <w:rFonts w:ascii="宋体" w:cs="Arial"/>
          <w:color w:val="000000"/>
          <w:kern w:val="0"/>
          <w:sz w:val="24"/>
        </w:rPr>
      </w:pPr>
      <w:r w:rsidRPr="006623F7">
        <w:rPr>
          <w:rFonts w:ascii="宋体" w:cs="Arial" w:hAnsi="宋体"/>
          <w:color w:val="000000"/>
          <w:kern w:val="0"/>
          <w:sz w:val="24"/>
        </w:rPr>
        <w:t>5.1</w:t>
      </w:r>
      <w:r>
        <w:rPr>
          <w:rFonts w:ascii="宋体" w:cs="Arial" w:hAnsi="宋体" w:hint="eastAsia"/>
          <w:color w:val="000000"/>
          <w:kern w:val="0"/>
          <w:sz w:val="24"/>
        </w:rPr>
        <w:t>1</w:t>
      </w:r>
      <w:r w:rsidRPr="006623F7">
        <w:rPr>
          <w:rFonts w:ascii="宋体" w:cs="Arial" w:hAnsi="宋体"/>
          <w:color w:val="000000"/>
          <w:kern w:val="0"/>
          <w:sz w:val="24"/>
        </w:rPr>
        <w:t xml:space="preserve">.5 </w:t>
      </w:r>
      <w:r w:rsidRPr="006623F7">
        <w:rPr>
          <w:rFonts w:ascii="宋体" w:cs="Arial" w:hAnsi="宋体" w:hint="eastAsia"/>
          <w:color w:val="000000"/>
          <w:kern w:val="0"/>
          <w:sz w:val="24"/>
        </w:rPr>
        <w:t>报告期末前十名股票中存在流通受限情况的说明</w:t>
      </w:r>
    </w:p>
    <w:p w:rsidP="000C6832" w:rsidR="000C6832" w:rsidRDefault="000C6832" w:rsidRPr="008043C8">
      <w:pPr>
        <w:spacing w:line="360" w:lineRule="auto"/>
        <w:ind w:firstLine="480" w:firstLineChars="200"/>
        <w:rPr>
          <w:color w:val="000000"/>
          <w:sz w:val="24"/>
        </w:rPr>
      </w:pPr>
      <w:r w:rsidRPr="00C9686C">
        <w:rPr>
          <w:color w:val="000000"/>
          <w:sz w:val="24"/>
        </w:rPr>
        <w:t>本基金本报告期末未持有股票。</w:t>
      </w:r>
    </w:p>
    <w:p w:rsidP="00CB3783"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§6  </w:t>
      </w:r>
      <w:r w:rsidRPr="00A67563">
        <w:rPr>
          <w:color w:themeColor="text1" w:val="000000"/>
          <w:kern w:val="0"/>
          <w:sz w:val="24"/>
          <w:szCs w:val="24"/>
        </w:rPr>
        <w:t>开放式基金份额变动</w:t>
      </w:r>
    </w:p>
    <w:p w:rsidP="008B6A4A" w:rsidR="0076518F" w:rsidRDefault="0076518F"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单位：份</w:t>
      </w:r>
    </w:p>
    <w:tbl>
      <w:tblPr>
        <w:tblW w:type="dxa" w:w="863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225051" w:rsidRPr="00A67563" w:rsidTr="00AB23E1">
        <w:trPr>
          <w:jc w:val="center"/>
        </w:trPr>
        <w:tc>
          <w:tcPr>
            <w:tcW w:type="dxa" w:w="3900"/>
            <w:vAlign w:val="center"/>
          </w:tcPr>
          <w:p w:rsidP="00845292" w:rsidR="00225051" w:rsidRDefault="00225051" w:rsidRPr="00A67563">
            <w:pPr>
              <w:autoSpaceDE w:val="0"/>
              <w:autoSpaceDN w:val="0"/>
              <w:adjustRightInd w:val="0"/>
              <w:spacing w:before="29" w:line="360" w:lineRule="auto"/>
              <w:ind w:left="17"/>
              <w:jc w:val="center"/>
              <w:rPr>
                <w:color w:themeColor="text1" w:val="000000"/>
                <w:kern w:val="0"/>
                <w:sz w:val="24"/>
              </w:rPr>
            </w:pPr>
            <w:r w:rsidRPr="00A67563">
              <w:rPr>
                <w:color w:themeColor="text1" w:val="000000"/>
                <w:kern w:val="0"/>
                <w:sz w:val="24"/>
              </w:rPr>
              <w:t>项目</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w:r>
          </w:p>
        </w:tc>
        <w:tc>
          <w:tcPr>
            <w:tcW w:type="dxa" w:w="2367"/>
            <w:vAlign w:val="center"/>
          </w:tcPr>
          <w:p w:rsidP="00845292" w:rsidR="00225051" w:rsidRDefault="00225051" w:rsidRPr="00A67563">
            <w:pPr>
              <w:autoSpaceDE w:val="0"/>
              <w:autoSpaceDN w:val="0"/>
              <w:adjustRightInd w:val="0"/>
              <w:spacing w:before="29" w:line="360" w:lineRule="auto"/>
              <w:ind w:left="17"/>
              <w:jc w:val="right"/>
              <w:rPr>
                <w:color w:themeColor="text1" w:val="000000"/>
                <w:sz w:val="24"/>
              </w:rPr>
            </w:pPr>
            <w:r w:rsidRPr="00A67563">
              <w:rPr>
                <w:color w:themeColor="text1" w:val="000000"/>
                <w:kern w:val="0"/>
                <w:sz w:val="24"/>
              </w:rPr>
              <w:t/>
            </w:r>
            <w:proofErr w:type="spellStart"/>
            <w:r w:rsidRPr="00A67563">
              <w:rPr>
                <w:color w:themeColor="text1" w:val="000000"/>
                <w:sz w:val="24"/>
              </w:rPr>
              <w:t/>
            </w:r>
            <w:r w:rsidRPr="00A67563">
              <w:rPr>
                <w:color w:themeColor="text1" w:val="000000"/>
                <w:sz w:val="24"/>
              </w:rPr>
              <w:lastRenderedPageBreak/>
              <w:t/>
            </w:r>
            <w:proofErr w:type="spellEnd"/>
            <w:r w:rsidRPr="00A67563">
              <w:rPr>
                <w:color w:themeColor="text1" w:val="000000"/>
                <w:sz w:val="24"/>
              </w:rPr>
              <w:t>易方达中证海外中国互联网50ETF联接（QDII）A</w:t>
            </w:r>
          </w:p>
        </w:tc>
        <w:tc>
          <w:tcPr>
            <w:tcW w:type="dxa" w:w="2367"/>
            <w:vAlign w:val="center"/>
          </w:tcPr>
          <w:p w:rsidP="00845292" w:rsidR="00225051" w:rsidRDefault="00225051" w:rsidRPr="00A67563">
            <w:pPr>
              <w:autoSpaceDE w:val="0"/>
              <w:autoSpaceDN w:val="0"/>
              <w:adjustRightInd w:val="0"/>
              <w:spacing w:before="29" w:line="360" w:lineRule="auto"/>
              <w:ind w:left="17"/>
              <w:jc w:val="right"/>
              <w:rPr>
                <w:color w:themeColor="text1" w:val="000000"/>
                <w:sz w:val="24"/>
              </w:rPr>
            </w:pPr>
            <w:r w:rsidRPr="00A67563">
              <w:rPr>
                <w:color w:themeColor="text1" w:val="000000"/>
                <w:kern w:val="0"/>
                <w:sz w:val="24"/>
              </w:rPr>
              <w:lastRenderedPageBreak/>
              <w:t/>
            </w:r>
            <w:r w:rsidRPr="00A67563">
              <w:rPr>
                <w:color w:themeColor="text1" w:val="000000"/>
                <w:sz w:val="24"/>
              </w:rPr>
              <w:t/>
            </w:r>
            <w:r w:rsidRPr="00A67563">
              <w:rPr>
                <w:color w:themeColor="text1" w:val="000000"/>
                <w:sz w:val="24"/>
              </w:rPr>
              <w:lastRenderedPageBreak/>
              <w:t>易方达中证海外中国互联网50ETF联接（QDII）C</w:t>
            </w:r>
          </w:p>
        </w:tc>
      </w:tr>
      <w:tr w:rsidR="00550511" w:rsidRPr="00A67563" w:rsidTr="00AB23E1">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报告期期</w:t>
            </w:r>
            <w:proofErr w:type="gramStart"/>
            <w:r w:rsidRPr="00A67563">
              <w:rPr>
                <w:color w:themeColor="text1" w:val="000000"/>
                <w:kern w:val="0"/>
                <w:sz w:val="24"/>
              </w:rPr>
              <w:t>初基金</w:t>
            </w:r>
            <w:proofErr w:type="gramEnd"/>
            <w:r w:rsidRPr="00A67563">
              <w:rPr>
                <w:color w:themeColor="text1" w:val="000000"/>
                <w:kern w:val="0"/>
                <w:sz w:val="24"/>
              </w:rPr>
              <w:t>份额总额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497,992,876.90</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34,080,142.40</w:t>
            </w:r>
          </w:p>
        </w:tc>
      </w:tr>
      <w:tr w:rsidR="00550511" w:rsidRPr="00A67563" w:rsidTr="00AB23E1">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r w:rsidRPr="00A67563">
              <w:rPr>
                <w:color w:themeColor="text1" w:val="000000"/>
                <w:sz w:val="24"/>
              </w:rPr>
              <w:t/>
            </w:r>
            <w:proofErr w:type="spellEnd"/>
            <w:r w:rsidRPr="00A67563">
              <w:rPr>
                <w:color w:themeColor="text1" w:val="000000"/>
                <w:kern w:val="0"/>
                <w:sz w:val="24"/>
              </w:rPr>
              <w:t>报告期</w:t>
            </w:r>
            <w:r w:rsidRPr="00A67563">
              <w:rPr>
                <w:color w:themeColor="text1" w:val="000000"/>
                <w:kern w:val="0"/>
                <w:sz w:val="24"/>
              </w:rPr>
              <w:t>基金总申购份额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145,971,331.36</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9,809,490.70</w:t>
            </w:r>
          </w:p>
        </w:tc>
      </w:tr>
      <w:tr w:rsidR="00550511" w:rsidRPr="00A67563" w:rsidTr="00AB23E1">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减：</w:t>
            </w:r>
            <w:r w:rsidRPr="00A67563">
              <w:rPr>
                <w:color w:themeColor="text1" w:val="000000"/>
                <w:kern w:val="0"/>
                <w:sz w:val="24"/>
              </w:rPr>
              <w:t/>
            </w:r>
            <w:proofErr w:type="spellStart"/>
            <w:r w:rsidRPr="00A67563">
              <w:rPr>
                <w:color w:themeColor="text1" w:val="000000"/>
                <w:kern w:val="0"/>
                <w:sz w:val="24"/>
              </w:rPr>
              <w:t/>
            </w:r>
            <w:r w:rsidRPr="00A67563">
              <w:rPr>
                <w:color w:themeColor="text1" w:val="000000"/>
                <w:sz w:val="24"/>
              </w:rPr>
              <w:t/>
            </w:r>
            <w:proofErr w:type="spellEnd"/>
            <w:r w:rsidRPr="00A67563">
              <w:rPr>
                <w:color w:themeColor="text1" w:val="000000"/>
                <w:kern w:val="0"/>
                <w:sz w:val="24"/>
              </w:rPr>
              <w:t>报告期</w:t>
            </w:r>
            <w:r w:rsidRPr="00A67563">
              <w:rPr>
                <w:color w:themeColor="text1" w:val="000000"/>
                <w:kern w:val="0"/>
                <w:sz w:val="24"/>
              </w:rPr>
              <w:t>基金总赎回份额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115,810,222.85</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17,400,643.38</w:t>
            </w:r>
          </w:p>
        </w:tc>
      </w:tr>
      <w:tr w:rsidR="00550511" w:rsidRPr="00A67563" w:rsidTr="00AB23E1">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r w:rsidRPr="00A67563">
              <w:rPr>
                <w:color w:themeColor="text1" w:val="000000"/>
                <w:sz w:val="24"/>
              </w:rPr>
              <w:t/>
            </w:r>
            <w:proofErr w:type="spellEnd"/>
            <w:r w:rsidRPr="00A67563">
              <w:rPr>
                <w:color w:themeColor="text1" w:val="000000"/>
                <w:kern w:val="0"/>
                <w:sz w:val="24"/>
              </w:rPr>
              <w:t>报告期</w:t>
            </w:r>
            <w:r w:rsidRPr="00A67563">
              <w:rPr>
                <w:color w:themeColor="text1" w:val="000000"/>
                <w:kern w:val="0"/>
                <w:sz w:val="24"/>
              </w:rPr>
              <w:t>基金拆分变动份额</w:t>
            </w:r>
            <w:r w:rsidR="000D669E">
              <w:rPr>
                <w:rFonts w:hint="eastAsia"/>
                <w:color w:val="000000"/>
                <w:kern w:val="0"/>
                <w:sz w:val="24"/>
              </w:rPr>
              <w:t>（份额减少以“</w:t>
            </w:r>
            <w:r w:rsidR="000D669E">
              <w:rPr>
                <w:color w:val="000000"/>
                <w:kern w:val="0"/>
                <w:sz w:val="24"/>
              </w:rPr>
              <w:t>-</w:t>
            </w:r>
            <w:r w:rsidR="000D669E">
              <w:rPr>
                <w:rFonts w:hint="eastAsia"/>
                <w:color w:val="000000"/>
                <w:kern w:val="0"/>
                <w:sz w:val="24"/>
              </w:rPr>
              <w:t>”填列）</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w:t>
            </w:r>
          </w:p>
        </w:tc>
      </w:tr>
      <w:tr w:rsidR="00550511" w:rsidRPr="00A67563" w:rsidTr="00AB23E1">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报告期期末基金份额总额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528,153,985.41</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26,488,989.72</w:t>
            </w:r>
          </w:p>
        </w:tc>
      </w:tr>
    </w:tbl>
    <w:p w:rsidP="002D6955" w:rsidR="00322A5E" w:rsidRDefault="00322A5E" w:rsidRPr="00A67563">
      <w:pPr>
        <w:autoSpaceDE w:val="0"/>
        <w:autoSpaceDN w:val="0"/>
        <w:adjustRightInd w:val="0"/>
        <w:spacing w:line="360" w:lineRule="auto"/>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注：易方达中证海外中国互联网50ETF联接（QDII）A份额变动含A类人民币份额及A类美元份额；易方达中证海外中国互联网50ETF联接（QDII）C份额变动含C类人民币份额及C类美元份额。</w:t>
      </w:r>
    </w:p>
    <w:p w:rsidP="00CB3783" w:rsidR="00BB5F3D" w:rsidRDefault="00BB5F3D" w:rsidRPr="00CB3783">
      <w:pPr>
        <w:pStyle w:val="1"/>
        <w:spacing w:after="312" w:afterLines="100" w:before="312" w:beforeLines="100" w:line="360" w:lineRule="auto"/>
        <w:jc w:val="center"/>
        <w:rPr>
          <w:bCs w:val="0"/>
          <w:color w:themeColor="text1" w:val="000000"/>
          <w:kern w:val="2"/>
          <w:sz w:val="24"/>
          <w:szCs w:val="24"/>
        </w:rPr>
      </w:pPr>
      <w:r w:rsidRPr="00CB3783">
        <w:rPr>
          <w:bCs w:val="0"/>
          <w:color w:themeColor="text1" w:val="000000"/>
          <w:kern w:val="2"/>
          <w:sz w:val="24"/>
          <w:szCs w:val="24"/>
        </w:rPr>
        <w:t/>
      </w:r>
      <w:proofErr w:type="spellStart"/>
      <w:r w:rsidRPr="00CB3783">
        <w:rPr>
          <w:bCs w:val="0"/>
          <w:color w:themeColor="text1" w:val="000000"/>
          <w:kern w:val="2"/>
          <w:sz w:val="24"/>
          <w:szCs w:val="24"/>
        </w:rPr>
        <w:t/>
      </w:r>
      <w:proofErr w:type="spellEnd"/>
      <w:r w:rsidRPr="00CB3783">
        <w:rPr>
          <w:bCs w:val="0"/>
          <w:color w:themeColor="text1" w:val="000000"/>
          <w:kern w:val="2"/>
          <w:sz w:val="24"/>
          <w:szCs w:val="24"/>
        </w:rPr>
        <w:t>§</w:t>
      </w:r>
      <w:r w:rsidR="007D62A3" w:rsidRPr="00CB3783">
        <w:rPr>
          <w:bCs w:val="0"/>
          <w:color w:themeColor="text1" w:val="000000"/>
          <w:kern w:val="2"/>
          <w:sz w:val="24"/>
          <w:szCs w:val="24"/>
        </w:rPr>
        <w:t/>
      </w:r>
      <w:r w:rsidRPr="00CB3783">
        <w:rPr>
          <w:bCs w:val="0"/>
          <w:color w:themeColor="text1" w:val="000000"/>
          <w:kern w:val="2"/>
          <w:sz w:val="24"/>
          <w:szCs w:val="24"/>
        </w:rPr>
        <w:t xml:space="preserve">7  </w:t>
      </w:r>
      <w:r w:rsidRPr="00CB3783">
        <w:rPr>
          <w:bCs w:val="0"/>
          <w:color w:themeColor="text1" w:val="000000"/>
          <w:kern w:val="2"/>
          <w:sz w:val="24"/>
          <w:szCs w:val="24"/>
        </w:rPr>
        <w:t>基金管理人运用固有资金投资本基金</w:t>
      </w:r>
      <w:r w:rsidR="00CB3783" w:rsidRPr="00CB3783">
        <w:rPr>
          <w:rFonts w:hint="eastAsia"/>
          <w:bCs w:val="0"/>
          <w:color w:themeColor="text1" w:val="000000"/>
          <w:kern w:val="2"/>
          <w:sz w:val="24"/>
          <w:szCs w:val="24"/>
        </w:rPr>
        <w:t>交易明细</w:t>
      </w:r>
    </w:p>
    <w:p w:rsidP="00A4111B" w:rsidR="005E64DA" w:rsidRDefault="00BB5F3D"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本报告期内基金管理人未运用固有资金申购、赎回、买卖本基金份额。</w:t>
      </w:r>
    </w:p>
    <w:p w:rsidP="00CB3783"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w:t>
      </w:r>
      <w:r w:rsidR="002711AA" w:rsidRPr="00A67563">
        <w:rPr>
          <w:color w:themeColor="text1" w:val="000000"/>
          <w:kern w:val="0"/>
          <w:sz w:val="24"/>
          <w:szCs w:val="24"/>
        </w:rPr>
        <w:t/>
      </w:r>
      <w:r w:rsidR="00376A15" w:rsidRPr="00A67563">
        <w:rPr>
          <w:color w:themeColor="text1" w:val="000000"/>
          <w:kern w:val="0"/>
          <w:sz w:val="24"/>
          <w:szCs w:val="24"/>
        </w:rPr>
        <w:t/>
      </w:r>
      <w:r w:rsidR="00AE7D44" w:rsidRPr="00A67563">
        <w:rPr>
          <w:color w:themeColor="text1" w:val="000000"/>
          <w:kern w:val="0"/>
          <w:sz w:val="24"/>
          <w:szCs w:val="24"/>
        </w:rPr>
        <w:t/>
      </w:r>
      <w:r w:rsidR="00B111B9" w:rsidRPr="00A67563">
        <w:rPr>
          <w:color w:themeColor="text1" w:val="000000"/>
          <w:kern w:val="0"/>
          <w:sz w:val="24"/>
          <w:szCs w:val="24"/>
        </w:rPr>
        <w:t/>
      </w:r>
      <w:r w:rsidR="002711AA" w:rsidRPr="00A67563">
        <w:rPr>
          <w:color w:themeColor="text1" w:val="000000"/>
          <w:kern w:val="0"/>
          <w:sz w:val="24"/>
          <w:szCs w:val="24"/>
        </w:rPr>
        <w:t>8</w:t>
      </w:r>
      <w:r w:rsidR="00BD7FC1" w:rsidRPr="00A67563">
        <w:rPr>
          <w:bCs w:val="0"/>
          <w:color w:themeColor="text1" w:val="000000"/>
          <w:kern w:val="2"/>
          <w:sz w:val="24"/>
          <w:szCs w:val="24"/>
        </w:rPr>
        <w:t xml:space="preserve">  </w:t>
      </w:r>
      <w:r w:rsidRPr="00A67563">
        <w:rPr>
          <w:color w:themeColor="text1" w:val="000000"/>
          <w:kern w:val="0"/>
          <w:sz w:val="24"/>
          <w:szCs w:val="24"/>
        </w:rPr>
        <w:t>备查文件目录</w:t>
      </w:r>
    </w:p>
    <w:p w:rsidP="000C7596" w:rsidR="008975BC" w:rsidRDefault="00280566" w:rsidRPr="00A67563">
      <w:pPr>
        <w:autoSpaceDE w:val="0"/>
        <w:autoSpaceDN w:val="0"/>
        <w:adjustRightInd w:val="0"/>
        <w:spacing w:line="360" w:lineRule="auto"/>
        <w:jc w:val="left"/>
        <w:rPr>
          <w:b/>
          <w:bCs/>
          <w:color w:themeColor="text1" w:val="000000"/>
          <w:kern w:val="0"/>
          <w:sz w:val="24"/>
        </w:rPr>
      </w:pPr>
      <w:r w:rsidRPr="00A67563">
        <w:rPr>
          <w:b/>
          <w:bCs/>
          <w:color w:themeColor="text1" w:val="000000"/>
          <w:kern w:val="0"/>
          <w:sz w:val="24"/>
        </w:rPr>
        <w:t/>
      </w:r>
      <w:r w:rsidR="00AE7D44" w:rsidRPr="00A67563">
        <w:rPr>
          <w:b/>
          <w:bCs/>
          <w:color w:themeColor="text1" w:val="000000"/>
          <w:kern w:val="0"/>
          <w:sz w:val="24"/>
        </w:rPr>
        <w:t/>
      </w:r>
      <w:r w:rsidRPr="00A67563">
        <w:rPr>
          <w:b/>
          <w:bCs/>
          <w:color w:themeColor="text1" w:val="000000"/>
          <w:kern w:val="0"/>
          <w:sz w:val="24"/>
        </w:rPr>
        <w:t>8</w:t>
      </w:r>
      <w:r w:rsidR="008975BC" w:rsidRPr="00A67563">
        <w:rPr>
          <w:b/>
          <w:bCs/>
          <w:color w:themeColor="text1" w:val="000000"/>
          <w:kern w:val="0"/>
          <w:sz w:val="24"/>
        </w:rPr>
        <w:t>.</w:t>
      </w:r>
      <w:r w:rsidR="00376A15" w:rsidRPr="00A67563">
        <w:rPr>
          <w:b/>
          <w:bCs/>
          <w:color w:themeColor="text1" w:val="000000"/>
          <w:kern w:val="0"/>
          <w:sz w:val="24"/>
        </w:rPr>
        <w:t/>
      </w:r>
      <w:r w:rsidR="008975BC" w:rsidRPr="00A67563">
        <w:rPr>
          <w:b/>
          <w:bCs/>
          <w:color w:themeColor="text1" w:val="000000"/>
          <w:kern w:val="0"/>
          <w:sz w:val="24"/>
        </w:rPr>
        <w:t/>
      </w:r>
      <w:r w:rsidR="00376A15" w:rsidRPr="00A67563">
        <w:rPr>
          <w:b/>
          <w:bCs/>
          <w:color w:themeColor="text1" w:val="000000"/>
          <w:kern w:val="0"/>
          <w:sz w:val="24"/>
        </w:rPr>
        <w:t>1</w:t>
      </w:r>
      <w:r w:rsidR="008975BC" w:rsidRPr="00A67563">
        <w:rPr>
          <w:b/>
          <w:bCs/>
          <w:color w:themeColor="text1" w:val="000000"/>
          <w:kern w:val="0"/>
          <w:sz w:val="24"/>
        </w:rPr>
        <w:t xml:space="preserve"> </w:t>
      </w:r>
      <w:r w:rsidR="008975BC" w:rsidRPr="00A67563">
        <w:rPr>
          <w:b/>
          <w:bCs/>
          <w:color w:themeColor="text1" w:val="000000"/>
          <w:kern w:val="0"/>
          <w:sz w:val="24"/>
        </w:rPr>
        <w:t>备查文件目录</w:t>
      </w:r>
    </w:p>
    <w:p>
      <w:pPr>
        <w:spacing w:line="360" w:lineRule="auto"/>
        <w:ind w:firstLine="480" w:firstLineChars="200"/>
        <w:rPr>
          <w:color w:themeColor="text1" w:val="000000"/>
          <w:sz w:val="24"/>
        </w:rPr>
      </w:pPr>
      <w:r>
        <w:rPr>
          <w:color w:themeColor="text1" w:val="000000"/>
          <w:sz w:val="24"/>
        </w:rPr>
        <w:t>1.中国证监会注册易方达中证海外中国互联网50交易型开放式指数证券投资基金联接基金募集的文件；</w:t>
      </w:r>
    </w:p>
    <w:p>
      <w:pPr>
        <w:spacing w:line="360" w:lineRule="auto"/>
        <w:ind w:firstLine="480" w:firstLineChars="200"/>
        <w:rPr>
          <w:color w:themeColor="text1" w:val="000000"/>
          <w:sz w:val="24"/>
        </w:rPr>
      </w:pPr>
      <w:r>
        <w:rPr>
          <w:color w:themeColor="text1" w:val="000000"/>
          <w:sz w:val="24"/>
        </w:rPr>
        <w:t xml:space="preserve">2.《易方达中证海外中国互联网50交易型开放式指数证券投资基金联接基金基金合同》； </w:t>
      </w:r>
    </w:p>
    <w:p>
      <w:pPr>
        <w:spacing w:line="360" w:lineRule="auto"/>
        <w:ind w:firstLine="480" w:firstLineChars="200"/>
        <w:rPr>
          <w:color w:themeColor="text1" w:val="000000"/>
          <w:sz w:val="24"/>
        </w:rPr>
      </w:pPr>
      <w:r>
        <w:rPr>
          <w:color w:themeColor="text1" w:val="000000"/>
          <w:sz w:val="24"/>
        </w:rPr>
        <w:t>3.《易方达中证海外中国互联网50交易型开放式指数证券投资基金联接基金托管协议》；</w:t>
      </w:r>
    </w:p>
    <w:p>
      <w:pPr>
        <w:spacing w:line="360" w:lineRule="auto"/>
        <w:ind w:firstLine="480" w:firstLineChars="200"/>
        <w:rPr>
          <w:color w:themeColor="text1" w:val="000000"/>
          <w:sz w:val="24"/>
        </w:rPr>
      </w:pPr>
      <w:r>
        <w:rPr>
          <w:color w:themeColor="text1" w:val="000000"/>
          <w:sz w:val="24"/>
        </w:rPr>
        <w:t>4.《易方达基金管理有限公司开放式基金业务规则》；</w:t>
      </w:r>
    </w:p>
    <w:p w:rsidP="000C7596" w:rsidR="008A2EC6" w:rsidRDefault="008975BC" w:rsidRPr="00A67563">
      <w:pPr>
        <w:spacing w:line="360" w:lineRule="auto"/>
        <w:ind w:firstLine="480" w:firstLineChars="200"/>
        <w:rPr>
          <w:color w:themeColor="text1" w:val="00000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5.基金管理人业务资格批件和营业执照。</w:t>
      </w:r>
    </w:p>
    <w:p w:rsidP="000C7596" w:rsidR="008975BC" w:rsidRDefault="00280566" w:rsidRPr="00A67563">
      <w:pPr>
        <w:autoSpaceDE w:val="0"/>
        <w:autoSpaceDN w:val="0"/>
        <w:adjustRightInd w:val="0"/>
        <w:spacing w:line="360" w:lineRule="auto"/>
        <w:jc w:val="left"/>
        <w:rPr>
          <w:b/>
          <w:bCs/>
          <w:color w:themeColor="text1" w:val="000000"/>
          <w:kern w:val="0"/>
          <w:sz w:val="24"/>
        </w:rPr>
      </w:pPr>
      <w:r w:rsidRPr="00A67563">
        <w:rPr>
          <w:b/>
          <w:bCs/>
          <w:color w:themeColor="text1" w:val="000000"/>
          <w:kern w:val="0"/>
          <w:sz w:val="24"/>
        </w:rPr>
        <w:t/>
      </w:r>
      <w:proofErr w:type="gramStart"/>
      <w:r w:rsidR="00AE7D44" w:rsidRPr="00A67563">
        <w:rPr>
          <w:b/>
          <w:bCs/>
          <w:color w:themeColor="text1" w:val="000000"/>
          <w:kern w:val="0"/>
          <w:sz w:val="24"/>
        </w:rPr>
        <w:t/>
      </w:r>
      <w:proofErr w:type="gramEnd"/>
      <w:r w:rsidRPr="00A67563">
        <w:rPr>
          <w:b/>
          <w:bCs/>
          <w:color w:themeColor="text1" w:val="000000"/>
          <w:kern w:val="0"/>
          <w:sz w:val="24"/>
        </w:rPr>
        <w:t>8</w:t>
      </w:r>
      <w:r w:rsidR="008975BC" w:rsidRPr="00A67563">
        <w:rPr>
          <w:b/>
          <w:bCs/>
          <w:color w:themeColor="text1" w:val="000000"/>
          <w:kern w:val="0"/>
          <w:sz w:val="24"/>
        </w:rPr>
        <w:t>.</w:t>
      </w:r>
      <w:r w:rsidR="00376A15" w:rsidRPr="00A67563">
        <w:rPr>
          <w:b/>
          <w:bCs/>
          <w:color w:themeColor="text1" w:val="000000"/>
          <w:kern w:val="0"/>
          <w:sz w:val="24"/>
        </w:rPr>
        <w:t>2</w:t>
      </w:r>
      <w:r w:rsidR="008975BC" w:rsidRPr="00A67563">
        <w:rPr>
          <w:b/>
          <w:bCs/>
          <w:color w:themeColor="text1" w:val="000000"/>
          <w:kern w:val="0"/>
          <w:sz w:val="24"/>
        </w:rPr>
        <w:t xml:space="preserve"> </w:t>
      </w:r>
      <w:r w:rsidR="008975BC" w:rsidRPr="00A67563">
        <w:rPr>
          <w:b/>
          <w:bCs/>
          <w:color w:themeColor="text1" w:val="000000"/>
          <w:kern w:val="0"/>
          <w:sz w:val="24"/>
        </w:rPr>
        <w:t>存放地点</w:t>
      </w:r>
    </w:p>
    <w:p w:rsidP="000C7596" w:rsidR="008A2EC6" w:rsidRDefault="008975BC" w:rsidRPr="00A67563">
      <w:pPr>
        <w:spacing w:line="360" w:lineRule="auto"/>
        <w:ind w:firstLine="480" w:firstLineChars="200"/>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广州市天河区珠江新城珠江东路30号广州银行大厦40-43楼。</w:t>
      </w:r>
    </w:p>
    <w:p w:rsidP="000C7596" w:rsidR="008975BC" w:rsidRDefault="00280566" w:rsidRPr="00A67563">
      <w:pPr>
        <w:autoSpaceDE w:val="0"/>
        <w:autoSpaceDN w:val="0"/>
        <w:adjustRightInd w:val="0"/>
        <w:spacing w:line="360" w:lineRule="auto"/>
        <w:jc w:val="left"/>
        <w:rPr>
          <w:b/>
          <w:bCs/>
          <w:color w:themeColor="text1" w:val="000000"/>
          <w:kern w:val="0"/>
          <w:sz w:val="24"/>
        </w:rPr>
      </w:pPr>
      <w:r w:rsidRPr="00A67563">
        <w:rPr>
          <w:b/>
          <w:bCs/>
          <w:color w:themeColor="text1" w:val="000000"/>
          <w:kern w:val="0"/>
          <w:sz w:val="24"/>
        </w:rPr>
        <w:t/>
      </w:r>
      <w:r w:rsidR="00AE7D44" w:rsidRPr="00A67563">
        <w:rPr>
          <w:b/>
          <w:bCs/>
          <w:color w:themeColor="text1" w:val="000000"/>
          <w:kern w:val="0"/>
          <w:sz w:val="24"/>
        </w:rPr>
        <w:t/>
      </w:r>
      <w:r w:rsidRPr="00A67563">
        <w:rPr>
          <w:b/>
          <w:bCs/>
          <w:color w:themeColor="text1" w:val="000000"/>
          <w:kern w:val="0"/>
          <w:sz w:val="24"/>
        </w:rPr>
        <w:t>8</w:t>
      </w:r>
      <w:r w:rsidR="008975BC" w:rsidRPr="00A67563">
        <w:rPr>
          <w:b/>
          <w:bCs/>
          <w:color w:themeColor="text1" w:val="000000"/>
          <w:kern w:val="0"/>
          <w:sz w:val="24"/>
        </w:rPr>
        <w:t>.</w:t>
      </w:r>
      <w:r w:rsidR="00376A15" w:rsidRPr="00A67563">
        <w:rPr>
          <w:b/>
          <w:bCs/>
          <w:color w:themeColor="text1" w:val="000000"/>
          <w:kern w:val="0"/>
          <w:sz w:val="24"/>
        </w:rPr>
        <w:t>3</w:t>
      </w:r>
      <w:r w:rsidR="008975BC" w:rsidRPr="00A67563">
        <w:rPr>
          <w:b/>
          <w:bCs/>
          <w:color w:themeColor="text1" w:val="000000"/>
          <w:kern w:val="0"/>
          <w:sz w:val="24"/>
        </w:rPr>
        <w:t xml:space="preserve"> </w:t>
      </w:r>
      <w:r w:rsidR="008975BC" w:rsidRPr="00A67563">
        <w:rPr>
          <w:b/>
          <w:bCs/>
          <w:color w:themeColor="text1" w:val="000000"/>
          <w:kern w:val="0"/>
          <w:sz w:val="24"/>
        </w:rPr>
        <w:t>查阅方式</w:t>
      </w:r>
    </w:p>
    <w:p w:rsidP="002D6955" w:rsidR="008975BC" w:rsidRDefault="008975BC" w:rsidRPr="00A67563">
      <w:pPr>
        <w:spacing w:line="360" w:lineRule="auto"/>
        <w:ind w:firstLine="480" w:firstLineChars="200"/>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投资者可在营业时间免费查阅，也可按工本费购买复印件。</w:t>
      </w:r>
    </w:p>
    <w:p w:rsidP="008B6A4A" w:rsidR="0076518F" w:rsidRDefault="0076518F" w:rsidRPr="00A67563">
      <w:pPr>
        <w:spacing w:line="360" w:lineRule="auto"/>
        <w:ind w:firstLine="480" w:firstLineChars="200"/>
        <w:rPr>
          <w:color w:themeColor="text1" w:val="000000"/>
          <w:sz w:val="24"/>
        </w:rPr>
      </w:pPr>
    </w:p>
    <w:p w:rsidP="008B6A4A" w:rsidR="008A2EC6" w:rsidRDefault="008A2EC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76518F" w:rsidRDefault="0076518F" w:rsidRPr="00A67563">
      <w:pPr>
        <w:spacing w:line="360" w:lineRule="auto"/>
        <w:ind w:firstLine="480" w:firstLineChars="200"/>
        <w:rPr>
          <w:color w:themeColor="text1" w:val="000000"/>
          <w:sz w:val="24"/>
        </w:rPr>
      </w:pPr>
    </w:p>
    <w:p w:rsidP="000C7596" w:rsidR="008975BC" w:rsidRDefault="008975BC" w:rsidRPr="00A67563">
      <w:pPr>
        <w:spacing w:line="360" w:lineRule="auto"/>
        <w:jc w:val="right"/>
        <w:rPr>
          <w:b/>
          <w:bCs/>
          <w:color w:themeColor="text1" w:val="000000"/>
          <w:sz w:val="24"/>
        </w:rPr>
      </w:pPr>
      <w:r w:rsidRPr="00A67563">
        <w:rPr>
          <w:b/>
          <w:bCs/>
          <w:color w:themeColor="text1" w:val="000000"/>
          <w:sz w:val="24"/>
        </w:rPr>
        <w:t/>
      </w:r>
      <w:proofErr w:type="spellStart"/>
      <w:r w:rsidRPr="00A67563">
        <w:rPr>
          <w:b/>
          <w:bCs/>
          <w:color w:themeColor="text1" w:val="000000"/>
          <w:sz w:val="24"/>
        </w:rPr>
        <w:t/>
      </w:r>
      <w:proofErr w:type="spellEnd"/>
      <w:r w:rsidRPr="00A67563">
        <w:rPr>
          <w:b/>
          <w:bCs/>
          <w:color w:themeColor="text1" w:val="000000"/>
          <w:sz w:val="24"/>
        </w:rPr>
        <w:t>易方达基金管理有限公司</w:t>
      </w:r>
    </w:p>
    <w:p w:rsidP="000C7596" w:rsidR="0076518F" w:rsidRDefault="00623556" w:rsidRPr="00A67563">
      <w:pPr>
        <w:spacing w:line="360" w:lineRule="auto"/>
        <w:jc w:val="right"/>
        <w:rPr>
          <w:b/>
          <w:bCs/>
          <w:color w:themeColor="text1" w:val="000000"/>
          <w:sz w:val="24"/>
        </w:rPr>
      </w:pPr>
      <w:r w:rsidRPr="00A67563">
        <w:rPr>
          <w:b/>
          <w:bCs/>
          <w:color w:themeColor="text1" w:val="000000"/>
          <w:sz w:val="24"/>
        </w:rPr>
        <w:t/>
      </w:r>
      <w:proofErr w:type="spellStart"/>
      <w:r w:rsidRPr="00A67563">
        <w:rPr>
          <w:b/>
          <w:bCs/>
          <w:color w:themeColor="text1" w:val="000000"/>
          <w:sz w:val="24"/>
        </w:rPr>
        <w:t/>
      </w:r>
      <w:proofErr w:type="spellEnd"/>
      <w:r w:rsidRPr="00A67563">
        <w:rPr>
          <w:b/>
          <w:bCs/>
          <w:color w:themeColor="text1" w:val="000000"/>
          <w:sz w:val="24"/>
        </w:rPr>
        <w:t>二〇二〇年七月二十一日</w:t>
      </w:r>
    </w:p>
    <w:sectPr w:rsidR="0076518F" w:rsidRPr="00A67563" w:rsidSect="00DB4450">
      <w:headerReference r:id="rId12" w:type="even"/>
      <w:footerReference r:id="rId13" w:type="even"/>
      <w:footerReference r:id="rId14" w:type="default"/>
      <w:headerReference r:id="rId15" w:type="first"/>
      <w:footerReference r:id="rId16" w:type="firs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50F" w:rsidRDefault="0035750F">
      <w:r>
        <w:separator/>
      </w:r>
    </w:p>
  </w:endnote>
  <w:endnote w:type="continuationSeparator" w:id="0">
    <w:p w:rsidR="0035750F" w:rsidRDefault="00357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B918B8" w:rsidR="00AB23E1" w:rsidRDefault="00AB23E1" w:rsidRPr="001D0DB0">
    <w:pPr>
      <w:pStyle w:val="a6"/>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FC6E2E">
      <w:rPr>
        <w:noProof/>
        <w:kern w:val="0"/>
        <w:szCs w:val="21"/>
      </w:rPr>
      <w:t>1</w:t>
    </w:r>
    <w:r>
      <w:rPr>
        <w:kern w:val="0"/>
        <w:szCs w:val="21"/>
      </w:rPr>
      <w:fldChar w:fldCharType="end"/>
    </w:r>
    <w:proofErr w:type="gramStart"/>
    <w:r>
      <w:rPr>
        <w:rFonts w:hint="eastAsia"/>
        <w:kern w:val="0"/>
        <w:szCs w:val="21"/>
      </w:rPr>
      <w:t>页共</w:t>
    </w:r>
    <w:proofErr w:type="gramEnd"/>
    <w:r>
      <w:rPr>
        <w:kern w:val="0"/>
        <w:szCs w:val="21"/>
      </w:rPr>
      <w:fldChar w:fldCharType="begin"/>
    </w:r>
    <w:r>
      <w:rPr>
        <w:kern w:val="0"/>
        <w:szCs w:val="21"/>
      </w:rPr>
      <w:instrText xml:space="preserve"> NUMPAGES </w:instrText>
    </w:r>
    <w:r>
      <w:rPr>
        <w:kern w:val="0"/>
        <w:szCs w:val="21"/>
      </w:rPr>
      <w:fldChar w:fldCharType="separate"/>
    </w:r>
    <w:r w:rsidR="00FC6E2E">
      <w:rPr>
        <w:noProof/>
        <w:kern w:val="0"/>
        <w:szCs w:val="21"/>
      </w:rPr>
      <w:t>25</w:t>
    </w:r>
    <w:r>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B23E1" w:rsidRDefault="00AB23E1">
    <w:pPr>
      <w:pStyle w:val="a6"/>
      <w:framePr w:hAnchor="margin" w:vAnchor="text" w:wrap="around" w:xAlign="center" w:y="1"/>
      <w:rPr>
        <w:rStyle w:val="a7"/>
      </w:rPr>
    </w:pPr>
    <w:r>
      <w:rPr>
        <w:rStyle w:val="a7"/>
      </w:rPr>
      <w:fldChar w:fldCharType="begin"/>
    </w:r>
    <w:r>
      <w:rPr>
        <w:rStyle w:val="a7"/>
      </w:rPr>
      <w:instrText xml:space="preserve">PAGE  </w:instrText>
    </w:r>
    <w:r>
      <w:rPr>
        <w:rStyle w:val="a7"/>
      </w:rPr>
      <w:fldChar w:fldCharType="end"/>
    </w:r>
  </w:p>
  <w:p w:rsidR="00AB23E1" w:rsidRDefault="00AB23E1">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B23E1" w:rsidRDefault="00AB23E1">
    <w:pPr>
      <w:pStyle w:val="a6"/>
      <w:framePr w:hAnchor="margin" w:vAnchor="text" w:wrap="around" w:xAlign="center" w:y="1"/>
      <w:rPr>
        <w:rStyle w:val="a7"/>
      </w:rPr>
    </w:pPr>
    <w:r>
      <w:rPr>
        <w:rStyle w:val="a7"/>
      </w:rPr>
      <w:fldChar w:fldCharType="begin"/>
    </w:r>
    <w:r>
      <w:rPr>
        <w:rStyle w:val="a7"/>
      </w:rPr>
      <w:instrText xml:space="preserve">PAGE  </w:instrText>
    </w:r>
    <w:r>
      <w:rPr>
        <w:rStyle w:val="a7"/>
      </w:rPr>
      <w:fldChar w:fldCharType="separate"/>
    </w:r>
    <w:r w:rsidR="00FC6E2E">
      <w:rPr>
        <w:rStyle w:val="a7"/>
        <w:noProof/>
      </w:rPr>
      <w:t>18</w:t>
    </w:r>
    <w:r>
      <w:rPr>
        <w:rStyle w:val="a7"/>
      </w:rPr>
      <w:fldChar w:fldCharType="end"/>
    </w:r>
  </w:p>
  <w:p w:rsidR="00AB23E1" w:rsidRDefault="00AB23E1">
    <w:pPr>
      <w:pStyle w:val="a6"/>
    </w:pPr>
  </w:p>
</w:ftr>
</file>

<file path=word/footer4.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B23E1" w:rsidRDefault="00AB23E1">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35750F" w:rsidRDefault="0035750F">
      <w:r>
        <w:separator/>
      </w:r>
    </w:p>
  </w:footnote>
  <w:footnote w:id="0" w:type="continuationSeparator">
    <w:p w:rsidR="0035750F" w:rsidRDefault="0035750F">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1356" w:rsidR="00AB23E1" w:rsidRDefault="00AB23E1" w:rsidRPr="006669C9">
    <w:pPr>
      <w:pStyle w:val="a9"/>
      <w:pBdr>
        <w:bottom w:color="auto" w:space="0" w:sz="6" w:val="single"/>
      </w:pBdr>
      <w:jc w:val="right"/>
    </w:pPr>
    <w:r w:rsidRPr="006669C9">
      <w:t/>
    </w:r>
    <w:proofErr w:type="spellStart"/>
    <w:proofErr w:type="gramStart"/>
    <w:r w:rsidRPr="006669C9">
      <w:t/>
    </w:r>
    <w:proofErr w:type="spellEnd"/>
    <w:proofErr w:type="gramEnd"/>
    <w:r w:rsidRPr="006669C9">
      <w:t>易方达中证海外中国互联网50交易型开放式指数证券投资基金联接基金</w:t>
    </w:r>
    <w:proofErr w:type="spellStart"/>
    <w:r w:rsidRPr="006669C9">
      <w:t/>
    </w:r>
    <w:proofErr w:type="spellEnd"/>
    <w:r w:rsidRPr="006669C9">
      <w:t>2020年第2季度报告</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B23E1" w:rsidRDefault="00AB23E1">
    <w:pPr>
      <w:pStyle w:val="a9"/>
    </w:pP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B23E1" w:rsidRDefault="00AB23E1">
    <w:pPr>
      <w:pStyle w:val="a9"/>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cs="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hint="eastAsia"/>
        <w:sz w:val="24"/>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eastAsia="宋体" w:hint="eastAsia"/>
        <w:color w:val="auto"/>
      </w:rPr>
    </w:lvl>
    <w:lvl w:ilvl="1" w:tplc="D5ACC954">
      <w:start w:val="1"/>
      <w:numFmt w:val="japaneseCounting"/>
      <w:lvlText w:val="(%2)"/>
      <w:lvlJc w:val="left"/>
      <w:pPr>
        <w:tabs>
          <w:tab w:pos="810" w:val="num"/>
        </w:tabs>
        <w:ind w:hanging="390" w:left="810"/>
      </w:pPr>
      <w:rPr>
        <w:rFonts w:hint="eastAsia"/>
      </w:rPr>
    </w:lvl>
    <w:lvl w:ilvl="2" w:tplc="E2F6B948">
      <w:start w:val="1"/>
      <w:numFmt w:val="decimal"/>
      <w:lvlText w:val="%3、"/>
      <w:lvlJc w:val="left"/>
      <w:pPr>
        <w:tabs>
          <w:tab w:pos="1200" w:val="num"/>
        </w:tabs>
        <w:ind w:hanging="360" w:left="1200"/>
      </w:pPr>
      <w:rPr>
        <w:rFonts w:hint="eastAsia"/>
      </w:rPr>
    </w:lvl>
    <w:lvl w:ilvl="3" w:tentative="1" w:tplc="0409000F">
      <w:start w:val="1"/>
      <w:numFmt w:val="decimal"/>
      <w:lvlText w:val="%4."/>
      <w:lvlJc w:val="left"/>
      <w:pPr>
        <w:tabs>
          <w:tab w:pos="1680" w:val="num"/>
        </w:tabs>
        <w:ind w:hanging="420" w:left="1680"/>
      </w:pPr>
    </w:lvl>
    <w:lvl w:ilvl="4" w:tentative="1" w:tplc="04090019">
      <w:start w:val="1"/>
      <w:numFmt w:val="lowerLetter"/>
      <w:lvlText w:val="%5)"/>
      <w:lvlJc w:val="left"/>
      <w:pPr>
        <w:tabs>
          <w:tab w:pos="2100" w:val="num"/>
        </w:tabs>
        <w:ind w:hanging="420" w:left="2100"/>
      </w:pPr>
    </w:lvl>
    <w:lvl w:ilvl="5" w:tentative="1" w:tplc="0409001B">
      <w:start w:val="1"/>
      <w:numFmt w:val="lowerRoman"/>
      <w:lvlText w:val="%6."/>
      <w:lvlJc w:val="right"/>
      <w:pPr>
        <w:tabs>
          <w:tab w:pos="2520" w:val="num"/>
        </w:tabs>
        <w:ind w:hanging="420" w:left="2520"/>
      </w:pPr>
    </w:lvl>
    <w:lvl w:ilvl="6" w:tentative="1" w:tplc="0409000F">
      <w:start w:val="1"/>
      <w:numFmt w:val="decimal"/>
      <w:lvlText w:val="%7."/>
      <w:lvlJc w:val="left"/>
      <w:pPr>
        <w:tabs>
          <w:tab w:pos="2940" w:val="num"/>
        </w:tabs>
        <w:ind w:hanging="420" w:left="2940"/>
      </w:pPr>
    </w:lvl>
    <w:lvl w:ilvl="7" w:tentative="1" w:tplc="04090019">
      <w:start w:val="1"/>
      <w:numFmt w:val="lowerLetter"/>
      <w:lvlText w:val="%8)"/>
      <w:lvlJc w:val="left"/>
      <w:pPr>
        <w:tabs>
          <w:tab w:pos="3360" w:val="num"/>
        </w:tabs>
        <w:ind w:hanging="420" w:left="3360"/>
      </w:pPr>
    </w:lvl>
    <w:lvl w:ilvl="8" w:tentative="1" w:tplc="0409001B">
      <w:start w:val="1"/>
      <w:numFmt w:val="lowerRoman"/>
      <w:lvlText w:val="%9."/>
      <w:lvlJc w:val="right"/>
      <w:pPr>
        <w:tabs>
          <w:tab w:pos="3780" w:val="num"/>
        </w:tabs>
        <w:ind w:hanging="420" w:left="3780"/>
      </w:p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E7FB4"/>
    <w:rsid w:val="0000403B"/>
    <w:rsid w:val="00005911"/>
    <w:rsid w:val="00010A83"/>
    <w:rsid w:val="00010A8E"/>
    <w:rsid w:val="00010AC3"/>
    <w:rsid w:val="00011D4F"/>
    <w:rsid w:val="00011E10"/>
    <w:rsid w:val="00011EB5"/>
    <w:rsid w:val="00017581"/>
    <w:rsid w:val="00017739"/>
    <w:rsid w:val="00020583"/>
    <w:rsid w:val="0002088D"/>
    <w:rsid w:val="00021DD4"/>
    <w:rsid w:val="00023BE7"/>
    <w:rsid w:val="00026BFF"/>
    <w:rsid w:val="000306F0"/>
    <w:rsid w:val="0003091A"/>
    <w:rsid w:val="00037FCF"/>
    <w:rsid w:val="00041AB5"/>
    <w:rsid w:val="000421B8"/>
    <w:rsid w:val="00042C9C"/>
    <w:rsid w:val="00043ABF"/>
    <w:rsid w:val="000445E4"/>
    <w:rsid w:val="00045AE7"/>
    <w:rsid w:val="000510AB"/>
    <w:rsid w:val="00055668"/>
    <w:rsid w:val="00055AF1"/>
    <w:rsid w:val="000565DC"/>
    <w:rsid w:val="00063A8D"/>
    <w:rsid w:val="00064AE3"/>
    <w:rsid w:val="00066524"/>
    <w:rsid w:val="00067332"/>
    <w:rsid w:val="00070CD1"/>
    <w:rsid w:val="00070DD6"/>
    <w:rsid w:val="0007171B"/>
    <w:rsid w:val="00081D05"/>
    <w:rsid w:val="000876A0"/>
    <w:rsid w:val="00087CF7"/>
    <w:rsid w:val="0009273D"/>
    <w:rsid w:val="00094876"/>
    <w:rsid w:val="00095912"/>
    <w:rsid w:val="00095CE0"/>
    <w:rsid w:val="000965F7"/>
    <w:rsid w:val="000965FC"/>
    <w:rsid w:val="00096933"/>
    <w:rsid w:val="00097230"/>
    <w:rsid w:val="000A09BE"/>
    <w:rsid w:val="000A457E"/>
    <w:rsid w:val="000A521D"/>
    <w:rsid w:val="000A549A"/>
    <w:rsid w:val="000A55BD"/>
    <w:rsid w:val="000A72F2"/>
    <w:rsid w:val="000B0C56"/>
    <w:rsid w:val="000B3274"/>
    <w:rsid w:val="000B3E43"/>
    <w:rsid w:val="000C11E0"/>
    <w:rsid w:val="000C1723"/>
    <w:rsid w:val="000C1B20"/>
    <w:rsid w:val="000C4107"/>
    <w:rsid w:val="000C41AE"/>
    <w:rsid w:val="000C45E7"/>
    <w:rsid w:val="000C6832"/>
    <w:rsid w:val="000C6876"/>
    <w:rsid w:val="000C7596"/>
    <w:rsid w:val="000D01F4"/>
    <w:rsid w:val="000D121F"/>
    <w:rsid w:val="000D123A"/>
    <w:rsid w:val="000D1519"/>
    <w:rsid w:val="000D669E"/>
    <w:rsid w:val="000E1F7C"/>
    <w:rsid w:val="000E3B88"/>
    <w:rsid w:val="000E3F11"/>
    <w:rsid w:val="000E4456"/>
    <w:rsid w:val="000F175F"/>
    <w:rsid w:val="000F17D1"/>
    <w:rsid w:val="000F60FF"/>
    <w:rsid w:val="000F635F"/>
    <w:rsid w:val="000F6C61"/>
    <w:rsid w:val="00100A7C"/>
    <w:rsid w:val="00100C12"/>
    <w:rsid w:val="001049B6"/>
    <w:rsid w:val="001051C6"/>
    <w:rsid w:val="0010694D"/>
    <w:rsid w:val="0011177A"/>
    <w:rsid w:val="00112E27"/>
    <w:rsid w:val="0011345C"/>
    <w:rsid w:val="00114B31"/>
    <w:rsid w:val="00116E31"/>
    <w:rsid w:val="00120EAF"/>
    <w:rsid w:val="00120FAF"/>
    <w:rsid w:val="0012150F"/>
    <w:rsid w:val="00121683"/>
    <w:rsid w:val="0012304E"/>
    <w:rsid w:val="00123B10"/>
    <w:rsid w:val="001248EF"/>
    <w:rsid w:val="001257C7"/>
    <w:rsid w:val="00126DDF"/>
    <w:rsid w:val="001270BF"/>
    <w:rsid w:val="00127BAC"/>
    <w:rsid w:val="001326FC"/>
    <w:rsid w:val="00142A56"/>
    <w:rsid w:val="00143B45"/>
    <w:rsid w:val="00144DF5"/>
    <w:rsid w:val="00145A97"/>
    <w:rsid w:val="00146485"/>
    <w:rsid w:val="00150AD6"/>
    <w:rsid w:val="001542CC"/>
    <w:rsid w:val="00154ADA"/>
    <w:rsid w:val="0015531A"/>
    <w:rsid w:val="0016041C"/>
    <w:rsid w:val="00163B27"/>
    <w:rsid w:val="00165317"/>
    <w:rsid w:val="00171BAD"/>
    <w:rsid w:val="00172B84"/>
    <w:rsid w:val="001756A1"/>
    <w:rsid w:val="001761EE"/>
    <w:rsid w:val="00176EAA"/>
    <w:rsid w:val="0017725A"/>
    <w:rsid w:val="00177C4B"/>
    <w:rsid w:val="00180BBB"/>
    <w:rsid w:val="0018325A"/>
    <w:rsid w:val="00184DA0"/>
    <w:rsid w:val="00186199"/>
    <w:rsid w:val="0018734E"/>
    <w:rsid w:val="001928F7"/>
    <w:rsid w:val="00194537"/>
    <w:rsid w:val="00194F40"/>
    <w:rsid w:val="00196CE2"/>
    <w:rsid w:val="001A21A9"/>
    <w:rsid w:val="001A59D8"/>
    <w:rsid w:val="001A5FA6"/>
    <w:rsid w:val="001A7932"/>
    <w:rsid w:val="001B28D0"/>
    <w:rsid w:val="001B2F0C"/>
    <w:rsid w:val="001C37F6"/>
    <w:rsid w:val="001C46E1"/>
    <w:rsid w:val="001C5C03"/>
    <w:rsid w:val="001C6288"/>
    <w:rsid w:val="001C7D5D"/>
    <w:rsid w:val="001D0F6A"/>
    <w:rsid w:val="001D1356"/>
    <w:rsid w:val="001D21BC"/>
    <w:rsid w:val="001D2AF9"/>
    <w:rsid w:val="001D2FA5"/>
    <w:rsid w:val="001D3187"/>
    <w:rsid w:val="001D35E0"/>
    <w:rsid w:val="001D369F"/>
    <w:rsid w:val="001D4F52"/>
    <w:rsid w:val="001D5045"/>
    <w:rsid w:val="001D5A44"/>
    <w:rsid w:val="001D724B"/>
    <w:rsid w:val="001E11D3"/>
    <w:rsid w:val="001E227F"/>
    <w:rsid w:val="001E2A6A"/>
    <w:rsid w:val="001E3DC2"/>
    <w:rsid w:val="001E4ABC"/>
    <w:rsid w:val="001E56FF"/>
    <w:rsid w:val="001E5C6B"/>
    <w:rsid w:val="001F03E1"/>
    <w:rsid w:val="001F0629"/>
    <w:rsid w:val="001F26C1"/>
    <w:rsid w:val="001F3C28"/>
    <w:rsid w:val="001F3CC6"/>
    <w:rsid w:val="001F4530"/>
    <w:rsid w:val="002010DE"/>
    <w:rsid w:val="00202968"/>
    <w:rsid w:val="00202C32"/>
    <w:rsid w:val="00203AEF"/>
    <w:rsid w:val="00205344"/>
    <w:rsid w:val="00206F8C"/>
    <w:rsid w:val="00211A26"/>
    <w:rsid w:val="002125F7"/>
    <w:rsid w:val="00214463"/>
    <w:rsid w:val="00214756"/>
    <w:rsid w:val="002149AE"/>
    <w:rsid w:val="00215CF2"/>
    <w:rsid w:val="00221174"/>
    <w:rsid w:val="0022166D"/>
    <w:rsid w:val="002224FF"/>
    <w:rsid w:val="00222E8C"/>
    <w:rsid w:val="002236BC"/>
    <w:rsid w:val="00223DBB"/>
    <w:rsid w:val="00225051"/>
    <w:rsid w:val="002273CA"/>
    <w:rsid w:val="00232846"/>
    <w:rsid w:val="00233B7F"/>
    <w:rsid w:val="002347A7"/>
    <w:rsid w:val="002359EB"/>
    <w:rsid w:val="002363AB"/>
    <w:rsid w:val="0024260D"/>
    <w:rsid w:val="00245012"/>
    <w:rsid w:val="0024504E"/>
    <w:rsid w:val="0024651F"/>
    <w:rsid w:val="0025158D"/>
    <w:rsid w:val="0025281A"/>
    <w:rsid w:val="00253D3C"/>
    <w:rsid w:val="00254F37"/>
    <w:rsid w:val="00255292"/>
    <w:rsid w:val="00256097"/>
    <w:rsid w:val="00256156"/>
    <w:rsid w:val="00260200"/>
    <w:rsid w:val="00261DB3"/>
    <w:rsid w:val="002648D8"/>
    <w:rsid w:val="002655D4"/>
    <w:rsid w:val="00265865"/>
    <w:rsid w:val="00267D54"/>
    <w:rsid w:val="002711AA"/>
    <w:rsid w:val="00273F86"/>
    <w:rsid w:val="002758B5"/>
    <w:rsid w:val="00276834"/>
    <w:rsid w:val="002774F0"/>
    <w:rsid w:val="00280566"/>
    <w:rsid w:val="0028114A"/>
    <w:rsid w:val="00281DBD"/>
    <w:rsid w:val="00284519"/>
    <w:rsid w:val="0028459B"/>
    <w:rsid w:val="00284C5F"/>
    <w:rsid w:val="00285ABF"/>
    <w:rsid w:val="002873F0"/>
    <w:rsid w:val="00291151"/>
    <w:rsid w:val="002964F9"/>
    <w:rsid w:val="00297B13"/>
    <w:rsid w:val="00297E05"/>
    <w:rsid w:val="00297E9F"/>
    <w:rsid w:val="002A0FA2"/>
    <w:rsid w:val="002A1F14"/>
    <w:rsid w:val="002A2678"/>
    <w:rsid w:val="002A2E01"/>
    <w:rsid w:val="002A398F"/>
    <w:rsid w:val="002A530F"/>
    <w:rsid w:val="002A5C6B"/>
    <w:rsid w:val="002A5D31"/>
    <w:rsid w:val="002A714F"/>
    <w:rsid w:val="002B14C2"/>
    <w:rsid w:val="002B1851"/>
    <w:rsid w:val="002B250D"/>
    <w:rsid w:val="002B27FF"/>
    <w:rsid w:val="002B3A0A"/>
    <w:rsid w:val="002B4320"/>
    <w:rsid w:val="002B6793"/>
    <w:rsid w:val="002C042C"/>
    <w:rsid w:val="002C1726"/>
    <w:rsid w:val="002C21A6"/>
    <w:rsid w:val="002C2678"/>
    <w:rsid w:val="002C26D5"/>
    <w:rsid w:val="002C5777"/>
    <w:rsid w:val="002D31BB"/>
    <w:rsid w:val="002D32E3"/>
    <w:rsid w:val="002D6955"/>
    <w:rsid w:val="002E0FEB"/>
    <w:rsid w:val="002E6899"/>
    <w:rsid w:val="002F0F79"/>
    <w:rsid w:val="002F2234"/>
    <w:rsid w:val="002F2713"/>
    <w:rsid w:val="002F280E"/>
    <w:rsid w:val="002F3709"/>
    <w:rsid w:val="002F3A6C"/>
    <w:rsid w:val="002F4296"/>
    <w:rsid w:val="00300951"/>
    <w:rsid w:val="00302CA8"/>
    <w:rsid w:val="00302DE9"/>
    <w:rsid w:val="00304106"/>
    <w:rsid w:val="00304E5A"/>
    <w:rsid w:val="00304E97"/>
    <w:rsid w:val="00305084"/>
    <w:rsid w:val="0031104D"/>
    <w:rsid w:val="00311094"/>
    <w:rsid w:val="0031598C"/>
    <w:rsid w:val="00316339"/>
    <w:rsid w:val="003204E9"/>
    <w:rsid w:val="00321E8C"/>
    <w:rsid w:val="00322A5E"/>
    <w:rsid w:val="00322A86"/>
    <w:rsid w:val="00323AE8"/>
    <w:rsid w:val="00324548"/>
    <w:rsid w:val="003251F4"/>
    <w:rsid w:val="003303E3"/>
    <w:rsid w:val="00332937"/>
    <w:rsid w:val="003329EA"/>
    <w:rsid w:val="0033649D"/>
    <w:rsid w:val="003371D0"/>
    <w:rsid w:val="003376D5"/>
    <w:rsid w:val="003407A5"/>
    <w:rsid w:val="00341188"/>
    <w:rsid w:val="0034147B"/>
    <w:rsid w:val="00345F56"/>
    <w:rsid w:val="00350238"/>
    <w:rsid w:val="003508B0"/>
    <w:rsid w:val="0035109C"/>
    <w:rsid w:val="00351F0A"/>
    <w:rsid w:val="003526A6"/>
    <w:rsid w:val="0035432B"/>
    <w:rsid w:val="00356D17"/>
    <w:rsid w:val="003570F4"/>
    <w:rsid w:val="0035750F"/>
    <w:rsid w:val="00361E7E"/>
    <w:rsid w:val="00363E15"/>
    <w:rsid w:val="00370AA4"/>
    <w:rsid w:val="00371FF4"/>
    <w:rsid w:val="0037337F"/>
    <w:rsid w:val="003745DA"/>
    <w:rsid w:val="0037468D"/>
    <w:rsid w:val="00375147"/>
    <w:rsid w:val="00376A15"/>
    <w:rsid w:val="00376E96"/>
    <w:rsid w:val="00377520"/>
    <w:rsid w:val="00380D36"/>
    <w:rsid w:val="00380FB5"/>
    <w:rsid w:val="003822D3"/>
    <w:rsid w:val="00386630"/>
    <w:rsid w:val="00390B25"/>
    <w:rsid w:val="00395BC9"/>
    <w:rsid w:val="00396E32"/>
    <w:rsid w:val="00397156"/>
    <w:rsid w:val="00397616"/>
    <w:rsid w:val="00397960"/>
    <w:rsid w:val="003A30B8"/>
    <w:rsid w:val="003A3993"/>
    <w:rsid w:val="003A3BC4"/>
    <w:rsid w:val="003A458A"/>
    <w:rsid w:val="003B2F13"/>
    <w:rsid w:val="003B405E"/>
    <w:rsid w:val="003B57D3"/>
    <w:rsid w:val="003C1F58"/>
    <w:rsid w:val="003C66C3"/>
    <w:rsid w:val="003C6BB7"/>
    <w:rsid w:val="003C792F"/>
    <w:rsid w:val="003D0053"/>
    <w:rsid w:val="003D124B"/>
    <w:rsid w:val="003D18F3"/>
    <w:rsid w:val="003D78B5"/>
    <w:rsid w:val="003E244F"/>
    <w:rsid w:val="003E6203"/>
    <w:rsid w:val="003E62A6"/>
    <w:rsid w:val="003E695F"/>
    <w:rsid w:val="003E6C9B"/>
    <w:rsid w:val="003E709C"/>
    <w:rsid w:val="003E7B89"/>
    <w:rsid w:val="003F0275"/>
    <w:rsid w:val="003F06B1"/>
    <w:rsid w:val="003F4241"/>
    <w:rsid w:val="003F59C4"/>
    <w:rsid w:val="003F7C45"/>
    <w:rsid w:val="0040132C"/>
    <w:rsid w:val="00401FEA"/>
    <w:rsid w:val="004027BA"/>
    <w:rsid w:val="0040469F"/>
    <w:rsid w:val="00405085"/>
    <w:rsid w:val="0040617F"/>
    <w:rsid w:val="004061D9"/>
    <w:rsid w:val="004066FC"/>
    <w:rsid w:val="00407C10"/>
    <w:rsid w:val="004113B4"/>
    <w:rsid w:val="00414827"/>
    <w:rsid w:val="00416C10"/>
    <w:rsid w:val="00420007"/>
    <w:rsid w:val="00421C77"/>
    <w:rsid w:val="00424EF3"/>
    <w:rsid w:val="004261BD"/>
    <w:rsid w:val="004268BB"/>
    <w:rsid w:val="00431047"/>
    <w:rsid w:val="00431B86"/>
    <w:rsid w:val="004339D9"/>
    <w:rsid w:val="004408EC"/>
    <w:rsid w:val="00440E5F"/>
    <w:rsid w:val="00441E6A"/>
    <w:rsid w:val="00443C8F"/>
    <w:rsid w:val="0045214F"/>
    <w:rsid w:val="00452481"/>
    <w:rsid w:val="004567C5"/>
    <w:rsid w:val="00457804"/>
    <w:rsid w:val="00462B61"/>
    <w:rsid w:val="00464283"/>
    <w:rsid w:val="004646BF"/>
    <w:rsid w:val="00464744"/>
    <w:rsid w:val="004665E3"/>
    <w:rsid w:val="00466B17"/>
    <w:rsid w:val="004705EB"/>
    <w:rsid w:val="004721EF"/>
    <w:rsid w:val="004731F1"/>
    <w:rsid w:val="004745CC"/>
    <w:rsid w:val="00477111"/>
    <w:rsid w:val="0047798A"/>
    <w:rsid w:val="00480BC8"/>
    <w:rsid w:val="00481265"/>
    <w:rsid w:val="004814BF"/>
    <w:rsid w:val="00482956"/>
    <w:rsid w:val="0048587E"/>
    <w:rsid w:val="00487C2B"/>
    <w:rsid w:val="0049297D"/>
    <w:rsid w:val="004929F2"/>
    <w:rsid w:val="004958BE"/>
    <w:rsid w:val="00495A03"/>
    <w:rsid w:val="0049659A"/>
    <w:rsid w:val="004966FE"/>
    <w:rsid w:val="00497079"/>
    <w:rsid w:val="00497E38"/>
    <w:rsid w:val="004A0BD6"/>
    <w:rsid w:val="004A1493"/>
    <w:rsid w:val="004A1BBA"/>
    <w:rsid w:val="004A3039"/>
    <w:rsid w:val="004A3E3C"/>
    <w:rsid w:val="004A7FBA"/>
    <w:rsid w:val="004B0E6D"/>
    <w:rsid w:val="004B16E8"/>
    <w:rsid w:val="004B254D"/>
    <w:rsid w:val="004B327C"/>
    <w:rsid w:val="004B38A1"/>
    <w:rsid w:val="004B3F56"/>
    <w:rsid w:val="004B6250"/>
    <w:rsid w:val="004B76B1"/>
    <w:rsid w:val="004C0057"/>
    <w:rsid w:val="004C0541"/>
    <w:rsid w:val="004C05F3"/>
    <w:rsid w:val="004C2C46"/>
    <w:rsid w:val="004C52A1"/>
    <w:rsid w:val="004C7235"/>
    <w:rsid w:val="004C7955"/>
    <w:rsid w:val="004C7C9D"/>
    <w:rsid w:val="004D047F"/>
    <w:rsid w:val="004D3971"/>
    <w:rsid w:val="004D3D96"/>
    <w:rsid w:val="004D650F"/>
    <w:rsid w:val="004E2133"/>
    <w:rsid w:val="004E60FB"/>
    <w:rsid w:val="004F16AD"/>
    <w:rsid w:val="004F6565"/>
    <w:rsid w:val="004F779C"/>
    <w:rsid w:val="004F7846"/>
    <w:rsid w:val="005000D4"/>
    <w:rsid w:val="00501BB1"/>
    <w:rsid w:val="00505BE7"/>
    <w:rsid w:val="00506786"/>
    <w:rsid w:val="00506D57"/>
    <w:rsid w:val="00507F26"/>
    <w:rsid w:val="00510CAF"/>
    <w:rsid w:val="005128C5"/>
    <w:rsid w:val="0051478B"/>
    <w:rsid w:val="0051566A"/>
    <w:rsid w:val="00515D7B"/>
    <w:rsid w:val="005166E9"/>
    <w:rsid w:val="0052009E"/>
    <w:rsid w:val="00521EDE"/>
    <w:rsid w:val="00525E59"/>
    <w:rsid w:val="005318CC"/>
    <w:rsid w:val="00532FD8"/>
    <w:rsid w:val="005346F1"/>
    <w:rsid w:val="005349B1"/>
    <w:rsid w:val="005374BC"/>
    <w:rsid w:val="00543367"/>
    <w:rsid w:val="00543BFA"/>
    <w:rsid w:val="0054649D"/>
    <w:rsid w:val="00547D9C"/>
    <w:rsid w:val="00547DA1"/>
    <w:rsid w:val="00550511"/>
    <w:rsid w:val="0055513C"/>
    <w:rsid w:val="00560C94"/>
    <w:rsid w:val="0056291C"/>
    <w:rsid w:val="00565A63"/>
    <w:rsid w:val="00566588"/>
    <w:rsid w:val="00571BD3"/>
    <w:rsid w:val="0057275D"/>
    <w:rsid w:val="005749DF"/>
    <w:rsid w:val="005800A9"/>
    <w:rsid w:val="00580488"/>
    <w:rsid w:val="0058074D"/>
    <w:rsid w:val="005827A3"/>
    <w:rsid w:val="00582FAD"/>
    <w:rsid w:val="00583489"/>
    <w:rsid w:val="005837E4"/>
    <w:rsid w:val="00584F63"/>
    <w:rsid w:val="00587B92"/>
    <w:rsid w:val="005908C0"/>
    <w:rsid w:val="00590FE4"/>
    <w:rsid w:val="005914B6"/>
    <w:rsid w:val="00591D9C"/>
    <w:rsid w:val="00592EFF"/>
    <w:rsid w:val="00597057"/>
    <w:rsid w:val="00597D8B"/>
    <w:rsid w:val="005A128A"/>
    <w:rsid w:val="005A140B"/>
    <w:rsid w:val="005A1C30"/>
    <w:rsid w:val="005A2929"/>
    <w:rsid w:val="005A2C00"/>
    <w:rsid w:val="005A3295"/>
    <w:rsid w:val="005A44E4"/>
    <w:rsid w:val="005A46FF"/>
    <w:rsid w:val="005A6BFC"/>
    <w:rsid w:val="005A704A"/>
    <w:rsid w:val="005B011E"/>
    <w:rsid w:val="005B2E84"/>
    <w:rsid w:val="005B3103"/>
    <w:rsid w:val="005B6A74"/>
    <w:rsid w:val="005B6AC7"/>
    <w:rsid w:val="005B6CA6"/>
    <w:rsid w:val="005B7B0E"/>
    <w:rsid w:val="005C5409"/>
    <w:rsid w:val="005C69AC"/>
    <w:rsid w:val="005C722E"/>
    <w:rsid w:val="005C7FD4"/>
    <w:rsid w:val="005D01A4"/>
    <w:rsid w:val="005D45B3"/>
    <w:rsid w:val="005D4CEB"/>
    <w:rsid w:val="005E0EAB"/>
    <w:rsid w:val="005E2501"/>
    <w:rsid w:val="005E64DA"/>
    <w:rsid w:val="005F04E6"/>
    <w:rsid w:val="005F43B9"/>
    <w:rsid w:val="005F58F9"/>
    <w:rsid w:val="005F68CB"/>
    <w:rsid w:val="005F7085"/>
    <w:rsid w:val="005F79F9"/>
    <w:rsid w:val="00602ACD"/>
    <w:rsid w:val="006033E3"/>
    <w:rsid w:val="00605748"/>
    <w:rsid w:val="00610C82"/>
    <w:rsid w:val="0061321C"/>
    <w:rsid w:val="0062145B"/>
    <w:rsid w:val="00623556"/>
    <w:rsid w:val="0062386E"/>
    <w:rsid w:val="00623F01"/>
    <w:rsid w:val="00624407"/>
    <w:rsid w:val="00626E2D"/>
    <w:rsid w:val="00627D94"/>
    <w:rsid w:val="00630B42"/>
    <w:rsid w:val="00630D76"/>
    <w:rsid w:val="0063181A"/>
    <w:rsid w:val="00637258"/>
    <w:rsid w:val="00642072"/>
    <w:rsid w:val="006440ED"/>
    <w:rsid w:val="00645293"/>
    <w:rsid w:val="00646237"/>
    <w:rsid w:val="00651B78"/>
    <w:rsid w:val="00652263"/>
    <w:rsid w:val="00652881"/>
    <w:rsid w:val="0065601A"/>
    <w:rsid w:val="00656776"/>
    <w:rsid w:val="00661974"/>
    <w:rsid w:val="00662D4B"/>
    <w:rsid w:val="00664551"/>
    <w:rsid w:val="00664F49"/>
    <w:rsid w:val="006658FA"/>
    <w:rsid w:val="006669C9"/>
    <w:rsid w:val="0066726C"/>
    <w:rsid w:val="006674BD"/>
    <w:rsid w:val="006676A0"/>
    <w:rsid w:val="00670857"/>
    <w:rsid w:val="00671124"/>
    <w:rsid w:val="006727B0"/>
    <w:rsid w:val="0067307E"/>
    <w:rsid w:val="00686EC0"/>
    <w:rsid w:val="00687AD5"/>
    <w:rsid w:val="00691153"/>
    <w:rsid w:val="00695251"/>
    <w:rsid w:val="00695ADE"/>
    <w:rsid w:val="00695C0D"/>
    <w:rsid w:val="00696356"/>
    <w:rsid w:val="006A1DAE"/>
    <w:rsid w:val="006A2C8E"/>
    <w:rsid w:val="006A42D6"/>
    <w:rsid w:val="006A72C6"/>
    <w:rsid w:val="006B02DA"/>
    <w:rsid w:val="006B077E"/>
    <w:rsid w:val="006B1FD1"/>
    <w:rsid w:val="006B2065"/>
    <w:rsid w:val="006B2F2B"/>
    <w:rsid w:val="006B3940"/>
    <w:rsid w:val="006B47D1"/>
    <w:rsid w:val="006C0411"/>
    <w:rsid w:val="006C124D"/>
    <w:rsid w:val="006C168D"/>
    <w:rsid w:val="006C1D52"/>
    <w:rsid w:val="006C4E16"/>
    <w:rsid w:val="006C55C8"/>
    <w:rsid w:val="006C5E36"/>
    <w:rsid w:val="006C642C"/>
    <w:rsid w:val="006C6FC6"/>
    <w:rsid w:val="006D00D5"/>
    <w:rsid w:val="006E34B7"/>
    <w:rsid w:val="006F4CD8"/>
    <w:rsid w:val="00700B57"/>
    <w:rsid w:val="00701F44"/>
    <w:rsid w:val="00703E8A"/>
    <w:rsid w:val="007058F8"/>
    <w:rsid w:val="00706F31"/>
    <w:rsid w:val="00710335"/>
    <w:rsid w:val="00711522"/>
    <w:rsid w:val="007124FE"/>
    <w:rsid w:val="00713186"/>
    <w:rsid w:val="00713757"/>
    <w:rsid w:val="00717772"/>
    <w:rsid w:val="00721AF1"/>
    <w:rsid w:val="0072280F"/>
    <w:rsid w:val="00722B5E"/>
    <w:rsid w:val="00724B09"/>
    <w:rsid w:val="0072708F"/>
    <w:rsid w:val="00730500"/>
    <w:rsid w:val="00732D1D"/>
    <w:rsid w:val="00736034"/>
    <w:rsid w:val="00736479"/>
    <w:rsid w:val="0073681C"/>
    <w:rsid w:val="00741EBE"/>
    <w:rsid w:val="00746130"/>
    <w:rsid w:val="00746A40"/>
    <w:rsid w:val="00750358"/>
    <w:rsid w:val="007513AC"/>
    <w:rsid w:val="00751763"/>
    <w:rsid w:val="00755CDF"/>
    <w:rsid w:val="00757A4C"/>
    <w:rsid w:val="0076093C"/>
    <w:rsid w:val="00763925"/>
    <w:rsid w:val="00764A94"/>
    <w:rsid w:val="0076518F"/>
    <w:rsid w:val="007651E5"/>
    <w:rsid w:val="007670DC"/>
    <w:rsid w:val="0077111A"/>
    <w:rsid w:val="00772721"/>
    <w:rsid w:val="007756ED"/>
    <w:rsid w:val="007870FC"/>
    <w:rsid w:val="00787CD0"/>
    <w:rsid w:val="00791053"/>
    <w:rsid w:val="00791A3A"/>
    <w:rsid w:val="00791BB9"/>
    <w:rsid w:val="00794196"/>
    <w:rsid w:val="00794251"/>
    <w:rsid w:val="00796EC9"/>
    <w:rsid w:val="00797637"/>
    <w:rsid w:val="00797DD2"/>
    <w:rsid w:val="007A13C1"/>
    <w:rsid w:val="007A3680"/>
    <w:rsid w:val="007A59B8"/>
    <w:rsid w:val="007A75F5"/>
    <w:rsid w:val="007B2862"/>
    <w:rsid w:val="007B662A"/>
    <w:rsid w:val="007B73ED"/>
    <w:rsid w:val="007D1292"/>
    <w:rsid w:val="007D28C9"/>
    <w:rsid w:val="007D3CC8"/>
    <w:rsid w:val="007D5584"/>
    <w:rsid w:val="007D62A3"/>
    <w:rsid w:val="007D62F9"/>
    <w:rsid w:val="007D63A4"/>
    <w:rsid w:val="007E1AA2"/>
    <w:rsid w:val="007E303C"/>
    <w:rsid w:val="007E4C1F"/>
    <w:rsid w:val="007F0759"/>
    <w:rsid w:val="007F25C0"/>
    <w:rsid w:val="007F26D5"/>
    <w:rsid w:val="007F5F52"/>
    <w:rsid w:val="007F768B"/>
    <w:rsid w:val="007F77C6"/>
    <w:rsid w:val="008003A1"/>
    <w:rsid w:val="008006B7"/>
    <w:rsid w:val="00800FDB"/>
    <w:rsid w:val="00802081"/>
    <w:rsid w:val="00806461"/>
    <w:rsid w:val="0081096D"/>
    <w:rsid w:val="00810EAD"/>
    <w:rsid w:val="00811833"/>
    <w:rsid w:val="008118B6"/>
    <w:rsid w:val="008174D4"/>
    <w:rsid w:val="00820FE6"/>
    <w:rsid w:val="00821A66"/>
    <w:rsid w:val="00822476"/>
    <w:rsid w:val="00822882"/>
    <w:rsid w:val="00825F68"/>
    <w:rsid w:val="00826B12"/>
    <w:rsid w:val="008277FF"/>
    <w:rsid w:val="00835408"/>
    <w:rsid w:val="00837CEF"/>
    <w:rsid w:val="00840035"/>
    <w:rsid w:val="008428A9"/>
    <w:rsid w:val="00844112"/>
    <w:rsid w:val="00844929"/>
    <w:rsid w:val="00845292"/>
    <w:rsid w:val="008456C9"/>
    <w:rsid w:val="0084611D"/>
    <w:rsid w:val="00850C62"/>
    <w:rsid w:val="00852E6D"/>
    <w:rsid w:val="00861D07"/>
    <w:rsid w:val="008620ED"/>
    <w:rsid w:val="00863011"/>
    <w:rsid w:val="00865075"/>
    <w:rsid w:val="008673EE"/>
    <w:rsid w:val="0086748F"/>
    <w:rsid w:val="00867510"/>
    <w:rsid w:val="008712A3"/>
    <w:rsid w:val="00871E07"/>
    <w:rsid w:val="00872CE4"/>
    <w:rsid w:val="00877B62"/>
    <w:rsid w:val="00877D98"/>
    <w:rsid w:val="00881015"/>
    <w:rsid w:val="008810B0"/>
    <w:rsid w:val="00881617"/>
    <w:rsid w:val="008819B6"/>
    <w:rsid w:val="00881AAC"/>
    <w:rsid w:val="0088256A"/>
    <w:rsid w:val="008836B7"/>
    <w:rsid w:val="008841D3"/>
    <w:rsid w:val="00884359"/>
    <w:rsid w:val="00887DE6"/>
    <w:rsid w:val="00890172"/>
    <w:rsid w:val="008911D2"/>
    <w:rsid w:val="00893048"/>
    <w:rsid w:val="00894C2A"/>
    <w:rsid w:val="008975BC"/>
    <w:rsid w:val="00897708"/>
    <w:rsid w:val="00897D88"/>
    <w:rsid w:val="00897E6F"/>
    <w:rsid w:val="008A0777"/>
    <w:rsid w:val="008A2EC6"/>
    <w:rsid w:val="008A2F16"/>
    <w:rsid w:val="008A6D69"/>
    <w:rsid w:val="008A75CA"/>
    <w:rsid w:val="008B0A73"/>
    <w:rsid w:val="008B1823"/>
    <w:rsid w:val="008B2C17"/>
    <w:rsid w:val="008B2EAD"/>
    <w:rsid w:val="008B6A4A"/>
    <w:rsid w:val="008B6E16"/>
    <w:rsid w:val="008B7110"/>
    <w:rsid w:val="008C2029"/>
    <w:rsid w:val="008C503E"/>
    <w:rsid w:val="008C50F5"/>
    <w:rsid w:val="008C61D6"/>
    <w:rsid w:val="008C64F1"/>
    <w:rsid w:val="008C71EB"/>
    <w:rsid w:val="008C761C"/>
    <w:rsid w:val="008D1BB0"/>
    <w:rsid w:val="008D20FF"/>
    <w:rsid w:val="008D36E4"/>
    <w:rsid w:val="008D3DE6"/>
    <w:rsid w:val="008D4223"/>
    <w:rsid w:val="008D44CC"/>
    <w:rsid w:val="008D46E3"/>
    <w:rsid w:val="008D49A6"/>
    <w:rsid w:val="008D52CA"/>
    <w:rsid w:val="008D6709"/>
    <w:rsid w:val="008D74B6"/>
    <w:rsid w:val="008E083A"/>
    <w:rsid w:val="008E2450"/>
    <w:rsid w:val="008E7896"/>
    <w:rsid w:val="008E7D2D"/>
    <w:rsid w:val="008F2477"/>
    <w:rsid w:val="008F7815"/>
    <w:rsid w:val="00900F02"/>
    <w:rsid w:val="009010F0"/>
    <w:rsid w:val="00901162"/>
    <w:rsid w:val="0090223A"/>
    <w:rsid w:val="009028E2"/>
    <w:rsid w:val="00914EAB"/>
    <w:rsid w:val="00920F85"/>
    <w:rsid w:val="00922D49"/>
    <w:rsid w:val="0092502E"/>
    <w:rsid w:val="00925E37"/>
    <w:rsid w:val="00925EDD"/>
    <w:rsid w:val="00927D0E"/>
    <w:rsid w:val="009309DA"/>
    <w:rsid w:val="0093260B"/>
    <w:rsid w:val="00936688"/>
    <w:rsid w:val="00936891"/>
    <w:rsid w:val="00937CFA"/>
    <w:rsid w:val="009406B3"/>
    <w:rsid w:val="00943C27"/>
    <w:rsid w:val="00945CF5"/>
    <w:rsid w:val="009500A1"/>
    <w:rsid w:val="0095037E"/>
    <w:rsid w:val="00952AAD"/>
    <w:rsid w:val="00954567"/>
    <w:rsid w:val="00957466"/>
    <w:rsid w:val="0096260B"/>
    <w:rsid w:val="009664D5"/>
    <w:rsid w:val="00970C69"/>
    <w:rsid w:val="00971F1C"/>
    <w:rsid w:val="0097211D"/>
    <w:rsid w:val="00972E10"/>
    <w:rsid w:val="009746CA"/>
    <w:rsid w:val="009779FD"/>
    <w:rsid w:val="00981963"/>
    <w:rsid w:val="00983C82"/>
    <w:rsid w:val="00984520"/>
    <w:rsid w:val="00984792"/>
    <w:rsid w:val="0098545C"/>
    <w:rsid w:val="00985BF7"/>
    <w:rsid w:val="00990071"/>
    <w:rsid w:val="00991EA9"/>
    <w:rsid w:val="00992BA2"/>
    <w:rsid w:val="00992F83"/>
    <w:rsid w:val="00993250"/>
    <w:rsid w:val="00993D1A"/>
    <w:rsid w:val="0099508A"/>
    <w:rsid w:val="009974EB"/>
    <w:rsid w:val="009A1126"/>
    <w:rsid w:val="009A5E42"/>
    <w:rsid w:val="009A781F"/>
    <w:rsid w:val="009B1584"/>
    <w:rsid w:val="009B21CA"/>
    <w:rsid w:val="009B2235"/>
    <w:rsid w:val="009B2648"/>
    <w:rsid w:val="009C03E5"/>
    <w:rsid w:val="009C3730"/>
    <w:rsid w:val="009C37BD"/>
    <w:rsid w:val="009C3AAC"/>
    <w:rsid w:val="009C3D84"/>
    <w:rsid w:val="009C4D19"/>
    <w:rsid w:val="009C5134"/>
    <w:rsid w:val="009C5FDB"/>
    <w:rsid w:val="009C693E"/>
    <w:rsid w:val="009C70CB"/>
    <w:rsid w:val="009C77A0"/>
    <w:rsid w:val="009D1EA4"/>
    <w:rsid w:val="009D27AA"/>
    <w:rsid w:val="009D4991"/>
    <w:rsid w:val="009D5BB5"/>
    <w:rsid w:val="009D696D"/>
    <w:rsid w:val="009D6DAB"/>
    <w:rsid w:val="009D6ED2"/>
    <w:rsid w:val="009E0F1A"/>
    <w:rsid w:val="009E140D"/>
    <w:rsid w:val="009E1E55"/>
    <w:rsid w:val="009E3391"/>
    <w:rsid w:val="009E4465"/>
    <w:rsid w:val="009E6401"/>
    <w:rsid w:val="009E6C54"/>
    <w:rsid w:val="009E6D44"/>
    <w:rsid w:val="009F2A25"/>
    <w:rsid w:val="009F5235"/>
    <w:rsid w:val="009F531A"/>
    <w:rsid w:val="009F6550"/>
    <w:rsid w:val="009F786E"/>
    <w:rsid w:val="00A00902"/>
    <w:rsid w:val="00A039FF"/>
    <w:rsid w:val="00A05ACE"/>
    <w:rsid w:val="00A10A9C"/>
    <w:rsid w:val="00A14AE3"/>
    <w:rsid w:val="00A16675"/>
    <w:rsid w:val="00A22CD6"/>
    <w:rsid w:val="00A22D4B"/>
    <w:rsid w:val="00A234EC"/>
    <w:rsid w:val="00A2417A"/>
    <w:rsid w:val="00A27804"/>
    <w:rsid w:val="00A32FDA"/>
    <w:rsid w:val="00A35A8D"/>
    <w:rsid w:val="00A36AB5"/>
    <w:rsid w:val="00A37DDA"/>
    <w:rsid w:val="00A4111B"/>
    <w:rsid w:val="00A411D1"/>
    <w:rsid w:val="00A41566"/>
    <w:rsid w:val="00A421B6"/>
    <w:rsid w:val="00A43389"/>
    <w:rsid w:val="00A43C40"/>
    <w:rsid w:val="00A43E71"/>
    <w:rsid w:val="00A45753"/>
    <w:rsid w:val="00A47B15"/>
    <w:rsid w:val="00A47E47"/>
    <w:rsid w:val="00A5045F"/>
    <w:rsid w:val="00A52F84"/>
    <w:rsid w:val="00A56AA4"/>
    <w:rsid w:val="00A56B05"/>
    <w:rsid w:val="00A57678"/>
    <w:rsid w:val="00A60E2F"/>
    <w:rsid w:val="00A63127"/>
    <w:rsid w:val="00A63284"/>
    <w:rsid w:val="00A64CB8"/>
    <w:rsid w:val="00A67018"/>
    <w:rsid w:val="00A672F3"/>
    <w:rsid w:val="00A673DC"/>
    <w:rsid w:val="00A67563"/>
    <w:rsid w:val="00A7076E"/>
    <w:rsid w:val="00A707AE"/>
    <w:rsid w:val="00A709BE"/>
    <w:rsid w:val="00A70E23"/>
    <w:rsid w:val="00A7162E"/>
    <w:rsid w:val="00A72D71"/>
    <w:rsid w:val="00A75705"/>
    <w:rsid w:val="00A7634D"/>
    <w:rsid w:val="00A77C69"/>
    <w:rsid w:val="00A82C02"/>
    <w:rsid w:val="00A83953"/>
    <w:rsid w:val="00A840C5"/>
    <w:rsid w:val="00A903B6"/>
    <w:rsid w:val="00A90F4F"/>
    <w:rsid w:val="00A947AA"/>
    <w:rsid w:val="00A96748"/>
    <w:rsid w:val="00A96FD9"/>
    <w:rsid w:val="00AA1B53"/>
    <w:rsid w:val="00AA3556"/>
    <w:rsid w:val="00AA35FD"/>
    <w:rsid w:val="00AA3DB7"/>
    <w:rsid w:val="00AA72C6"/>
    <w:rsid w:val="00AA7F64"/>
    <w:rsid w:val="00AB23E1"/>
    <w:rsid w:val="00AB2DFA"/>
    <w:rsid w:val="00AB3012"/>
    <w:rsid w:val="00AB321C"/>
    <w:rsid w:val="00AB3DEF"/>
    <w:rsid w:val="00AB42E2"/>
    <w:rsid w:val="00AB688F"/>
    <w:rsid w:val="00AB75EA"/>
    <w:rsid w:val="00AB7AA2"/>
    <w:rsid w:val="00AC3EB9"/>
    <w:rsid w:val="00AC4BC1"/>
    <w:rsid w:val="00AC588F"/>
    <w:rsid w:val="00AC5E4B"/>
    <w:rsid w:val="00AD04BD"/>
    <w:rsid w:val="00AD1A03"/>
    <w:rsid w:val="00AD7214"/>
    <w:rsid w:val="00AE1066"/>
    <w:rsid w:val="00AE19D8"/>
    <w:rsid w:val="00AE4518"/>
    <w:rsid w:val="00AE5D7F"/>
    <w:rsid w:val="00AE79F0"/>
    <w:rsid w:val="00AE7D44"/>
    <w:rsid w:val="00AF4FE7"/>
    <w:rsid w:val="00AF6EC1"/>
    <w:rsid w:val="00AF7CF5"/>
    <w:rsid w:val="00B00331"/>
    <w:rsid w:val="00B0116D"/>
    <w:rsid w:val="00B01A80"/>
    <w:rsid w:val="00B07C27"/>
    <w:rsid w:val="00B10DE1"/>
    <w:rsid w:val="00B10FF8"/>
    <w:rsid w:val="00B111B9"/>
    <w:rsid w:val="00B203C4"/>
    <w:rsid w:val="00B22995"/>
    <w:rsid w:val="00B22A61"/>
    <w:rsid w:val="00B22E81"/>
    <w:rsid w:val="00B23996"/>
    <w:rsid w:val="00B23CB2"/>
    <w:rsid w:val="00B2561A"/>
    <w:rsid w:val="00B25A64"/>
    <w:rsid w:val="00B26B91"/>
    <w:rsid w:val="00B32AB3"/>
    <w:rsid w:val="00B34E7C"/>
    <w:rsid w:val="00B368EA"/>
    <w:rsid w:val="00B37EEF"/>
    <w:rsid w:val="00B43FC2"/>
    <w:rsid w:val="00B47485"/>
    <w:rsid w:val="00B518C3"/>
    <w:rsid w:val="00B55185"/>
    <w:rsid w:val="00B55EA7"/>
    <w:rsid w:val="00B61923"/>
    <w:rsid w:val="00B621D6"/>
    <w:rsid w:val="00B62914"/>
    <w:rsid w:val="00B65D6F"/>
    <w:rsid w:val="00B67552"/>
    <w:rsid w:val="00B67C23"/>
    <w:rsid w:val="00B75735"/>
    <w:rsid w:val="00B76B0F"/>
    <w:rsid w:val="00B77142"/>
    <w:rsid w:val="00B7766E"/>
    <w:rsid w:val="00B77F5A"/>
    <w:rsid w:val="00B80A2C"/>
    <w:rsid w:val="00B81F60"/>
    <w:rsid w:val="00B83F8E"/>
    <w:rsid w:val="00B841AC"/>
    <w:rsid w:val="00B865B0"/>
    <w:rsid w:val="00B90780"/>
    <w:rsid w:val="00B918B8"/>
    <w:rsid w:val="00B9240D"/>
    <w:rsid w:val="00B94BB8"/>
    <w:rsid w:val="00B94C15"/>
    <w:rsid w:val="00B95E5A"/>
    <w:rsid w:val="00BA22A8"/>
    <w:rsid w:val="00BA3E48"/>
    <w:rsid w:val="00BA5FB8"/>
    <w:rsid w:val="00BB1EB3"/>
    <w:rsid w:val="00BB2678"/>
    <w:rsid w:val="00BB531E"/>
    <w:rsid w:val="00BB5F3D"/>
    <w:rsid w:val="00BC040A"/>
    <w:rsid w:val="00BC2343"/>
    <w:rsid w:val="00BC5A18"/>
    <w:rsid w:val="00BC76D5"/>
    <w:rsid w:val="00BD18B8"/>
    <w:rsid w:val="00BD30C8"/>
    <w:rsid w:val="00BD31D1"/>
    <w:rsid w:val="00BD3EB4"/>
    <w:rsid w:val="00BD5C65"/>
    <w:rsid w:val="00BD7FC1"/>
    <w:rsid w:val="00BE01CA"/>
    <w:rsid w:val="00BE4973"/>
    <w:rsid w:val="00BE6018"/>
    <w:rsid w:val="00BF1DD5"/>
    <w:rsid w:val="00BF1F57"/>
    <w:rsid w:val="00BF3EA0"/>
    <w:rsid w:val="00BF4086"/>
    <w:rsid w:val="00BF426C"/>
    <w:rsid w:val="00BF460D"/>
    <w:rsid w:val="00BF58D0"/>
    <w:rsid w:val="00BF7D6A"/>
    <w:rsid w:val="00C00D1C"/>
    <w:rsid w:val="00C00EFD"/>
    <w:rsid w:val="00C013E1"/>
    <w:rsid w:val="00C01611"/>
    <w:rsid w:val="00C01C01"/>
    <w:rsid w:val="00C02C6D"/>
    <w:rsid w:val="00C02D59"/>
    <w:rsid w:val="00C030B6"/>
    <w:rsid w:val="00C03284"/>
    <w:rsid w:val="00C04855"/>
    <w:rsid w:val="00C050D7"/>
    <w:rsid w:val="00C05B5F"/>
    <w:rsid w:val="00C0667A"/>
    <w:rsid w:val="00C07303"/>
    <w:rsid w:val="00C104CC"/>
    <w:rsid w:val="00C130C1"/>
    <w:rsid w:val="00C14EF1"/>
    <w:rsid w:val="00C152FE"/>
    <w:rsid w:val="00C16739"/>
    <w:rsid w:val="00C218F0"/>
    <w:rsid w:val="00C22CCE"/>
    <w:rsid w:val="00C23BA2"/>
    <w:rsid w:val="00C25D0C"/>
    <w:rsid w:val="00C32AF2"/>
    <w:rsid w:val="00C33204"/>
    <w:rsid w:val="00C338EB"/>
    <w:rsid w:val="00C33E2E"/>
    <w:rsid w:val="00C3465D"/>
    <w:rsid w:val="00C379E9"/>
    <w:rsid w:val="00C37E98"/>
    <w:rsid w:val="00C42431"/>
    <w:rsid w:val="00C439FB"/>
    <w:rsid w:val="00C43F23"/>
    <w:rsid w:val="00C45314"/>
    <w:rsid w:val="00C4675D"/>
    <w:rsid w:val="00C50011"/>
    <w:rsid w:val="00C503D3"/>
    <w:rsid w:val="00C62509"/>
    <w:rsid w:val="00C645E6"/>
    <w:rsid w:val="00C64D82"/>
    <w:rsid w:val="00C64FBC"/>
    <w:rsid w:val="00C65A83"/>
    <w:rsid w:val="00C67DCB"/>
    <w:rsid w:val="00C736BB"/>
    <w:rsid w:val="00C737E8"/>
    <w:rsid w:val="00C80F23"/>
    <w:rsid w:val="00C81151"/>
    <w:rsid w:val="00C81746"/>
    <w:rsid w:val="00C8209A"/>
    <w:rsid w:val="00C82A96"/>
    <w:rsid w:val="00C82CC6"/>
    <w:rsid w:val="00C850A3"/>
    <w:rsid w:val="00C856E5"/>
    <w:rsid w:val="00C85C32"/>
    <w:rsid w:val="00C87568"/>
    <w:rsid w:val="00C87BB7"/>
    <w:rsid w:val="00C90DB6"/>
    <w:rsid w:val="00C9394F"/>
    <w:rsid w:val="00C93B1A"/>
    <w:rsid w:val="00C9504A"/>
    <w:rsid w:val="00C96275"/>
    <w:rsid w:val="00C96F5F"/>
    <w:rsid w:val="00CA1A4F"/>
    <w:rsid w:val="00CA3977"/>
    <w:rsid w:val="00CA5927"/>
    <w:rsid w:val="00CA79EC"/>
    <w:rsid w:val="00CB3783"/>
    <w:rsid w:val="00CB39C2"/>
    <w:rsid w:val="00CB44DE"/>
    <w:rsid w:val="00CB4C8C"/>
    <w:rsid w:val="00CB6782"/>
    <w:rsid w:val="00CB7629"/>
    <w:rsid w:val="00CC00EC"/>
    <w:rsid w:val="00CC080A"/>
    <w:rsid w:val="00CC3C04"/>
    <w:rsid w:val="00CC4396"/>
    <w:rsid w:val="00CD5216"/>
    <w:rsid w:val="00CE2741"/>
    <w:rsid w:val="00CE3C13"/>
    <w:rsid w:val="00CE4499"/>
    <w:rsid w:val="00CE5277"/>
    <w:rsid w:val="00CE6358"/>
    <w:rsid w:val="00CE7FC6"/>
    <w:rsid w:val="00CF0C6C"/>
    <w:rsid w:val="00CF2D54"/>
    <w:rsid w:val="00CF622A"/>
    <w:rsid w:val="00D01324"/>
    <w:rsid w:val="00D02BA5"/>
    <w:rsid w:val="00D03538"/>
    <w:rsid w:val="00D03B67"/>
    <w:rsid w:val="00D049B8"/>
    <w:rsid w:val="00D0516C"/>
    <w:rsid w:val="00D05EE7"/>
    <w:rsid w:val="00D068D0"/>
    <w:rsid w:val="00D078D1"/>
    <w:rsid w:val="00D129A8"/>
    <w:rsid w:val="00D12FB9"/>
    <w:rsid w:val="00D13987"/>
    <w:rsid w:val="00D200BD"/>
    <w:rsid w:val="00D22399"/>
    <w:rsid w:val="00D24F03"/>
    <w:rsid w:val="00D310E8"/>
    <w:rsid w:val="00D33751"/>
    <w:rsid w:val="00D36F6E"/>
    <w:rsid w:val="00D37343"/>
    <w:rsid w:val="00D4205E"/>
    <w:rsid w:val="00D46CA6"/>
    <w:rsid w:val="00D565EC"/>
    <w:rsid w:val="00D61982"/>
    <w:rsid w:val="00D6226F"/>
    <w:rsid w:val="00D6267A"/>
    <w:rsid w:val="00D674CF"/>
    <w:rsid w:val="00D678DF"/>
    <w:rsid w:val="00D67D12"/>
    <w:rsid w:val="00D70923"/>
    <w:rsid w:val="00D74F09"/>
    <w:rsid w:val="00D754C0"/>
    <w:rsid w:val="00D75673"/>
    <w:rsid w:val="00D7585A"/>
    <w:rsid w:val="00D80618"/>
    <w:rsid w:val="00D82494"/>
    <w:rsid w:val="00D84A4B"/>
    <w:rsid w:val="00D85E13"/>
    <w:rsid w:val="00D8669F"/>
    <w:rsid w:val="00D92168"/>
    <w:rsid w:val="00D940B5"/>
    <w:rsid w:val="00D95318"/>
    <w:rsid w:val="00D95CB0"/>
    <w:rsid w:val="00D9766F"/>
    <w:rsid w:val="00D977C0"/>
    <w:rsid w:val="00DA00A3"/>
    <w:rsid w:val="00DA13F3"/>
    <w:rsid w:val="00DA27D4"/>
    <w:rsid w:val="00DA2DE3"/>
    <w:rsid w:val="00DA6D17"/>
    <w:rsid w:val="00DA716A"/>
    <w:rsid w:val="00DB1841"/>
    <w:rsid w:val="00DB1F4F"/>
    <w:rsid w:val="00DB37EE"/>
    <w:rsid w:val="00DB4450"/>
    <w:rsid w:val="00DB7B69"/>
    <w:rsid w:val="00DC234A"/>
    <w:rsid w:val="00DC34E9"/>
    <w:rsid w:val="00DC41E4"/>
    <w:rsid w:val="00DC6697"/>
    <w:rsid w:val="00DC7C77"/>
    <w:rsid w:val="00DC7F19"/>
    <w:rsid w:val="00DD2809"/>
    <w:rsid w:val="00DD7EA2"/>
    <w:rsid w:val="00DE00F2"/>
    <w:rsid w:val="00DE07B4"/>
    <w:rsid w:val="00DE117F"/>
    <w:rsid w:val="00DE279B"/>
    <w:rsid w:val="00DE2B64"/>
    <w:rsid w:val="00DE401C"/>
    <w:rsid w:val="00DE4304"/>
    <w:rsid w:val="00DE63B3"/>
    <w:rsid w:val="00DE6DF1"/>
    <w:rsid w:val="00DF0726"/>
    <w:rsid w:val="00DF63FA"/>
    <w:rsid w:val="00E012CC"/>
    <w:rsid w:val="00E02B71"/>
    <w:rsid w:val="00E02DEB"/>
    <w:rsid w:val="00E042A1"/>
    <w:rsid w:val="00E104FA"/>
    <w:rsid w:val="00E1082A"/>
    <w:rsid w:val="00E11166"/>
    <w:rsid w:val="00E13182"/>
    <w:rsid w:val="00E15383"/>
    <w:rsid w:val="00E1738C"/>
    <w:rsid w:val="00E174D4"/>
    <w:rsid w:val="00E22D28"/>
    <w:rsid w:val="00E230E3"/>
    <w:rsid w:val="00E27344"/>
    <w:rsid w:val="00E30EDF"/>
    <w:rsid w:val="00E31FBA"/>
    <w:rsid w:val="00E36AAE"/>
    <w:rsid w:val="00E41773"/>
    <w:rsid w:val="00E4392C"/>
    <w:rsid w:val="00E44C57"/>
    <w:rsid w:val="00E45967"/>
    <w:rsid w:val="00E462F4"/>
    <w:rsid w:val="00E46FFD"/>
    <w:rsid w:val="00E513F6"/>
    <w:rsid w:val="00E52AA3"/>
    <w:rsid w:val="00E52F3B"/>
    <w:rsid w:val="00E53D94"/>
    <w:rsid w:val="00E53DEA"/>
    <w:rsid w:val="00E616DB"/>
    <w:rsid w:val="00E618DD"/>
    <w:rsid w:val="00E627A4"/>
    <w:rsid w:val="00E630ED"/>
    <w:rsid w:val="00E73C41"/>
    <w:rsid w:val="00E74EC5"/>
    <w:rsid w:val="00E750C2"/>
    <w:rsid w:val="00E76B86"/>
    <w:rsid w:val="00E81AFF"/>
    <w:rsid w:val="00E8342F"/>
    <w:rsid w:val="00E847A7"/>
    <w:rsid w:val="00E87C2F"/>
    <w:rsid w:val="00E906B4"/>
    <w:rsid w:val="00E9095B"/>
    <w:rsid w:val="00E90CF1"/>
    <w:rsid w:val="00E9399B"/>
    <w:rsid w:val="00E94008"/>
    <w:rsid w:val="00E94762"/>
    <w:rsid w:val="00E96B52"/>
    <w:rsid w:val="00EA2244"/>
    <w:rsid w:val="00EA411E"/>
    <w:rsid w:val="00EA5FC0"/>
    <w:rsid w:val="00EA6FA7"/>
    <w:rsid w:val="00EB067F"/>
    <w:rsid w:val="00EB1F02"/>
    <w:rsid w:val="00EB51FD"/>
    <w:rsid w:val="00EB5BC5"/>
    <w:rsid w:val="00EB72C1"/>
    <w:rsid w:val="00EC086C"/>
    <w:rsid w:val="00EC42D0"/>
    <w:rsid w:val="00EC4BA3"/>
    <w:rsid w:val="00EC5CE6"/>
    <w:rsid w:val="00EC638F"/>
    <w:rsid w:val="00EE2ACE"/>
    <w:rsid w:val="00EE4874"/>
    <w:rsid w:val="00EE53EA"/>
    <w:rsid w:val="00EE79A6"/>
    <w:rsid w:val="00EE7FB4"/>
    <w:rsid w:val="00EF0A46"/>
    <w:rsid w:val="00EF0D26"/>
    <w:rsid w:val="00EF0D86"/>
    <w:rsid w:val="00EF22FE"/>
    <w:rsid w:val="00EF76AC"/>
    <w:rsid w:val="00EF7C29"/>
    <w:rsid w:val="00F005A0"/>
    <w:rsid w:val="00F01D97"/>
    <w:rsid w:val="00F02435"/>
    <w:rsid w:val="00F0542C"/>
    <w:rsid w:val="00F058BE"/>
    <w:rsid w:val="00F077D2"/>
    <w:rsid w:val="00F11352"/>
    <w:rsid w:val="00F13FCD"/>
    <w:rsid w:val="00F1498D"/>
    <w:rsid w:val="00F14D34"/>
    <w:rsid w:val="00F14DDF"/>
    <w:rsid w:val="00F152AD"/>
    <w:rsid w:val="00F158FF"/>
    <w:rsid w:val="00F20BE9"/>
    <w:rsid w:val="00F2285F"/>
    <w:rsid w:val="00F22C3A"/>
    <w:rsid w:val="00F22F00"/>
    <w:rsid w:val="00F23155"/>
    <w:rsid w:val="00F24E0E"/>
    <w:rsid w:val="00F26693"/>
    <w:rsid w:val="00F36130"/>
    <w:rsid w:val="00F36A0F"/>
    <w:rsid w:val="00F40444"/>
    <w:rsid w:val="00F423BD"/>
    <w:rsid w:val="00F432FF"/>
    <w:rsid w:val="00F4715C"/>
    <w:rsid w:val="00F512C0"/>
    <w:rsid w:val="00F51C16"/>
    <w:rsid w:val="00F54869"/>
    <w:rsid w:val="00F556B2"/>
    <w:rsid w:val="00F57187"/>
    <w:rsid w:val="00F574E5"/>
    <w:rsid w:val="00F5754B"/>
    <w:rsid w:val="00F576DE"/>
    <w:rsid w:val="00F63BF7"/>
    <w:rsid w:val="00F65617"/>
    <w:rsid w:val="00F666BC"/>
    <w:rsid w:val="00F70316"/>
    <w:rsid w:val="00F710BE"/>
    <w:rsid w:val="00F72CEF"/>
    <w:rsid w:val="00F736D2"/>
    <w:rsid w:val="00F7564C"/>
    <w:rsid w:val="00F76220"/>
    <w:rsid w:val="00F769BE"/>
    <w:rsid w:val="00F76A66"/>
    <w:rsid w:val="00F813A0"/>
    <w:rsid w:val="00F82E6B"/>
    <w:rsid w:val="00F951CF"/>
    <w:rsid w:val="00F97B71"/>
    <w:rsid w:val="00FA1925"/>
    <w:rsid w:val="00FA2DDA"/>
    <w:rsid w:val="00FA34CA"/>
    <w:rsid w:val="00FA3CC8"/>
    <w:rsid w:val="00FA4A55"/>
    <w:rsid w:val="00FA4D4F"/>
    <w:rsid w:val="00FA54E8"/>
    <w:rsid w:val="00FA5CA2"/>
    <w:rsid w:val="00FB0D88"/>
    <w:rsid w:val="00FB26B3"/>
    <w:rsid w:val="00FB2D17"/>
    <w:rsid w:val="00FB2F69"/>
    <w:rsid w:val="00FB39F7"/>
    <w:rsid w:val="00FB3BCA"/>
    <w:rsid w:val="00FB45FF"/>
    <w:rsid w:val="00FB47E0"/>
    <w:rsid w:val="00FB5CB1"/>
    <w:rsid w:val="00FB5D97"/>
    <w:rsid w:val="00FB7363"/>
    <w:rsid w:val="00FC1CA5"/>
    <w:rsid w:val="00FC2979"/>
    <w:rsid w:val="00FC45F4"/>
    <w:rsid w:val="00FC6E2E"/>
    <w:rsid w:val="00FD1C3C"/>
    <w:rsid w:val="00FD1CA5"/>
    <w:rsid w:val="00FD3480"/>
    <w:rsid w:val="00FD38A8"/>
    <w:rsid w:val="00FD6AC8"/>
    <w:rsid w:val="00FD7298"/>
    <w:rsid w:val="00FE308B"/>
    <w:rsid w:val="00FE3EA1"/>
    <w:rsid w:val="00FE4818"/>
    <w:rsid w:val="00FE5D80"/>
    <w:rsid w:val="00FF6ADB"/>
    <w:rsid w:val="00FF7F4C"/>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iPriority="99"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qFormat/>
    <w:rsid w:val="00A7634D"/>
    <w:pPr>
      <w:keepNext/>
      <w:keepLines/>
      <w:spacing w:after="330" w:before="340" w:line="578" w:lineRule="auto"/>
      <w:outlineLvl w:val="0"/>
    </w:pPr>
    <w:rPr>
      <w:b/>
      <w:bCs/>
      <w:kern w:val="44"/>
      <w:sz w:val="44"/>
      <w:szCs w:val="44"/>
    </w:rPr>
  </w:style>
  <w:style w:styleId="2" w:type="paragraph">
    <w:name w:val="heading 2"/>
    <w:basedOn w:val="a"/>
    <w:next w:val="a0"/>
    <w:qFormat/>
    <w:rsid w:val="00EB72C1"/>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Normal Indent"/>
    <w:basedOn w:val="a"/>
    <w:rsid w:val="00EB72C1"/>
    <w:pPr>
      <w:ind w:firstLine="420" w:firstLineChars="200"/>
    </w:pPr>
  </w:style>
  <w:style w:styleId="a4" w:type="paragraph">
    <w:name w:val="Body Text Indent"/>
    <w:basedOn w:val="a"/>
    <w:rsid w:val="00EB72C1"/>
    <w:pPr>
      <w:widowControl/>
      <w:spacing w:after="100" w:afterAutospacing="1" w:before="100" w:beforeAutospacing="1"/>
      <w:jc w:val="left"/>
    </w:pPr>
    <w:rPr>
      <w:rFonts w:ascii="Arial Unicode MS" w:cs="Arial Unicode MS" w:eastAsia="Arial Unicode MS" w:hAnsi="Arial Unicode MS"/>
      <w:kern w:val="0"/>
      <w:sz w:val="24"/>
    </w:rPr>
  </w:style>
  <w:style w:styleId="a5" w:type="paragraph">
    <w:name w:val="Plain Text"/>
    <w:basedOn w:val="a"/>
    <w:link w:val="Char"/>
    <w:uiPriority w:val="99"/>
    <w:rsid w:val="00EB72C1"/>
    <w:rPr>
      <w:rFonts w:ascii="宋体" w:hAnsi="Courier New"/>
      <w:szCs w:val="21"/>
    </w:rPr>
  </w:style>
  <w:style w:styleId="20" w:type="paragraph">
    <w:name w:val="Body Text Indent 2"/>
    <w:basedOn w:val="a"/>
    <w:rsid w:val="00EB72C1"/>
    <w:pPr>
      <w:spacing w:line="560" w:lineRule="exact"/>
      <w:ind w:firstLine="480" w:firstLineChars="200"/>
    </w:pPr>
    <w:rPr>
      <w:rFonts w:ascii="宋体" w:hAnsi="宋体"/>
      <w:color w:val="FF0000"/>
      <w:sz w:val="24"/>
    </w:rPr>
  </w:style>
  <w:style w:styleId="a6" w:type="paragraph">
    <w:name w:val="footer"/>
    <w:basedOn w:val="a"/>
    <w:rsid w:val="00EB72C1"/>
    <w:pPr>
      <w:tabs>
        <w:tab w:pos="4153" w:val="center"/>
        <w:tab w:pos="8306" w:val="right"/>
      </w:tabs>
      <w:snapToGrid w:val="0"/>
      <w:jc w:val="left"/>
    </w:pPr>
    <w:rPr>
      <w:sz w:val="18"/>
      <w:szCs w:val="18"/>
    </w:rPr>
  </w:style>
  <w:style w:styleId="a7" w:type="character">
    <w:name w:val="page number"/>
    <w:basedOn w:val="a1"/>
    <w:rsid w:val="00EB72C1"/>
  </w:style>
  <w:style w:styleId="a8" w:type="character">
    <w:name w:val="Hyperlink"/>
    <w:rsid w:val="00EB72C1"/>
    <w:rPr>
      <w:color w:val="0000FF"/>
      <w:u w:val="single"/>
    </w:rPr>
  </w:style>
  <w:style w:styleId="3" w:type="paragraph">
    <w:name w:val="Body Text Indent 3"/>
    <w:basedOn w:val="a"/>
    <w:rsid w:val="00EB72C1"/>
    <w:pPr>
      <w:spacing w:line="560" w:lineRule="exact"/>
      <w:ind w:firstLine="420" w:firstLineChars="200"/>
    </w:pPr>
    <w:rPr>
      <w:rFonts w:ascii="Arial" w:cs="Arial" w:hAnsi="Arial"/>
      <w:color w:val="FF0000"/>
    </w:rPr>
  </w:style>
  <w:style w:styleId="a9" w:type="paragraph">
    <w:name w:val="header"/>
    <w:basedOn w:val="a"/>
    <w:link w:val="Char0"/>
    <w:uiPriority w:val="99"/>
    <w:rsid w:val="00EB72C1"/>
    <w:pPr>
      <w:pBdr>
        <w:bottom w:color="auto" w:space="1" w:sz="6" w:val="single"/>
      </w:pBdr>
      <w:tabs>
        <w:tab w:pos="4153" w:val="center"/>
        <w:tab w:pos="8306" w:val="right"/>
      </w:tabs>
      <w:snapToGrid w:val="0"/>
      <w:jc w:val="center"/>
    </w:pPr>
    <w:rPr>
      <w:sz w:val="18"/>
      <w:szCs w:val="18"/>
    </w:rPr>
  </w:style>
  <w:style w:styleId="aa" w:type="character">
    <w:name w:val="FollowedHyperlink"/>
    <w:rsid w:val="00EB72C1"/>
    <w:rPr>
      <w:color w:val="800080"/>
      <w:u w:val="single"/>
    </w:rPr>
  </w:style>
  <w:style w:styleId="ab" w:type="paragraph">
    <w:name w:val="List"/>
    <w:basedOn w:val="ac"/>
    <w:rsid w:val="00EB72C1"/>
    <w:pPr>
      <w:spacing w:after="220" w:line="220" w:lineRule="atLeast"/>
      <w:ind w:hanging="360" w:left="1440"/>
    </w:pPr>
    <w:rPr>
      <w:szCs w:val="20"/>
    </w:rPr>
  </w:style>
  <w:style w:styleId="ac" w:type="paragraph">
    <w:name w:val="Body Text"/>
    <w:basedOn w:val="a"/>
    <w:rsid w:val="00EB72C1"/>
    <w:pPr>
      <w:spacing w:after="120"/>
    </w:pPr>
  </w:style>
  <w:style w:styleId="ad" w:type="paragraph">
    <w:name w:val="Date"/>
    <w:basedOn w:val="a"/>
    <w:next w:val="a"/>
    <w:link w:val="Char1"/>
    <w:uiPriority w:val="99"/>
    <w:rsid w:val="00EB72C1"/>
    <w:rPr>
      <w:sz w:val="24"/>
      <w:szCs w:val="20"/>
    </w:rPr>
  </w:style>
  <w:style w:customStyle="1" w:styleId="c1" w:type="character">
    <w:name w:val="c1"/>
    <w:rsid w:val="00EB72C1"/>
    <w:rPr>
      <w:color w:val="000000"/>
      <w:sz w:val="18"/>
      <w:szCs w:val="18"/>
    </w:rPr>
  </w:style>
  <w:style w:styleId="10" w:type="paragraph">
    <w:name w:val="index 1"/>
    <w:basedOn w:val="a"/>
    <w:next w:val="a"/>
    <w:autoRedefine/>
    <w:semiHidden/>
    <w:rsid w:val="00EB72C1"/>
    <w:pPr>
      <w:jc w:val="right"/>
    </w:pPr>
    <w:rPr>
      <w:color w:val="008000"/>
    </w:rPr>
  </w:style>
  <w:style w:customStyle="1" w:styleId="font5" w:type="paragraph">
    <w:name w:val="font5"/>
    <w:basedOn w:val="a"/>
    <w:rsid w:val="00EB72C1"/>
    <w:pPr>
      <w:widowControl/>
      <w:spacing w:after="100" w:afterAutospacing="1" w:before="100" w:beforeAutospacing="1"/>
      <w:jc w:val="left"/>
    </w:pPr>
    <w:rPr>
      <w:rFonts w:ascii="宋体" w:cs="Arial Unicode MS" w:hAnsi="宋体" w:hint="eastAsia"/>
      <w:kern w:val="0"/>
      <w:sz w:val="18"/>
      <w:szCs w:val="18"/>
    </w:rPr>
  </w:style>
  <w:style w:customStyle="1" w:styleId="xl24" w:type="paragraph">
    <w:name w:val="xl24"/>
    <w:basedOn w:val="a"/>
    <w:rsid w:val="00EB72C1"/>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semiHidden/>
    <w:rsid w:val="00EB72C1"/>
    <w:rPr>
      <w:sz w:val="18"/>
      <w:szCs w:val="18"/>
    </w:rPr>
  </w:style>
  <w:style w:styleId="af" w:type="character">
    <w:name w:val="annotation reference"/>
    <w:semiHidden/>
    <w:rsid w:val="00EB72C1"/>
    <w:rPr>
      <w:sz w:val="21"/>
      <w:szCs w:val="21"/>
    </w:rPr>
  </w:style>
  <w:style w:styleId="af0" w:type="paragraph">
    <w:name w:val="annotation text"/>
    <w:basedOn w:val="a"/>
    <w:semiHidden/>
    <w:rsid w:val="00EB72C1"/>
    <w:pPr>
      <w:jc w:val="left"/>
    </w:pPr>
  </w:style>
  <w:style w:styleId="af1" w:type="paragraph">
    <w:name w:val="annotation subject"/>
    <w:basedOn w:val="af0"/>
    <w:next w:val="af0"/>
    <w:semiHidden/>
    <w:rsid w:val="00EB72C1"/>
    <w:rPr>
      <w:b/>
      <w:bCs/>
    </w:rPr>
  </w:style>
  <w:style w:customStyle="1" w:styleId="Char2" w:type="paragraph">
    <w:name w:val="Char"/>
    <w:basedOn w:val="a"/>
    <w:rsid w:val="00EB72C1"/>
  </w:style>
  <w:style w:styleId="af2" w:type="paragraph">
    <w:name w:val="Document Map"/>
    <w:basedOn w:val="a"/>
    <w:semiHidden/>
    <w:rsid w:val="000A549A"/>
    <w:pPr>
      <w:shd w:color="auto" w:fill="000080" w:val="clear"/>
    </w:pPr>
  </w:style>
  <w:style w:customStyle="1" w:styleId="af3" w:type="paragraph">
    <w:name w:val="正文 + (符号) 宋体"/>
    <w:aliases w:val="小四,紧缩量  0.2 磅"/>
    <w:basedOn w:val="a"/>
    <w:rsid w:val="00C22CCE"/>
    <w:pPr>
      <w:autoSpaceDE w:val="0"/>
      <w:autoSpaceDN w:val="0"/>
      <w:adjustRightInd w:val="0"/>
      <w:ind w:firstLine="1229" w:firstLineChars="512" w:right="1409" w:rightChars="671"/>
      <w:jc w:val="distribute"/>
    </w:pPr>
    <w:rPr>
      <w:sz w:val="24"/>
    </w:rPr>
  </w:style>
  <w:style w:styleId="af4" w:type="paragraph">
    <w:name w:val="footnote text"/>
    <w:basedOn w:val="a"/>
    <w:semiHidden/>
    <w:rsid w:val="00547D9C"/>
    <w:pPr>
      <w:snapToGrid w:val="0"/>
      <w:jc w:val="left"/>
    </w:pPr>
    <w:rPr>
      <w:sz w:val="18"/>
      <w:szCs w:val="18"/>
    </w:rPr>
  </w:style>
  <w:style w:styleId="af5" w:type="character">
    <w:name w:val="footnote reference"/>
    <w:semiHidden/>
    <w:rsid w:val="00547D9C"/>
    <w:rPr>
      <w:vertAlign w:val="superscript"/>
    </w:rPr>
  </w:style>
  <w:style w:styleId="af6" w:type="paragraph">
    <w:name w:val="Normal (Web)"/>
    <w:basedOn w:val="a"/>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3" w:type="paragraph">
    <w:name w:val="Char"/>
    <w:basedOn w:val="a"/>
    <w:rsid w:val="00043ABF"/>
  </w:style>
  <w:style w:customStyle="1" w:styleId="CharCharCharCharCharChar1CharCharChar" w:type="paragraph">
    <w:name w:val="Char Char Char Char Char Char1 Char Char Char"/>
    <w:basedOn w:val="a"/>
    <w:rsid w:val="005166E9"/>
    <w:pPr>
      <w:autoSpaceDE w:val="0"/>
      <w:autoSpaceDN w:val="0"/>
      <w:adjustRightInd w:val="0"/>
      <w:jc w:val="left"/>
      <w:textAlignment w:val="baseline"/>
    </w:pPr>
    <w:rPr>
      <w:rFonts w:ascii="宋体"/>
      <w:kern w:val="0"/>
      <w:sz w:val="34"/>
      <w:szCs w:val="20"/>
    </w:rPr>
  </w:style>
  <w:style w:customStyle="1" w:styleId="Char" w:type="character">
    <w:name w:val="纯文本 Char"/>
    <w:link w:val="a5"/>
    <w:uiPriority w:val="99"/>
    <w:rsid w:val="00A96FD9"/>
    <w:rPr>
      <w:rFonts w:ascii="宋体" w:hAnsi="Courier New"/>
      <w:kern w:val="2"/>
      <w:sz w:val="21"/>
      <w:szCs w:val="21"/>
    </w:rPr>
  </w:style>
  <w:style w:customStyle="1" w:styleId="Char0" w:type="character">
    <w:name w:val="页眉 Char"/>
    <w:basedOn w:val="a1"/>
    <w:link w:val="a9"/>
    <w:uiPriority w:val="99"/>
    <w:rsid w:val="001D1356"/>
    <w:rPr>
      <w:kern w:val="2"/>
      <w:sz w:val="18"/>
      <w:szCs w:val="18"/>
    </w:rPr>
  </w:style>
  <w:style w:customStyle="1" w:styleId="1Char" w:type="character">
    <w:name w:val="标题 1 Char"/>
    <w:basedOn w:val="a1"/>
    <w:link w:val="1"/>
    <w:rsid w:val="00A7634D"/>
    <w:rPr>
      <w:b/>
      <w:bCs/>
      <w:kern w:val="44"/>
      <w:sz w:val="44"/>
      <w:szCs w:val="44"/>
    </w:rPr>
  </w:style>
  <w:style w:customStyle="1" w:styleId="Char1" w:type="character">
    <w:name w:val="日期 Char"/>
    <w:basedOn w:val="a1"/>
    <w:link w:val="ad"/>
    <w:uiPriority w:val="99"/>
    <w:rsid w:val="00C503D3"/>
    <w:rPr>
      <w:kern w:val="2"/>
      <w:sz w:val="24"/>
    </w:rPr>
  </w:style>
  <w:style w:styleId="af8" w:type="character">
    <w:name w:val="Strong"/>
    <w:basedOn w:val="a1"/>
    <w:uiPriority w:val="22"/>
    <w:qFormat/>
    <w:rsid w:val="009779FD"/>
    <w:rPr>
      <w:b/>
      <w:bCs/>
    </w:rPr>
  </w:style>
  <w:style w:customStyle="1" w:styleId="t1" w:type="character">
    <w:name w:val="t1"/>
    <w:uiPriority w:val="99"/>
    <w:rsid w:val="000C6832"/>
    <w:rPr>
      <w:color w:val="99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4829">
      <w:bodyDiv w:val="1"/>
      <w:marLeft w:val="0"/>
      <w:marRight w:val="0"/>
      <w:marTop w:val="0"/>
      <w:marBottom w:val="0"/>
      <w:divBdr>
        <w:top w:val="none" w:sz="0" w:space="0" w:color="auto"/>
        <w:left w:val="none" w:sz="0" w:space="0" w:color="auto"/>
        <w:bottom w:val="none" w:sz="0" w:space="0" w:color="auto"/>
        <w:right w:val="none" w:sz="0" w:space="0" w:color="auto"/>
      </w:divBdr>
    </w:div>
    <w:div w:id="45183085">
      <w:bodyDiv w:val="1"/>
      <w:marLeft w:val="0"/>
      <w:marRight w:val="0"/>
      <w:marTop w:val="0"/>
      <w:marBottom w:val="0"/>
      <w:divBdr>
        <w:top w:val="none" w:sz="0" w:space="0" w:color="auto"/>
        <w:left w:val="none" w:sz="0" w:space="0" w:color="auto"/>
        <w:bottom w:val="none" w:sz="0" w:space="0" w:color="auto"/>
        <w:right w:val="none" w:sz="0" w:space="0" w:color="auto"/>
      </w:divBdr>
    </w:div>
    <w:div w:id="248806163">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495995929">
      <w:bodyDiv w:val="1"/>
      <w:marLeft w:val="0"/>
      <w:marRight w:val="0"/>
      <w:marTop w:val="0"/>
      <w:marBottom w:val="0"/>
      <w:divBdr>
        <w:top w:val="none" w:sz="0" w:space="0" w:color="auto"/>
        <w:left w:val="none" w:sz="0" w:space="0" w:color="auto"/>
        <w:bottom w:val="none" w:sz="0" w:space="0" w:color="auto"/>
        <w:right w:val="none" w:sz="0" w:space="0" w:color="auto"/>
      </w:divBdr>
    </w:div>
    <w:div w:id="691229210">
      <w:bodyDiv w:val="1"/>
      <w:marLeft w:val="0"/>
      <w:marRight w:val="0"/>
      <w:marTop w:val="0"/>
      <w:marBottom w:val="0"/>
      <w:divBdr>
        <w:top w:val="none" w:sz="0" w:space="0" w:color="auto"/>
        <w:left w:val="none" w:sz="0" w:space="0" w:color="auto"/>
        <w:bottom w:val="none" w:sz="0" w:space="0" w:color="auto"/>
        <w:right w:val="none" w:sz="0" w:space="0" w:color="auto"/>
      </w:divBdr>
    </w:div>
    <w:div w:id="825586713">
      <w:bodyDiv w:val="1"/>
      <w:marLeft w:val="0"/>
      <w:marRight w:val="0"/>
      <w:marTop w:val="0"/>
      <w:marBottom w:val="0"/>
      <w:divBdr>
        <w:top w:val="none" w:sz="0" w:space="0" w:color="auto"/>
        <w:left w:val="none" w:sz="0" w:space="0" w:color="auto"/>
        <w:bottom w:val="none" w:sz="0" w:space="0" w:color="auto"/>
        <w:right w:val="none" w:sz="0" w:space="0" w:color="auto"/>
      </w:divBdr>
    </w:div>
    <w:div w:id="1050878569">
      <w:bodyDiv w:val="1"/>
      <w:marLeft w:val="0"/>
      <w:marRight w:val="0"/>
      <w:marTop w:val="0"/>
      <w:marBottom w:val="0"/>
      <w:divBdr>
        <w:top w:val="none" w:sz="0" w:space="0" w:color="auto"/>
        <w:left w:val="none" w:sz="0" w:space="0" w:color="auto"/>
        <w:bottom w:val="none" w:sz="0" w:space="0" w:color="auto"/>
        <w:right w:val="none" w:sz="0" w:space="0" w:color="auto"/>
      </w:divBdr>
    </w:div>
    <w:div w:id="1198422717">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404060597">
      <w:bodyDiv w:val="1"/>
      <w:marLeft w:val="0"/>
      <w:marRight w:val="0"/>
      <w:marTop w:val="0"/>
      <w:marBottom w:val="0"/>
      <w:divBdr>
        <w:top w:val="none" w:sz="0" w:space="0" w:color="auto"/>
        <w:left w:val="none" w:sz="0" w:space="0" w:color="auto"/>
        <w:bottom w:val="none" w:sz="0" w:space="0" w:color="auto"/>
        <w:right w:val="none" w:sz="0" w:space="0" w:color="auto"/>
      </w:divBdr>
    </w:div>
    <w:div w:id="1512455957">
      <w:bodyDiv w:val="1"/>
      <w:marLeft w:val="0"/>
      <w:marRight w:val="0"/>
      <w:marTop w:val="0"/>
      <w:marBottom w:val="0"/>
      <w:divBdr>
        <w:top w:val="none" w:sz="0" w:space="0" w:color="auto"/>
        <w:left w:val="none" w:sz="0" w:space="0" w:color="auto"/>
        <w:bottom w:val="none" w:sz="0" w:space="0" w:color="auto"/>
        <w:right w:val="none" w:sz="0" w:space="0" w:color="auto"/>
      </w:divBdr>
    </w:div>
    <w:div w:id="1633444076">
      <w:bodyDiv w:val="1"/>
      <w:marLeft w:val="0"/>
      <w:marRight w:val="0"/>
      <w:marTop w:val="0"/>
      <w:marBottom w:val="0"/>
      <w:divBdr>
        <w:top w:val="none" w:sz="0" w:space="0" w:color="auto"/>
        <w:left w:val="none" w:sz="0" w:space="0" w:color="auto"/>
        <w:bottom w:val="none" w:sz="0" w:space="0" w:color="auto"/>
        <w:right w:val="none" w:sz="0" w:space="0" w:color="auto"/>
      </w:divBdr>
      <w:divsChild>
        <w:div w:id="1453405627">
          <w:marLeft w:val="0"/>
          <w:marRight w:val="0"/>
          <w:marTop w:val="0"/>
          <w:marBottom w:val="0"/>
          <w:divBdr>
            <w:top w:val="none" w:sz="0" w:space="0" w:color="auto"/>
            <w:left w:val="none" w:sz="0" w:space="0" w:color="auto"/>
            <w:bottom w:val="none" w:sz="0" w:space="0" w:color="auto"/>
            <w:right w:val="none" w:sz="0" w:space="0" w:color="auto"/>
          </w:divBdr>
        </w:div>
      </w:divsChild>
    </w:div>
    <w:div w:id="1837266254">
      <w:bodyDiv w:val="1"/>
      <w:marLeft w:val="0"/>
      <w:marRight w:val="0"/>
      <w:marTop w:val="0"/>
      <w:marBottom w:val="0"/>
      <w:divBdr>
        <w:top w:val="none" w:sz="0" w:space="0" w:color="auto"/>
        <w:left w:val="none" w:sz="0" w:space="0" w:color="auto"/>
        <w:bottom w:val="none" w:sz="0" w:space="0" w:color="auto"/>
        <w:right w:val="none" w:sz="0" w:space="0" w:color="auto"/>
      </w:divBdr>
    </w:div>
    <w:div w:id="213321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header2.xml" Type="http://schemas.openxmlformats.org/officeDocument/2006/relationships/header"/>
<Relationship Id="rId13" Target="footer2.xml" Type="http://schemas.openxmlformats.org/officeDocument/2006/relationships/footer"/>
<Relationship Id="rId14" Target="footer3.xml" Type="http://schemas.openxmlformats.org/officeDocument/2006/relationships/footer"/>
<Relationship Id="rId15" Target="header3.xml" Type="http://schemas.openxmlformats.org/officeDocument/2006/relationships/header"/>
<Relationship Id="rId16" Target="footer4.xml" Type="http://schemas.openxmlformats.org/officeDocument/2006/relationships/footer"/>
<Relationship Id="rId17" Target="fontTable.xml" Type="http://schemas.openxmlformats.org/officeDocument/2006/relationships/fontTable"/>
<Relationship Id="rId18"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Documents%20and%20Settings/Administrator/&#26700;&#38754;/qdii.dot" TargetMode="External" Type="http://schemas.openxmlformats.org/officeDocument/2006/relationships/attachedTemplat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qdii.dot</Template>
  <TotalTime>201</TotalTime>
  <Pages>25</Pages>
  <Words>3661</Words>
  <Characters>20874</Characters>
  <Application>Microsoft Office Word</Application>
  <DocSecurity>0</DocSecurity>
  <Lines>173</Lines>
  <Paragraphs>48</Paragraphs>
  <ScaleCrop>false</ScaleCrop>
  <Company>TRT. Ltd. Co.</Company>
  <LinksUpToDate>false</LinksUpToDate>
  <CharactersWithSpaces>24487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2014-12-16T02:40:00Z</dcterms:created>
  <dc:creator>bonnieliu</dc:creator>
  <cp:lastModifiedBy>sirong han</cp:lastModifiedBy>
  <cp:lastPrinted>2007-07-19T00:46:00Z</cp:lastPrinted>
  <dcterms:modified xsi:type="dcterms:W3CDTF">2020-07-09T02:50:00Z</dcterms:modified>
  <cp:revision>77</cp:revision>
</cp:coreProperties>
</file>