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易方达安瑞短债债券型证券投资基金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易方达安瑞短债债券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006319</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2018年11月14日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2,963,785,965.73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本基金主要投资短期债券，在严格控制风险和保持较高流动性的基础上，力求获得超越业绩比较基准的投资回报。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采取积极管理的投资策略，主要投资短期债券，控制基金净值的波动。本基金在研究国内外的宏观经济走势、货币政策变化趋势、市场资金供求状况的基础上，预测未来收益率曲线变动趋势，积极调整本基金的组合久期；运用统计和数量分析技术，预测收益率期限结构的变化方式，确定期限结构配置策略以及各期限固定收益品种的配置比例；对不同类型固定收益品种的信用风险、税赋水平、市场流动性、市场风险等因素进行分析，研究同期限固定收益投资品种的利差和变化趋势，制定类属配置策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中债综合财富（1年以下）指数收益率</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易方达安瑞短债债券A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易方达安瑞短债债券C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006319</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006320</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1,915,344,193.21</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1,048,441,772.52</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易方达安瑞短债债券A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易方达安瑞短债债券C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11,966,029.36</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7,060,870.33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4,191,234.14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2,775,905.21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0.0021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0.0021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1,920,423,208.89</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1,051,345,449.17</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1.0027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1.0028</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易方达安瑞短债债券A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0.24%</w:t>
            </w:r>
          </w:p>
        </w:tc>
        <w:tc>
          <w:tcPr>
            <w:vAlign w:val="center"/>
          </w:tcPr>
          <w:p>
            <w:pPr>
              <w:jc w:val="center"/>
            </w:pPr>
            <w:r>
              <w:rPr>
                <w:color w:val="000000"/>
                <w:sz w:val="24"/>
              </w:rPr>
              <w:t>0.03%</w:t>
            </w:r>
          </w:p>
        </w:tc>
        <w:tc>
          <w:tcPr>
            <w:vAlign w:val="center"/>
          </w:tcPr>
          <w:p>
            <w:pPr>
              <w:jc w:val="center"/>
            </w:pPr>
            <w:r>
              <w:rPr>
                <w:color w:val="000000"/>
                <w:sz w:val="24"/>
              </w:rPr>
              <w:t>0.31%</w:t>
            </w:r>
          </w:p>
        </w:tc>
        <w:tc>
          <w:tcPr>
            <w:vAlign w:val="center"/>
          </w:tcPr>
          <w:p>
            <w:pPr>
              <w:jc w:val="center"/>
            </w:pPr>
            <w:r>
              <w:rPr>
                <w:color w:val="000000"/>
                <w:sz w:val="24"/>
              </w:rPr>
              <w:t>0.02%</w:t>
            </w:r>
          </w:p>
        </w:tc>
        <w:tc>
          <w:tcPr>
            <w:vAlign w:val="center"/>
          </w:tcPr>
          <w:p>
            <w:pPr>
              <w:jc w:val="center"/>
            </w:pPr>
            <w:r>
              <w:rPr>
                <w:color w:val="000000"/>
                <w:sz w:val="24"/>
              </w:rPr>
              <w:t>-0.07%</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1.39%</w:t>
            </w:r>
          </w:p>
        </w:tc>
        <w:tc>
          <w:tcPr>
            <w:vAlign w:val="center"/>
          </w:tcPr>
          <w:p>
            <w:pPr>
              <w:jc w:val="center"/>
            </w:pPr>
            <w:r>
              <w:rPr>
                <w:color w:val="000000"/>
                <w:sz w:val="24"/>
              </w:rPr>
              <w:t>0.03%</w:t>
            </w:r>
          </w:p>
        </w:tc>
        <w:tc>
          <w:tcPr>
            <w:vAlign w:val="center"/>
          </w:tcPr>
          <w:p>
            <w:pPr>
              <w:jc w:val="center"/>
            </w:pPr>
            <w:r>
              <w:rPr>
                <w:color w:val="000000"/>
                <w:sz w:val="24"/>
              </w:rPr>
              <w:t>1.23%</w:t>
            </w:r>
          </w:p>
        </w:tc>
        <w:tc>
          <w:tcPr>
            <w:vAlign w:val="center"/>
          </w:tcPr>
          <w:p>
            <w:pPr>
              <w:jc w:val="center"/>
            </w:pPr>
            <w:r>
              <w:rPr>
                <w:color w:val="000000"/>
                <w:sz w:val="24"/>
              </w:rPr>
              <w:t>0.02%</w:t>
            </w:r>
          </w:p>
        </w:tc>
        <w:tc>
          <w:tcPr>
            <w:vAlign w:val="center"/>
          </w:tcPr>
          <w:p>
            <w:pPr>
              <w:jc w:val="center"/>
            </w:pPr>
            <w:r>
              <w:rPr>
                <w:color w:val="000000"/>
                <w:sz w:val="24"/>
              </w:rPr>
              <w:t>0.16%</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3.09%</w:t>
            </w:r>
          </w:p>
        </w:tc>
        <w:tc>
          <w:tcPr>
            <w:vAlign w:val="center"/>
          </w:tcPr>
          <w:p>
            <w:pPr>
              <w:jc w:val="center"/>
            </w:pPr>
            <w:r>
              <w:rPr>
                <w:color w:val="000000"/>
                <w:sz w:val="24"/>
              </w:rPr>
              <w:t>0.02%</w:t>
            </w:r>
          </w:p>
        </w:tc>
        <w:tc>
          <w:tcPr>
            <w:vAlign w:val="center"/>
          </w:tcPr>
          <w:p>
            <w:pPr>
              <w:jc w:val="center"/>
            </w:pPr>
            <w:r>
              <w:rPr>
                <w:color w:val="000000"/>
                <w:sz w:val="24"/>
              </w:rPr>
              <w:t>2.89%</w:t>
            </w:r>
          </w:p>
        </w:tc>
        <w:tc>
          <w:tcPr>
            <w:vAlign w:val="center"/>
          </w:tcPr>
          <w:p>
            <w:pPr>
              <w:jc w:val="center"/>
            </w:pPr>
            <w:r>
              <w:rPr>
                <w:color w:val="000000"/>
                <w:sz w:val="24"/>
              </w:rPr>
              <w:t>0.02%</w:t>
            </w:r>
          </w:p>
        </w:tc>
        <w:tc>
          <w:tcPr>
            <w:vAlign w:val="center"/>
          </w:tcPr>
          <w:p>
            <w:pPr>
              <w:jc w:val="center"/>
            </w:pPr>
            <w:r>
              <w:rPr>
                <w:color w:val="000000"/>
                <w:sz w:val="24"/>
              </w:rPr>
              <w:t>0.20%</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5.47%</w:t>
            </w:r>
          </w:p>
        </w:tc>
        <w:tc>
          <w:tcPr>
            <w:vAlign w:val="center"/>
          </w:tcPr>
          <w:p>
            <w:pPr>
              <w:jc w:val="center"/>
            </w:pPr>
            <w:r>
              <w:rPr>
                <w:color w:val="000000"/>
                <w:sz w:val="24"/>
              </w:rPr>
              <w:t>0.02%</w:t>
            </w:r>
          </w:p>
        </w:tc>
        <w:tc>
          <w:tcPr>
            <w:vAlign w:val="center"/>
          </w:tcPr>
          <w:p>
            <w:pPr>
              <w:jc w:val="center"/>
            </w:pPr>
            <w:r>
              <w:rPr>
                <w:color w:val="000000"/>
                <w:sz w:val="24"/>
              </w:rPr>
              <w:t>5.08%</w:t>
            </w:r>
          </w:p>
        </w:tc>
        <w:tc>
          <w:tcPr>
            <w:vAlign w:val="center"/>
          </w:tcPr>
          <w:p>
            <w:pPr>
              <w:jc w:val="center"/>
            </w:pPr>
            <w:r>
              <w:rPr>
                <w:color w:val="000000"/>
                <w:sz w:val="24"/>
              </w:rPr>
              <w:t>0.02%</w:t>
            </w:r>
          </w:p>
        </w:tc>
        <w:tc>
          <w:tcPr>
            <w:vAlign w:val="center"/>
          </w:tcPr>
          <w:p>
            <w:pPr>
              <w:jc w:val="center"/>
            </w:pPr>
            <w:r>
              <w:rPr>
                <w:color w:val="000000"/>
                <w:sz w:val="24"/>
              </w:rPr>
              <w:t>0.39%</w:t>
            </w:r>
          </w:p>
        </w:tc>
        <w:tc>
          <w:tcPr>
            <w:vAlign w:val="center"/>
          </w:tcPr>
          <w:p>
            <w:pPr>
              <w:jc w:val="center"/>
            </w:pPr>
            <w:r>
              <w:rPr>
                <w:color w:val="000000"/>
                <w:sz w:val="24"/>
              </w:rPr>
              <w:t>0.00%</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易方达安瑞短债债券C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0.19%</w:t>
            </w:r>
          </w:p>
        </w:tc>
        <w:tc>
          <w:tcPr>
            <w:vAlign w:val="center"/>
          </w:tcPr>
          <w:p>
            <w:pPr>
              <w:jc w:val="center"/>
            </w:pPr>
            <w:r>
              <w:rPr>
                <w:color w:val="000000"/>
                <w:sz w:val="24"/>
              </w:rPr>
              <w:t>0.03%</w:t>
            </w:r>
          </w:p>
        </w:tc>
        <w:tc>
          <w:tcPr>
            <w:vAlign w:val="center"/>
          </w:tcPr>
          <w:p>
            <w:pPr>
              <w:jc w:val="center"/>
            </w:pPr>
            <w:r>
              <w:rPr>
                <w:color w:val="000000"/>
                <w:sz w:val="24"/>
              </w:rPr>
              <w:t>0.31%</w:t>
            </w:r>
          </w:p>
        </w:tc>
        <w:tc>
          <w:tcPr>
            <w:vAlign w:val="center"/>
          </w:tcPr>
          <w:p>
            <w:pPr>
              <w:jc w:val="center"/>
            </w:pPr>
            <w:r>
              <w:rPr>
                <w:color w:val="000000"/>
                <w:sz w:val="24"/>
              </w:rPr>
              <w:t>0.02%</w:t>
            </w:r>
          </w:p>
        </w:tc>
        <w:tc>
          <w:tcPr>
            <w:vAlign w:val="center"/>
          </w:tcPr>
          <w:p>
            <w:pPr>
              <w:jc w:val="center"/>
            </w:pPr>
            <w:r>
              <w:rPr>
                <w:color w:val="000000"/>
                <w:sz w:val="24"/>
              </w:rPr>
              <w:t>-0.12%</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1.28%</w:t>
            </w:r>
          </w:p>
        </w:tc>
        <w:tc>
          <w:tcPr>
            <w:vAlign w:val="center"/>
          </w:tcPr>
          <w:p>
            <w:pPr>
              <w:jc w:val="center"/>
            </w:pPr>
            <w:r>
              <w:rPr>
                <w:color w:val="000000"/>
                <w:sz w:val="24"/>
              </w:rPr>
              <w:t>0.03%</w:t>
            </w:r>
          </w:p>
        </w:tc>
        <w:tc>
          <w:tcPr>
            <w:vAlign w:val="center"/>
          </w:tcPr>
          <w:p>
            <w:pPr>
              <w:jc w:val="center"/>
            </w:pPr>
            <w:r>
              <w:rPr>
                <w:color w:val="000000"/>
                <w:sz w:val="24"/>
              </w:rPr>
              <w:t>1.23%</w:t>
            </w:r>
          </w:p>
        </w:tc>
        <w:tc>
          <w:tcPr>
            <w:vAlign w:val="center"/>
          </w:tcPr>
          <w:p>
            <w:pPr>
              <w:jc w:val="center"/>
            </w:pPr>
            <w:r>
              <w:rPr>
                <w:color w:val="000000"/>
                <w:sz w:val="24"/>
              </w:rPr>
              <w:t>0.02%</w:t>
            </w:r>
          </w:p>
        </w:tc>
        <w:tc>
          <w:tcPr>
            <w:vAlign w:val="center"/>
          </w:tcPr>
          <w:p>
            <w:pPr>
              <w:jc w:val="center"/>
            </w:pPr>
            <w:r>
              <w:rPr>
                <w:color w:val="000000"/>
                <w:sz w:val="24"/>
              </w:rPr>
              <w:t>0.05%</w:t>
            </w:r>
          </w:p>
        </w:tc>
        <w:tc>
          <w:tcPr>
            <w:vAlign w:val="center"/>
          </w:tcPr>
          <w:p>
            <w:pPr>
              <w:jc w:val="center"/>
            </w:pPr>
            <w:r>
              <w:rPr>
                <w:color w:val="000000"/>
                <w:sz w:val="24"/>
              </w:rPr>
              <w:t>0.01%</w:t>
            </w:r>
          </w:p>
        </w:tc>
      </w:tr>
      <w:tr>
        <w:tc>
          <w:tcPr>
            <w:vAlign w:val="center"/>
          </w:tcPr>
          <w:p>
            <w:pPr>
              <w:jc w:val="left"/>
            </w:pPr>
            <w:r>
              <w:rPr>
                <w:color w:val="000000"/>
                <w:sz w:val="24"/>
              </w:rPr>
              <w:t>过去一年</w:t>
            </w:r>
          </w:p>
        </w:tc>
        <w:tc>
          <w:tcPr>
            <w:vAlign w:val="center"/>
          </w:tcPr>
          <w:p>
            <w:pPr>
              <w:jc w:val="center"/>
            </w:pPr>
            <w:r>
              <w:rPr>
                <w:color w:val="000000"/>
                <w:sz w:val="24"/>
              </w:rPr>
              <w:t>2.92%</w:t>
            </w:r>
          </w:p>
        </w:tc>
        <w:tc>
          <w:tcPr>
            <w:vAlign w:val="center"/>
          </w:tcPr>
          <w:p>
            <w:pPr>
              <w:jc w:val="center"/>
            </w:pPr>
            <w:r>
              <w:rPr>
                <w:color w:val="000000"/>
                <w:sz w:val="24"/>
              </w:rPr>
              <w:t>0.02%</w:t>
            </w:r>
          </w:p>
        </w:tc>
        <w:tc>
          <w:tcPr>
            <w:vAlign w:val="center"/>
          </w:tcPr>
          <w:p>
            <w:pPr>
              <w:jc w:val="center"/>
            </w:pPr>
            <w:r>
              <w:rPr>
                <w:color w:val="000000"/>
                <w:sz w:val="24"/>
              </w:rPr>
              <w:t>2.89%</w:t>
            </w:r>
          </w:p>
        </w:tc>
        <w:tc>
          <w:tcPr>
            <w:vAlign w:val="center"/>
          </w:tcPr>
          <w:p>
            <w:pPr>
              <w:jc w:val="center"/>
            </w:pPr>
            <w:r>
              <w:rPr>
                <w:color w:val="000000"/>
                <w:sz w:val="24"/>
              </w:rPr>
              <w:t>0.02%</w:t>
            </w:r>
          </w:p>
        </w:tc>
        <w:tc>
          <w:tcPr>
            <w:vAlign w:val="center"/>
          </w:tcPr>
          <w:p>
            <w:pPr>
              <w:jc w:val="center"/>
            </w:pPr>
            <w:r>
              <w:rPr>
                <w:color w:val="000000"/>
                <w:sz w:val="24"/>
              </w:rPr>
              <w:t>0.03%</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5.17%</w:t>
            </w:r>
          </w:p>
        </w:tc>
        <w:tc>
          <w:tcPr>
            <w:vAlign w:val="center"/>
          </w:tcPr>
          <w:p>
            <w:pPr>
              <w:jc w:val="center"/>
            </w:pPr>
            <w:r>
              <w:rPr>
                <w:color w:val="000000"/>
                <w:sz w:val="24"/>
              </w:rPr>
              <w:t>0.02%</w:t>
            </w:r>
          </w:p>
        </w:tc>
        <w:tc>
          <w:tcPr>
            <w:vAlign w:val="center"/>
          </w:tcPr>
          <w:p>
            <w:pPr>
              <w:jc w:val="center"/>
            </w:pPr>
            <w:r>
              <w:rPr>
                <w:color w:val="000000"/>
                <w:sz w:val="24"/>
              </w:rPr>
              <w:t>5.08%</w:t>
            </w:r>
          </w:p>
        </w:tc>
        <w:tc>
          <w:tcPr>
            <w:vAlign w:val="center"/>
          </w:tcPr>
          <w:p>
            <w:pPr>
              <w:jc w:val="center"/>
            </w:pPr>
            <w:r>
              <w:rPr>
                <w:color w:val="000000"/>
                <w:sz w:val="24"/>
              </w:rPr>
              <w:t>0.02%</w:t>
            </w:r>
          </w:p>
        </w:tc>
        <w:tc>
          <w:tcPr>
            <w:vAlign w:val="center"/>
          </w:tcPr>
          <w:p>
            <w:pPr>
              <w:jc w:val="center"/>
            </w:pPr>
            <w:r>
              <w:rPr>
                <w:color w:val="000000"/>
                <w:sz w:val="24"/>
              </w:rPr>
              <w:t>0.09%</w:t>
            </w:r>
          </w:p>
        </w:tc>
        <w:tc>
          <w:tcPr>
            <w:vAlign w:val="center"/>
          </w:tcPr>
          <w:p>
            <w:pPr>
              <w:jc w:val="center"/>
            </w:pPr>
            <w:r>
              <w:rPr>
                <w:color w:val="000000"/>
                <w:sz w:val="24"/>
              </w:rPr>
              <w:t>0.00%</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易方达安瑞短债债券型证券投资基金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（2018年11月14日至2020年6月30日）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易方达安瑞短债债券A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易方达安瑞短债债券C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注：自基金合同生效至报告期末，A类基金份额净值增长率为5.47%，C类基金份额净值增长率为5.17%，同期业绩比较基准收益率为5.08%。</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货币市场基金的基金经理、易方达保证金收益货币市场基金的基金经理、易方达易理财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恒安定期开放债券型发起式证券投资基金的基金经理助理</w:t>
            </w:r>
          </w:p>
        </w:tc>
        <w:tc>
          <w:tcPr>
            <w:vAlign w:val="center"/>
          </w:tcPr>
          <w:p>
            <w:pPr>
              <w:jc w:val="center"/>
            </w:pPr>
            <w:r>
              <w:rPr>
                <w:color w:val="000000"/>
                <w:sz w:val="24"/>
              </w:rPr>
              <w:t>2018-11-14</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2018-11-14</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3.本基金基金经理王晓晨曾因休产假超过30日，在其休假期间，本基金由同为基金经理的石大怿继续进行管理。在本报告期内，基金经理王晓晨已结束休假恢复履职。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国内宏观经济在一季度经历了疫情的冲击后，二季度出现了企稳复苏的迹象，4月工业增加值同比增长3.9%，5月工业增加值同比增长4.4%，显示经济回升的速度虽然在放缓，但是仍然处于持续回升的过程中。投资的数据也在恢复，2020年1-5月份全国固定资产投资同比下降6.3%，降幅比1-3月份收窄9.8个百分点，从结构上看基建和制造业投资连续两个月回升，房地产投资在5月出现小幅回落。消费数据方面，4月和5月社会消费品零售总额同比下降分别为7.5%和2.8%，也呈现持续恢复的态势，其中服装、日用品等商品消费的恢复较快，餐饮消费拖累较多。通胀方面，4月和5月CPI同比分别上涨3.3%和2.4%，结构上，主要是食品价格明显低于预期，非食品价格总体来看基本符合预期，但从高频数据来看环比已经开始上涨，反映供需平衡的状况在持续改善。4月新增社会融资数据较好，5月社融数据符合市场预期，总体融资环境持续有所改善。</w:t>
      </w:r>
    </w:p>
    <w:p>
      <w:pPr>
        <w:spacing w:line="360" w:lineRule="auto"/>
        <w:ind w:firstLine="480" w:firstLineChars="200"/>
        <w:rPr>
          <w:color w:val="000000"/>
          <w:sz w:val="24"/>
        </w:rPr>
      </w:pPr>
      <w:r>
        <w:rPr>
          <w:color w:val="000000"/>
          <w:sz w:val="24"/>
        </w:rPr>
        <w:t>债券市场收益率在二季度先下后上，整体波动较大。季度初，海内外疫情的影响仍在持续，市场风险偏好仍处于低位。清明节期间央行实行了定向降准、下调超额准备金利率等操作，资金面整体非常宽松，长端收益率震荡下行。但到了5月上旬，货币政策进一步宽松不及预期叠加经济修复延续，长端收益率开始上行。随后，社融数据走高强化了经济修复的预期，收益率进一步大幅上行。其中短端上行幅度更大，收益率曲线呈现熊平走势。进入6月，资金面仍未好转，叠加首批1000亿元特别国债发行但央行无配套动作，市场情绪进一步悲观，资金利率上行推动长端收益率上行。直到半年末，央行适时开启逆回购呵护半年末流动性，市场情绪有所恢复，长端收益率趋于稳定。信用债走势与利率债类似，全季来看收益率整体大幅上行。</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操作方面，报告期内基金以剩余期限一年以内的高等级信用债、资产支持证券为主要配置资产，保持了相对较短的剩余期限和较低的杠杆率。总体来看，本基金在二季度取得了较好的收益率。</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1.0027元，本报告期份额净值增长率为0.24%，同期业绩比较基准收益率为0.31%；C类基金份额净值为1.0028元，本报告期份额净值增长率为0.19%，同期业绩比较基准收益率为0.31%。</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3,421,936,500.80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96.55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3,236,928,900.80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91.33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185,007,600.00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5.22</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3,278,091.37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0.09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119,163,558.53</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3.36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3,544,378,150.70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160,718,000.00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5.41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160,718,000.00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5.41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518,410,300.80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17.44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770,731,000.00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25.94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1,787,069,600.00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60.13</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3,236,928,900.80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108.92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012000338</w:t>
            </w:r>
          </w:p>
        </w:tc>
        <w:tc>
          <w:tcPr>
            <w:vAlign w:val="center"/>
          </w:tcPr>
          <w:p>
            <w:pPr>
              <w:jc w:val="center"/>
            </w:pPr>
            <w:r>
              <w:rPr>
                <w:color w:val="000000"/>
                <w:sz w:val="24"/>
              </w:rPr>
              <w:t>20陕有色SCP002</w:t>
            </w:r>
          </w:p>
        </w:tc>
        <w:tc>
          <w:tcPr>
            <w:vAlign w:val="center"/>
          </w:tcPr>
          <w:p>
            <w:pPr>
              <w:jc w:val="right"/>
            </w:pPr>
            <w:r>
              <w:rPr>
                <w:color w:val="000000"/>
                <w:sz w:val="24"/>
              </w:rPr>
              <w:t>1,500,000</w:t>
            </w:r>
          </w:p>
        </w:tc>
        <w:tc>
          <w:tcPr>
            <w:vAlign w:val="center"/>
          </w:tcPr>
          <w:p>
            <w:pPr>
              <w:jc w:val="right"/>
            </w:pPr>
            <w:r>
              <w:rPr>
                <w:color w:val="000000"/>
                <w:sz w:val="24"/>
              </w:rPr>
              <w:t>150,255,000.00</w:t>
            </w:r>
          </w:p>
        </w:tc>
        <w:tc>
          <w:tcPr>
            <w:vAlign w:val="center"/>
          </w:tcPr>
          <w:p>
            <w:pPr>
              <w:jc w:val="right"/>
            </w:pPr>
            <w:r>
              <w:rPr>
                <w:color w:val="000000"/>
                <w:sz w:val="24"/>
              </w:rPr>
              <w:t>5.06</w:t>
            </w:r>
          </w:p>
        </w:tc>
      </w:tr>
      <w:tr>
        <w:tc>
          <w:tcPr>
            <w:vAlign w:val="center"/>
          </w:tcPr>
          <w:p>
            <w:pPr>
              <w:jc w:val="center"/>
            </w:pPr>
            <w:r>
              <w:rPr>
                <w:color w:val="000000"/>
                <w:sz w:val="24"/>
              </w:rPr>
              <w:t>2</w:t>
            </w:r>
          </w:p>
        </w:tc>
        <w:tc>
          <w:tcPr>
            <w:vAlign w:val="center"/>
          </w:tcPr>
          <w:p>
            <w:pPr>
              <w:jc w:val="center"/>
            </w:pPr>
            <w:r>
              <w:rPr>
                <w:color w:val="000000"/>
                <w:sz w:val="24"/>
              </w:rPr>
              <w:t>101751026</w:t>
            </w:r>
          </w:p>
        </w:tc>
        <w:tc>
          <w:tcPr>
            <w:vAlign w:val="center"/>
          </w:tcPr>
          <w:p>
            <w:pPr>
              <w:jc w:val="center"/>
            </w:pPr>
            <w:r>
              <w:rPr>
                <w:color w:val="000000"/>
                <w:sz w:val="24"/>
              </w:rPr>
              <w:t>17天津轨交MTN001</w:t>
            </w:r>
          </w:p>
        </w:tc>
        <w:tc>
          <w:tcPr>
            <w:vAlign w:val="center"/>
          </w:tcPr>
          <w:p>
            <w:pPr>
              <w:jc w:val="right"/>
            </w:pPr>
            <w:r>
              <w:rPr>
                <w:color w:val="000000"/>
                <w:sz w:val="24"/>
              </w:rPr>
              <w:t>1,300,000</w:t>
            </w:r>
          </w:p>
        </w:tc>
        <w:tc>
          <w:tcPr>
            <w:vAlign w:val="center"/>
          </w:tcPr>
          <w:p>
            <w:pPr>
              <w:jc w:val="right"/>
            </w:pPr>
            <w:r>
              <w:rPr>
                <w:color w:val="000000"/>
                <w:sz w:val="24"/>
              </w:rPr>
              <w:t>131,443,000.00</w:t>
            </w:r>
          </w:p>
        </w:tc>
        <w:tc>
          <w:tcPr>
            <w:vAlign w:val="center"/>
          </w:tcPr>
          <w:p>
            <w:pPr>
              <w:jc w:val="right"/>
            </w:pPr>
            <w:r>
              <w:rPr>
                <w:color w:val="000000"/>
                <w:sz w:val="24"/>
              </w:rPr>
              <w:t>4.42</w:t>
            </w:r>
          </w:p>
        </w:tc>
      </w:tr>
      <w:tr>
        <w:tc>
          <w:tcPr>
            <w:vAlign w:val="center"/>
          </w:tcPr>
          <w:p>
            <w:pPr>
              <w:jc w:val="center"/>
            </w:pPr>
            <w:r>
              <w:rPr>
                <w:color w:val="000000"/>
                <w:sz w:val="24"/>
              </w:rPr>
              <w:t>3</w:t>
            </w:r>
          </w:p>
        </w:tc>
        <w:tc>
          <w:tcPr>
            <w:vAlign w:val="center"/>
          </w:tcPr>
          <w:p>
            <w:pPr>
              <w:jc w:val="center"/>
            </w:pPr>
            <w:r>
              <w:rPr>
                <w:color w:val="000000"/>
                <w:sz w:val="24"/>
              </w:rPr>
              <w:t>170209</w:t>
            </w:r>
          </w:p>
        </w:tc>
        <w:tc>
          <w:tcPr>
            <w:vAlign w:val="center"/>
          </w:tcPr>
          <w:p>
            <w:pPr>
              <w:jc w:val="center"/>
            </w:pPr>
            <w:r>
              <w:rPr>
                <w:color w:val="000000"/>
                <w:sz w:val="24"/>
              </w:rPr>
              <w:t>17国开09</w:t>
            </w:r>
          </w:p>
        </w:tc>
        <w:tc>
          <w:tcPr>
            <w:vAlign w:val="center"/>
          </w:tcPr>
          <w:p>
            <w:pPr>
              <w:jc w:val="right"/>
            </w:pPr>
            <w:r>
              <w:rPr>
                <w:color w:val="000000"/>
                <w:sz w:val="24"/>
              </w:rPr>
              <w:t>1,200,000</w:t>
            </w:r>
          </w:p>
        </w:tc>
        <w:tc>
          <w:tcPr>
            <w:vAlign w:val="center"/>
          </w:tcPr>
          <w:p>
            <w:pPr>
              <w:jc w:val="right"/>
            </w:pPr>
            <w:r>
              <w:rPr>
                <w:color w:val="000000"/>
                <w:sz w:val="24"/>
              </w:rPr>
              <w:t>120,552,000.00</w:t>
            </w:r>
          </w:p>
        </w:tc>
        <w:tc>
          <w:tcPr>
            <w:vAlign w:val="center"/>
          </w:tcPr>
          <w:p>
            <w:pPr>
              <w:jc w:val="right"/>
            </w:pPr>
            <w:r>
              <w:rPr>
                <w:color w:val="000000"/>
                <w:sz w:val="24"/>
              </w:rPr>
              <w:t>4.06</w:t>
            </w:r>
          </w:p>
        </w:tc>
      </w:tr>
      <w:tr>
        <w:tc>
          <w:tcPr>
            <w:vAlign w:val="center"/>
          </w:tcPr>
          <w:p>
            <w:pPr>
              <w:jc w:val="center"/>
            </w:pPr>
            <w:r>
              <w:rPr>
                <w:color w:val="000000"/>
                <w:sz w:val="24"/>
              </w:rPr>
              <w:t>4</w:t>
            </w:r>
          </w:p>
        </w:tc>
        <w:tc>
          <w:tcPr>
            <w:vAlign w:val="center"/>
          </w:tcPr>
          <w:p>
            <w:pPr>
              <w:jc w:val="center"/>
            </w:pPr>
            <w:r>
              <w:rPr>
                <w:color w:val="000000"/>
                <w:sz w:val="24"/>
              </w:rPr>
              <w:t>011902296</w:t>
            </w:r>
          </w:p>
        </w:tc>
        <w:tc>
          <w:tcPr>
            <w:vAlign w:val="center"/>
          </w:tcPr>
          <w:p>
            <w:pPr>
              <w:jc w:val="center"/>
            </w:pPr>
            <w:r>
              <w:rPr>
                <w:color w:val="000000"/>
                <w:sz w:val="24"/>
              </w:rPr>
              <w:t>19首钢SCP010</w:t>
            </w:r>
          </w:p>
        </w:tc>
        <w:tc>
          <w:tcPr>
            <w:vAlign w:val="center"/>
          </w:tcPr>
          <w:p>
            <w:pPr>
              <w:jc w:val="right"/>
            </w:pPr>
            <w:r>
              <w:rPr>
                <w:color w:val="000000"/>
                <w:sz w:val="24"/>
              </w:rPr>
              <w:t>1,000,000</w:t>
            </w:r>
          </w:p>
        </w:tc>
        <w:tc>
          <w:tcPr>
            <w:vAlign w:val="center"/>
          </w:tcPr>
          <w:p>
            <w:pPr>
              <w:jc w:val="right"/>
            </w:pPr>
            <w:r>
              <w:rPr>
                <w:color w:val="000000"/>
                <w:sz w:val="24"/>
              </w:rPr>
              <w:t>100,470,000.00</w:t>
            </w:r>
          </w:p>
        </w:tc>
        <w:tc>
          <w:tcPr>
            <w:vAlign w:val="center"/>
          </w:tcPr>
          <w:p>
            <w:pPr>
              <w:jc w:val="right"/>
            </w:pPr>
            <w:r>
              <w:rPr>
                <w:color w:val="000000"/>
                <w:sz w:val="24"/>
              </w:rPr>
              <w:t>3.38</w:t>
            </w:r>
          </w:p>
        </w:tc>
      </w:tr>
      <w:tr>
        <w:tc>
          <w:tcPr>
            <w:vAlign w:val="center"/>
          </w:tcPr>
          <w:p>
            <w:pPr>
              <w:jc w:val="center"/>
            </w:pPr>
            <w:r>
              <w:rPr>
                <w:color w:val="000000"/>
                <w:sz w:val="24"/>
              </w:rPr>
              <w:t>5</w:t>
            </w:r>
          </w:p>
        </w:tc>
        <w:tc>
          <w:tcPr>
            <w:vAlign w:val="center"/>
          </w:tcPr>
          <w:p>
            <w:pPr>
              <w:jc w:val="center"/>
            </w:pPr>
            <w:r>
              <w:rPr>
                <w:color w:val="000000"/>
                <w:sz w:val="24"/>
              </w:rPr>
              <w:t>012002118</w:t>
            </w:r>
          </w:p>
        </w:tc>
        <w:tc>
          <w:tcPr>
            <w:vAlign w:val="center"/>
          </w:tcPr>
          <w:p>
            <w:pPr>
              <w:jc w:val="center"/>
            </w:pPr>
            <w:r>
              <w:rPr>
                <w:color w:val="000000"/>
                <w:sz w:val="24"/>
              </w:rPr>
              <w:t>20中铝集SCP005</w:t>
            </w:r>
          </w:p>
        </w:tc>
        <w:tc>
          <w:tcPr>
            <w:vAlign w:val="center"/>
          </w:tcPr>
          <w:p>
            <w:pPr>
              <w:jc w:val="right"/>
            </w:pPr>
            <w:r>
              <w:rPr>
                <w:color w:val="000000"/>
                <w:sz w:val="24"/>
              </w:rPr>
              <w:t>1,000,000</w:t>
            </w:r>
          </w:p>
        </w:tc>
        <w:tc>
          <w:tcPr>
            <w:vAlign w:val="center"/>
          </w:tcPr>
          <w:p>
            <w:pPr>
              <w:jc w:val="right"/>
            </w:pPr>
            <w:r>
              <w:rPr>
                <w:color w:val="000000"/>
                <w:sz w:val="24"/>
              </w:rPr>
              <w:t>99,010,000.00</w:t>
            </w:r>
          </w:p>
        </w:tc>
        <w:tc>
          <w:tcPr>
            <w:vAlign w:val="center"/>
          </w:tcPr>
          <w:p>
            <w:pPr>
              <w:jc w:val="right"/>
            </w:pPr>
            <w:r>
              <w:rPr>
                <w:color w:val="000000"/>
                <w:sz w:val="24"/>
              </w:rPr>
              <w:t>3.33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138235</w:t>
            </w:r>
          </w:p>
        </w:tc>
        <w:tc>
          <w:tcPr>
            <w:vAlign w:val="center"/>
          </w:tcPr>
          <w:p>
            <w:pPr>
              <w:jc w:val="center"/>
            </w:pPr>
            <w:r>
              <w:rPr>
                <w:color w:val="000000"/>
                <w:sz w:val="24"/>
              </w:rPr>
              <w:t>瑞新7A1</w:t>
            </w:r>
          </w:p>
        </w:tc>
        <w:tc>
          <w:tcPr>
            <w:vAlign w:val="center"/>
          </w:tcPr>
          <w:p>
            <w:pPr>
              <w:jc w:val="right"/>
            </w:pPr>
            <w:r>
              <w:rPr>
                <w:color w:val="000000"/>
                <w:sz w:val="24"/>
              </w:rPr>
              <w:t>360,000</w:t>
            </w:r>
          </w:p>
        </w:tc>
        <w:tc>
          <w:tcPr>
            <w:vAlign w:val="center"/>
          </w:tcPr>
          <w:p>
            <w:pPr>
              <w:jc w:val="right"/>
            </w:pPr>
            <w:r>
              <w:rPr>
                <w:color w:val="000000"/>
                <w:sz w:val="24"/>
              </w:rPr>
              <w:t>36,216,000.00</w:t>
            </w:r>
          </w:p>
        </w:tc>
        <w:tc>
          <w:tcPr>
            <w:vAlign w:val="center"/>
          </w:tcPr>
          <w:p>
            <w:pPr>
              <w:jc w:val="right"/>
            </w:pPr>
            <w:r>
              <w:rPr>
                <w:color w:val="000000"/>
                <w:sz w:val="24"/>
              </w:rPr>
              <w:t>1.22</w:t>
            </w:r>
          </w:p>
        </w:tc>
      </w:tr>
      <w:tr>
        <w:tc>
          <w:tcPr>
            <w:vAlign w:val="center"/>
          </w:tcPr>
          <w:p>
            <w:pPr>
              <w:jc w:val="center"/>
            </w:pPr>
            <w:r>
              <w:rPr>
                <w:color w:val="000000"/>
                <w:sz w:val="24"/>
              </w:rPr>
              <w:t>2</w:t>
            </w:r>
          </w:p>
        </w:tc>
        <w:tc>
          <w:tcPr>
            <w:vAlign w:val="center"/>
          </w:tcPr>
          <w:p>
            <w:pPr>
              <w:jc w:val="center"/>
            </w:pPr>
            <w:r>
              <w:rPr>
                <w:color w:val="000000"/>
                <w:sz w:val="24"/>
              </w:rPr>
              <w:t>138237</w:t>
            </w:r>
          </w:p>
        </w:tc>
        <w:tc>
          <w:tcPr>
            <w:vAlign w:val="center"/>
          </w:tcPr>
          <w:p>
            <w:pPr>
              <w:jc w:val="center"/>
            </w:pPr>
            <w:r>
              <w:rPr>
                <w:color w:val="000000"/>
                <w:sz w:val="24"/>
              </w:rPr>
              <w:t>国链15A1</w:t>
            </w:r>
          </w:p>
        </w:tc>
        <w:tc>
          <w:tcPr>
            <w:vAlign w:val="center"/>
          </w:tcPr>
          <w:p>
            <w:pPr>
              <w:jc w:val="right"/>
            </w:pPr>
            <w:r>
              <w:rPr>
                <w:color w:val="000000"/>
                <w:sz w:val="24"/>
              </w:rPr>
              <w:t>300,000</w:t>
            </w:r>
          </w:p>
        </w:tc>
        <w:tc>
          <w:tcPr>
            <w:vAlign w:val="center"/>
          </w:tcPr>
          <w:p>
            <w:pPr>
              <w:jc w:val="right"/>
            </w:pPr>
            <w:r>
              <w:rPr>
                <w:color w:val="000000"/>
                <w:sz w:val="24"/>
              </w:rPr>
              <w:t>30,177,000.00</w:t>
            </w:r>
          </w:p>
        </w:tc>
        <w:tc>
          <w:tcPr>
            <w:vAlign w:val="center"/>
          </w:tcPr>
          <w:p>
            <w:pPr>
              <w:jc w:val="right"/>
            </w:pPr>
            <w:r>
              <w:rPr>
                <w:color w:val="000000"/>
                <w:sz w:val="24"/>
              </w:rPr>
              <w:t>1.02</w:t>
            </w:r>
          </w:p>
        </w:tc>
      </w:tr>
      <w:tr>
        <w:tc>
          <w:tcPr>
            <w:vAlign w:val="center"/>
          </w:tcPr>
          <w:p>
            <w:pPr>
              <w:jc w:val="center"/>
            </w:pPr>
            <w:r>
              <w:rPr>
                <w:color w:val="000000"/>
                <w:sz w:val="24"/>
              </w:rPr>
              <w:t>3</w:t>
            </w:r>
          </w:p>
        </w:tc>
        <w:tc>
          <w:tcPr>
            <w:vAlign w:val="center"/>
          </w:tcPr>
          <w:p>
            <w:pPr>
              <w:jc w:val="center"/>
            </w:pPr>
            <w:r>
              <w:rPr>
                <w:color w:val="000000"/>
                <w:sz w:val="24"/>
              </w:rPr>
              <w:t>138261</w:t>
            </w:r>
          </w:p>
        </w:tc>
        <w:tc>
          <w:tcPr>
            <w:vAlign w:val="center"/>
          </w:tcPr>
          <w:p>
            <w:pPr>
              <w:jc w:val="center"/>
            </w:pPr>
            <w:r>
              <w:rPr>
                <w:color w:val="000000"/>
                <w:sz w:val="24"/>
              </w:rPr>
              <w:t>联易融17</w:t>
            </w:r>
          </w:p>
        </w:tc>
        <w:tc>
          <w:tcPr>
            <w:vAlign w:val="center"/>
          </w:tcPr>
          <w:p>
            <w:pPr>
              <w:jc w:val="right"/>
            </w:pPr>
            <w:r>
              <w:rPr>
                <w:color w:val="000000"/>
                <w:sz w:val="24"/>
              </w:rPr>
              <w:t>290,000</w:t>
            </w:r>
          </w:p>
        </w:tc>
        <w:tc>
          <w:tcPr>
            <w:vAlign w:val="center"/>
          </w:tcPr>
          <w:p>
            <w:pPr>
              <w:jc w:val="right"/>
            </w:pPr>
            <w:r>
              <w:rPr>
                <w:color w:val="000000"/>
                <w:sz w:val="24"/>
              </w:rPr>
              <w:t>29,174,000.00</w:t>
            </w:r>
          </w:p>
        </w:tc>
        <w:tc>
          <w:tcPr>
            <w:vAlign w:val="center"/>
          </w:tcPr>
          <w:p>
            <w:pPr>
              <w:jc w:val="right"/>
            </w:pPr>
            <w:r>
              <w:rPr>
                <w:color w:val="000000"/>
                <w:sz w:val="24"/>
              </w:rPr>
              <w:t>0.98</w:t>
            </w:r>
          </w:p>
        </w:tc>
      </w:tr>
      <w:tr>
        <w:tc>
          <w:tcPr>
            <w:vAlign w:val="center"/>
          </w:tcPr>
          <w:p>
            <w:pPr>
              <w:jc w:val="center"/>
            </w:pPr>
            <w:r>
              <w:rPr>
                <w:color w:val="000000"/>
                <w:sz w:val="24"/>
              </w:rPr>
              <w:t>4</w:t>
            </w:r>
          </w:p>
        </w:tc>
        <w:tc>
          <w:tcPr>
            <w:vAlign w:val="center"/>
          </w:tcPr>
          <w:p>
            <w:pPr>
              <w:jc w:val="center"/>
            </w:pPr>
            <w:r>
              <w:rPr>
                <w:color w:val="000000"/>
                <w:sz w:val="24"/>
              </w:rPr>
              <w:t>138236</w:t>
            </w:r>
          </w:p>
        </w:tc>
        <w:tc>
          <w:tcPr>
            <w:vAlign w:val="center"/>
          </w:tcPr>
          <w:p>
            <w:pPr>
              <w:jc w:val="center"/>
            </w:pPr>
            <w:r>
              <w:rPr>
                <w:color w:val="000000"/>
                <w:sz w:val="24"/>
              </w:rPr>
              <w:t>瑞新8A1</w:t>
            </w:r>
          </w:p>
        </w:tc>
        <w:tc>
          <w:tcPr>
            <w:vAlign w:val="center"/>
          </w:tcPr>
          <w:p>
            <w:pPr>
              <w:jc w:val="right"/>
            </w:pPr>
            <w:r>
              <w:rPr>
                <w:color w:val="000000"/>
                <w:sz w:val="24"/>
              </w:rPr>
              <w:t>200,000</w:t>
            </w:r>
          </w:p>
        </w:tc>
        <w:tc>
          <w:tcPr>
            <w:vAlign w:val="center"/>
          </w:tcPr>
          <w:p>
            <w:pPr>
              <w:jc w:val="right"/>
            </w:pPr>
            <w:r>
              <w:rPr>
                <w:color w:val="000000"/>
                <w:sz w:val="24"/>
              </w:rPr>
              <w:t>20,120,000.00</w:t>
            </w:r>
          </w:p>
        </w:tc>
        <w:tc>
          <w:tcPr>
            <w:vAlign w:val="center"/>
          </w:tcPr>
          <w:p>
            <w:pPr>
              <w:jc w:val="right"/>
            </w:pPr>
            <w:r>
              <w:rPr>
                <w:color w:val="000000"/>
                <w:sz w:val="24"/>
              </w:rPr>
              <w:t>0.68</w:t>
            </w:r>
          </w:p>
        </w:tc>
      </w:tr>
      <w:tr>
        <w:tc>
          <w:tcPr>
            <w:vAlign w:val="center"/>
          </w:tcPr>
          <w:p>
            <w:pPr>
              <w:jc w:val="center"/>
            </w:pPr>
            <w:r>
              <w:rPr>
                <w:color w:val="000000"/>
                <w:sz w:val="24"/>
              </w:rPr>
              <w:t>5</w:t>
            </w:r>
          </w:p>
        </w:tc>
        <w:tc>
          <w:tcPr>
            <w:vAlign w:val="center"/>
          </w:tcPr>
          <w:p>
            <w:pPr>
              <w:jc w:val="center"/>
            </w:pPr>
            <w:r>
              <w:rPr>
                <w:color w:val="000000"/>
                <w:sz w:val="24"/>
              </w:rPr>
              <w:t>138260</w:t>
            </w:r>
          </w:p>
        </w:tc>
        <w:tc>
          <w:tcPr>
            <w:vAlign w:val="center"/>
          </w:tcPr>
          <w:p>
            <w:pPr>
              <w:jc w:val="center"/>
            </w:pPr>
            <w:r>
              <w:rPr>
                <w:color w:val="000000"/>
                <w:sz w:val="24"/>
              </w:rPr>
              <w:t>链融18A1</w:t>
            </w:r>
          </w:p>
        </w:tc>
        <w:tc>
          <w:tcPr>
            <w:vAlign w:val="center"/>
          </w:tcPr>
          <w:p>
            <w:pPr>
              <w:jc w:val="right"/>
            </w:pPr>
            <w:r>
              <w:rPr>
                <w:color w:val="000000"/>
                <w:sz w:val="24"/>
              </w:rPr>
              <w:t>200,000</w:t>
            </w:r>
          </w:p>
        </w:tc>
        <w:tc>
          <w:tcPr>
            <w:vAlign w:val="center"/>
          </w:tcPr>
          <w:p>
            <w:pPr>
              <w:jc w:val="right"/>
            </w:pPr>
            <w:r>
              <w:rPr>
                <w:color w:val="000000"/>
                <w:sz w:val="24"/>
              </w:rPr>
              <w:t>20,116,000.00</w:t>
            </w:r>
          </w:p>
        </w:tc>
        <w:tc>
          <w:tcPr>
            <w:vAlign w:val="center"/>
          </w:tcPr>
          <w:p>
            <w:pPr>
              <w:jc w:val="right"/>
            </w:pPr>
            <w:r>
              <w:rPr>
                <w:color w:val="000000"/>
                <w:sz w:val="24"/>
              </w:rPr>
              <w:t>0.68</w:t>
            </w:r>
          </w:p>
        </w:tc>
      </w:tr>
      <w:tr>
        <w:tc>
          <w:tcPr>
            <w:vAlign w:val="center"/>
          </w:tcPr>
          <w:p>
            <w:pPr>
              <w:jc w:val="center"/>
            </w:pPr>
            <w:r>
              <w:rPr>
                <w:color w:val="000000"/>
                <w:sz w:val="24"/>
              </w:rPr>
              <w:t>6</w:t>
            </w:r>
          </w:p>
        </w:tc>
        <w:tc>
          <w:tcPr>
            <w:vAlign w:val="center"/>
          </w:tcPr>
          <w:p>
            <w:pPr>
              <w:jc w:val="center"/>
            </w:pPr>
            <w:r>
              <w:rPr>
                <w:color w:val="000000"/>
                <w:sz w:val="24"/>
              </w:rPr>
              <w:t>138251</w:t>
            </w:r>
          </w:p>
        </w:tc>
        <w:tc>
          <w:tcPr>
            <w:vAlign w:val="center"/>
          </w:tcPr>
          <w:p>
            <w:pPr>
              <w:jc w:val="center"/>
            </w:pPr>
            <w:r>
              <w:rPr>
                <w:color w:val="000000"/>
                <w:sz w:val="24"/>
              </w:rPr>
              <w:t>诚意2A1</w:t>
            </w:r>
          </w:p>
        </w:tc>
        <w:tc>
          <w:tcPr>
            <w:vAlign w:val="center"/>
          </w:tcPr>
          <w:p>
            <w:pPr>
              <w:jc w:val="right"/>
            </w:pPr>
            <w:r>
              <w:rPr>
                <w:color w:val="000000"/>
                <w:sz w:val="24"/>
              </w:rPr>
              <w:t>140,000</w:t>
            </w:r>
          </w:p>
        </w:tc>
        <w:tc>
          <w:tcPr>
            <w:vAlign w:val="center"/>
          </w:tcPr>
          <w:p>
            <w:pPr>
              <w:jc w:val="right"/>
            </w:pPr>
            <w:r>
              <w:rPr>
                <w:color w:val="000000"/>
                <w:sz w:val="24"/>
              </w:rPr>
              <w:t>14,082,600.00</w:t>
            </w:r>
          </w:p>
        </w:tc>
        <w:tc>
          <w:tcPr>
            <w:vAlign w:val="center"/>
          </w:tcPr>
          <w:p>
            <w:pPr>
              <w:jc w:val="right"/>
            </w:pPr>
            <w:r>
              <w:rPr>
                <w:color w:val="000000"/>
                <w:sz w:val="24"/>
              </w:rPr>
              <w:t>0.47</w:t>
            </w:r>
          </w:p>
        </w:tc>
      </w:tr>
      <w:tr>
        <w:tc>
          <w:tcPr>
            <w:vAlign w:val="center"/>
          </w:tcPr>
          <w:p>
            <w:pPr>
              <w:jc w:val="center"/>
            </w:pPr>
            <w:r>
              <w:rPr>
                <w:color w:val="000000"/>
                <w:sz w:val="24"/>
              </w:rPr>
              <w:t>7</w:t>
            </w:r>
          </w:p>
        </w:tc>
        <w:tc>
          <w:tcPr>
            <w:vAlign w:val="center"/>
          </w:tcPr>
          <w:p>
            <w:pPr>
              <w:jc w:val="center"/>
            </w:pPr>
            <w:r>
              <w:rPr>
                <w:color w:val="000000"/>
                <w:sz w:val="24"/>
              </w:rPr>
              <w:t>138221</w:t>
            </w:r>
          </w:p>
        </w:tc>
        <w:tc>
          <w:tcPr>
            <w:vAlign w:val="center"/>
          </w:tcPr>
          <w:p>
            <w:pPr>
              <w:jc w:val="center"/>
            </w:pPr>
            <w:r>
              <w:rPr>
                <w:color w:val="000000"/>
                <w:sz w:val="24"/>
              </w:rPr>
              <w:t>绿金6A1</w:t>
            </w:r>
          </w:p>
        </w:tc>
        <w:tc>
          <w:tcPr>
            <w:vAlign w:val="center"/>
          </w:tcPr>
          <w:p>
            <w:pPr>
              <w:jc w:val="right"/>
            </w:pPr>
            <w:r>
              <w:rPr>
                <w:color w:val="000000"/>
                <w:sz w:val="24"/>
              </w:rPr>
              <w:t>100,000</w:t>
            </w:r>
          </w:p>
        </w:tc>
        <w:tc>
          <w:tcPr>
            <w:vAlign w:val="center"/>
          </w:tcPr>
          <w:p>
            <w:pPr>
              <w:jc w:val="right"/>
            </w:pPr>
            <w:r>
              <w:rPr>
                <w:color w:val="000000"/>
                <w:sz w:val="24"/>
              </w:rPr>
              <w:t>10,063,000.00</w:t>
            </w:r>
          </w:p>
        </w:tc>
        <w:tc>
          <w:tcPr>
            <w:vAlign w:val="center"/>
          </w:tcPr>
          <w:p>
            <w:pPr>
              <w:jc w:val="right"/>
            </w:pPr>
            <w:r>
              <w:rPr>
                <w:color w:val="000000"/>
                <w:sz w:val="24"/>
              </w:rPr>
              <w:t>0.34</w:t>
            </w:r>
          </w:p>
        </w:tc>
      </w:tr>
      <w:tr>
        <w:tc>
          <w:tcPr>
            <w:vAlign w:val="center"/>
          </w:tcPr>
          <w:p>
            <w:pPr>
              <w:jc w:val="center"/>
            </w:pPr>
            <w:r>
              <w:rPr>
                <w:color w:val="000000"/>
                <w:sz w:val="24"/>
              </w:rPr>
              <w:t>8</w:t>
            </w:r>
          </w:p>
        </w:tc>
        <w:tc>
          <w:tcPr>
            <w:vAlign w:val="center"/>
          </w:tcPr>
          <w:p>
            <w:pPr>
              <w:jc w:val="center"/>
            </w:pPr>
            <w:r>
              <w:rPr>
                <w:color w:val="000000"/>
                <w:sz w:val="24"/>
              </w:rPr>
              <w:t>138364</w:t>
            </w:r>
          </w:p>
        </w:tc>
        <w:tc>
          <w:tcPr>
            <w:vAlign w:val="center"/>
          </w:tcPr>
          <w:p>
            <w:pPr>
              <w:jc w:val="center"/>
            </w:pPr>
            <w:r>
              <w:rPr>
                <w:color w:val="000000"/>
                <w:sz w:val="24"/>
              </w:rPr>
              <w:t>南链优03</w:t>
            </w:r>
          </w:p>
        </w:tc>
        <w:tc>
          <w:tcPr>
            <w:vAlign w:val="center"/>
          </w:tcPr>
          <w:p>
            <w:pPr>
              <w:jc w:val="right"/>
            </w:pPr>
            <w:r>
              <w:rPr>
                <w:color w:val="000000"/>
                <w:sz w:val="24"/>
              </w:rPr>
              <w:t>100,000</w:t>
            </w:r>
          </w:p>
        </w:tc>
        <w:tc>
          <w:tcPr>
            <w:vAlign w:val="center"/>
          </w:tcPr>
          <w:p>
            <w:pPr>
              <w:jc w:val="right"/>
            </w:pPr>
            <w:r>
              <w:rPr>
                <w:color w:val="000000"/>
                <w:sz w:val="24"/>
              </w:rPr>
              <w:t>10,050,000.00</w:t>
            </w:r>
          </w:p>
        </w:tc>
        <w:tc>
          <w:tcPr>
            <w:vAlign w:val="center"/>
          </w:tcPr>
          <w:p>
            <w:pPr>
              <w:jc w:val="right"/>
            </w:pPr>
            <w:r>
              <w:rPr>
                <w:color w:val="000000"/>
                <w:sz w:val="24"/>
              </w:rPr>
              <w:t>0.34</w:t>
            </w:r>
          </w:p>
        </w:tc>
      </w:tr>
      <w:tr>
        <w:tc>
          <w:tcPr>
            <w:vAlign w:val="center"/>
          </w:tcPr>
          <w:p>
            <w:pPr>
              <w:jc w:val="center"/>
            </w:pPr>
            <w:r>
              <w:rPr>
                <w:color w:val="000000"/>
                <w:sz w:val="24"/>
              </w:rPr>
              <w:t>9</w:t>
            </w:r>
          </w:p>
        </w:tc>
        <w:tc>
          <w:tcPr>
            <w:vAlign w:val="center"/>
          </w:tcPr>
          <w:p>
            <w:pPr>
              <w:jc w:val="center"/>
            </w:pPr>
            <w:r>
              <w:rPr>
                <w:color w:val="000000"/>
                <w:sz w:val="24"/>
              </w:rPr>
              <w:t>165695</w:t>
            </w:r>
          </w:p>
        </w:tc>
        <w:tc>
          <w:tcPr>
            <w:vAlign w:val="center"/>
          </w:tcPr>
          <w:p>
            <w:pPr>
              <w:jc w:val="center"/>
            </w:pPr>
            <w:r>
              <w:rPr>
                <w:color w:val="000000"/>
                <w:sz w:val="24"/>
              </w:rPr>
              <w:t>金地14A</w:t>
            </w:r>
          </w:p>
        </w:tc>
        <w:tc>
          <w:tcPr>
            <w:vAlign w:val="center"/>
          </w:tcPr>
          <w:p>
            <w:pPr>
              <w:jc w:val="right"/>
            </w:pPr>
            <w:r>
              <w:rPr>
                <w:color w:val="000000"/>
                <w:sz w:val="24"/>
              </w:rPr>
              <w:t>100,000</w:t>
            </w:r>
          </w:p>
        </w:tc>
        <w:tc>
          <w:tcPr>
            <w:vAlign w:val="center"/>
          </w:tcPr>
          <w:p>
            <w:pPr>
              <w:jc w:val="right"/>
            </w:pPr>
            <w:r>
              <w:rPr>
                <w:color w:val="000000"/>
                <w:sz w:val="24"/>
              </w:rPr>
              <w:t>10,009,000.00</w:t>
            </w:r>
          </w:p>
        </w:tc>
        <w:tc>
          <w:tcPr>
            <w:vAlign w:val="center"/>
          </w:tcPr>
          <w:p>
            <w:pPr>
              <w:jc w:val="right"/>
            </w:pPr>
            <w:r>
              <w:rPr>
                <w:color w:val="000000"/>
                <w:sz w:val="24"/>
              </w:rPr>
              <w:t>0.34</w:t>
            </w:r>
          </w:p>
        </w:tc>
      </w:tr>
      <w:tr>
        <w:tc>
          <w:tcPr>
            <w:vAlign w:val="center"/>
          </w:tcPr>
          <w:p>
            <w:pPr>
              <w:jc w:val="center"/>
            </w:pPr>
            <w:r>
              <w:rPr>
                <w:color w:val="000000"/>
                <w:sz w:val="24"/>
              </w:rPr>
              <w:t>10</w:t>
            </w:r>
          </w:p>
        </w:tc>
        <w:tc>
          <w:tcPr>
            <w:vAlign w:val="center"/>
          </w:tcPr>
          <w:p>
            <w:pPr>
              <w:jc w:val="center"/>
            </w:pPr>
            <w:r>
              <w:rPr>
                <w:color w:val="000000"/>
                <w:sz w:val="24"/>
              </w:rPr>
              <w:t>165867</w:t>
            </w:r>
          </w:p>
        </w:tc>
        <w:tc>
          <w:tcPr>
            <w:vAlign w:val="center"/>
          </w:tcPr>
          <w:p>
            <w:pPr>
              <w:jc w:val="center"/>
            </w:pPr>
            <w:r>
              <w:rPr>
                <w:color w:val="000000"/>
                <w:sz w:val="24"/>
              </w:rPr>
              <w:t>威新05优</w:t>
            </w:r>
          </w:p>
        </w:tc>
        <w:tc>
          <w:tcPr>
            <w:vAlign w:val="center"/>
          </w:tcPr>
          <w:p>
            <w:pPr>
              <w:jc w:val="right"/>
            </w:pPr>
            <w:r>
              <w:rPr>
                <w:color w:val="000000"/>
                <w:sz w:val="24"/>
              </w:rPr>
              <w:t>50,000</w:t>
            </w:r>
          </w:p>
        </w:tc>
        <w:tc>
          <w:tcPr>
            <w:vAlign w:val="center"/>
          </w:tcPr>
          <w:p>
            <w:pPr>
              <w:jc w:val="right"/>
            </w:pPr>
            <w:r>
              <w:rPr>
                <w:color w:val="000000"/>
                <w:sz w:val="24"/>
              </w:rPr>
              <w:t>5,000,000.00</w:t>
            </w:r>
          </w:p>
        </w:tc>
        <w:tc>
          <w:tcPr>
            <w:vAlign w:val="center"/>
          </w:tcPr>
          <w:p>
            <w:pPr>
              <w:jc w:val="right"/>
            </w:pPr>
            <w:r>
              <w:rPr>
                <w:color w:val="000000"/>
                <w:sz w:val="24"/>
              </w:rPr>
              <w:t>0.17</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本基金投资19首钢SCP010的投资决策程序符合公司投资制度的规定。</w:t>
      </w:r>
    </w:p>
    <w:p>
      <w:pPr>
        <w:widowControl/>
        <w:spacing w:line="360" w:lineRule="auto"/>
        <w:rPr>
          <w:color w:val="000000"/>
          <w:sz w:val="24"/>
        </w:rPr>
      </w:pPr>
      <w:r>
        <w:rPr>
          <w:color w:val="000000"/>
          <w:sz w:val="24"/>
        </w:rPr>
        <w:t>除19首钢SCP010外，本基金投资的前十名证券的发行主体本期没有出现被监管部门立案调查，或在报告编制日前一年内受到公开谴责、处罚的情形。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2,653.88</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75,480,951.98</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43,679,952.67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119,163,558.53</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易方达安瑞短债债券A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易方达安瑞短债债券C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1,777,279,669.92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1,400,222,804.12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1,474,825,947.91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657,153,931.62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1,336,761,424.62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1,008,934,963.22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1,915,344,193.21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1,048,441,772.52</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1.中国证监会准予易方达安瑞短债债券型证券投资基金注册的文件；</w:t>
      </w:r>
    </w:p>
    <w:p>
      <w:pPr>
        <w:spacing w:line="360" w:lineRule="auto"/>
        <w:ind w:firstLine="480" w:firstLineChars="200"/>
        <w:rPr>
          <w:color w:val="000000"/>
          <w:sz w:val="24"/>
        </w:rPr>
      </w:pPr>
      <w:r>
        <w:rPr>
          <w:color w:val="000000"/>
          <w:sz w:val="24"/>
        </w:rPr>
        <w:t>2.《易方达安瑞短债债券型证券投资基金基金合同》；</w:t>
      </w:r>
    </w:p>
    <w:p>
      <w:pPr>
        <w:spacing w:line="360" w:lineRule="auto"/>
        <w:ind w:firstLine="480" w:firstLineChars="200"/>
        <w:rPr>
          <w:color w:val="000000"/>
          <w:sz w:val="24"/>
        </w:rPr>
      </w:pPr>
      <w:r>
        <w:rPr>
          <w:color w:val="000000"/>
          <w:sz w:val="24"/>
        </w:rPr>
        <w:t>3.《易方达安瑞短债债券型证券投资基金托管协议》；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易方达安瑞短债债券型证券投资基金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