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易方达汇诚养老目标日期2043三年持有期混合型基金中基金（FOF）</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易方达汇诚养老2043三年持有混合（FOF）</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006292</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006292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2018年12月26日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294,984,215.42</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在投资管理过程中遵循各个阶段既定的投资比例，动态调整大类资产配置，控制基金下行风险，力争追求基金长期稳健增值。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属于目标日期策略基金，基金管理人根据设计的下滑曲线确定权益类资产与非权益类资产的配置比例，随着所设定目标日期的临近，本基金从整体趋势上将逐步降低权益类资产的配置比例，增加非权益类资产的配置比例。本基金的主要投资策略包括资产配置策略、基金筛选策略、基金配置策略。资产配置策略在根据下滑曲线确定的投资比例范围之内通过战略资产配置与战术资产配置确定各个大类资产的配置比例。本基金根据下滑曲线在不同时期均设定了权益类资产与非权益类资产投资比例范围。本基金的战略资产配置策略即在满足各个时间段约定的权益类资产与非权益类资产投资比例限制的前提下，确定股票、债券、商品、货币等各类资产的资产配置比例。战术资产配置是根据经济状况与市场环境对资产配置进行动态调整，进一步优化配置、增强收益的方法。本基金使用的战术资产配置策略主要基于对宏观经济面、政策面、基本面、技术面、估值面的深入分析，形成战术配置观点。通过战略资产配置策略与战术资产配置策略，本基金将最终形成目标资产配置比例，并以此指导后续基金的配置。基金筛选策略通过全方位的定量和定性分析筛选出符合基金管理人要求的标的基金，本基金所投资的全部基金都应是通过基金筛选策略选择出的标的基金。基金配置策略是通过对短周期内的基金多因子分解，结合公开披露的信息估算拟投资基金的最新的资产配置比例和短期的风格定位，通过优化求解的方法，得到匹配目标资产配置比例的最优基金组合，在此基础之上，基金管理人可以结合其他定性因素对组合进行调整，形成最终的投资组合。</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基金合同生效日至2023年12月31日：55%×沪深300指数收益率+40%×中债新综合总财富指数收益率+5%×活期存款利率；2024年1月1日至2028年12月31日：45%×沪深300指数收益率+50%×中债新综合总财富指数收益率+5%×活期存款利率；2029年1月1日至2033年12月31日：40%×沪深300指数收益率+55%×中债新综合总财富指数收益率+5%×活期存款利率；2034年1月1日至2038年12月31日：30%×沪深300指数收益率+65%×中债新综合总财富指数收益率+5%×活期存款利率；2039年1月1日至2043年12月31日：20%×沪深300指数收益率+75%×中债新综合总财富指数收益率+5%×活期存款利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pPr>
              <w:adjustRightInd w:val="0"/>
              <w:spacing w:before="29" w:line="360" w:lineRule="auto"/>
              <w:ind w:left="17"/>
              <w:jc w:val="left"/>
              <w:rPr>
                <w:color w:val="000000"/>
                <w:sz w:val="24"/>
                <w:szCs w:val="24"/>
              </w:rPr>
            </w:pPr>
            <w:r>
              <w:rPr>
                <w:color w:val="000000"/>
                <w:kern w:val="0"/>
                <w:sz w:val="24"/>
                <w:szCs w:val="24"/>
              </w:rPr>
              <w:t>本基金属于采用目标日期策略的基金中基金，2043年12月31日为本基金的目标日期。从基金合同生效日至目标日期止，本基金的预期风险与预期收益水平将随着时间的流逝逐步降低。</w:t>
            </w:r>
          </w:p>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基金合同生效日至2043年12月31日，理论上本基金的预期风险与预期收益水平低于股票型基金、股票型基金中基金（FOF），高于债券型基金、债券型基金中基金（FOF）、货币市场基金和货币型基金中基金（FOF）。</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62420E" w:rsidR="0062420E" w:rsidRDefault="0062420E"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62420E" w:rsidRPr="006506EF" w:rsidTr="00C3442A">
        <w:tc>
          <w:tcPr>
            <w:tcW w:type="dxa" w:w="3402"/>
            <w:vAlign w:val="center"/>
          </w:tcPr>
          <w:p w:rsidP="00C3442A" w:rsidR="0062420E" w:rsidRDefault="0062420E"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62420E" w:rsidRDefault="0062420E" w:rsidRPr="006506EF">
            <w:pPr>
              <w:adjustRightInd w:val="0"/>
              <w:spacing w:before="29" w:line="360" w:lineRule="auto"/>
              <w:ind w:left="17"/>
              <w:jc w:val="center"/>
              <w:rPr>
                <w:color w:val="000000"/>
                <w:sz w:val="24"/>
              </w:rPr>
            </w:pPr>
            <w:r w:rsidRPr="006506EF">
              <w:rPr>
                <w:color w:val="000000"/>
                <w:sz w:val="24"/>
              </w:rPr>
              <w:t>报告期</w:t>
            </w:r>
          </w:p>
          <w:p w:rsidP="00C3442A" w:rsidR="0062420E" w:rsidRDefault="0062420E"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62420E" w:rsidRDefault="0062420E"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1,857,360.25</w:t>
            </w:r>
          </w:p>
        </w:tc>
        <w:tc>
          <w:tcPr>
            <w:tcW w:type="dxa" w:w="2410"/>
            <w:hMerge/>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30,782,801.53</w:t>
            </w:r>
          </w:p>
        </w:tc>
        <w:tc>
          <w:tcPr>
            <w:tcW w:type="dxa" w:w="2410"/>
            <w:hMerge/>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0.1057</w:t>
            </w:r>
          </w:p>
        </w:tc>
        <w:tc>
          <w:tcPr>
            <w:tcW w:type="dxa" w:w="2410"/>
            <w:hMerge/>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354,640,394.54</w:t>
            </w:r>
          </w:p>
        </w:tc>
        <w:tc>
          <w:tcPr>
            <w:tcW w:type="dxa" w:w="2410"/>
            <w:hMerge/>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rPr>
          <w:trHeight w:val="158"/>
        </w:trPr>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1.2022</w:t>
            </w:r>
          </w:p>
        </w:tc>
        <w:tc>
          <w:tcPr>
            <w:tcW w:type="dxa" w:w="2410"/>
            <w:hMerge/>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62420E"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9.62%</w:t>
            </w:r>
          </w:p>
        </w:tc>
        <w:tc>
          <w:tcPr>
            <w:vAlign w:val="center"/>
          </w:tcPr>
          <w:p>
            <w:pPr>
              <w:jc w:val="center"/>
            </w:pPr>
            <w:r>
              <w:rPr>
                <w:color w:val="000000"/>
                <w:kern w:val="0"/>
                <w:sz w:val="24"/>
                <w:szCs w:val="24"/>
              </w:rPr>
              <w:t>0.44%</w:t>
            </w:r>
          </w:p>
        </w:tc>
        <w:tc>
          <w:tcPr>
            <w:vAlign w:val="center"/>
          </w:tcPr>
          <w:p>
            <w:pPr>
              <w:jc w:val="center"/>
            </w:pPr>
            <w:r>
              <w:rPr>
                <w:color w:val="000000"/>
                <w:kern w:val="0"/>
                <w:sz w:val="24"/>
                <w:szCs w:val="24"/>
              </w:rPr>
              <w:t>6.91%</w:t>
            </w:r>
          </w:p>
        </w:tc>
        <w:tc>
          <w:tcPr>
            <w:vAlign w:val="center"/>
          </w:tcPr>
          <w:p>
            <w:pPr>
              <w:jc w:val="center"/>
            </w:pPr>
            <w:r>
              <w:rPr>
                <w:color w:val="000000"/>
                <w:kern w:val="0"/>
                <w:sz w:val="24"/>
                <w:szCs w:val="24"/>
              </w:rPr>
              <w:t>0.50%</w:t>
            </w:r>
          </w:p>
        </w:tc>
        <w:tc>
          <w:tcPr>
            <w:vAlign w:val="center"/>
          </w:tcPr>
          <w:p>
            <w:pPr>
              <w:jc w:val="center"/>
            </w:pPr>
            <w:r>
              <w:rPr>
                <w:color w:val="000000"/>
                <w:kern w:val="0"/>
                <w:sz w:val="24"/>
                <w:szCs w:val="24"/>
              </w:rPr>
              <w:t>2.71%</w:t>
            </w:r>
          </w:p>
        </w:tc>
        <w:tc>
          <w:tcPr>
            <w:vAlign w:val="center"/>
          </w:tcPr>
          <w:p>
            <w:pPr>
              <w:jc w:val="center"/>
            </w:pPr>
            <w:r>
              <w:rPr>
                <w:color w:val="000000"/>
                <w:kern w:val="0"/>
                <w:sz w:val="24"/>
                <w:szCs w:val="24"/>
              </w:rPr>
              <w:t>-0.06%</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8.57%</w:t>
            </w:r>
          </w:p>
        </w:tc>
        <w:tc>
          <w:tcPr>
            <w:vAlign w:val="center"/>
          </w:tcPr>
          <w:p>
            <w:pPr>
              <w:jc w:val="center"/>
            </w:pPr>
            <w:r>
              <w:rPr>
                <w:color w:val="000000"/>
                <w:kern w:val="0"/>
                <w:sz w:val="24"/>
                <w:szCs w:val="24"/>
              </w:rPr>
              <w:t>0.65%</w:t>
            </w:r>
          </w:p>
        </w:tc>
        <w:tc>
          <w:tcPr>
            <w:vAlign w:val="center"/>
          </w:tcPr>
          <w:p>
            <w:pPr>
              <w:jc w:val="center"/>
            </w:pPr>
            <w:r>
              <w:rPr>
                <w:color w:val="000000"/>
                <w:kern w:val="0"/>
                <w:sz w:val="24"/>
                <w:szCs w:val="24"/>
              </w:rPr>
              <w:t>2.21%</w:t>
            </w:r>
          </w:p>
        </w:tc>
        <w:tc>
          <w:tcPr>
            <w:vAlign w:val="center"/>
          </w:tcPr>
          <w:p>
            <w:pPr>
              <w:jc w:val="center"/>
            </w:pPr>
            <w:r>
              <w:rPr>
                <w:color w:val="000000"/>
                <w:kern w:val="0"/>
                <w:sz w:val="24"/>
                <w:szCs w:val="24"/>
              </w:rPr>
              <w:t>0.82%</w:t>
            </w:r>
          </w:p>
        </w:tc>
        <w:tc>
          <w:tcPr>
            <w:vAlign w:val="center"/>
          </w:tcPr>
          <w:p>
            <w:pPr>
              <w:jc w:val="center"/>
            </w:pPr>
            <w:r>
              <w:rPr>
                <w:color w:val="000000"/>
                <w:kern w:val="0"/>
                <w:sz w:val="24"/>
                <w:szCs w:val="24"/>
              </w:rPr>
              <w:t>6.36%</w:t>
            </w:r>
          </w:p>
        </w:tc>
        <w:tc>
          <w:tcPr>
            <w:vAlign w:val="center"/>
          </w:tcPr>
          <w:p>
            <w:pPr>
              <w:jc w:val="center"/>
            </w:pPr>
            <w:r>
              <w:rPr>
                <w:color w:val="000000"/>
                <w:kern w:val="0"/>
                <w:sz w:val="24"/>
                <w:szCs w:val="24"/>
              </w:rPr>
              <w:t>-0.17%</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16.26%</w:t>
            </w:r>
          </w:p>
        </w:tc>
        <w:tc>
          <w:tcPr>
            <w:vAlign w:val="center"/>
          </w:tcPr>
          <w:p>
            <w:pPr>
              <w:jc w:val="center"/>
            </w:pPr>
            <w:r>
              <w:rPr>
                <w:color w:val="000000"/>
                <w:kern w:val="0"/>
                <w:sz w:val="24"/>
                <w:szCs w:val="24"/>
              </w:rPr>
              <w:t>0.49%</w:t>
            </w:r>
          </w:p>
        </w:tc>
        <w:tc>
          <w:tcPr>
            <w:vAlign w:val="center"/>
          </w:tcPr>
          <w:p>
            <w:pPr>
              <w:jc w:val="center"/>
            </w:pPr>
            <w:r>
              <w:rPr>
                <w:color w:val="000000"/>
                <w:kern w:val="0"/>
                <w:sz w:val="24"/>
                <w:szCs w:val="24"/>
              </w:rPr>
              <w:t>7.41%</w:t>
            </w:r>
          </w:p>
        </w:tc>
        <w:tc>
          <w:tcPr>
            <w:vAlign w:val="center"/>
          </w:tcPr>
          <w:p>
            <w:pPr>
              <w:jc w:val="center"/>
            </w:pPr>
            <w:r>
              <w:rPr>
                <w:color w:val="000000"/>
                <w:kern w:val="0"/>
                <w:sz w:val="24"/>
                <w:szCs w:val="24"/>
              </w:rPr>
              <w:t>0.66%</w:t>
            </w:r>
          </w:p>
        </w:tc>
        <w:tc>
          <w:tcPr>
            <w:vAlign w:val="center"/>
          </w:tcPr>
          <w:p>
            <w:pPr>
              <w:jc w:val="center"/>
            </w:pPr>
            <w:r>
              <w:rPr>
                <w:color w:val="000000"/>
                <w:kern w:val="0"/>
                <w:sz w:val="24"/>
                <w:szCs w:val="24"/>
              </w:rPr>
              <w:t>8.85%</w:t>
            </w:r>
          </w:p>
        </w:tc>
        <w:tc>
          <w:tcPr>
            <w:vAlign w:val="center"/>
          </w:tcPr>
          <w:p>
            <w:pPr>
              <w:jc w:val="center"/>
            </w:pPr>
            <w:r>
              <w:rPr>
                <w:color w:val="000000"/>
                <w:kern w:val="0"/>
                <w:sz w:val="24"/>
                <w:szCs w:val="24"/>
              </w:rPr>
              <w:t>-0.17%</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20.22%</w:t>
            </w:r>
          </w:p>
        </w:tc>
        <w:tc>
          <w:tcPr>
            <w:vAlign w:val="center"/>
          </w:tcPr>
          <w:p>
            <w:pPr>
              <w:jc w:val="center"/>
            </w:pPr>
            <w:r>
              <w:rPr>
                <w:color w:val="000000"/>
                <w:kern w:val="0"/>
                <w:sz w:val="24"/>
                <w:szCs w:val="24"/>
              </w:rPr>
              <w:t>0.41%</w:t>
            </w:r>
          </w:p>
        </w:tc>
        <w:tc>
          <w:tcPr>
            <w:vAlign w:val="center"/>
          </w:tcPr>
          <w:p>
            <w:pPr>
              <w:jc w:val="center"/>
            </w:pPr>
            <w:r>
              <w:rPr>
                <w:color w:val="000000"/>
                <w:kern w:val="0"/>
                <w:sz w:val="24"/>
                <w:szCs w:val="24"/>
              </w:rPr>
              <w:t>23.90%</w:t>
            </w:r>
          </w:p>
        </w:tc>
        <w:tc>
          <w:tcPr>
            <w:vAlign w:val="center"/>
          </w:tcPr>
          <w:p>
            <w:pPr>
              <w:jc w:val="center"/>
            </w:pPr>
            <w:r>
              <w:rPr>
                <w:color w:val="000000"/>
                <w:kern w:val="0"/>
                <w:sz w:val="24"/>
                <w:szCs w:val="24"/>
              </w:rPr>
              <w:t>0.72%</w:t>
            </w:r>
          </w:p>
        </w:tc>
        <w:tc>
          <w:tcPr>
            <w:vAlign w:val="center"/>
          </w:tcPr>
          <w:p>
            <w:pPr>
              <w:jc w:val="center"/>
            </w:pPr>
            <w:r>
              <w:rPr>
                <w:color w:val="000000"/>
                <w:kern w:val="0"/>
                <w:sz w:val="24"/>
                <w:szCs w:val="24"/>
              </w:rPr>
              <w:t>-3.68%</w:t>
            </w:r>
          </w:p>
        </w:tc>
        <w:tc>
          <w:tcPr>
            <w:vAlign w:val="center"/>
          </w:tcPr>
          <w:p>
            <w:pPr>
              <w:jc w:val="center"/>
            </w:pPr>
            <w:r>
              <w:rPr>
                <w:color w:val="000000"/>
                <w:kern w:val="0"/>
                <w:sz w:val="24"/>
                <w:szCs w:val="24"/>
              </w:rPr>
              <w:t>-0.31%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易方达汇诚养老目标日期2043三年持有期混合型基金中基金（FOF）</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2018年12月26日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D7102E"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注：自基金合同生效至报告期末，基金份额净值增长率为20.22%，同期业绩比较基准收益率为23.90%。 </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汪玲</w:t>
            </w:r>
          </w:p>
        </w:tc>
        <w:tc>
          <w:tcPr>
            <w:vAlign w:val="center"/>
          </w:tcPr>
          <w:p>
            <w:pPr>
              <w:jc w:val="left"/>
            </w:pPr>
            <w:r>
              <w:rPr>
                <w:color w:val="000000"/>
                <w:sz w:val="24"/>
              </w:rPr>
              <w:t>本基金的基金经理、易方达汇诚养老目标日期2038三年持有期混合型发起式基金中基金（FOF）的基金经理、易方达汇诚养老目标日期2033三年持有期混合型发起式基金中基金（FOF）的基金经理、易方达汇智稳健养老目标一年持有期混合型基金中基金（FOF）的基金经理</w:t>
            </w:r>
          </w:p>
        </w:tc>
        <w:tc>
          <w:tcPr>
            <w:vAlign w:val="center"/>
          </w:tcPr>
          <w:p>
            <w:pPr>
              <w:jc w:val="center"/>
            </w:pPr>
            <w:r>
              <w:rPr>
                <w:color w:val="000000"/>
                <w:sz w:val="24"/>
              </w:rPr>
              <w:t>2018-12-26</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合众人寿保险股份有限公司资金管理中心基金研究员、基金投资经理，合众资产管理股份有限公司组合管理部基金投资经理，中国人寿养老保险股份有限公司投资中心组合管理部高级组合基金投资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2季度新冠疫情继续在全球蔓延，世界经济受疫情影响出现大幅下滑，全球货币政策继续维持极度宽松的局面，各国相继推出各种财政刺激政策，欧美等主要经济体逐步开启复工步伐。国内疫情控制得当，随着欧美主要经济体陆续复工，叠加国内政策延续宽松政策，国内经济环比改善。随着经济逐步恢复以及货币政策边际减弱，国内债券收益率大幅上行，权益类资产大幅反弹，创业板和中小板表现强劲，行业方面休闲服务、电子、医药生物和食品饮料大幅上涨，而建筑装饰、纺织服装、采掘却录得负收益。估值方面，A股估值相对历史处于偏低位置，但结构分化更加剧烈；债券收益率水平处于历史较低位置，估值偏高。</w:t>
      </w:r>
    </w:p>
    <w:p>
      <w:pPr>
        <w:spacing w:line="360" w:lineRule="auto"/>
        <w:ind w:firstLine="480" w:firstLineChars="200"/>
        <w:rPr>
          <w:color w:val="000000"/>
          <w:sz w:val="24"/>
          <w:szCs w:val="24"/>
        </w:rPr>
      </w:pPr>
      <w:r>
        <w:rPr>
          <w:color w:val="000000"/>
          <w:sz w:val="24"/>
          <w:szCs w:val="24"/>
        </w:rPr>
        <w:t>在报告期内，经济基本面逐步恢复，资金面充裕，整体估值不高，本基金综合评估以上因素，适当增加了权益类资产的配置比例，更多去捕捉股票市场的结构性机会。随着海外股票市场的大幅反弹，逐步卖出了1季度配置的海外QDII基金。在坚持战略资产配置的前提下，通过动态比较各类资产的相对价值，在战术资产配置上适当增加了权益类资产的配置比例，少量增加了黄金等商品资产的配置比例，维持债券类资产的略低配比例，维持市场中性策略基金配置比例。截止报告期末，权益类资产配置比例接近下滑曲线预设的权益类资产配置比例，在合同允许的范围内。在结构方面，权益资产的风格配置上整体均衡，略偏科技和低估值类优质资产，债券类资产主要以信用债获取票息收益，增加了打新类基金的配置。在基金品种的选择上，坚持配置风格稳定、超额收益持续的基金，为组合提供稳定的超额收益贡献。</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本基金将遵循稳健投资的理念，坚持绝对收益思路，立足养老产品的定位，秉承勤勉尽责的态度，为持有人创造更加优异的投资回报。</w:t>
      </w:r>
    </w:p>
    <w:p w:rsidP="009E7C6A" w:rsidR="00750D48" w:rsidRDefault="00750D48" w:rsidRPr="00264E55">
      <w:pPr>
        <w:spacing w:line="360" w:lineRule="auto"/>
        <w:rPr>
          <w:rFonts w:ascii="宋体"/>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截至报告期末，本基金份额净值为1.2022元，本报告期份额净值增长率为9.62%，同期业绩比较基准收益率为6.91%。</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C370E0" w:rsidRPr="00264E55" w:rsidTr="00B05049">
        <w:trPr>
          <w:jc w:val="center"/>
        </w:trPr>
        <w:tc>
          <w:tcPr>
            <w:tcW w:type="dxa" w:w="720"/>
            <w:vAlign w:val="center"/>
          </w:tcPr>
          <w:p w:rsidP="00F94C5F" w:rsidR="00C370E0" w:rsidRDefault="00C370E0" w:rsidRPr="00C370E0">
            <w:pPr>
              <w:spacing w:before="29" w:line="360" w:lineRule="auto"/>
              <w:ind w:left="17"/>
              <w:jc w:val="center"/>
              <w:rPr>
                <w:color w:themeColor="text1" w:val="000000"/>
                <w:sz w:val="24"/>
                <w:szCs w:val="24"/>
              </w:rPr>
            </w:pPr>
            <w:r w:rsidRPr="00C370E0">
              <w:rPr>
                <w:color w:themeColor="text1" w:val="000000"/>
                <w:sz w:val="24"/>
                <w:szCs w:val="24"/>
              </w:rPr>
              <w:t>2</w:t>
            </w:r>
          </w:p>
        </w:tc>
        <w:tc>
          <w:tcPr>
            <w:tcW w:type="dxa" w:w="3357"/>
            <w:vAlign w:val="center"/>
          </w:tcPr>
          <w:p w:rsidP="00F94C5F" w:rsidR="00C370E0" w:rsidRDefault="00C370E0" w:rsidRPr="00C370E0">
            <w:pPr>
              <w:spacing w:before="29" w:line="360" w:lineRule="auto"/>
              <w:jc w:val="left"/>
              <w:rPr>
                <w:color w:themeColor="text1" w:val="000000"/>
                <w:sz w:val="24"/>
                <w:szCs w:val="24"/>
              </w:rPr>
            </w:pPr>
            <w:r w:rsidRPr="00C370E0">
              <w:rPr>
                <w:color w:themeColor="text1" w:val="000000"/>
                <w:sz w:val="24"/>
                <w:szCs w:val="24"/>
              </w:rPr>
              <w:t>基金投资</w:t>
            </w:r>
          </w:p>
        </w:tc>
        <w:tc>
          <w:tcPr>
            <w:tcW w:type="dxa" w:w="2977"/>
            <w:vAlign w:val="center"/>
          </w:tcPr>
          <w:p w:rsidP="00F94C5F" w:rsidR="00C370E0" w:rsidRDefault="00C370E0" w:rsidRPr="00C370E0">
            <w:pPr>
              <w:spacing w:before="29" w:line="360" w:lineRule="auto"/>
              <w:ind w:left="17"/>
              <w:jc w:val="right"/>
              <w:rPr>
                <w:color w:themeColor="text1" w:val="000000"/>
                <w:sz w:val="24"/>
                <w:szCs w:val="24"/>
              </w:rPr>
            </w:pPr>
            <w:r w:rsidRPr="00C370E0">
              <w:rPr>
                <w:color w:themeColor="text1" w:val="000000"/>
                <w:sz w:val="24"/>
                <w:szCs w:val="24"/>
              </w:rPr>
              <w:t/>
            </w:r>
            <w:proofErr w:type="spellStart"/>
            <w:r w:rsidRPr="00C370E0">
              <w:rPr>
                <w:color w:themeColor="text1" w:val="000000"/>
                <w:sz w:val="24"/>
                <w:szCs w:val="24"/>
              </w:rPr>
              <w:t/>
            </w:r>
            <w:proofErr w:type="spellEnd"/>
            <w:r w:rsidRPr="00C370E0">
              <w:rPr>
                <w:color w:themeColor="text1" w:val="000000"/>
                <w:sz w:val="24"/>
                <w:szCs w:val="24"/>
              </w:rPr>
              <w:t>320,967,166.02</w:t>
            </w:r>
          </w:p>
        </w:tc>
        <w:tc>
          <w:tcPr>
            <w:tcW w:type="dxa" w:w="1843"/>
            <w:vAlign w:val="center"/>
          </w:tcPr>
          <w:p w:rsidP="00F94C5F" w:rsidR="00C370E0" w:rsidRDefault="00C370E0" w:rsidRPr="00C370E0">
            <w:pPr>
              <w:spacing w:before="29" w:line="360" w:lineRule="auto"/>
              <w:ind w:left="17"/>
              <w:jc w:val="right"/>
              <w:rPr>
                <w:color w:themeColor="text1" w:val="000000"/>
                <w:sz w:val="24"/>
                <w:szCs w:val="24"/>
              </w:rPr>
            </w:pPr>
            <w:r w:rsidRPr="00C370E0">
              <w:rPr>
                <w:color w:themeColor="text1" w:val="000000"/>
                <w:sz w:val="24"/>
                <w:szCs w:val="24"/>
              </w:rPr>
              <w:t/>
            </w:r>
            <w:proofErr w:type="spellStart"/>
            <w:r w:rsidRPr="00C370E0">
              <w:rPr>
                <w:color w:themeColor="text1" w:val="000000"/>
                <w:sz w:val="24"/>
                <w:szCs w:val="24"/>
              </w:rPr>
              <w:t/>
            </w:r>
            <w:r w:rsidRPr="00C370E0">
              <w:rPr>
                <w:color w:themeColor="text1" w:val="000000"/>
                <w:sz w:val="24"/>
                <w:szCs w:val="24"/>
              </w:rPr>
              <w:lastRenderedPageBreak/>
              <w:t/>
            </w:r>
            <w:proofErr w:type="spellEnd"/>
            <w:r w:rsidRPr="00C370E0">
              <w:rPr>
                <w:color w:themeColor="text1" w:val="000000"/>
                <w:sz w:val="24"/>
                <w:szCs w:val="24"/>
              </w:rPr>
              <w:t>87.47</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lastRenderedPageBreak/>
              <w:t>3</w:t>
            </w: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16,142,067.00</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4.40</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16,142,067.00</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4.40</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p>
        </w:tc>
        <w:tc>
          <w:tcPr>
            <w:tcW w:type="dxa" w:w="3357"/>
            <w:vAlign w:val="center"/>
          </w:tcPr>
          <w:p w:rsidP="00B05049" w:rsidR="00C370E0" w:rsidRDefault="00C370E0"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w:t>
            </w:r>
          </w:p>
        </w:tc>
      </w:tr>
      <w:tr w:rsidR="00C370E0" w:rsidRPr="00264E55" w:rsidTr="00B05049">
        <w:trPr>
          <w:jc w:val="center"/>
        </w:trPr>
        <w:tc>
          <w:tcPr>
            <w:tcW w:type="dxa" w:w="720"/>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t>4</w:t>
            </w:r>
          </w:p>
        </w:tc>
        <w:tc>
          <w:tcPr>
            <w:tcW w:type="dxa" w:w="3357"/>
          </w:tcPr>
          <w:p w:rsidP="00EB572F" w:rsidR="00C370E0" w:rsidRDefault="00C370E0"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t>5</w:t>
            </w:r>
          </w:p>
        </w:tc>
        <w:tc>
          <w:tcPr>
            <w:tcW w:type="dxa" w:w="3357"/>
            <w:vAlign w:val="center"/>
          </w:tcPr>
          <w:p w:rsidP="00B05049" w:rsidR="00C370E0" w:rsidRDefault="00C370E0"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lastRenderedPageBreak/>
              <w:t>6</w:t>
            </w: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12,000,000.00</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3.27</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t>7</w:t>
            </w: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17,046,883.45</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4.65</w:t>
            </w:r>
          </w:p>
        </w:tc>
      </w:tr>
      <w:tr w:rsidR="00C370E0" w:rsidRPr="00264E55" w:rsidTr="00B05049">
        <w:trPr>
          <w:jc w:val="center"/>
        </w:trPr>
        <w:tc>
          <w:tcPr>
            <w:tcW w:type="dxa" w:w="720"/>
            <w:vAlign w:val="center"/>
          </w:tcPr>
          <w:p w:rsidP="00C370E0" w:rsidR="00C370E0" w:rsidRDefault="00C370E0" w:rsidRPr="00232B03">
            <w:pPr>
              <w:spacing w:before="29" w:line="360" w:lineRule="auto"/>
              <w:ind w:left="17"/>
              <w:jc w:val="center"/>
              <w:rPr>
                <w:color w:val="000000"/>
                <w:kern w:val="0"/>
                <w:sz w:val="24"/>
                <w:szCs w:val="24"/>
              </w:rPr>
            </w:pPr>
            <w:r w:rsidRPr="00232B03">
              <w:rPr>
                <w:color w:val="000000"/>
                <w:kern w:val="0"/>
                <w:sz w:val="24"/>
                <w:szCs w:val="24"/>
              </w:rPr>
              <w:t/>
            </w:r>
            <w:r>
              <w:rPr>
                <w:rFonts w:hint="eastAsia"/>
                <w:color w:val="000000"/>
                <w:kern w:val="0"/>
                <w:sz w:val="24"/>
                <w:szCs w:val="24"/>
              </w:rPr>
              <w:t/>
            </w:r>
            <w:r w:rsidRPr="00232B03">
              <w:rPr>
                <w:color w:val="000000"/>
                <w:kern w:val="0"/>
                <w:sz w:val="24"/>
                <w:szCs w:val="24"/>
              </w:rPr>
              <w:t>8</w:t>
            </w:r>
          </w:p>
        </w:tc>
        <w:tc>
          <w:tcPr>
            <w:tcW w:type="dxa" w:w="3357"/>
            <w:vAlign w:val="center"/>
          </w:tcPr>
          <w:p w:rsidP="00B05049" w:rsidR="00C370E0" w:rsidRDefault="00C370E0"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802,311.22</w:t>
            </w:r>
          </w:p>
        </w:tc>
        <w:tc>
          <w:tcPr>
            <w:tcW w:type="dxa" w:w="1843"/>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0.22</w:t>
            </w:r>
          </w:p>
        </w:tc>
      </w:tr>
      <w:tr w:rsidR="00C370E0" w:rsidRPr="00264E55" w:rsidTr="00B05049">
        <w:trPr>
          <w:jc w:val="center"/>
        </w:trPr>
        <w:tc>
          <w:tcPr>
            <w:tcW w:type="dxa" w:w="720"/>
            <w:vAlign w:val="center"/>
          </w:tcPr>
          <w:p w:rsidP="00BF4727" w:rsidR="00C370E0" w:rsidRDefault="00C370E0" w:rsidRPr="00232B03">
            <w:pPr>
              <w:spacing w:before="29" w:line="360" w:lineRule="auto"/>
              <w:ind w:left="17"/>
              <w:jc w:val="center"/>
              <w:rPr>
                <w:color w:val="000000"/>
                <w:kern w:val="0"/>
                <w:sz w:val="24"/>
                <w:szCs w:val="24"/>
              </w:rPr>
            </w:pPr>
            <w:r w:rsidRPr="00232B03">
              <w:rPr>
                <w:color w:val="000000"/>
                <w:kern w:val="0"/>
                <w:sz w:val="24"/>
                <w:szCs w:val="24"/>
              </w:rPr>
              <w:lastRenderedPageBreak/>
              <w:t/>
            </w:r>
            <w:r w:rsidR="00BF4727">
              <w:rPr>
                <w:rFonts w:hint="eastAsia"/>
                <w:color w:val="000000"/>
                <w:kern w:val="0"/>
                <w:sz w:val="24"/>
                <w:szCs w:val="24"/>
              </w:rPr>
              <w:t/>
            </w:r>
            <w:r w:rsidRPr="00232B03">
              <w:rPr>
                <w:color w:val="000000"/>
                <w:kern w:val="0"/>
                <w:sz w:val="24"/>
                <w:szCs w:val="24"/>
              </w:rPr>
              <w:t>9</w:t>
            </w:r>
          </w:p>
        </w:tc>
        <w:tc>
          <w:tcPr>
            <w:tcW w:type="dxa" w:w="3357"/>
            <w:vAlign w:val="center"/>
          </w:tcPr>
          <w:p w:rsidP="00B05049" w:rsidR="00C370E0" w:rsidRDefault="00C370E0" w:rsidRPr="00232B03">
            <w:pPr>
              <w:jc w:val="left"/>
              <w:rPr>
                <w:kern w:val="0"/>
                <w:sz w:val="24"/>
                <w:szCs w:val="24"/>
              </w:rPr>
            </w:pPr>
            <w:r w:rsidRPr="00232B03">
              <w:rPr>
                <w:color w:val="000000"/>
                <w:kern w:val="0"/>
                <w:sz w:val="24"/>
                <w:szCs w:val="24"/>
              </w:rPr>
              <w:t>合计</w:t>
            </w:r>
          </w:p>
        </w:tc>
        <w:tc>
          <w:tcPr>
            <w:tcW w:type="dxa" w:w="2977"/>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366,958,427.69</w:t>
            </w:r>
          </w:p>
        </w:tc>
        <w:tc>
          <w:tcPr>
            <w:tcW w:type="dxa" w:w="1843"/>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本基金本报告期末未持有股票。</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16,142,067.00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4.55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16,142,067.00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4.55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019627</w:t>
            </w:r>
          </w:p>
        </w:tc>
        <w:tc>
          <w:tcPr>
            <w:vAlign w:val="center"/>
          </w:tcPr>
          <w:p>
            <w:pPr>
              <w:jc w:val="center"/>
            </w:pPr>
            <w:r>
              <w:rPr>
                <w:color w:val="000000"/>
                <w:kern w:val="0"/>
                <w:sz w:val="24"/>
                <w:szCs w:val="24"/>
              </w:rPr>
              <w:t>20国债01</w:t>
            </w:r>
          </w:p>
        </w:tc>
        <w:tc>
          <w:tcPr>
            <w:vAlign w:val="center"/>
          </w:tcPr>
          <w:p>
            <w:pPr>
              <w:jc w:val="right"/>
            </w:pPr>
            <w:r>
              <w:rPr>
                <w:color w:val="000000"/>
                <w:kern w:val="0"/>
                <w:sz w:val="24"/>
                <w:szCs w:val="24"/>
              </w:rPr>
              <w:t>161,340</w:t>
            </w:r>
          </w:p>
        </w:tc>
        <w:tc>
          <w:tcPr>
            <w:vAlign w:val="center"/>
          </w:tcPr>
          <w:p>
            <w:pPr>
              <w:jc w:val="right"/>
            </w:pPr>
            <w:r>
              <w:rPr>
                <w:color w:val="000000"/>
                <w:kern w:val="0"/>
                <w:sz w:val="24"/>
                <w:szCs w:val="24"/>
              </w:rPr>
              <w:t>16,142,067.00</w:t>
            </w:r>
          </w:p>
        </w:tc>
        <w:tc>
          <w:tcPr>
            <w:vAlign w:val="center"/>
          </w:tcPr>
          <w:p>
            <w:pPr>
              <w:jc w:val="right"/>
            </w:pPr>
            <w:r>
              <w:rPr>
                <w:color w:val="000000"/>
                <w:kern w:val="0"/>
                <w:sz w:val="24"/>
                <w:szCs w:val="24"/>
              </w:rPr>
              <w:t>4.55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033E3E" w:rsidR="00033E3E" w:rsidRDefault="00033E3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C26ADA" w:rsidR="00C26ADA" w:rsidRDefault="00C26ADA">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5.11.1</w:t>
      </w:r>
      <w:r w:rsidR="00AB0D05">
        <w:rPr>
          <w:rFonts w:ascii="宋体" w:hAnsi="宋体" w:hint="eastAsia"/>
          <w:color w:val="000000"/>
          <w:sz w:val="24"/>
          <w:szCs w:val="24"/>
        </w:rPr>
        <w:t xml:space="preserve"> </w:t>
      </w:r>
      <w:r w:rsidR="00750D48" w:rsidRPr="00264E55">
        <w:rPr>
          <w:rFonts w:ascii="宋体" w:hAnsi="宋体"/>
          <w:color w:val="000000"/>
          <w:sz w:val="24"/>
          <w:szCs w:val="24"/>
        </w:rPr>
        <w:t>报告期内本基金投资的前十名证券的发行主体未被监管部门立案调查，在本报告编制日前一年内本基金投资的前十名证券的发行主体未受到公开谴责、处罚。</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hAnsi="宋体"/>
          <w:color w:val="000000"/>
          <w:sz w:val="24"/>
          <w:szCs w:val="24"/>
        </w:rPr>
        <w:t>5.11.2</w:t>
      </w:r>
      <w:r w:rsidR="00AB0D05">
        <w:rPr>
          <w:rFonts w:ascii="宋体" w:hAnsi="宋体" w:hint="eastAsia"/>
          <w:color w:val="000000"/>
          <w:sz w:val="24"/>
          <w:szCs w:val="24"/>
        </w:rPr>
        <w:t xml:space="preserve"> </w:t>
      </w:r>
      <w:r w:rsidR="00750D48" w:rsidRPr="00264E55">
        <w:rPr>
          <w:rFonts w:ascii="宋体" w:hAnsi="宋体"/>
          <w:color w:val="000000"/>
          <w:sz w:val="24"/>
          <w:szCs w:val="24"/>
        </w:rPr>
        <w:lastRenderedPageBreak/>
        <w:t>本基金本报告期没有投资股票，因此不存在投资的前十名股票超出基金合同规定的备选股票库情况。</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D7102E">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19,160.25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174,492.81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608,658.16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802,311.22</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本基金本报告期末未持有股票。</w:t>
      </w:r>
    </w:p>
    <w:p w:rsidP="006A5FB3" w:rsidR="006A5FB3" w:rsidRDefault="006A5FB3" w:rsidRPr="006A5FB3">
      <w:pPr>
        <w:pStyle w:val="1"/>
        <w:spacing w:after="312" w:afterLines="100" w:before="312" w:beforeLines="100" w:line="360" w:lineRule="auto"/>
        <w:jc w:val="center"/>
        <w:rPr>
          <w:color w:val="000000"/>
          <w:kern w:val="0"/>
          <w:sz w:val="24"/>
          <w:szCs w:val="24"/>
        </w:rPr>
      </w:pPr>
      <w:bookmarkStart w:id="3" w:name="OLE_LINK6"/>
      <w:r w:rsidRPr="006A5FB3">
        <w:rPr>
          <w:color w:val="000000"/>
          <w:kern w:val="0"/>
          <w:sz w:val="24"/>
          <w:szCs w:val="24"/>
        </w:rPr>
        <w:t/>
      </w:r>
      <w:proofErr w:type="spellStart"/>
      <w:r w:rsidRPr="006A5FB3">
        <w:rPr>
          <w:color w:val="000000"/>
          <w:kern w:val="0"/>
          <w:sz w:val="24"/>
          <w:szCs w:val="24"/>
        </w:rPr>
        <w:t/>
      </w:r>
      <w:proofErr w:type="spellEnd"/>
      <w:r w:rsidRPr="006A5FB3">
        <w:rPr>
          <w:color w:val="000000"/>
          <w:kern w:val="0"/>
          <w:sz w:val="24"/>
          <w:szCs w:val="24"/>
        </w:rPr>
        <w:t>§6</w:t>
      </w:r>
      <w:r w:rsidR="006D75A5" w:rsidRPr="00264E55">
        <w:rPr>
          <w:rFonts w:ascii="宋体" w:hAnsi="宋体"/>
          <w:color w:val="000000"/>
          <w:kern w:val="0"/>
          <w:sz w:val="24"/>
          <w:szCs w:val="24"/>
        </w:rPr>
        <w:t xml:space="preserve">  </w:t>
      </w:r>
      <w:r w:rsidRPr="006A5FB3">
        <w:rPr>
          <w:color w:val="000000"/>
          <w:kern w:val="0"/>
          <w:sz w:val="24"/>
          <w:szCs w:val="24"/>
        </w:rPr>
        <w:t>基金中基金</w:t>
      </w:r>
    </w:p>
    <w:p w:rsidP="006A5FB3" w:rsidR="006A5FB3" w:rsidRDefault="006A5FB3" w:rsidRPr="006A5FB3">
      <w:pPr>
        <w:autoSpaceDE w:val="0"/>
        <w:autoSpaceDN w:val="0"/>
        <w:adjustRightInd w:val="0"/>
        <w:spacing w:line="360" w:lineRule="auto"/>
        <w:jc w:val="left"/>
        <w:rPr>
          <w:color w:val="000000"/>
          <w:sz w:val="24"/>
          <w:szCs w:val="24"/>
        </w:rPr>
      </w:pPr>
      <w:r w:rsidRPr="006A5FB3">
        <w:rPr>
          <w:color w:val="000000"/>
          <w:sz w:val="24"/>
          <w:szCs w:val="24"/>
        </w:rPr>
        <w:t/>
      </w:r>
      <w:proofErr w:type="spellStart"/>
      <w:r w:rsidRPr="006A5FB3">
        <w:rPr>
          <w:color w:val="000000"/>
          <w:sz w:val="24"/>
          <w:szCs w:val="24"/>
        </w:rPr>
        <w:t/>
      </w:r>
      <w:proofErr w:type="spellEnd"/>
      <w:r w:rsidRPr="006A5FB3">
        <w:rPr>
          <w:color w:val="000000"/>
          <w:sz w:val="24"/>
          <w:szCs w:val="24"/>
        </w:rPr>
        <w:t xml:space="preserve">6.1 </w:t>
      </w:r>
      <w:r w:rsidRPr="006A5FB3">
        <w:rPr>
          <w:color w:val="000000"/>
          <w:sz w:val="24"/>
          <w:szCs w:val="24"/>
        </w:rPr>
        <w:t>报告期末按公允价值占基金资产净值比例大小排序的前十名基金投资明细</w:t>
      </w:r>
    </w:p>
    <w:tbl>
      <w:tblPr>
        <w:tblStyle w:val="af7"/>
        <w:tblW w:type="pct" w:w="4863"/>
        <w:tblInd w:type="dxa" w:w="108"/>
        <w:tblLayout w:type="fixed"/>
        <w:tblLook w:firstColumn="1" w:firstRow="1" w:lastColumn="0" w:lastRow="0" w:noHBand="0" w:noVBand="1" w:val="04A0"/>
      </w:tblPr>
      <w:tblGrid>
        <w:gridCol w:w="668"/>
        <w:gridCol w:w="1068"/>
        <w:gridCol w:w="1072"/>
        <w:gridCol w:w="1072"/>
        <w:gridCol w:w="1070"/>
        <w:gridCol w:w="1204"/>
        <w:gridCol w:w="1072"/>
        <w:gridCol w:w="1068"/>
      </w:tblGrid>
      <w:tr w:rsidR="006A5FB3" w:rsidRPr="006A5FB3" w:rsidTr="00F94C5F">
        <w:tc>
          <w:tcPr>
            <w:tcW w:type="pct" w:w="403"/>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序号</w:t>
            </w:r>
            <w:r w:rsidRPr="006A5FB3">
              <w:rPr>
                <w:rFonts w:ascii="Times New Roman" w:cs="Times New Roman" w:hAnsi="Times New Roman"/>
                <w:color w:themeColor="text1" w:val="000000"/>
              </w:rPr>
              <w:t/>
            </w:r>
            <w:proofErr w:type="spellStart"/>
            <w:r w:rsidRPr="006A5FB3">
              <w:rPr>
                <w:rFonts w:ascii="Times New Roman" w:cs="Times New Roman" w:hAnsi="Times New Roman"/>
                <w:color w:themeColor="text1" w:val="000000"/>
              </w:rPr>
              <w:t/>
            </w:r>
            <w:proofErr w:type="spellEnd"/>
            <w:r w:rsidRPr="006A5FB3">
              <w:rPr>
                <w:rFonts w:ascii="Times New Roman" w:cs="Times New Roman" w:hAnsi="Times New Roman"/>
                <w:color w:themeColor="text1" w:val="000000"/>
              </w:rPr>
              <w:t/>
            </w:r>
            <w:proofErr w:type="spellStart"/>
            <w:r w:rsidRPr="006A5FB3">
              <w:rPr>
                <w:rFonts w:ascii="Times New Roman" w:cs="Times New Roman" w:hAnsi="Times New Roman"/>
                <w:color w:themeColor="text1" w:val="000000"/>
              </w:rPr>
              <w:t/>
            </w:r>
            <w:proofErr w:type="spellEnd"/>
            <w:r w:rsidRPr="006A5FB3">
              <w:rPr>
                <w:rFonts w:ascii="Times New Roman" w:cs="Times New Roman" w:hAnsi="Times New Roman"/>
                <w:color w:themeColor="text1" w:val="000000"/>
              </w:rPr>
              <w:t/>
            </w:r>
          </w:p>
        </w:tc>
        <w:tc>
          <w:tcPr>
            <w:tcW w:type="pct" w:w="644"/>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基金代码</w:t>
            </w:r>
          </w:p>
        </w:tc>
        <w:tc>
          <w:tcPr>
            <w:tcW w:type="pct" w:w="64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基金名称</w:t>
            </w:r>
          </w:p>
        </w:tc>
        <w:tc>
          <w:tcPr>
            <w:tcW w:type="pct" w:w="64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运作方式</w:t>
            </w:r>
          </w:p>
        </w:tc>
        <w:tc>
          <w:tcPr>
            <w:tcW w:type="pct" w:w="645"/>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持有份额（份）</w:t>
            </w:r>
          </w:p>
        </w:tc>
        <w:tc>
          <w:tcPr>
            <w:tcW w:type="pct" w:w="72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公允价值（元）</w:t>
            </w:r>
          </w:p>
        </w:tc>
        <w:tc>
          <w:tcPr>
            <w:tcW w:type="pct" w:w="64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占基金资产净值比例（</w:t>
            </w:r>
            <w:r w:rsidRPr="006A5FB3">
              <w:rPr>
                <w:rFonts w:ascii="Times New Roman" w:cs="Times New Roman" w:hAnsi="Times New Roman"/>
              </w:rPr>
              <w:t>%</w:t>
            </w:r>
            <w:r w:rsidRPr="006A5FB3">
              <w:rPr>
                <w:rFonts w:ascii="Times New Roman" w:cs="Times New Roman" w:hAnsi="Times New Roman"/>
              </w:rPr>
              <w:t>）</w:t>
            </w:r>
          </w:p>
        </w:tc>
        <w:tc>
          <w:tcPr>
            <w:tcW w:type="pct" w:w="645"/>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是否属于基金管理人及管理人关联方所管理的基金</w:t>
            </w:r>
          </w:p>
        </w:tc>
      </w:tr>
      <w:tr>
        <w:tc>
          <w:tcPr>
            <w:vAlign w:val="center"/>
          </w:tcPr>
          <w:p>
            <w:pPr>
              <w:jc w:val="center"/>
            </w:pPr>
            <w:r>
              <w:rPr>
                <w:sz w:val="24"/>
                <w:szCs w:val="24"/>
              </w:rPr>
              <w:t>1</w:t>
            </w:r>
          </w:p>
        </w:tc>
        <w:tc>
          <w:tcPr>
            <w:vAlign w:val="center"/>
          </w:tcPr>
          <w:p>
            <w:pPr>
              <w:jc w:val="center"/>
            </w:pPr>
            <w:r>
              <w:rPr>
                <w:sz w:val="24"/>
                <w:szCs w:val="24"/>
              </w:rPr>
              <w:t>217022</w:t>
            </w:r>
          </w:p>
        </w:tc>
        <w:tc>
          <w:tcPr>
            <w:vAlign w:val="center"/>
          </w:tcPr>
          <w:p>
            <w:pPr>
              <w:jc w:val="center"/>
            </w:pPr>
            <w:r>
              <w:rPr>
                <w:sz w:val="24"/>
                <w:szCs w:val="24"/>
              </w:rPr>
              <w:t>招商产业债券A</w:t>
            </w:r>
          </w:p>
        </w:tc>
        <w:tc>
          <w:tcPr>
            <w:vAlign w:val="center"/>
          </w:tcPr>
          <w:p>
            <w:pPr>
              <w:jc w:val="center"/>
            </w:pPr>
            <w:r>
              <w:rPr>
                <w:sz w:val="24"/>
                <w:szCs w:val="24"/>
              </w:rPr>
              <w:t>契约型开放式</w:t>
            </w:r>
          </w:p>
        </w:tc>
        <w:tc>
          <w:tcPr>
            <w:vAlign w:val="center"/>
          </w:tcPr>
          <w:p>
            <w:pPr>
              <w:jc w:val="center"/>
            </w:pPr>
            <w:r>
              <w:rPr>
                <w:sz w:val="24"/>
                <w:szCs w:val="24"/>
              </w:rPr>
              <w:t>14,597,810.21</w:t>
            </w:r>
          </w:p>
        </w:tc>
        <w:tc>
          <w:tcPr>
            <w:vAlign w:val="center"/>
          </w:tcPr>
          <w:p>
            <w:pPr>
              <w:jc w:val="center"/>
            </w:pPr>
            <w:r>
              <w:rPr>
                <w:sz w:val="24"/>
                <w:szCs w:val="24"/>
              </w:rPr>
              <w:t>21,867,519.69</w:t>
            </w:r>
          </w:p>
        </w:tc>
        <w:tc>
          <w:tcPr>
            <w:vAlign w:val="center"/>
          </w:tcPr>
          <w:p>
            <w:pPr>
              <w:jc w:val="center"/>
            </w:pPr>
            <w:r>
              <w:rPr>
                <w:sz w:val="24"/>
                <w:szCs w:val="24"/>
              </w:rPr>
              <w:t>6.17%</w:t>
            </w:r>
          </w:p>
        </w:tc>
        <w:tc>
          <w:tcPr>
            <w:vAlign w:val="center"/>
          </w:tcPr>
          <w:p>
            <w:pPr>
              <w:jc w:val="center"/>
            </w:pPr>
            <w:r>
              <w:rPr>
                <w:sz w:val="24"/>
                <w:szCs w:val="24"/>
              </w:rPr>
              <w:t>否</w:t>
            </w:r>
          </w:p>
        </w:tc>
      </w:tr>
      <w:tr>
        <w:tc>
          <w:tcPr>
            <w:vAlign w:val="center"/>
          </w:tcPr>
          <w:p>
            <w:pPr>
              <w:jc w:val="center"/>
            </w:pPr>
            <w:r>
              <w:rPr>
                <w:sz w:val="24"/>
                <w:szCs w:val="24"/>
              </w:rPr>
              <w:t>2</w:t>
            </w:r>
          </w:p>
        </w:tc>
        <w:tc>
          <w:tcPr>
            <w:vAlign w:val="center"/>
          </w:tcPr>
          <w:p>
            <w:pPr>
              <w:jc w:val="center"/>
            </w:pPr>
            <w:r>
              <w:rPr>
                <w:sz w:val="24"/>
                <w:szCs w:val="24"/>
              </w:rPr>
              <w:t>519062</w:t>
            </w:r>
          </w:p>
        </w:tc>
        <w:tc>
          <w:tcPr>
            <w:vAlign w:val="center"/>
          </w:tcPr>
          <w:p>
            <w:pPr>
              <w:jc w:val="center"/>
            </w:pPr>
            <w:r>
              <w:rPr>
                <w:sz w:val="24"/>
                <w:szCs w:val="24"/>
              </w:rPr>
              <w:t>海富通阿尔法对冲混合A</w:t>
            </w:r>
          </w:p>
        </w:tc>
        <w:tc>
          <w:tcPr>
            <w:vAlign w:val="center"/>
          </w:tcPr>
          <w:p>
            <w:pPr>
              <w:jc w:val="center"/>
            </w:pPr>
            <w:r>
              <w:rPr>
                <w:sz w:val="24"/>
                <w:szCs w:val="24"/>
              </w:rPr>
              <w:t>契约型开放式</w:t>
            </w:r>
          </w:p>
        </w:tc>
        <w:tc>
          <w:tcPr>
            <w:vAlign w:val="center"/>
          </w:tcPr>
          <w:p>
            <w:pPr>
              <w:jc w:val="center"/>
            </w:pPr>
            <w:r>
              <w:rPr>
                <w:sz w:val="24"/>
                <w:szCs w:val="24"/>
              </w:rPr>
              <w:t>18,546,485.26</w:t>
            </w:r>
          </w:p>
        </w:tc>
        <w:tc>
          <w:tcPr>
            <w:vAlign w:val="center"/>
          </w:tcPr>
          <w:p>
            <w:pPr>
              <w:jc w:val="center"/>
            </w:pPr>
            <w:r>
              <w:rPr>
                <w:sz w:val="24"/>
                <w:szCs w:val="24"/>
              </w:rPr>
              <w:t>21,532,469.39</w:t>
            </w:r>
          </w:p>
        </w:tc>
        <w:tc>
          <w:tcPr>
            <w:vAlign w:val="center"/>
          </w:tcPr>
          <w:p>
            <w:pPr>
              <w:jc w:val="center"/>
            </w:pPr>
            <w:r>
              <w:rPr>
                <w:sz w:val="24"/>
                <w:szCs w:val="24"/>
              </w:rPr>
              <w:t>6.07%</w:t>
            </w:r>
          </w:p>
        </w:tc>
        <w:tc>
          <w:tcPr>
            <w:vAlign w:val="center"/>
          </w:tcPr>
          <w:p>
            <w:pPr>
              <w:jc w:val="center"/>
            </w:pPr>
            <w:r>
              <w:rPr>
                <w:sz w:val="24"/>
                <w:szCs w:val="24"/>
              </w:rPr>
              <w:t>否</w:t>
            </w:r>
          </w:p>
        </w:tc>
      </w:tr>
      <w:tr>
        <w:tc>
          <w:tcPr>
            <w:vAlign w:val="center"/>
          </w:tcPr>
          <w:p>
            <w:pPr>
              <w:jc w:val="center"/>
            </w:pPr>
            <w:r>
              <w:rPr>
                <w:sz w:val="24"/>
                <w:szCs w:val="24"/>
              </w:rPr>
              <w:t>3</w:t>
            </w:r>
          </w:p>
        </w:tc>
        <w:tc>
          <w:tcPr>
            <w:vAlign w:val="center"/>
          </w:tcPr>
          <w:p>
            <w:pPr>
              <w:jc w:val="center"/>
            </w:pPr>
            <w:r>
              <w:rPr>
                <w:sz w:val="24"/>
                <w:szCs w:val="24"/>
              </w:rPr>
              <w:t>002351</w:t>
            </w:r>
          </w:p>
        </w:tc>
        <w:tc>
          <w:tcPr>
            <w:vAlign w:val="center"/>
          </w:tcPr>
          <w:p>
            <w:pPr>
              <w:jc w:val="center"/>
            </w:pPr>
            <w:r>
              <w:rPr>
                <w:sz w:val="24"/>
                <w:szCs w:val="24"/>
              </w:rPr>
              <w:t>易方达裕祥回报债券</w:t>
            </w:r>
          </w:p>
        </w:tc>
        <w:tc>
          <w:tcPr>
            <w:vAlign w:val="center"/>
          </w:tcPr>
          <w:p>
            <w:pPr>
              <w:jc w:val="center"/>
            </w:pPr>
            <w:r>
              <w:rPr>
                <w:sz w:val="24"/>
                <w:szCs w:val="24"/>
              </w:rPr>
              <w:t>契约型开放式</w:t>
            </w:r>
          </w:p>
        </w:tc>
        <w:tc>
          <w:tcPr>
            <w:vAlign w:val="center"/>
          </w:tcPr>
          <w:p>
            <w:pPr>
              <w:jc w:val="center"/>
            </w:pPr>
            <w:r>
              <w:rPr>
                <w:sz w:val="24"/>
                <w:szCs w:val="24"/>
              </w:rPr>
              <w:t>13,811,793.84</w:t>
            </w:r>
          </w:p>
        </w:tc>
        <w:tc>
          <w:tcPr>
            <w:vAlign w:val="center"/>
          </w:tcPr>
          <w:p>
            <w:pPr>
              <w:jc w:val="center"/>
            </w:pPr>
            <w:r>
              <w:rPr>
                <w:sz w:val="24"/>
                <w:szCs w:val="24"/>
              </w:rPr>
              <w:t>20,068,536.45</w:t>
            </w:r>
          </w:p>
        </w:tc>
        <w:tc>
          <w:tcPr>
            <w:vAlign w:val="center"/>
          </w:tcPr>
          <w:p>
            <w:pPr>
              <w:jc w:val="center"/>
            </w:pPr>
            <w:r>
              <w:rPr>
                <w:sz w:val="24"/>
                <w:szCs w:val="24"/>
              </w:rPr>
              <w:t>5.66%</w:t>
            </w:r>
          </w:p>
        </w:tc>
        <w:tc>
          <w:tcPr>
            <w:vAlign w:val="center"/>
          </w:tcPr>
          <w:p>
            <w:pPr>
              <w:jc w:val="center"/>
            </w:pPr>
            <w:r>
              <w:rPr>
                <w:sz w:val="24"/>
                <w:szCs w:val="24"/>
              </w:rPr>
              <w:t>是</w:t>
            </w:r>
          </w:p>
        </w:tc>
      </w:tr>
      <w:tr>
        <w:tc>
          <w:tcPr>
            <w:vAlign w:val="center"/>
          </w:tcPr>
          <w:p>
            <w:pPr>
              <w:jc w:val="center"/>
            </w:pPr>
            <w:r>
              <w:rPr>
                <w:sz w:val="24"/>
                <w:szCs w:val="24"/>
              </w:rPr>
              <w:t>4</w:t>
            </w:r>
          </w:p>
        </w:tc>
        <w:tc>
          <w:tcPr>
            <w:vAlign w:val="center"/>
          </w:tcPr>
          <w:p>
            <w:pPr>
              <w:jc w:val="center"/>
            </w:pPr>
            <w:r>
              <w:rPr>
                <w:sz w:val="24"/>
                <w:szCs w:val="24"/>
              </w:rPr>
              <w:t>000992</w:t>
            </w:r>
          </w:p>
        </w:tc>
        <w:tc>
          <w:tcPr>
            <w:vAlign w:val="center"/>
          </w:tcPr>
          <w:p>
            <w:pPr>
              <w:jc w:val="center"/>
            </w:pPr>
            <w:r>
              <w:rPr>
                <w:sz w:val="24"/>
                <w:szCs w:val="24"/>
              </w:rPr>
              <w:t>广发对冲套利定期开放混合</w:t>
            </w:r>
          </w:p>
        </w:tc>
        <w:tc>
          <w:tcPr>
            <w:vAlign w:val="center"/>
          </w:tcPr>
          <w:p>
            <w:pPr>
              <w:jc w:val="center"/>
            </w:pPr>
            <w:r>
              <w:rPr>
                <w:sz w:val="24"/>
                <w:szCs w:val="24"/>
              </w:rPr>
              <w:t>契约型开放式</w:t>
            </w:r>
          </w:p>
        </w:tc>
        <w:tc>
          <w:tcPr>
            <w:vAlign w:val="center"/>
          </w:tcPr>
          <w:p>
            <w:pPr>
              <w:jc w:val="center"/>
            </w:pPr>
            <w:r>
              <w:rPr>
                <w:sz w:val="24"/>
                <w:szCs w:val="24"/>
              </w:rPr>
              <w:t>10,255,555.56</w:t>
            </w:r>
          </w:p>
        </w:tc>
        <w:tc>
          <w:tcPr>
            <w:vAlign w:val="center"/>
          </w:tcPr>
          <w:p>
            <w:pPr>
              <w:jc w:val="center"/>
            </w:pPr>
            <w:r>
              <w:rPr>
                <w:sz w:val="24"/>
                <w:szCs w:val="24"/>
              </w:rPr>
              <w:t>13,721,933.34</w:t>
            </w:r>
          </w:p>
        </w:tc>
        <w:tc>
          <w:tcPr>
            <w:vAlign w:val="center"/>
          </w:tcPr>
          <w:p>
            <w:pPr>
              <w:jc w:val="center"/>
            </w:pPr>
            <w:r>
              <w:rPr>
                <w:sz w:val="24"/>
                <w:szCs w:val="24"/>
              </w:rPr>
              <w:t>3.87%</w:t>
            </w:r>
          </w:p>
        </w:tc>
        <w:tc>
          <w:tcPr>
            <w:vAlign w:val="center"/>
          </w:tcPr>
          <w:p>
            <w:pPr>
              <w:jc w:val="center"/>
            </w:pPr>
            <w:r>
              <w:rPr>
                <w:sz w:val="24"/>
                <w:szCs w:val="24"/>
              </w:rPr>
              <w:t>否</w:t>
            </w:r>
          </w:p>
        </w:tc>
      </w:tr>
      <w:tr>
        <w:tc>
          <w:tcPr>
            <w:vAlign w:val="center"/>
          </w:tcPr>
          <w:p>
            <w:pPr>
              <w:jc w:val="center"/>
            </w:pPr>
            <w:r>
              <w:rPr>
                <w:sz w:val="24"/>
                <w:szCs w:val="24"/>
              </w:rPr>
              <w:t>5</w:t>
            </w:r>
          </w:p>
        </w:tc>
        <w:tc>
          <w:tcPr>
            <w:vAlign w:val="center"/>
          </w:tcPr>
          <w:p>
            <w:pPr>
              <w:jc w:val="center"/>
            </w:pPr>
            <w:r>
              <w:rPr>
                <w:sz w:val="24"/>
                <w:szCs w:val="24"/>
              </w:rPr>
              <w:t>001018</w:t>
            </w:r>
          </w:p>
        </w:tc>
        <w:tc>
          <w:tcPr>
            <w:vAlign w:val="center"/>
          </w:tcPr>
          <w:p>
            <w:pPr>
              <w:jc w:val="center"/>
            </w:pPr>
            <w:r>
              <w:rPr>
                <w:sz w:val="24"/>
                <w:szCs w:val="24"/>
              </w:rPr>
              <w:t>易方达新经济混合</w:t>
            </w:r>
          </w:p>
        </w:tc>
        <w:tc>
          <w:tcPr>
            <w:vAlign w:val="center"/>
          </w:tcPr>
          <w:p>
            <w:pPr>
              <w:jc w:val="center"/>
            </w:pPr>
            <w:r>
              <w:rPr>
                <w:sz w:val="24"/>
                <w:szCs w:val="24"/>
              </w:rPr>
              <w:t>契约型开放式</w:t>
            </w:r>
          </w:p>
        </w:tc>
        <w:tc>
          <w:tcPr>
            <w:vAlign w:val="center"/>
          </w:tcPr>
          <w:p>
            <w:pPr>
              <w:jc w:val="center"/>
            </w:pPr>
            <w:r>
              <w:rPr>
                <w:sz w:val="24"/>
                <w:szCs w:val="24"/>
              </w:rPr>
              <w:t>4,848,476.30</w:t>
            </w:r>
          </w:p>
        </w:tc>
        <w:tc>
          <w:tcPr>
            <w:vAlign w:val="center"/>
          </w:tcPr>
          <w:p>
            <w:pPr>
              <w:jc w:val="center"/>
            </w:pPr>
            <w:r>
              <w:rPr>
                <w:sz w:val="24"/>
                <w:szCs w:val="24"/>
              </w:rPr>
              <w:t>13,522,400.40</w:t>
            </w:r>
          </w:p>
        </w:tc>
        <w:tc>
          <w:tcPr>
            <w:vAlign w:val="center"/>
          </w:tcPr>
          <w:p>
            <w:pPr>
              <w:jc w:val="center"/>
            </w:pPr>
            <w:r>
              <w:rPr>
                <w:sz w:val="24"/>
                <w:szCs w:val="24"/>
              </w:rPr>
              <w:t>3.81%</w:t>
            </w:r>
          </w:p>
        </w:tc>
        <w:tc>
          <w:tcPr>
            <w:vAlign w:val="center"/>
          </w:tcPr>
          <w:p>
            <w:pPr>
              <w:jc w:val="center"/>
            </w:pPr>
            <w:r>
              <w:rPr>
                <w:sz w:val="24"/>
                <w:szCs w:val="24"/>
              </w:rPr>
              <w:t>是</w:t>
            </w:r>
          </w:p>
        </w:tc>
      </w:tr>
      <w:tr>
        <w:tc>
          <w:tcPr>
            <w:vAlign w:val="center"/>
          </w:tcPr>
          <w:p>
            <w:pPr>
              <w:jc w:val="center"/>
            </w:pPr>
            <w:r>
              <w:rPr>
                <w:sz w:val="24"/>
                <w:szCs w:val="24"/>
              </w:rPr>
              <w:t>6</w:t>
            </w:r>
          </w:p>
        </w:tc>
        <w:tc>
          <w:tcPr>
            <w:vAlign w:val="center"/>
          </w:tcPr>
          <w:p>
            <w:pPr>
              <w:jc w:val="center"/>
            </w:pPr>
            <w:r>
              <w:rPr>
                <w:sz w:val="24"/>
                <w:szCs w:val="24"/>
              </w:rPr>
              <w:t>110008</w:t>
            </w:r>
          </w:p>
        </w:tc>
        <w:tc>
          <w:tcPr>
            <w:vAlign w:val="center"/>
          </w:tcPr>
          <w:p>
            <w:pPr>
              <w:jc w:val="center"/>
            </w:pPr>
            <w:r>
              <w:rPr>
                <w:sz w:val="24"/>
                <w:szCs w:val="24"/>
              </w:rPr>
              <w:t>易方达稳健收益债券B</w:t>
            </w:r>
          </w:p>
        </w:tc>
        <w:tc>
          <w:tcPr>
            <w:vAlign w:val="center"/>
          </w:tcPr>
          <w:p>
            <w:pPr>
              <w:jc w:val="center"/>
            </w:pPr>
            <w:r>
              <w:rPr>
                <w:sz w:val="24"/>
                <w:szCs w:val="24"/>
              </w:rPr>
              <w:t>契约型开放式</w:t>
            </w:r>
          </w:p>
        </w:tc>
        <w:tc>
          <w:tcPr>
            <w:vAlign w:val="center"/>
          </w:tcPr>
          <w:p>
            <w:pPr>
              <w:jc w:val="center"/>
            </w:pPr>
            <w:r>
              <w:rPr>
                <w:sz w:val="24"/>
                <w:szCs w:val="24"/>
              </w:rPr>
              <w:t>9,963,838.36</w:t>
            </w:r>
          </w:p>
        </w:tc>
        <w:tc>
          <w:tcPr>
            <w:vAlign w:val="center"/>
          </w:tcPr>
          <w:p>
            <w:pPr>
              <w:jc w:val="center"/>
            </w:pPr>
            <w:r>
              <w:rPr>
                <w:sz w:val="24"/>
                <w:szCs w:val="24"/>
              </w:rPr>
              <w:t>13,031,704.19</w:t>
            </w:r>
          </w:p>
        </w:tc>
        <w:tc>
          <w:tcPr>
            <w:vAlign w:val="center"/>
          </w:tcPr>
          <w:p>
            <w:pPr>
              <w:jc w:val="center"/>
            </w:pPr>
            <w:r>
              <w:rPr>
                <w:sz w:val="24"/>
                <w:szCs w:val="24"/>
              </w:rPr>
              <w:t>3.67%</w:t>
            </w:r>
          </w:p>
        </w:tc>
        <w:tc>
          <w:tcPr>
            <w:vAlign w:val="center"/>
          </w:tcPr>
          <w:p>
            <w:pPr>
              <w:jc w:val="center"/>
            </w:pPr>
            <w:r>
              <w:rPr>
                <w:sz w:val="24"/>
                <w:szCs w:val="24"/>
              </w:rPr>
              <w:t>是</w:t>
            </w:r>
          </w:p>
        </w:tc>
      </w:tr>
      <w:tr>
        <w:tc>
          <w:tcPr>
            <w:vAlign w:val="center"/>
          </w:tcPr>
          <w:p>
            <w:pPr>
              <w:jc w:val="center"/>
            </w:pPr>
            <w:r>
              <w:rPr>
                <w:sz w:val="24"/>
                <w:szCs w:val="24"/>
              </w:rPr>
              <w:t>7</w:t>
            </w:r>
          </w:p>
        </w:tc>
        <w:tc>
          <w:tcPr>
            <w:vAlign w:val="center"/>
          </w:tcPr>
          <w:p>
            <w:pPr>
              <w:jc w:val="center"/>
            </w:pPr>
            <w:r>
              <w:rPr>
                <w:sz w:val="24"/>
                <w:szCs w:val="24"/>
              </w:rPr>
              <w:t>110011</w:t>
            </w:r>
          </w:p>
        </w:tc>
        <w:tc>
          <w:tcPr>
            <w:vAlign w:val="center"/>
          </w:tcPr>
          <w:p>
            <w:pPr>
              <w:jc w:val="center"/>
            </w:pPr>
            <w:r>
              <w:rPr>
                <w:sz w:val="24"/>
                <w:szCs w:val="24"/>
              </w:rPr>
              <w:t>易方达中小盘混合</w:t>
            </w:r>
          </w:p>
        </w:tc>
        <w:tc>
          <w:tcPr>
            <w:vAlign w:val="center"/>
          </w:tcPr>
          <w:p>
            <w:pPr>
              <w:jc w:val="center"/>
            </w:pPr>
            <w:r>
              <w:rPr>
                <w:sz w:val="24"/>
                <w:szCs w:val="24"/>
              </w:rPr>
              <w:t>契约型开放式</w:t>
            </w:r>
          </w:p>
        </w:tc>
        <w:tc>
          <w:tcPr>
            <w:vAlign w:val="center"/>
          </w:tcPr>
          <w:p>
            <w:pPr>
              <w:jc w:val="center"/>
            </w:pPr>
            <w:r>
              <w:rPr>
                <w:sz w:val="24"/>
                <w:szCs w:val="24"/>
              </w:rPr>
              <w:t>2,123,041.25</w:t>
            </w:r>
          </w:p>
        </w:tc>
        <w:tc>
          <w:tcPr>
            <w:vAlign w:val="center"/>
          </w:tcPr>
          <w:p>
            <w:pPr>
              <w:jc w:val="center"/>
            </w:pPr>
            <w:r>
              <w:rPr>
                <w:sz w:val="24"/>
                <w:szCs w:val="24"/>
              </w:rPr>
              <w:t>12,866,479.19</w:t>
            </w:r>
          </w:p>
        </w:tc>
        <w:tc>
          <w:tcPr>
            <w:vAlign w:val="center"/>
          </w:tcPr>
          <w:p>
            <w:pPr>
              <w:jc w:val="center"/>
            </w:pPr>
            <w:r>
              <w:rPr>
                <w:sz w:val="24"/>
                <w:szCs w:val="24"/>
              </w:rPr>
              <w:t>3.63%</w:t>
            </w:r>
          </w:p>
        </w:tc>
        <w:tc>
          <w:tcPr>
            <w:vAlign w:val="center"/>
          </w:tcPr>
          <w:p>
            <w:pPr>
              <w:jc w:val="center"/>
            </w:pPr>
            <w:r>
              <w:rPr>
                <w:sz w:val="24"/>
                <w:szCs w:val="24"/>
              </w:rPr>
              <w:t>是</w:t>
            </w:r>
          </w:p>
        </w:tc>
      </w:tr>
      <w:tr>
        <w:tc>
          <w:tcPr>
            <w:vAlign w:val="center"/>
          </w:tcPr>
          <w:p>
            <w:pPr>
              <w:jc w:val="center"/>
            </w:pPr>
            <w:r>
              <w:rPr>
                <w:sz w:val="24"/>
                <w:szCs w:val="24"/>
              </w:rPr>
              <w:t>8</w:t>
            </w:r>
          </w:p>
        </w:tc>
        <w:tc>
          <w:tcPr>
            <w:vAlign w:val="center"/>
          </w:tcPr>
          <w:p>
            <w:pPr>
              <w:jc w:val="center"/>
            </w:pPr>
            <w:r>
              <w:rPr>
                <w:sz w:val="24"/>
                <w:szCs w:val="24"/>
              </w:rPr>
              <w:t>000171</w:t>
            </w:r>
          </w:p>
        </w:tc>
        <w:tc>
          <w:tcPr>
            <w:vAlign w:val="center"/>
          </w:tcPr>
          <w:p>
            <w:pPr>
              <w:jc w:val="center"/>
            </w:pPr>
            <w:r>
              <w:rPr>
                <w:sz w:val="24"/>
                <w:szCs w:val="24"/>
              </w:rPr>
              <w:t>易方达裕丰回报债券</w:t>
            </w:r>
          </w:p>
        </w:tc>
        <w:tc>
          <w:tcPr>
            <w:vAlign w:val="center"/>
          </w:tcPr>
          <w:p>
            <w:pPr>
              <w:jc w:val="center"/>
            </w:pPr>
            <w:r>
              <w:rPr>
                <w:sz w:val="24"/>
                <w:szCs w:val="24"/>
              </w:rPr>
              <w:t>契约型开放式</w:t>
            </w:r>
          </w:p>
        </w:tc>
        <w:tc>
          <w:tcPr>
            <w:vAlign w:val="center"/>
          </w:tcPr>
          <w:p>
            <w:pPr>
              <w:jc w:val="center"/>
            </w:pPr>
            <w:r>
              <w:rPr>
                <w:sz w:val="24"/>
                <w:szCs w:val="24"/>
              </w:rPr>
              <w:t>6,764,332.50</w:t>
            </w:r>
          </w:p>
        </w:tc>
        <w:tc>
          <w:tcPr>
            <w:vAlign w:val="center"/>
          </w:tcPr>
          <w:p>
            <w:pPr>
              <w:jc w:val="center"/>
            </w:pPr>
            <w:r>
              <w:rPr>
                <w:sz w:val="24"/>
                <w:szCs w:val="24"/>
              </w:rPr>
              <w:t>12,804,881.42</w:t>
            </w:r>
          </w:p>
        </w:tc>
        <w:tc>
          <w:tcPr>
            <w:vAlign w:val="center"/>
          </w:tcPr>
          <w:p>
            <w:pPr>
              <w:jc w:val="center"/>
            </w:pPr>
            <w:r>
              <w:rPr>
                <w:sz w:val="24"/>
                <w:szCs w:val="24"/>
              </w:rPr>
              <w:t>3.61%</w:t>
            </w:r>
          </w:p>
        </w:tc>
        <w:tc>
          <w:tcPr>
            <w:vAlign w:val="center"/>
          </w:tcPr>
          <w:p>
            <w:pPr>
              <w:jc w:val="center"/>
            </w:pPr>
            <w:r>
              <w:rPr>
                <w:sz w:val="24"/>
                <w:szCs w:val="24"/>
              </w:rPr>
              <w:t>是</w:t>
            </w:r>
          </w:p>
        </w:tc>
      </w:tr>
      <w:tr>
        <w:tc>
          <w:tcPr>
            <w:vAlign w:val="center"/>
          </w:tcPr>
          <w:p>
            <w:pPr>
              <w:jc w:val="center"/>
            </w:pPr>
            <w:r>
              <w:rPr>
                <w:sz w:val="24"/>
                <w:szCs w:val="24"/>
              </w:rPr>
              <w:t>9</w:t>
            </w:r>
          </w:p>
        </w:tc>
        <w:tc>
          <w:tcPr>
            <w:vAlign w:val="center"/>
          </w:tcPr>
          <w:p>
            <w:pPr>
              <w:jc w:val="center"/>
            </w:pPr>
            <w:r>
              <w:rPr>
                <w:sz w:val="24"/>
                <w:szCs w:val="24"/>
              </w:rPr>
              <w:t>163415</w:t>
            </w:r>
          </w:p>
        </w:tc>
        <w:tc>
          <w:tcPr>
            <w:vAlign w:val="center"/>
          </w:tcPr>
          <w:p>
            <w:pPr>
              <w:jc w:val="center"/>
            </w:pPr>
            <w:r>
              <w:rPr>
                <w:sz w:val="24"/>
                <w:szCs w:val="24"/>
              </w:rPr>
              <w:t>兴全商业模式优选混合(LOF)</w:t>
            </w:r>
          </w:p>
        </w:tc>
        <w:tc>
          <w:tcPr>
            <w:vAlign w:val="center"/>
          </w:tcPr>
          <w:p>
            <w:pPr>
              <w:jc w:val="center"/>
            </w:pPr>
            <w:r>
              <w:rPr>
                <w:sz w:val="24"/>
                <w:szCs w:val="24"/>
              </w:rPr>
              <w:t>契约型开放式</w:t>
            </w:r>
          </w:p>
        </w:tc>
        <w:tc>
          <w:tcPr>
            <w:vAlign w:val="center"/>
          </w:tcPr>
          <w:p>
            <w:pPr>
              <w:jc w:val="center"/>
            </w:pPr>
            <w:r>
              <w:rPr>
                <w:sz w:val="24"/>
                <w:szCs w:val="24"/>
              </w:rPr>
              <w:t>4,370,862.62</w:t>
            </w:r>
          </w:p>
        </w:tc>
        <w:tc>
          <w:tcPr>
            <w:vAlign w:val="center"/>
          </w:tcPr>
          <w:p>
            <w:pPr>
              <w:jc w:val="center"/>
            </w:pPr>
            <w:r>
              <w:rPr>
                <w:sz w:val="24"/>
                <w:szCs w:val="24"/>
              </w:rPr>
              <w:t>12,102,918.59</w:t>
            </w:r>
          </w:p>
        </w:tc>
        <w:tc>
          <w:tcPr>
            <w:vAlign w:val="center"/>
          </w:tcPr>
          <w:p>
            <w:pPr>
              <w:jc w:val="center"/>
            </w:pPr>
            <w:r>
              <w:rPr>
                <w:sz w:val="24"/>
                <w:szCs w:val="24"/>
              </w:rPr>
              <w:t>3.41%</w:t>
            </w:r>
          </w:p>
        </w:tc>
        <w:tc>
          <w:tcPr>
            <w:vAlign w:val="center"/>
          </w:tcPr>
          <w:p>
            <w:pPr>
              <w:jc w:val="center"/>
            </w:pPr>
            <w:r>
              <w:rPr>
                <w:sz w:val="24"/>
                <w:szCs w:val="24"/>
              </w:rPr>
              <w:t>否</w:t>
            </w:r>
          </w:p>
        </w:tc>
      </w:tr>
      <w:tr>
        <w:tc>
          <w:tcPr>
            <w:vAlign w:val="center"/>
          </w:tcPr>
          <w:p>
            <w:pPr>
              <w:jc w:val="center"/>
            </w:pPr>
            <w:r>
              <w:rPr>
                <w:sz w:val="24"/>
                <w:szCs w:val="24"/>
              </w:rPr>
              <w:t>10</w:t>
            </w:r>
          </w:p>
        </w:tc>
        <w:tc>
          <w:tcPr>
            <w:vAlign w:val="center"/>
          </w:tcPr>
          <w:p>
            <w:pPr>
              <w:jc w:val="center"/>
            </w:pPr>
            <w:r>
              <w:rPr>
                <w:sz w:val="24"/>
                <w:szCs w:val="24"/>
              </w:rPr>
              <w:t>001500</w:t>
            </w:r>
          </w:p>
        </w:tc>
        <w:tc>
          <w:tcPr>
            <w:vAlign w:val="center"/>
          </w:tcPr>
          <w:p>
            <w:pPr>
              <w:jc w:val="center"/>
            </w:pPr>
            <w:r>
              <w:rPr>
                <w:sz w:val="24"/>
                <w:szCs w:val="24"/>
              </w:rPr>
              <w:t>泓德远见回报混合</w:t>
            </w:r>
          </w:p>
        </w:tc>
        <w:tc>
          <w:tcPr>
            <w:vAlign w:val="center"/>
          </w:tcPr>
          <w:p>
            <w:pPr>
              <w:jc w:val="center"/>
            </w:pPr>
            <w:r>
              <w:rPr>
                <w:sz w:val="24"/>
                <w:szCs w:val="24"/>
              </w:rPr>
              <w:t>契约型开放式</w:t>
            </w:r>
          </w:p>
        </w:tc>
        <w:tc>
          <w:tcPr>
            <w:vAlign w:val="center"/>
          </w:tcPr>
          <w:p>
            <w:pPr>
              <w:jc w:val="center"/>
            </w:pPr>
            <w:r>
              <w:rPr>
                <w:sz w:val="24"/>
                <w:szCs w:val="24"/>
              </w:rPr>
              <w:t>7,729,201.56</w:t>
            </w:r>
          </w:p>
        </w:tc>
        <w:tc>
          <w:tcPr>
            <w:vAlign w:val="center"/>
          </w:tcPr>
          <w:p>
            <w:pPr>
              <w:jc w:val="center"/>
            </w:pPr>
            <w:r>
              <w:rPr>
                <w:sz w:val="24"/>
                <w:szCs w:val="24"/>
              </w:rPr>
              <w:t>12,065,283.64</w:t>
            </w:r>
          </w:p>
        </w:tc>
        <w:tc>
          <w:tcPr>
            <w:vAlign w:val="center"/>
          </w:tcPr>
          <w:p>
            <w:pPr>
              <w:jc w:val="center"/>
            </w:pPr>
            <w:r>
              <w:rPr>
                <w:sz w:val="24"/>
                <w:szCs w:val="24"/>
              </w:rPr>
              <w:t>3.40%</w:t>
            </w:r>
          </w:p>
        </w:tc>
        <w:tc>
          <w:tcPr>
            <w:vAlign w:val="center"/>
          </w:tcPr>
          <w:p>
            <w:pPr>
              <w:jc w:val="center"/>
            </w:pPr>
            <w:r>
              <w:rPr>
                <w:sz w:val="24"/>
                <w:szCs w:val="24"/>
              </w:rPr>
              <w:t>否</w:t>
            </w:r>
          </w:p>
        </w:tc>
      </w:tr>
    </w:tbl>
    <w:p w:rsidP="006A5FB3" w:rsidR="006A5FB3" w:rsidRDefault="006A5FB3" w:rsidRPr="006A5FB3">
      <w:pPr>
        <w:autoSpaceDE w:val="0"/>
        <w:autoSpaceDN w:val="0"/>
        <w:adjustRightInd w:val="0"/>
        <w:spacing w:line="360" w:lineRule="auto"/>
        <w:jc w:val="left"/>
        <w:rPr>
          <w:color w:val="000000"/>
          <w:sz w:val="24"/>
          <w:szCs w:val="24"/>
        </w:rPr>
      </w:pPr>
      <w:r w:rsidRPr="006A5FB3">
        <w:rPr>
          <w:color w:val="000000"/>
          <w:sz w:val="24"/>
          <w:szCs w:val="24"/>
        </w:rPr>
        <w:t/>
      </w:r>
      <w:proofErr w:type="spellStart"/>
      <w:r w:rsidRPr="006A5FB3">
        <w:rPr>
          <w:color w:val="000000"/>
          <w:sz w:val="24"/>
          <w:szCs w:val="24"/>
        </w:rPr>
        <w:t/>
      </w:r>
      <w:proofErr w:type="spellEnd"/>
      <w:r w:rsidRPr="006A5FB3">
        <w:rPr>
          <w:color w:val="000000"/>
          <w:sz w:val="24"/>
          <w:szCs w:val="24"/>
        </w:rPr>
        <w:t xml:space="preserve">6.2 </w:t>
      </w:r>
      <w:r w:rsidRPr="006A5FB3">
        <w:rPr>
          <w:color w:val="000000"/>
          <w:sz w:val="24"/>
          <w:szCs w:val="24"/>
        </w:rPr>
        <w:t>当期交易及持有基金产生的费用</w:t>
      </w:r>
    </w:p>
    <w:tbl>
      <w:tblPr>
        <w:tblStyle w:val="af7"/>
        <w:tblW w:type="dxa" w:w="8364"/>
        <w:tblInd w:type="dxa" w:w="108"/>
        <w:tblLayout w:type="fixed"/>
        <w:tblLook w:firstColumn="1" w:firstRow="1" w:lastColumn="0" w:lastRow="0" w:noHBand="0" w:noVBand="1" w:val="04A0"/>
      </w:tblPr>
      <w:tblGrid>
        <w:gridCol w:w="2410"/>
        <w:gridCol w:w="2835"/>
        <w:gridCol w:w="3119"/>
      </w:tblGrid>
      <w:tr w:rsidR="006A5FB3" w:rsidRPr="006A5FB3" w:rsidTr="006D75A5">
        <w:tc>
          <w:tcPr>
            <w:tcW w:type="dxa" w:w="2410"/>
            <w:vAlign w:val="center"/>
          </w:tcPr>
          <w:p w:rsidP="006A5FB3" w:rsidR="006A5FB3" w:rsidRDefault="006A5FB3" w:rsidRPr="006A5FB3">
            <w:pPr>
              <w:adjustRightInd w:val="0"/>
              <w:snapToGrid w:val="0"/>
              <w:spacing w:before="156" w:beforeLines="50"/>
              <w:jc w:val="center"/>
              <w:rPr>
                <w:color w:themeColor="text1" w:val="000000"/>
                <w:sz w:val="24"/>
                <w:szCs w:val="24"/>
              </w:rPr>
            </w:pPr>
            <w:r w:rsidRPr="006A5FB3">
              <w:rPr>
                <w:sz w:val="24"/>
                <w:szCs w:val="24"/>
              </w:rPr>
              <w:t>项目</w:t>
            </w: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
            </w:r>
          </w:p>
        </w:tc>
        <w:tc>
          <w:tcPr>
            <w:tcW w:type="dxa" w:w="2835"/>
            <w:vAlign w:val="center"/>
          </w:tcPr>
          <w:p w:rsidP="00F94C5F" w:rsidR="006A5FB3" w:rsidRDefault="006A5FB3">
            <w:pPr>
              <w:jc w:val="center"/>
              <w:rPr>
                <w:sz w:val="24"/>
                <w:szCs w:val="24"/>
              </w:rPr>
            </w:pPr>
            <w:r w:rsidRPr="006A5FB3">
              <w:rPr>
                <w:sz w:val="24"/>
                <w:szCs w:val="24"/>
              </w:rPr>
              <w:t>本期费用</w:t>
            </w:r>
          </w:p>
          <w:p w:rsidP="00F94C5F" w:rsidR="00457DBA" w:rsidRDefault="00457DBA" w:rsidRPr="006A5FB3">
            <w:pPr>
              <w:jc w:val="center"/>
              <w:rPr>
                <w:sz w:val="24"/>
                <w:szCs w:val="24"/>
              </w:rPr>
            </w:pPr>
            <w:r>
              <w:rPr>
                <w:rFonts w:eastAsiaTheme="minorEastAsia"/>
              </w:rPr>
              <w:t/>
            </w:r>
            <w:proofErr w:type="spellStart"/>
            <w:r>
              <w:rPr>
                <w:rFonts w:eastAsiaTheme="minorEastAsia"/>
              </w:rPr>
              <w:t/>
            </w:r>
            <w:proofErr w:type="spellEnd"/>
            <w:r>
              <w:rPr>
                <w:rFonts w:eastAsiaTheme="minorEastAsia"/>
              </w:rPr>
              <w:t>2020年4月1日</w:t>
            </w:r>
            <w:r>
              <w:rPr>
                <w:rFonts w:eastAsiaTheme="minorEastAsia" w:hint="eastAsia"/>
              </w:rPr>
              <w:t>至</w:t>
            </w:r>
            <w:r>
              <w:rPr>
                <w:rFonts w:eastAsiaTheme="minorEastAsia"/>
              </w:rPr>
              <w:t/>
            </w:r>
            <w:proofErr w:type="spellStart"/>
            <w:r>
              <w:rPr>
                <w:rFonts w:eastAsiaTheme="minorEastAsia"/>
              </w:rPr>
              <w:t/>
            </w:r>
            <w:proofErr w:type="spellEnd"/>
            <w:r>
              <w:rPr>
                <w:rFonts w:eastAsiaTheme="minorEastAsia"/>
              </w:rPr>
              <w:t>2020年6月30日</w:t>
            </w:r>
          </w:p>
        </w:tc>
        <w:tc>
          <w:tcPr>
            <w:tcW w:type="dxa" w:w="3119"/>
            <w:vAlign w:val="center"/>
          </w:tcPr>
          <w:p w:rsidP="00F94C5F" w:rsidR="006A5FB3" w:rsidRDefault="006A5FB3" w:rsidRPr="006A5FB3">
            <w:pPr>
              <w:jc w:val="center"/>
              <w:rPr>
                <w:sz w:val="24"/>
                <w:szCs w:val="24"/>
              </w:rPr>
            </w:pPr>
            <w:r w:rsidRPr="006A5FB3">
              <w:rPr>
                <w:sz w:val="24"/>
                <w:szCs w:val="24"/>
              </w:rPr>
              <w:t>其中：交易及持有基金管理人以及管理人关联方所管理基金产生的费用</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当期交易基金产生的申购费（元）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2,499.55</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当期交易基金产生的赎回费（元）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79,833.96</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4,717.36</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当期持有基金产生的应支付销售服务费（元）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4,254.56</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4,254.56</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当期持有基金产生的应支付管理费（元）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801,503.86</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181,928.53</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当期持有基金产生的应支付托管费（元）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157,585.20</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41,098.39</w:t>
            </w:r>
          </w:p>
        </w:tc>
      </w:tr>
      <w:tr>
        <w:tc>
          <w:tcPr>
            <w:vAlign w:val="center"/>
          </w:tcPr>
          <w:p>
            <w:pPr>
              <w:jc w:val="left"/>
            </w:pPr>
            <w:r>
              <w:rPr>
                <w:color w:themeColor="text1" w:val="000000"/>
                <w:sz w:val="24"/>
                <w:szCs w:val="24"/>
              </w:rPr>
              <w:t>当期交易所交易基金产生的交易费（元）</w:t>
            </w:r>
          </w:p>
        </w:tc>
        <w:tc>
          <w:tcPr>
            <w:vAlign w:val="center"/>
          </w:tcPr>
          <w:p>
            <w:pPr>
              <w:jc w:val="right"/>
            </w:pPr>
            <w:r>
              <w:rPr>
                <w:color w:themeColor="text1" w:val="000000"/>
                <w:sz w:val="24"/>
                <w:szCs w:val="24"/>
              </w:rPr>
              <w:t>1,435.15</w:t>
            </w:r>
          </w:p>
        </w:tc>
        <w:tc>
          <w:tcPr>
            <w:vAlign w:val="center"/>
          </w:tcPr>
          <w:p>
            <w:pPr>
              <w:jc w:val="right"/>
            </w:pPr>
            <w:r>
              <w:rPr>
                <w:color w:themeColor="text1" w:val="000000"/>
                <w:sz w:val="24"/>
                <w:szCs w:val="24"/>
              </w:rPr>
              <w:t>171.05</w:t>
            </w:r>
          </w:p>
        </w:tc>
      </w:tr>
      <w:tr>
        <w:tc>
          <w:tcPr>
            <w:vAlign w:val="center"/>
          </w:tcPr>
          <w:p>
            <w:pPr>
              <w:jc w:val="left"/>
            </w:pPr>
            <w:r>
              <w:rPr>
                <w:color w:themeColor="text1" w:val="000000"/>
                <w:sz w:val="24"/>
                <w:szCs w:val="24"/>
              </w:rPr>
              <w:t>当期交易基金产生的转换费（元）</w:t>
            </w:r>
          </w:p>
        </w:tc>
        <w:tc>
          <w:tcPr>
            <w:vAlign w:val="center"/>
          </w:tcPr>
          <w:p>
            <w:pPr>
              <w:jc w:val="right"/>
            </w:pPr>
            <w:r>
              <w:rPr>
                <w:color w:themeColor="text1" w:val="000000"/>
                <w:sz w:val="24"/>
                <w:szCs w:val="24"/>
              </w:rPr>
              <w:t>54,088.69</w:t>
            </w:r>
          </w:p>
        </w:tc>
        <w:tc>
          <w:tcPr>
            <w:vAlign w:val="center"/>
          </w:tcPr>
          <w:p>
            <w:pPr>
              <w:jc w:val="right"/>
            </w:pPr>
            <w:r>
              <w:rPr>
                <w:color w:themeColor="text1" w:val="000000"/>
                <w:sz w:val="24"/>
                <w:szCs w:val="24"/>
              </w:rPr>
              <w:t>7,578.85</w:t>
            </w:r>
          </w:p>
        </w:tc>
      </w:tr>
    </w:tbl>
    <w:p>
      <w:pPr>
        <w:pStyle w:val="11"/>
        <w:spacing w:line="360" w:lineRule="auto"/>
        <w:ind w:firstLine="420"/>
        <w:jc w:val="left"/>
        <w:rPr>
          <w:sz w:val="24"/>
        </w:rPr>
      </w:pPr>
      <w:r>
        <w:rPr>
          <w:sz w:val="24"/>
        </w:rPr>
        <w:t xml:space="preserve">注：当期持有基金产生的应支付销售服务费、应支付管理费、应支付托管费按照被投资基金基金合同约定已作为费用计入被投资基金的基金份额净值，上表列示金额为按照本基金对被投资基金的实际持仓情况根据被投资基金基金合同约定的相应费率计算得出。 </w:t>
      </w:r>
    </w:p>
    <w:p w:rsidP="006A5FB3" w:rsidR="006A5FB3" w:rsidRDefault="006A5FB3" w:rsidRPr="006A5FB3">
      <w:pPr>
        <w:pStyle w:val="11"/>
        <w:spacing w:line="360" w:lineRule="auto"/>
        <w:ind w:firstLine="420"/>
        <w:jc w:val="left"/>
        <w:rPr>
          <w:sz w:val="24"/>
        </w:rPr>
      </w:pPr>
      <w:r w:rsidRPr="006A5FB3">
        <w:rPr>
          <w:sz w:val="24"/>
        </w:rPr>
        <w:t>根据相关法律法规及本基金合同的约定，基金管理人不得对基金中基金财产中持有的自身管理的基金部分收取基金中基金的管理费，基金托管人不得对基金中基金财产中持有的自身托管的基金部分收取基金中基金的托管费。基金管理人运用本基金财产申购自身管理的其他基金的（ETF除外），应当通过直销渠道申购且不收取申购费、赎回费（按照相关法规、基金招募说明书约定应当收取，并计入基金资产的赎回费用除外）、销售服务费等销售费用，其中申购费、赎回费在实际申购、赎回时按上述规定执行，销售服务费由本基金管理人从被投资基金收取后返还至本基金基金资产。</w:t>
      </w:r>
    </w:p>
    <w:p w:rsidP="006A5FB3" w:rsidR="006A5FB3" w:rsidRDefault="006A5FB3" w:rsidRPr="006A5FB3">
      <w:pPr>
        <w:autoSpaceDE w:val="0"/>
        <w:autoSpaceDN w:val="0"/>
        <w:adjustRightInd w:val="0"/>
        <w:spacing w:line="360" w:lineRule="auto"/>
        <w:jc w:val="left"/>
        <w:rPr>
          <w:color w:val="000000"/>
          <w:sz w:val="24"/>
          <w:szCs w:val="24"/>
        </w:rPr>
      </w:pPr>
      <w:r w:rsidRPr="006A5FB3">
        <w:rPr>
          <w:color w:val="000000"/>
          <w:sz w:val="24"/>
          <w:szCs w:val="24"/>
        </w:rPr>
        <w:lastRenderedPageBreak/>
        <w:t/>
      </w:r>
      <w:proofErr w:type="spellStart"/>
      <w:r w:rsidRPr="006A5FB3">
        <w:rPr>
          <w:color w:val="000000"/>
          <w:sz w:val="24"/>
          <w:szCs w:val="24"/>
        </w:rPr>
        <w:t/>
      </w:r>
      <w:proofErr w:type="spellEnd"/>
      <w:r w:rsidRPr="006A5FB3">
        <w:rPr>
          <w:color w:val="000000"/>
          <w:sz w:val="24"/>
          <w:szCs w:val="24"/>
        </w:rPr>
        <w:t xml:space="preserve">6.3 </w:t>
      </w:r>
      <w:r w:rsidRPr="006A5FB3">
        <w:rPr>
          <w:color w:val="000000"/>
          <w:sz w:val="24"/>
          <w:szCs w:val="24"/>
        </w:rPr>
        <w:t>本报告期持有的基金发生的重大影响事件</w:t>
      </w:r>
    </w:p>
    <w:tbl>
      <w:tblPr>
        <w:tblStyle w:val="af7"/>
        <w:tblW w:type="auto" w:w="0"/>
        <w:tblInd w:type="dxa" w:w="108"/>
        <w:tblLook w:firstColumn="1" w:firstRow="1" w:lastColumn="0" w:lastRow="0" w:noHBand="0" w:noVBand="1" w:val="04A0"/>
      </w:tblPr>
      <w:tblGrid>
        <w:gridCol w:w="8420"/>
      </w:tblGrid>
      <w:tr w:rsidR="006A5FB3" w:rsidRPr="006A5FB3" w:rsidTr="00F94C5F">
        <w:tc>
          <w:tcPr>
            <w:tcW w:type="dxa" w:w="8789"/>
            <w:vAlign w:val="center"/>
          </w:tcPr>
          <w:p w:rsidP="00F94C5F" w:rsidR="006A5FB3" w:rsidRDefault="006A5FB3" w:rsidRPr="006A5FB3">
            <w:pPr>
              <w:autoSpaceDE w:val="0"/>
              <w:autoSpaceDN w:val="0"/>
              <w:adjustRightInd w:val="0"/>
              <w:rPr>
                <w:color w:themeColor="text1" w:val="000000"/>
                <w:sz w:val="24"/>
                <w:szCs w:val="24"/>
              </w:rPr>
            </w:pPr>
            <w:r w:rsidRPr="006A5FB3">
              <w:rPr>
                <w:color w:themeColor="text1" w:val="000000"/>
                <w:sz w:val="24"/>
                <w:szCs w:val="24"/>
              </w:rPr>
              <w:t>本基金持有的基金在报告期未发生重大影响事件。</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006D75A5" w:rsidRPr="006A5FB3">
        <w:rPr>
          <w:color w:val="000000"/>
          <w:kern w:val="0"/>
          <w:sz w:val="24"/>
          <w:szCs w:val="24"/>
        </w:rPr>
        <w:t>7</w:t>
      </w:r>
      <w:r w:rsidRPr="00264E55">
        <w:rPr>
          <w:rFonts w:ascii="宋体" w:hAnsi="宋体"/>
          <w:color w:val="000000"/>
          <w:kern w:val="0"/>
          <w:sz w:val="24"/>
          <w:szCs w:val="24"/>
        </w:rPr>
        <w:t xml:space="preserve">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287,748,665.91</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7,235,549.51</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90A8C" w:rsidRPr="00921BFA">
              <w:rPr>
                <w:rFonts w:hint="eastAsia"/>
                <w:color w:val="000000"/>
                <w:kern w:val="0"/>
                <w:sz w:val="24"/>
                <w:szCs w:val="24"/>
              </w:rPr>
              <w:t>（份额减少以“</w:t>
            </w:r>
            <w:r w:rsidR="00990A8C" w:rsidRPr="00921BFA">
              <w:rPr>
                <w:rFonts w:hint="eastAsia"/>
                <w:color w:val="000000"/>
                <w:kern w:val="0"/>
                <w:sz w:val="24"/>
                <w:szCs w:val="24"/>
              </w:rPr>
              <w:t>-</w:t>
            </w:r>
            <w:r w:rsidR="00990A8C"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294,984,215.42</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00160E0A">
        <w:rPr>
          <w:rFonts w:ascii="宋体" w:cs="Arial" w:hAnsi="宋体"/>
          <w:color w:val="000000"/>
          <w:kern w:val="0"/>
          <w:sz w:val="24"/>
          <w:szCs w:val="24"/>
        </w:rPr>
        <w:t/>
      </w:r>
      <w:r>
        <w:rPr>
          <w:rFonts w:ascii="宋体" w:cs="Arial" w:hAnsi="宋体"/>
          <w:color w:val="000000"/>
          <w:kern w:val="0"/>
          <w:sz w:val="24"/>
          <w:szCs w:val="24"/>
        </w:rPr>
        <w:t xml:space="preserve">8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8.1 </w:t>
      </w:r>
      <w:r>
        <w:rPr>
          <w:rFonts w:hint="eastAsia"/>
          <w:b/>
          <w:sz w:val="24"/>
        </w:rPr>
        <w:t>基金管理人持有本基金份额变动情况</w:t>
      </w:r>
    </w:p>
    <w:p w:rsidP="00AC11B0" w:rsidR="00AC11B0" w:rsidRDefault="00AC11B0" w:rsidRPr="005A564A">
      <w:pPr>
        <w:autoSpaceDE w:val="0"/>
        <w:autoSpaceDN w:val="0"/>
        <w:adjustRightInd w:val="0"/>
        <w:spacing w:before="29" w:line="360" w:lineRule="auto"/>
        <w:ind w:left="15"/>
        <w:jc w:val="right"/>
        <w:rPr>
          <w:sz w:val="24"/>
        </w:rPr>
      </w:pPr>
      <w:r w:rsidRPr="005A564A">
        <w:rPr>
          <w:sz w:val="24"/>
        </w:rPr>
        <w:t/>
      </w:r>
      <w:proofErr w:type="spellStart"/>
      <w:r w:rsidRPr="005A564A">
        <w:rPr>
          <w:sz w:val="24"/>
        </w:rPr>
        <w:t/>
      </w:r>
      <w:proofErr w:type="spellEnd"/>
      <w:r w:rsidRPr="005A564A">
        <w:rPr>
          <w:sz w:val="24"/>
        </w:rPr>
        <w:t/>
      </w:r>
      <w:r w:rsidRPr="005A564A">
        <w:rPr>
          <w:sz w:val="24"/>
        </w:rPr>
        <w:t>单位：份</w:t>
      </w:r>
    </w:p>
    <w:tbl>
      <w:tblPr>
        <w:tblW w:type="dxa" w:w="8415"/>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5037"/>
        <w:gridCol w:w="3378"/>
      </w:tblGrid>
      <w:tr w:rsidR="00AC11B0" w:rsidRPr="003B42FF" w:rsidTr="00D94CCE">
        <w:tc>
          <w:tcPr>
            <w:tcW w:type="dxa" w:w="5037"/>
            <w:vAlign w:val="center"/>
            <w:hideMark/>
          </w:tcPr>
          <w:p w:rsidP="003328D9" w:rsidR="00AC11B0" w:rsidRDefault="00AC11B0" w:rsidRPr="003B42FF">
            <w:pPr>
              <w:pStyle w:val="ad"/>
              <w:adjustRightInd w:val="0"/>
              <w:snapToGrid w:val="0"/>
              <w:spacing w:line="360" w:lineRule="exact"/>
              <w:rPr>
                <w:rFonts w:eastAsiaTheme="minorEastAsia"/>
                <w:color w:themeColor="text1" w:val="000000"/>
              </w:rPr>
            </w:pPr>
            <w:r w:rsidRPr="003B42FF">
              <w:rPr>
                <w:rFonts w:eastAsiaTheme="minorEastAsia"/>
                <w:color w:themeColor="text1" w:val="000000"/>
              </w:rPr>
              <w:t>报告期期初管理人持有的本基金份额</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3B42FF">
              <w:rPr>
                <w:rFonts w:eastAsiaTheme="minorEastAsia"/>
                <w:color w:themeColor="text1" w:val="000000"/>
              </w:rPr>
              <w:t/>
            </w:r>
            <w:proofErr w:type="spellStart"/>
            <w:r w:rsidRPr="003B42FF">
              <w:rPr>
                <w:rFonts w:eastAsiaTheme="minorEastAsia"/>
                <w:color w:themeColor="text1" w:val="000000"/>
              </w:rPr>
              <w:t/>
            </w:r>
            <w:proofErr w:type="spellEnd"/>
            <w:r w:rsidRPr="003B42FF">
              <w:rPr>
                <w:rFonts w:eastAsiaTheme="minorEastAsia"/>
                <w:color w:themeColor="text1" w:val="000000"/>
              </w:rPr>
              <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200,045,000.22</w:t>
            </w:r>
          </w:p>
        </w:tc>
      </w:tr>
      <w:tr w:rsidR="00AC11B0" w:rsidRPr="003B42FF" w:rsidTr="00D94CCE">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买入</w:t>
            </w:r>
            <w:r w:rsidRPr="003B42FF">
              <w:rPr>
                <w:rFonts w:eastAsiaTheme="minorEastAsia"/>
                <w:color w:themeColor="text1" w:val="000000"/>
                <w:sz w:val="24"/>
                <w:szCs w:val="24"/>
              </w:rPr>
              <w:t>/</w:t>
            </w:r>
            <w:r w:rsidRPr="003B42FF">
              <w:rPr>
                <w:rFonts w:eastAsiaTheme="minorEastAsia"/>
                <w:color w:themeColor="text1" w:val="000000"/>
                <w:sz w:val="24"/>
                <w:szCs w:val="24"/>
              </w:rPr>
              <w:t>申购总份额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D94CCE">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卖出</w:t>
            </w:r>
            <w:r w:rsidRPr="003B42FF">
              <w:rPr>
                <w:rFonts w:eastAsiaTheme="minorEastAsia"/>
                <w:color w:themeColor="text1" w:val="000000"/>
                <w:sz w:val="24"/>
                <w:szCs w:val="24"/>
              </w:rPr>
              <w:t>/</w:t>
            </w:r>
            <w:r w:rsidRPr="003B42FF">
              <w:rPr>
                <w:rFonts w:eastAsiaTheme="minorEastAsia"/>
                <w:color w:themeColor="text1" w:val="000000"/>
                <w:sz w:val="24"/>
                <w:szCs w:val="24"/>
              </w:rPr>
              <w:t>赎回总份额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D94CCE">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报告期期末管理人持有的本基金份额</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200,045,000.22</w:t>
            </w:r>
          </w:p>
        </w:tc>
      </w:tr>
      <w:tr w:rsidR="00AC11B0" w:rsidRPr="003B42FF" w:rsidTr="00D94CCE">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报告期期末持有的本基金份额占基金总份额比例（</w:t>
            </w:r>
            <w:r w:rsidRPr="003B42FF">
              <w:rPr>
                <w:rFonts w:eastAsiaTheme="minorEastAsia"/>
                <w:color w:themeColor="text1" w:val="000000"/>
                <w:sz w:val="24"/>
                <w:szCs w:val="24"/>
              </w:rPr>
              <w:t>%</w:t>
            </w:r>
            <w:r w:rsidRPr="003B42FF">
              <w:rPr>
                <w:rFonts w:eastAsiaTheme="minorEastAsia"/>
                <w:color w:themeColor="text1" w:val="000000"/>
                <w:sz w:val="24"/>
                <w:szCs w:val="24"/>
              </w:rPr>
              <w:t>）</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67.8155</w:t>
            </w:r>
          </w:p>
        </w:tc>
      </w:tr>
    </w:tbl>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8.2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9</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200,045,000.22</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200,045,000.22</w:t>
            </w:r>
          </w:p>
        </w:tc>
        <w:tc>
          <w:tcPr>
            <w:vAlign w:val="center"/>
          </w:tcPr>
          <w:p>
            <w:pPr>
              <w:jc w:val="center"/>
            </w:pPr>
            <w:r>
              <w:rPr>
                <w:sz w:val="24"/>
                <w:szCs w:val="24"/>
              </w:rPr>
              <w:t>67.82%</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在满足最短持有期限后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9.2 影响投资者决策的其他重要信息</w:t>
      </w:r>
    </w:p>
    <w:p>
      <w:pPr>
        <w:spacing w:line="360" w:lineRule="auto"/>
        <w:ind w:firstLine="480" w:firstLineChars="200"/>
        <w:rPr>
          <w:color w:val="000000"/>
          <w:sz w:val="24"/>
          <w:szCs w:val="24"/>
        </w:rPr>
      </w:pPr>
      <w:r>
        <w:rPr>
          <w:rFonts w:eastAsiaTheme="minorEastAsia"/>
          <w:color w:themeColor="text1" w:val="000000"/>
          <w:sz w:val="24"/>
          <w:szCs w:val="24"/>
        </w:rPr>
        <w:t>本基金投资于其他基金的比例不低于本基金资产的80%，由此可能面临如下风险：</w:t>
      </w:r>
    </w:p>
    <w:p>
      <w:pPr>
        <w:spacing w:line="360" w:lineRule="auto"/>
        <w:ind w:firstLine="480" w:firstLineChars="200"/>
        <w:rPr>
          <w:color w:val="000000"/>
          <w:sz w:val="24"/>
          <w:szCs w:val="24"/>
        </w:rPr>
      </w:pPr>
      <w:r>
        <w:rPr>
          <w:rFonts w:eastAsiaTheme="minorEastAsia"/>
          <w:color w:themeColor="text1" w:val="000000"/>
          <w:sz w:val="24"/>
          <w:szCs w:val="24"/>
        </w:rPr>
        <w:t>（1）被投资基金的业绩风险。本基金投资于其他基金的比例不低于基金资产的80%，因此本基金投资目标的实现建立在被投资基金本身投资目标实现的基础上。如果由于被投资基金未能实现投资目标，则本基金存在达不成投资目标的风险。</w:t>
      </w:r>
    </w:p>
    <w:p>
      <w:pPr>
        <w:spacing w:line="360" w:lineRule="auto"/>
        <w:ind w:firstLine="480" w:firstLineChars="200"/>
        <w:rPr>
          <w:color w:val="000000"/>
          <w:sz w:val="24"/>
          <w:szCs w:val="24"/>
        </w:rPr>
      </w:pPr>
      <w:r>
        <w:rPr>
          <w:rFonts w:eastAsiaTheme="minorEastAsia"/>
          <w:color w:themeColor="text1" w:val="000000"/>
          <w:sz w:val="24"/>
          <w:szCs w:val="24"/>
        </w:rPr>
        <w:t>（2）赎回资金到账时间较晚的风险。基金赎回的资金交收效率慢于基础证券市场交易的证券，因此本基金赎回款实际到达投资者账户的时间可能晚于普通境内开放式基金，存在对投资者资金安排造成影响的风险。</w:t>
      </w:r>
    </w:p>
    <w:p>
      <w:pPr>
        <w:spacing w:line="360" w:lineRule="auto"/>
        <w:ind w:firstLine="480" w:firstLineChars="200"/>
        <w:rPr>
          <w:color w:val="000000"/>
          <w:sz w:val="24"/>
          <w:szCs w:val="24"/>
        </w:rPr>
      </w:pPr>
      <w:r>
        <w:rPr>
          <w:rFonts w:eastAsiaTheme="minorEastAsia"/>
          <w:color w:themeColor="text1" w:val="000000"/>
          <w:sz w:val="24"/>
          <w:szCs w:val="24"/>
        </w:rPr>
        <w:t>（3）双重收费风险。本基金的投资范围包含全市场基金，投资于非本基金管理人管理的其他基金时，存在本基金与被投资基金各类基金费用的双重收取情况，相较于其他基金产品存在额外增加投资者投资成本的风险。</w:t>
      </w:r>
    </w:p>
    <w:p>
      <w:pPr>
        <w:spacing w:line="360" w:lineRule="auto"/>
        <w:ind w:firstLine="480" w:firstLineChars="200"/>
        <w:rPr>
          <w:color w:val="000000"/>
          <w:sz w:val="24"/>
          <w:szCs w:val="24"/>
        </w:rPr>
      </w:pPr>
      <w:r>
        <w:rPr>
          <w:rFonts w:eastAsiaTheme="minorEastAsia"/>
          <w:color w:themeColor="text1" w:val="000000"/>
          <w:sz w:val="24"/>
          <w:szCs w:val="24"/>
        </w:rPr>
        <w:t>（4）投资QDII基金的特有风险。本基金可投资于QDII基金，主要存在如下风险：①QDII基金主要投资境外市场，因此本基金投资QDII基金时，将间接承担境外市场波动以及汇率波动的风险；②按照目前的业务规则，QDII基金的赎回款项将在T+10内进行支付（T为赎回申请日），晚于普通境内基金的支付时间。因此，可能存在QDII基金赎回款到帐时间较晚，本基金无法及时支付投资者赎回款项的风险；③由于投资QDII基金，正常情况下，本基金将于T+2日（T日为开放日）对T日的基金资产净值进行估值，T+3日对投资人申购、赎回申请的有效性进行确认，投资人可于T+4日到销售网点柜台或以销售机构规定的其他方式查询申请的确认情况，这将导致投资者承担更长时间基金净值波动的风险。</w:t>
      </w:r>
    </w:p>
    <w:p>
      <w:pPr>
        <w:spacing w:line="360" w:lineRule="auto"/>
        <w:ind w:firstLine="480" w:firstLineChars="200"/>
        <w:rPr>
          <w:color w:val="000000"/>
          <w:sz w:val="24"/>
          <w:szCs w:val="24"/>
        </w:rPr>
      </w:pPr>
      <w:r>
        <w:rPr>
          <w:rFonts w:eastAsiaTheme="minorEastAsia"/>
          <w:color w:themeColor="text1" w:val="000000"/>
          <w:sz w:val="24"/>
          <w:szCs w:val="24"/>
        </w:rPr>
        <w:t>（5）可上市交易基金的二级市场投资风险。本基金可通过二级市场进行ETF、LOF、封闭式基金的买卖交易，由此可能面临交易量不足所引起的流动性风险、交易价格与基金份额净值之间的折溢价风险以及被投资基金暂停交易或退市的风险等。</w:t>
      </w:r>
    </w:p>
    <w:p>
      <w:pPr>
        <w:spacing w:line="360" w:lineRule="auto"/>
        <w:ind w:firstLine="480" w:firstLineChars="200"/>
        <w:rPr>
          <w:color w:val="000000"/>
          <w:sz w:val="24"/>
          <w:szCs w:val="24"/>
        </w:rPr>
      </w:pPr>
      <w:r>
        <w:rPr>
          <w:rFonts w:eastAsiaTheme="minorEastAsia"/>
          <w:color w:themeColor="text1" w:val="000000"/>
          <w:sz w:val="24"/>
          <w:szCs w:val="24"/>
        </w:rPr>
        <w:t>（6）被投资基金的运作风险具体包括基金投资风格漂移风险、基金经理变更风险、基金实际运作风险以及基金产品设计开发创新风险等。此外，封闭式基金到期转开放、基金清算、基金合并等事件也会带来风险。虽然本基金管理人将会从基金风格、投资能力、管理团队、实际运作情况等多方面精选基金投资品种，但无法完全规避基金运作风险。</w:t>
      </w:r>
    </w:p>
    <w:p>
      <w:pPr>
        <w:spacing w:line="360" w:lineRule="auto"/>
        <w:ind w:firstLine="480" w:firstLineChars="200"/>
        <w:rPr>
          <w:color w:val="000000"/>
          <w:sz w:val="24"/>
          <w:szCs w:val="24"/>
        </w:rPr>
      </w:pPr>
      <w:r>
        <w:rPr>
          <w:rFonts w:eastAsiaTheme="minorEastAsia"/>
          <w:color w:themeColor="text1" w:val="000000"/>
          <w:sz w:val="24"/>
          <w:szCs w:val="24"/>
        </w:rPr>
        <w:t>（7）被投资基金的基金管理人经营风险。基金的投资业绩会受到基金管理人的经营状况的影响。如基金管理人面临的管理能力、财务状况、市场前景、行业竞争、人员素质等因素的变化均会导致基金投资业绩的波动。虽然本基金可以通过投资多样化分散这种非系统风险，但不能完全规避。特别地，在本基金投资策略的实施过程中，可将基金资产部分或全部投资于本基金管理人管理的其他基金，在这种情况下，本基金将无法通过投资多样化来分散这种非系统性风险。</w:t>
      </w:r>
    </w:p>
    <w:p w:rsidP="001F5F5D" w:rsidR="00750D48" w:rsidRDefault="001F5F5D" w:rsidRPr="004B7A92">
      <w:pPr>
        <w:spacing w:line="360" w:lineRule="auto"/>
        <w:ind w:firstLine="480" w:firstLineChars="200"/>
        <w:rPr>
          <w:color w:val="000000"/>
          <w:sz w:val="24"/>
          <w:szCs w:val="24"/>
        </w:rPr>
      </w:pPr>
      <w:r w:rsidRPr="00FC0759">
        <w:rPr>
          <w:rFonts w:eastAsiaTheme="minorEastAsia"/>
          <w:color w:themeColor="text1" w:val="000000"/>
          <w:sz w:val="24"/>
          <w:szCs w:val="24"/>
        </w:rPr>
        <w:t/>
      </w:r>
      <w:proofErr w:type="spellStart"/>
      <w:r w:rsidRPr="00FC0759">
        <w:rPr>
          <w:color w:themeColor="text1" w:val="000000"/>
          <w:sz w:val="24"/>
          <w:szCs w:val="24"/>
        </w:rPr>
        <w:t/>
      </w:r>
      <w:proofErr w:type="spellEnd"/>
      <w:r w:rsidRPr="00FC0759">
        <w:rPr>
          <w:rFonts w:eastAsiaTheme="minorEastAsia"/>
          <w:color w:themeColor="text1" w:val="000000"/>
          <w:sz w:val="24"/>
          <w:szCs w:val="24"/>
        </w:rPr>
        <w:t>（8）被投资基金的相关政策风险。本基金主要投资于各类其他基金，如遇国家金融政策发生重大调整，导致被投资基金的基金管理人、基金投资操作、基金运作方式发生较大变化，可能影响本基金的收益水平。</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10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1.中国证监会准予易方达汇诚养老目标日期2043三年持有期混合型基金中基金（FOF）注册的文件；</w:t>
      </w:r>
    </w:p>
    <w:p>
      <w:pPr>
        <w:spacing w:line="360" w:lineRule="auto"/>
        <w:ind w:firstLine="480" w:firstLineChars="200"/>
        <w:rPr>
          <w:color w:val="000000"/>
          <w:sz w:val="24"/>
          <w:szCs w:val="24"/>
        </w:rPr>
      </w:pPr>
      <w:r>
        <w:rPr>
          <w:color w:val="000000"/>
          <w:sz w:val="24"/>
          <w:szCs w:val="24"/>
        </w:rPr>
        <w:t>2.《易方达汇诚养老目标日期2043三年持有期混合型基金中基金（FOF）基金合同》；</w:t>
      </w:r>
    </w:p>
    <w:p>
      <w:pPr>
        <w:spacing w:line="360" w:lineRule="auto"/>
        <w:ind w:firstLine="480" w:firstLineChars="200"/>
        <w:rPr>
          <w:color w:val="000000"/>
          <w:sz w:val="24"/>
          <w:szCs w:val="24"/>
        </w:rPr>
      </w:pPr>
      <w:r>
        <w:rPr>
          <w:color w:val="000000"/>
          <w:sz w:val="24"/>
          <w:szCs w:val="24"/>
        </w:rPr>
        <w:t>3.《易方达汇诚养老目标日期2043三年持有期混合型基金中基金（FOF）托管协议》；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2E2237" w:rsidR="00750D48" w:rsidRDefault="00750D48" w:rsidRPr="002E223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2E223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C6A" w:rsidRDefault="00995C6A" w:rsidP="00876D65">
      <w:r>
        <w:separator/>
      </w:r>
    </w:p>
  </w:endnote>
  <w:endnote w:type="continuationSeparator" w:id="0">
    <w:p w:rsidR="00995C6A" w:rsidRDefault="00995C6A"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D7102E">
      <w:rPr>
        <w:rStyle w:val="a7"/>
        <w:noProof/>
      </w:rPr>
      <w:t>1</w:t>
    </w:r>
    <w:r>
      <w:rPr>
        <w:rStyle w:val="a7"/>
      </w:rPr>
      <w:fldChar w:fldCharType="end"/>
    </w:r>
    <w:proofErr w:type="gramStart"/>
    <w:r>
      <w:rPr>
        <w:rStyle w:val="a7"/>
        <w:rFonts w:hint="eastAsia"/>
      </w:rPr>
      <w:t>页共</w:t>
    </w:r>
    <w:proofErr w:type="gramEnd"/>
    <w:r w:rsidR="00DC573D">
      <w:fldChar w:fldCharType="begin"/>
    </w:r>
    <w:r w:rsidR="00DC573D">
      <w:instrText xml:space="preserve"> NUMPAGES  \* Arabic  \* MERGEFORMAT </w:instrText>
    </w:r>
    <w:r w:rsidR="00DC573D">
      <w:fldChar w:fldCharType="separate"/>
    </w:r>
    <w:r w:rsidR="00D7102E" w:rsidRPr="00D7102E">
      <w:rPr>
        <w:rStyle w:val="a7"/>
        <w:noProof/>
      </w:rPr>
      <w:t>29</w:t>
    </w:r>
    <w:r w:rsidR="00DC573D">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D7102E">
      <w:rPr>
        <w:rStyle w:val="a7"/>
        <w:noProof/>
      </w:rPr>
      <w:t>19</w:t>
    </w:r>
    <w:r>
      <w:rPr>
        <w:rStyle w:val="a7"/>
      </w:rPr>
      <w:fldChar w:fldCharType="end"/>
    </w:r>
    <w:proofErr w:type="gramStart"/>
    <w:r>
      <w:rPr>
        <w:rStyle w:val="a7"/>
        <w:rFonts w:hint="eastAsia"/>
      </w:rPr>
      <w:t>页共</w:t>
    </w:r>
    <w:proofErr w:type="gramEnd"/>
    <w:r w:rsidR="00995C6A">
      <w:fldChar w:fldCharType="begin"/>
    </w:r>
    <w:r w:rsidR="00995C6A">
      <w:instrText xml:space="preserve"> NUMPAGES  \* Arabic  \* MERGEFORMAT </w:instrText>
    </w:r>
    <w:r w:rsidR="00995C6A">
      <w:fldChar w:fldCharType="separate"/>
    </w:r>
    <w:r w:rsidR="00D7102E" w:rsidRPr="00D7102E">
      <w:rPr>
        <w:rStyle w:val="a7"/>
        <w:noProof/>
      </w:rPr>
      <w:t>29</w:t>
    </w:r>
    <w:r w:rsidR="00995C6A">
      <w:rPr>
        <w:rStyle w:val="a7"/>
        <w:noProof/>
      </w:rPr>
      <w:fldChar w:fldCharType="end"/>
    </w:r>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995C6A" w:rsidRDefault="00995C6A">
      <w:r>
        <w:separator/>
      </w:r>
    </w:p>
  </w:footnote>
  <w:footnote w:id="0" w:type="continuationSeparator">
    <w:p w:rsidP="00876D65" w:rsidR="00995C6A" w:rsidRDefault="00995C6A">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易方达汇诚养老目标日期2043三年持有期混合型基金中基金（FOF）</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31EBB"/>
    <w:rsid w:val="00033B8D"/>
    <w:rsid w:val="00033E3E"/>
    <w:rsid w:val="00043852"/>
    <w:rsid w:val="000450DD"/>
    <w:rsid w:val="000463DE"/>
    <w:rsid w:val="000553BD"/>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0A"/>
    <w:rsid w:val="00160EDC"/>
    <w:rsid w:val="0016180A"/>
    <w:rsid w:val="001675CD"/>
    <w:rsid w:val="00170435"/>
    <w:rsid w:val="00171EF0"/>
    <w:rsid w:val="001761D2"/>
    <w:rsid w:val="001830D7"/>
    <w:rsid w:val="00185A34"/>
    <w:rsid w:val="001878B0"/>
    <w:rsid w:val="0019049E"/>
    <w:rsid w:val="00191BDE"/>
    <w:rsid w:val="00196E6C"/>
    <w:rsid w:val="001A73E8"/>
    <w:rsid w:val="001B0A62"/>
    <w:rsid w:val="001B2F35"/>
    <w:rsid w:val="001B3C1C"/>
    <w:rsid w:val="001B5ECC"/>
    <w:rsid w:val="001B6E7E"/>
    <w:rsid w:val="001C0993"/>
    <w:rsid w:val="001C5F9B"/>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80C9F"/>
    <w:rsid w:val="00286BEF"/>
    <w:rsid w:val="00286FA2"/>
    <w:rsid w:val="002918E3"/>
    <w:rsid w:val="002973A9"/>
    <w:rsid w:val="002B1D1A"/>
    <w:rsid w:val="002C28F2"/>
    <w:rsid w:val="002C5960"/>
    <w:rsid w:val="002D6FB6"/>
    <w:rsid w:val="002E2237"/>
    <w:rsid w:val="002E2255"/>
    <w:rsid w:val="002E3B09"/>
    <w:rsid w:val="002E52B3"/>
    <w:rsid w:val="002F2D46"/>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4069"/>
    <w:rsid w:val="003A6061"/>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57DBA"/>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420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5FB3"/>
    <w:rsid w:val="006A67F8"/>
    <w:rsid w:val="006A7AF1"/>
    <w:rsid w:val="006B11BB"/>
    <w:rsid w:val="006B4C11"/>
    <w:rsid w:val="006C12B8"/>
    <w:rsid w:val="006C37FC"/>
    <w:rsid w:val="006C56AA"/>
    <w:rsid w:val="006C7EA3"/>
    <w:rsid w:val="006D07F3"/>
    <w:rsid w:val="006D39E9"/>
    <w:rsid w:val="006D3BE3"/>
    <w:rsid w:val="006D7004"/>
    <w:rsid w:val="006D75A5"/>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0AD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61AF"/>
    <w:rsid w:val="00921AC7"/>
    <w:rsid w:val="00922880"/>
    <w:rsid w:val="00924582"/>
    <w:rsid w:val="00931291"/>
    <w:rsid w:val="00932DC0"/>
    <w:rsid w:val="0093367D"/>
    <w:rsid w:val="009431FA"/>
    <w:rsid w:val="00945AF6"/>
    <w:rsid w:val="00951C43"/>
    <w:rsid w:val="0095204B"/>
    <w:rsid w:val="0095280A"/>
    <w:rsid w:val="00954A4B"/>
    <w:rsid w:val="009550BE"/>
    <w:rsid w:val="00955531"/>
    <w:rsid w:val="00955BE8"/>
    <w:rsid w:val="00957594"/>
    <w:rsid w:val="00963F40"/>
    <w:rsid w:val="00965CFB"/>
    <w:rsid w:val="0098122D"/>
    <w:rsid w:val="00986596"/>
    <w:rsid w:val="00990685"/>
    <w:rsid w:val="00990A8C"/>
    <w:rsid w:val="00991411"/>
    <w:rsid w:val="00992238"/>
    <w:rsid w:val="00995C6A"/>
    <w:rsid w:val="009A0ABE"/>
    <w:rsid w:val="009B2D4B"/>
    <w:rsid w:val="009B3243"/>
    <w:rsid w:val="009C4E99"/>
    <w:rsid w:val="009C5186"/>
    <w:rsid w:val="009C60F7"/>
    <w:rsid w:val="009D0952"/>
    <w:rsid w:val="009D54EA"/>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42"/>
    <w:rsid w:val="00A727C1"/>
    <w:rsid w:val="00A76625"/>
    <w:rsid w:val="00A82CBA"/>
    <w:rsid w:val="00A83500"/>
    <w:rsid w:val="00A90049"/>
    <w:rsid w:val="00A917BF"/>
    <w:rsid w:val="00A96A94"/>
    <w:rsid w:val="00AA257D"/>
    <w:rsid w:val="00AA3A38"/>
    <w:rsid w:val="00AA4F94"/>
    <w:rsid w:val="00AB047E"/>
    <w:rsid w:val="00AB0D05"/>
    <w:rsid w:val="00AB519D"/>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F4727"/>
    <w:rsid w:val="00C11A5E"/>
    <w:rsid w:val="00C21520"/>
    <w:rsid w:val="00C222B2"/>
    <w:rsid w:val="00C225FB"/>
    <w:rsid w:val="00C26ADA"/>
    <w:rsid w:val="00C370E0"/>
    <w:rsid w:val="00C41870"/>
    <w:rsid w:val="00C46B88"/>
    <w:rsid w:val="00C5218C"/>
    <w:rsid w:val="00C52191"/>
    <w:rsid w:val="00C5642F"/>
    <w:rsid w:val="00C57A3E"/>
    <w:rsid w:val="00C63554"/>
    <w:rsid w:val="00C71497"/>
    <w:rsid w:val="00C72F5B"/>
    <w:rsid w:val="00C73BCD"/>
    <w:rsid w:val="00C77AEF"/>
    <w:rsid w:val="00C77E37"/>
    <w:rsid w:val="00C86EB7"/>
    <w:rsid w:val="00C87129"/>
    <w:rsid w:val="00C91E1B"/>
    <w:rsid w:val="00CA2BD3"/>
    <w:rsid w:val="00CA4677"/>
    <w:rsid w:val="00CA5FD5"/>
    <w:rsid w:val="00CA7703"/>
    <w:rsid w:val="00CB0F92"/>
    <w:rsid w:val="00CB1953"/>
    <w:rsid w:val="00CD4E6D"/>
    <w:rsid w:val="00CD5707"/>
    <w:rsid w:val="00CD7702"/>
    <w:rsid w:val="00CD7FC9"/>
    <w:rsid w:val="00CE075A"/>
    <w:rsid w:val="00CE29EA"/>
    <w:rsid w:val="00CF47EB"/>
    <w:rsid w:val="00CF6572"/>
    <w:rsid w:val="00CF7885"/>
    <w:rsid w:val="00D02347"/>
    <w:rsid w:val="00D04755"/>
    <w:rsid w:val="00D1193B"/>
    <w:rsid w:val="00D13737"/>
    <w:rsid w:val="00D15D27"/>
    <w:rsid w:val="00D1638E"/>
    <w:rsid w:val="00D21D10"/>
    <w:rsid w:val="00D21FFF"/>
    <w:rsid w:val="00D272A5"/>
    <w:rsid w:val="00D43AFB"/>
    <w:rsid w:val="00D564C7"/>
    <w:rsid w:val="00D57B7C"/>
    <w:rsid w:val="00D62BEE"/>
    <w:rsid w:val="00D65B44"/>
    <w:rsid w:val="00D7102E"/>
    <w:rsid w:val="00D8099B"/>
    <w:rsid w:val="00D866A8"/>
    <w:rsid w:val="00D87469"/>
    <w:rsid w:val="00D90B03"/>
    <w:rsid w:val="00D92F47"/>
    <w:rsid w:val="00D94B8D"/>
    <w:rsid w:val="00D94CCE"/>
    <w:rsid w:val="00D96C8D"/>
    <w:rsid w:val="00DA2876"/>
    <w:rsid w:val="00DA718D"/>
    <w:rsid w:val="00DB0A8D"/>
    <w:rsid w:val="00DB348F"/>
    <w:rsid w:val="00DC0B51"/>
    <w:rsid w:val="00DC573D"/>
    <w:rsid w:val="00DE27F7"/>
    <w:rsid w:val="00E06069"/>
    <w:rsid w:val="00E115C0"/>
    <w:rsid w:val="00E44E18"/>
    <w:rsid w:val="00E54301"/>
    <w:rsid w:val="00E5483F"/>
    <w:rsid w:val="00E55ABD"/>
    <w:rsid w:val="00E60817"/>
    <w:rsid w:val="00E6412C"/>
    <w:rsid w:val="00E645C0"/>
    <w:rsid w:val="00E73286"/>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 w:customStyle="1" w:styleId="2CharCharChar" w:type="character">
    <w:name w:val="标题 2 Char Char Char"/>
    <w:rsid w:val="006A5FB3"/>
    <w:rPr>
      <w:rFonts w:ascii="Arial" w:eastAsia="宋体" w:hAnsi="Arial"/>
      <w:b/>
      <w:kern w:val="2"/>
      <w:sz w:val="28"/>
      <w:szCs w:val="28"/>
      <w:lang w:bidi="ar-SA" w:eastAsia="zh-CN" w:val="en-US"/>
    </w:rPr>
  </w:style>
  <w:style w:customStyle="1" w:styleId="11" w:type="paragraph">
    <w:name w:val="正文_1"/>
    <w:qFormat/>
    <w:rsid w:val="006A5FB3"/>
    <w:pPr>
      <w:widowControl w:val="0"/>
      <w:jc w:val="both"/>
    </w:pPr>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953">
      <w:bodyDiv w:val="1"/>
      <w:marLeft w:val="0"/>
      <w:marRight w:val="0"/>
      <w:marTop w:val="0"/>
      <w:marBottom w:val="0"/>
      <w:divBdr>
        <w:top w:val="none" w:sz="0" w:space="0" w:color="auto"/>
        <w:left w:val="none" w:sz="0" w:space="0" w:color="auto"/>
        <w:bottom w:val="none" w:sz="0" w:space="0" w:color="auto"/>
        <w:right w:val="none" w:sz="0" w:space="0" w:color="auto"/>
      </w:divBdr>
    </w:div>
    <w:div w:id="1068840387">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76311-EF79-45CE-A9F5-00A9DBDF8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1779</TotalTime>
  <Pages>29</Pages>
  <Words>4229</Words>
  <Characters>24106</Characters>
  <Application>Microsoft Office Word</Application>
  <DocSecurity>0</DocSecurity>
  <Lines>200</Lines>
  <Paragraphs>56</Paragraphs>
  <ScaleCrop>false</ScaleCrop>
  <Company/>
  <LinksUpToDate>false</LinksUpToDate>
  <CharactersWithSpaces>28279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2020-07-09T02:56:00Z</dcterms:modified>
  <cp:revision>342</cp:revision>
</cp:coreProperties>
</file>