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易方达恒惠定期开放债券型发起式证券投资基金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中国民生银行股份有限公司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基金托管人中国民生银行股份有限公司根据本基金合同规定，于2020年7月17日复核了本报告中的财务指标、净值表现和投资组合报告等内容，保证复核内容不存在虚假记载、误导性陈述或者重大遗漏。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易方达恒惠定开债券发起式</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006112</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006112</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2018年6月26日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798,779,017.44</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本基金为纯债基金，管理人主要通过分析影响债券市场的各类要素，对债券组合的平均久期、期限结构、类属品种进行有效配置，力争为投资人提供长期稳定的投资回报。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在封闭运作期与开放运作期采取不同的投资策略。封闭运作期内，本基金在债券投资上主要通过久期配置、类属配置、期限结构配置和个券选择四个层次进行投资管理。本基金可通过正回购，融资买入收益率高于回购成本的债券，适当运用杠杆息差方式来获取主动管理回报。开放运作期内，本基金为保持较高的组合流动性，方便投资人安排投资，在遵守本基金有关投资限制与投资比例的前提下，将主要投资于高流动性的投资品种，减小基金净值的波动。</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中债新综合指数（全价）收益率</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本基金为债券型基金，其长期平均风险和预期收益率理论上低于股票型基金、混合型基金，高于货币市场基金。</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中国民生银行股份有限公司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16,770,204.10</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-557,975.12</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-0.0007</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844,074,630.59</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1.0567</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0.10%</w:t>
            </w:r>
          </w:p>
        </w:tc>
        <w:tc>
          <w:tcPr>
            <w:vAlign w:val="center"/>
          </w:tcPr>
          <w:p>
            <w:pPr>
              <w:jc w:val="center"/>
            </w:pPr>
            <w:r>
              <w:rPr>
                <w:color w:val="000000"/>
                <w:kern w:val="0"/>
                <w:sz w:val="24"/>
                <w:szCs w:val="24"/>
              </w:rPr>
              <w:t>0.13%</w:t>
            </w:r>
          </w:p>
        </w:tc>
        <w:tc>
          <w:tcPr>
            <w:vAlign w:val="center"/>
          </w:tcPr>
          <w:p>
            <w:pPr>
              <w:jc w:val="center"/>
            </w:pPr>
            <w:r>
              <w:rPr>
                <w:color w:val="000000"/>
                <w:kern w:val="0"/>
                <w:sz w:val="24"/>
                <w:szCs w:val="24"/>
              </w:rPr>
              <w:t>-1.04%</w:t>
            </w:r>
          </w:p>
        </w:tc>
        <w:tc>
          <w:tcPr>
            <w:vAlign w:val="center"/>
          </w:tcPr>
          <w:p>
            <w:pPr>
              <w:jc w:val="center"/>
            </w:pPr>
            <w:r>
              <w:rPr>
                <w:color w:val="000000"/>
                <w:kern w:val="0"/>
                <w:sz w:val="24"/>
                <w:szCs w:val="24"/>
              </w:rPr>
              <w:t>0.12%</w:t>
            </w:r>
          </w:p>
        </w:tc>
        <w:tc>
          <w:tcPr>
            <w:vAlign w:val="center"/>
          </w:tcPr>
          <w:p>
            <w:pPr>
              <w:jc w:val="center"/>
            </w:pPr>
            <w:r>
              <w:rPr>
                <w:color w:val="000000"/>
                <w:kern w:val="0"/>
                <w:sz w:val="24"/>
                <w:szCs w:val="24"/>
              </w:rPr>
              <w:t>1.14%</w:t>
            </w:r>
          </w:p>
        </w:tc>
        <w:tc>
          <w:tcPr>
            <w:vAlign w:val="center"/>
          </w:tcPr>
          <w:p>
            <w:pPr>
              <w:jc w:val="center"/>
            </w:pPr>
            <w:r>
              <w:rPr>
                <w:color w:val="000000"/>
                <w:kern w:val="0"/>
                <w:sz w:val="24"/>
                <w:szCs w:val="24"/>
              </w:rPr>
              <w:t>0.01%</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2.30%</w:t>
            </w:r>
          </w:p>
        </w:tc>
        <w:tc>
          <w:tcPr>
            <w:vAlign w:val="center"/>
          </w:tcPr>
          <w:p>
            <w:pPr>
              <w:jc w:val="center"/>
            </w:pPr>
            <w:r>
              <w:rPr>
                <w:color w:val="000000"/>
                <w:kern w:val="0"/>
                <w:sz w:val="24"/>
                <w:szCs w:val="24"/>
              </w:rPr>
              <w:t>0.11%</w:t>
            </w:r>
          </w:p>
        </w:tc>
        <w:tc>
          <w:tcPr>
            <w:vAlign w:val="center"/>
          </w:tcPr>
          <w:p>
            <w:pPr>
              <w:jc w:val="center"/>
            </w:pPr>
            <w:r>
              <w:rPr>
                <w:color w:val="000000"/>
                <w:kern w:val="0"/>
                <w:sz w:val="24"/>
                <w:szCs w:val="24"/>
              </w:rPr>
              <w:t>0.79%</w:t>
            </w:r>
          </w:p>
        </w:tc>
        <w:tc>
          <w:tcPr>
            <w:vAlign w:val="center"/>
          </w:tcPr>
          <w:p>
            <w:pPr>
              <w:jc w:val="center"/>
            </w:pPr>
            <w:r>
              <w:rPr>
                <w:color w:val="000000"/>
                <w:kern w:val="0"/>
                <w:sz w:val="24"/>
                <w:szCs w:val="24"/>
              </w:rPr>
              <w:t>0.11%</w:t>
            </w:r>
          </w:p>
        </w:tc>
        <w:tc>
          <w:tcPr>
            <w:vAlign w:val="center"/>
          </w:tcPr>
          <w:p>
            <w:pPr>
              <w:jc w:val="center"/>
            </w:pPr>
            <w:r>
              <w:rPr>
                <w:color w:val="000000"/>
                <w:kern w:val="0"/>
                <w:sz w:val="24"/>
                <w:szCs w:val="24"/>
              </w:rPr>
              <w:t>1.51%</w:t>
            </w:r>
          </w:p>
        </w:tc>
        <w:tc>
          <w:tcPr>
            <w:vAlign w:val="center"/>
          </w:tcPr>
          <w:p>
            <w:pPr>
              <w:jc w:val="center"/>
            </w:pPr>
            <w:r>
              <w:rPr>
                <w:color w:val="000000"/>
                <w:kern w:val="0"/>
                <w:sz w:val="24"/>
                <w:szCs w:val="24"/>
              </w:rPr>
              <w:t>0.00%</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4.96%</w:t>
            </w:r>
          </w:p>
        </w:tc>
        <w:tc>
          <w:tcPr>
            <w:vAlign w:val="center"/>
          </w:tcPr>
          <w:p>
            <w:pPr>
              <w:jc w:val="center"/>
            </w:pPr>
            <w:r>
              <w:rPr>
                <w:color w:val="000000"/>
                <w:kern w:val="0"/>
                <w:sz w:val="24"/>
                <w:szCs w:val="24"/>
              </w:rPr>
              <w:t>0.08%</w:t>
            </w:r>
          </w:p>
        </w:tc>
        <w:tc>
          <w:tcPr>
            <w:vAlign w:val="center"/>
          </w:tcPr>
          <w:p>
            <w:pPr>
              <w:jc w:val="center"/>
            </w:pPr>
            <w:r>
              <w:rPr>
                <w:color w:val="000000"/>
                <w:kern w:val="0"/>
                <w:sz w:val="24"/>
                <w:szCs w:val="24"/>
              </w:rPr>
              <w:t>1.87%</w:t>
            </w:r>
          </w:p>
        </w:tc>
        <w:tc>
          <w:tcPr>
            <w:vAlign w:val="center"/>
          </w:tcPr>
          <w:p>
            <w:pPr>
              <w:jc w:val="center"/>
            </w:pPr>
            <w:r>
              <w:rPr>
                <w:color w:val="000000"/>
                <w:kern w:val="0"/>
                <w:sz w:val="24"/>
                <w:szCs w:val="24"/>
              </w:rPr>
              <w:t>0.08%</w:t>
            </w:r>
          </w:p>
        </w:tc>
        <w:tc>
          <w:tcPr>
            <w:vAlign w:val="center"/>
          </w:tcPr>
          <w:p>
            <w:pPr>
              <w:jc w:val="center"/>
            </w:pPr>
            <w:r>
              <w:rPr>
                <w:color w:val="000000"/>
                <w:kern w:val="0"/>
                <w:sz w:val="24"/>
                <w:szCs w:val="24"/>
              </w:rPr>
              <w:t>3.09%</w:t>
            </w:r>
          </w:p>
        </w:tc>
        <w:tc>
          <w:tcPr>
            <w:vAlign w:val="center"/>
          </w:tcPr>
          <w:p>
            <w:pPr>
              <w:jc w:val="center"/>
            </w:pPr>
            <w:r>
              <w:rPr>
                <w:color w:val="000000"/>
                <w:kern w:val="0"/>
                <w:sz w:val="24"/>
                <w:szCs w:val="24"/>
              </w:rPr>
              <w:t>0.00%</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11.91%</w:t>
            </w:r>
          </w:p>
        </w:tc>
        <w:tc>
          <w:tcPr>
            <w:vAlign w:val="center"/>
          </w:tcPr>
          <w:p>
            <w:pPr>
              <w:jc w:val="center"/>
            </w:pPr>
            <w:r>
              <w:rPr>
                <w:color w:val="000000"/>
                <w:kern w:val="0"/>
                <w:sz w:val="24"/>
                <w:szCs w:val="24"/>
              </w:rPr>
              <w:t>0.08%</w:t>
            </w:r>
          </w:p>
        </w:tc>
        <w:tc>
          <w:tcPr>
            <w:vAlign w:val="center"/>
          </w:tcPr>
          <w:p>
            <w:pPr>
              <w:jc w:val="center"/>
            </w:pPr>
            <w:r>
              <w:rPr>
                <w:color w:val="000000"/>
                <w:kern w:val="0"/>
                <w:sz w:val="24"/>
                <w:szCs w:val="24"/>
              </w:rPr>
              <w:t>5.09%</w:t>
            </w:r>
          </w:p>
        </w:tc>
        <w:tc>
          <w:tcPr>
            <w:vAlign w:val="center"/>
          </w:tcPr>
          <w:p>
            <w:pPr>
              <w:jc w:val="center"/>
            </w:pPr>
            <w:r>
              <w:rPr>
                <w:color w:val="000000"/>
                <w:kern w:val="0"/>
                <w:sz w:val="24"/>
                <w:szCs w:val="24"/>
              </w:rPr>
              <w:t>0.07%</w:t>
            </w:r>
          </w:p>
        </w:tc>
        <w:tc>
          <w:tcPr>
            <w:vAlign w:val="center"/>
          </w:tcPr>
          <w:p>
            <w:pPr>
              <w:jc w:val="center"/>
            </w:pPr>
            <w:r>
              <w:rPr>
                <w:color w:val="000000"/>
                <w:kern w:val="0"/>
                <w:sz w:val="24"/>
                <w:szCs w:val="24"/>
              </w:rPr>
              <w:t>6.82%</w:t>
            </w:r>
          </w:p>
        </w:tc>
        <w:tc>
          <w:tcPr>
            <w:vAlign w:val="center"/>
          </w:tcPr>
          <w:p>
            <w:pPr>
              <w:jc w:val="center"/>
            </w:pPr>
            <w:r>
              <w:rPr>
                <w:color w:val="000000"/>
                <w:kern w:val="0"/>
                <w:sz w:val="24"/>
                <w:szCs w:val="24"/>
              </w:rPr>
              <w:t>0.01%</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易方达恒惠定期开放债券型发起式证券投资基金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2018年6月26日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注：自基金合同生效至报告期末，基金份额净值增长率为11.91%，同期业绩比较基准收益率为5.09%。</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李一硕</w:t>
            </w:r>
          </w:p>
        </w:tc>
        <w:tc>
          <w:tcPr>
            <w:vAlign w:val="center"/>
          </w:tcPr>
          <w:p>
            <w:pPr>
              <w:jc w:val="left"/>
            </w:pPr>
            <w:r>
              <w:rPr>
                <w:color w:val="000000"/>
                <w:sz w:val="24"/>
              </w:rPr>
              <w:t>本基金的基金经理、易方达永旭添利定期开放债券型证券投资基金的基金经理、易方达纯债1年定期开放债券型证券投资基金的基金经理、易方达裕如灵活配置混合型证券投资基金的基金经理、易方达恒信定期开放债券型发起式证券投资基金的基金经理、易方达安源中短债债券型证券投资基金的基金经理、易方达年年恒夏纯债一年定期开放债券型发起式证券投资基金的基金经理、易方达恒益定期开放债券型发起式证券投资基金的基金经理、易方达年年恒秋纯债一年定期开放债券型发起式证券投资基金的基金经理、易方达年年恒春纯债一年定期开放债券型发起式证券投资基金的基金经理、易方达稳健收益债券型证券投资基金的基金经理助理、易方达中债新综合债券指数发起式证券投资基金（LOF）的基金经理助理、易方达信用债债券型证券投资基金的基金经理助理、易方达裕惠回报定期开放式混合型发起式证券投资基金的基金经理助理、易方达瑞富灵活配置混合型证券投资基金的基金经理助理、易方达恒兴3个月定期开放债券型发起式证券投资基金的基金经理助理、易方达富惠纯债债券型证券投资基金的基金经理助理、易方达丰惠混合型证券投资基金的基金经理助理（自2019年01月18日至2020年06月09日）、固定收益投资部总经理助理</w:t>
            </w:r>
          </w:p>
        </w:tc>
        <w:tc>
          <w:tcPr>
            <w:vAlign w:val="center"/>
          </w:tcPr>
          <w:p>
            <w:pPr>
              <w:jc w:val="center"/>
            </w:pPr>
            <w:r>
              <w:rPr>
                <w:color w:val="000000"/>
                <w:sz w:val="24"/>
              </w:rPr>
              <w:t>2018-06-26</w:t>
            </w:r>
          </w:p>
        </w:tc>
        <w:tc>
          <w:tcPr>
            <w:vAlign w:val="center"/>
          </w:tcPr>
          <w:p>
            <w:pPr>
              <w:jc w:val="center"/>
            </w:pPr>
            <w:r>
              <w:rPr>
                <w:color w:val="000000"/>
                <w:sz w:val="24"/>
              </w:rPr>
              <w:t>-</w:t>
            </w:r>
          </w:p>
        </w:tc>
        <w:tc>
          <w:tcPr>
            <w:vAlign w:val="center"/>
          </w:tcPr>
          <w:p>
            <w:pPr>
              <w:jc w:val="center"/>
            </w:pPr>
            <w:r>
              <w:rPr>
                <w:color w:val="000000"/>
                <w:sz w:val="24"/>
              </w:rPr>
              <w:t>12年</w:t>
            </w:r>
          </w:p>
        </w:tc>
        <w:tc>
          <w:tcPr>
            <w:vAlign w:val="center"/>
          </w:tcPr>
          <w:p>
            <w:pPr>
              <w:jc w:val="both"/>
            </w:pPr>
            <w:r>
              <w:rPr>
                <w:color w:val="000000"/>
                <w:sz w:val="24"/>
              </w:rPr>
              <w:t>硕士研究生，具有基金从业资格。曾任瑞银证券有限公司研究员，中国国际金融有限公司研究员，易方达基金管理有限公司固定收益研究员、易方达瑞景灵活配置混合型证券投资基金基金经理、易方达新利灵活配置混合型证券投资基金基金经理、易方达新享灵活配置混合型证券投资基金基金经理、易方达富惠纯债债券型证券投资基金基金经理、易方达聚盈分级债券型发起式证券投资基金基金经理、易方达新利灵活配置混合型证券投资基金基金经理助理、易方达新享灵活配置混合型证券投资基金基金经理助理、易方达裕如灵活配置混合型证券投资基金基金经理助理、易方达瑞祥灵活配置混合型证券投资基金基金经理助理、易方达瑞兴灵活配置混合型证券投资基金基金经理助理、易方达瑞智灵活配置混合型证券投资基金基金经理助理、易方达恒益定期开放债券型发起式证券投资基金基金经理助理、易方达瑞祺灵活配置混合型证券投资基金基金经理助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pPr>
        <w:spacing w:line="360" w:lineRule="auto"/>
        <w:ind w:firstLine="480" w:firstLineChars="200"/>
        <w:rPr>
          <w:color w:val="000000"/>
          <w:sz w:val="24"/>
          <w:szCs w:val="24"/>
        </w:rPr>
      </w:pPr>
      <w:r>
        <w:rPr>
          <w:color w:val="000000"/>
          <w:sz w:val="24"/>
          <w:szCs w:val="24"/>
        </w:rPr>
        <w:t>2.证券从业的含义遵从《证券业从业人员资格管理办法》的相关规定。</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3.根据2020年7月9日《易方达恒惠定期开放债券型发起式证券投资基金基金经理变更公告》，自2020年7月9日起，李一硕不再担任本基金的基金经理，胡剑任本基金的基金经理，胡文伯仍任本基金的基金经理助理。</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二季度我国宏观经济从疫情的冲击下开始迅速恢复，主要体现在以下几个方面。首先，工业生产水平显著反弹，4月及5月工业增加值同比增速分别达到3.9%及4.4%，发电量、粗钢产量及耗煤量等行业数据也明显回升。其次，出口增速好于预期。虽然二季度主要欧美国家在疫情的影响下经济活动明显停滞，但得益于防疫类物资出口规模较大，外需对我国经济的负面影响总体有限。最后，房地产行业的韧性较强，5月全国商品房销售面积增速大幅提高至9.7%，同时地产投资增速也快速回升。</w:t>
      </w:r>
    </w:p>
    <w:p>
      <w:pPr>
        <w:spacing w:line="360" w:lineRule="auto"/>
        <w:ind w:firstLine="480" w:firstLineChars="200"/>
        <w:rPr>
          <w:color w:val="000000"/>
          <w:sz w:val="24"/>
          <w:szCs w:val="24"/>
        </w:rPr>
      </w:pPr>
      <w:r>
        <w:rPr>
          <w:color w:val="000000"/>
          <w:sz w:val="24"/>
          <w:szCs w:val="24"/>
        </w:rPr>
        <w:t>在经济逐步复苏的过程中，二季度我国货币政策导向出现了较为明显的切换，债券市场收益率出现了大幅波动。4月央行在推出定向降准政策的同时，将金融机构在央行超额存款准备金利率从0.72%下调至0.35%，带动债券收益率曲线陡峭化下行。此后《政府工作报告》中提出“稳健的货币政策要更加灵活适度。综合运用降准降息、再贷款等手段，引导广义货币供应量和社会融资规模增速明显高于去年”。5月份以来，央行逐步开始边际上收紧货币市场流动性，并引导银行间资金利率的快速上行。相较于4月末的低点，1年期国开行政策性金融债收益率在5-6月期间上行100bp，同期3年期AAA评级中期票据收益率攀升86bp，收益率曲线形态明显平坦化。</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操作上，组合主要以配置中等期限的高评级信用债为主，组合杠杆及有效久期均保持在中性略偏高水平。受到债券市场剧烈波动的影响，组合净值有所回撤。</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截至报告期末，本基金份额净值为1.0567元，本报告期份额净值增长率为0.10%，同期业绩比较基准收益率为-1.04%。</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1,258,503,000.00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96.37</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1,257,487,000.00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96.30</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1,016,000.00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0.08</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23,770,420.63</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1.82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23,568,320.24</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1.80</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1,305,841,740.87</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p w:rsidP="00403A06" w:rsidR="008C2A4F" w:rsidRDefault="008C2A4F" w:rsidRPr="00403A06">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本基金本报告期末未持有境内股票。</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本基金本报告期末未持有股票。</w:t>
      </w:r>
    </w:p>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79,683,000.00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9.44</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40,448,000.00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4.79</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657,263,000.00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77.87</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520,541,000.00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61.67</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1,257,487,000.00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148.98</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101800180</w:t>
            </w:r>
          </w:p>
        </w:tc>
        <w:tc>
          <w:tcPr>
            <w:vAlign w:val="center"/>
          </w:tcPr>
          <w:p>
            <w:pPr>
              <w:jc w:val="center"/>
            </w:pPr>
            <w:r>
              <w:rPr>
                <w:color w:val="000000"/>
                <w:kern w:val="0"/>
                <w:sz w:val="24"/>
                <w:szCs w:val="24"/>
              </w:rPr>
              <w:t>18河钢集MTN002</w:t>
            </w:r>
          </w:p>
        </w:tc>
        <w:tc>
          <w:tcPr>
            <w:vAlign w:val="center"/>
          </w:tcPr>
          <w:p>
            <w:pPr>
              <w:jc w:val="right"/>
            </w:pPr>
            <w:r>
              <w:rPr>
                <w:color w:val="000000"/>
                <w:kern w:val="0"/>
                <w:sz w:val="24"/>
                <w:szCs w:val="24"/>
              </w:rPr>
              <w:t>300,000</w:t>
            </w:r>
          </w:p>
        </w:tc>
        <w:tc>
          <w:tcPr>
            <w:vAlign w:val="center"/>
          </w:tcPr>
          <w:p>
            <w:pPr>
              <w:jc w:val="right"/>
            </w:pPr>
            <w:r>
              <w:rPr>
                <w:color w:val="000000"/>
                <w:kern w:val="0"/>
                <w:sz w:val="24"/>
                <w:szCs w:val="24"/>
              </w:rPr>
              <w:t>31,971,000.00</w:t>
            </w:r>
          </w:p>
        </w:tc>
        <w:tc>
          <w:tcPr>
            <w:vAlign w:val="center"/>
          </w:tcPr>
          <w:p>
            <w:pPr>
              <w:jc w:val="right"/>
            </w:pPr>
            <w:r>
              <w:rPr>
                <w:color w:val="000000"/>
                <w:kern w:val="0"/>
                <w:sz w:val="24"/>
                <w:szCs w:val="24"/>
              </w:rPr>
              <w:t>3.79</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101801187</w:t>
            </w:r>
          </w:p>
        </w:tc>
        <w:tc>
          <w:tcPr>
            <w:vAlign w:val="center"/>
          </w:tcPr>
          <w:p>
            <w:pPr>
              <w:jc w:val="center"/>
            </w:pPr>
            <w:r>
              <w:rPr>
                <w:color w:val="000000"/>
                <w:kern w:val="0"/>
                <w:sz w:val="24"/>
                <w:szCs w:val="24"/>
              </w:rPr>
              <w:t>18陕煤化MTN004</w:t>
            </w:r>
          </w:p>
        </w:tc>
        <w:tc>
          <w:tcPr>
            <w:vAlign w:val="center"/>
          </w:tcPr>
          <w:p>
            <w:pPr>
              <w:jc w:val="right"/>
            </w:pPr>
            <w:r>
              <w:rPr>
                <w:color w:val="000000"/>
                <w:kern w:val="0"/>
                <w:sz w:val="24"/>
                <w:szCs w:val="24"/>
              </w:rPr>
              <w:t>300,000</w:t>
            </w:r>
          </w:p>
        </w:tc>
        <w:tc>
          <w:tcPr>
            <w:vAlign w:val="center"/>
          </w:tcPr>
          <w:p>
            <w:pPr>
              <w:jc w:val="right"/>
            </w:pPr>
            <w:r>
              <w:rPr>
                <w:color w:val="000000"/>
                <w:kern w:val="0"/>
                <w:sz w:val="24"/>
                <w:szCs w:val="24"/>
              </w:rPr>
              <w:t>31,389,000.00</w:t>
            </w:r>
          </w:p>
        </w:tc>
        <w:tc>
          <w:tcPr>
            <w:vAlign w:val="center"/>
          </w:tcPr>
          <w:p>
            <w:pPr>
              <w:jc w:val="right"/>
            </w:pPr>
            <w:r>
              <w:rPr>
                <w:color w:val="000000"/>
                <w:kern w:val="0"/>
                <w:sz w:val="24"/>
                <w:szCs w:val="24"/>
              </w:rPr>
              <w:t>3.72</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101801342</w:t>
            </w:r>
          </w:p>
        </w:tc>
        <w:tc>
          <w:tcPr>
            <w:vAlign w:val="center"/>
          </w:tcPr>
          <w:p>
            <w:pPr>
              <w:jc w:val="center"/>
            </w:pPr>
            <w:r>
              <w:rPr>
                <w:color w:val="000000"/>
                <w:kern w:val="0"/>
                <w:sz w:val="24"/>
                <w:szCs w:val="24"/>
              </w:rPr>
              <w:t>18首钢MTN005</w:t>
            </w:r>
          </w:p>
        </w:tc>
        <w:tc>
          <w:tcPr>
            <w:vAlign w:val="center"/>
          </w:tcPr>
          <w:p>
            <w:pPr>
              <w:jc w:val="right"/>
            </w:pPr>
            <w:r>
              <w:rPr>
                <w:color w:val="000000"/>
                <w:kern w:val="0"/>
                <w:sz w:val="24"/>
                <w:szCs w:val="24"/>
              </w:rPr>
              <w:t>300,000</w:t>
            </w:r>
          </w:p>
        </w:tc>
        <w:tc>
          <w:tcPr>
            <w:vAlign w:val="center"/>
          </w:tcPr>
          <w:p>
            <w:pPr>
              <w:jc w:val="right"/>
            </w:pPr>
            <w:r>
              <w:rPr>
                <w:color w:val="000000"/>
                <w:kern w:val="0"/>
                <w:sz w:val="24"/>
                <w:szCs w:val="24"/>
              </w:rPr>
              <w:t>30,966,000.00</w:t>
            </w:r>
          </w:p>
        </w:tc>
        <w:tc>
          <w:tcPr>
            <w:vAlign w:val="center"/>
          </w:tcPr>
          <w:p>
            <w:pPr>
              <w:jc w:val="right"/>
            </w:pPr>
            <w:r>
              <w:rPr>
                <w:color w:val="000000"/>
                <w:kern w:val="0"/>
                <w:sz w:val="24"/>
                <w:szCs w:val="24"/>
              </w:rPr>
              <w:t>3.67</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127671</w:t>
            </w:r>
          </w:p>
        </w:tc>
        <w:tc>
          <w:tcPr>
            <w:vAlign w:val="center"/>
          </w:tcPr>
          <w:p>
            <w:pPr>
              <w:jc w:val="center"/>
            </w:pPr>
            <w:r>
              <w:rPr>
                <w:color w:val="000000"/>
                <w:kern w:val="0"/>
                <w:sz w:val="24"/>
                <w:szCs w:val="24"/>
              </w:rPr>
              <w:t>17秀洲债</w:t>
            </w:r>
          </w:p>
        </w:tc>
        <w:tc>
          <w:tcPr>
            <w:vAlign w:val="center"/>
          </w:tcPr>
          <w:p>
            <w:pPr>
              <w:jc w:val="right"/>
            </w:pPr>
            <w:r>
              <w:rPr>
                <w:color w:val="000000"/>
                <w:kern w:val="0"/>
                <w:sz w:val="24"/>
                <w:szCs w:val="24"/>
              </w:rPr>
              <w:t>300,000</w:t>
            </w:r>
          </w:p>
        </w:tc>
        <w:tc>
          <w:tcPr>
            <w:vAlign w:val="center"/>
          </w:tcPr>
          <w:p>
            <w:pPr>
              <w:jc w:val="right"/>
            </w:pPr>
            <w:r>
              <w:rPr>
                <w:color w:val="000000"/>
                <w:kern w:val="0"/>
                <w:sz w:val="24"/>
                <w:szCs w:val="24"/>
              </w:rPr>
              <w:t>30,912,000.00</w:t>
            </w:r>
          </w:p>
        </w:tc>
        <w:tc>
          <w:tcPr>
            <w:vAlign w:val="center"/>
          </w:tcPr>
          <w:p>
            <w:pPr>
              <w:jc w:val="right"/>
            </w:pPr>
            <w:r>
              <w:rPr>
                <w:color w:val="000000"/>
                <w:kern w:val="0"/>
                <w:sz w:val="24"/>
                <w:szCs w:val="24"/>
              </w:rPr>
              <w:t>3.66</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101801091</w:t>
            </w:r>
          </w:p>
        </w:tc>
        <w:tc>
          <w:tcPr>
            <w:vAlign w:val="center"/>
          </w:tcPr>
          <w:p>
            <w:pPr>
              <w:jc w:val="center"/>
            </w:pPr>
            <w:r>
              <w:rPr>
                <w:color w:val="000000"/>
                <w:kern w:val="0"/>
                <w:sz w:val="24"/>
                <w:szCs w:val="24"/>
              </w:rPr>
              <w:t>18鄂能源MTN002</w:t>
            </w:r>
          </w:p>
        </w:tc>
        <w:tc>
          <w:tcPr>
            <w:vAlign w:val="center"/>
          </w:tcPr>
          <w:p>
            <w:pPr>
              <w:jc w:val="right"/>
            </w:pPr>
            <w:r>
              <w:rPr>
                <w:color w:val="000000"/>
                <w:kern w:val="0"/>
                <w:sz w:val="24"/>
                <w:szCs w:val="24"/>
              </w:rPr>
              <w:t>300,000</w:t>
            </w:r>
          </w:p>
        </w:tc>
        <w:tc>
          <w:tcPr>
            <w:vAlign w:val="center"/>
          </w:tcPr>
          <w:p>
            <w:pPr>
              <w:jc w:val="right"/>
            </w:pPr>
            <w:r>
              <w:rPr>
                <w:color w:val="000000"/>
                <w:kern w:val="0"/>
                <w:sz w:val="24"/>
                <w:szCs w:val="24"/>
              </w:rPr>
              <w:t>30,702,000.00</w:t>
            </w:r>
          </w:p>
        </w:tc>
        <w:tc>
          <w:tcPr>
            <w:vAlign w:val="center"/>
          </w:tcPr>
          <w:p>
            <w:pPr>
              <w:jc w:val="right"/>
            </w:pPr>
            <w:r>
              <w:rPr>
                <w:color w:val="000000"/>
                <w:kern w:val="0"/>
                <w:sz w:val="24"/>
                <w:szCs w:val="24"/>
              </w:rPr>
              <w:t>3.64</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802"/>
        <w:gridCol w:w="1742"/>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证券代码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证券名称</w:t>
            </w:r>
          </w:p>
        </w:tc>
        <w:tc>
          <w:tcPr>
            <w:tcW w:type="dxa" w:w="1802"/>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（份）</w:t>
            </w:r>
          </w:p>
        </w:tc>
        <w:tc>
          <w:tcPr>
            <w:tcW w:type="dxa" w:w="1742"/>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1889176</w:t>
            </w:r>
          </w:p>
        </w:tc>
        <w:tc>
          <w:tcPr>
            <w:vAlign w:val="center"/>
          </w:tcPr>
          <w:p>
            <w:pPr>
              <w:jc w:val="center"/>
            </w:pPr>
            <w:r>
              <w:rPr>
                <w:color w:val="000000"/>
                <w:kern w:val="0"/>
                <w:sz w:val="24"/>
                <w:szCs w:val="24"/>
              </w:rPr>
              <w:t>18飞驰建融4A</w:t>
            </w:r>
          </w:p>
        </w:tc>
        <w:tc>
          <w:tcPr>
            <w:vAlign w:val="center"/>
          </w:tcPr>
          <w:p>
            <w:pPr>
              <w:jc w:val="right"/>
            </w:pPr>
            <w:r>
              <w:rPr>
                <w:color w:val="000000"/>
                <w:kern w:val="0"/>
                <w:sz w:val="24"/>
                <w:szCs w:val="24"/>
              </w:rPr>
              <w:t>400,000</w:t>
            </w:r>
          </w:p>
        </w:tc>
        <w:tc>
          <w:tcPr>
            <w:vAlign w:val="center"/>
          </w:tcPr>
          <w:p>
            <w:pPr>
              <w:jc w:val="right"/>
            </w:pPr>
            <w:r>
              <w:rPr>
                <w:color w:val="000000"/>
                <w:kern w:val="0"/>
                <w:sz w:val="24"/>
                <w:szCs w:val="24"/>
              </w:rPr>
              <w:t>1,016,000.00</w:t>
            </w:r>
          </w:p>
        </w:tc>
        <w:tc>
          <w:tcPr>
            <w:vAlign w:val="center"/>
          </w:tcPr>
          <w:p>
            <w:pPr>
              <w:jc w:val="right"/>
            </w:pPr>
            <w:r>
              <w:rPr>
                <w:color w:val="000000"/>
                <w:kern w:val="0"/>
                <w:sz w:val="24"/>
                <w:szCs w:val="24"/>
              </w:rPr>
              <w:t>0.12</w:t>
            </w:r>
          </w:p>
        </w:tc>
      </w:tr>
    </w:tbl>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1B0A62" w:rsidR="00750D48" w:rsidRDefault="00750D48" w:rsidRPr="001C7E00">
      <w:pPr>
        <w:autoSpaceDE w:val="0"/>
        <w:autoSpaceDN w:val="0"/>
        <w:adjustRightInd w:val="0"/>
        <w:spacing w:line="360" w:lineRule="auto"/>
        <w:jc w:val="left"/>
        <w:rPr>
          <w:rFonts w:ascii="宋体" w:hAnsi="宋体"/>
          <w:bCs/>
          <w:color w:val="000000"/>
          <w:kern w:val="0"/>
          <w:sz w:val="24"/>
          <w:szCs w:val="24"/>
        </w:rPr>
      </w:pPr>
      <w:r w:rsidRPr="001C7E00">
        <w:rPr>
          <w:rFonts w:ascii="宋体"/>
          <w:bCs/>
          <w:color w:val="000000"/>
          <w:kern w:val="0"/>
          <w:sz w:val="24"/>
          <w:szCs w:val="24"/>
        </w:rPr>
        <w:t/>
      </w:r>
      <w:proofErr w:type="spellStart"/>
      <w:r w:rsidRPr="001C7E00">
        <w:rPr>
          <w:rFonts w:ascii="宋体" w:hAnsi="宋体"/>
          <w:bCs/>
          <w:color w:val="000000"/>
          <w:kern w:val="0"/>
          <w:sz w:val="24"/>
          <w:szCs w:val="24"/>
        </w:rPr>
        <w:t/>
      </w:r>
      <w:proofErr w:type="spellEnd"/>
      <w:r w:rsidRPr="001C7E00">
        <w:rPr>
          <w:rFonts w:ascii="宋体" w:hAnsi="宋体"/>
          <w:bCs/>
          <w:color w:val="000000"/>
          <w:kern w:val="0"/>
          <w:sz w:val="24"/>
          <w:szCs w:val="24"/>
        </w:rPr>
        <w:t xml:space="preserve">5.10.1 </w:t>
      </w:r>
      <w:r w:rsidRPr="001C7E00">
        <w:rPr>
          <w:rFonts w:ascii="宋体" w:hAnsi="宋体" w:hint="eastAsia"/>
          <w:bCs/>
          <w:color w:val="000000"/>
          <w:kern w:val="0"/>
          <w:sz w:val="24"/>
          <w:szCs w:val="24"/>
        </w:rPr>
        <w:t>本期国债期货投资政策</w:t>
      </w:r>
      <w:r w:rsidRPr="001C7E00">
        <w:rPr>
          <w:rFonts w:ascii="宋体"/>
          <w:bCs/>
          <w:color w:val="000000"/>
          <w:kern w:val="0"/>
          <w:sz w:val="24"/>
          <w:szCs w:val="24"/>
        </w:rPr>
        <w:t/>
      </w:r>
      <w:proofErr w:type="spellStart"/>
      <w:r w:rsidRPr="001C7E00">
        <w:rPr>
          <w:rFonts w:ascii="宋体" w:hAnsi="宋体"/>
          <w:bCs/>
          <w:color w:val="000000"/>
          <w:kern w:val="0"/>
          <w:sz w:val="24"/>
          <w:szCs w:val="24"/>
        </w:rPr>
        <w:t/>
      </w:r>
      <w:proofErr w:type="spellEnd"/>
      <w:r w:rsidRPr="001C7E00">
        <w:rPr>
          <w:rFonts w:ascii="宋体" w:hAnsi="宋体"/>
          <w:bCs/>
          <w:color w:val="000000"/>
          <w:kern w:val="0"/>
          <w:sz w:val="24"/>
          <w:szCs w:val="24"/>
        </w:rPr>
        <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本基金根据风险管理的原则，主要选择流动性好的国债期货合约进行交易，以对冲投资组合的利率风险。</w:t>
      </w:r>
    </w:p>
    <w:p w:rsidP="00277FAE" w:rsidR="00277FAE" w:rsidRDefault="00750D48">
      <w:pPr>
        <w:autoSpaceDE w:val="0"/>
        <w:autoSpaceDN w:val="0"/>
        <w:adjustRightInd w:val="0"/>
        <w:spacing w:line="360" w:lineRule="auto"/>
        <w:jc w:val="left"/>
        <w:rPr>
          <w:rFonts w:ascii="宋体" w:hAnsi="宋体"/>
          <w:bCs/>
          <w:color w:val="000000"/>
          <w:kern w:val="0"/>
          <w:sz w:val="24"/>
        </w:rPr>
      </w:pPr>
      <w:r w:rsidRPr="001C7E00">
        <w:rPr>
          <w:rFonts w:ascii="宋体"/>
          <w:bCs/>
          <w:color w:val="000000"/>
          <w:kern w:val="0"/>
          <w:sz w:val="24"/>
          <w:szCs w:val="24"/>
        </w:rPr>
        <w:t/>
      </w:r>
      <w:proofErr w:type="spellStart"/>
      <w:r w:rsidRPr="001C7E00">
        <w:rPr>
          <w:rFonts w:ascii="宋体" w:hAnsi="宋体"/>
          <w:bCs/>
          <w:color w:val="000000"/>
          <w:kern w:val="0"/>
          <w:sz w:val="24"/>
          <w:szCs w:val="24"/>
        </w:rPr>
        <w:t/>
      </w:r>
      <w:proofErr w:type="spellEnd"/>
      <w:r w:rsidRPr="001C7E00">
        <w:rPr>
          <w:rFonts w:ascii="宋体" w:hAnsi="宋体"/>
          <w:bCs/>
          <w:color w:val="000000"/>
          <w:kern w:val="0"/>
          <w:sz w:val="24"/>
          <w:szCs w:val="24"/>
        </w:rPr>
        <w:t xml:space="preserve">5.10.2 </w:t>
      </w:r>
      <w:r w:rsidRPr="001C7E00">
        <w:rPr>
          <w:rFonts w:ascii="宋体" w:hAnsi="宋体" w:hint="eastAsia"/>
          <w:bCs/>
          <w:color w:val="000000"/>
          <w:kern w:val="0"/>
          <w:sz w:val="24"/>
          <w:szCs w:val="24"/>
        </w:rPr>
        <w:t>报告期末本基金投资的国债期货持仓和损益明细</w:t>
      </w:r>
      <w:r w:rsidRPr="001C7E00">
        <w:rPr>
          <w:rFonts w:ascii="宋体"/>
          <w:bCs/>
          <w:color w:val="000000"/>
          <w:kern w:val="0"/>
          <w:sz w:val="24"/>
          <w:szCs w:val="24"/>
        </w:rPr>
        <w:t/>
      </w:r>
      <w:proofErr w:type="spellStart"/>
      <w:r w:rsidRPr="001C7E00">
        <w:rPr>
          <w:rFonts w:ascii="宋体" w:hAnsi="宋体"/>
          <w:bCs/>
          <w:color w:val="000000"/>
          <w:kern w:val="0"/>
          <w:sz w:val="24"/>
          <w:szCs w:val="24"/>
        </w:rPr>
        <w:t/>
      </w:r>
      <w:proofErr w:type="spellEnd"/>
      <w:r w:rsidRPr="001C7E00">
        <w:rPr>
          <w:rFonts w:ascii="宋体" w:hAnsi="宋体"/>
          <w:bCs/>
          <w:color w:val="000000"/>
          <w:kern w:val="0"/>
          <w:sz w:val="24"/>
          <w:szCs w:val="24"/>
        </w:rPr>
        <w:t/>
      </w:r>
    </w:p>
    <w:tbl>
      <w:tblPr>
        <w:tblW w:type="auto" w:w="0"/>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101"/>
        <w:gridCol w:w="1331"/>
        <w:gridCol w:w="1220"/>
        <w:gridCol w:w="1418"/>
        <w:gridCol w:w="1701"/>
        <w:gridCol w:w="1984"/>
      </w:tblGrid>
      <w:tr w:rsidR="00277FAE" w:rsidTr="003B5535">
        <w:trPr>
          <w:jc w:val="center"/>
        </w:trPr>
        <w:tc>
          <w:tcPr>
            <w:tcW w:type="dxa" w:w="1101"/>
            <w:hideMark/>
          </w:tcPr>
          <w:p w:rsidR="00277FAE" w:rsidRDefault="00277FAE">
            <w:pPr>
              <w:pStyle w:val="Default"/>
              <w:jc w:val="center"/>
              <w:rPr>
                <w:rFonts w:ascii="Times New Roman" w:cs="Times New Roman" w:hAnsi="Times New Roman"/>
              </w:rPr>
            </w:pPr>
            <w:r>
              <w:rPr>
                <w:rFonts w:ascii="Times New Roman" w:cs="Times New Roman" w:hAnsi="Times New Roman" w:hint="eastAsia"/>
              </w:rPr>
              <w:t>代码</w:t>
            </w:r>
            <w:r>
              <w:rPr>
                <w:rFonts w:ascii="Times New Roman" w:cs="Times New Roman" w:hAnsi="Times New Roman"/>
                <w:b/>
              </w:rPr>
              <w:lastRenderedPageBreak/>
              <w:t/>
            </w:r>
            <w:proofErr w:type="spellStart"/>
            <w:r>
              <w:rPr>
                <w:rFonts w:ascii="Times New Roman" w:cs="Times New Roman" w:hAnsi="Times New Roman"/>
                <w:b/>
              </w:rPr>
              <w:t/>
            </w:r>
            <w:proofErr w:type="spellEnd"/>
            <w:r>
              <w:rPr>
                <w:rFonts w:ascii="Times New Roman" w:cs="Times New Roman" w:hAnsi="Times New Roman"/>
              </w:rPr>
              <w:t/>
            </w:r>
            <w:r>
              <w:t xml:space="preserve"> </w:t>
            </w:r>
            <w:r>
              <w:rPr>
                <w:rFonts w:ascii="Times New Roman" w:cs="Times New Roman" w:hAnsi="Times New Roman"/>
              </w:rPr>
              <w:t/>
            </w:r>
            <w:proofErr w:type="spellStart"/>
            <w:r>
              <w:rPr>
                <w:rFonts w:ascii="Times New Roman" w:cs="Times New Roman" w:hAnsi="Times New Roman"/>
              </w:rPr>
              <w:t/>
            </w:r>
            <w:proofErr w:type="spellEnd"/>
            <w:r>
              <w:rPr>
                <w:rFonts w:ascii="Times New Roman" w:cs="Times New Roman" w:hAnsi="Times New Roman"/>
              </w:rPr>
              <w:t/>
            </w:r>
          </w:p>
        </w:tc>
        <w:tc>
          <w:tcPr>
            <w:tcW w:type="dxa" w:w="1331"/>
            <w:hideMark/>
          </w:tcPr>
          <w:p w:rsidR="00277FAE" w:rsidRDefault="00277FAE">
            <w:pPr>
              <w:pStyle w:val="Default"/>
              <w:jc w:val="center"/>
              <w:rPr>
                <w:rFonts w:ascii="Times New Roman" w:cs="Times New Roman" w:hAnsi="Times New Roman"/>
              </w:rPr>
            </w:pPr>
            <w:r>
              <w:rPr>
                <w:rFonts w:ascii="Times New Roman" w:cs="Times New Roman" w:hAnsi="Times New Roman" w:hint="eastAsia"/>
              </w:rPr>
              <w:lastRenderedPageBreak/>
              <w:t>名称</w:t>
            </w:r>
          </w:p>
        </w:tc>
        <w:tc>
          <w:tcPr>
            <w:tcW w:type="dxa" w:w="1220"/>
            <w:hideMark/>
          </w:tcPr>
          <w:p w:rsidR="00277FAE" w:rsidRDefault="00277FAE">
            <w:pPr>
              <w:pStyle w:val="Default"/>
              <w:jc w:val="center"/>
              <w:rPr>
                <w:rFonts w:ascii="Times New Roman" w:cs="Times New Roman" w:hAnsi="Times New Roman"/>
              </w:rPr>
            </w:pPr>
            <w:r>
              <w:rPr>
                <w:rFonts w:ascii="Times New Roman" w:cs="Times New Roman" w:hAnsi="Times New Roman" w:hint="eastAsia"/>
              </w:rPr>
              <w:t>持仓量</w:t>
            </w:r>
          </w:p>
          <w:p w:rsidR="00277FAE" w:rsidRDefault="00277FAE">
            <w:pPr>
              <w:pStyle w:val="Default"/>
              <w:jc w:val="center"/>
              <w:rPr>
                <w:rFonts w:ascii="Times New Roman" w:cs="Times New Roman" w:hAnsi="Times New Roman"/>
              </w:rPr>
            </w:pPr>
            <w:r>
              <w:rPr>
                <w:rFonts w:ascii="Times New Roman" w:cs="Times New Roman" w:hAnsi="Times New Roman" w:hint="eastAsia"/>
              </w:rPr>
              <w:lastRenderedPageBreak/>
              <w:t>（买</w:t>
            </w:r>
            <w:r>
              <w:rPr>
                <w:rFonts w:ascii="Times New Roman" w:cs="Times New Roman" w:hAnsi="Times New Roman"/>
              </w:rPr>
              <w:t>/</w:t>
            </w:r>
            <w:r>
              <w:rPr>
                <w:rFonts w:ascii="Times New Roman" w:cs="Times New Roman" w:hAnsi="Times New Roman" w:hint="eastAsia"/>
              </w:rPr>
              <w:t>卖）</w:t>
            </w:r>
          </w:p>
        </w:tc>
        <w:tc>
          <w:tcPr>
            <w:tcW w:type="dxa" w:w="1418"/>
            <w:hideMark/>
          </w:tcPr>
          <w:p w:rsidR="00277FAE" w:rsidRDefault="00277FAE">
            <w:pPr>
              <w:pStyle w:val="Default"/>
              <w:jc w:val="center"/>
              <w:rPr>
                <w:rFonts w:ascii="Times New Roman" w:cs="Times New Roman" w:hAnsi="Times New Roman"/>
              </w:rPr>
            </w:pPr>
            <w:r>
              <w:rPr>
                <w:rFonts w:ascii="Times New Roman" w:cs="Times New Roman" w:hAnsi="Times New Roman" w:hint="eastAsia"/>
              </w:rPr>
              <w:lastRenderedPageBreak/>
              <w:t>合约市值</w:t>
            </w:r>
          </w:p>
          <w:p w:rsidR="00277FAE" w:rsidRDefault="00277FAE">
            <w:pPr>
              <w:pStyle w:val="Default"/>
              <w:jc w:val="center"/>
              <w:rPr>
                <w:rFonts w:ascii="Times New Roman" w:cs="Times New Roman" w:hAnsi="Times New Roman"/>
              </w:rPr>
            </w:pPr>
            <w:r>
              <w:rPr>
                <w:rFonts w:ascii="Times New Roman" w:cs="Times New Roman" w:hAnsi="Times New Roman" w:hint="eastAsia"/>
              </w:rPr>
              <w:lastRenderedPageBreak/>
              <w:t>（元）</w:t>
            </w:r>
          </w:p>
        </w:tc>
        <w:tc>
          <w:tcPr>
            <w:tcW w:type="dxa" w:w="1701"/>
            <w:hideMark/>
          </w:tcPr>
          <w:p w:rsidR="00277FAE" w:rsidRDefault="00277FAE">
            <w:pPr>
              <w:pStyle w:val="Default"/>
              <w:jc w:val="center"/>
              <w:rPr>
                <w:rFonts w:ascii="Times New Roman" w:cs="Times New Roman" w:hAnsi="Times New Roman"/>
              </w:rPr>
            </w:pPr>
            <w:r>
              <w:rPr>
                <w:rFonts w:ascii="Times New Roman" w:cs="Times New Roman" w:hAnsi="Times New Roman" w:hint="eastAsia"/>
              </w:rPr>
              <w:lastRenderedPageBreak/>
              <w:t>公允价值变动</w:t>
            </w:r>
            <w:r>
              <w:rPr>
                <w:rFonts w:ascii="Times New Roman" w:cs="Times New Roman" w:hAnsi="Times New Roman" w:hint="eastAsia"/>
              </w:rPr>
              <w:lastRenderedPageBreak/>
              <w:t>（元）</w:t>
            </w:r>
          </w:p>
        </w:tc>
        <w:tc>
          <w:tcPr>
            <w:tcW w:type="dxa" w:w="1984"/>
            <w:hideMark/>
          </w:tcPr>
          <w:p w:rsidR="00277FAE" w:rsidRDefault="00277FAE">
            <w:pPr>
              <w:pStyle w:val="Default"/>
              <w:jc w:val="center"/>
              <w:rPr>
                <w:rFonts w:ascii="Times New Roman" w:cs="Times New Roman" w:hAnsi="Times New Roman"/>
              </w:rPr>
            </w:pPr>
            <w:r>
              <w:rPr>
                <w:rFonts w:ascii="Times New Roman" w:cs="Times New Roman" w:hAnsi="Times New Roman" w:hint="eastAsia"/>
              </w:rPr>
              <w:lastRenderedPageBreak/>
              <w:t>风险指标说明</w:t>
            </w:r>
          </w:p>
        </w:tc>
      </w:tr>
      <w:tr>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rsidR="00277FAE" w:rsidTr="003B5535">
        <w:trPr>
          <w:jc w:val="center"/>
        </w:trPr>
        <w:tc>
          <w:tcPr>
            <w:tcW w:type="dxa" w:w="6771"/>
            <w:gridSpan w:val="5"/>
            <w:hideMark/>
          </w:tcPr>
          <w:p w:rsidR="00277FAE" w:rsidRDefault="00277FAE">
            <w:pPr>
              <w:pStyle w:val="Default"/>
              <w:jc w:val="both"/>
              <w:rPr>
                <w:rFonts w:ascii="Times New Roman" w:cs="Times New Roman" w:hAnsi="Times New Roman"/>
              </w:rPr>
            </w:pPr>
            <w:r>
              <w:rPr>
                <w:rFonts w:ascii="Times New Roman" w:cs="Times New Roman" w:hAnsi="Times New Roman" w:hint="eastAsia"/>
              </w:rPr>
              <w:t>公允价值变动总额合计（元）</w:t>
            </w:r>
          </w:p>
        </w:tc>
        <w:tc>
          <w:tcPr>
            <w:tcW w:type="dxa" w:w="1984"/>
            <w:hideMark/>
          </w:tcPr>
          <w:p w:rsidR="00277FAE" w:rsidRDefault="00277FAE">
            <w:pPr>
              <w:adjustRightInd w:val="0"/>
              <w:snapToGrid w:val="0"/>
              <w:spacing w:line="380" w:lineRule="exact"/>
              <w:jc w:val="right"/>
              <w:rPr>
                <w:color w:val="000000"/>
                <w:sz w:val="24"/>
                <w:szCs w:val="24"/>
              </w:rPr>
            </w:pPr>
            <w:r>
              <w:rPr>
                <w:color w:val="000000"/>
                <w:sz w:val="24"/>
              </w:rPr>
              <w:t/>
            </w:r>
            <w:proofErr w:type="spellStart"/>
            <w:r>
              <w:rPr>
                <w:color w:val="000000"/>
                <w:sz w:val="24"/>
              </w:rPr>
              <w:t/>
            </w:r>
            <w:proofErr w:type="spellEnd"/>
            <w:r>
              <w:rPr>
                <w:color w:val="000000"/>
                <w:sz w:val="24"/>
              </w:rPr>
              <w:t>-</w:t>
            </w:r>
          </w:p>
        </w:tc>
      </w:tr>
      <w:tr w:rsidR="00277FAE" w:rsidTr="003B5535">
        <w:trPr>
          <w:jc w:val="center"/>
        </w:trPr>
        <w:tc>
          <w:tcPr>
            <w:tcW w:type="dxa" w:w="6771"/>
            <w:gridSpan w:val="5"/>
            <w:hideMark/>
          </w:tcPr>
          <w:p w:rsidR="00277FAE" w:rsidRDefault="00277FAE">
            <w:pPr>
              <w:pStyle w:val="Default"/>
              <w:jc w:val="both"/>
              <w:rPr>
                <w:rFonts w:ascii="Times New Roman" w:cs="Times New Roman" w:hAnsi="Times New Roman"/>
              </w:rPr>
            </w:pPr>
            <w:r>
              <w:rPr>
                <w:rFonts w:ascii="Times New Roman" w:cs="Times New Roman" w:hAnsi="Times New Roman" w:hint="eastAsia"/>
              </w:rPr>
              <w:t>国债期货投资本期收益（元）</w:t>
            </w:r>
          </w:p>
        </w:tc>
        <w:tc>
          <w:tcPr>
            <w:tcW w:type="dxa" w:w="1984"/>
            <w:hideMark/>
          </w:tcPr>
          <w:p w:rsidR="00277FAE" w:rsidRDefault="00277FAE">
            <w:pPr>
              <w:adjustRightInd w:val="0"/>
              <w:snapToGrid w:val="0"/>
              <w:spacing w:line="380" w:lineRule="exact"/>
              <w:jc w:val="right"/>
              <w:rPr>
                <w:color w:val="000000"/>
                <w:sz w:val="24"/>
                <w:szCs w:val="24"/>
              </w:rPr>
            </w:pPr>
            <w:r>
              <w:rPr>
                <w:color w:val="000000"/>
                <w:sz w:val="24"/>
              </w:rPr>
              <w:t/>
            </w:r>
            <w:proofErr w:type="spellStart"/>
            <w:r>
              <w:rPr>
                <w:color w:val="000000"/>
                <w:sz w:val="24"/>
              </w:rPr>
              <w:t/>
            </w:r>
            <w:proofErr w:type="spellEnd"/>
            <w:r>
              <w:rPr>
                <w:color w:val="000000"/>
                <w:sz w:val="24"/>
              </w:rPr>
              <w:t>-43,200.00</w:t>
            </w:r>
          </w:p>
        </w:tc>
      </w:tr>
      <w:tr w:rsidR="00277FAE" w:rsidTr="003B5535">
        <w:trPr>
          <w:jc w:val="center"/>
        </w:trPr>
        <w:tc>
          <w:tcPr>
            <w:tcW w:type="dxa" w:w="6771"/>
            <w:gridSpan w:val="5"/>
            <w:hideMark/>
          </w:tcPr>
          <w:p w:rsidR="00277FAE" w:rsidRDefault="00277FAE">
            <w:pPr>
              <w:pStyle w:val="Default"/>
              <w:jc w:val="both"/>
              <w:rPr>
                <w:rFonts w:ascii="Times New Roman" w:cs="Times New Roman" w:hAnsi="Times New Roman"/>
              </w:rPr>
            </w:pPr>
            <w:r>
              <w:rPr>
                <w:rFonts w:ascii="Times New Roman" w:cs="Times New Roman" w:hAnsi="Times New Roman" w:hint="eastAsia"/>
              </w:rPr>
              <w:t>国债期货投资本期公允价值变动（元）</w:t>
            </w:r>
          </w:p>
        </w:tc>
        <w:tc>
          <w:tcPr>
            <w:tcW w:type="dxa" w:w="1984"/>
            <w:hideMark/>
          </w:tcPr>
          <w:p w:rsidR="00277FAE" w:rsidRDefault="00277FAE">
            <w:pPr>
              <w:adjustRightInd w:val="0"/>
              <w:snapToGrid w:val="0"/>
              <w:spacing w:line="380" w:lineRule="exact"/>
              <w:jc w:val="right"/>
              <w:rPr>
                <w:color w:val="000000"/>
                <w:sz w:val="24"/>
                <w:szCs w:val="24"/>
              </w:rPr>
            </w:pPr>
            <w:r>
              <w:rPr>
                <w:color w:val="000000"/>
                <w:sz w:val="24"/>
              </w:rPr>
              <w:t/>
            </w:r>
            <w:proofErr w:type="spellStart"/>
            <w:r>
              <w:rPr>
                <w:color w:val="000000"/>
                <w:sz w:val="24"/>
              </w:rPr>
              <w:t/>
            </w:r>
            <w:proofErr w:type="spellEnd"/>
            <w:r>
              <w:rPr>
                <w:color w:val="000000"/>
                <w:sz w:val="24"/>
              </w:rPr>
              <w:t>-</w:t>
            </w:r>
          </w:p>
        </w:tc>
      </w:tr>
    </w:tbl>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 xml:space="preserve">注：本基金本报告期末未投资国债期货。 </w:t>
      </w:r>
    </w:p>
    <w:p w:rsidP="00277FAE" w:rsidR="00750D48" w:rsidRDefault="00750D48" w:rsidRPr="001C7E00">
      <w:pPr>
        <w:autoSpaceDE w:val="0"/>
        <w:autoSpaceDN w:val="0"/>
        <w:adjustRightInd w:val="0"/>
        <w:spacing w:line="360" w:lineRule="auto"/>
        <w:jc w:val="left"/>
        <w:rPr>
          <w:rFonts w:ascii="宋体" w:hAnsi="宋体"/>
          <w:bCs/>
          <w:color w:val="000000"/>
          <w:kern w:val="0"/>
          <w:sz w:val="24"/>
          <w:szCs w:val="24"/>
        </w:rPr>
      </w:pPr>
      <w:r w:rsidRPr="001C7E00">
        <w:rPr>
          <w:rFonts w:ascii="宋体"/>
          <w:bCs/>
          <w:color w:val="000000"/>
          <w:kern w:val="0"/>
          <w:sz w:val="24"/>
          <w:szCs w:val="24"/>
        </w:rPr>
        <w:t/>
      </w:r>
      <w:proofErr w:type="spellStart"/>
      <w:r w:rsidRPr="001C7E00">
        <w:rPr>
          <w:rFonts w:ascii="宋体" w:hAnsi="宋体"/>
          <w:bCs/>
          <w:color w:val="000000"/>
          <w:kern w:val="0"/>
          <w:sz w:val="24"/>
          <w:szCs w:val="24"/>
        </w:rPr>
        <w:t/>
      </w:r>
      <w:proofErr w:type="spellEnd"/>
      <w:r w:rsidRPr="001C7E00">
        <w:rPr>
          <w:rFonts w:ascii="宋体" w:hAnsi="宋体"/>
          <w:bCs/>
          <w:color w:val="000000"/>
          <w:kern w:val="0"/>
          <w:sz w:val="24"/>
          <w:szCs w:val="24"/>
        </w:rPr>
        <w:t xml:space="preserve">5.10.3 </w:t>
      </w:r>
      <w:r w:rsidRPr="001C7E00">
        <w:rPr>
          <w:rFonts w:ascii="宋体" w:hAnsi="宋体" w:hint="eastAsia"/>
          <w:bCs/>
          <w:color w:val="000000"/>
          <w:kern w:val="0"/>
          <w:sz w:val="24"/>
          <w:szCs w:val="24"/>
        </w:rPr>
        <w:t>本期国债期货投资评价</w:t>
      </w:r>
      <w:r w:rsidRPr="001C7E00">
        <w:rPr>
          <w:rFonts w:ascii="宋体"/>
          <w:bCs/>
          <w:color w:val="000000"/>
          <w:kern w:val="0"/>
          <w:sz w:val="24"/>
          <w:szCs w:val="24"/>
        </w:rPr>
        <w:t/>
      </w:r>
      <w:proofErr w:type="spellStart"/>
      <w:r w:rsidRPr="001C7E00">
        <w:rPr>
          <w:rFonts w:ascii="宋体" w:hAnsi="宋体"/>
          <w:bCs/>
          <w:color w:val="000000"/>
          <w:kern w:val="0"/>
          <w:sz w:val="24"/>
          <w:szCs w:val="24"/>
        </w:rPr>
        <w:t/>
      </w:r>
      <w:proofErr w:type="spellEnd"/>
      <w:r w:rsidRPr="001C7E00">
        <w:rPr>
          <w:rFonts w:ascii="宋体" w:hAnsi="宋体"/>
          <w:bCs/>
          <w:color w:val="000000"/>
          <w:kern w:val="0"/>
          <w:sz w:val="24"/>
          <w:szCs w:val="24"/>
        </w:rPr>
        <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本基金投资国债期货根据风险管理的原则，以套期保值策略为目的，调节组合的整体久期水平。本报告期内，本基金投资国债期货符合既定的投资政策和投资目的。</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2019年11月18日，北京市规划委员会石景山分局对首钢集团有限公司“因设计失误造成实测建筑面积超出规划许可建筑面积”的行为罚款额58765.25元。</w:t>
      </w:r>
    </w:p>
    <w:p>
      <w:pPr>
        <w:spacing w:line="360" w:lineRule="auto"/>
        <w:rPr>
          <w:rFonts w:ascii="宋体" w:hAnsi="宋体"/>
          <w:color w:val="000000"/>
          <w:sz w:val="24"/>
          <w:szCs w:val="24"/>
        </w:rPr>
      </w:pPr>
      <w:r>
        <w:rPr>
          <w:rFonts w:ascii="宋体" w:hAnsi="宋体"/>
          <w:color w:val="000000"/>
          <w:sz w:val="24"/>
          <w:szCs w:val="24"/>
        </w:rPr>
        <w:t>本基金投资18首钢MTN005的投资决策程序符合公司投资制度的规定。</w:t>
      </w:r>
    </w:p>
    <w:p>
      <w:pPr>
        <w:spacing w:line="360" w:lineRule="auto"/>
        <w:rPr>
          <w:rFonts w:ascii="宋体" w:hAnsi="宋体"/>
          <w:color w:val="000000"/>
          <w:sz w:val="24"/>
          <w:szCs w:val="24"/>
        </w:rPr>
      </w:pPr>
      <w:r>
        <w:rPr>
          <w:rFonts w:ascii="宋体" w:hAnsi="宋体"/>
          <w:color w:val="000000"/>
          <w:sz w:val="24"/>
          <w:szCs w:val="24"/>
        </w:rPr>
        <w:t>除18首钢MTN005外，本基金投资的前十名证券的发行主体本期没有出现被监管部门立案调查，或在报告编制日前一年内受到公开谴责、处罚的情形。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本基金本报告期没有投资股票，因此不存在投资的前十名股票超出基金合同规定的备选股票库情况。</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46,692.42</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936,188.94</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22,585,438.88</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23,568,320.24</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本基金本报告期末未持有股票。</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705,444,128.51</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93,334,888.93</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798,779,017.44</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AC11B0" w:rsidR="00AC11B0" w:rsidRDefault="00AC11B0" w:rsidRPr="005A564A">
      <w:pPr>
        <w:autoSpaceDE w:val="0"/>
        <w:autoSpaceDN w:val="0"/>
        <w:adjustRightInd w:val="0"/>
        <w:spacing w:before="29" w:line="360" w:lineRule="auto"/>
        <w:ind w:left="15"/>
        <w:jc w:val="right"/>
        <w:rPr>
          <w:sz w:val="24"/>
        </w:rPr>
      </w:pPr>
      <w:r w:rsidRPr="005A564A">
        <w:rPr>
          <w:sz w:val="24"/>
        </w:rPr>
        <w:t/>
      </w:r>
      <w:proofErr w:type="spellStart"/>
      <w:r w:rsidRPr="005A564A">
        <w:rPr>
          <w:sz w:val="24"/>
        </w:rPr>
        <w:t/>
      </w:r>
      <w:proofErr w:type="spellEnd"/>
      <w:r w:rsidRPr="005A564A">
        <w:rPr>
          <w:sz w:val="24"/>
        </w:rPr>
        <w:t/>
      </w:r>
      <w:r w:rsidRPr="005A564A">
        <w:rPr>
          <w:sz w:val="24"/>
        </w:rPr>
        <w:t>单位：份</w:t>
      </w:r>
    </w:p>
    <w:tbl>
      <w:tblPr>
        <w:tblW w:type="dxa" w:w="8415"/>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1" w:val="04A0"/>
      </w:tblPr>
      <w:tblGrid>
        <w:gridCol w:w="5037"/>
        <w:gridCol w:w="3378"/>
      </w:tblGrid>
      <w:tr w:rsidR="00AC11B0" w:rsidRPr="003B42FF" w:rsidTr="003B5535">
        <w:tc>
          <w:tcPr>
            <w:tcW w:type="dxa" w:w="5037"/>
            <w:vAlign w:val="center"/>
            <w:hideMark/>
          </w:tcPr>
          <w:p w:rsidP="003328D9" w:rsidR="00AC11B0" w:rsidRDefault="00AC11B0" w:rsidRPr="003B42FF">
            <w:pPr>
              <w:pStyle w:val="ad"/>
              <w:adjustRightInd w:val="0"/>
              <w:snapToGrid w:val="0"/>
              <w:spacing w:line="360" w:lineRule="exact"/>
              <w:rPr>
                <w:rFonts w:eastAsiaTheme="minorEastAsia"/>
                <w:color w:themeColor="text1" w:val="000000"/>
              </w:rPr>
            </w:pPr>
            <w:r w:rsidRPr="003B42FF">
              <w:rPr>
                <w:rFonts w:eastAsiaTheme="minorEastAsia"/>
                <w:color w:themeColor="text1" w:val="000000"/>
              </w:rPr>
              <w:t>报告期期初管理人持有的本基金份额</w:t>
            </w:r>
            <w:r w:rsidRPr="003B42FF">
              <w:rPr>
                <w:rFonts w:eastAsiaTheme="minorEastAsia"/>
                <w:bCs/>
                <w:color w:val="000000"/>
              </w:rPr>
              <w:t/>
            </w:r>
            <w:proofErr w:type="spellStart"/>
            <w:r w:rsidRPr="003B42FF">
              <w:rPr>
                <w:rFonts w:eastAsiaTheme="minorEastAsia"/>
                <w:bCs/>
                <w:color w:val="000000"/>
              </w:rPr>
              <w:t/>
            </w:r>
            <w:proofErr w:type="spellEnd"/>
            <w:r w:rsidRPr="003B42FF">
              <w:rPr>
                <w:rFonts w:eastAsiaTheme="minorEastAsia"/>
                <w:bCs/>
                <w:color w:val="000000"/>
              </w:rPr>
              <w:t/>
            </w:r>
            <w:r w:rsidRPr="003B42FF">
              <w:rPr>
                <w:rFonts w:eastAsiaTheme="minorEastAsia"/>
                <w:color w:themeColor="text1" w:val="000000"/>
              </w:rPr>
              <w:t/>
            </w:r>
            <w:proofErr w:type="spellStart"/>
            <w:r w:rsidRPr="003B42FF">
              <w:rPr>
                <w:rFonts w:eastAsiaTheme="minorEastAsia"/>
                <w:color w:themeColor="text1" w:val="000000"/>
              </w:rPr>
              <w:t/>
            </w:r>
            <w:proofErr w:type="spellEnd"/>
            <w:r w:rsidRPr="003B42FF">
              <w:rPr>
                <w:rFonts w:eastAsiaTheme="minorEastAsia"/>
                <w:color w:themeColor="text1" w:val="000000"/>
              </w:rPr>
              <w:t/>
            </w:r>
          </w:p>
        </w:tc>
        <w:tc>
          <w:tcPr>
            <w:tcW w:type="dxa" w:w="3378"/>
            <w:vAlign w:val="center"/>
            <w:hideMark/>
          </w:tcPr>
          <w:p w:rsidP="003328D9" w:rsidR="00AC11B0" w:rsidRDefault="00AC11B0" w:rsidRPr="003B42FF">
            <w:pPr>
              <w:jc w:val="right"/>
              <w:rPr>
                <w:rFonts w:eastAsiaTheme="minorEastAsia"/>
                <w:color w:themeColor="text1" w:val="000000"/>
                <w:sz w:val="24"/>
                <w:szCs w:val="24"/>
              </w:rPr>
            </w:pPr>
            <w:r w:rsidRPr="003B42FF">
              <w:rPr>
                <w:rFonts w:eastAsiaTheme="minorEastAsia"/>
                <w:color w:themeColor="text1" w:val="000000"/>
                <w:sz w:val="24"/>
                <w:szCs w:val="24"/>
              </w:rPr>
              <w:t>10,000,000.00</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kern w:val="0"/>
                <w:sz w:val="24"/>
                <w:szCs w:val="24"/>
              </w:rPr>
              <w:t/>
            </w:r>
            <w:proofErr w:type="spellStart"/>
            <w:r w:rsidRPr="003B42FF">
              <w:rPr>
                <w:rFonts w:eastAsiaTheme="minorEastAsia"/>
                <w:color w:themeColor="text1" w:val="000000"/>
                <w:kern w:val="0"/>
                <w:sz w:val="24"/>
                <w:szCs w:val="24"/>
              </w:rPr>
              <w:t/>
            </w:r>
            <w:r w:rsidR="00DA718D">
              <w:rPr>
                <w:color w:val="000000"/>
                <w:kern w:val="0"/>
                <w:sz w:val="24"/>
              </w:rPr>
              <w:t/>
            </w:r>
            <w:proofErr w:type="spellEnd"/>
            <w:r w:rsidRPr="003B42FF">
              <w:rPr>
                <w:rFonts w:eastAsiaTheme="minorEastAsia"/>
                <w:color w:themeColor="text1" w:val="000000"/>
                <w:kern w:val="0"/>
                <w:sz w:val="24"/>
                <w:szCs w:val="24"/>
              </w:rPr>
              <w:t>报告期</w:t>
            </w:r>
            <w:r w:rsidR="00B53067" w:rsidRPr="00B53067">
              <w:rPr>
                <w:rFonts w:eastAsiaTheme="minorEastAsia"/>
                <w:color w:themeColor="text1" w:val="000000"/>
                <w:sz w:val="24"/>
                <w:szCs w:val="24"/>
              </w:rPr>
              <w:t>期间</w:t>
            </w:r>
            <w:r w:rsidRPr="003B42FF">
              <w:rPr>
                <w:rFonts w:eastAsiaTheme="minorEastAsia"/>
                <w:color w:themeColor="text1" w:val="000000"/>
                <w:sz w:val="24"/>
                <w:szCs w:val="24"/>
              </w:rPr>
              <w:t>买入</w:t>
            </w:r>
            <w:r w:rsidRPr="003B42FF">
              <w:rPr>
                <w:rFonts w:eastAsiaTheme="minorEastAsia"/>
                <w:color w:themeColor="text1" w:val="000000"/>
                <w:sz w:val="24"/>
                <w:szCs w:val="24"/>
              </w:rPr>
              <w:t>/</w:t>
            </w:r>
            <w:r w:rsidRPr="003B42FF">
              <w:rPr>
                <w:rFonts w:eastAsiaTheme="minorEastAsia"/>
                <w:color w:themeColor="text1" w:val="000000"/>
                <w:sz w:val="24"/>
                <w:szCs w:val="24"/>
              </w:rPr>
              <w:t>申购总份额</w:t>
            </w:r>
          </w:p>
        </w:tc>
        <w:tc>
          <w:tcPr>
            <w:tcW w:type="dxa" w:w="3378"/>
            <w:vAlign w:val="center"/>
            <w:hideMark/>
          </w:tcPr>
          <w:p w:rsidP="003328D9" w:rsidR="00AC11B0" w:rsidRDefault="00AC11B0" w:rsidRPr="003B42FF">
            <w:pPr>
              <w:jc w:val="right"/>
              <w:rPr>
                <w:rFonts w:eastAsiaTheme="minorEastAsia"/>
                <w:color w:themeColor="text1" w:val="000000"/>
                <w:kern w:val="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kern w:val="0"/>
                <w:sz w:val="24"/>
                <w:szCs w:val="24"/>
              </w:rPr>
              <w:t/>
            </w:r>
            <w:proofErr w:type="spellStart"/>
            <w:r w:rsidRPr="003B42FF">
              <w:rPr>
                <w:rFonts w:eastAsiaTheme="minorEastAsia"/>
                <w:color w:themeColor="text1" w:val="000000"/>
                <w:kern w:val="0"/>
                <w:sz w:val="24"/>
                <w:szCs w:val="24"/>
              </w:rPr>
              <w:t/>
            </w:r>
            <w:r w:rsidR="00DA718D">
              <w:rPr>
                <w:color w:val="000000"/>
                <w:kern w:val="0"/>
                <w:sz w:val="24"/>
              </w:rPr>
              <w:t/>
            </w:r>
            <w:proofErr w:type="spellEnd"/>
            <w:r w:rsidRPr="003B42FF">
              <w:rPr>
                <w:rFonts w:eastAsiaTheme="minorEastAsia"/>
                <w:color w:themeColor="text1" w:val="000000"/>
                <w:kern w:val="0"/>
                <w:sz w:val="24"/>
                <w:szCs w:val="24"/>
              </w:rPr>
              <w:t>报告期</w:t>
            </w:r>
            <w:r w:rsidR="00B53067" w:rsidRPr="00B53067">
              <w:rPr>
                <w:rFonts w:eastAsiaTheme="minorEastAsia"/>
                <w:color w:themeColor="text1" w:val="000000"/>
                <w:sz w:val="24"/>
                <w:szCs w:val="24"/>
              </w:rPr>
              <w:t>期间</w:t>
            </w:r>
            <w:r w:rsidRPr="003B42FF">
              <w:rPr>
                <w:rFonts w:eastAsiaTheme="minorEastAsia"/>
                <w:color w:themeColor="text1" w:val="000000"/>
                <w:sz w:val="24"/>
                <w:szCs w:val="24"/>
              </w:rPr>
              <w:t>卖出</w:t>
            </w:r>
            <w:r w:rsidRPr="003B42FF">
              <w:rPr>
                <w:rFonts w:eastAsiaTheme="minorEastAsia"/>
                <w:color w:themeColor="text1" w:val="000000"/>
                <w:sz w:val="24"/>
                <w:szCs w:val="24"/>
              </w:rPr>
              <w:t>/</w:t>
            </w:r>
            <w:r w:rsidRPr="003B42FF">
              <w:rPr>
                <w:rFonts w:eastAsiaTheme="minorEastAsia"/>
                <w:color w:themeColor="text1" w:val="000000"/>
                <w:sz w:val="24"/>
                <w:szCs w:val="24"/>
              </w:rPr>
              <w:t>赎回总份额</w:t>
            </w:r>
          </w:p>
        </w:tc>
        <w:tc>
          <w:tcPr>
            <w:tcW w:type="dxa" w:w="3378"/>
            <w:vAlign w:val="center"/>
            <w:hideMark/>
          </w:tcPr>
          <w:p w:rsidP="003328D9" w:rsidR="00AC11B0" w:rsidRDefault="00AC11B0" w:rsidRPr="003B42FF">
            <w:pPr>
              <w:jc w:val="right"/>
              <w:rPr>
                <w:rFonts w:eastAsiaTheme="minorEastAsia"/>
                <w:color w:themeColor="text1" w:val="000000"/>
                <w:kern w:val="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sz w:val="24"/>
                <w:szCs w:val="24"/>
              </w:rPr>
              <w:t>报告期期末管理人持有的本基金份额</w:t>
            </w:r>
          </w:p>
        </w:tc>
        <w:tc>
          <w:tcPr>
            <w:tcW w:type="dxa" w:w="3378"/>
            <w:vAlign w:val="center"/>
            <w:hideMark/>
          </w:tcPr>
          <w:p w:rsidP="003328D9" w:rsidR="00AC11B0" w:rsidRDefault="00AC11B0" w:rsidRPr="003B42FF">
            <w:pPr>
              <w:jc w:val="right"/>
              <w:rPr>
                <w:rFonts w:eastAsiaTheme="minorEastAsia"/>
                <w:color w:themeColor="text1" w:val="00000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10,000,000.00</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sz w:val="24"/>
                <w:szCs w:val="24"/>
              </w:rPr>
              <w:t>报告期期末持有的本基金份额占基金总份额比例（</w:t>
            </w:r>
            <w:r w:rsidRPr="003B42FF">
              <w:rPr>
                <w:rFonts w:eastAsiaTheme="minorEastAsia"/>
                <w:color w:themeColor="text1" w:val="000000"/>
                <w:sz w:val="24"/>
                <w:szCs w:val="24"/>
              </w:rPr>
              <w:t>%</w:t>
            </w:r>
            <w:r w:rsidRPr="003B42FF">
              <w:rPr>
                <w:rFonts w:eastAsiaTheme="minorEastAsia"/>
                <w:color w:themeColor="text1" w:val="000000"/>
                <w:sz w:val="24"/>
                <w:szCs w:val="24"/>
              </w:rPr>
              <w:t>）</w:t>
            </w:r>
          </w:p>
        </w:tc>
        <w:tc>
          <w:tcPr>
            <w:tcW w:type="dxa" w:w="3378"/>
            <w:vAlign w:val="center"/>
            <w:hideMark/>
          </w:tcPr>
          <w:p w:rsidP="003328D9" w:rsidR="00AC11B0" w:rsidRDefault="00AC11B0" w:rsidRPr="003B42FF">
            <w:pPr>
              <w:jc w:val="right"/>
              <w:rPr>
                <w:rFonts w:eastAsiaTheme="minorEastAsia"/>
                <w:color w:themeColor="text1" w:val="000000"/>
                <w:kern w:val="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1.2519</w:t>
            </w:r>
          </w:p>
        </w:tc>
      </w:tr>
    </w:tbl>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color w:val="000000"/>
          <w:kern w:val="0"/>
          <w:sz w:val="24"/>
          <w:szCs w:val="24"/>
        </w:rPr>
        <w:t/>
      </w:r>
      <w:proofErr w:type="spellStart"/>
      <w:r w:rsidRPr="00264E55">
        <w:rPr>
          <w:rFonts w:ascii="宋体" w:hAnsi="宋体"/>
          <w:color w:val="000000"/>
          <w:kern w:val="0"/>
          <w:sz w:val="24"/>
          <w:szCs w:val="24"/>
        </w:rPr>
        <w:t/>
      </w:r>
      <w:proofErr w:type="spellEnd"/>
      <w:r w:rsidRPr="00264E55">
        <w:rPr>
          <w:rFonts w:ascii="宋体" w:hAnsi="宋体"/>
          <w:color w:val="000000"/>
          <w:kern w:val="0"/>
          <w:sz w:val="24"/>
          <w:szCs w:val="24"/>
        </w:rPr>
        <w:t/>
      </w: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Pr>
          <w:rFonts w:ascii="宋体" w:hAnsi="宋体" w:hint="eastAsia"/>
          <w:color w:val="000000"/>
          <w:kern w:val="0"/>
          <w:sz w:val="24"/>
          <w:szCs w:val="24"/>
        </w:rPr>
        <w:t>报告期末</w:t>
      </w:r>
      <w:r w:rsidRPr="00264E55">
        <w:rPr>
          <w:rFonts w:ascii="宋体" w:hAnsi="宋体" w:hint="eastAsia"/>
          <w:color w:val="000000"/>
          <w:kern w:val="0"/>
          <w:sz w:val="24"/>
          <w:szCs w:val="24"/>
        </w:rPr>
        <w:t>发起式基金发起资金持有份额情况</w:t>
      </w:r>
    </w:p>
    <w:tbl>
      <w:tblPr>
        <w:tblW w:type="auto" w:w="0"/>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560"/>
        <w:gridCol w:w="1843"/>
        <w:gridCol w:w="1276"/>
        <w:gridCol w:w="1984"/>
        <w:gridCol w:w="1276"/>
        <w:gridCol w:w="941"/>
      </w:tblGrid>
      <w:tr w:rsidR="00750D48" w:rsidRPr="00264E55" w:rsidTr="00507F99">
        <w:trPr>
          <w:trHeight w:val="543"/>
          <w:jc w:val="center"/>
        </w:trPr>
        <w:tc>
          <w:tcPr>
            <w:tcW w:type="dxa" w:w="1560"/>
            <w:vAlign w:val="center"/>
          </w:tcPr>
          <w:p w:rsidP="00597E49" w:rsidR="00750D48" w:rsidRDefault="00750D48" w:rsidRPr="00B227EA">
            <w:pPr>
              <w:widowControl/>
              <w:jc w:val="left"/>
              <w:rPr>
                <w:color w:val="000000"/>
                <w:sz w:val="24"/>
                <w:szCs w:val="24"/>
              </w:rPr>
            </w:pPr>
            <w:r w:rsidRPr="00B227EA">
              <w:rPr>
                <w:color w:val="000000"/>
                <w:sz w:val="24"/>
                <w:szCs w:val="24"/>
              </w:rPr>
              <w:t>项目</w:t>
            </w: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
            </w:r>
          </w:p>
        </w:tc>
        <w:tc>
          <w:tcPr>
            <w:tcW w:type="dxa" w:w="1843"/>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持有份额总数</w:t>
            </w:r>
          </w:p>
        </w:tc>
        <w:tc>
          <w:tcPr>
            <w:tcW w:type="dxa" w:w="1276"/>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持有份额占基金总份额比例</w:t>
            </w:r>
          </w:p>
        </w:tc>
        <w:tc>
          <w:tcPr>
            <w:tcW w:type="dxa" w:w="1984"/>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发起份额总数</w:t>
            </w:r>
          </w:p>
        </w:tc>
        <w:tc>
          <w:tcPr>
            <w:tcW w:type="dxa" w:w="1276"/>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发起份额占基金总份额比例</w:t>
            </w:r>
          </w:p>
        </w:tc>
        <w:tc>
          <w:tcPr>
            <w:tcW w:type="dxa" w:w="941"/>
          </w:tcPr>
          <w:p w:rsidP="00597E49" w:rsidR="00750D48" w:rsidRDefault="00750D48" w:rsidRPr="00B227EA">
            <w:pPr>
              <w:widowControl/>
              <w:jc w:val="left"/>
              <w:rPr>
                <w:color w:val="000000"/>
                <w:sz w:val="24"/>
                <w:szCs w:val="24"/>
              </w:rPr>
            </w:pPr>
            <w:r w:rsidRPr="00B227EA">
              <w:rPr>
                <w:color w:val="000000"/>
                <w:sz w:val="24"/>
                <w:szCs w:val="24"/>
              </w:rPr>
              <w:t>发起份额承诺持有期限</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基金管理人固有资金</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10,000,000.00</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1.2519%</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10,000,000.00</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1.2519%</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不少于3年</w:t>
            </w:r>
          </w:p>
        </w:tc>
      </w:tr>
      <w:tr w:rsidR="00750D48" w:rsidRPr="00264E55" w:rsidTr="00507F99">
        <w:trPr>
          <w:trHeight w:val="790"/>
          <w:jc w:val="center"/>
        </w:trPr>
        <w:tc>
          <w:tcPr>
            <w:tcW w:type="dxa" w:w="1560"/>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基金管理人高级管理人员</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r w:rsidRPr="00B227EA">
              <w:rPr>
                <w:kern w:val="0"/>
                <w:sz w:val="24"/>
                <w:szCs w:val="24"/>
              </w:rPr>
              <w:lastRenderedPageBreak/>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lastRenderedPageBreak/>
              <w:t>基金经理等人员</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t>基金管理人股东</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r w:rsidRPr="00B227EA">
              <w:rPr>
                <w:kern w:val="0"/>
                <w:sz w:val="24"/>
                <w:szCs w:val="24"/>
              </w:rPr>
              <w:lastRenderedPageBreak/>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r w:rsidRPr="00B227EA">
              <w:rPr>
                <w:kern w:val="0"/>
                <w:sz w:val="24"/>
                <w:szCs w:val="24"/>
              </w:rPr>
              <w:lastRenderedPageBreak/>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lastRenderedPageBreak/>
              <w:t>其他</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proofErr w:type="spellStart"/>
            <w:r w:rsidRPr="00B227EA">
              <w:rPr>
                <w:kern w:val="0"/>
                <w:sz w:val="24"/>
                <w:szCs w:val="24"/>
              </w:rPr>
              <w:t/>
            </w:r>
            <w:proofErr w:type="spellEnd"/>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proofErr w:type="spellStart"/>
            <w:r w:rsidRPr="00B227EA">
              <w:rPr>
                <w:kern w:val="0"/>
                <w:sz w:val="24"/>
                <w:szCs w:val="24"/>
              </w:rPr>
              <w:t/>
            </w:r>
            <w:proofErr w:type="spellEnd"/>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t>合计</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proofErr w:type="spellStart"/>
            <w:r w:rsidRPr="00B227EA">
              <w:rPr>
                <w:kern w:val="0"/>
                <w:sz w:val="24"/>
                <w:szCs w:val="24"/>
              </w:rPr>
              <w:t/>
            </w:r>
            <w:proofErr w:type="spellEnd"/>
            <w:r w:rsidRPr="00B227EA">
              <w:rPr>
                <w:kern w:val="0"/>
                <w:sz w:val="24"/>
                <w:szCs w:val="24"/>
              </w:rPr>
              <w:t>10,000,000.00</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1.2519%</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proofErr w:type="spellStart"/>
            <w:r w:rsidRPr="00B227EA">
              <w:rPr>
                <w:kern w:val="0"/>
                <w:sz w:val="24"/>
                <w:szCs w:val="24"/>
              </w:rPr>
              <w:t/>
            </w:r>
            <w:proofErr w:type="spellEnd"/>
            <w:r w:rsidRPr="00B227EA">
              <w:rPr>
                <w:kern w:val="0"/>
                <w:sz w:val="24"/>
                <w:szCs w:val="24"/>
              </w:rPr>
              <w:t>10,000,000.00</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1.2519%</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r>
    </w:tbl>
    <w:p w:rsidP="004B7A92" w:rsidR="004B7A92" w:rsidRDefault="004B7A92" w:rsidRPr="004B7A92">
      <w:pPr>
        <w:pStyle w:val="1"/>
        <w:spacing w:after="312" w:afterLines="100" w:before="312" w:beforeLines="100" w:line="360" w:lineRule="auto"/>
        <w:jc w:val="center"/>
        <w:rPr>
          <w:rFonts w:ascii="宋体" w:hAnsi="宋体"/>
          <w:color w:val="000000"/>
          <w:kern w:val="0"/>
          <w:sz w:val="24"/>
          <w:szCs w:val="24"/>
        </w:rPr>
      </w:pPr>
      <w:r w:rsidRPr="004B7A92">
        <w:rPr>
          <w:rFonts w:ascii="宋体" w:hAnsi="宋体"/>
          <w:color w:val="000000"/>
          <w:kern w:val="0"/>
          <w:sz w:val="24"/>
          <w:szCs w:val="24"/>
        </w:rPr>
        <w:lastRenderedPageBreak/>
        <w:t/>
      </w:r>
      <w:proofErr w:type="spellStart"/>
      <w:r w:rsidRPr="004B7A92">
        <w:rPr>
          <w:rFonts w:ascii="宋体" w:hAnsi="宋体"/>
          <w:color w:val="000000"/>
          <w:kern w:val="0"/>
          <w:sz w:val="24"/>
          <w:szCs w:val="24"/>
        </w:rPr>
        <w:t/>
      </w:r>
      <w:proofErr w:type="spellEnd"/>
      <w:r w:rsidRPr="004B7A92">
        <w:rPr>
          <w:rFonts w:ascii="宋体" w:hAnsi="宋体"/>
          <w:color w:val="000000"/>
          <w:kern w:val="0"/>
          <w:sz w:val="24"/>
          <w:szCs w:val="24"/>
        </w:rPr>
        <w:t/>
      </w:r>
      <w:r w:rsidR="00013E6E" w:rsidRPr="00264E55">
        <w:rPr>
          <w:rFonts w:ascii="宋体" w:hAnsi="宋体" w:hint="eastAsia"/>
          <w:color w:val="000000"/>
          <w:kern w:val="0"/>
          <w:sz w:val="24"/>
          <w:szCs w:val="24"/>
        </w:rPr>
        <w:t>§</w:t>
      </w:r>
      <w:r w:rsidRPr="004B7A92">
        <w:rPr>
          <w:rFonts w:ascii="宋体" w:hAnsi="宋体"/>
          <w:color w:val="000000"/>
          <w:kern w:val="0"/>
          <w:sz w:val="24"/>
          <w:szCs w:val="24"/>
        </w:rPr>
        <w:t>9</w:t>
      </w:r>
      <w:r w:rsidR="0043199A" w:rsidRPr="00264E55">
        <w:rPr>
          <w:rFonts w:ascii="宋体" w:hAnsi="宋体"/>
          <w:color w:val="000000"/>
          <w:kern w:val="0"/>
          <w:sz w:val="24"/>
          <w:szCs w:val="24"/>
        </w:rPr>
        <w:t xml:space="preserve">  </w:t>
      </w:r>
      <w:r w:rsidRPr="004B7A92">
        <w:rPr>
          <w:rFonts w:ascii="宋体" w:hAnsi="宋体"/>
          <w:color w:val="000000"/>
          <w:kern w:val="0"/>
          <w:sz w:val="24"/>
          <w:szCs w:val="24"/>
        </w:rPr>
        <w:t>影响投资者决策的其他重要信息</w:t>
      </w:r>
    </w:p>
    <w:p w:rsidP="001F5F5D" w:rsidR="001F5F5D" w:rsidRDefault="001F5F5D" w:rsidRPr="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
      </w:r>
      <w:proofErr w:type="spellStart"/>
      <w:r w:rsidRPr="001F5F5D">
        <w:rPr>
          <w:rFonts w:ascii="宋体"/>
          <w:b/>
          <w:bCs/>
          <w:color w:val="000000"/>
          <w:kern w:val="0"/>
          <w:sz w:val="24"/>
          <w:szCs w:val="24"/>
        </w:rPr>
        <w:t/>
      </w:r>
      <w:proofErr w:type="spellEnd"/>
      <w:r w:rsidRPr="001F5F5D">
        <w:rPr>
          <w:rFonts w:ascii="宋体"/>
          <w:b/>
          <w:bCs/>
          <w:color w:val="000000"/>
          <w:kern w:val="0"/>
          <w:sz w:val="24"/>
          <w:szCs w:val="24"/>
        </w:rPr>
        <w:t>9.1 报告期内单一投资者持有基金份额比例达到或超过20%的情况</w:t>
      </w:r>
    </w:p>
    <w:tbl>
      <w:tblPr>
        <w:tblStyle w:val="af7"/>
        <w:tblW w:type="dxa" w:w="9640"/>
        <w:jc w:val="center"/>
        <w:tblLayout w:type="fixed"/>
        <w:tblLook w:firstColumn="1" w:firstRow="1" w:lastColumn="0" w:lastRow="0" w:noHBand="0" w:noVBand="1" w:val="04A0"/>
      </w:tblPr>
      <w:tblGrid>
        <w:gridCol w:w="1798"/>
        <w:gridCol w:w="709"/>
        <w:gridCol w:w="1985"/>
        <w:gridCol w:w="1134"/>
        <w:gridCol w:w="992"/>
        <w:gridCol w:w="1134"/>
        <w:gridCol w:w="1037"/>
        <w:gridCol w:w="851"/>
      </w:tblGrid>
      <w:tr w:rsidR="001F5F5D" w:rsidRPr="00FC0759" w:rsidTr="007125DB">
        <w:trPr>
          <w:jc w:val="center"/>
        </w:trPr>
        <w:tc>
          <w:tcPr>
            <w:tcW w:type="dxa" w:w="1798"/>
            <w:vMerge w:val="restart"/>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投资者类别</w:t>
            </w:r>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
        </w:tc>
        <w:tc>
          <w:tcPr>
            <w:tcW w:type="dxa" w:w="5954"/>
            <w:gridSpan w:val="5"/>
            <w:vAlign w:val="center"/>
          </w:tcPr>
          <w:p w:rsidP="00D9482C" w:rsidR="001F5F5D" w:rsidRDefault="001F5F5D" w:rsidRPr="00FC0759">
            <w:pPr>
              <w:autoSpaceDE w:val="0"/>
              <w:autoSpaceDN w:val="0"/>
              <w:adjustRightInd w:val="0"/>
              <w:ind w:firstLine="1126"/>
              <w:jc w:val="center"/>
              <w:rPr>
                <w:rFonts w:eastAsiaTheme="minorEastAsia"/>
                <w:b/>
                <w:bCs/>
                <w:color w:themeColor="text1" w:val="000000"/>
                <w:sz w:val="24"/>
                <w:szCs w:val="24"/>
              </w:rPr>
            </w:pPr>
            <w:r w:rsidRPr="00FC0759">
              <w:rPr>
                <w:color w:val="000000"/>
                <w:sz w:val="24"/>
                <w:szCs w:val="24"/>
              </w:rPr>
              <w:t>报告期内持有基金份额变化情况</w:t>
            </w:r>
          </w:p>
        </w:tc>
        <w:tc>
          <w:tcPr>
            <w:tcW w:type="dxa" w:w="1888"/>
            <w:gridSpan w:val="2"/>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报告期末持有基金情况</w:t>
            </w:r>
          </w:p>
        </w:tc>
      </w:tr>
      <w:tr w:rsidR="001F5F5D" w:rsidRPr="00FC0759" w:rsidTr="007125DB">
        <w:trPr>
          <w:jc w:val="center"/>
        </w:trPr>
        <w:tc>
          <w:tcPr>
            <w:tcW w:type="dxa" w:w="1798"/>
            <w:vMerge/>
            <w:vAlign w:val="center"/>
          </w:tcPr>
          <w:p w:rsidP="00D9482C" w:rsidR="001F5F5D" w:rsidRDefault="001F5F5D" w:rsidRPr="00FC0759">
            <w:pPr>
              <w:autoSpaceDE w:val="0"/>
              <w:autoSpaceDN w:val="0"/>
              <w:adjustRightInd w:val="0"/>
              <w:ind w:firstLine="1234"/>
              <w:jc w:val="center"/>
              <w:rPr>
                <w:rFonts w:eastAsiaTheme="minorEastAsia"/>
                <w:b/>
                <w:bCs/>
                <w:color w:themeColor="text1" w:val="000000"/>
                <w:sz w:val="24"/>
                <w:szCs w:val="24"/>
              </w:rPr>
            </w:pPr>
          </w:p>
        </w:tc>
        <w:tc>
          <w:tcPr>
            <w:tcW w:type="dxa" w:w="709"/>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序号</w:t>
            </w:r>
          </w:p>
        </w:tc>
        <w:tc>
          <w:tcPr>
            <w:tcW w:type="dxa" w:w="1985"/>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持有基金份额比例达到或者超过</w:t>
            </w:r>
            <w:r w:rsidRPr="00FC0759">
              <w:rPr>
                <w:color w:val="000000"/>
                <w:sz w:val="24"/>
                <w:szCs w:val="24"/>
              </w:rPr>
              <w:t>20%</w:t>
            </w:r>
            <w:r w:rsidRPr="00FC0759">
              <w:rPr>
                <w:color w:val="000000"/>
                <w:sz w:val="24"/>
                <w:szCs w:val="24"/>
              </w:rPr>
              <w:t>的时间区间</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期初份额</w:t>
            </w:r>
          </w:p>
        </w:tc>
        <w:tc>
          <w:tcPr>
            <w:tcW w:type="dxa" w:w="992"/>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申购份额</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赎回份额</w:t>
            </w:r>
          </w:p>
        </w:tc>
        <w:tc>
          <w:tcPr>
            <w:tcW w:type="dxa" w:w="1037"/>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持有份额</w:t>
            </w:r>
          </w:p>
        </w:tc>
        <w:tc>
          <w:tcPr>
            <w:tcW w:type="dxa" w:w="851"/>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份额占比</w:t>
            </w:r>
          </w:p>
        </w:tc>
      </w:tr>
      <w:tr>
        <w:tc>
          <w:tcPr>
            <w:vMerge w:val="restart"/>
            <w:vAlign w:val="center"/>
          </w:tcPr>
          <w:p>
            <w:r>
              <w:rPr>
                <w:rFonts w:eastAsiaTheme="minorEastAsia"/>
                <w:bCs/>
                <w:color w:themeColor="text1" w:val="000000"/>
                <w:sz w:val="24"/>
                <w:szCs w:val="24"/>
              </w:rPr>
              <w:t>机构</w:t>
            </w:r>
          </w:p>
        </w:tc>
        <w:tc>
          <w:tcPr>
            <w:vAlign w:val="center"/>
          </w:tcPr>
          <w:p>
            <w:pPr>
              <w:jc w:val="center"/>
            </w:pPr>
            <w:r>
              <w:rPr>
                <w:sz w:val="24"/>
                <w:szCs w:val="24"/>
              </w:rPr>
              <w:t>1</w:t>
            </w:r>
          </w:p>
        </w:tc>
        <w:tc>
          <w:tcPr>
            <w:vAlign w:val="center"/>
          </w:tcPr>
          <w:p>
            <w:pPr>
              <w:jc w:val="center"/>
            </w:pPr>
            <w:r>
              <w:rPr>
                <w:sz w:val="24"/>
                <w:szCs w:val="24"/>
              </w:rPr>
              <w:t>2020年04月01日~2020年06月30日</w:t>
            </w:r>
          </w:p>
        </w:tc>
        <w:tc>
          <w:tcPr>
            <w:vAlign w:val="center"/>
          </w:tcPr>
          <w:p>
            <w:pPr>
              <w:jc w:val="center"/>
            </w:pPr>
            <w:r>
              <w:rPr>
                <w:sz w:val="24"/>
                <w:szCs w:val="24"/>
              </w:rPr>
              <w:t>695,444,128.51</w:t>
            </w:r>
          </w:p>
        </w:tc>
        <w:tc>
          <w:tcPr>
            <w:vAlign w:val="center"/>
          </w:tcPr>
          <w:p>
            <w:pPr>
              <w:jc w:val="center"/>
            </w:pPr>
            <w:r>
              <w:rPr>
                <w:sz w:val="24"/>
                <w:szCs w:val="24"/>
              </w:rPr>
              <w:t>93,334,888.93</w:t>
            </w:r>
          </w:p>
        </w:tc>
        <w:tc>
          <w:tcPr>
            <w:vAlign w:val="center"/>
          </w:tcPr>
          <w:p>
            <w:pPr>
              <w:jc w:val="center"/>
            </w:pPr>
            <w:r>
              <w:rPr>
                <w:sz w:val="24"/>
                <w:szCs w:val="24"/>
              </w:rPr>
              <w:t>-</w:t>
            </w:r>
          </w:p>
        </w:tc>
        <w:tc>
          <w:tcPr>
            <w:vAlign w:val="center"/>
          </w:tcPr>
          <w:p>
            <w:pPr>
              <w:jc w:val="center"/>
            </w:pPr>
            <w:r>
              <w:rPr>
                <w:sz w:val="24"/>
                <w:szCs w:val="24"/>
              </w:rPr>
              <w:t>788,779,017.44</w:t>
            </w:r>
          </w:p>
        </w:tc>
        <w:tc>
          <w:tcPr>
            <w:vAlign w:val="center"/>
          </w:tcPr>
          <w:p>
            <w:pPr>
              <w:jc w:val="center"/>
            </w:pPr>
            <w:r>
              <w:rPr>
                <w:sz w:val="24"/>
                <w:szCs w:val="24"/>
              </w:rPr>
              <w:t>98.75%</w:t>
            </w:r>
          </w:p>
        </w:tc>
      </w:tr>
    </w:tbl>
    <w:tbl>
      <w:tblPr>
        <w:tblStyle w:val="af7"/>
        <w:tblW w:type="dxa" w:w="9637"/>
        <w:jc w:val="center"/>
        <w:tblLayout w:type="fixed"/>
        <w:tblLook w:firstColumn="1" w:firstRow="1" w:lastColumn="0" w:lastRow="0" w:noHBand="0" w:noVBand="1" w:val="04A0"/>
      </w:tblPr>
      <w:tblGrid>
        <w:gridCol w:w="9637"/>
      </w:tblGrid>
      <w:tr w:rsidR="001F5F5D" w:rsidRPr="00FC0759" w:rsidTr="00D9482C">
        <w:trPr>
          <w:jc w:val="center"/>
        </w:trPr>
        <w:tc>
          <w:tcPr>
            <w:tcW w:type="dxa" w:w="9637"/>
            <w:vAlign w:val="center"/>
          </w:tcPr>
          <w:p w:rsidP="003350A8" w:rsidR="001F5F5D" w:rsidRDefault="001F5F5D" w:rsidRPr="00FC0759">
            <w:pPr>
              <w:autoSpaceDE w:val="0"/>
              <w:autoSpaceDN w:val="0"/>
              <w:adjustRightInd w:val="0"/>
              <w:jc w:val="center"/>
              <w:rPr>
                <w:sz w:val="24"/>
                <w:szCs w:val="24"/>
              </w:rPr>
            </w:pPr>
            <w:r w:rsidRPr="00FC0759">
              <w:rPr>
                <w:color w:val="000000"/>
                <w:sz w:val="24"/>
                <w:szCs w:val="24"/>
              </w:rPr>
              <w:t>产品特有风险</w:t>
            </w:r>
            <w:r w:rsidRPr="00FC0759">
              <w:rPr>
                <w:sz w:val="24"/>
                <w:szCs w:val="24"/>
              </w:rPr>
              <w:t/>
            </w:r>
            <w:proofErr w:type="spellStart"/>
            <w:r w:rsidRPr="00FC0759">
              <w:rPr>
                <w:sz w:val="24"/>
                <w:szCs w:val="24"/>
              </w:rPr>
              <w:t/>
            </w:r>
            <w:proofErr w:type="spellEnd"/>
            <w:r w:rsidRPr="00FC0759">
              <w:rPr>
                <w:sz w:val="24"/>
                <w:szCs w:val="24"/>
              </w:rPr>
              <w:t/>
            </w:r>
          </w:p>
        </w:tc>
      </w:tr>
      <w:tr w:rsidR="001F5F5D" w:rsidRPr="00FC0759" w:rsidTr="00D9482C">
        <w:trPr>
          <w:jc w:val="center"/>
        </w:trPr>
        <w:tc>
          <w:tcPr>
            <w:tcW w:type="dxa" w:w="9637"/>
            <w:vAlign w:val="center"/>
          </w:tcPr>
          <w:p w:rsidP="00D9482C" w:rsidR="001F5F5D" w:rsidRDefault="001F5F5D" w:rsidRPr="00FC0759">
            <w:pPr>
              <w:autoSpaceDE w:val="0"/>
              <w:autoSpaceDN w:val="0"/>
              <w:adjustRightInd w:val="0"/>
              <w:jc w:val="left"/>
              <w:rPr>
                <w:sz w:val="24"/>
                <w:szCs w:val="24"/>
              </w:rPr>
            </w:pPr>
            <w:r w:rsidRPr="00FC0759">
              <w:rPr>
                <w:sz w:val="24"/>
                <w:szCs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本基金基金合同生效满三年后继续存续时，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p w:rsidP="001F5F5D" w:rsidR="001F5F5D" w:rsidRDefault="001F5F5D" w:rsidRPr="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
      </w:r>
      <w:proofErr w:type="spellStart"/>
      <w:r w:rsidRPr="001F5F5D">
        <w:rPr>
          <w:rFonts w:ascii="宋体"/>
          <w:b/>
          <w:bCs/>
          <w:color w:val="000000"/>
          <w:kern w:val="0"/>
          <w:sz w:val="24"/>
          <w:szCs w:val="24"/>
        </w:rPr>
        <w:t/>
      </w:r>
      <w:proofErr w:type="spellEnd"/>
      <w:r w:rsidRPr="001F5F5D">
        <w:rPr>
          <w:rFonts w:ascii="宋体"/>
          <w:b/>
          <w:bCs/>
          <w:color w:val="000000"/>
          <w:kern w:val="0"/>
          <w:sz w:val="24"/>
          <w:szCs w:val="24"/>
        </w:rPr>
        <w:t>9.2 影响投资者决策的其他重要信息</w:t>
      </w:r>
    </w:p>
    <w:p>
      <w:pPr>
        <w:spacing w:line="360" w:lineRule="auto"/>
        <w:ind w:firstLine="480" w:firstLineChars="200"/>
        <w:rPr>
          <w:color w:val="000000"/>
          <w:sz w:val="24"/>
          <w:szCs w:val="24"/>
        </w:rPr>
      </w:pPr>
      <w:r>
        <w:rPr>
          <w:rFonts w:eastAsiaTheme="minorEastAsia"/>
          <w:color w:themeColor="text1" w:val="000000"/>
          <w:sz w:val="24"/>
          <w:szCs w:val="24"/>
        </w:rPr>
        <w:t>1、定期开放运作的风险</w:t>
      </w:r>
    </w:p>
    <w:p>
      <w:pPr>
        <w:spacing w:line="360" w:lineRule="auto"/>
        <w:ind w:firstLine="480" w:firstLineChars="200"/>
        <w:rPr>
          <w:color w:val="000000"/>
          <w:sz w:val="24"/>
          <w:szCs w:val="24"/>
        </w:rPr>
      </w:pPr>
      <w:r>
        <w:rPr>
          <w:rFonts w:eastAsiaTheme="minorEastAsia"/>
          <w:color w:themeColor="text1" w:val="000000"/>
          <w:sz w:val="24"/>
          <w:szCs w:val="24"/>
        </w:rPr>
        <w:t>（1）本基金以定期开放方式运作且不上市交易，投资者仅可在开放运作期申赎基金份额，在封闭运作期内无法申购赎回。若投资者在开放运作期未赎回基金份额，则需继续持有至下一封闭运作期结束才能赎回，投资者在封闭运作期内存在无法赎回基金份额的风险。</w:t>
      </w:r>
    </w:p>
    <w:p>
      <w:pPr>
        <w:spacing w:line="360" w:lineRule="auto"/>
        <w:ind w:firstLine="480" w:firstLineChars="200"/>
        <w:rPr>
          <w:color w:val="000000"/>
          <w:sz w:val="24"/>
          <w:szCs w:val="24"/>
        </w:rPr>
      </w:pPr>
      <w:r>
        <w:rPr>
          <w:rFonts w:eastAsiaTheme="minorEastAsia"/>
          <w:color w:themeColor="text1" w:val="000000"/>
          <w:sz w:val="24"/>
          <w:szCs w:val="24"/>
        </w:rPr>
        <w:t>（2）基金合同生效后的首个运作期为封闭运作期，自基金合同生效日至基金管理人规定的时间，首个封闭运作期可能少于或者超过3个月，投资者应仔细阅读相关法律文件及公告，并及时行使相关权利。</w:t>
      </w:r>
    </w:p>
    <w:p>
      <w:pPr>
        <w:spacing w:line="360" w:lineRule="auto"/>
        <w:ind w:firstLine="480" w:firstLineChars="200"/>
        <w:rPr>
          <w:color w:val="000000"/>
          <w:sz w:val="24"/>
          <w:szCs w:val="24"/>
        </w:rPr>
      </w:pPr>
      <w:r>
        <w:rPr>
          <w:rFonts w:eastAsiaTheme="minorEastAsia"/>
          <w:color w:themeColor="text1" w:val="000000"/>
          <w:sz w:val="24"/>
          <w:szCs w:val="24"/>
        </w:rPr>
        <w:t>（3）除首个运作期封闭运作外，本基金的运作期包含“封闭运作期”和“开放运作期”，运作期期限3个月，基金管理人在每个封闭运作期结束前公布开放运作期和下一封闭运作期的具体时间安排，由于市场环境等因素的影响，本基金每次开放运作期和封闭运作期的时间及长度不完全一样，投资者应关注相关公告并及时行使权利，否则会面临无法申购/赎回基金份额的风险。</w:t>
      </w:r>
    </w:p>
    <w:p>
      <w:pPr>
        <w:spacing w:line="360" w:lineRule="auto"/>
        <w:ind w:firstLine="480" w:firstLineChars="200"/>
        <w:rPr>
          <w:color w:val="000000"/>
          <w:sz w:val="24"/>
          <w:szCs w:val="24"/>
        </w:rPr>
      </w:pPr>
      <w:r>
        <w:rPr>
          <w:rFonts w:eastAsiaTheme="minorEastAsia"/>
          <w:color w:themeColor="text1" w:val="000000"/>
          <w:sz w:val="24"/>
          <w:szCs w:val="24"/>
        </w:rPr>
        <w:t>2、单一投资者或者构成一致行动人的多个投资者持有基金份额可达到或者超过50%的风险</w:t>
      </w:r>
    </w:p>
    <w:p>
      <w:pPr>
        <w:spacing w:line="360" w:lineRule="auto"/>
        <w:ind w:firstLine="480" w:firstLineChars="200"/>
        <w:rPr>
          <w:color w:val="000000"/>
          <w:sz w:val="24"/>
          <w:szCs w:val="24"/>
        </w:rPr>
      </w:pPr>
      <w:r>
        <w:rPr>
          <w:rFonts w:eastAsiaTheme="minorEastAsia"/>
          <w:color w:themeColor="text1" w:val="000000"/>
          <w:sz w:val="24"/>
          <w:szCs w:val="24"/>
        </w:rPr>
        <w:t>（1）本基金单一投资者或者构成一致行动人的多个投资者持有基金份额可达到或者超过50%，单一投资者或者构成一致行动人的多个投资者大额赎回时，可能会对本基金资产运作及净值表现产生较大影响。</w:t>
      </w:r>
    </w:p>
    <w:p>
      <w:pPr>
        <w:spacing w:line="360" w:lineRule="auto"/>
        <w:ind w:firstLine="480" w:firstLineChars="200"/>
        <w:rPr>
          <w:color w:val="000000"/>
          <w:sz w:val="24"/>
          <w:szCs w:val="24"/>
        </w:rPr>
      </w:pPr>
      <w:r>
        <w:rPr>
          <w:rFonts w:eastAsiaTheme="minorEastAsia"/>
          <w:color w:themeColor="text1" w:val="000000"/>
          <w:sz w:val="24"/>
          <w:szCs w:val="24"/>
        </w:rPr>
        <w:t>（2）巨额赎回的风险</w:t>
      </w:r>
    </w:p>
    <w:p>
      <w:pPr>
        <w:spacing w:line="360" w:lineRule="auto"/>
        <w:ind w:firstLine="480" w:firstLineChars="200"/>
        <w:rPr>
          <w:color w:val="000000"/>
          <w:sz w:val="24"/>
          <w:szCs w:val="24"/>
        </w:rPr>
      </w:pPr>
      <w:r>
        <w:rPr>
          <w:rFonts w:eastAsiaTheme="minorEastAsia"/>
          <w:color w:themeColor="text1" w:val="000000"/>
          <w:sz w:val="24"/>
          <w:szCs w:val="24"/>
        </w:rPr>
        <w:t>相对于其他基金，本基金更可能因开放期内单一投资者或者构成一致行动人的多个投资者集中大额赎回发生巨额赎回。当发生巨额赎回时，基金管理人可能根据基金当时的资产组合状况决定延缓支付赎回款，投资者面临赎回款被延缓支付的风险。</w:t>
      </w:r>
    </w:p>
    <w:p>
      <w:pPr>
        <w:spacing w:line="360" w:lineRule="auto"/>
        <w:ind w:firstLine="480" w:firstLineChars="200"/>
        <w:rPr>
          <w:color w:val="000000"/>
          <w:sz w:val="24"/>
          <w:szCs w:val="24"/>
        </w:rPr>
      </w:pPr>
      <w:r>
        <w:rPr>
          <w:rFonts w:eastAsiaTheme="minorEastAsia"/>
          <w:color w:themeColor="text1" w:val="000000"/>
          <w:sz w:val="24"/>
          <w:szCs w:val="24"/>
        </w:rPr>
        <w:t>3、转换运作方式、与其他基金合并或者终止基金合同的风险</w:t>
      </w:r>
    </w:p>
    <w:p>
      <w:pPr>
        <w:spacing w:line="360" w:lineRule="auto"/>
        <w:ind w:firstLine="480" w:firstLineChars="200"/>
        <w:rPr>
          <w:color w:val="000000"/>
          <w:sz w:val="24"/>
          <w:szCs w:val="24"/>
        </w:rPr>
      </w:pPr>
      <w:r>
        <w:rPr>
          <w:rFonts w:eastAsiaTheme="minorEastAsia"/>
          <w:color w:themeColor="text1" w:val="000000"/>
          <w:sz w:val="24"/>
          <w:szCs w:val="24"/>
        </w:rPr>
        <w:t>（1）本基金的销售对象主要为机构投资者，不向个人投资者公开发售，基金持续营销及募集规模可能受到影响，若基金合同生效之日起三年后的对应日基金资产净值低于2亿元，基金合同自动终止且不得通过召开基金份额持有人大会延续，投资者将面临基金合同终止的风险。</w:t>
      </w:r>
    </w:p>
    <w:p w:rsidP="001F5F5D" w:rsidR="00750D48" w:rsidRDefault="001F5F5D" w:rsidRPr="004B7A92">
      <w:pPr>
        <w:spacing w:line="360" w:lineRule="auto"/>
        <w:ind w:firstLine="480" w:firstLineChars="200"/>
        <w:rPr>
          <w:color w:val="000000"/>
          <w:sz w:val="24"/>
          <w:szCs w:val="24"/>
        </w:rPr>
      </w:pPr>
      <w:r w:rsidRPr="00FC0759">
        <w:rPr>
          <w:rFonts w:eastAsiaTheme="minorEastAsia"/>
          <w:color w:themeColor="text1" w:val="000000"/>
          <w:sz w:val="24"/>
          <w:szCs w:val="24"/>
        </w:rPr>
        <w:t/>
      </w:r>
      <w:proofErr w:type="spellStart"/>
      <w:r w:rsidRPr="00FC0759">
        <w:rPr>
          <w:color w:themeColor="text1" w:val="000000"/>
          <w:sz w:val="24"/>
          <w:szCs w:val="24"/>
        </w:rPr>
        <w:t/>
      </w:r>
      <w:proofErr w:type="spellEnd"/>
      <w:r w:rsidRPr="00FC0759">
        <w:rPr>
          <w:rFonts w:eastAsiaTheme="minorEastAsia"/>
          <w:color w:themeColor="text1" w:val="000000"/>
          <w:sz w:val="24"/>
          <w:szCs w:val="24"/>
        </w:rPr>
        <w:t>（2）本基金基金合同生效满三年后继续存续的，若连续60个工作日出现基金份额持有人数量不满二百人或者基金资产净值低于5000万元情形，基金管理人应当向中国证监会报告并提出解决方案，如转换运作方式、与其他基金合并或者终止基金合同等，并召开基金份额持有人大会进行表决。投资者面临转换基金运作方式、与其他基金合并或终止基金合同的风险。</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10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10.1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1.中国证监会准予易方达恒惠定期开放债券型发起式证券投资基金注册的文件；</w:t>
      </w:r>
    </w:p>
    <w:p>
      <w:pPr>
        <w:spacing w:line="360" w:lineRule="auto"/>
        <w:ind w:firstLine="480" w:firstLineChars="200"/>
        <w:rPr>
          <w:color w:val="000000"/>
          <w:sz w:val="24"/>
          <w:szCs w:val="24"/>
        </w:rPr>
      </w:pPr>
      <w:r>
        <w:rPr>
          <w:color w:val="000000"/>
          <w:sz w:val="24"/>
          <w:szCs w:val="24"/>
        </w:rPr>
        <w:t>2.《易方达恒惠定期开放债券型发起式证券投资基金基金合同》；</w:t>
      </w:r>
    </w:p>
    <w:p>
      <w:pPr>
        <w:spacing w:line="360" w:lineRule="auto"/>
        <w:ind w:firstLine="480" w:firstLineChars="200"/>
        <w:rPr>
          <w:color w:val="000000"/>
          <w:sz w:val="24"/>
          <w:szCs w:val="24"/>
        </w:rPr>
      </w:pPr>
      <w:r>
        <w:rPr>
          <w:color w:val="000000"/>
          <w:sz w:val="24"/>
          <w:szCs w:val="24"/>
        </w:rPr>
        <w:t>3.《易方达恒惠定期开放债券型发起式证券投资基金托管协议》；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10.2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10.3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易方达恒惠定期开放债券型发起式证券投资基金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