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易方达鑫转添利混合型证券投资基金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中国工商银行股份有限公司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易方达鑫转添利混合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005955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2018年8月9日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71,771,745.34</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本基金通过积极主动的投资管理，在控制风险的前提下，力争实现基金资产的长期稳健增值。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综合考量各类资产的市场容量、市场流动性和风险收益特征等因素，在债券（含可转债）、股票、货币市场工具等类别资产间进行优化配置，确定各类资产的中长期配置比例，并结合市场环境动态调整各类资产的配置比例。在战略资产配置方面，本基金长期资产配置以债券（含可转债）、货币市场工具为主，股票等权益类资产为辅，且在一般情况下保持上述各类资产配置比例相对稳定。在战术资产配置方面，本基金将基于对市场的判断积极主动调整战略资产配置方案。总体而言，战术性组合调整不会改变本基金产品本身的风险收益特征，其目的在于尽可能规避或控制本基金所面临的各类风险并提高收益率。</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沪深300指数收益率×15%+中证可转换债券指数收益率×20%+中债新综合指数收益率×60%+金融机构人民币活期存款基准利率（税后）×5%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中国工商银行股份有限公司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易方达鑫转添利混合A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易方达鑫转添利混合C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005955</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005956</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44,723,890.29</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27,047,855.05</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易方达鑫转添利混合A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易方达鑫转添利混合C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2,787,484.11</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1,417,071.93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4,395,337.04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2,118,663.74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0.0742</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0.0751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66,827,809.68</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39,759,159.77</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1.4942</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1.4700</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易方达鑫转添利混合A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5.60%</w:t>
            </w:r>
          </w:p>
        </w:tc>
        <w:tc>
          <w:tcPr>
            <w:vAlign w:val="center"/>
          </w:tcPr>
          <w:p>
            <w:pPr>
              <w:jc w:val="center"/>
            </w:pPr>
            <w:r>
              <w:rPr>
                <w:color w:val="000000"/>
                <w:sz w:val="24"/>
              </w:rPr>
              <w:t>0.72%</w:t>
            </w:r>
          </w:p>
        </w:tc>
        <w:tc>
          <w:tcPr>
            <w:vAlign w:val="center"/>
          </w:tcPr>
          <w:p>
            <w:pPr>
              <w:jc w:val="center"/>
            </w:pPr>
            <w:r>
              <w:rPr>
                <w:color w:val="000000"/>
                <w:sz w:val="24"/>
              </w:rPr>
              <w:t>1.37%</w:t>
            </w:r>
          </w:p>
        </w:tc>
        <w:tc>
          <w:tcPr>
            <w:vAlign w:val="center"/>
          </w:tcPr>
          <w:p>
            <w:pPr>
              <w:jc w:val="center"/>
            </w:pPr>
            <w:r>
              <w:rPr>
                <w:color w:val="000000"/>
                <w:sz w:val="24"/>
              </w:rPr>
              <w:t>0.23%</w:t>
            </w:r>
          </w:p>
        </w:tc>
        <w:tc>
          <w:tcPr>
            <w:vAlign w:val="center"/>
          </w:tcPr>
          <w:p>
            <w:pPr>
              <w:jc w:val="center"/>
            </w:pPr>
            <w:r>
              <w:rPr>
                <w:color w:val="000000"/>
                <w:sz w:val="24"/>
              </w:rPr>
              <w:t>4.23%</w:t>
            </w:r>
          </w:p>
        </w:tc>
        <w:tc>
          <w:tcPr>
            <w:vAlign w:val="center"/>
          </w:tcPr>
          <w:p>
            <w:pPr>
              <w:jc w:val="center"/>
            </w:pPr>
            <w:r>
              <w:rPr>
                <w:color w:val="000000"/>
                <w:sz w:val="24"/>
              </w:rPr>
              <w:t>0.49%</w:t>
            </w:r>
          </w:p>
        </w:tc>
      </w:tr>
      <w:tr>
        <w:tc>
          <w:tcPr>
            <w:vAlign w:val="center"/>
          </w:tcPr>
          <w:p>
            <w:pPr>
              <w:jc w:val="left"/>
            </w:pPr>
            <w:r>
              <w:rPr>
                <w:color w:val="000000"/>
                <w:sz w:val="24"/>
              </w:rPr>
              <w:t>过去六个月</w:t>
            </w:r>
          </w:p>
        </w:tc>
        <w:tc>
          <w:tcPr>
            <w:vAlign w:val="center"/>
          </w:tcPr>
          <w:p>
            <w:pPr>
              <w:jc w:val="center"/>
            </w:pPr>
            <w:r>
              <w:rPr>
                <w:color w:val="000000"/>
                <w:sz w:val="24"/>
              </w:rPr>
              <w:t>11.77%</w:t>
            </w:r>
          </w:p>
        </w:tc>
        <w:tc>
          <w:tcPr>
            <w:vAlign w:val="center"/>
          </w:tcPr>
          <w:p>
            <w:pPr>
              <w:jc w:val="center"/>
            </w:pPr>
            <w:r>
              <w:rPr>
                <w:color w:val="000000"/>
                <w:sz w:val="24"/>
              </w:rPr>
              <w:t>1.13%</w:t>
            </w:r>
          </w:p>
        </w:tc>
        <w:tc>
          <w:tcPr>
            <w:vAlign w:val="center"/>
          </w:tcPr>
          <w:p>
            <w:pPr>
              <w:jc w:val="center"/>
            </w:pPr>
            <w:r>
              <w:rPr>
                <w:color w:val="000000"/>
                <w:sz w:val="24"/>
              </w:rPr>
              <w:t>1.48%</w:t>
            </w:r>
          </w:p>
        </w:tc>
        <w:tc>
          <w:tcPr>
            <w:vAlign w:val="center"/>
          </w:tcPr>
          <w:p>
            <w:pPr>
              <w:jc w:val="center"/>
            </w:pPr>
            <w:r>
              <w:rPr>
                <w:color w:val="000000"/>
                <w:sz w:val="24"/>
              </w:rPr>
              <w:t>0.34%</w:t>
            </w:r>
          </w:p>
        </w:tc>
        <w:tc>
          <w:tcPr>
            <w:vAlign w:val="center"/>
          </w:tcPr>
          <w:p>
            <w:pPr>
              <w:jc w:val="center"/>
            </w:pPr>
            <w:r>
              <w:rPr>
                <w:color w:val="000000"/>
                <w:sz w:val="24"/>
              </w:rPr>
              <w:t>10.29%</w:t>
            </w:r>
          </w:p>
        </w:tc>
        <w:tc>
          <w:tcPr>
            <w:vAlign w:val="center"/>
          </w:tcPr>
          <w:p>
            <w:pPr>
              <w:jc w:val="center"/>
            </w:pPr>
            <w:r>
              <w:rPr>
                <w:color w:val="000000"/>
                <w:sz w:val="24"/>
              </w:rPr>
              <w:t>0.79%</w:t>
            </w:r>
          </w:p>
        </w:tc>
      </w:tr>
      <w:tr>
        <w:tc>
          <w:tcPr>
            <w:vAlign w:val="center"/>
          </w:tcPr>
          <w:p>
            <w:pPr>
              <w:jc w:val="left"/>
            </w:pPr>
            <w:r>
              <w:rPr>
                <w:color w:val="000000"/>
                <w:sz w:val="24"/>
              </w:rPr>
              <w:t>过去一年</w:t>
            </w:r>
          </w:p>
        </w:tc>
        <w:tc>
          <w:tcPr>
            <w:vAlign w:val="center"/>
          </w:tcPr>
          <w:p>
            <w:pPr>
              <w:jc w:val="center"/>
            </w:pPr>
            <w:r>
              <w:rPr>
                <w:color w:val="000000"/>
                <w:sz w:val="24"/>
              </w:rPr>
              <w:t>35.75%</w:t>
            </w:r>
          </w:p>
        </w:tc>
        <w:tc>
          <w:tcPr>
            <w:vAlign w:val="center"/>
          </w:tcPr>
          <w:p>
            <w:pPr>
              <w:jc w:val="center"/>
            </w:pPr>
            <w:r>
              <w:rPr>
                <w:color w:val="000000"/>
                <w:sz w:val="24"/>
              </w:rPr>
              <w:t>0.91%</w:t>
            </w:r>
          </w:p>
        </w:tc>
        <w:tc>
          <w:tcPr>
            <w:vAlign w:val="center"/>
          </w:tcPr>
          <w:p>
            <w:pPr>
              <w:jc w:val="center"/>
            </w:pPr>
            <w:r>
              <w:rPr>
                <w:color w:val="000000"/>
                <w:sz w:val="24"/>
              </w:rPr>
              <w:t>6.36%</w:t>
            </w:r>
          </w:p>
        </w:tc>
        <w:tc>
          <w:tcPr>
            <w:vAlign w:val="center"/>
          </w:tcPr>
          <w:p>
            <w:pPr>
              <w:jc w:val="center"/>
            </w:pPr>
            <w:r>
              <w:rPr>
                <w:color w:val="000000"/>
                <w:sz w:val="24"/>
              </w:rPr>
              <w:t>0.28%</w:t>
            </w:r>
          </w:p>
        </w:tc>
        <w:tc>
          <w:tcPr>
            <w:vAlign w:val="center"/>
          </w:tcPr>
          <w:p>
            <w:pPr>
              <w:jc w:val="center"/>
            </w:pPr>
            <w:r>
              <w:rPr>
                <w:color w:val="000000"/>
                <w:sz w:val="24"/>
              </w:rPr>
              <w:t>29.39%</w:t>
            </w:r>
          </w:p>
        </w:tc>
        <w:tc>
          <w:tcPr>
            <w:vAlign w:val="center"/>
          </w:tcPr>
          <w:p>
            <w:pPr>
              <w:jc w:val="center"/>
            </w:pPr>
            <w:r>
              <w:rPr>
                <w:color w:val="000000"/>
                <w:sz w:val="24"/>
              </w:rPr>
              <w:t>0.63%</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49.42%</w:t>
            </w:r>
          </w:p>
        </w:tc>
        <w:tc>
          <w:tcPr>
            <w:vAlign w:val="center"/>
          </w:tcPr>
          <w:p>
            <w:pPr>
              <w:jc w:val="center"/>
            </w:pPr>
            <w:r>
              <w:rPr>
                <w:color w:val="000000"/>
                <w:sz w:val="24"/>
              </w:rPr>
              <w:t>0.77%</w:t>
            </w:r>
          </w:p>
        </w:tc>
        <w:tc>
          <w:tcPr>
            <w:vAlign w:val="center"/>
          </w:tcPr>
          <w:p>
            <w:pPr>
              <w:jc w:val="center"/>
            </w:pPr>
            <w:r>
              <w:rPr>
                <w:color w:val="000000"/>
                <w:sz w:val="24"/>
              </w:rPr>
              <w:t>14.59%</w:t>
            </w:r>
          </w:p>
        </w:tc>
        <w:tc>
          <w:tcPr>
            <w:vAlign w:val="center"/>
          </w:tcPr>
          <w:p>
            <w:pPr>
              <w:jc w:val="center"/>
            </w:pPr>
            <w:r>
              <w:rPr>
                <w:color w:val="000000"/>
                <w:sz w:val="24"/>
              </w:rPr>
              <w:t>0.32%</w:t>
            </w:r>
          </w:p>
        </w:tc>
        <w:tc>
          <w:tcPr>
            <w:vAlign w:val="center"/>
          </w:tcPr>
          <w:p>
            <w:pPr>
              <w:jc w:val="center"/>
            </w:pPr>
            <w:r>
              <w:rPr>
                <w:color w:val="000000"/>
                <w:sz w:val="24"/>
              </w:rPr>
              <w:t>34.83%</w:t>
            </w:r>
          </w:p>
        </w:tc>
        <w:tc>
          <w:tcPr>
            <w:vAlign w:val="center"/>
          </w:tcPr>
          <w:p>
            <w:pPr>
              <w:jc w:val="center"/>
            </w:pPr>
            <w:r>
              <w:rPr>
                <w:color w:val="000000"/>
                <w:sz w:val="24"/>
              </w:rPr>
              <w:t>0.45%</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易方达鑫转添利混合C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5.44%</w:t>
            </w:r>
          </w:p>
        </w:tc>
        <w:tc>
          <w:tcPr>
            <w:vAlign w:val="center"/>
          </w:tcPr>
          <w:p>
            <w:pPr>
              <w:jc w:val="center"/>
            </w:pPr>
            <w:r>
              <w:rPr>
                <w:color w:val="000000"/>
                <w:sz w:val="24"/>
              </w:rPr>
              <w:t>0.72%</w:t>
            </w:r>
          </w:p>
        </w:tc>
        <w:tc>
          <w:tcPr>
            <w:vAlign w:val="center"/>
          </w:tcPr>
          <w:p>
            <w:pPr>
              <w:jc w:val="center"/>
            </w:pPr>
            <w:r>
              <w:rPr>
                <w:color w:val="000000"/>
                <w:sz w:val="24"/>
              </w:rPr>
              <w:t>1.37%</w:t>
            </w:r>
          </w:p>
        </w:tc>
        <w:tc>
          <w:tcPr>
            <w:vAlign w:val="center"/>
          </w:tcPr>
          <w:p>
            <w:pPr>
              <w:jc w:val="center"/>
            </w:pPr>
            <w:r>
              <w:rPr>
                <w:color w:val="000000"/>
                <w:sz w:val="24"/>
              </w:rPr>
              <w:t>0.23%</w:t>
            </w:r>
          </w:p>
        </w:tc>
        <w:tc>
          <w:tcPr>
            <w:vAlign w:val="center"/>
          </w:tcPr>
          <w:p>
            <w:pPr>
              <w:jc w:val="center"/>
            </w:pPr>
            <w:r>
              <w:rPr>
                <w:color w:val="000000"/>
                <w:sz w:val="24"/>
              </w:rPr>
              <w:t>4.07%</w:t>
            </w:r>
          </w:p>
        </w:tc>
        <w:tc>
          <w:tcPr>
            <w:vAlign w:val="center"/>
          </w:tcPr>
          <w:p>
            <w:pPr>
              <w:jc w:val="center"/>
            </w:pPr>
            <w:r>
              <w:rPr>
                <w:color w:val="000000"/>
                <w:sz w:val="24"/>
              </w:rPr>
              <w:t>0.49%</w:t>
            </w:r>
          </w:p>
        </w:tc>
      </w:tr>
      <w:tr>
        <w:tc>
          <w:tcPr>
            <w:vAlign w:val="center"/>
          </w:tcPr>
          <w:p>
            <w:pPr>
              <w:jc w:val="left"/>
            </w:pPr>
            <w:r>
              <w:rPr>
                <w:color w:val="000000"/>
                <w:sz w:val="24"/>
              </w:rPr>
              <w:t>过去六个月</w:t>
            </w:r>
          </w:p>
        </w:tc>
        <w:tc>
          <w:tcPr>
            <w:vAlign w:val="center"/>
          </w:tcPr>
          <w:p>
            <w:pPr>
              <w:jc w:val="center"/>
            </w:pPr>
            <w:r>
              <w:rPr>
                <w:color w:val="000000"/>
                <w:sz w:val="24"/>
              </w:rPr>
              <w:t>11.45%</w:t>
            </w:r>
          </w:p>
        </w:tc>
        <w:tc>
          <w:tcPr>
            <w:vAlign w:val="center"/>
          </w:tcPr>
          <w:p>
            <w:pPr>
              <w:jc w:val="center"/>
            </w:pPr>
            <w:r>
              <w:rPr>
                <w:color w:val="000000"/>
                <w:sz w:val="24"/>
              </w:rPr>
              <w:t>1.13%</w:t>
            </w:r>
          </w:p>
        </w:tc>
        <w:tc>
          <w:tcPr>
            <w:vAlign w:val="center"/>
          </w:tcPr>
          <w:p>
            <w:pPr>
              <w:jc w:val="center"/>
            </w:pPr>
            <w:r>
              <w:rPr>
                <w:color w:val="000000"/>
                <w:sz w:val="24"/>
              </w:rPr>
              <w:t>1.48%</w:t>
            </w:r>
          </w:p>
        </w:tc>
        <w:tc>
          <w:tcPr>
            <w:vAlign w:val="center"/>
          </w:tcPr>
          <w:p>
            <w:pPr>
              <w:jc w:val="center"/>
            </w:pPr>
            <w:r>
              <w:rPr>
                <w:color w:val="000000"/>
                <w:sz w:val="24"/>
              </w:rPr>
              <w:t>0.34%</w:t>
            </w:r>
          </w:p>
        </w:tc>
        <w:tc>
          <w:tcPr>
            <w:vAlign w:val="center"/>
          </w:tcPr>
          <w:p>
            <w:pPr>
              <w:jc w:val="center"/>
            </w:pPr>
            <w:r>
              <w:rPr>
                <w:color w:val="000000"/>
                <w:sz w:val="24"/>
              </w:rPr>
              <w:t>9.97%</w:t>
            </w:r>
          </w:p>
        </w:tc>
        <w:tc>
          <w:tcPr>
            <w:vAlign w:val="center"/>
          </w:tcPr>
          <w:p>
            <w:pPr>
              <w:jc w:val="center"/>
            </w:pPr>
            <w:r>
              <w:rPr>
                <w:color w:val="000000"/>
                <w:sz w:val="24"/>
              </w:rPr>
              <w:t>0.79%</w:t>
            </w:r>
          </w:p>
        </w:tc>
      </w:tr>
      <w:tr>
        <w:tc>
          <w:tcPr>
            <w:vAlign w:val="center"/>
          </w:tcPr>
          <w:p>
            <w:pPr>
              <w:jc w:val="left"/>
            </w:pPr>
            <w:r>
              <w:rPr>
                <w:color w:val="000000"/>
                <w:sz w:val="24"/>
              </w:rPr>
              <w:t>过去一年</w:t>
            </w:r>
          </w:p>
        </w:tc>
        <w:tc>
          <w:tcPr>
            <w:vAlign w:val="center"/>
          </w:tcPr>
          <w:p>
            <w:pPr>
              <w:jc w:val="center"/>
            </w:pPr>
            <w:r>
              <w:rPr>
                <w:color w:val="000000"/>
                <w:sz w:val="24"/>
              </w:rPr>
              <w:t>34.79%</w:t>
            </w:r>
          </w:p>
        </w:tc>
        <w:tc>
          <w:tcPr>
            <w:vAlign w:val="center"/>
          </w:tcPr>
          <w:p>
            <w:pPr>
              <w:jc w:val="center"/>
            </w:pPr>
            <w:r>
              <w:rPr>
                <w:color w:val="000000"/>
                <w:sz w:val="24"/>
              </w:rPr>
              <w:t>0.91%</w:t>
            </w:r>
          </w:p>
        </w:tc>
        <w:tc>
          <w:tcPr>
            <w:vAlign w:val="center"/>
          </w:tcPr>
          <w:p>
            <w:pPr>
              <w:jc w:val="center"/>
            </w:pPr>
            <w:r>
              <w:rPr>
                <w:color w:val="000000"/>
                <w:sz w:val="24"/>
              </w:rPr>
              <w:t>6.36%</w:t>
            </w:r>
          </w:p>
        </w:tc>
        <w:tc>
          <w:tcPr>
            <w:vAlign w:val="center"/>
          </w:tcPr>
          <w:p>
            <w:pPr>
              <w:jc w:val="center"/>
            </w:pPr>
            <w:r>
              <w:rPr>
                <w:color w:val="000000"/>
                <w:sz w:val="24"/>
              </w:rPr>
              <w:t>0.28%</w:t>
            </w:r>
          </w:p>
        </w:tc>
        <w:tc>
          <w:tcPr>
            <w:vAlign w:val="center"/>
          </w:tcPr>
          <w:p>
            <w:pPr>
              <w:jc w:val="center"/>
            </w:pPr>
            <w:r>
              <w:rPr>
                <w:color w:val="000000"/>
                <w:sz w:val="24"/>
              </w:rPr>
              <w:t>28.43%</w:t>
            </w:r>
          </w:p>
        </w:tc>
        <w:tc>
          <w:tcPr>
            <w:vAlign w:val="center"/>
          </w:tcPr>
          <w:p>
            <w:pPr>
              <w:jc w:val="center"/>
            </w:pPr>
            <w:r>
              <w:rPr>
                <w:color w:val="000000"/>
                <w:sz w:val="24"/>
              </w:rPr>
              <w:t>0.63%</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47.00%</w:t>
            </w:r>
          </w:p>
        </w:tc>
        <w:tc>
          <w:tcPr>
            <w:vAlign w:val="center"/>
          </w:tcPr>
          <w:p>
            <w:pPr>
              <w:jc w:val="center"/>
            </w:pPr>
            <w:r>
              <w:rPr>
                <w:color w:val="000000"/>
                <w:sz w:val="24"/>
              </w:rPr>
              <w:t>0.78%</w:t>
            </w:r>
          </w:p>
        </w:tc>
        <w:tc>
          <w:tcPr>
            <w:vAlign w:val="center"/>
          </w:tcPr>
          <w:p>
            <w:pPr>
              <w:jc w:val="center"/>
            </w:pPr>
            <w:r>
              <w:rPr>
                <w:color w:val="000000"/>
                <w:sz w:val="24"/>
              </w:rPr>
              <w:t>14.59%</w:t>
            </w:r>
          </w:p>
        </w:tc>
        <w:tc>
          <w:tcPr>
            <w:vAlign w:val="center"/>
          </w:tcPr>
          <w:p>
            <w:pPr>
              <w:jc w:val="center"/>
            </w:pPr>
            <w:r>
              <w:rPr>
                <w:color w:val="000000"/>
                <w:sz w:val="24"/>
              </w:rPr>
              <w:t>0.32%</w:t>
            </w:r>
          </w:p>
        </w:tc>
        <w:tc>
          <w:tcPr>
            <w:vAlign w:val="center"/>
          </w:tcPr>
          <w:p>
            <w:pPr>
              <w:jc w:val="center"/>
            </w:pPr>
            <w:r>
              <w:rPr>
                <w:color w:val="000000"/>
                <w:sz w:val="24"/>
              </w:rPr>
              <w:t>32.41%</w:t>
            </w:r>
          </w:p>
        </w:tc>
        <w:tc>
          <w:tcPr>
            <w:vAlign w:val="center"/>
          </w:tcPr>
          <w:p>
            <w:pPr>
              <w:jc w:val="center"/>
            </w:pPr>
            <w:r>
              <w:rPr>
                <w:color w:val="000000"/>
                <w:sz w:val="24"/>
              </w:rPr>
              <w:t>0.46%</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易方达鑫转添利混合型证券投资基金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（2018年8月9日至2020年6月30日）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易方达鑫转添利混合A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易方达鑫转添利混合C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注：自基金合同生效至报告期末，A类基金份额净值增长率为49.42%，C类基金份额净值增长率为47.00%，同期业绩比较基准收益率为14.59%。</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瑞景灵活配置混合型证券投资基金的基金经理、易方达新享灵活配置混合型证券投资基金的基金经理、易方达新鑫灵活配置混合型证券投资基金的基金经理、易方达新利灵活配置混合型证券投资基金的基金经理、易方达瑞祥灵活配置混合型证券投资基金的基金经理、易方达瑞兴灵活配置混合型证券投资基金的基金经理、易方达瑞智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瑞信灵活配置混合型证券投资基金的基金经理、易方达鑫转招利混合型证券投资基金的基金经理、易方达瑞和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2020-03-07</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pPr>
        <w:spacing w:line="360" w:lineRule="auto"/>
        <w:ind w:firstLine="480" w:firstLineChars="200"/>
        <w:rPr>
          <w:color w:val="000000"/>
          <w:sz w:val="24"/>
        </w:rPr>
      </w:pPr>
      <w:r>
        <w:rPr>
          <w:color w:val="000000"/>
          <w:sz w:val="24"/>
        </w:rPr>
        <w:t>转债市场二季度整体表现较差，主要受制于前期高企的估值和债券市场调整，转债估值出现显著压缩，表现弱于正股，且由于转债个券中金融周期品种较多，科技、消费、医药标的较少，风格方面亦相对弱势。</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该基金深度参与转债市场，转债仓位维持高位，自下而上精选个券，对优质个券进行重点持仓。行业层面，相对转债指数低配金融，高配有相对较好景气度、以及受益政策微刺激的行业，高配估值合理、弹性较好的转债。纯债仓位较低，主要提供流动性。股票仓位维持相对较高水平，集中持仓优质白马，换仓部分优质医药、光伏个股。</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1.4942元，本报告期份额净值增长率为5.60%，同期业绩比较基准收益率为1.37%；C类基金份额净值为1.4700元，本报告期份额净值增长率为5.44%，同期业绩比较基准收益率为1.37%。</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32,620,173.18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24.08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32,620,173.18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24.08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95,898,912.48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70.80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95,898,912.48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70.80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5,875,335.77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4.34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1,050,454.42</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0.78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135,444,875.85</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1,741,868.00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1.63</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18,882,829.17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17.72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12,766.32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1,728,171.00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1.62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5,593,327.12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5.25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2,528,457.57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2.37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2,132,754.00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2.00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32,620,173.18</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30.60</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906,536</w:t>
            </w:r>
          </w:p>
        </w:tc>
        <w:tc>
          <w:tcPr>
            <w:vAlign w:val="center"/>
          </w:tcPr>
          <w:p>
            <w:pPr>
              <w:jc w:val="right"/>
            </w:pPr>
            <w:r>
              <w:rPr>
                <w:color w:val="000000"/>
                <w:sz w:val="24"/>
              </w:rPr>
              <w:t>5,593,327.12</w:t>
            </w:r>
          </w:p>
        </w:tc>
        <w:tc>
          <w:tcPr>
            <w:vAlign w:val="center"/>
          </w:tcPr>
          <w:p>
            <w:pPr>
              <w:jc w:val="right"/>
            </w:pPr>
            <w:r>
              <w:rPr>
                <w:color w:val="000000"/>
                <w:sz w:val="24"/>
              </w:rPr>
              <w:t>5.25</w:t>
            </w:r>
          </w:p>
        </w:tc>
      </w:tr>
      <w:tr>
        <w:tc>
          <w:tcPr>
            <w:vAlign w:val="center"/>
          </w:tcPr>
          <w:p>
            <w:pPr>
              <w:jc w:val="center"/>
            </w:pPr>
            <w:r>
              <w:rPr>
                <w:color w:val="000000"/>
                <w:sz w:val="24"/>
              </w:rPr>
              <w:t>2</w:t>
            </w:r>
          </w:p>
        </w:tc>
        <w:tc>
          <w:tcPr>
            <w:vAlign w:val="center"/>
          </w:tcPr>
          <w:p>
            <w:pPr>
              <w:jc w:val="center"/>
            </w:pPr>
            <w:r>
              <w:rPr>
                <w:color w:val="000000"/>
                <w:sz w:val="24"/>
              </w:rPr>
              <w:t>603806</w:t>
            </w:r>
          </w:p>
        </w:tc>
        <w:tc>
          <w:tcPr>
            <w:vAlign w:val="center"/>
          </w:tcPr>
          <w:p>
            <w:pPr>
              <w:jc w:val="center"/>
            </w:pPr>
            <w:r>
              <w:rPr>
                <w:color w:val="000000"/>
                <w:sz w:val="24"/>
              </w:rPr>
              <w:t>福斯特</w:t>
            </w:r>
          </w:p>
        </w:tc>
        <w:tc>
          <w:tcPr>
            <w:vAlign w:val="center"/>
          </w:tcPr>
          <w:p>
            <w:pPr>
              <w:jc w:val="right"/>
            </w:pPr>
            <w:r>
              <w:rPr>
                <w:color w:val="000000"/>
                <w:sz w:val="24"/>
              </w:rPr>
              <w:t>82,956</w:t>
            </w:r>
          </w:p>
        </w:tc>
        <w:tc>
          <w:tcPr>
            <w:vAlign w:val="center"/>
          </w:tcPr>
          <w:p>
            <w:pPr>
              <w:jc w:val="right"/>
            </w:pPr>
            <w:r>
              <w:rPr>
                <w:color w:val="000000"/>
                <w:sz w:val="24"/>
              </w:rPr>
              <w:t>4,140,333.96</w:t>
            </w:r>
          </w:p>
        </w:tc>
        <w:tc>
          <w:tcPr>
            <w:vAlign w:val="center"/>
          </w:tcPr>
          <w:p>
            <w:pPr>
              <w:jc w:val="right"/>
            </w:pPr>
            <w:r>
              <w:rPr>
                <w:color w:val="000000"/>
                <w:sz w:val="24"/>
              </w:rPr>
              <w:t>3.88</w:t>
            </w:r>
          </w:p>
        </w:tc>
      </w:tr>
      <w:tr>
        <w:tc>
          <w:tcPr>
            <w:vAlign w:val="center"/>
          </w:tcPr>
          <w:p>
            <w:pPr>
              <w:jc w:val="center"/>
            </w:pPr>
            <w:r>
              <w:rPr>
                <w:color w:val="000000"/>
                <w:sz w:val="24"/>
              </w:rPr>
              <w:t>3</w:t>
            </w:r>
          </w:p>
        </w:tc>
        <w:tc>
          <w:tcPr>
            <w:vAlign w:val="center"/>
          </w:tcPr>
          <w:p>
            <w:pPr>
              <w:jc w:val="center"/>
            </w:pPr>
            <w:r>
              <w:rPr>
                <w:color w:val="000000"/>
                <w:sz w:val="24"/>
              </w:rPr>
              <w:t>300628</w:t>
            </w:r>
          </w:p>
        </w:tc>
        <w:tc>
          <w:tcPr>
            <w:vAlign w:val="center"/>
          </w:tcPr>
          <w:p>
            <w:pPr>
              <w:jc w:val="center"/>
            </w:pPr>
            <w:r>
              <w:rPr>
                <w:color w:val="000000"/>
                <w:sz w:val="24"/>
              </w:rPr>
              <w:t>亿联网络</w:t>
            </w:r>
          </w:p>
        </w:tc>
        <w:tc>
          <w:tcPr>
            <w:vAlign w:val="center"/>
          </w:tcPr>
          <w:p>
            <w:pPr>
              <w:jc w:val="right"/>
            </w:pPr>
            <w:r>
              <w:rPr>
                <w:color w:val="000000"/>
                <w:sz w:val="24"/>
              </w:rPr>
              <w:t>57,900</w:t>
            </w:r>
          </w:p>
        </w:tc>
        <w:tc>
          <w:tcPr>
            <w:vAlign w:val="center"/>
          </w:tcPr>
          <w:p>
            <w:pPr>
              <w:jc w:val="right"/>
            </w:pPr>
            <w:r>
              <w:rPr>
                <w:color w:val="000000"/>
                <w:sz w:val="24"/>
              </w:rPr>
              <w:t>3,952,254.00</w:t>
            </w:r>
          </w:p>
        </w:tc>
        <w:tc>
          <w:tcPr>
            <w:vAlign w:val="center"/>
          </w:tcPr>
          <w:p>
            <w:pPr>
              <w:jc w:val="right"/>
            </w:pPr>
            <w:r>
              <w:rPr>
                <w:color w:val="000000"/>
                <w:sz w:val="24"/>
              </w:rPr>
              <w:t>3.71</w:t>
            </w:r>
          </w:p>
        </w:tc>
      </w:tr>
      <w:tr>
        <w:tc>
          <w:tcPr>
            <w:vAlign w:val="center"/>
          </w:tcPr>
          <w:p>
            <w:pPr>
              <w:jc w:val="center"/>
            </w:pPr>
            <w:r>
              <w:rPr>
                <w:color w:val="000000"/>
                <w:sz w:val="24"/>
              </w:rPr>
              <w:t>4</w:t>
            </w:r>
          </w:p>
        </w:tc>
        <w:tc>
          <w:tcPr>
            <w:vAlign w:val="center"/>
          </w:tcPr>
          <w:p>
            <w:pPr>
              <w:jc w:val="center"/>
            </w:pPr>
            <w:r>
              <w:rPr>
                <w:color w:val="000000"/>
                <w:sz w:val="24"/>
              </w:rPr>
              <w:t>000651</w:t>
            </w:r>
          </w:p>
        </w:tc>
        <w:tc>
          <w:tcPr>
            <w:vAlign w:val="center"/>
          </w:tcPr>
          <w:p>
            <w:pPr>
              <w:jc w:val="center"/>
            </w:pPr>
            <w:r>
              <w:rPr>
                <w:color w:val="000000"/>
                <w:sz w:val="24"/>
              </w:rPr>
              <w:t>格力电器</w:t>
            </w:r>
          </w:p>
        </w:tc>
        <w:tc>
          <w:tcPr>
            <w:vAlign w:val="center"/>
          </w:tcPr>
          <w:p>
            <w:pPr>
              <w:jc w:val="right"/>
            </w:pPr>
            <w:r>
              <w:rPr>
                <w:color w:val="000000"/>
                <w:sz w:val="24"/>
              </w:rPr>
              <w:t>47,500</w:t>
            </w:r>
          </w:p>
        </w:tc>
        <w:tc>
          <w:tcPr>
            <w:vAlign w:val="center"/>
          </w:tcPr>
          <w:p>
            <w:pPr>
              <w:jc w:val="right"/>
            </w:pPr>
            <w:r>
              <w:rPr>
                <w:color w:val="000000"/>
                <w:sz w:val="24"/>
              </w:rPr>
              <w:t>2,687,075.00</w:t>
            </w:r>
          </w:p>
        </w:tc>
        <w:tc>
          <w:tcPr>
            <w:vAlign w:val="center"/>
          </w:tcPr>
          <w:p>
            <w:pPr>
              <w:jc w:val="right"/>
            </w:pPr>
            <w:r>
              <w:rPr>
                <w:color w:val="000000"/>
                <w:sz w:val="24"/>
              </w:rPr>
              <w:t>2.52</w:t>
            </w:r>
          </w:p>
        </w:tc>
      </w:tr>
      <w:tr>
        <w:tc>
          <w:tcPr>
            <w:vAlign w:val="center"/>
          </w:tcPr>
          <w:p>
            <w:pPr>
              <w:jc w:val="center"/>
            </w:pPr>
            <w:r>
              <w:rPr>
                <w:color w:val="000000"/>
                <w:sz w:val="24"/>
              </w:rPr>
              <w:t>5</w:t>
            </w:r>
          </w:p>
        </w:tc>
        <w:tc>
          <w:tcPr>
            <w:vAlign w:val="center"/>
          </w:tcPr>
          <w:p>
            <w:pPr>
              <w:jc w:val="center"/>
            </w:pPr>
            <w:r>
              <w:rPr>
                <w:color w:val="000000"/>
                <w:sz w:val="24"/>
              </w:rPr>
              <w:t>603232</w:t>
            </w:r>
          </w:p>
        </w:tc>
        <w:tc>
          <w:tcPr>
            <w:vAlign w:val="center"/>
          </w:tcPr>
          <w:p>
            <w:pPr>
              <w:jc w:val="center"/>
            </w:pPr>
            <w:r>
              <w:rPr>
                <w:color w:val="000000"/>
                <w:sz w:val="24"/>
              </w:rPr>
              <w:t>格尔软件</w:t>
            </w:r>
          </w:p>
        </w:tc>
        <w:tc>
          <w:tcPr>
            <w:vAlign w:val="center"/>
          </w:tcPr>
          <w:p>
            <w:pPr>
              <w:jc w:val="right"/>
            </w:pPr>
            <w:r>
              <w:rPr>
                <w:color w:val="000000"/>
                <w:sz w:val="24"/>
              </w:rPr>
              <w:t>81,700</w:t>
            </w:r>
          </w:p>
        </w:tc>
        <w:tc>
          <w:tcPr>
            <w:vAlign w:val="center"/>
          </w:tcPr>
          <w:p>
            <w:pPr>
              <w:jc w:val="right"/>
            </w:pPr>
            <w:r>
              <w:rPr>
                <w:color w:val="000000"/>
                <w:sz w:val="24"/>
              </w:rPr>
              <w:t>2,516,360.00</w:t>
            </w:r>
          </w:p>
        </w:tc>
        <w:tc>
          <w:tcPr>
            <w:vAlign w:val="center"/>
          </w:tcPr>
          <w:p>
            <w:pPr>
              <w:jc w:val="right"/>
            </w:pPr>
            <w:r>
              <w:rPr>
                <w:color w:val="000000"/>
                <w:sz w:val="24"/>
              </w:rPr>
              <w:t>2.36</w:t>
            </w:r>
          </w:p>
        </w:tc>
      </w:tr>
      <w:tr>
        <w:tc>
          <w:tcPr>
            <w:vAlign w:val="center"/>
          </w:tcPr>
          <w:p>
            <w:pPr>
              <w:jc w:val="center"/>
            </w:pPr>
            <w:r>
              <w:rPr>
                <w:color w:val="000000"/>
                <w:sz w:val="24"/>
              </w:rPr>
              <w:t>6</w:t>
            </w:r>
          </w:p>
        </w:tc>
        <w:tc>
          <w:tcPr>
            <w:vAlign w:val="center"/>
          </w:tcPr>
          <w:p>
            <w:pPr>
              <w:jc w:val="center"/>
            </w:pPr>
            <w:r>
              <w:rPr>
                <w:color w:val="000000"/>
                <w:sz w:val="24"/>
              </w:rPr>
              <w:t>002250</w:t>
            </w:r>
          </w:p>
        </w:tc>
        <w:tc>
          <w:tcPr>
            <w:vAlign w:val="center"/>
          </w:tcPr>
          <w:p>
            <w:pPr>
              <w:jc w:val="center"/>
            </w:pPr>
            <w:r>
              <w:rPr>
                <w:color w:val="000000"/>
                <w:sz w:val="24"/>
              </w:rPr>
              <w:t>联化科技</w:t>
            </w:r>
          </w:p>
        </w:tc>
        <w:tc>
          <w:tcPr>
            <w:vAlign w:val="center"/>
          </w:tcPr>
          <w:p>
            <w:pPr>
              <w:jc w:val="right"/>
            </w:pPr>
            <w:r>
              <w:rPr>
                <w:color w:val="000000"/>
                <w:sz w:val="24"/>
              </w:rPr>
              <w:t>111,500</w:t>
            </w:r>
          </w:p>
        </w:tc>
        <w:tc>
          <w:tcPr>
            <w:vAlign w:val="center"/>
          </w:tcPr>
          <w:p>
            <w:pPr>
              <w:jc w:val="right"/>
            </w:pPr>
            <w:r>
              <w:rPr>
                <w:color w:val="000000"/>
                <w:sz w:val="24"/>
              </w:rPr>
              <w:t>2,430,700.00</w:t>
            </w:r>
          </w:p>
        </w:tc>
        <w:tc>
          <w:tcPr>
            <w:vAlign w:val="center"/>
          </w:tcPr>
          <w:p>
            <w:pPr>
              <w:jc w:val="right"/>
            </w:pPr>
            <w:r>
              <w:rPr>
                <w:color w:val="000000"/>
                <w:sz w:val="24"/>
              </w:rPr>
              <w:t>2.28</w:t>
            </w:r>
          </w:p>
        </w:tc>
      </w:tr>
      <w:tr>
        <w:tc>
          <w:tcPr>
            <w:vAlign w:val="center"/>
          </w:tcPr>
          <w:p>
            <w:pPr>
              <w:jc w:val="center"/>
            </w:pPr>
            <w:r>
              <w:rPr>
                <w:color w:val="000000"/>
                <w:sz w:val="24"/>
              </w:rPr>
              <w:t>7</w:t>
            </w:r>
          </w:p>
        </w:tc>
        <w:tc>
          <w:tcPr>
            <w:vAlign w:val="center"/>
          </w:tcPr>
          <w:p>
            <w:pPr>
              <w:jc w:val="center"/>
            </w:pPr>
            <w:r>
              <w:rPr>
                <w:color w:val="000000"/>
                <w:sz w:val="24"/>
              </w:rPr>
              <w:t>600048</w:t>
            </w:r>
          </w:p>
        </w:tc>
        <w:tc>
          <w:tcPr>
            <w:vAlign w:val="center"/>
          </w:tcPr>
          <w:p>
            <w:pPr>
              <w:jc w:val="center"/>
            </w:pPr>
            <w:r>
              <w:rPr>
                <w:color w:val="000000"/>
                <w:sz w:val="24"/>
              </w:rPr>
              <w:t>保利地产</w:t>
            </w:r>
          </w:p>
        </w:tc>
        <w:tc>
          <w:tcPr>
            <w:vAlign w:val="center"/>
          </w:tcPr>
          <w:p>
            <w:pPr>
              <w:jc w:val="right"/>
            </w:pPr>
            <w:r>
              <w:rPr>
                <w:color w:val="000000"/>
                <w:sz w:val="24"/>
              </w:rPr>
              <w:t>144,300</w:t>
            </w:r>
          </w:p>
        </w:tc>
        <w:tc>
          <w:tcPr>
            <w:vAlign w:val="center"/>
          </w:tcPr>
          <w:p>
            <w:pPr>
              <w:jc w:val="right"/>
            </w:pPr>
            <w:r>
              <w:rPr>
                <w:color w:val="000000"/>
                <w:sz w:val="24"/>
              </w:rPr>
              <w:t>2,132,754.00</w:t>
            </w:r>
          </w:p>
        </w:tc>
        <w:tc>
          <w:tcPr>
            <w:vAlign w:val="center"/>
          </w:tcPr>
          <w:p>
            <w:pPr>
              <w:jc w:val="right"/>
            </w:pPr>
            <w:r>
              <w:rPr>
                <w:color w:val="000000"/>
                <w:sz w:val="24"/>
              </w:rPr>
              <w:t>2.00</w:t>
            </w:r>
          </w:p>
        </w:tc>
      </w:tr>
      <w:tr>
        <w:tc>
          <w:tcPr>
            <w:vAlign w:val="center"/>
          </w:tcPr>
          <w:p>
            <w:pPr>
              <w:jc w:val="center"/>
            </w:pPr>
            <w:r>
              <w:rPr>
                <w:color w:val="000000"/>
                <w:sz w:val="24"/>
              </w:rPr>
              <w:t>8</w:t>
            </w:r>
          </w:p>
        </w:tc>
        <w:tc>
          <w:tcPr>
            <w:vAlign w:val="center"/>
          </w:tcPr>
          <w:p>
            <w:pPr>
              <w:jc w:val="center"/>
            </w:pPr>
            <w:r>
              <w:rPr>
                <w:color w:val="000000"/>
                <w:sz w:val="24"/>
              </w:rPr>
              <w:t>601877</w:t>
            </w:r>
          </w:p>
        </w:tc>
        <w:tc>
          <w:tcPr>
            <w:vAlign w:val="center"/>
          </w:tcPr>
          <w:p>
            <w:pPr>
              <w:jc w:val="center"/>
            </w:pPr>
            <w:r>
              <w:rPr>
                <w:color w:val="000000"/>
                <w:sz w:val="24"/>
              </w:rPr>
              <w:t>正泰电器</w:t>
            </w:r>
          </w:p>
        </w:tc>
        <w:tc>
          <w:tcPr>
            <w:vAlign w:val="center"/>
          </w:tcPr>
          <w:p>
            <w:pPr>
              <w:jc w:val="right"/>
            </w:pPr>
            <w:r>
              <w:rPr>
                <w:color w:val="000000"/>
                <w:sz w:val="24"/>
              </w:rPr>
              <w:t>75,200</w:t>
            </w:r>
          </w:p>
        </w:tc>
        <w:tc>
          <w:tcPr>
            <w:vAlign w:val="center"/>
          </w:tcPr>
          <w:p>
            <w:pPr>
              <w:jc w:val="right"/>
            </w:pPr>
            <w:r>
              <w:rPr>
                <w:color w:val="000000"/>
                <w:sz w:val="24"/>
              </w:rPr>
              <w:t>1,981,520.00</w:t>
            </w:r>
          </w:p>
        </w:tc>
        <w:tc>
          <w:tcPr>
            <w:vAlign w:val="center"/>
          </w:tcPr>
          <w:p>
            <w:pPr>
              <w:jc w:val="right"/>
            </w:pPr>
            <w:r>
              <w:rPr>
                <w:color w:val="000000"/>
                <w:sz w:val="24"/>
              </w:rPr>
              <w:t>1.86</w:t>
            </w:r>
          </w:p>
        </w:tc>
      </w:tr>
      <w:tr>
        <w:tc>
          <w:tcPr>
            <w:vAlign w:val="center"/>
          </w:tcPr>
          <w:p>
            <w:pPr>
              <w:jc w:val="center"/>
            </w:pPr>
            <w:r>
              <w:rPr>
                <w:color w:val="000000"/>
                <w:sz w:val="24"/>
              </w:rPr>
              <w:t>9</w:t>
            </w:r>
          </w:p>
        </w:tc>
        <w:tc>
          <w:tcPr>
            <w:vAlign w:val="center"/>
          </w:tcPr>
          <w:p>
            <w:pPr>
              <w:jc w:val="center"/>
            </w:pPr>
            <w:r>
              <w:rPr>
                <w:color w:val="000000"/>
                <w:sz w:val="24"/>
              </w:rPr>
              <w:t>002415</w:t>
            </w:r>
          </w:p>
        </w:tc>
        <w:tc>
          <w:tcPr>
            <w:vAlign w:val="center"/>
          </w:tcPr>
          <w:p>
            <w:pPr>
              <w:jc w:val="center"/>
            </w:pPr>
            <w:r>
              <w:rPr>
                <w:color w:val="000000"/>
                <w:sz w:val="24"/>
              </w:rPr>
              <w:t>海康威视</w:t>
            </w:r>
          </w:p>
        </w:tc>
        <w:tc>
          <w:tcPr>
            <w:vAlign w:val="center"/>
          </w:tcPr>
          <w:p>
            <w:pPr>
              <w:jc w:val="right"/>
            </w:pPr>
            <w:r>
              <w:rPr>
                <w:color w:val="000000"/>
                <w:sz w:val="24"/>
              </w:rPr>
              <w:t>62,300</w:t>
            </w:r>
          </w:p>
        </w:tc>
        <w:tc>
          <w:tcPr>
            <w:vAlign w:val="center"/>
          </w:tcPr>
          <w:p>
            <w:pPr>
              <w:jc w:val="right"/>
            </w:pPr>
            <w:r>
              <w:rPr>
                <w:color w:val="000000"/>
                <w:sz w:val="24"/>
              </w:rPr>
              <w:t>1,890,805.00</w:t>
            </w:r>
          </w:p>
        </w:tc>
        <w:tc>
          <w:tcPr>
            <w:vAlign w:val="center"/>
          </w:tcPr>
          <w:p>
            <w:pPr>
              <w:jc w:val="right"/>
            </w:pPr>
            <w:r>
              <w:rPr>
                <w:color w:val="000000"/>
                <w:sz w:val="24"/>
              </w:rPr>
              <w:t>1.77</w:t>
            </w:r>
          </w:p>
        </w:tc>
      </w:tr>
      <w:tr>
        <w:tc>
          <w:tcPr>
            <w:vAlign w:val="center"/>
          </w:tcPr>
          <w:p>
            <w:pPr>
              <w:jc w:val="center"/>
            </w:pPr>
            <w:r>
              <w:rPr>
                <w:color w:val="000000"/>
                <w:sz w:val="24"/>
              </w:rPr>
              <w:t>10</w:t>
            </w:r>
          </w:p>
        </w:tc>
        <w:tc>
          <w:tcPr>
            <w:vAlign w:val="center"/>
          </w:tcPr>
          <w:p>
            <w:pPr>
              <w:jc w:val="center"/>
            </w:pPr>
            <w:r>
              <w:rPr>
                <w:color w:val="000000"/>
                <w:sz w:val="24"/>
              </w:rPr>
              <w:t>601088</w:t>
            </w:r>
          </w:p>
        </w:tc>
        <w:tc>
          <w:tcPr>
            <w:vAlign w:val="center"/>
          </w:tcPr>
          <w:p>
            <w:pPr>
              <w:jc w:val="center"/>
            </w:pPr>
            <w:r>
              <w:rPr>
                <w:color w:val="000000"/>
                <w:sz w:val="24"/>
              </w:rPr>
              <w:t>中国神华</w:t>
            </w:r>
          </w:p>
        </w:tc>
        <w:tc>
          <w:tcPr>
            <w:vAlign w:val="center"/>
          </w:tcPr>
          <w:p>
            <w:pPr>
              <w:jc w:val="right"/>
            </w:pPr>
            <w:r>
              <w:rPr>
                <w:color w:val="000000"/>
                <w:sz w:val="24"/>
              </w:rPr>
              <w:t>121,300</w:t>
            </w:r>
          </w:p>
        </w:tc>
        <w:tc>
          <w:tcPr>
            <w:vAlign w:val="center"/>
          </w:tcPr>
          <w:p>
            <w:pPr>
              <w:jc w:val="right"/>
            </w:pPr>
            <w:r>
              <w:rPr>
                <w:color w:val="000000"/>
                <w:sz w:val="24"/>
              </w:rPr>
              <w:t>1,741,868.00</w:t>
            </w:r>
          </w:p>
        </w:tc>
        <w:tc>
          <w:tcPr>
            <w:vAlign w:val="center"/>
          </w:tcPr>
          <w:p>
            <w:pPr>
              <w:jc w:val="right"/>
            </w:pPr>
            <w:r>
              <w:rPr>
                <w:color w:val="000000"/>
                <w:sz w:val="24"/>
              </w:rPr>
              <w:t>1.63</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6,103,050.00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5.73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5,080,000.00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4.77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84,715,862.48</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79.48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95,898,912.48</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89.97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81,280</w:t>
            </w:r>
          </w:p>
        </w:tc>
        <w:tc>
          <w:tcPr>
            <w:vAlign w:val="center"/>
          </w:tcPr>
          <w:p>
            <w:pPr>
              <w:jc w:val="right"/>
            </w:pPr>
            <w:r>
              <w:rPr>
                <w:color w:val="000000"/>
                <w:sz w:val="24"/>
              </w:rPr>
              <w:t>9,270,796.80</w:t>
            </w:r>
          </w:p>
        </w:tc>
        <w:tc>
          <w:tcPr>
            <w:vAlign w:val="center"/>
          </w:tcPr>
          <w:p>
            <w:pPr>
              <w:jc w:val="right"/>
            </w:pPr>
            <w:r>
              <w:rPr>
                <w:color w:val="000000"/>
                <w:sz w:val="24"/>
              </w:rPr>
              <w:t>8.70</w:t>
            </w:r>
          </w:p>
        </w:tc>
      </w:tr>
      <w:tr>
        <w:tc>
          <w:tcPr>
            <w:vAlign w:val="center"/>
          </w:tcPr>
          <w:p>
            <w:pPr>
              <w:jc w:val="center"/>
            </w:pPr>
            <w:r>
              <w:rPr>
                <w:color w:val="000000"/>
                <w:sz w:val="24"/>
              </w:rPr>
              <w:t>2</w:t>
            </w:r>
          </w:p>
        </w:tc>
        <w:tc>
          <w:tcPr>
            <w:vAlign w:val="center"/>
          </w:tcPr>
          <w:p>
            <w:pPr>
              <w:jc w:val="center"/>
            </w:pPr>
            <w:r>
              <w:rPr>
                <w:color w:val="000000"/>
                <w:sz w:val="24"/>
              </w:rPr>
              <w:t>110059</w:t>
            </w:r>
          </w:p>
        </w:tc>
        <w:tc>
          <w:tcPr>
            <w:vAlign w:val="center"/>
          </w:tcPr>
          <w:p>
            <w:pPr>
              <w:jc w:val="center"/>
            </w:pPr>
            <w:r>
              <w:rPr>
                <w:color w:val="000000"/>
                <w:sz w:val="24"/>
              </w:rPr>
              <w:t>浦发转债</w:t>
            </w:r>
          </w:p>
        </w:tc>
        <w:tc>
          <w:tcPr>
            <w:vAlign w:val="center"/>
          </w:tcPr>
          <w:p>
            <w:pPr>
              <w:jc w:val="right"/>
            </w:pPr>
            <w:r>
              <w:rPr>
                <w:color w:val="000000"/>
                <w:sz w:val="24"/>
              </w:rPr>
              <w:t>80,000</w:t>
            </w:r>
          </w:p>
        </w:tc>
        <w:tc>
          <w:tcPr>
            <w:vAlign w:val="center"/>
          </w:tcPr>
          <w:p>
            <w:pPr>
              <w:jc w:val="right"/>
            </w:pPr>
            <w:r>
              <w:rPr>
                <w:color w:val="000000"/>
                <w:sz w:val="24"/>
              </w:rPr>
              <w:t>8,148,000.00</w:t>
            </w:r>
          </w:p>
        </w:tc>
        <w:tc>
          <w:tcPr>
            <w:vAlign w:val="center"/>
          </w:tcPr>
          <w:p>
            <w:pPr>
              <w:jc w:val="right"/>
            </w:pPr>
            <w:r>
              <w:rPr>
                <w:color w:val="000000"/>
                <w:sz w:val="24"/>
              </w:rPr>
              <w:t>7.64</w:t>
            </w:r>
          </w:p>
        </w:tc>
      </w:tr>
      <w:tr>
        <w:tc>
          <w:tcPr>
            <w:vAlign w:val="center"/>
          </w:tcPr>
          <w:p>
            <w:pPr>
              <w:jc w:val="center"/>
            </w:pPr>
            <w:r>
              <w:rPr>
                <w:color w:val="000000"/>
                <w:sz w:val="24"/>
              </w:rPr>
              <w:t>3</w:t>
            </w:r>
          </w:p>
        </w:tc>
        <w:tc>
          <w:tcPr>
            <w:vAlign w:val="center"/>
          </w:tcPr>
          <w:p>
            <w:pPr>
              <w:jc w:val="center"/>
            </w:pPr>
            <w:r>
              <w:rPr>
                <w:color w:val="000000"/>
                <w:sz w:val="24"/>
              </w:rPr>
              <w:t>019627</w:t>
            </w:r>
          </w:p>
        </w:tc>
        <w:tc>
          <w:tcPr>
            <w:vAlign w:val="center"/>
          </w:tcPr>
          <w:p>
            <w:pPr>
              <w:jc w:val="center"/>
            </w:pPr>
            <w:r>
              <w:rPr>
                <w:color w:val="000000"/>
                <w:sz w:val="24"/>
              </w:rPr>
              <w:t>20国债01</w:t>
            </w:r>
          </w:p>
        </w:tc>
        <w:tc>
          <w:tcPr>
            <w:vAlign w:val="center"/>
          </w:tcPr>
          <w:p>
            <w:pPr>
              <w:jc w:val="right"/>
            </w:pPr>
            <w:r>
              <w:rPr>
                <w:color w:val="000000"/>
                <w:sz w:val="24"/>
              </w:rPr>
              <w:t>61,000</w:t>
            </w:r>
          </w:p>
        </w:tc>
        <w:tc>
          <w:tcPr>
            <w:vAlign w:val="center"/>
          </w:tcPr>
          <w:p>
            <w:pPr>
              <w:jc w:val="right"/>
            </w:pPr>
            <w:r>
              <w:rPr>
                <w:color w:val="000000"/>
                <w:sz w:val="24"/>
              </w:rPr>
              <w:t>6,103,050.00</w:t>
            </w:r>
          </w:p>
        </w:tc>
        <w:tc>
          <w:tcPr>
            <w:vAlign w:val="center"/>
          </w:tcPr>
          <w:p>
            <w:pPr>
              <w:jc w:val="right"/>
            </w:pPr>
            <w:r>
              <w:rPr>
                <w:color w:val="000000"/>
                <w:sz w:val="24"/>
              </w:rPr>
              <w:t>5.73</w:t>
            </w:r>
          </w:p>
        </w:tc>
      </w:tr>
      <w:tr>
        <w:tc>
          <w:tcPr>
            <w:vAlign w:val="center"/>
          </w:tcPr>
          <w:p>
            <w:pPr>
              <w:jc w:val="center"/>
            </w:pPr>
            <w:r>
              <w:rPr>
                <w:color w:val="000000"/>
                <w:sz w:val="24"/>
              </w:rPr>
              <w:t>4</w:t>
            </w:r>
          </w:p>
        </w:tc>
        <w:tc>
          <w:tcPr>
            <w:vAlign w:val="center"/>
          </w:tcPr>
          <w:p>
            <w:pPr>
              <w:jc w:val="center"/>
            </w:pPr>
            <w:r>
              <w:rPr>
                <w:color w:val="000000"/>
                <w:sz w:val="24"/>
              </w:rPr>
              <w:t>136753</w:t>
            </w:r>
          </w:p>
        </w:tc>
        <w:tc>
          <w:tcPr>
            <w:vAlign w:val="center"/>
          </w:tcPr>
          <w:p>
            <w:pPr>
              <w:jc w:val="center"/>
            </w:pPr>
            <w:r>
              <w:rPr>
                <w:color w:val="000000"/>
                <w:sz w:val="24"/>
              </w:rPr>
              <w:t>16大华02</w:t>
            </w:r>
          </w:p>
        </w:tc>
        <w:tc>
          <w:tcPr>
            <w:vAlign w:val="center"/>
          </w:tcPr>
          <w:p>
            <w:pPr>
              <w:jc w:val="right"/>
            </w:pPr>
            <w:r>
              <w:rPr>
                <w:color w:val="000000"/>
                <w:sz w:val="24"/>
              </w:rPr>
              <w:t>50,000</w:t>
            </w:r>
          </w:p>
        </w:tc>
        <w:tc>
          <w:tcPr>
            <w:vAlign w:val="center"/>
          </w:tcPr>
          <w:p>
            <w:pPr>
              <w:jc w:val="right"/>
            </w:pPr>
            <w:r>
              <w:rPr>
                <w:color w:val="000000"/>
                <w:sz w:val="24"/>
              </w:rPr>
              <w:t>5,080,000.00</w:t>
            </w:r>
          </w:p>
        </w:tc>
        <w:tc>
          <w:tcPr>
            <w:vAlign w:val="center"/>
          </w:tcPr>
          <w:p>
            <w:pPr>
              <w:jc w:val="right"/>
            </w:pPr>
            <w:r>
              <w:rPr>
                <w:color w:val="000000"/>
                <w:sz w:val="24"/>
              </w:rPr>
              <w:t>4.77</w:t>
            </w:r>
          </w:p>
        </w:tc>
      </w:tr>
      <w:tr>
        <w:tc>
          <w:tcPr>
            <w:vAlign w:val="center"/>
          </w:tcPr>
          <w:p>
            <w:pPr>
              <w:jc w:val="center"/>
            </w:pPr>
            <w:r>
              <w:rPr>
                <w:color w:val="000000"/>
                <w:sz w:val="24"/>
              </w:rPr>
              <w:t>5</w:t>
            </w:r>
          </w:p>
        </w:tc>
        <w:tc>
          <w:tcPr>
            <w:vAlign w:val="center"/>
          </w:tcPr>
          <w:p>
            <w:pPr>
              <w:jc w:val="center"/>
            </w:pPr>
            <w:r>
              <w:rPr>
                <w:color w:val="000000"/>
                <w:sz w:val="24"/>
              </w:rPr>
              <w:t>127012</w:t>
            </w:r>
          </w:p>
        </w:tc>
        <w:tc>
          <w:tcPr>
            <w:vAlign w:val="center"/>
          </w:tcPr>
          <w:p>
            <w:pPr>
              <w:jc w:val="center"/>
            </w:pPr>
            <w:r>
              <w:rPr>
                <w:color w:val="000000"/>
                <w:sz w:val="24"/>
              </w:rPr>
              <w:t>招路转债</w:t>
            </w:r>
          </w:p>
        </w:tc>
        <w:tc>
          <w:tcPr>
            <w:vAlign w:val="center"/>
          </w:tcPr>
          <w:p>
            <w:pPr>
              <w:jc w:val="right"/>
            </w:pPr>
            <w:r>
              <w:rPr>
                <w:color w:val="000000"/>
                <w:sz w:val="24"/>
              </w:rPr>
              <w:t>45,230</w:t>
            </w:r>
          </w:p>
        </w:tc>
        <w:tc>
          <w:tcPr>
            <w:vAlign w:val="center"/>
          </w:tcPr>
          <w:p>
            <w:pPr>
              <w:jc w:val="right"/>
            </w:pPr>
            <w:r>
              <w:rPr>
                <w:color w:val="000000"/>
                <w:sz w:val="24"/>
              </w:rPr>
              <w:t>4,556,017.90</w:t>
            </w:r>
          </w:p>
        </w:tc>
        <w:tc>
          <w:tcPr>
            <w:vAlign w:val="center"/>
          </w:tcPr>
          <w:p>
            <w:pPr>
              <w:jc w:val="right"/>
            </w:pPr>
            <w:r>
              <w:rPr>
                <w:color w:val="000000"/>
                <w:sz w:val="24"/>
              </w:rPr>
              <w:t>4.27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pPr>
        <w:widowControl/>
        <w:spacing w:line="360" w:lineRule="auto"/>
        <w:rPr>
          <w:color w:val="000000"/>
          <w:sz w:val="24"/>
        </w:rPr>
      </w:pPr>
      <w:r>
        <w:rPr>
          <w:color w:val="000000"/>
          <w:sz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widowControl/>
        <w:spacing w:line="360" w:lineRule="auto"/>
        <w:rPr>
          <w:color w:val="000000"/>
          <w:sz w:val="24"/>
        </w:rPr>
      </w:pPr>
      <w:r>
        <w:rPr>
          <w:color w:val="000000"/>
          <w:sz w:val="24"/>
        </w:rPr>
        <w:t>本基金投资光大转债、浦发转债的投资决策程序符合公司投资制度的规定。</w:t>
      </w:r>
    </w:p>
    <w:p>
      <w:pPr>
        <w:widowControl/>
        <w:spacing w:line="360" w:lineRule="auto"/>
        <w:rPr>
          <w:color w:val="000000"/>
          <w:sz w:val="24"/>
        </w:rPr>
      </w:pPr>
      <w:r>
        <w:rPr>
          <w:color w:val="000000"/>
          <w:sz w:val="24"/>
        </w:rPr>
        <w:t>除光大转债、浦发转债外，本基金投资的前十名证券的发行主体本期没有出现被监管部门立案调查，或在报告编制日前一年内受到公开谴责、处罚的情形。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43,511.29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598,503.20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363,495.42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44,944.51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1,050,454.42</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9,270,796.80</w:t>
            </w:r>
          </w:p>
        </w:tc>
        <w:tc>
          <w:tcPr>
            <w:vAlign w:val="center"/>
          </w:tcPr>
          <w:p>
            <w:pPr>
              <w:jc w:val="right"/>
            </w:pPr>
            <w:r>
              <w:rPr>
                <w:color w:val="000000"/>
                <w:sz w:val="24"/>
              </w:rPr>
              <w:t>8.70</w:t>
            </w:r>
          </w:p>
        </w:tc>
      </w:tr>
      <w:tr>
        <w:tc>
          <w:tcPr>
            <w:vAlign w:val="center"/>
          </w:tcPr>
          <w:p>
            <w:pPr>
              <w:jc w:val="center"/>
            </w:pPr>
            <w:r>
              <w:rPr>
                <w:color w:val="000000"/>
                <w:sz w:val="24"/>
              </w:rPr>
              <w:t>2</w:t>
            </w:r>
          </w:p>
        </w:tc>
        <w:tc>
          <w:tcPr>
            <w:vAlign w:val="center"/>
          </w:tcPr>
          <w:p>
            <w:pPr>
              <w:jc w:val="center"/>
            </w:pPr>
            <w:r>
              <w:rPr>
                <w:color w:val="000000"/>
                <w:sz w:val="24"/>
              </w:rPr>
              <w:t>110059</w:t>
            </w:r>
          </w:p>
        </w:tc>
        <w:tc>
          <w:tcPr>
            <w:vAlign w:val="center"/>
          </w:tcPr>
          <w:p>
            <w:pPr>
              <w:jc w:val="center"/>
            </w:pPr>
            <w:r>
              <w:rPr>
                <w:color w:val="000000"/>
                <w:sz w:val="24"/>
              </w:rPr>
              <w:t>浦发转债</w:t>
            </w:r>
          </w:p>
        </w:tc>
        <w:tc>
          <w:tcPr>
            <w:vAlign w:val="center"/>
          </w:tcPr>
          <w:p>
            <w:pPr>
              <w:jc w:val="right"/>
            </w:pPr>
            <w:r>
              <w:rPr>
                <w:color w:val="000000"/>
                <w:sz w:val="24"/>
              </w:rPr>
              <w:t>8,148,000.00</w:t>
            </w:r>
          </w:p>
        </w:tc>
        <w:tc>
          <w:tcPr>
            <w:vAlign w:val="center"/>
          </w:tcPr>
          <w:p>
            <w:pPr>
              <w:jc w:val="right"/>
            </w:pPr>
            <w:r>
              <w:rPr>
                <w:color w:val="000000"/>
                <w:sz w:val="24"/>
              </w:rPr>
              <w:t>7.64</w:t>
            </w:r>
          </w:p>
        </w:tc>
      </w:tr>
      <w:tr>
        <w:tc>
          <w:tcPr>
            <w:vAlign w:val="center"/>
          </w:tcPr>
          <w:p>
            <w:pPr>
              <w:jc w:val="center"/>
            </w:pPr>
            <w:r>
              <w:rPr>
                <w:color w:val="000000"/>
                <w:sz w:val="24"/>
              </w:rPr>
              <w:t>3</w:t>
            </w:r>
          </w:p>
        </w:tc>
        <w:tc>
          <w:tcPr>
            <w:vAlign w:val="center"/>
          </w:tcPr>
          <w:p>
            <w:pPr>
              <w:jc w:val="center"/>
            </w:pPr>
            <w:r>
              <w:rPr>
                <w:color w:val="000000"/>
                <w:sz w:val="24"/>
              </w:rPr>
              <w:t>127012</w:t>
            </w:r>
          </w:p>
        </w:tc>
        <w:tc>
          <w:tcPr>
            <w:vAlign w:val="center"/>
          </w:tcPr>
          <w:p>
            <w:pPr>
              <w:jc w:val="center"/>
            </w:pPr>
            <w:r>
              <w:rPr>
                <w:color w:val="000000"/>
                <w:sz w:val="24"/>
              </w:rPr>
              <w:t>招路转债</w:t>
            </w:r>
          </w:p>
        </w:tc>
        <w:tc>
          <w:tcPr>
            <w:vAlign w:val="center"/>
          </w:tcPr>
          <w:p>
            <w:pPr>
              <w:jc w:val="right"/>
            </w:pPr>
            <w:r>
              <w:rPr>
                <w:color w:val="000000"/>
                <w:sz w:val="24"/>
              </w:rPr>
              <w:t>4,556,017.90</w:t>
            </w:r>
          </w:p>
        </w:tc>
        <w:tc>
          <w:tcPr>
            <w:vAlign w:val="center"/>
          </w:tcPr>
          <w:p>
            <w:pPr>
              <w:jc w:val="right"/>
            </w:pPr>
            <w:r>
              <w:rPr>
                <w:color w:val="000000"/>
                <w:sz w:val="24"/>
              </w:rPr>
              <w:t>4.27</w:t>
            </w:r>
          </w:p>
        </w:tc>
      </w:tr>
      <w:tr>
        <w:tc>
          <w:tcPr>
            <w:vAlign w:val="center"/>
          </w:tcPr>
          <w:p>
            <w:pPr>
              <w:jc w:val="center"/>
            </w:pPr>
            <w:r>
              <w:rPr>
                <w:color w:val="000000"/>
                <w:sz w:val="24"/>
              </w:rPr>
              <w:t>4</w:t>
            </w:r>
          </w:p>
        </w:tc>
        <w:tc>
          <w:tcPr>
            <w:vAlign w:val="center"/>
          </w:tcPr>
          <w:p>
            <w:pPr>
              <w:jc w:val="center"/>
            </w:pPr>
            <w:r>
              <w:rPr>
                <w:color w:val="000000"/>
                <w:sz w:val="24"/>
              </w:rPr>
              <w:t>110051</w:t>
            </w:r>
          </w:p>
        </w:tc>
        <w:tc>
          <w:tcPr>
            <w:vAlign w:val="center"/>
          </w:tcPr>
          <w:p>
            <w:pPr>
              <w:jc w:val="center"/>
            </w:pPr>
            <w:r>
              <w:rPr>
                <w:color w:val="000000"/>
                <w:sz w:val="24"/>
              </w:rPr>
              <w:t>中天转债</w:t>
            </w:r>
          </w:p>
        </w:tc>
        <w:tc>
          <w:tcPr>
            <w:vAlign w:val="center"/>
          </w:tcPr>
          <w:p>
            <w:pPr>
              <w:jc w:val="right"/>
            </w:pPr>
            <w:r>
              <w:rPr>
                <w:color w:val="000000"/>
                <w:sz w:val="24"/>
              </w:rPr>
              <w:t>4,357,746.60</w:t>
            </w:r>
          </w:p>
        </w:tc>
        <w:tc>
          <w:tcPr>
            <w:vAlign w:val="center"/>
          </w:tcPr>
          <w:p>
            <w:pPr>
              <w:jc w:val="right"/>
            </w:pPr>
            <w:r>
              <w:rPr>
                <w:color w:val="000000"/>
                <w:sz w:val="24"/>
              </w:rPr>
              <w:t>4.09</w:t>
            </w:r>
          </w:p>
        </w:tc>
      </w:tr>
      <w:tr>
        <w:tc>
          <w:tcPr>
            <w:vAlign w:val="center"/>
          </w:tcPr>
          <w:p>
            <w:pPr>
              <w:jc w:val="center"/>
            </w:pPr>
            <w:r>
              <w:rPr>
                <w:color w:val="000000"/>
                <w:sz w:val="24"/>
              </w:rPr>
              <w:t>5</w:t>
            </w:r>
          </w:p>
        </w:tc>
        <w:tc>
          <w:tcPr>
            <w:vAlign w:val="center"/>
          </w:tcPr>
          <w:p>
            <w:pPr>
              <w:jc w:val="center"/>
            </w:pPr>
            <w:r>
              <w:rPr>
                <w:color w:val="000000"/>
                <w:sz w:val="24"/>
              </w:rPr>
              <w:t>128075</w:t>
            </w:r>
          </w:p>
        </w:tc>
        <w:tc>
          <w:tcPr>
            <w:vAlign w:val="center"/>
          </w:tcPr>
          <w:p>
            <w:pPr>
              <w:jc w:val="center"/>
            </w:pPr>
            <w:r>
              <w:rPr>
                <w:color w:val="000000"/>
                <w:sz w:val="24"/>
              </w:rPr>
              <w:t>远东转债</w:t>
            </w:r>
          </w:p>
        </w:tc>
        <w:tc>
          <w:tcPr>
            <w:vAlign w:val="center"/>
          </w:tcPr>
          <w:p>
            <w:pPr>
              <w:jc w:val="right"/>
            </w:pPr>
            <w:r>
              <w:rPr>
                <w:color w:val="000000"/>
                <w:sz w:val="24"/>
              </w:rPr>
              <w:t>4,111,468.40</w:t>
            </w:r>
          </w:p>
        </w:tc>
        <w:tc>
          <w:tcPr>
            <w:vAlign w:val="center"/>
          </w:tcPr>
          <w:p>
            <w:pPr>
              <w:jc w:val="right"/>
            </w:pPr>
            <w:r>
              <w:rPr>
                <w:color w:val="000000"/>
                <w:sz w:val="24"/>
              </w:rPr>
              <w:t>3.86</w:t>
            </w:r>
          </w:p>
        </w:tc>
      </w:tr>
      <w:tr>
        <w:tc>
          <w:tcPr>
            <w:vAlign w:val="center"/>
          </w:tcPr>
          <w:p>
            <w:pPr>
              <w:jc w:val="center"/>
            </w:pPr>
            <w:r>
              <w:rPr>
                <w:color w:val="000000"/>
                <w:sz w:val="24"/>
              </w:rPr>
              <w:t>6</w:t>
            </w:r>
          </w:p>
        </w:tc>
        <w:tc>
          <w:tcPr>
            <w:vAlign w:val="center"/>
          </w:tcPr>
          <w:p>
            <w:pPr>
              <w:jc w:val="center"/>
            </w:pPr>
            <w:r>
              <w:rPr>
                <w:color w:val="000000"/>
                <w:sz w:val="24"/>
              </w:rPr>
              <w:t>128058</w:t>
            </w:r>
          </w:p>
        </w:tc>
        <w:tc>
          <w:tcPr>
            <w:vAlign w:val="center"/>
          </w:tcPr>
          <w:p>
            <w:pPr>
              <w:jc w:val="center"/>
            </w:pPr>
            <w:r>
              <w:rPr>
                <w:color w:val="000000"/>
                <w:sz w:val="24"/>
              </w:rPr>
              <w:t>拓邦转债</w:t>
            </w:r>
          </w:p>
        </w:tc>
        <w:tc>
          <w:tcPr>
            <w:vAlign w:val="center"/>
          </w:tcPr>
          <w:p>
            <w:pPr>
              <w:jc w:val="right"/>
            </w:pPr>
            <w:r>
              <w:rPr>
                <w:color w:val="000000"/>
                <w:sz w:val="24"/>
              </w:rPr>
              <w:t>3,085,812.60</w:t>
            </w:r>
          </w:p>
        </w:tc>
        <w:tc>
          <w:tcPr>
            <w:vAlign w:val="center"/>
          </w:tcPr>
          <w:p>
            <w:pPr>
              <w:jc w:val="right"/>
            </w:pPr>
            <w:r>
              <w:rPr>
                <w:color w:val="000000"/>
                <w:sz w:val="24"/>
              </w:rPr>
              <w:t>2.90</w:t>
            </w:r>
          </w:p>
        </w:tc>
      </w:tr>
      <w:tr>
        <w:tc>
          <w:tcPr>
            <w:vAlign w:val="center"/>
          </w:tcPr>
          <w:p>
            <w:pPr>
              <w:jc w:val="center"/>
            </w:pPr>
            <w:r>
              <w:rPr>
                <w:color w:val="000000"/>
                <w:sz w:val="24"/>
              </w:rPr>
              <w:t>7</w:t>
            </w:r>
          </w:p>
        </w:tc>
        <w:tc>
          <w:tcPr>
            <w:vAlign w:val="center"/>
          </w:tcPr>
          <w:p>
            <w:pPr>
              <w:jc w:val="center"/>
            </w:pPr>
            <w:r>
              <w:rPr>
                <w:color w:val="000000"/>
                <w:sz w:val="24"/>
              </w:rPr>
              <w:t>128080</w:t>
            </w:r>
          </w:p>
        </w:tc>
        <w:tc>
          <w:tcPr>
            <w:vAlign w:val="center"/>
          </w:tcPr>
          <w:p>
            <w:pPr>
              <w:jc w:val="center"/>
            </w:pPr>
            <w:r>
              <w:rPr>
                <w:color w:val="000000"/>
                <w:sz w:val="24"/>
              </w:rPr>
              <w:t>顺丰转债</w:t>
            </w:r>
          </w:p>
        </w:tc>
        <w:tc>
          <w:tcPr>
            <w:vAlign w:val="center"/>
          </w:tcPr>
          <w:p>
            <w:pPr>
              <w:jc w:val="right"/>
            </w:pPr>
            <w:r>
              <w:rPr>
                <w:color w:val="000000"/>
                <w:sz w:val="24"/>
              </w:rPr>
              <w:t>2,753,334.00</w:t>
            </w:r>
          </w:p>
        </w:tc>
        <w:tc>
          <w:tcPr>
            <w:vAlign w:val="center"/>
          </w:tcPr>
          <w:p>
            <w:pPr>
              <w:jc w:val="right"/>
            </w:pPr>
            <w:r>
              <w:rPr>
                <w:color w:val="000000"/>
                <w:sz w:val="24"/>
              </w:rPr>
              <w:t>2.58</w:t>
            </w:r>
          </w:p>
        </w:tc>
      </w:tr>
      <w:tr>
        <w:tc>
          <w:tcPr>
            <w:vAlign w:val="center"/>
          </w:tcPr>
          <w:p>
            <w:pPr>
              <w:jc w:val="center"/>
            </w:pPr>
            <w:r>
              <w:rPr>
                <w:color w:val="000000"/>
                <w:sz w:val="24"/>
              </w:rPr>
              <w:t>8</w:t>
            </w:r>
          </w:p>
        </w:tc>
        <w:tc>
          <w:tcPr>
            <w:vAlign w:val="center"/>
          </w:tcPr>
          <w:p>
            <w:pPr>
              <w:jc w:val="center"/>
            </w:pPr>
            <w:r>
              <w:rPr>
                <w:color w:val="000000"/>
                <w:sz w:val="24"/>
              </w:rPr>
              <w:t>113559</w:t>
            </w:r>
          </w:p>
        </w:tc>
        <w:tc>
          <w:tcPr>
            <w:vAlign w:val="center"/>
          </w:tcPr>
          <w:p>
            <w:pPr>
              <w:jc w:val="center"/>
            </w:pPr>
            <w:r>
              <w:rPr>
                <w:color w:val="000000"/>
                <w:sz w:val="24"/>
              </w:rPr>
              <w:t>永创转债</w:t>
            </w:r>
          </w:p>
        </w:tc>
        <w:tc>
          <w:tcPr>
            <w:vAlign w:val="center"/>
          </w:tcPr>
          <w:p>
            <w:pPr>
              <w:jc w:val="right"/>
            </w:pPr>
            <w:r>
              <w:rPr>
                <w:color w:val="000000"/>
                <w:sz w:val="24"/>
              </w:rPr>
              <w:t>2,579,947.10</w:t>
            </w:r>
          </w:p>
        </w:tc>
        <w:tc>
          <w:tcPr>
            <w:vAlign w:val="center"/>
          </w:tcPr>
          <w:p>
            <w:pPr>
              <w:jc w:val="right"/>
            </w:pPr>
            <w:r>
              <w:rPr>
                <w:color w:val="000000"/>
                <w:sz w:val="24"/>
              </w:rPr>
              <w:t>2.42</w:t>
            </w:r>
          </w:p>
        </w:tc>
      </w:tr>
      <w:tr>
        <w:tc>
          <w:tcPr>
            <w:vAlign w:val="center"/>
          </w:tcPr>
          <w:p>
            <w:pPr>
              <w:jc w:val="center"/>
            </w:pPr>
            <w:r>
              <w:rPr>
                <w:color w:val="000000"/>
                <w:sz w:val="24"/>
              </w:rPr>
              <w:t>9</w:t>
            </w:r>
          </w:p>
        </w:tc>
        <w:tc>
          <w:tcPr>
            <w:vAlign w:val="center"/>
          </w:tcPr>
          <w:p>
            <w:pPr>
              <w:jc w:val="center"/>
            </w:pPr>
            <w:r>
              <w:rPr>
                <w:color w:val="000000"/>
                <w:sz w:val="24"/>
              </w:rPr>
              <w:t>132014</w:t>
            </w:r>
          </w:p>
        </w:tc>
        <w:tc>
          <w:tcPr>
            <w:vAlign w:val="center"/>
          </w:tcPr>
          <w:p>
            <w:pPr>
              <w:jc w:val="center"/>
            </w:pPr>
            <w:r>
              <w:rPr>
                <w:color w:val="000000"/>
                <w:sz w:val="24"/>
              </w:rPr>
              <w:t>18中化EB</w:t>
            </w:r>
          </w:p>
        </w:tc>
        <w:tc>
          <w:tcPr>
            <w:vAlign w:val="center"/>
          </w:tcPr>
          <w:p>
            <w:pPr>
              <w:jc w:val="right"/>
            </w:pPr>
            <w:r>
              <w:rPr>
                <w:color w:val="000000"/>
                <w:sz w:val="24"/>
              </w:rPr>
              <w:t>2,499,190.00</w:t>
            </w:r>
          </w:p>
        </w:tc>
        <w:tc>
          <w:tcPr>
            <w:vAlign w:val="center"/>
          </w:tcPr>
          <w:p>
            <w:pPr>
              <w:jc w:val="right"/>
            </w:pPr>
            <w:r>
              <w:rPr>
                <w:color w:val="000000"/>
                <w:sz w:val="24"/>
              </w:rPr>
              <w:t>2.34</w:t>
            </w:r>
          </w:p>
        </w:tc>
      </w:tr>
      <w:tr>
        <w:tc>
          <w:tcPr>
            <w:vAlign w:val="center"/>
          </w:tcPr>
          <w:p>
            <w:pPr>
              <w:jc w:val="center"/>
            </w:pPr>
            <w:r>
              <w:rPr>
                <w:color w:val="000000"/>
                <w:sz w:val="24"/>
              </w:rPr>
              <w:t>10</w:t>
            </w:r>
          </w:p>
        </w:tc>
        <w:tc>
          <w:tcPr>
            <w:vAlign w:val="center"/>
          </w:tcPr>
          <w:p>
            <w:pPr>
              <w:jc w:val="center"/>
            </w:pPr>
            <w:r>
              <w:rPr>
                <w:color w:val="000000"/>
                <w:sz w:val="24"/>
              </w:rPr>
              <w:t>113545</w:t>
            </w:r>
          </w:p>
        </w:tc>
        <w:tc>
          <w:tcPr>
            <w:vAlign w:val="center"/>
          </w:tcPr>
          <w:p>
            <w:pPr>
              <w:jc w:val="center"/>
            </w:pPr>
            <w:r>
              <w:rPr>
                <w:color w:val="000000"/>
                <w:sz w:val="24"/>
              </w:rPr>
              <w:t>金能转债</w:t>
            </w:r>
          </w:p>
        </w:tc>
        <w:tc>
          <w:tcPr>
            <w:vAlign w:val="center"/>
          </w:tcPr>
          <w:p>
            <w:pPr>
              <w:jc w:val="right"/>
            </w:pPr>
            <w:r>
              <w:rPr>
                <w:color w:val="000000"/>
                <w:sz w:val="24"/>
              </w:rPr>
              <w:t>2,299,600.00</w:t>
            </w:r>
          </w:p>
        </w:tc>
        <w:tc>
          <w:tcPr>
            <w:vAlign w:val="center"/>
          </w:tcPr>
          <w:p>
            <w:pPr>
              <w:jc w:val="right"/>
            </w:pPr>
            <w:r>
              <w:rPr>
                <w:color w:val="000000"/>
                <w:sz w:val="24"/>
              </w:rPr>
              <w:t>2.16</w:t>
            </w:r>
          </w:p>
        </w:tc>
      </w:tr>
      <w:tr>
        <w:tc>
          <w:tcPr>
            <w:vAlign w:val="center"/>
          </w:tcPr>
          <w:p>
            <w:pPr>
              <w:jc w:val="center"/>
            </w:pPr>
            <w:r>
              <w:rPr>
                <w:color w:val="000000"/>
                <w:sz w:val="24"/>
              </w:rPr>
              <w:t>11</w:t>
            </w:r>
          </w:p>
        </w:tc>
        <w:tc>
          <w:tcPr>
            <w:vAlign w:val="center"/>
          </w:tcPr>
          <w:p>
            <w:pPr>
              <w:jc w:val="center"/>
            </w:pPr>
            <w:r>
              <w:rPr>
                <w:color w:val="000000"/>
                <w:sz w:val="24"/>
              </w:rPr>
              <w:t>128021</w:t>
            </w:r>
          </w:p>
        </w:tc>
        <w:tc>
          <w:tcPr>
            <w:vAlign w:val="center"/>
          </w:tcPr>
          <w:p>
            <w:pPr>
              <w:jc w:val="center"/>
            </w:pPr>
            <w:r>
              <w:rPr>
                <w:color w:val="000000"/>
                <w:sz w:val="24"/>
              </w:rPr>
              <w:t>兄弟转债</w:t>
            </w:r>
          </w:p>
        </w:tc>
        <w:tc>
          <w:tcPr>
            <w:vAlign w:val="center"/>
          </w:tcPr>
          <w:p>
            <w:pPr>
              <w:jc w:val="right"/>
            </w:pPr>
            <w:r>
              <w:rPr>
                <w:color w:val="000000"/>
                <w:sz w:val="24"/>
              </w:rPr>
              <w:t>2,289,600.00</w:t>
            </w:r>
          </w:p>
        </w:tc>
        <w:tc>
          <w:tcPr>
            <w:vAlign w:val="center"/>
          </w:tcPr>
          <w:p>
            <w:pPr>
              <w:jc w:val="right"/>
            </w:pPr>
            <w:r>
              <w:rPr>
                <w:color w:val="000000"/>
                <w:sz w:val="24"/>
              </w:rPr>
              <w:t>2.15</w:t>
            </w:r>
          </w:p>
        </w:tc>
      </w:tr>
      <w:tr>
        <w:tc>
          <w:tcPr>
            <w:vAlign w:val="center"/>
          </w:tcPr>
          <w:p>
            <w:pPr>
              <w:jc w:val="center"/>
            </w:pPr>
            <w:r>
              <w:rPr>
                <w:color w:val="000000"/>
                <w:sz w:val="24"/>
              </w:rPr>
              <w:t>12</w:t>
            </w:r>
          </w:p>
        </w:tc>
        <w:tc>
          <w:tcPr>
            <w:vAlign w:val="center"/>
          </w:tcPr>
          <w:p>
            <w:pPr>
              <w:jc w:val="center"/>
            </w:pPr>
            <w:r>
              <w:rPr>
                <w:color w:val="000000"/>
                <w:sz w:val="24"/>
              </w:rPr>
              <w:t>113535</w:t>
            </w:r>
          </w:p>
        </w:tc>
        <w:tc>
          <w:tcPr>
            <w:vAlign w:val="center"/>
          </w:tcPr>
          <w:p>
            <w:pPr>
              <w:jc w:val="center"/>
            </w:pPr>
            <w:r>
              <w:rPr>
                <w:color w:val="000000"/>
                <w:sz w:val="24"/>
              </w:rPr>
              <w:t>大业转债</w:t>
            </w:r>
          </w:p>
        </w:tc>
        <w:tc>
          <w:tcPr>
            <w:vAlign w:val="center"/>
          </w:tcPr>
          <w:p>
            <w:pPr>
              <w:jc w:val="right"/>
            </w:pPr>
            <w:r>
              <w:rPr>
                <w:color w:val="000000"/>
                <w:sz w:val="24"/>
              </w:rPr>
              <w:t>2,213,208.40</w:t>
            </w:r>
          </w:p>
        </w:tc>
        <w:tc>
          <w:tcPr>
            <w:vAlign w:val="center"/>
          </w:tcPr>
          <w:p>
            <w:pPr>
              <w:jc w:val="right"/>
            </w:pPr>
            <w:r>
              <w:rPr>
                <w:color w:val="000000"/>
                <w:sz w:val="24"/>
              </w:rPr>
              <w:t>2.08</w:t>
            </w:r>
          </w:p>
        </w:tc>
      </w:tr>
      <w:tr>
        <w:tc>
          <w:tcPr>
            <w:vAlign w:val="center"/>
          </w:tcPr>
          <w:p>
            <w:pPr>
              <w:jc w:val="center"/>
            </w:pPr>
            <w:r>
              <w:rPr>
                <w:color w:val="000000"/>
                <w:sz w:val="24"/>
              </w:rPr>
              <w:t>13</w:t>
            </w:r>
          </w:p>
        </w:tc>
        <w:tc>
          <w:tcPr>
            <w:vAlign w:val="center"/>
          </w:tcPr>
          <w:p>
            <w:pPr>
              <w:jc w:val="center"/>
            </w:pPr>
            <w:r>
              <w:rPr>
                <w:color w:val="000000"/>
                <w:sz w:val="24"/>
              </w:rPr>
              <w:t>128074</w:t>
            </w:r>
          </w:p>
        </w:tc>
        <w:tc>
          <w:tcPr>
            <w:vAlign w:val="center"/>
          </w:tcPr>
          <w:p>
            <w:pPr>
              <w:jc w:val="center"/>
            </w:pPr>
            <w:r>
              <w:rPr>
                <w:color w:val="000000"/>
                <w:sz w:val="24"/>
              </w:rPr>
              <w:t>游族转债</w:t>
            </w:r>
          </w:p>
        </w:tc>
        <w:tc>
          <w:tcPr>
            <w:vAlign w:val="center"/>
          </w:tcPr>
          <w:p>
            <w:pPr>
              <w:jc w:val="right"/>
            </w:pPr>
            <w:r>
              <w:rPr>
                <w:color w:val="000000"/>
                <w:sz w:val="24"/>
              </w:rPr>
              <w:t>2,203,275.00</w:t>
            </w:r>
          </w:p>
        </w:tc>
        <w:tc>
          <w:tcPr>
            <w:vAlign w:val="center"/>
          </w:tcPr>
          <w:p>
            <w:pPr>
              <w:jc w:val="right"/>
            </w:pPr>
            <w:r>
              <w:rPr>
                <w:color w:val="000000"/>
                <w:sz w:val="24"/>
              </w:rPr>
              <w:t>2.07</w:t>
            </w:r>
          </w:p>
        </w:tc>
      </w:tr>
      <w:tr>
        <w:tc>
          <w:tcPr>
            <w:vAlign w:val="center"/>
          </w:tcPr>
          <w:p>
            <w:pPr>
              <w:jc w:val="center"/>
            </w:pPr>
            <w:r>
              <w:rPr>
                <w:color w:val="000000"/>
                <w:sz w:val="24"/>
              </w:rPr>
              <w:t>14</w:t>
            </w:r>
          </w:p>
        </w:tc>
        <w:tc>
          <w:tcPr>
            <w:vAlign w:val="center"/>
          </w:tcPr>
          <w:p>
            <w:pPr>
              <w:jc w:val="center"/>
            </w:pPr>
            <w:r>
              <w:rPr>
                <w:color w:val="000000"/>
                <w:sz w:val="24"/>
              </w:rPr>
              <w:t>128083</w:t>
            </w:r>
          </w:p>
        </w:tc>
        <w:tc>
          <w:tcPr>
            <w:vAlign w:val="center"/>
          </w:tcPr>
          <w:p>
            <w:pPr>
              <w:jc w:val="center"/>
            </w:pPr>
            <w:r>
              <w:rPr>
                <w:color w:val="000000"/>
                <w:sz w:val="24"/>
              </w:rPr>
              <w:t>新北转债</w:t>
            </w:r>
          </w:p>
        </w:tc>
        <w:tc>
          <w:tcPr>
            <w:vAlign w:val="center"/>
          </w:tcPr>
          <w:p>
            <w:pPr>
              <w:jc w:val="right"/>
            </w:pPr>
            <w:r>
              <w:rPr>
                <w:color w:val="000000"/>
                <w:sz w:val="24"/>
              </w:rPr>
              <w:t>2,170,501.92</w:t>
            </w:r>
          </w:p>
        </w:tc>
        <w:tc>
          <w:tcPr>
            <w:vAlign w:val="center"/>
          </w:tcPr>
          <w:p>
            <w:pPr>
              <w:jc w:val="right"/>
            </w:pPr>
            <w:r>
              <w:rPr>
                <w:color w:val="000000"/>
                <w:sz w:val="24"/>
              </w:rPr>
              <w:t>2.04</w:t>
            </w:r>
          </w:p>
        </w:tc>
      </w:tr>
      <w:tr>
        <w:tc>
          <w:tcPr>
            <w:vAlign w:val="center"/>
          </w:tcPr>
          <w:p>
            <w:pPr>
              <w:jc w:val="center"/>
            </w:pPr>
            <w:r>
              <w:rPr>
                <w:color w:val="000000"/>
                <w:sz w:val="24"/>
              </w:rPr>
              <w:t>15</w:t>
            </w:r>
          </w:p>
        </w:tc>
        <w:tc>
          <w:tcPr>
            <w:vAlign w:val="center"/>
          </w:tcPr>
          <w:p>
            <w:pPr>
              <w:jc w:val="center"/>
            </w:pPr>
            <w:r>
              <w:rPr>
                <w:color w:val="000000"/>
                <w:sz w:val="24"/>
              </w:rPr>
              <w:t>128051</w:t>
            </w:r>
          </w:p>
        </w:tc>
        <w:tc>
          <w:tcPr>
            <w:vAlign w:val="center"/>
          </w:tcPr>
          <w:p>
            <w:pPr>
              <w:jc w:val="center"/>
            </w:pPr>
            <w:r>
              <w:rPr>
                <w:color w:val="000000"/>
                <w:sz w:val="24"/>
              </w:rPr>
              <w:t>光华转债</w:t>
            </w:r>
          </w:p>
        </w:tc>
        <w:tc>
          <w:tcPr>
            <w:vAlign w:val="center"/>
          </w:tcPr>
          <w:p>
            <w:pPr>
              <w:jc w:val="right"/>
            </w:pPr>
            <w:r>
              <w:rPr>
                <w:color w:val="000000"/>
                <w:sz w:val="24"/>
              </w:rPr>
              <w:t>1,968,548.00</w:t>
            </w:r>
          </w:p>
        </w:tc>
        <w:tc>
          <w:tcPr>
            <w:vAlign w:val="center"/>
          </w:tcPr>
          <w:p>
            <w:pPr>
              <w:jc w:val="right"/>
            </w:pPr>
            <w:r>
              <w:rPr>
                <w:color w:val="000000"/>
                <w:sz w:val="24"/>
              </w:rPr>
              <w:t>1.85</w:t>
            </w:r>
          </w:p>
        </w:tc>
      </w:tr>
      <w:tr>
        <w:tc>
          <w:tcPr>
            <w:vAlign w:val="center"/>
          </w:tcPr>
          <w:p>
            <w:pPr>
              <w:jc w:val="center"/>
            </w:pPr>
            <w:r>
              <w:rPr>
                <w:color w:val="000000"/>
                <w:sz w:val="24"/>
              </w:rPr>
              <w:t>16</w:t>
            </w:r>
          </w:p>
        </w:tc>
        <w:tc>
          <w:tcPr>
            <w:vAlign w:val="center"/>
          </w:tcPr>
          <w:p>
            <w:pPr>
              <w:jc w:val="center"/>
            </w:pPr>
            <w:r>
              <w:rPr>
                <w:color w:val="000000"/>
                <w:sz w:val="24"/>
              </w:rPr>
              <w:t>123023</w:t>
            </w:r>
          </w:p>
        </w:tc>
        <w:tc>
          <w:tcPr>
            <w:vAlign w:val="center"/>
          </w:tcPr>
          <w:p>
            <w:pPr>
              <w:jc w:val="center"/>
            </w:pPr>
            <w:r>
              <w:rPr>
                <w:color w:val="000000"/>
                <w:sz w:val="24"/>
              </w:rPr>
              <w:t>迪森转债</w:t>
            </w:r>
          </w:p>
        </w:tc>
        <w:tc>
          <w:tcPr>
            <w:vAlign w:val="center"/>
          </w:tcPr>
          <w:p>
            <w:pPr>
              <w:jc w:val="right"/>
            </w:pPr>
            <w:r>
              <w:rPr>
                <w:color w:val="000000"/>
                <w:sz w:val="24"/>
              </w:rPr>
              <w:t>1,950,738.08</w:t>
            </w:r>
          </w:p>
        </w:tc>
        <w:tc>
          <w:tcPr>
            <w:vAlign w:val="center"/>
          </w:tcPr>
          <w:p>
            <w:pPr>
              <w:jc w:val="right"/>
            </w:pPr>
            <w:r>
              <w:rPr>
                <w:color w:val="000000"/>
                <w:sz w:val="24"/>
              </w:rPr>
              <w:t>1.83</w:t>
            </w:r>
          </w:p>
        </w:tc>
      </w:tr>
      <w:tr>
        <w:tc>
          <w:tcPr>
            <w:vAlign w:val="center"/>
          </w:tcPr>
          <w:p>
            <w:pPr>
              <w:jc w:val="center"/>
            </w:pPr>
            <w:r>
              <w:rPr>
                <w:color w:val="000000"/>
                <w:sz w:val="24"/>
              </w:rPr>
              <w:t>17</w:t>
            </w:r>
          </w:p>
        </w:tc>
        <w:tc>
          <w:tcPr>
            <w:vAlign w:val="center"/>
          </w:tcPr>
          <w:p>
            <w:pPr>
              <w:jc w:val="center"/>
            </w:pPr>
            <w:r>
              <w:rPr>
                <w:color w:val="000000"/>
                <w:sz w:val="24"/>
              </w:rPr>
              <w:t>113547</w:t>
            </w:r>
          </w:p>
        </w:tc>
        <w:tc>
          <w:tcPr>
            <w:vAlign w:val="center"/>
          </w:tcPr>
          <w:p>
            <w:pPr>
              <w:jc w:val="center"/>
            </w:pPr>
            <w:r>
              <w:rPr>
                <w:color w:val="000000"/>
                <w:sz w:val="24"/>
              </w:rPr>
              <w:t>索发转债</w:t>
            </w:r>
          </w:p>
        </w:tc>
        <w:tc>
          <w:tcPr>
            <w:vAlign w:val="center"/>
          </w:tcPr>
          <w:p>
            <w:pPr>
              <w:jc w:val="right"/>
            </w:pPr>
            <w:r>
              <w:rPr>
                <w:color w:val="000000"/>
                <w:sz w:val="24"/>
              </w:rPr>
              <w:t>1,757,050.20</w:t>
            </w:r>
          </w:p>
        </w:tc>
        <w:tc>
          <w:tcPr>
            <w:vAlign w:val="center"/>
          </w:tcPr>
          <w:p>
            <w:pPr>
              <w:jc w:val="right"/>
            </w:pPr>
            <w:r>
              <w:rPr>
                <w:color w:val="000000"/>
                <w:sz w:val="24"/>
              </w:rPr>
              <w:t>1.65</w:t>
            </w:r>
          </w:p>
        </w:tc>
      </w:tr>
      <w:tr>
        <w:tc>
          <w:tcPr>
            <w:vAlign w:val="center"/>
          </w:tcPr>
          <w:p>
            <w:pPr>
              <w:jc w:val="center"/>
            </w:pPr>
            <w:r>
              <w:rPr>
                <w:color w:val="000000"/>
                <w:sz w:val="24"/>
              </w:rPr>
              <w:t>18</w:t>
            </w:r>
          </w:p>
        </w:tc>
        <w:tc>
          <w:tcPr>
            <w:vAlign w:val="center"/>
          </w:tcPr>
          <w:p>
            <w:pPr>
              <w:jc w:val="center"/>
            </w:pPr>
            <w:r>
              <w:rPr>
                <w:color w:val="000000"/>
                <w:sz w:val="24"/>
              </w:rPr>
              <w:t>113550</w:t>
            </w:r>
          </w:p>
        </w:tc>
        <w:tc>
          <w:tcPr>
            <w:vAlign w:val="center"/>
          </w:tcPr>
          <w:p>
            <w:pPr>
              <w:jc w:val="center"/>
            </w:pPr>
            <w:r>
              <w:rPr>
                <w:color w:val="000000"/>
                <w:sz w:val="24"/>
              </w:rPr>
              <w:t>常汽转债</w:t>
            </w:r>
          </w:p>
        </w:tc>
        <w:tc>
          <w:tcPr>
            <w:vAlign w:val="center"/>
          </w:tcPr>
          <w:p>
            <w:pPr>
              <w:jc w:val="right"/>
            </w:pPr>
            <w:r>
              <w:rPr>
                <w:color w:val="000000"/>
                <w:sz w:val="24"/>
              </w:rPr>
              <w:t>1,729,840.00</w:t>
            </w:r>
          </w:p>
        </w:tc>
        <w:tc>
          <w:tcPr>
            <w:vAlign w:val="center"/>
          </w:tcPr>
          <w:p>
            <w:pPr>
              <w:jc w:val="right"/>
            </w:pPr>
            <w:r>
              <w:rPr>
                <w:color w:val="000000"/>
                <w:sz w:val="24"/>
              </w:rPr>
              <w:t>1.62</w:t>
            </w:r>
          </w:p>
        </w:tc>
      </w:tr>
      <w:tr>
        <w:tc>
          <w:tcPr>
            <w:vAlign w:val="center"/>
          </w:tcPr>
          <w:p>
            <w:pPr>
              <w:jc w:val="center"/>
            </w:pPr>
            <w:r>
              <w:rPr>
                <w:color w:val="000000"/>
                <w:sz w:val="24"/>
              </w:rPr>
              <w:t>19</w:t>
            </w:r>
          </w:p>
        </w:tc>
        <w:tc>
          <w:tcPr>
            <w:vAlign w:val="center"/>
          </w:tcPr>
          <w:p>
            <w:pPr>
              <w:jc w:val="center"/>
            </w:pPr>
            <w:r>
              <w:rPr>
                <w:color w:val="000000"/>
                <w:sz w:val="24"/>
              </w:rPr>
              <w:t>128063</w:t>
            </w:r>
          </w:p>
        </w:tc>
        <w:tc>
          <w:tcPr>
            <w:vAlign w:val="center"/>
          </w:tcPr>
          <w:p>
            <w:pPr>
              <w:jc w:val="center"/>
            </w:pPr>
            <w:r>
              <w:rPr>
                <w:color w:val="000000"/>
                <w:sz w:val="24"/>
              </w:rPr>
              <w:t>未来转债</w:t>
            </w:r>
          </w:p>
        </w:tc>
        <w:tc>
          <w:tcPr>
            <w:vAlign w:val="center"/>
          </w:tcPr>
          <w:p>
            <w:pPr>
              <w:jc w:val="right"/>
            </w:pPr>
            <w:r>
              <w:rPr>
                <w:color w:val="000000"/>
                <w:sz w:val="24"/>
              </w:rPr>
              <w:t>1,639,793.78</w:t>
            </w:r>
          </w:p>
        </w:tc>
        <w:tc>
          <w:tcPr>
            <w:vAlign w:val="center"/>
          </w:tcPr>
          <w:p>
            <w:pPr>
              <w:jc w:val="right"/>
            </w:pPr>
            <w:r>
              <w:rPr>
                <w:color w:val="000000"/>
                <w:sz w:val="24"/>
              </w:rPr>
              <w:t>1.54</w:t>
            </w:r>
          </w:p>
        </w:tc>
      </w:tr>
      <w:tr>
        <w:tc>
          <w:tcPr>
            <w:vAlign w:val="center"/>
          </w:tcPr>
          <w:p>
            <w:pPr>
              <w:jc w:val="center"/>
            </w:pPr>
            <w:r>
              <w:rPr>
                <w:color w:val="000000"/>
                <w:sz w:val="24"/>
              </w:rPr>
              <w:t>20</w:t>
            </w:r>
          </w:p>
        </w:tc>
        <w:tc>
          <w:tcPr>
            <w:vAlign w:val="center"/>
          </w:tcPr>
          <w:p>
            <w:pPr>
              <w:jc w:val="center"/>
            </w:pPr>
            <w:r>
              <w:rPr>
                <w:color w:val="000000"/>
                <w:sz w:val="24"/>
              </w:rPr>
              <w:t>113527</w:t>
            </w:r>
          </w:p>
        </w:tc>
        <w:tc>
          <w:tcPr>
            <w:vAlign w:val="center"/>
          </w:tcPr>
          <w:p>
            <w:pPr>
              <w:jc w:val="center"/>
            </w:pPr>
            <w:r>
              <w:rPr>
                <w:color w:val="000000"/>
                <w:sz w:val="24"/>
              </w:rPr>
              <w:t>维格转债</w:t>
            </w:r>
          </w:p>
        </w:tc>
        <w:tc>
          <w:tcPr>
            <w:vAlign w:val="center"/>
          </w:tcPr>
          <w:p>
            <w:pPr>
              <w:jc w:val="right"/>
            </w:pPr>
            <w:r>
              <w:rPr>
                <w:color w:val="000000"/>
                <w:sz w:val="24"/>
              </w:rPr>
              <w:t>1,383,307.20</w:t>
            </w:r>
          </w:p>
        </w:tc>
        <w:tc>
          <w:tcPr>
            <w:vAlign w:val="center"/>
          </w:tcPr>
          <w:p>
            <w:pPr>
              <w:jc w:val="right"/>
            </w:pPr>
            <w:r>
              <w:rPr>
                <w:color w:val="000000"/>
                <w:sz w:val="24"/>
              </w:rPr>
              <w:t>1.30</w:t>
            </w:r>
          </w:p>
        </w:tc>
      </w:tr>
      <w:tr>
        <w:tc>
          <w:tcPr>
            <w:vAlign w:val="center"/>
          </w:tcPr>
          <w:p>
            <w:pPr>
              <w:jc w:val="center"/>
            </w:pPr>
            <w:r>
              <w:rPr>
                <w:color w:val="000000"/>
                <w:sz w:val="24"/>
              </w:rPr>
              <w:t>21</w:t>
            </w:r>
          </w:p>
        </w:tc>
        <w:tc>
          <w:tcPr>
            <w:vAlign w:val="center"/>
          </w:tcPr>
          <w:p>
            <w:pPr>
              <w:jc w:val="center"/>
            </w:pPr>
            <w:r>
              <w:rPr>
                <w:color w:val="000000"/>
                <w:sz w:val="24"/>
              </w:rPr>
              <w:t>128056</w:t>
            </w:r>
          </w:p>
        </w:tc>
        <w:tc>
          <w:tcPr>
            <w:vAlign w:val="center"/>
          </w:tcPr>
          <w:p>
            <w:pPr>
              <w:jc w:val="center"/>
            </w:pPr>
            <w:r>
              <w:rPr>
                <w:color w:val="000000"/>
                <w:sz w:val="24"/>
              </w:rPr>
              <w:t>今飞转债</w:t>
            </w:r>
          </w:p>
        </w:tc>
        <w:tc>
          <w:tcPr>
            <w:vAlign w:val="center"/>
          </w:tcPr>
          <w:p>
            <w:pPr>
              <w:jc w:val="right"/>
            </w:pPr>
            <w:r>
              <w:rPr>
                <w:color w:val="000000"/>
                <w:sz w:val="24"/>
              </w:rPr>
              <w:t>1,184,640.00</w:t>
            </w:r>
          </w:p>
        </w:tc>
        <w:tc>
          <w:tcPr>
            <w:vAlign w:val="center"/>
          </w:tcPr>
          <w:p>
            <w:pPr>
              <w:jc w:val="right"/>
            </w:pPr>
            <w:r>
              <w:rPr>
                <w:color w:val="000000"/>
                <w:sz w:val="24"/>
              </w:rPr>
              <w:t>1.11</w:t>
            </w:r>
          </w:p>
        </w:tc>
      </w:tr>
      <w:tr>
        <w:tc>
          <w:tcPr>
            <w:vAlign w:val="center"/>
          </w:tcPr>
          <w:p>
            <w:pPr>
              <w:jc w:val="center"/>
            </w:pPr>
            <w:r>
              <w:rPr>
                <w:color w:val="000000"/>
                <w:sz w:val="24"/>
              </w:rPr>
              <w:t>22</w:t>
            </w:r>
          </w:p>
        </w:tc>
        <w:tc>
          <w:tcPr>
            <w:vAlign w:val="center"/>
          </w:tcPr>
          <w:p>
            <w:pPr>
              <w:jc w:val="center"/>
            </w:pPr>
            <w:r>
              <w:rPr>
                <w:color w:val="000000"/>
                <w:sz w:val="24"/>
              </w:rPr>
              <w:t>110038</w:t>
            </w:r>
          </w:p>
        </w:tc>
        <w:tc>
          <w:tcPr>
            <w:vAlign w:val="center"/>
          </w:tcPr>
          <w:p>
            <w:pPr>
              <w:jc w:val="center"/>
            </w:pPr>
            <w:r>
              <w:rPr>
                <w:color w:val="000000"/>
                <w:sz w:val="24"/>
              </w:rPr>
              <w:t>济川转债</w:t>
            </w:r>
          </w:p>
        </w:tc>
        <w:tc>
          <w:tcPr>
            <w:vAlign w:val="center"/>
          </w:tcPr>
          <w:p>
            <w:pPr>
              <w:jc w:val="right"/>
            </w:pPr>
            <w:r>
              <w:rPr>
                <w:color w:val="000000"/>
                <w:sz w:val="24"/>
              </w:rPr>
              <w:t>575,550.00</w:t>
            </w:r>
          </w:p>
        </w:tc>
        <w:tc>
          <w:tcPr>
            <w:vAlign w:val="center"/>
          </w:tcPr>
          <w:p>
            <w:pPr>
              <w:jc w:val="right"/>
            </w:pPr>
            <w:r>
              <w:rPr>
                <w:color w:val="000000"/>
                <w:sz w:val="24"/>
              </w:rPr>
              <w:t>0.54</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5,593,327.12</w:t>
            </w:r>
          </w:p>
        </w:tc>
        <w:tc>
          <w:tcPr>
            <w:vAlign w:val="center"/>
          </w:tcPr>
          <w:p>
            <w:pPr>
              <w:jc w:val="right"/>
            </w:pPr>
            <w:r>
              <w:rPr>
                <w:color w:val="000000"/>
                <w:sz w:val="24"/>
              </w:rPr>
              <w:t>5.25</w:t>
            </w:r>
          </w:p>
        </w:tc>
        <w:tc>
          <w:tcPr>
            <w:vAlign w:val="center"/>
          </w:tcPr>
          <w:p>
            <w:pPr>
              <w:jc w:val="right"/>
            </w:pPr>
            <w:r>
              <w:rPr>
                <w:color w:val="000000"/>
                <w:sz w:val="24"/>
              </w:rPr>
              <w:t>新股流通受限</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易方达鑫转添利混合A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易方达鑫转添利混合C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70,287,497.04</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29,120,014.55</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4,376,252.15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1,447,736.38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29,939,858.90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3,519,895.88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44,723,890.29</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27,047,855.05</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1.中国证监会准予易方达鑫转添利混合型证券投资基金注册的文件；</w:t>
      </w:r>
    </w:p>
    <w:p>
      <w:pPr>
        <w:spacing w:line="360" w:lineRule="auto"/>
        <w:ind w:firstLine="480" w:firstLineChars="200"/>
        <w:rPr>
          <w:color w:val="000000"/>
          <w:sz w:val="24"/>
        </w:rPr>
      </w:pPr>
      <w:r>
        <w:rPr>
          <w:color w:val="000000"/>
          <w:sz w:val="24"/>
        </w:rPr>
        <w:t>2.《易方达鑫转添利混合型证券投资基金基金合同》；</w:t>
      </w:r>
    </w:p>
    <w:p>
      <w:pPr>
        <w:spacing w:line="360" w:lineRule="auto"/>
        <w:ind w:firstLine="480" w:firstLineChars="200"/>
        <w:rPr>
          <w:color w:val="000000"/>
          <w:sz w:val="24"/>
        </w:rPr>
      </w:pPr>
      <w:r>
        <w:rPr>
          <w:color w:val="000000"/>
          <w:sz w:val="24"/>
        </w:rPr>
        <w:t>3.《易方达鑫转添利混合型证券投资基金托管协议》；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易方达鑫转添利混合型证券投资基金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