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易方达中盘成长混合型证券投资基金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易方达中盘成长混合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005875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005875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2018年7月4日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307,198,319.41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等资产类别的配置比例。在股票投资方面，本基金在所界定的中盘股（每季度末，对A股市场股票按总市值自大到小进行排序，累计总市值占A股总市值处于25%到75%范围之间的股票；或总市值在100亿港币至3000亿港币之间的香港市场股票）中根据行业景气度、竞争格局等因素选择预期成长性较好的成长股进行投资。在债券投资方面，本基金将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中证700指数收益率×65%+中证港股通综合指数收益率×15%+中债总指数收益率×20%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本基金为混合型基金，理论上其预期风险与预期收益水平低于股票型基金，高于债券型基金和货币市场基金。</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16,189,002.97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173,508,061.33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0.5031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617,547,792.70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2.0103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33.92%</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11.91%</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22.01%</w:t>
            </w:r>
          </w:p>
        </w:tc>
        <w:tc>
          <w:tcPr>
            <w:vAlign w:val="center"/>
          </w:tcPr>
          <w:p>
            <w:pPr>
              <w:jc w:val="center"/>
            </w:pPr>
            <w:r>
              <w:rPr>
                <w:color w:val="000000"/>
                <w:kern w:val="0"/>
                <w:sz w:val="24"/>
                <w:szCs w:val="24"/>
              </w:rPr>
              <w:t>0.37%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26.63%</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7.13%</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19.50%</w:t>
            </w:r>
          </w:p>
        </w:tc>
        <w:tc>
          <w:tcPr>
            <w:vAlign w:val="center"/>
          </w:tcPr>
          <w:p>
            <w:pPr>
              <w:jc w:val="center"/>
            </w:pPr>
            <w:r>
              <w:rPr>
                <w:color w:val="000000"/>
                <w:kern w:val="0"/>
                <w:sz w:val="24"/>
                <w:szCs w:val="24"/>
              </w:rPr>
              <w:t>0.46%</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55.19%</w:t>
            </w:r>
          </w:p>
        </w:tc>
        <w:tc>
          <w:tcPr>
            <w:vAlign w:val="center"/>
          </w:tcPr>
          <w:p>
            <w:pPr>
              <w:jc w:val="center"/>
            </w:pPr>
            <w:r>
              <w:rPr>
                <w:color w:val="000000"/>
                <w:kern w:val="0"/>
                <w:sz w:val="24"/>
                <w:szCs w:val="24"/>
              </w:rPr>
              <w:t>1.43%</w:t>
            </w:r>
          </w:p>
        </w:tc>
        <w:tc>
          <w:tcPr>
            <w:vAlign w:val="center"/>
          </w:tcPr>
          <w:p>
            <w:pPr>
              <w:jc w:val="center"/>
            </w:pPr>
            <w:r>
              <w:rPr>
                <w:color w:val="000000"/>
                <w:kern w:val="0"/>
                <w:sz w:val="24"/>
                <w:szCs w:val="24"/>
              </w:rPr>
              <w:t>14.20%</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40.99%</w:t>
            </w:r>
          </w:p>
        </w:tc>
        <w:tc>
          <w:tcPr>
            <w:vAlign w:val="center"/>
          </w:tcPr>
          <w:p>
            <w:pPr>
              <w:jc w:val="center"/>
            </w:pPr>
            <w:r>
              <w:rPr>
                <w:color w:val="000000"/>
                <w:kern w:val="0"/>
                <w:sz w:val="24"/>
                <w:szCs w:val="24"/>
              </w:rPr>
              <w:t>0.37%</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101.03%</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14.08%</w:t>
            </w:r>
          </w:p>
        </w:tc>
        <w:tc>
          <w:tcPr>
            <w:vAlign w:val="center"/>
          </w:tcPr>
          <w:p>
            <w:pPr>
              <w:jc w:val="center"/>
            </w:pPr>
            <w:r>
              <w:rPr>
                <w:color w:val="000000"/>
                <w:kern w:val="0"/>
                <w:sz w:val="24"/>
                <w:szCs w:val="24"/>
              </w:rPr>
              <w:t>1.13%</w:t>
            </w:r>
          </w:p>
        </w:tc>
        <w:tc>
          <w:tcPr>
            <w:vAlign w:val="center"/>
          </w:tcPr>
          <w:p>
            <w:pPr>
              <w:jc w:val="center"/>
            </w:pPr>
            <w:r>
              <w:rPr>
                <w:color w:val="000000"/>
                <w:kern w:val="0"/>
                <w:sz w:val="24"/>
                <w:szCs w:val="24"/>
              </w:rPr>
              <w:t>86.95%</w:t>
            </w:r>
          </w:p>
        </w:tc>
        <w:tc>
          <w:tcPr>
            <w:vAlign w:val="center"/>
          </w:tcPr>
          <w:p>
            <w:pPr>
              <w:jc w:val="center"/>
            </w:pPr>
            <w:r>
              <w:rPr>
                <w:color w:val="000000"/>
                <w:kern w:val="0"/>
                <w:sz w:val="24"/>
                <w:szCs w:val="24"/>
              </w:rPr>
              <w:t>0.18%</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易方达中盘成长混合型证券投资基金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2018年7月4日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注：自基金合同生效至报告期末，基金份额净值增长率为101.03%，同期业绩比较基准收益率为14.08%。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冯波</w:t>
            </w:r>
          </w:p>
        </w:tc>
        <w:tc>
          <w:tcPr>
            <w:vAlign w:val="center"/>
          </w:tcPr>
          <w:p>
            <w:pPr>
              <w:jc w:val="left"/>
            </w:pPr>
            <w:r>
              <w:rPr>
                <w:color w:val="000000"/>
                <w:sz w:val="24"/>
              </w:rPr>
              <w:t>本基金的基金经理、易方达行业领先企业混合型证券投资基金的基金经理、易方达研究精选股票型证券投资基金的基金经理、研究部总经理</w:t>
            </w:r>
          </w:p>
        </w:tc>
        <w:tc>
          <w:tcPr>
            <w:vAlign w:val="center"/>
          </w:tcPr>
          <w:p>
            <w:pPr>
              <w:jc w:val="center"/>
            </w:pPr>
            <w:r>
              <w:rPr>
                <w:color w:val="000000"/>
                <w:sz w:val="24"/>
              </w:rPr>
              <w:t>2018-07-04</w:t>
            </w:r>
          </w:p>
        </w:tc>
        <w:tc>
          <w:tcPr>
            <w:vAlign w:val="center"/>
          </w:tcPr>
          <w:p>
            <w:pPr>
              <w:jc w:val="center"/>
            </w:pPr>
            <w:r>
              <w:rPr>
                <w:color w:val="000000"/>
                <w:sz w:val="24"/>
              </w:rPr>
              <w:t>-</w:t>
            </w:r>
          </w:p>
        </w:tc>
        <w:tc>
          <w:tcPr>
            <w:vAlign w:val="center"/>
          </w:tcPr>
          <w:p>
            <w:pPr>
              <w:jc w:val="center"/>
            </w:pPr>
            <w:r>
              <w:rPr>
                <w:color w:val="000000"/>
                <w:sz w:val="24"/>
              </w:rPr>
              <w:t>19年</w:t>
            </w:r>
          </w:p>
        </w:tc>
        <w:tc>
          <w:tcPr>
            <w:vAlign w:val="center"/>
          </w:tcPr>
          <w:p>
            <w:pPr>
              <w:jc w:val="both"/>
            </w:pPr>
            <w:r>
              <w:rPr>
                <w:color w:val="000000"/>
                <w:sz w:val="24"/>
              </w:rPr>
              <w:t>硕士研究生，具有基金从业资格。曾任广东发展银行行员，易方达基金管理有限公司市场拓展部研究员、市场拓展部副经理、市场部大区销售经理、北京分公司副总经理、研究部行业研究员、基金经理助理、研究部总经理助理、研究部副总经理、易方达科汇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二季度，全球疫情度过了最困难的阶段。欧洲、亚洲大部分国家的疫情得到了有效控制，新增病例数、死亡数均从高点大幅回落；但美国的疫情仍维持在高位，南美、印度等国家情况也仍然严重。随着各国采取了大力度的货币、财政政策对冲疫情的影响，投资者的恐慌情绪得到缓解，全球市场从低位大幅反弹。随着中国疫情控制成功，政府各种经济刺激政策逐步见效，中国经济稳步回升。在上述背景下，A股市场大幅上扬，截至季末，上证指数收于2985点，涨幅8.52%。受益于流动性放松和风险偏好的持续提升，创业板指数大涨30.25%。行业上，医药、TMT、消费等行业表现较好，大幅战胜市场；而银行、采掘、纺织服装、建筑装饰等行业仍然受疫情影响较大，涨幅靠后。香港市场方面，随着全球股市反弹港股也持续反弹，互联网、医药等行业涨幅明显。</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于国内外疫情和经济环境的变化，本基金二季度在资产配置上，保持了较高的股票仓位，并适当增加了港股的配置比例。行业方面，基本维持上期配置，小幅进行了结构调整。个股方面，加大结构调整力度，继续从中期角度出发，增加核心竞争力突出、长期估值水平合理的个股，同时减持短期涨幅过大、估值过高的公司，取得了较好效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截至报告期末，本基金份额净值为2.0103元，本报告期份额净值增长率为33.92%，同期业绩比较基准收益率为11.91%。</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551,314,667.73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551,314,667.73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490,400.00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490,400.00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68,380,635.55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10.92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5,864,759.11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0.94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626,050,462.39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注：本基金本报告期末通过港股通交易机制投资的港股市值为125,574,451.52元,占净值比例20.33%。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368,529,184.54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59.68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14,264,426.57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2,093,652.08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0.34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15,846,064.00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12,420,439.00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12,573,683.70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425,740,216.21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68.94</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24,741,801.22</w:t>
            </w:r>
          </w:p>
        </w:tc>
        <w:tc>
          <w:tcPr>
            <w:vAlign w:val="center"/>
          </w:tcPr>
          <w:p>
            <w:pPr>
              <w:jc w:val="center"/>
            </w:pPr>
            <w:r>
              <w:rPr>
                <w:rFonts w:eastAsiaTheme="minorEastAsia"/>
                <w:color w:themeColor="text1" w:val="000000"/>
                <w:kern w:val="0"/>
                <w:sz w:val="24"/>
                <w:szCs w:val="24"/>
              </w:rPr>
              <w:t>4.01</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43,165,082.19</w:t>
            </w:r>
          </w:p>
        </w:tc>
        <w:tc>
          <w:tcPr>
            <w:vAlign w:val="center"/>
          </w:tcPr>
          <w:p>
            <w:pPr>
              <w:jc w:val="center"/>
            </w:pPr>
            <w:r>
              <w:rPr>
                <w:rFonts w:eastAsiaTheme="minorEastAsia"/>
                <w:color w:themeColor="text1" w:val="000000"/>
                <w:kern w:val="0"/>
                <w:sz w:val="24"/>
                <w:szCs w:val="24"/>
              </w:rPr>
              <w:t>6.99</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29,985,220.85</w:t>
            </w:r>
          </w:p>
        </w:tc>
        <w:tc>
          <w:tcPr>
            <w:vAlign w:val="center"/>
          </w:tcPr>
          <w:p>
            <w:pPr>
              <w:jc w:val="center"/>
            </w:pPr>
            <w:r>
              <w:rPr>
                <w:rFonts w:eastAsiaTheme="minorEastAsia"/>
                <w:color w:themeColor="text1" w:val="000000"/>
                <w:kern w:val="0"/>
                <w:sz w:val="24"/>
                <w:szCs w:val="24"/>
              </w:rPr>
              <w:t>4.86</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27,682,347.26</w:t>
            </w:r>
          </w:p>
        </w:tc>
        <w:tc>
          <w:tcPr>
            <w:vAlign w:val="center"/>
          </w:tcPr>
          <w:p>
            <w:pPr>
              <w:jc w:val="center"/>
            </w:pPr>
            <w:r>
              <w:rPr>
                <w:rFonts w:eastAsiaTheme="minorEastAsia"/>
                <w:color w:themeColor="text1" w:val="000000"/>
                <w:kern w:val="0"/>
                <w:sz w:val="24"/>
                <w:szCs w:val="24"/>
              </w:rPr>
              <w:t>4.48</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125,574,451.52</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20.33</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577,541</w:t>
            </w:r>
          </w:p>
        </w:tc>
        <w:tc>
          <w:tcPr>
            <w:vAlign w:val="center"/>
          </w:tcPr>
          <w:p>
            <w:pPr>
              <w:jc w:val="right"/>
            </w:pPr>
            <w:r>
              <w:rPr>
                <w:color w:val="000000"/>
                <w:kern w:val="0"/>
                <w:sz w:val="24"/>
                <w:szCs w:val="24"/>
              </w:rPr>
              <w:t>52,625,535.92</w:t>
            </w:r>
          </w:p>
        </w:tc>
        <w:tc>
          <w:tcPr>
            <w:vAlign w:val="center"/>
          </w:tcPr>
          <w:p>
            <w:pPr>
              <w:jc w:val="right"/>
            </w:pPr>
            <w:r>
              <w:rPr>
                <w:color w:val="000000"/>
                <w:kern w:val="0"/>
                <w:sz w:val="24"/>
                <w:szCs w:val="24"/>
              </w:rPr>
              <w:t>8.52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458,280</w:t>
            </w:r>
          </w:p>
        </w:tc>
        <w:tc>
          <w:tcPr>
            <w:vAlign w:val="center"/>
          </w:tcPr>
          <w:p>
            <w:pPr>
              <w:jc w:val="right"/>
            </w:pPr>
            <w:r>
              <w:rPr>
                <w:color w:val="000000"/>
                <w:kern w:val="0"/>
                <w:sz w:val="24"/>
                <w:szCs w:val="24"/>
              </w:rPr>
              <w:t>42,299,244.00</w:t>
            </w:r>
          </w:p>
        </w:tc>
        <w:tc>
          <w:tcPr>
            <w:vAlign w:val="center"/>
          </w:tcPr>
          <w:p>
            <w:pPr>
              <w:jc w:val="right"/>
            </w:pPr>
            <w:r>
              <w:rPr>
                <w:color w:val="000000"/>
                <w:kern w:val="0"/>
                <w:sz w:val="24"/>
                <w:szCs w:val="24"/>
              </w:rPr>
              <w:t>6.85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783,492</w:t>
            </w:r>
          </w:p>
        </w:tc>
        <w:tc>
          <w:tcPr>
            <w:vAlign w:val="center"/>
          </w:tcPr>
          <w:p>
            <w:pPr>
              <w:jc w:val="right"/>
            </w:pPr>
            <w:r>
              <w:rPr>
                <w:color w:val="000000"/>
                <w:kern w:val="0"/>
                <w:sz w:val="24"/>
                <w:szCs w:val="24"/>
              </w:rPr>
              <w:t>40,232,314.20</w:t>
            </w:r>
          </w:p>
        </w:tc>
        <w:tc>
          <w:tcPr>
            <w:vAlign w:val="center"/>
          </w:tcPr>
          <w:p>
            <w:pPr>
              <w:jc w:val="right"/>
            </w:pPr>
            <w:r>
              <w:rPr>
                <w:color w:val="000000"/>
                <w:kern w:val="0"/>
                <w:sz w:val="24"/>
                <w:szCs w:val="24"/>
              </w:rPr>
              <w:t>6.51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00291</w:t>
            </w:r>
          </w:p>
        </w:tc>
        <w:tc>
          <w:tcPr>
            <w:vAlign w:val="center"/>
          </w:tcPr>
          <w:p>
            <w:pPr>
              <w:jc w:val="center"/>
            </w:pPr>
            <w:r>
              <w:rPr>
                <w:color w:val="000000"/>
                <w:kern w:val="0"/>
                <w:sz w:val="24"/>
                <w:szCs w:val="24"/>
              </w:rPr>
              <w:t>华润啤酒</w:t>
            </w:r>
          </w:p>
        </w:tc>
        <w:tc>
          <w:tcPr>
            <w:vAlign w:val="center"/>
          </w:tcPr>
          <w:p>
            <w:pPr>
              <w:jc w:val="right"/>
            </w:pPr>
            <w:r>
              <w:rPr>
                <w:color w:val="000000"/>
                <w:kern w:val="0"/>
                <w:sz w:val="24"/>
                <w:szCs w:val="24"/>
              </w:rPr>
              <w:t>860,000</w:t>
            </w:r>
          </w:p>
        </w:tc>
        <w:tc>
          <w:tcPr>
            <w:vAlign w:val="center"/>
          </w:tcPr>
          <w:p>
            <w:pPr>
              <w:jc w:val="right"/>
            </w:pPr>
            <w:r>
              <w:rPr>
                <w:color w:val="000000"/>
                <w:kern w:val="0"/>
                <w:sz w:val="24"/>
                <w:szCs w:val="24"/>
              </w:rPr>
              <w:t>33,936,122.88</w:t>
            </w:r>
          </w:p>
        </w:tc>
        <w:tc>
          <w:tcPr>
            <w:vAlign w:val="center"/>
          </w:tcPr>
          <w:p>
            <w:pPr>
              <w:jc w:val="right"/>
            </w:pPr>
            <w:r>
              <w:rPr>
                <w:color w:val="000000"/>
                <w:kern w:val="0"/>
                <w:sz w:val="24"/>
                <w:szCs w:val="24"/>
              </w:rPr>
              <w:t>5.50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000661</w:t>
            </w:r>
          </w:p>
        </w:tc>
        <w:tc>
          <w:tcPr>
            <w:vAlign w:val="center"/>
          </w:tcPr>
          <w:p>
            <w:pPr>
              <w:jc w:val="center"/>
            </w:pPr>
            <w:r>
              <w:rPr>
                <w:color w:val="000000"/>
                <w:kern w:val="0"/>
                <w:sz w:val="24"/>
                <w:szCs w:val="24"/>
              </w:rPr>
              <w:t>长春高新</w:t>
            </w:r>
          </w:p>
        </w:tc>
        <w:tc>
          <w:tcPr>
            <w:vAlign w:val="center"/>
          </w:tcPr>
          <w:p>
            <w:pPr>
              <w:jc w:val="right"/>
            </w:pPr>
            <w:r>
              <w:rPr>
                <w:color w:val="000000"/>
                <w:kern w:val="0"/>
                <w:sz w:val="24"/>
                <w:szCs w:val="24"/>
              </w:rPr>
              <w:t>77,800</w:t>
            </w:r>
          </w:p>
        </w:tc>
        <w:tc>
          <w:tcPr>
            <w:vAlign w:val="center"/>
          </w:tcPr>
          <w:p>
            <w:pPr>
              <w:jc w:val="right"/>
            </w:pPr>
            <w:r>
              <w:rPr>
                <w:color w:val="000000"/>
                <w:kern w:val="0"/>
                <w:sz w:val="24"/>
                <w:szCs w:val="24"/>
              </w:rPr>
              <w:t>33,866,340.00</w:t>
            </w:r>
          </w:p>
        </w:tc>
        <w:tc>
          <w:tcPr>
            <w:vAlign w:val="center"/>
          </w:tcPr>
          <w:p>
            <w:pPr>
              <w:jc w:val="right"/>
            </w:pPr>
            <w:r>
              <w:rPr>
                <w:color w:val="000000"/>
                <w:kern w:val="0"/>
                <w:sz w:val="24"/>
                <w:szCs w:val="24"/>
              </w:rPr>
              <w:t>5.48</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829,734</w:t>
            </w:r>
          </w:p>
        </w:tc>
        <w:tc>
          <w:tcPr>
            <w:vAlign w:val="center"/>
          </w:tcPr>
          <w:p>
            <w:pPr>
              <w:jc w:val="right"/>
            </w:pPr>
            <w:r>
              <w:rPr>
                <w:color w:val="000000"/>
                <w:kern w:val="0"/>
                <w:sz w:val="24"/>
                <w:szCs w:val="24"/>
              </w:rPr>
              <w:t>33,795,065.82</w:t>
            </w:r>
          </w:p>
        </w:tc>
        <w:tc>
          <w:tcPr>
            <w:vAlign w:val="center"/>
          </w:tcPr>
          <w:p>
            <w:pPr>
              <w:jc w:val="right"/>
            </w:pPr>
            <w:r>
              <w:rPr>
                <w:color w:val="000000"/>
                <w:kern w:val="0"/>
                <w:sz w:val="24"/>
                <w:szCs w:val="24"/>
              </w:rPr>
              <w:t>5.47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02269</w:t>
            </w:r>
          </w:p>
        </w:tc>
        <w:tc>
          <w:tcPr>
            <w:vAlign w:val="center"/>
          </w:tcPr>
          <w:p>
            <w:pPr>
              <w:jc w:val="center"/>
            </w:pPr>
            <w:r>
              <w:rPr>
                <w:color w:val="000000"/>
                <w:kern w:val="0"/>
                <w:sz w:val="24"/>
                <w:szCs w:val="24"/>
              </w:rPr>
              <w:t>药明生物</w:t>
            </w:r>
          </w:p>
        </w:tc>
        <w:tc>
          <w:tcPr>
            <w:vAlign w:val="center"/>
          </w:tcPr>
          <w:p>
            <w:pPr>
              <w:jc w:val="right"/>
            </w:pPr>
            <w:r>
              <w:rPr>
                <w:color w:val="000000"/>
                <w:kern w:val="0"/>
                <w:sz w:val="24"/>
                <w:szCs w:val="24"/>
              </w:rPr>
              <w:t>231,500</w:t>
            </w:r>
          </w:p>
        </w:tc>
        <w:tc>
          <w:tcPr>
            <w:vAlign w:val="center"/>
          </w:tcPr>
          <w:p>
            <w:pPr>
              <w:jc w:val="right"/>
            </w:pPr>
            <w:r>
              <w:rPr>
                <w:color w:val="000000"/>
                <w:kern w:val="0"/>
                <w:sz w:val="24"/>
                <w:szCs w:val="24"/>
              </w:rPr>
              <w:t>29,985,220.85</w:t>
            </w:r>
          </w:p>
        </w:tc>
        <w:tc>
          <w:tcPr>
            <w:vAlign w:val="center"/>
          </w:tcPr>
          <w:p>
            <w:pPr>
              <w:jc w:val="right"/>
            </w:pPr>
            <w:r>
              <w:rPr>
                <w:color w:val="000000"/>
                <w:kern w:val="0"/>
                <w:sz w:val="24"/>
                <w:szCs w:val="24"/>
              </w:rPr>
              <w:t>4.86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000100</w:t>
            </w:r>
          </w:p>
        </w:tc>
        <w:tc>
          <w:tcPr>
            <w:vAlign w:val="center"/>
          </w:tcPr>
          <w:p>
            <w:pPr>
              <w:jc w:val="center"/>
            </w:pPr>
            <w:r>
              <w:rPr>
                <w:color w:val="000000"/>
                <w:kern w:val="0"/>
                <w:sz w:val="24"/>
                <w:szCs w:val="24"/>
              </w:rPr>
              <w:t>TCL科技</w:t>
            </w:r>
          </w:p>
        </w:tc>
        <w:tc>
          <w:tcPr>
            <w:vAlign w:val="center"/>
          </w:tcPr>
          <w:p>
            <w:pPr>
              <w:jc w:val="right"/>
            </w:pPr>
            <w:r>
              <w:rPr>
                <w:color w:val="000000"/>
                <w:kern w:val="0"/>
                <w:sz w:val="24"/>
                <w:szCs w:val="24"/>
              </w:rPr>
              <w:t>4,754,446</w:t>
            </w:r>
          </w:p>
        </w:tc>
        <w:tc>
          <w:tcPr>
            <w:vAlign w:val="center"/>
          </w:tcPr>
          <w:p>
            <w:pPr>
              <w:jc w:val="right"/>
            </w:pPr>
            <w:r>
              <w:rPr>
                <w:color w:val="000000"/>
                <w:kern w:val="0"/>
                <w:sz w:val="24"/>
                <w:szCs w:val="24"/>
              </w:rPr>
              <w:t>29,477,565.20</w:t>
            </w:r>
          </w:p>
        </w:tc>
        <w:tc>
          <w:tcPr>
            <w:vAlign w:val="center"/>
          </w:tcPr>
          <w:p>
            <w:pPr>
              <w:jc w:val="right"/>
            </w:pPr>
            <w:r>
              <w:rPr>
                <w:color w:val="000000"/>
                <w:kern w:val="0"/>
                <w:sz w:val="24"/>
                <w:szCs w:val="24"/>
              </w:rPr>
              <w:t>4.77</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02382</w:t>
            </w:r>
          </w:p>
        </w:tc>
        <w:tc>
          <w:tcPr>
            <w:vAlign w:val="center"/>
          </w:tcPr>
          <w:p>
            <w:pPr>
              <w:jc w:val="center"/>
            </w:pPr>
            <w:r>
              <w:rPr>
                <w:color w:val="000000"/>
                <w:kern w:val="0"/>
                <w:sz w:val="24"/>
                <w:szCs w:val="24"/>
              </w:rPr>
              <w:t>舜宇光学科技</w:t>
            </w:r>
          </w:p>
        </w:tc>
        <w:tc>
          <w:tcPr>
            <w:vAlign w:val="center"/>
          </w:tcPr>
          <w:p>
            <w:pPr>
              <w:jc w:val="right"/>
            </w:pPr>
            <w:r>
              <w:rPr>
                <w:color w:val="000000"/>
                <w:kern w:val="0"/>
                <w:sz w:val="24"/>
                <w:szCs w:val="24"/>
              </w:rPr>
              <w:t>244,400</w:t>
            </w:r>
          </w:p>
        </w:tc>
        <w:tc>
          <w:tcPr>
            <w:vAlign w:val="center"/>
          </w:tcPr>
          <w:p>
            <w:pPr>
              <w:jc w:val="right"/>
            </w:pPr>
            <w:r>
              <w:rPr>
                <w:color w:val="000000"/>
                <w:kern w:val="0"/>
                <w:sz w:val="24"/>
                <w:szCs w:val="24"/>
              </w:rPr>
              <w:t>27,682,347.26</w:t>
            </w:r>
          </w:p>
        </w:tc>
        <w:tc>
          <w:tcPr>
            <w:vAlign w:val="center"/>
          </w:tcPr>
          <w:p>
            <w:pPr>
              <w:jc w:val="right"/>
            </w:pPr>
            <w:r>
              <w:rPr>
                <w:color w:val="000000"/>
                <w:kern w:val="0"/>
                <w:sz w:val="24"/>
                <w:szCs w:val="24"/>
              </w:rPr>
              <w:t>4.48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02020</w:t>
            </w:r>
          </w:p>
        </w:tc>
        <w:tc>
          <w:tcPr>
            <w:vAlign w:val="center"/>
          </w:tcPr>
          <w:p>
            <w:pPr>
              <w:jc w:val="center"/>
            </w:pPr>
            <w:r>
              <w:rPr>
                <w:color w:val="000000"/>
                <w:kern w:val="0"/>
                <w:sz w:val="24"/>
                <w:szCs w:val="24"/>
              </w:rPr>
              <w:t>安踏体育</w:t>
            </w:r>
          </w:p>
        </w:tc>
        <w:tc>
          <w:tcPr>
            <w:vAlign w:val="center"/>
          </w:tcPr>
          <w:p>
            <w:pPr>
              <w:jc w:val="right"/>
            </w:pPr>
            <w:r>
              <w:rPr>
                <w:color w:val="000000"/>
                <w:kern w:val="0"/>
                <w:sz w:val="24"/>
                <w:szCs w:val="24"/>
              </w:rPr>
              <w:t>396,000</w:t>
            </w:r>
          </w:p>
        </w:tc>
        <w:tc>
          <w:tcPr>
            <w:vAlign w:val="center"/>
          </w:tcPr>
          <w:p>
            <w:pPr>
              <w:jc w:val="right"/>
            </w:pPr>
            <w:r>
              <w:rPr>
                <w:color w:val="000000"/>
                <w:kern w:val="0"/>
                <w:sz w:val="24"/>
                <w:szCs w:val="24"/>
              </w:rPr>
              <w:t>24,741,801.22</w:t>
            </w:r>
          </w:p>
        </w:tc>
        <w:tc>
          <w:tcPr>
            <w:vAlign w:val="center"/>
          </w:tcPr>
          <w:p>
            <w:pPr>
              <w:jc w:val="right"/>
            </w:pPr>
            <w:r>
              <w:rPr>
                <w:color w:val="000000"/>
                <w:kern w:val="0"/>
                <w:sz w:val="24"/>
                <w:szCs w:val="24"/>
              </w:rPr>
              <w:t>4.01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490,400.00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490,400.00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4,904</w:t>
            </w:r>
          </w:p>
        </w:tc>
        <w:tc>
          <w:tcPr>
            <w:vAlign w:val="center"/>
          </w:tcPr>
          <w:p>
            <w:pPr>
              <w:jc w:val="right"/>
            </w:pPr>
            <w:r>
              <w:rPr>
                <w:color w:val="000000"/>
                <w:kern w:val="0"/>
                <w:sz w:val="24"/>
                <w:szCs w:val="24"/>
              </w:rPr>
              <w:t>490,400.00</w:t>
            </w:r>
          </w:p>
        </w:tc>
        <w:tc>
          <w:tcPr>
            <w:vAlign w:val="center"/>
          </w:tcPr>
          <w:p>
            <w:pPr>
              <w:jc w:val="right"/>
            </w:pPr>
            <w:r>
              <w:rPr>
                <w:color w:val="000000"/>
                <w:kern w:val="0"/>
                <w:sz w:val="24"/>
                <w:szCs w:val="24"/>
              </w:rPr>
              <w:t>0.08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2019年9月26日，美国国际贸易委员会(ITC)根据美国Global Foundries公司提出的申请，决定对包括TCL集团（现已更名为“TCL科技”）在内的多家公司提起337调查，指控包括该公司在内的一系列企业对美出口、在美进口和在美销售的相关产品侵犯其专利权。2019年10月29日，上述337调查的芯片制程工艺方与Global Foundries公司联合宣布已就双方现有及未来十年将申请的半导体技术专利达成全球专利交互授权协议，并撤销双方之间及与各自客户相关的所有法律诉讼。</w:t>
      </w:r>
    </w:p>
    <w:p>
      <w:pPr>
        <w:spacing w:line="360" w:lineRule="auto"/>
        <w:rPr>
          <w:rFonts w:ascii="宋体" w:hAnsi="宋体"/>
          <w:color w:val="000000"/>
          <w:sz w:val="24"/>
          <w:szCs w:val="24"/>
        </w:rPr>
      </w:pPr>
      <w:r>
        <w:rPr>
          <w:rFonts w:ascii="宋体" w:hAnsi="宋体"/>
          <w:color w:val="000000"/>
          <w:sz w:val="24"/>
          <w:szCs w:val="24"/>
        </w:rPr>
        <w:t>本基金投资TCL科技的投资决策程序符合公司投资制度的规定。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除TCL科技外，本基金投资的前十名证券的发行主体本期没有出现被监管部门立案调查，或在报告编制日前一年内受到公开谴责、处罚的情形。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156,009.71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112,974.90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251,116.85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4,193.21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5,340,464.44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5,864,759.11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379,098,559.68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67,372,832.64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139,273,072.91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307,198,319.41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1.中国证监会准予易方达中盘成长混合型证券投资基金注册的文件；</w:t>
      </w:r>
    </w:p>
    <w:p>
      <w:pPr>
        <w:spacing w:line="360" w:lineRule="auto"/>
        <w:ind w:firstLine="480" w:firstLineChars="200"/>
        <w:rPr>
          <w:color w:val="000000"/>
          <w:sz w:val="24"/>
          <w:szCs w:val="24"/>
        </w:rPr>
      </w:pPr>
      <w:r>
        <w:rPr>
          <w:color w:val="000000"/>
          <w:sz w:val="24"/>
          <w:szCs w:val="24"/>
        </w:rPr>
        <w:t>2.《易方达中盘成长混合型证券投资基金基金合同》；</w:t>
      </w:r>
    </w:p>
    <w:p>
      <w:pPr>
        <w:spacing w:line="360" w:lineRule="auto"/>
        <w:ind w:firstLine="480" w:firstLineChars="200"/>
        <w:rPr>
          <w:color w:val="000000"/>
          <w:sz w:val="24"/>
          <w:szCs w:val="24"/>
        </w:rPr>
      </w:pPr>
      <w:r>
        <w:rPr>
          <w:color w:val="000000"/>
          <w:sz w:val="24"/>
          <w:szCs w:val="24"/>
        </w:rPr>
        <w:t>3.《易方达中盘成长混合型证券投资基金托管协议》；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易方达中盘成长混合型证券投资基金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