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542546" w:rsidR="00750D48" w:rsidRDefault="00750D48" w:rsidRPr="00264E55">
      <w:pPr>
        <w:spacing w:line="360" w:lineRule="auto"/>
        <w:jc w:val="center"/>
        <w:rPr>
          <w:rFonts w:ascii="宋体" w:hAnsi="宋体"/>
          <w:b/>
          <w:sz w:val="36"/>
          <w:szCs w:val="36"/>
        </w:rPr>
      </w:pPr>
      <w:r w:rsidRPr="00264E55">
        <w:rPr>
          <w:rFonts w:ascii="宋体"/>
          <w:b/>
          <w:sz w:val="36"/>
          <w:szCs w:val="36"/>
        </w:rPr>
        <w:t/>
      </w:r>
      <w:proofErr w:type="spellStart"/>
      <w:proofErr w:type="gramStart"/>
      <w:r w:rsidRPr="00264E55">
        <w:rPr>
          <w:rFonts w:ascii="宋体" w:hAnsi="宋体"/>
          <w:b/>
          <w:sz w:val="36"/>
          <w:szCs w:val="36"/>
        </w:rPr>
        <w:t/>
      </w:r>
      <w:proofErr w:type="spellEnd"/>
      <w:proofErr w:type="gramEnd"/>
      <w:r w:rsidRPr="00264E55">
        <w:rPr>
          <w:rFonts w:ascii="宋体" w:hAnsi="宋体"/>
          <w:b/>
          <w:sz w:val="36"/>
          <w:szCs w:val="36"/>
        </w:rPr>
        <w:t>易方达蓝筹精选混合型证券投资基金</w:t>
      </w:r>
    </w:p>
    <w:p w:rsidP="00542546" w:rsidR="00750D48" w:rsidRDefault="00750D48" w:rsidRPr="00264E55">
      <w:pPr>
        <w:spacing w:line="360" w:lineRule="auto"/>
        <w:jc w:val="center"/>
        <w:rPr>
          <w:rFonts w:ascii="宋体" w:hAnsi="宋体"/>
          <w:b/>
          <w:sz w:val="36"/>
          <w:szCs w:val="36"/>
        </w:rPr>
      </w:pPr>
      <w:r w:rsidRPr="00264E55">
        <w:rPr>
          <w:rFonts w:ascii="宋体" w:hAnsi="宋体"/>
          <w:b/>
          <w:sz w:val="36"/>
          <w:szCs w:val="36"/>
        </w:rPr>
        <w:t/>
      </w:r>
      <w:proofErr w:type="spellStart"/>
      <w:r w:rsidRPr="00264E55">
        <w:rPr>
          <w:rFonts w:ascii="宋体" w:hAnsi="宋体"/>
          <w:b/>
          <w:sz w:val="36"/>
          <w:szCs w:val="36"/>
        </w:rPr>
        <w:t/>
      </w:r>
      <w:proofErr w:type="spellEnd"/>
      <w:r w:rsidRPr="00264E55">
        <w:rPr>
          <w:rFonts w:ascii="宋体" w:hAnsi="宋体"/>
          <w:b/>
          <w:sz w:val="36"/>
          <w:szCs w:val="36"/>
        </w:rPr>
        <w:t>2020年第2季度报告</w:t>
      </w:r>
    </w:p>
    <w:p w:rsidP="00542546" w:rsidR="00750D48" w:rsidRDefault="00750D48" w:rsidRPr="00093704">
      <w:pPr>
        <w:spacing w:line="360" w:lineRule="auto"/>
        <w:jc w:val="center"/>
        <w:rPr>
          <w:rFonts w:ascii="宋体" w:hAnsi="宋体"/>
          <w:b/>
          <w:sz w:val="24"/>
          <w:szCs w:val="24"/>
        </w:rPr>
      </w:pPr>
      <w:r w:rsidRPr="00093704">
        <w:rPr>
          <w:rFonts w:ascii="宋体"/>
          <w:b/>
          <w:sz w:val="24"/>
          <w:szCs w:val="24"/>
        </w:rPr>
        <w:t/>
      </w:r>
      <w:proofErr w:type="spellStart"/>
      <w:proofErr w:type="gramStart"/>
      <w:r w:rsidRPr="00093704">
        <w:rPr>
          <w:rFonts w:ascii="宋体" w:hAnsi="宋体"/>
          <w:b/>
          <w:sz w:val="24"/>
          <w:szCs w:val="24"/>
        </w:rPr>
        <w:t/>
      </w:r>
      <w:proofErr w:type="spellEnd"/>
      <w:proofErr w:type="gramEnd"/>
      <w:r w:rsidRPr="00093704">
        <w:rPr>
          <w:rFonts w:ascii="宋体" w:hAnsi="宋体"/>
          <w:b/>
          <w:sz w:val="24"/>
          <w:szCs w:val="24"/>
        </w:rPr>
        <w:t>2020年6月30日</w:t>
      </w: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rPr>
          <w:rFonts w:ascii="宋体"/>
          <w:b/>
          <w:bCs/>
          <w:color w:val="000000"/>
          <w:sz w:val="24"/>
          <w:szCs w:val="24"/>
        </w:rPr>
      </w:pP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基金管理人：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易方达基金管理有限公司</w:t>
      </w: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基金托管人：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中国银行股份有限公司</w:t>
      </w:r>
    </w:p>
    <w:p w:rsidP="00EB572F" w:rsidR="00750D48" w:rsidRDefault="00750D48" w:rsidRPr="00264E55">
      <w:pPr>
        <w:spacing w:line="360" w:lineRule="auto"/>
        <w:ind w:firstLine="2168" w:firstLineChars="900"/>
        <w:rPr>
          <w:rFonts w:ascii="宋体" w:hAnsi="宋体"/>
          <w:b/>
          <w:color w:val="000000"/>
          <w:sz w:val="24"/>
          <w:szCs w:val="24"/>
        </w:rPr>
        <w:sectPr w:rsidR="00750D48" w:rsidRPr="00264E55" w:rsidSect="00304A12">
          <w:headerReference r:id="rId9" w:type="default"/>
          <w:footerReference r:id="rId10" w:type="default"/>
          <w:pgSz w:h="15840" w:w="11926"/>
          <w:pgMar w:bottom="851" w:footer="992" w:gutter="0" w:header="851" w:left="1418" w:right="1418" w:top="1418"/>
          <w:cols w:space="720"/>
          <w:noEndnote/>
        </w:sectPr>
      </w:pPr>
      <w:r w:rsidRPr="00264E55">
        <w:rPr>
          <w:rFonts w:ascii="宋体" w:hAnsi="宋体" w:hint="eastAsia"/>
          <w:b/>
          <w:color w:val="000000"/>
          <w:sz w:val="24"/>
          <w:szCs w:val="24"/>
        </w:rPr>
        <w:t>报告送出日期：</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二〇二〇年七月二十一日</w:t>
      </w:r>
    </w:p>
    <w:p w:rsidP="004D28A3" w:rsidR="00750D48" w:rsidRDefault="00750D48" w:rsidRPr="00264E55">
      <w:pPr>
        <w:pStyle w:val="1"/>
        <w:spacing w:after="312" w:afterLines="100" w:before="312" w:beforeLines="100" w:line="360" w:lineRule="auto"/>
        <w:jc w:val="center"/>
        <w:rPr>
          <w:rFonts w:ascii="宋体"/>
          <w:b w:val="0"/>
          <w:bCs w:val="0"/>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1  </w:t>
      </w:r>
      <w:r w:rsidRPr="00264E55">
        <w:rPr>
          <w:rFonts w:ascii="宋体" w:hAnsi="宋体" w:hint="eastAsia"/>
          <w:color w:val="000000"/>
          <w:kern w:val="0"/>
          <w:sz w:val="24"/>
          <w:szCs w:val="24"/>
        </w:rPr>
        <w:t>重要提示</w:t>
      </w:r>
    </w:p>
    <w:p>
      <w:pPr>
        <w:spacing w:line="360" w:lineRule="auto"/>
        <w:ind w:firstLine="480" w:firstLineChars="200"/>
        <w:rPr>
          <w:color w:val="000000"/>
          <w:sz w:val="24"/>
          <w:szCs w:val="24"/>
        </w:rPr>
      </w:pPr>
      <w:r>
        <w:rPr>
          <w:color w:val="000000"/>
          <w:sz w:val="24"/>
          <w:szCs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szCs w:val="24"/>
        </w:rPr>
      </w:pPr>
      <w:r>
        <w:rPr>
          <w:color w:val="000000"/>
          <w:sz w:val="24"/>
          <w:szCs w:val="24"/>
        </w:rPr>
        <w:t xml:space="preserve">基金托管人中国银行股份有限公司根据本基金合同规定，于2020年7月17日复核了本报告中的财务指标、净值表现和投资组合报告等内容，保证复核内容不存在虚假记载、误导性陈述或者重大遗漏。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szCs w:val="24"/>
        </w:rPr>
      </w:pPr>
      <w:r>
        <w:rPr>
          <w:color w:val="000000"/>
          <w:sz w:val="24"/>
          <w:szCs w:val="24"/>
        </w:rPr>
        <w:t xml:space="preserve">基金管理人承诺以诚实信用、勤勉尽责的原则管理和运用基金资产，但不保证基金一定盈利。 </w:t>
      </w:r>
    </w:p>
    <w:p>
      <w:pPr>
        <w:spacing w:line="360" w:lineRule="auto"/>
        <w:ind w:firstLine="480" w:firstLineChars="200"/>
        <w:rPr>
          <w:color w:val="000000"/>
          <w:sz w:val="24"/>
          <w:szCs w:val="24"/>
        </w:rPr>
      </w:pPr>
      <w:r>
        <w:rPr>
          <w:color w:val="000000"/>
          <w:sz w:val="24"/>
          <w:szCs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szCs w:val="24"/>
        </w:rPr>
      </w:pPr>
      <w:r>
        <w:rPr>
          <w:color w:val="000000"/>
          <w:sz w:val="24"/>
          <w:szCs w:val="24"/>
        </w:rPr>
        <w:t>本报告中财务资料未经审计。</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proofErr w:type="gramStart"/>
      <w:r w:rsidRPr="006C56AA">
        <w:rPr>
          <w:color w:val="000000"/>
          <w:sz w:val="24"/>
          <w:szCs w:val="24"/>
        </w:rPr>
        <w:t/>
      </w:r>
      <w:proofErr w:type="spellEnd"/>
      <w:proofErr w:type="gramEnd"/>
      <w:r w:rsidRPr="006C56AA">
        <w:rPr>
          <w:color w:val="000000"/>
          <w:sz w:val="24"/>
          <w:szCs w:val="24"/>
        </w:rPr>
        <w:t>本报告期自2020年4月1日起至6月30日止。</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2  </w:t>
      </w:r>
      <w:r w:rsidRPr="00264E55">
        <w:rPr>
          <w:rFonts w:ascii="宋体"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40"/>
      </w:tblGrid>
      <w:tr w:rsidR="00750D48" w:rsidRPr="00264E55" w:rsidTr="00500A03">
        <w:tc>
          <w:tcPr>
            <w:tcW w:type="dxa" w:w="2835"/>
          </w:tcPr>
          <w:p w:rsidP="007B5AFB" w:rsidR="00750D48" w:rsidRDefault="00750D48" w:rsidRPr="00232B03">
            <w:pPr>
              <w:adjustRightInd w:val="0"/>
              <w:spacing w:before="29" w:line="360" w:lineRule="auto"/>
              <w:ind w:left="17"/>
              <w:jc w:val="left"/>
              <w:rPr>
                <w:kern w:val="0"/>
                <w:sz w:val="24"/>
                <w:szCs w:val="24"/>
              </w:rPr>
            </w:pPr>
            <w:r w:rsidRPr="00232B03">
              <w:rPr>
                <w:kern w:val="0"/>
                <w:sz w:val="24"/>
                <w:szCs w:val="24"/>
              </w:rPr>
              <w:t>基金简称</w:t>
            </w:r>
          </w:p>
        </w:tc>
        <w:tc>
          <w:tcPr>
            <w:tcW w:type="dxa" w:w="5479"/>
            <w:gridSpan w:val="2"/>
          </w:tcPr>
          <w:p w:rsidP="007B5AFB"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易方达蓝筹精选混合</w:t>
            </w:r>
          </w:p>
        </w:tc>
      </w:tr>
      <w:tr w:rsidR="00750D48" w:rsidRPr="00264E55" w:rsidTr="00D94B8D">
        <w:tc>
          <w:tcPr>
            <w:tcW w:type="dxa" w:w="2835"/>
          </w:tcPr>
          <w:p w:rsidR="00750D48" w:rsidRDefault="00750D48" w:rsidRPr="00232B03">
            <w:pPr>
              <w:adjustRightInd w:val="0"/>
              <w:spacing w:before="29" w:line="360" w:lineRule="auto"/>
              <w:ind w:left="17"/>
              <w:jc w:val="left"/>
              <w:rPr>
                <w:kern w:val="0"/>
                <w:sz w:val="24"/>
                <w:szCs w:val="24"/>
              </w:rPr>
            </w:pPr>
            <w:r w:rsidRPr="00232B03">
              <w:rPr>
                <w:kern w:val="0"/>
                <w:sz w:val="24"/>
                <w:szCs w:val="24"/>
              </w:rPr>
              <w:t>基金主代码</w:t>
            </w:r>
          </w:p>
        </w:tc>
        <w:tc>
          <w:tcPr>
            <w:tcW w:type="dxa" w:w="5479"/>
            <w:gridSpan w:val="2"/>
          </w:tcPr>
          <w:p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005827</w:t>
            </w:r>
          </w:p>
        </w:tc>
      </w:tr>
      <w:tr w:rsidR="00750D48" w:rsidRPr="00264E55" w:rsidTr="00D94B8D">
        <w:tc>
          <w:tcPr>
            <w:tcW w:type="dxa" w:w="2835"/>
          </w:tcPr>
          <w:p w:rsidP="00895A8A" w:rsidR="00750D48" w:rsidRDefault="00750D48" w:rsidRPr="00232B03">
            <w:pPr>
              <w:adjustRightInd w:val="0"/>
              <w:spacing w:before="29" w:line="360" w:lineRule="auto"/>
              <w:ind w:left="17"/>
              <w:jc w:val="left"/>
              <w:rPr>
                <w:kern w:val="0"/>
                <w:sz w:val="24"/>
                <w:szCs w:val="24"/>
              </w:rPr>
            </w:pPr>
            <w:r w:rsidRPr="00232B03">
              <w:rPr>
                <w:kern w:val="0"/>
                <w:sz w:val="24"/>
                <w:szCs w:val="24"/>
              </w:rPr>
              <w:t>交易代码</w:t>
            </w:r>
          </w:p>
        </w:tc>
        <w:tc>
          <w:tcPr>
            <w:tcW w:type="dxa" w:w="5479"/>
            <w:gridSpan w:val="2"/>
          </w:tcPr>
          <w:p w:rsidP="00895A8A" w:rsidR="00750D48" w:rsidRDefault="00750D48" w:rsidRPr="00232B03">
            <w:pPr>
              <w:adjustRightInd w:val="0"/>
              <w:spacing w:before="29" w:line="360" w:lineRule="auto"/>
              <w:ind w:left="17"/>
              <w:jc w:val="left"/>
              <w:rPr>
                <w:color w:val="000000"/>
                <w:kern w:val="0"/>
                <w:sz w:val="24"/>
                <w:szCs w:val="24"/>
              </w:rPr>
            </w:pPr>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005827</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基金运作方式</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契约型开放式</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基金合同生效日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2018年9月5日</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报告期末基金份额总额</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9,258,829,429.60</w:t>
            </w:r>
            <w:r w:rsidRPr="00232B03">
              <w:rPr>
                <w:color w:val="000000"/>
                <w:kern w:val="0"/>
                <w:sz w:val="24"/>
                <w:szCs w:val="24"/>
              </w:rPr>
              <w:t>份</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投资目标</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本基金在控制风险的前提下，追求超越业绩比较基准的投资回报。</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投资策略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基于定量与定性相结合的宏观及市场分析，确定组合中股票、债券等资产类别的配置比例。股票投资方面，本基金非现金资产中不低于80%的资产将投资于蓝筹股（本基金所界定的蓝筹股是指满足以下分析标准的公司发行的股票：公司在行业内处于领先地位，市场占有率较高，市场竞争能力在行业中具有较强优势；经营稳健，盈利能力较强；财务结构合理；运营效率较高；治理结构合理；估值相对合理），同时本基金将通过分析行业景气度及竞争格局，对各行业的投资价值进行综合评估后确定并动态调整行业配置比例。债券投资方面，本基金将主要通过类属配置与券种选择两个层次进行投资管理。</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业绩比较基准</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沪深300指数收益率×45%+中证港股通综合指数收益率×35%+中债总指数收益率×20%</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风险收益特征</w:t>
            </w:r>
          </w:p>
        </w:tc>
        <w:tc>
          <w:tcPr>
            <w:tcW w:type="dxa" w:w="5479"/>
            <w:gridSpan w:val="2"/>
          </w:tcPr>
          <w:p>
            <w:pPr>
              <w:adjustRightInd w:val="0"/>
              <w:spacing w:before="29" w:line="360" w:lineRule="auto"/>
              <w:ind w:left="17"/>
              <w:jc w:val="left"/>
              <w:rPr>
                <w:color w:val="000000"/>
                <w:sz w:val="24"/>
                <w:szCs w:val="24"/>
              </w:rPr>
            </w:pPr>
            <w:r>
              <w:rPr>
                <w:color w:val="000000"/>
                <w:kern w:val="0"/>
                <w:sz w:val="24"/>
                <w:szCs w:val="24"/>
              </w:rPr>
              <w:t>本基金为混合型基金，理论上其预期风险与预期收益水平低于股票型基金，高于债券型基金和货币市场基金。</w:t>
            </w:r>
          </w:p>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 xml:space="preserve">本基金可通过内地与香港股票市场交易互联互通机制投资于香港证券市场，除了需要承担与境内证券投资基金类似的市场波动风险等一般投资风险之外，本基金还面临汇率风险、投资于香港证券市场的风险、以及通过内地与香港股票市场交易互联互通机制投资的风险等特有风险。本基金通过内地与香港股票市场交易互联互通机制投资的风险详见招募说明书。 </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基金管理人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易方达基金管理有限公司</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基金托管人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中国银行股份有限公司</w:t>
            </w:r>
          </w:p>
        </w:tc>
      </w:tr>
    </w:tbl>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3  </w:t>
      </w:r>
      <w:r w:rsidRPr="00264E55">
        <w:rPr>
          <w:rFonts w:ascii="宋体" w:hAnsi="宋体" w:hint="eastAsia"/>
          <w:color w:val="000000"/>
          <w:kern w:val="0"/>
          <w:sz w:val="24"/>
          <w:szCs w:val="24"/>
        </w:rPr>
        <w:t>主要财务指标和基金净值表现</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3.1 </w:t>
      </w:r>
      <w:r w:rsidRPr="00264E55">
        <w:rPr>
          <w:rFonts w:ascii="宋体" w:hAnsi="宋体" w:hint="eastAsia"/>
          <w:b/>
          <w:bCs/>
          <w:color w:val="000000"/>
          <w:kern w:val="0"/>
          <w:sz w:val="24"/>
          <w:szCs w:val="24"/>
        </w:rPr>
        <w:t>主要财务指标</w:t>
      </w:r>
    </w:p>
    <w:p w:rsidP="00392044" w:rsidR="00392044" w:rsidRDefault="00392044"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单位：人民币元</w:t>
      </w:r>
    </w:p>
    <w:tbl>
      <w:tblPr>
        <w:tblW w:type="dxa" w:w="8364"/>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552"/>
        <w:gridCol w:w="2410"/>
      </w:tblGrid>
      <w:tr w:rsidR="00392044" w:rsidRPr="006506EF" w:rsidTr="00C3442A">
        <w:tc>
          <w:tcPr>
            <w:tcW w:type="dxa" w:w="3402"/>
            <w:vAlign w:val="center"/>
          </w:tcPr>
          <w:p w:rsidP="00C3442A" w:rsidR="00392044" w:rsidRDefault="00392044" w:rsidRPr="006506EF">
            <w:pPr>
              <w:adjustRightInd w:val="0"/>
              <w:spacing w:before="29" w:line="360" w:lineRule="auto"/>
              <w:ind w:left="17"/>
              <w:jc w:val="center"/>
              <w:rPr>
                <w:kern w:val="0"/>
                <w:sz w:val="24"/>
              </w:rPr>
            </w:pPr>
            <w:r w:rsidRPr="006506EF">
              <w:rPr>
                <w:kern w:val="0"/>
                <w:sz w:val="24"/>
              </w:rPr>
              <w:t>主要财务指标</w:t>
            </w:r>
            <w:r w:rsidRPr="006506EF">
              <w:rPr>
                <w:kern w:val="0"/>
                <w:sz w:val="24"/>
              </w:rPr>
              <w:t/>
            </w:r>
            <w:proofErr w:type="spellStart"/>
            <w:r w:rsidRPr="006506EF">
              <w:rPr>
                <w:kern w:val="0"/>
                <w:sz w:val="24"/>
              </w:rPr>
              <w:t/>
            </w:r>
            <w:proofErr w:type="spellEnd"/>
            <w:r w:rsidRPr="006506EF">
              <w:rPr>
                <w:kern w:val="0"/>
                <w:sz w:val="24"/>
              </w:rPr>
              <w:t/>
            </w:r>
          </w:p>
        </w:tc>
        <w:tc>
          <w:tcPr>
            <w:tcW w:type="dxa" w:w="4962"/>
            <w:hMerge w:val="restart"/>
            <w:vAlign w:val="center"/>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报告期</w:t>
            </w:r>
          </w:p>
          <w:p w:rsidP="00C3442A" w:rsidR="00392044" w:rsidRDefault="00392044" w:rsidRPr="006506EF">
            <w:pPr>
              <w:adjustRightInd w:val="0"/>
              <w:spacing w:before="29" w:line="360" w:lineRule="auto"/>
              <w:ind w:left="17"/>
              <w:jc w:val="center"/>
              <w:rPr>
                <w:color w:val="000000"/>
                <w:sz w:val="24"/>
              </w:rPr>
            </w:pPr>
            <w:r w:rsidRPr="006506EF">
              <w:rPr>
                <w:color w:val="000000"/>
                <w:sz w:val="24"/>
              </w:rPr>
              <w:t>(</w:t>
            </w:r>
            <w:proofErr w:type="spellStart"/>
            <w:r w:rsidRPr="006506EF">
              <w:rPr>
                <w:color w:val="000000"/>
                <w:sz w:val="24"/>
              </w:rPr>
              <w:t/>
            </w:r>
            <w:proofErr w:type="spellEnd"/>
            <w:r w:rsidRPr="006506EF">
              <w:rPr>
                <w:color w:val="000000"/>
                <w:sz w:val="24"/>
              </w:rPr>
              <w:t>2020年4月1日-</w:t>
            </w:r>
            <w:proofErr w:type="spellStart"/>
            <w:r w:rsidRPr="006506EF">
              <w:rPr>
                <w:color w:val="000000"/>
                <w:sz w:val="24"/>
              </w:rPr>
              <w:t/>
            </w:r>
            <w:proofErr w:type="spellEnd"/>
            <w:r w:rsidRPr="006506EF">
              <w:rPr>
                <w:color w:val="000000"/>
                <w:sz w:val="24"/>
              </w:rPr>
              <w:t>2020年6月30日)</w:t>
            </w:r>
          </w:p>
        </w:tc>
        <w:tc>
          <w:tcPr>
            <w:tcW w:type="dxa" w:w="2410"/>
            <w:hMerge/>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上期金额</w:t>
            </w:r>
            <w:r w:rsidRPr="006506EF">
              <w:rPr>
                <w:color w:val="000000"/>
                <w:sz w:val="24"/>
              </w:rPr>
              <w:t/>
            </w:r>
            <w:proofErr w:type="spellStart"/>
            <w:r w:rsidRPr="006506EF">
              <w:rPr>
                <w:color w:val="000000"/>
                <w:sz w:val="24"/>
              </w:rPr>
              <w:t/>
            </w:r>
            <w:proofErr w:type="spellEnd"/>
            <w:r w:rsidRPr="006506EF">
              <w:rPr>
                <w:color w:val="000000"/>
                <w:sz w:val="24"/>
              </w:rPr>
              <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1.</w:t>
            </w:r>
            <w:r w:rsidRPr="006506EF">
              <w:rPr>
                <w:kern w:val="0"/>
                <w:sz w:val="24"/>
              </w:rPr>
              <w:t>本期已实现收益</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155,083,824.39</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2.</w:t>
            </w:r>
            <w:r w:rsidRPr="006506EF">
              <w:rPr>
                <w:kern w:val="0"/>
                <w:sz w:val="24"/>
              </w:rPr>
              <w:t>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3,981,642,542.52</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3.</w:t>
            </w:r>
            <w:r w:rsidRPr="006506EF">
              <w:rPr>
                <w:kern w:val="0"/>
                <w:sz w:val="24"/>
              </w:rPr>
              <w:t>加权平均基金份额本期利润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0.5497</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4.</w:t>
            </w:r>
            <w:r w:rsidRPr="006506EF">
              <w:rPr>
                <w:kern w:val="0"/>
                <w:sz w:val="24"/>
              </w:rPr>
              <w:t>期末基金资产净值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18,218,506,217.23</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rPr>
          <w:trHeight w:val="158"/>
        </w:trPr>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5.</w:t>
            </w:r>
            <w:r w:rsidRPr="006506EF">
              <w:rPr>
                <w:kern w:val="0"/>
                <w:sz w:val="24"/>
              </w:rPr>
              <w:t>期末基金份额净值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1.9677</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bl>
    <w:p>
      <w:pPr>
        <w:spacing w:line="360" w:lineRule="auto"/>
        <w:ind w:firstLine="480" w:firstLineChars="200"/>
        <w:rPr>
          <w:color w:val="000000"/>
          <w:sz w:val="24"/>
          <w:szCs w:val="24"/>
        </w:rPr>
      </w:pPr>
      <w:r>
        <w:rPr>
          <w:color w:val="000000"/>
          <w:sz w:val="24"/>
        </w:rPr>
        <w:t>注：1.所述基金业绩指标不包括持有人认购或交易基金的各项费用，计入费用后实际收益水平要低于所列数字。</w:t>
      </w:r>
    </w:p>
    <w:p w:rsidP="00232B03" w:rsidR="00750D48" w:rsidRDefault="00392044" w:rsidRPr="00232B03">
      <w:pPr>
        <w:spacing w:line="360" w:lineRule="auto"/>
        <w:ind w:firstLine="480" w:firstLineChars="200"/>
        <w:rPr>
          <w:color w:val="000000"/>
          <w:sz w:val="24"/>
          <w:szCs w:val="24"/>
        </w:rPr>
      </w:pPr>
      <w:r w:rsidRPr="006506EF">
        <w:rPr>
          <w:color w:val="000000"/>
          <w:sz w:val="24"/>
        </w:rPr>
        <w:t/>
      </w:r>
      <w:proofErr w:type="spellStart"/>
      <w:r w:rsidRPr="006506EF">
        <w:rPr>
          <w:color w:val="000000"/>
          <w:sz w:val="24"/>
        </w:rPr>
        <w:t/>
      </w:r>
      <w:proofErr w:type="spellEnd"/>
      <w:r w:rsidRPr="006506EF">
        <w:rPr>
          <w:color w:val="000000"/>
          <w:sz w:val="24"/>
        </w:rPr>
        <w:t/>
      </w:r>
      <w:proofErr w:type="spellStart"/>
      <w:proofErr w:type="gramStart"/>
      <w:r w:rsidRPr="006506EF">
        <w:rPr>
          <w:color w:val="000000"/>
          <w:sz w:val="24"/>
        </w:rPr>
        <w:t/>
      </w:r>
      <w:proofErr w:type="spellEnd"/>
      <w:proofErr w:type="gramEnd"/>
      <w:r w:rsidRPr="006506EF">
        <w:rPr>
          <w:color w:val="000000"/>
          <w:sz w:val="24"/>
        </w:rPr>
        <w:t>2.本期已实现收益指基金本期利息收入、投资收益、其他收入（不含公允价值变动收益）扣除相关费用后的余额，本期利润为本期已实现收益加上本期公允价值变动收益。</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3.2 </w:t>
      </w:r>
      <w:r w:rsidRPr="00264E55">
        <w:rPr>
          <w:rFonts w:ascii="宋体" w:hAnsi="宋体" w:hint="eastAsia"/>
          <w:b/>
          <w:bCs/>
          <w:color w:val="000000"/>
          <w:kern w:val="0"/>
          <w:sz w:val="24"/>
          <w:szCs w:val="24"/>
        </w:rPr>
        <w:t>基金净值表现</w:t>
      </w:r>
    </w:p>
    <w:p w:rsidP="009E7C6A" w:rsidR="00750D48" w:rsidRDefault="00750D48" w:rsidRPr="00264E55">
      <w:pPr>
        <w:autoSpaceDE w:val="0"/>
        <w:autoSpaceDN w:val="0"/>
        <w:adjustRightInd w:val="0"/>
        <w:spacing w:line="360" w:lineRule="auto"/>
        <w:jc w:val="left"/>
        <w:rPr>
          <w:rFonts w:ascii="宋体" w:cs="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3.2.1</w:t>
        </w:r>
      </w:smartTag>
      <w:r w:rsidRPr="00264E55">
        <w:rPr>
          <w:rFonts w:ascii="宋体" w:cs="宋体" w:hAnsi="宋体" w:hint="eastAsia"/>
          <w:b/>
          <w:bCs/>
          <w:color w:val="000000"/>
          <w:kern w:val="0"/>
          <w:sz w:val="24"/>
          <w:szCs w:val="24"/>
        </w:rPr>
        <w:t>本报告</w:t>
      </w:r>
      <w:proofErr w:type="gramStart"/>
      <w:r w:rsidRPr="00264E55">
        <w:rPr>
          <w:rFonts w:ascii="宋体" w:cs="宋体" w:hAnsi="宋体" w:hint="eastAsia"/>
          <w:b/>
          <w:bCs/>
          <w:color w:val="000000"/>
          <w:kern w:val="0"/>
          <w:sz w:val="24"/>
          <w:szCs w:val="24"/>
        </w:rPr>
        <w:t>期基金</w:t>
      </w:r>
      <w:proofErr w:type="gramEnd"/>
      <w:r w:rsidRPr="00264E55">
        <w:rPr>
          <w:rFonts w:ascii="宋体" w:cs="宋体" w:hAnsi="宋体" w:hint="eastAsia"/>
          <w:b/>
          <w:bCs/>
          <w:color w:val="000000"/>
          <w:kern w:val="0"/>
          <w:sz w:val="24"/>
          <w:szCs w:val="24"/>
        </w:rPr>
        <w:t>份额净值增长率及其与同期业绩比较基准收益率的比较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395"/>
        <w:gridCol w:w="1092"/>
        <w:gridCol w:w="1161"/>
        <w:gridCol w:w="1181"/>
        <w:gridCol w:w="1188"/>
        <w:gridCol w:w="1199"/>
        <w:gridCol w:w="1204"/>
      </w:tblGrid>
      <w:tr w:rsidR="00750D48" w:rsidRPr="00264E55" w:rsidTr="00B05049">
        <w:tc>
          <w:tcPr>
            <w:tcW w:type="dxa" w:w="1395"/>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阶段</w:t>
            </w: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
            </w:r>
          </w:p>
        </w:tc>
        <w:tc>
          <w:tcPr>
            <w:tcW w:type="dxa" w:w="1092"/>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w:t>
            </w:r>
            <w:r w:rsidRPr="00232B03">
              <w:rPr>
                <w:rFonts w:ascii="宋体" w:cs="宋体" w:hAnsi="宋体" w:hint="eastAsia"/>
                <w:color w:val="000000"/>
                <w:kern w:val="0"/>
                <w:sz w:val="24"/>
                <w:szCs w:val="24"/>
              </w:rPr>
              <w:t>①</w:t>
            </w:r>
          </w:p>
        </w:tc>
        <w:tc>
          <w:tcPr>
            <w:tcW w:type="dxa" w:w="116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净值增长率标准差</w:t>
            </w:r>
            <w:r w:rsidRPr="00232B03">
              <w:rPr>
                <w:rFonts w:ascii="宋体" w:cs="宋体" w:hAnsi="宋体" w:hint="eastAsia"/>
                <w:color w:val="000000"/>
                <w:kern w:val="0"/>
                <w:sz w:val="24"/>
                <w:szCs w:val="24"/>
              </w:rPr>
              <w:t>②</w:t>
            </w:r>
          </w:p>
        </w:tc>
        <w:tc>
          <w:tcPr>
            <w:tcW w:type="dxa" w:w="118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业绩比较基准收益率</w:t>
            </w:r>
            <w:r w:rsidRPr="00232B03">
              <w:rPr>
                <w:rFonts w:ascii="宋体" w:cs="宋体" w:hAnsi="宋体" w:hint="eastAsia"/>
                <w:color w:val="000000"/>
                <w:kern w:val="0"/>
                <w:sz w:val="24"/>
                <w:szCs w:val="24"/>
              </w:rPr>
              <w:lastRenderedPageBreak/>
              <w:t>③</w:t>
            </w:r>
          </w:p>
        </w:tc>
        <w:tc>
          <w:tcPr>
            <w:tcW w:type="dxa" w:w="1188"/>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lastRenderedPageBreak/>
              <w:t>业绩比较基准收益率</w:t>
            </w:r>
            <w:r w:rsidRPr="00232B03">
              <w:rPr>
                <w:color w:val="000000"/>
                <w:kern w:val="0"/>
                <w:sz w:val="24"/>
                <w:szCs w:val="24"/>
              </w:rPr>
              <w:lastRenderedPageBreak/>
              <w:t>标准差</w:t>
            </w:r>
            <w:r w:rsidRPr="00232B03">
              <w:rPr>
                <w:rFonts w:ascii="宋体" w:cs="宋体" w:hAnsi="宋体" w:hint="eastAsia"/>
                <w:color w:val="000000"/>
                <w:kern w:val="0"/>
                <w:sz w:val="24"/>
                <w:szCs w:val="24"/>
              </w:rPr>
              <w:t>④</w:t>
            </w:r>
          </w:p>
        </w:tc>
        <w:tc>
          <w:tcPr>
            <w:tcW w:type="dxa" w:w="1199"/>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lastRenderedPageBreak/>
              <w:t>①</w:t>
            </w:r>
            <w:r w:rsidRPr="00232B03">
              <w:rPr>
                <w:color w:val="000000"/>
                <w:kern w:val="0"/>
                <w:sz w:val="24"/>
                <w:szCs w:val="24"/>
              </w:rPr>
              <w:t>-</w:t>
            </w:r>
            <w:r w:rsidRPr="00232B03">
              <w:rPr>
                <w:rFonts w:ascii="宋体" w:cs="宋体" w:hAnsi="宋体" w:hint="eastAsia"/>
                <w:color w:val="000000"/>
                <w:kern w:val="0"/>
                <w:sz w:val="24"/>
                <w:szCs w:val="24"/>
              </w:rPr>
              <w:t>③</w:t>
            </w:r>
          </w:p>
        </w:tc>
        <w:tc>
          <w:tcPr>
            <w:tcW w:type="dxa" w:w="1204"/>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t>②</w:t>
            </w:r>
            <w:r w:rsidRPr="00232B03">
              <w:rPr>
                <w:color w:val="000000"/>
                <w:kern w:val="0"/>
                <w:sz w:val="24"/>
                <w:szCs w:val="24"/>
              </w:rPr>
              <w:t>-</w:t>
            </w:r>
            <w:r w:rsidRPr="00232B03">
              <w:rPr>
                <w:rFonts w:ascii="宋体" w:cs="宋体" w:hAnsi="宋体" w:hint="eastAsia"/>
                <w:color w:val="000000"/>
                <w:kern w:val="0"/>
                <w:sz w:val="24"/>
                <w:szCs w:val="24"/>
              </w:rPr>
              <w:t>④</w:t>
            </w:r>
          </w:p>
        </w:tc>
      </w:tr>
      <w:tr>
        <w:tc>
          <w:tcPr>
            <w:vAlign w:val="center"/>
          </w:tcPr>
          <w:p>
            <w:pPr>
              <w:jc w:val="left"/>
            </w:pPr>
            <w:r>
              <w:rPr>
                <w:color w:val="000000"/>
                <w:kern w:val="0"/>
                <w:sz w:val="24"/>
                <w:szCs w:val="24"/>
              </w:rPr>
              <w:t>过去三个月</w:t>
            </w:r>
          </w:p>
        </w:tc>
        <w:tc>
          <w:tcPr>
            <w:vAlign w:val="center"/>
          </w:tcPr>
          <w:p>
            <w:pPr>
              <w:jc w:val="center"/>
            </w:pPr>
            <w:r>
              <w:rPr>
                <w:color w:val="000000"/>
                <w:kern w:val="0"/>
                <w:sz w:val="24"/>
                <w:szCs w:val="24"/>
              </w:rPr>
              <w:t>37.35%</w:t>
            </w:r>
          </w:p>
        </w:tc>
        <w:tc>
          <w:tcPr>
            <w:vAlign w:val="center"/>
          </w:tcPr>
          <w:p>
            <w:pPr>
              <w:jc w:val="center"/>
            </w:pPr>
            <w:r>
              <w:rPr>
                <w:color w:val="000000"/>
                <w:kern w:val="0"/>
                <w:sz w:val="24"/>
                <w:szCs w:val="24"/>
              </w:rPr>
              <w:t>1.37%</w:t>
            </w:r>
          </w:p>
        </w:tc>
        <w:tc>
          <w:tcPr>
            <w:vAlign w:val="center"/>
          </w:tcPr>
          <w:p>
            <w:pPr>
              <w:jc w:val="center"/>
            </w:pPr>
            <w:r>
              <w:rPr>
                <w:color w:val="000000"/>
                <w:kern w:val="0"/>
                <w:sz w:val="24"/>
                <w:szCs w:val="24"/>
              </w:rPr>
              <w:t>8.75%</w:t>
            </w:r>
          </w:p>
        </w:tc>
        <w:tc>
          <w:tcPr>
            <w:vAlign w:val="center"/>
          </w:tcPr>
          <w:p>
            <w:pPr>
              <w:jc w:val="center"/>
            </w:pPr>
            <w:r>
              <w:rPr>
                <w:color w:val="000000"/>
                <w:kern w:val="0"/>
                <w:sz w:val="24"/>
                <w:szCs w:val="24"/>
              </w:rPr>
              <w:t>0.83%</w:t>
            </w:r>
          </w:p>
        </w:tc>
        <w:tc>
          <w:tcPr>
            <w:vAlign w:val="center"/>
          </w:tcPr>
          <w:p>
            <w:pPr>
              <w:jc w:val="center"/>
            </w:pPr>
            <w:r>
              <w:rPr>
                <w:color w:val="000000"/>
                <w:kern w:val="0"/>
                <w:sz w:val="24"/>
                <w:szCs w:val="24"/>
              </w:rPr>
              <w:t>28.60%</w:t>
            </w:r>
          </w:p>
        </w:tc>
        <w:tc>
          <w:tcPr>
            <w:vAlign w:val="center"/>
          </w:tcPr>
          <w:p>
            <w:pPr>
              <w:jc w:val="center"/>
            </w:pPr>
            <w:r>
              <w:rPr>
                <w:color w:val="000000"/>
                <w:kern w:val="0"/>
                <w:sz w:val="24"/>
                <w:szCs w:val="24"/>
              </w:rPr>
              <w:t>0.54%</w:t>
            </w:r>
          </w:p>
        </w:tc>
      </w:tr>
      <w:tr>
        <w:tc>
          <w:tcPr>
            <w:vAlign w:val="center"/>
          </w:tcPr>
          <w:p>
            <w:pPr>
              <w:jc w:val="left"/>
            </w:pPr>
            <w:r>
              <w:rPr>
                <w:color w:val="000000"/>
                <w:kern w:val="0"/>
                <w:sz w:val="24"/>
                <w:szCs w:val="24"/>
              </w:rPr>
              <w:t>过去六个月</w:t>
            </w:r>
          </w:p>
        </w:tc>
        <w:tc>
          <w:tcPr>
            <w:vAlign w:val="center"/>
          </w:tcPr>
          <w:p>
            <w:pPr>
              <w:jc w:val="center"/>
            </w:pPr>
            <w:r>
              <w:rPr>
                <w:color w:val="000000"/>
                <w:kern w:val="0"/>
                <w:sz w:val="24"/>
                <w:szCs w:val="24"/>
              </w:rPr>
              <w:t>33.94%</w:t>
            </w:r>
          </w:p>
        </w:tc>
        <w:tc>
          <w:tcPr>
            <w:vAlign w:val="center"/>
          </w:tcPr>
          <w:p>
            <w:pPr>
              <w:jc w:val="center"/>
            </w:pPr>
            <w:r>
              <w:rPr>
                <w:color w:val="000000"/>
                <w:kern w:val="0"/>
                <w:sz w:val="24"/>
                <w:szCs w:val="24"/>
              </w:rPr>
              <w:t>1.77%</w:t>
            </w:r>
          </w:p>
        </w:tc>
        <w:tc>
          <w:tcPr>
            <w:vAlign w:val="center"/>
          </w:tcPr>
          <w:p>
            <w:pPr>
              <w:jc w:val="center"/>
            </w:pPr>
            <w:r>
              <w:rPr>
                <w:color w:val="000000"/>
                <w:kern w:val="0"/>
                <w:sz w:val="24"/>
                <w:szCs w:val="24"/>
              </w:rPr>
              <w:t>-0.87%</w:t>
            </w:r>
          </w:p>
        </w:tc>
        <w:tc>
          <w:tcPr>
            <w:vAlign w:val="center"/>
          </w:tcPr>
          <w:p>
            <w:pPr>
              <w:jc w:val="center"/>
            </w:pPr>
            <w:r>
              <w:rPr>
                <w:color w:val="000000"/>
                <w:kern w:val="0"/>
                <w:sz w:val="24"/>
                <w:szCs w:val="24"/>
              </w:rPr>
              <w:t>1.22%</w:t>
            </w:r>
          </w:p>
        </w:tc>
        <w:tc>
          <w:tcPr>
            <w:vAlign w:val="center"/>
          </w:tcPr>
          <w:p>
            <w:pPr>
              <w:jc w:val="center"/>
            </w:pPr>
            <w:r>
              <w:rPr>
                <w:color w:val="000000"/>
                <w:kern w:val="0"/>
                <w:sz w:val="24"/>
                <w:szCs w:val="24"/>
              </w:rPr>
              <w:t>34.81%</w:t>
            </w:r>
          </w:p>
        </w:tc>
        <w:tc>
          <w:tcPr>
            <w:vAlign w:val="center"/>
          </w:tcPr>
          <w:p>
            <w:pPr>
              <w:jc w:val="center"/>
            </w:pPr>
            <w:r>
              <w:rPr>
                <w:color w:val="000000"/>
                <w:kern w:val="0"/>
                <w:sz w:val="24"/>
                <w:szCs w:val="24"/>
              </w:rPr>
              <w:t>0.55%</w:t>
            </w:r>
          </w:p>
        </w:tc>
      </w:tr>
      <w:tr>
        <w:tc>
          <w:tcPr>
            <w:vAlign w:val="center"/>
          </w:tcPr>
          <w:p>
            <w:pPr>
              <w:jc w:val="left"/>
            </w:pPr>
            <w:r>
              <w:rPr>
                <w:color w:val="000000"/>
                <w:kern w:val="0"/>
                <w:sz w:val="24"/>
                <w:szCs w:val="24"/>
              </w:rPr>
              <w:t>过去一年</w:t>
            </w:r>
          </w:p>
        </w:tc>
        <w:tc>
          <w:tcPr>
            <w:vAlign w:val="center"/>
          </w:tcPr>
          <w:p>
            <w:pPr>
              <w:jc w:val="center"/>
            </w:pPr>
            <w:r>
              <w:rPr>
                <w:color w:val="000000"/>
                <w:kern w:val="0"/>
                <w:sz w:val="24"/>
                <w:szCs w:val="24"/>
              </w:rPr>
              <w:t>49.26%</w:t>
            </w:r>
          </w:p>
        </w:tc>
        <w:tc>
          <w:tcPr>
            <w:vAlign w:val="center"/>
          </w:tcPr>
          <w:p>
            <w:pPr>
              <w:jc w:val="center"/>
            </w:pPr>
            <w:r>
              <w:rPr>
                <w:color w:val="000000"/>
                <w:kern w:val="0"/>
                <w:sz w:val="24"/>
                <w:szCs w:val="24"/>
              </w:rPr>
              <w:t>1.41%</w:t>
            </w:r>
          </w:p>
        </w:tc>
        <w:tc>
          <w:tcPr>
            <w:vAlign w:val="center"/>
          </w:tcPr>
          <w:p>
            <w:pPr>
              <w:jc w:val="center"/>
            </w:pPr>
            <w:r>
              <w:rPr>
                <w:color w:val="000000"/>
                <w:kern w:val="0"/>
                <w:sz w:val="24"/>
                <w:szCs w:val="24"/>
              </w:rPr>
              <w:t>3.54%</w:t>
            </w:r>
          </w:p>
        </w:tc>
        <w:tc>
          <w:tcPr>
            <w:vAlign w:val="center"/>
          </w:tcPr>
          <w:p>
            <w:pPr>
              <w:jc w:val="center"/>
            </w:pPr>
            <w:r>
              <w:rPr>
                <w:color w:val="000000"/>
                <w:kern w:val="0"/>
                <w:sz w:val="24"/>
                <w:szCs w:val="24"/>
              </w:rPr>
              <w:t>0.95%</w:t>
            </w:r>
          </w:p>
        </w:tc>
        <w:tc>
          <w:tcPr>
            <w:vAlign w:val="center"/>
          </w:tcPr>
          <w:p>
            <w:pPr>
              <w:jc w:val="center"/>
            </w:pPr>
            <w:r>
              <w:rPr>
                <w:color w:val="000000"/>
                <w:kern w:val="0"/>
                <w:sz w:val="24"/>
                <w:szCs w:val="24"/>
              </w:rPr>
              <w:t>45.72%</w:t>
            </w:r>
          </w:p>
        </w:tc>
        <w:tc>
          <w:tcPr>
            <w:vAlign w:val="center"/>
          </w:tcPr>
          <w:p>
            <w:pPr>
              <w:jc w:val="center"/>
            </w:pPr>
            <w:r>
              <w:rPr>
                <w:color w:val="000000"/>
                <w:kern w:val="0"/>
                <w:sz w:val="24"/>
                <w:szCs w:val="24"/>
              </w:rPr>
              <w:t>0.46%</w:t>
            </w:r>
          </w:p>
        </w:tc>
      </w:tr>
      <w:tr>
        <w:tc>
          <w:tcPr>
            <w:vAlign w:val="center"/>
          </w:tcPr>
          <w:p>
            <w:pPr>
              <w:jc w:val="left"/>
            </w:pPr>
            <w:r>
              <w:rPr>
                <w:color w:val="000000"/>
                <w:kern w:val="0"/>
                <w:sz w:val="24"/>
                <w:szCs w:val="24"/>
              </w:rPr>
              <w:t>过去三年</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r>
      <w:tr>
        <w:tc>
          <w:tcPr>
            <w:vAlign w:val="center"/>
          </w:tcPr>
          <w:p>
            <w:pPr>
              <w:jc w:val="left"/>
            </w:pPr>
            <w:r>
              <w:rPr>
                <w:color w:val="000000"/>
                <w:kern w:val="0"/>
                <w:sz w:val="24"/>
                <w:szCs w:val="24"/>
              </w:rPr>
              <w:t>过去五年</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c>
          <w:tcPr>
            <w:vAlign w:val="center"/>
          </w:tcPr>
          <w:p>
            <w:pPr>
              <w:jc w:val="center"/>
            </w:pPr>
            <w:r>
              <w:rPr>
                <w:color w:val="000000"/>
                <w:kern w:val="0"/>
                <w:sz w:val="24"/>
                <w:szCs w:val="24"/>
              </w:rPr>
              <w:t>-</w:t>
            </w:r>
          </w:p>
        </w:tc>
      </w:tr>
      <w:tr>
        <w:tc>
          <w:tcPr>
            <w:vAlign w:val="center"/>
          </w:tcPr>
          <w:p>
            <w:pPr>
              <w:jc w:val="left"/>
            </w:pPr>
            <w:r>
              <w:rPr>
                <w:color w:val="000000"/>
                <w:kern w:val="0"/>
                <w:sz w:val="24"/>
                <w:szCs w:val="24"/>
              </w:rPr>
              <w:t>自基金合同生效起至今</w:t>
            </w:r>
          </w:p>
        </w:tc>
        <w:tc>
          <w:tcPr>
            <w:vAlign w:val="center"/>
          </w:tcPr>
          <w:p>
            <w:pPr>
              <w:jc w:val="center"/>
            </w:pPr>
            <w:r>
              <w:rPr>
                <w:color w:val="000000"/>
                <w:kern w:val="0"/>
                <w:sz w:val="24"/>
                <w:szCs w:val="24"/>
              </w:rPr>
              <w:t>96.77%</w:t>
            </w:r>
          </w:p>
        </w:tc>
        <w:tc>
          <w:tcPr>
            <w:vAlign w:val="center"/>
          </w:tcPr>
          <w:p>
            <w:pPr>
              <w:jc w:val="center"/>
            </w:pPr>
            <w:r>
              <w:rPr>
                <w:color w:val="000000"/>
                <w:kern w:val="0"/>
                <w:sz w:val="24"/>
                <w:szCs w:val="24"/>
              </w:rPr>
              <w:t>1.40%</w:t>
            </w:r>
          </w:p>
        </w:tc>
        <w:tc>
          <w:tcPr>
            <w:vAlign w:val="center"/>
          </w:tcPr>
          <w:p>
            <w:pPr>
              <w:jc w:val="center"/>
            </w:pPr>
            <w:r>
              <w:rPr>
                <w:color w:val="000000"/>
                <w:kern w:val="0"/>
                <w:sz w:val="24"/>
                <w:szCs w:val="24"/>
              </w:rPr>
              <w:t>11.39%</w:t>
            </w:r>
          </w:p>
        </w:tc>
        <w:tc>
          <w:tcPr>
            <w:vAlign w:val="center"/>
          </w:tcPr>
          <w:p>
            <w:pPr>
              <w:jc w:val="center"/>
            </w:pPr>
            <w:r>
              <w:rPr>
                <w:color w:val="000000"/>
                <w:kern w:val="0"/>
                <w:sz w:val="24"/>
                <w:szCs w:val="24"/>
              </w:rPr>
              <w:t>0.99%</w:t>
            </w:r>
          </w:p>
        </w:tc>
        <w:tc>
          <w:tcPr>
            <w:vAlign w:val="center"/>
          </w:tcPr>
          <w:p>
            <w:pPr>
              <w:jc w:val="center"/>
            </w:pPr>
            <w:r>
              <w:rPr>
                <w:color w:val="000000"/>
                <w:kern w:val="0"/>
                <w:sz w:val="24"/>
                <w:szCs w:val="24"/>
              </w:rPr>
              <w:t>85.38%</w:t>
            </w:r>
          </w:p>
        </w:tc>
        <w:tc>
          <w:tcPr>
            <w:vAlign w:val="center"/>
          </w:tcPr>
          <w:p>
            <w:pPr>
              <w:jc w:val="center"/>
            </w:pPr>
            <w:r>
              <w:rPr>
                <w:color w:val="000000"/>
                <w:kern w:val="0"/>
                <w:sz w:val="24"/>
                <w:szCs w:val="24"/>
              </w:rPr>
              <w:t>0.41%</w:t>
            </w:r>
          </w:p>
        </w:tc>
      </w:tr>
    </w:tbl>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3.2.2</w:t>
        </w:r>
        <w:r w:rsidR="00D87469" w:rsidRPr="00370BEA">
          <w:rPr>
            <w:rStyle w:val="afb"/>
            <w:rFonts w:hint="eastAsia"/>
            <w:color w:val="000000"/>
            <w:sz w:val="24"/>
            <w:shd w:color="auto" w:fill="FFFFFF" w:val="clear"/>
          </w:rPr>
          <w:t/>
        </w:r>
        <w:proofErr w:type="spellStart"/>
        <w:r w:rsidR="00D87469" w:rsidRPr="00370BEA">
          <w:rPr>
            <w:rStyle w:val="afb"/>
            <w:rFonts w:hint="eastAsia"/>
            <w:color w:val="000000"/>
            <w:sz w:val="24"/>
            <w:shd w:color="auto" w:fill="FFFFFF" w:val="clear"/>
          </w:rPr>
          <w:t/>
        </w:r>
        <w:proofErr w:type="spellEnd"/>
        <w:r w:rsidR="00D87469" w:rsidRPr="00370BEA">
          <w:rPr>
            <w:rStyle w:val="afb"/>
            <w:rFonts w:hint="eastAsia"/>
            <w:color w:val="000000"/>
            <w:sz w:val="24"/>
            <w:shd w:color="auto" w:fill="FFFFFF" w:val="clear"/>
          </w:rPr>
          <w:t>自基金合同生效以来</w:t>
        </w:r>
      </w:smartTag>
      <w:r w:rsidRPr="00264E55">
        <w:rPr>
          <w:rFonts w:ascii="宋体" w:hAnsi="宋体" w:hint="eastAsia"/>
          <w:b/>
          <w:bCs/>
          <w:color w:val="000000"/>
          <w:kern w:val="0"/>
          <w:sz w:val="24"/>
          <w:szCs w:val="24"/>
        </w:rPr>
        <w:t>基金累计净值增长率变动及其与同期业绩比较基准收益率变动的比较</w:t>
      </w:r>
    </w:p>
    <w:p w:rsidP="009E7C6A" w:rsidR="00750D48" w:rsidRDefault="00750D48" w:rsidRPr="0074694E">
      <w:pPr>
        <w:spacing w:line="360" w:lineRule="auto"/>
        <w:jc w:val="center"/>
        <w:rPr>
          <w:color w:val="000000"/>
          <w:sz w:val="24"/>
          <w:szCs w:val="24"/>
        </w:rPr>
      </w:pPr>
      <w:r w:rsidRPr="0074694E">
        <w:rPr>
          <w:color w:val="000000"/>
          <w:sz w:val="24"/>
          <w:szCs w:val="24"/>
        </w:rPr>
        <w:t/>
      </w:r>
      <w:proofErr w:type="spellStart"/>
      <w:r w:rsidRPr="0074694E">
        <w:rPr>
          <w:color w:val="000000"/>
          <w:sz w:val="24"/>
          <w:szCs w:val="24"/>
        </w:rPr>
        <w:t/>
      </w:r>
      <w:proofErr w:type="spellEnd"/>
      <w:r w:rsidRPr="0074694E">
        <w:rPr>
          <w:color w:val="000000"/>
          <w:sz w:val="24"/>
          <w:szCs w:val="24"/>
        </w:rPr>
        <w:t>易方达蓝筹精选混合型证券投资基金</w:t>
      </w:r>
    </w:p>
    <w:p w:rsidP="009E7C6A" w:rsidR="00750D48" w:rsidRDefault="00750D48" w:rsidRPr="0074694E">
      <w:pPr>
        <w:pStyle w:val="a5"/>
        <w:snapToGrid w:val="0"/>
        <w:spacing w:line="360" w:lineRule="auto"/>
        <w:jc w:val="center"/>
        <w:rPr>
          <w:rFonts w:ascii="Times New Roman" w:hAnsi="Times New Roman"/>
          <w:color w:val="000000"/>
          <w:sz w:val="24"/>
          <w:szCs w:val="24"/>
        </w:rPr>
      </w:pPr>
      <w:r w:rsidRPr="0074694E">
        <w:rPr>
          <w:rFonts w:ascii="Times New Roman" w:hAnsi="Times New Roman"/>
          <w:color w:val="000000"/>
          <w:sz w:val="24"/>
          <w:szCs w:val="24"/>
        </w:rPr>
        <w:t>累计净值增长率与业绩比较基准收益率的历史走势对比图</w:t>
      </w:r>
    </w:p>
    <w:p w:rsidP="009E7C6A" w:rsidR="00750D48" w:rsidRDefault="005F7917" w:rsidRPr="0074694E">
      <w:pPr>
        <w:pStyle w:val="a5"/>
        <w:snapToGrid w:val="0"/>
        <w:spacing w:line="360" w:lineRule="auto"/>
        <w:ind w:firstLine="480"/>
        <w:jc w:val="center"/>
        <w:rPr>
          <w:rFonts w:ascii="Times New Roman" w:hAnsi="Times New Roman"/>
          <w:sz w:val="24"/>
          <w:szCs w:val="24"/>
        </w:rPr>
      </w:pPr>
      <w:r w:rsidRPr="0074694E">
        <w:rPr>
          <w:rFonts w:ascii="Times New Roman" w:hAnsi="Times New Roman"/>
          <w:sz w:val="24"/>
          <w:szCs w:val="24"/>
        </w:rPr>
        <w:t>（</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2018年9月5日</w:t>
      </w:r>
      <w:r w:rsidRPr="0074694E">
        <w:rPr>
          <w:rFonts w:ascii="Times New Roman" w:hAnsi="Times New Roman"/>
          <w:sz w:val="24"/>
          <w:szCs w:val="24"/>
        </w:rPr>
        <w:t>至</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2020年6月30日</w:t>
      </w:r>
      <w:r w:rsidRPr="0074694E">
        <w:rPr>
          <w:rFonts w:ascii="Times New Roman" w:hAnsi="Times New Roman"/>
          <w:sz w:val="24"/>
          <w:szCs w:val="24"/>
        </w:rPr>
        <w:t>）</w:t>
      </w:r>
    </w:p>
    <w:p w:rsidP="004061AC" w:rsidR="00750D48" w:rsidRDefault="00B371D4" w:rsidRPr="00264E55">
      <w:pPr>
        <w:pStyle w:val="a5"/>
        <w:snapToGrid w:val="0"/>
        <w:spacing w:before="120" w:line="360" w:lineRule="auto"/>
        <w:jc w:val="center"/>
        <w:rPr>
          <w:rFonts w:hAnsi="宋体"/>
          <w:color w:val="000000"/>
          <w:sz w:val="24"/>
          <w:szCs w:val="24"/>
        </w:rPr>
      </w:pPr>
      <w:r>
        <w:rPr>
          <w:rFonts w:hAnsi="宋体"/>
          <w:noProof/>
          <w:color w:val="000000"/>
          <w:sz w:val="24"/>
          <w:szCs w:val="24"/>
        </w:rP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1" o:spid="_x0000_i1025" style="width:412.5pt;height:241.5pt;visibility:visible" type="#_x0000_t75">
            <v:imagedata o:title="" r:id="rId11"/>
          </v:shape>
        </w:pic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注：自基金合同生效至报告期末，基金份额净值增长率为96.77%，同期业绩比较基准收益率为11.39%。</w:t>
      </w:r>
    </w:p>
    <w:p w:rsidP="00693843" w:rsidR="00750D48" w:rsidRDefault="00750D48" w:rsidRPr="00232B03">
      <w:pPr>
        <w:tabs>
          <w:tab w:pos="1800" w:val="left"/>
        </w:tabs>
        <w:spacing w:line="288" w:lineRule="auto"/>
        <w:rPr>
          <w:color w:val="000000"/>
          <w:sz w:val="24"/>
          <w:szCs w:val="24"/>
        </w:rPr>
      </w:pP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4  </w:t>
      </w:r>
      <w:r w:rsidRPr="00264E55">
        <w:rPr>
          <w:rFonts w:ascii="宋体" w:hAnsi="宋体" w:hint="eastAsia"/>
          <w:color w:val="000000"/>
          <w:kern w:val="0"/>
          <w:sz w:val="24"/>
          <w:szCs w:val="24"/>
        </w:rPr>
        <w:t>管理人报告</w:t>
      </w:r>
    </w:p>
    <w:p w:rsidP="004D28A3" w:rsidR="004D28A3" w:rsidRDefault="00750D48" w:rsidRPr="0078105B">
      <w:pPr>
        <w:autoSpaceDE w:val="0"/>
        <w:autoSpaceDN w:val="0"/>
        <w:adjustRightInd w:val="0"/>
        <w:spacing w:line="360" w:lineRule="auto"/>
        <w:jc w:val="left"/>
        <w:rPr>
          <w:rFonts w:ascii="宋体" w:cs="Arial"/>
          <w:b/>
          <w:color w:val="000000"/>
          <w:kern w:val="0"/>
          <w:sz w:val="24"/>
        </w:rPr>
      </w:pPr>
      <w:r w:rsidRPr="00264E55">
        <w:rPr>
          <w:rFonts w:ascii="宋体" w:hAnsi="宋体"/>
          <w:b/>
          <w:bCs/>
          <w:color w:val="000000"/>
          <w:kern w:val="0"/>
          <w:sz w:val="24"/>
          <w:szCs w:val="24"/>
        </w:rPr>
        <w:t xml:space="preserve">4.1 </w:t>
      </w:r>
      <w:r w:rsidRPr="00264E55">
        <w:rPr>
          <w:rFonts w:ascii="宋体" w:hAnsi="宋体" w:hint="eastAsia"/>
          <w:b/>
          <w:bCs/>
          <w:color w:val="000000"/>
          <w:kern w:val="0"/>
          <w:sz w:val="24"/>
          <w:szCs w:val="24"/>
        </w:rPr>
        <w:t>基金经理</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或基金经理小组</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4D28A3" w:rsidRPr="0078105B" w:rsidTr="003328D9">
        <w:trPr>
          <w:cantSplit/>
        </w:trPr>
        <w:tc>
          <w:tcPr>
            <w:tcW w:type="dxa" w:w="56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type="dxa" w:w="851"/>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4D28A3" w:rsidRPr="0078105B" w:rsidTr="003328D9">
        <w:trPr>
          <w:cantSplit/>
        </w:trPr>
        <w:tc>
          <w:tcPr>
            <w:tcW w:type="dxa" w:w="56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835"/>
            <w:vMerge/>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张坤</w:t>
            </w:r>
          </w:p>
        </w:tc>
        <w:tc>
          <w:tcPr>
            <w:vAlign w:val="center"/>
          </w:tcPr>
          <w:p>
            <w:pPr>
              <w:jc w:val="left"/>
            </w:pPr>
            <w:r>
              <w:rPr>
                <w:color w:val="000000"/>
                <w:sz w:val="24"/>
              </w:rPr>
              <w:t>本基金的基金经理、易方达中小盘混合型证券投资基金的基金经理、易方达亚洲精选股票型证券投资基金的基金经理、易方达新丝路灵活配置混合型证券投资基金的基金经理、易方达优质企业三年持有期混合型证券投资基金的基金经理、副总经理级高级管理人员</w:t>
            </w:r>
          </w:p>
        </w:tc>
        <w:tc>
          <w:tcPr>
            <w:vAlign w:val="center"/>
          </w:tcPr>
          <w:p>
            <w:pPr>
              <w:jc w:val="center"/>
            </w:pPr>
            <w:r>
              <w:rPr>
                <w:color w:val="000000"/>
                <w:sz w:val="24"/>
              </w:rPr>
              <w:t>2018-09-05</w:t>
            </w:r>
          </w:p>
        </w:tc>
        <w:tc>
          <w:tcPr>
            <w:vAlign w:val="center"/>
          </w:tcPr>
          <w:p>
            <w:pPr>
              <w:jc w:val="center"/>
            </w:pPr>
            <w:r>
              <w:rPr>
                <w:color w:val="000000"/>
                <w:sz w:val="24"/>
              </w:rPr>
              <w:t>-</w:t>
            </w:r>
          </w:p>
        </w:tc>
        <w:tc>
          <w:tcPr>
            <w:vAlign w:val="center"/>
          </w:tcPr>
          <w:p>
            <w:pPr>
              <w:jc w:val="center"/>
            </w:pPr>
            <w:r>
              <w:rPr>
                <w:color w:val="000000"/>
                <w:sz w:val="24"/>
              </w:rPr>
              <w:t>12年</w:t>
            </w:r>
          </w:p>
        </w:tc>
        <w:tc>
          <w:tcPr>
            <w:vAlign w:val="center"/>
          </w:tcPr>
          <w:p>
            <w:pPr>
              <w:jc w:val="both"/>
            </w:pPr>
            <w:r>
              <w:rPr>
                <w:color w:val="000000"/>
                <w:sz w:val="24"/>
              </w:rPr>
              <w:t>硕士研究生，具有基金从业资格。曾任易方达基金管理有限公司行业研究员、基金经理助理、研究部总经理助理。</w:t>
            </w:r>
          </w:p>
        </w:tc>
      </w:tr>
    </w:tbl>
    <w:p>
      <w:pPr>
        <w:spacing w:line="360" w:lineRule="auto"/>
        <w:ind w:firstLine="480" w:firstLineChars="200"/>
        <w:rPr>
          <w:color w:val="000000"/>
          <w:sz w:val="24"/>
          <w:szCs w:val="24"/>
        </w:rPr>
      </w:pPr>
      <w:r>
        <w:rPr>
          <w:color w:val="000000"/>
          <w:sz w:val="24"/>
          <w:szCs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4D28A3" w:rsidR="00750D48" w:rsidRDefault="004D28A3" w:rsidRPr="00232B03">
      <w:pPr>
        <w:spacing w:line="360" w:lineRule="auto"/>
        <w:ind w:firstLine="480" w:firstLineChars="200"/>
        <w:rPr>
          <w:color w:val="000000"/>
          <w:sz w:val="24"/>
          <w:szCs w:val="24"/>
        </w:rPr>
      </w:pPr>
      <w:r w:rsidRPr="004D28A3">
        <w:rPr>
          <w:color w:val="000000"/>
          <w:sz w:val="24"/>
          <w:szCs w:val="24"/>
        </w:rPr>
        <w:t>2.证券从业的含义遵从《证券业从业人员资格管理办法》的相关规定。</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4.2 </w:t>
      </w:r>
      <w:r w:rsidRPr="00264E55">
        <w:rPr>
          <w:rFonts w:ascii="宋体" w:hAnsi="宋体" w:hint="eastAsia"/>
          <w:b/>
          <w:bCs/>
          <w:color w:val="000000"/>
          <w:kern w:val="0"/>
          <w:sz w:val="24"/>
          <w:szCs w:val="24"/>
        </w:rPr>
        <w:t>管理人对报告期内本基金运作遵规守信情况的说明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4.3 </w:t>
      </w:r>
      <w:r w:rsidRPr="00264E55">
        <w:rPr>
          <w:rFonts w:ascii="宋体" w:hAnsi="宋体" w:hint="eastAsia"/>
          <w:b/>
          <w:bCs/>
          <w:color w:val="000000"/>
          <w:kern w:val="0"/>
          <w:sz w:val="24"/>
          <w:szCs w:val="24"/>
        </w:rPr>
        <w:t>公平交易专项说明</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4.3.1</w:t>
        </w:r>
      </w:smartTag>
      <w:r w:rsidRPr="00264E55">
        <w:rPr>
          <w:rFonts w:ascii="宋体" w:hAnsi="宋体" w:hint="eastAsia"/>
          <w:color w:val="000000"/>
          <w:sz w:val="24"/>
          <w:szCs w:val="24"/>
        </w:rPr>
        <w:t>公平交易制度的执行情况</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4.3.2</w:t>
        </w:r>
      </w:smartTag>
      <w:r w:rsidRPr="00264E55">
        <w:rPr>
          <w:rFonts w:ascii="宋体" w:hAnsi="宋体" w:hint="eastAsia"/>
          <w:color w:val="000000"/>
          <w:sz w:val="24"/>
          <w:szCs w:val="24"/>
        </w:rPr>
        <w:t>异常交易行为的专项说明</w:t>
      </w:r>
    </w:p>
    <w:p>
      <w:pPr>
        <w:spacing w:line="360" w:lineRule="auto"/>
        <w:ind w:firstLine="480" w:firstLineChars="200"/>
        <w:rPr>
          <w:color w:val="000000"/>
          <w:sz w:val="24"/>
          <w:szCs w:val="24"/>
        </w:rPr>
      </w:pPr>
      <w:r>
        <w:rPr>
          <w:color w:val="000000"/>
          <w:sz w:val="24"/>
          <w:szCs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lastRenderedPageBreak/>
        <w:t/>
      </w:r>
      <w:proofErr w:type="spellStart"/>
      <w:r w:rsidRPr="006C56AA">
        <w:rPr>
          <w:color w:val="000000"/>
          <w:sz w:val="24"/>
          <w:szCs w:val="24"/>
        </w:rPr>
        <w:t/>
      </w:r>
      <w:proofErr w:type="spellEnd"/>
      <w:r w:rsidRPr="006C56AA">
        <w:rPr>
          <w:color w:val="000000"/>
          <w:sz w:val="24"/>
          <w:szCs w:val="24"/>
        </w:rPr>
        <w:t>本报告期内，未发现本基金有可能导致不公平交易和利益输送的异常交易。</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4.4 </w:t>
      </w:r>
      <w:r w:rsidRPr="00264E55">
        <w:rPr>
          <w:rFonts w:ascii="宋体" w:hAnsi="宋体" w:hint="eastAsia"/>
          <w:b/>
          <w:bCs/>
          <w:color w:val="000000"/>
          <w:kern w:val="0"/>
          <w:sz w:val="24"/>
          <w:szCs w:val="24"/>
        </w:rPr>
        <w:t>报告期内基金的投资策略和业绩表现说明</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4.4.1</w:t>
        </w:r>
      </w:smartTag>
      <w:r w:rsidRPr="00264E55">
        <w:rPr>
          <w:rFonts w:ascii="宋体" w:cs="宋体" w:hAnsi="宋体" w:hint="eastAsia"/>
          <w:sz w:val="24"/>
          <w:szCs w:val="24"/>
        </w:rPr>
        <w:t>报告期内基金投资策略和运作分析</w:t>
      </w:r>
    </w:p>
    <w:p>
      <w:pPr>
        <w:spacing w:line="360" w:lineRule="auto"/>
        <w:ind w:firstLine="480" w:firstLineChars="200"/>
        <w:rPr>
          <w:color w:val="000000"/>
          <w:sz w:val="24"/>
          <w:szCs w:val="24"/>
        </w:rPr>
      </w:pPr>
      <w:r>
        <w:rPr>
          <w:color w:val="000000"/>
          <w:sz w:val="24"/>
          <w:szCs w:val="24"/>
        </w:rPr>
        <w:t>2020年一季度，A股市场普遍上涨，沪深300指数上涨12.96%，上证指数上涨8.52%，创业板指数上涨30.25%。香港市场表现也较好，恒生指数上涨3.49%，恒生中国企业指数上涨1.71%。</w:t>
      </w:r>
    </w:p>
    <w:p>
      <w:pPr>
        <w:spacing w:line="360" w:lineRule="auto"/>
        <w:ind w:firstLine="480" w:firstLineChars="200"/>
        <w:rPr>
          <w:color w:val="000000"/>
          <w:sz w:val="24"/>
          <w:szCs w:val="24"/>
        </w:rPr>
      </w:pPr>
      <w:r>
        <w:rPr>
          <w:color w:val="000000"/>
          <w:sz w:val="24"/>
          <w:szCs w:val="24"/>
        </w:rPr>
        <w:t>二季度，新型冠状病毒肺炎疫情在国内基本被控制住，生产和生活逐步恢复，但疫情在不少其他国家的流行加剧，对全球经济造成了冲击，也对企业的经营造成了负面影响。各国政府积极应对，中国政府采取了宽松的货币政策和积极的财政政策。股票市场方面，市场在二季度分化较为明显，医药、食品饮料、电子等行业表现较好，而石油石化、建筑、纺织服装等行业表现相对落后。</w:t>
      </w:r>
    </w:p>
    <w:p>
      <w:pPr>
        <w:spacing w:line="360" w:lineRule="auto"/>
        <w:ind w:firstLine="480" w:firstLineChars="200"/>
        <w:rPr>
          <w:color w:val="000000"/>
          <w:sz w:val="24"/>
          <w:szCs w:val="24"/>
        </w:rPr>
      </w:pPr>
      <w:r>
        <w:rPr>
          <w:color w:val="000000"/>
          <w:sz w:val="24"/>
          <w:szCs w:val="24"/>
        </w:rPr>
        <w:t>操作方面，本基金在二季度股票仓位有所增加，并对结构进行了调整。降低了交运等行业的配置，增加了互联网等行业的配置。此外，出于对预期投资回报率的判断，我们配置了较高比例的港股通内的优质公司。我们认为，在人民币资产可投资的范围内，港股通内的优质公司股权是很有吸引力的权益资产。个股方面，我们依然长期持有商业模式出色、行业格局清晰、竞争力强的优质公司。</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中国经济正在面临转型,从欧美的经验来看,当经济增速变慢时,行业的竞争格局通常是改善的,资本开支会更加谨慎,企业的资产周转率和资本回报率通常也会上升,企业家的预期通常也会更加理性,优秀企业通常会获得更大的竞争优势。特别是处在移动互联网的时代，信息的传递速度越来越快，头部企业相比于过往获得竞争优势的时间、速度和强度是更强的。在这个时代，我们有望见证一批各行业的优秀企业持续的成长。我们希望能够选出其中的一些，陪伴并分享这些优秀公司的经营成果。</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4.4.2</w:t>
        </w:r>
      </w:smartTag>
      <w:r w:rsidRPr="00264E55">
        <w:rPr>
          <w:rFonts w:ascii="宋体" w:cs="宋体" w:hAnsi="宋体" w:hint="eastAsia"/>
          <w:sz w:val="24"/>
          <w:szCs w:val="24"/>
        </w:rPr>
        <w:t>报告期内基金的业绩表现</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截至报告期末，本基金份额净值为1.9677元，本报告期份额净值增长率为37.35%，同期业绩比较基准收益率为8.75%。</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5  </w:t>
      </w:r>
      <w:r w:rsidRPr="00264E55">
        <w:rPr>
          <w:rFonts w:ascii="宋体" w:hAnsi="宋体" w:hint="eastAsia"/>
          <w:color w:val="000000"/>
          <w:kern w:val="0"/>
          <w:sz w:val="24"/>
          <w:szCs w:val="24"/>
        </w:rPr>
        <w:t>投资组合报告</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5.1 </w:t>
      </w:r>
      <w:r w:rsidRPr="00264E55">
        <w:rPr>
          <w:rFonts w:ascii="宋体" w:hAnsi="宋体" w:hint="eastAsia"/>
          <w:b/>
          <w:bCs/>
          <w:color w:val="000000"/>
          <w:kern w:val="0"/>
          <w:sz w:val="24"/>
          <w:szCs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3357"/>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项目</w:t>
            </w:r>
          </w:p>
        </w:tc>
        <w:tc>
          <w:tcPr>
            <w:tcW w:type="dxa" w:w="2977"/>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金额</w:t>
            </w:r>
            <w:r w:rsidR="005F7917" w:rsidRPr="00232B03">
              <w:rPr>
                <w:color w:val="000000"/>
                <w:kern w:val="0"/>
                <w:sz w:val="24"/>
                <w:szCs w:val="24"/>
              </w:rPr>
              <w:t>（元）</w:t>
            </w:r>
          </w:p>
        </w:tc>
        <w:tc>
          <w:tcPr>
            <w:tcW w:type="dxa" w:w="1843"/>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占基金总资产的比例</w:t>
            </w:r>
            <w:r w:rsidR="005F7917" w:rsidRPr="00232B03">
              <w:rPr>
                <w:color w:val="000000"/>
                <w:kern w:val="0"/>
                <w:sz w:val="24"/>
                <w:szCs w:val="24"/>
              </w:rPr>
              <w:t>（</w:t>
            </w:r>
            <w:r w:rsidR="005F7917" w:rsidRPr="00232B03">
              <w:rPr>
                <w:color w:val="000000"/>
                <w:kern w:val="0"/>
                <w:sz w:val="24"/>
                <w:szCs w:val="24"/>
              </w:rPr>
              <w:t>%</w:t>
            </w:r>
            <w:r w:rsidR="005F7917"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1</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权益投资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16,859,381,650.19</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90.98</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其中：股票</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16,859,381,650.19</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90.98</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2</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固定收益投资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其中：债券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autoSpaceDE w:val="0"/>
              <w:autoSpaceDN w:val="0"/>
              <w:adjustRightInd w:val="0"/>
              <w:spacing w:before="29" w:line="360" w:lineRule="auto"/>
              <w:ind w:left="17"/>
              <w:jc w:val="left"/>
              <w:rPr>
                <w:color w:val="000000"/>
                <w:kern w:val="0"/>
                <w:sz w:val="24"/>
                <w:szCs w:val="24"/>
              </w:rPr>
            </w:pPr>
            <w:r w:rsidRPr="00232B03">
              <w:rPr>
                <w:color w:val="000000"/>
                <w:kern w:val="0"/>
                <w:sz w:val="24"/>
                <w:szCs w:val="24"/>
              </w:rPr>
              <w:t>资产支持证券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3</w:t>
            </w:r>
          </w:p>
        </w:tc>
        <w:tc>
          <w:tcPr>
            <w:tcW w:type="dxa" w:w="3357"/>
          </w:tcPr>
          <w:p w:rsidP="00EB572F" w:rsidR="00750D48" w:rsidRDefault="00750D48" w:rsidRPr="00232B03">
            <w:pPr>
              <w:spacing w:before="29" w:line="360" w:lineRule="auto"/>
              <w:ind w:left="105" w:leftChars="50"/>
              <w:rPr>
                <w:color w:val="000000"/>
                <w:kern w:val="0"/>
                <w:sz w:val="24"/>
                <w:szCs w:val="24"/>
              </w:rPr>
            </w:pPr>
            <w:r w:rsidRPr="00232B03">
              <w:rPr>
                <w:color w:val="000000"/>
                <w:kern w:val="0"/>
                <w:sz w:val="24"/>
                <w:szCs w:val="24"/>
              </w:rPr>
              <w:t>贵金属投资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4</w:t>
            </w:r>
          </w:p>
        </w:tc>
        <w:tc>
          <w:tcPr>
            <w:tcW w:type="dxa" w:w="3357"/>
            <w:vAlign w:val="center"/>
          </w:tcPr>
          <w:p w:rsidP="00B05049" w:rsidR="00750D48" w:rsidRDefault="00750D48" w:rsidRPr="00232B03">
            <w:pPr>
              <w:spacing w:before="29" w:line="360" w:lineRule="auto"/>
              <w:ind w:left="17"/>
              <w:jc w:val="left"/>
              <w:rPr>
                <w:color w:val="000000"/>
                <w:kern w:val="0"/>
                <w:sz w:val="24"/>
                <w:szCs w:val="24"/>
              </w:rPr>
            </w:pPr>
            <w:r w:rsidRPr="00232B03">
              <w:rPr>
                <w:color w:val="000000"/>
                <w:kern w:val="0"/>
                <w:sz w:val="24"/>
                <w:szCs w:val="24"/>
              </w:rPr>
              <w:t>金融衍生品投资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5</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其中：买断式回购的买入返售金融资产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6</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银行存款和结算备付金合计</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1,133,035,196.92</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6.11</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7</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其他资产</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538,015,469.93</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2.90</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8</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合计</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18,530,432,317.04</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100.00</w:t>
            </w:r>
          </w:p>
        </w:tc>
      </w:tr>
    </w:tbl>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xml:space="preserve">注：本基金本报告期末通过港股通交易机制投资的港股市值为7,006,055,643.00元,占净值比例38.46%。 </w:t>
      </w:r>
    </w:p>
    <w:p w:rsidP="008C2A4F" w:rsidR="008C2A4F" w:rsidRDefault="008C2A4F" w:rsidRPr="00220C32">
      <w:pPr>
        <w:autoSpaceDE w:val="0"/>
        <w:autoSpaceDN w:val="0"/>
        <w:adjustRightInd w:val="0"/>
        <w:spacing w:line="360" w:lineRule="auto"/>
        <w:jc w:val="left"/>
        <w:rPr>
          <w:rFonts w:asciiTheme="minorEastAsia" w:eastAsiaTheme="minorEastAsia" w:hAnsiTheme="minorEastAsia"/>
          <w:b/>
          <w:bCs/>
          <w:color w:themeColor="text1" w:val="000000"/>
          <w:kern w:val="0"/>
          <w:sz w:val="24"/>
          <w:szCs w:val="24"/>
        </w:rPr>
      </w:pPr>
      <w:r w:rsidRPr="00220C32">
        <w:rPr>
          <w:rFonts w:asciiTheme="minorEastAsia" w:eastAsiaTheme="minorEastAsia" w:hAnsiTheme="minorEastAsia"/>
          <w:b/>
          <w:bCs/>
          <w:color w:themeColor="text1" w:val="000000"/>
          <w:kern w:val="0"/>
          <w:sz w:val="24"/>
          <w:szCs w:val="24"/>
        </w:rPr>
        <w:lastRenderedPageBreak/>
        <w:t xml:space="preserve">5.2 </w:t>
      </w:r>
      <w:r w:rsidRPr="00220C32">
        <w:rPr>
          <w:rFonts w:asciiTheme="minorEastAsia" w:eastAsiaTheme="minorEastAsia" w:hAnsiTheme="minorEastAsia" w:hint="eastAsia"/>
          <w:b/>
          <w:bCs/>
          <w:color w:themeColor="text1" w:val="000000"/>
          <w:kern w:val="0"/>
          <w:sz w:val="24"/>
          <w:szCs w:val="24"/>
        </w:rPr>
        <w:t>报告期末按行业分类的股票投资组合</w:t>
      </w:r>
    </w:p>
    <w:p w:rsidP="008C2A4F" w:rsidR="008C2A4F" w:rsidRDefault="008C2A4F" w:rsidRPr="000D7474">
      <w:pPr>
        <w:rPr>
          <w:rFonts w:asciiTheme="minorEastAsia" w:eastAsiaTheme="minorEastAsia" w:hAnsiTheme="minorEastAsia"/>
          <w:b/>
          <w:bCs/>
          <w:color w:themeColor="text1" w:val="000000"/>
          <w:kern w:val="0"/>
          <w:sz w:val="24"/>
          <w:szCs w:val="24"/>
        </w:rPr>
      </w:pPr>
      <w:r w:rsidRPr="000D7474">
        <w:rPr>
          <w:rFonts w:asciiTheme="minorEastAsia" w:eastAsiaTheme="minorEastAsia" w:hAnsiTheme="minorEastAsia"/>
          <w:b/>
          <w:bCs/>
          <w:color w:themeColor="text1" w:val="000000"/>
          <w:kern w:val="0"/>
          <w:sz w:val="24"/>
          <w:szCs w:val="24"/>
        </w:rPr>
        <w:t/>
      </w:r>
      <w:proofErr w:type="spellStart"/>
      <w:r w:rsidRPr="000D7474">
        <w:rPr>
          <w:rFonts w:asciiTheme="minorEastAsia" w:eastAsiaTheme="minorEastAsia" w:hAnsiTheme="minorEastAsia"/>
          <w:b/>
          <w:bCs/>
          <w:color w:themeColor="text1" w:val="000000"/>
          <w:kern w:val="0"/>
          <w:sz w:val="24"/>
          <w:szCs w:val="24"/>
        </w:rPr>
        <w:t/>
      </w:r>
      <w:proofErr w:type="spellEnd"/>
      <w:r w:rsidRPr="000D7474">
        <w:rPr>
          <w:rFonts w:asciiTheme="minorEastAsia" w:eastAsiaTheme="minorEastAsia" w:hAnsiTheme="minorEastAsia"/>
          <w:b/>
          <w:bCs/>
          <w:color w:themeColor="text1" w:val="000000"/>
          <w:kern w:val="0"/>
          <w:sz w:val="24"/>
          <w:szCs w:val="24"/>
        </w:rPr>
        <w:t/>
      </w:r>
      <w:r w:rsidRPr="000D7474">
        <w:rPr>
          <w:rFonts w:asciiTheme="minorEastAsia" w:eastAsiaTheme="minorEastAsia" w:hAnsiTheme="minorEastAsia" w:hint="eastAsia"/>
          <w:b/>
          <w:bCs/>
          <w:color w:themeColor="text1" w:val="000000"/>
          <w:kern w:val="0"/>
          <w:sz w:val="24"/>
          <w:szCs w:val="24"/>
        </w:rPr>
        <w:t>5.2.1报告期末按行业分类的境内股票投资组合</w:t>
      </w:r>
    </w:p>
    <w:tbl>
      <w:tblPr>
        <w:tblW w:type="dxa" w:w="8789"/>
        <w:tblInd w:type="dxa" w:w="-137"/>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CellMar>
          <w:left w:type="dxa" w:w="0"/>
          <w:right w:type="dxa" w:w="0"/>
        </w:tblCellMar>
        <w:tblLook w:firstColumn="0" w:firstRow="0" w:lastColumn="0" w:lastRow="0" w:noHBand="0" w:noVBand="0" w:val="0000"/>
      </w:tblPr>
      <w:tblGrid>
        <w:gridCol w:w="709"/>
        <w:gridCol w:w="3544"/>
        <w:gridCol w:w="2977"/>
        <w:gridCol w:w="1559"/>
      </w:tblGrid>
      <w:tr w:rsidR="008C2A4F" w:rsidRPr="008C2A4F" w:rsidTr="003B5535">
        <w:trPr>
          <w:trHeight w:val="390"/>
        </w:trPr>
        <w:tc>
          <w:tcPr>
            <w:tcW w:type="dxa" w:w="709"/>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代码</w:t>
            </w: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行业类别</w:t>
            </w:r>
          </w:p>
        </w:tc>
        <w:tc>
          <w:tcPr>
            <w:tcW w:type="dxa" w:w="2977"/>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公允价值（元）</w:t>
            </w:r>
          </w:p>
        </w:tc>
        <w:tc>
          <w:tcPr>
            <w:tcW w:type="dxa" w:w="155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占基金资产净值比例（％）</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A</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农、林、牧、渔业</w:t>
            </w:r>
          </w:p>
        </w:tc>
        <w:tc>
          <w:tcPr>
            <w:tcW w:type="dxa" w:w="2977"/>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B</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采矿业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p w:rsidP="003328D9" w:rsidR="008C2A4F" w:rsidRDefault="008C2A4F" w:rsidRPr="008C2A4F">
            <w:pPr>
              <w:jc w:val="right"/>
              <w:rPr>
                <w:rFonts w:eastAsiaTheme="minorEastAsia"/>
                <w:color w:themeColor="text1" w:val="000000"/>
                <w:kern w:val="0"/>
                <w:sz w:val="24"/>
                <w:szCs w:val="24"/>
              </w:rPr>
            </w:pP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p w:rsidP="003328D9" w:rsidR="008C2A4F" w:rsidRDefault="008C2A4F" w:rsidRPr="008C2A4F">
            <w:pPr>
              <w:jc w:val="right"/>
              <w:rPr>
                <w:rFonts w:eastAsiaTheme="minorEastAsia"/>
                <w:color w:themeColor="text1" w:val="000000"/>
                <w:kern w:val="0"/>
                <w:sz w:val="24"/>
                <w:szCs w:val="24"/>
              </w:rPr>
            </w:pP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C</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制造业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8,345,340,218.06</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45.81</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D</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电力、热力、燃气及水生产和供应业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12,766.32</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0.00</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E</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建筑业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F</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批发和零售业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G</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交通运输、仓储和邮政业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113,705,966.54</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0.62</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H</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住宿和餐饮业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I</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信息传输、软件和信息技术服务业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190,731.77</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0.00</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J</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金融业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659,025,540.60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3.62</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K</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房地产业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L</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租赁和商务服务业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M</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科学研究和技术服务业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N</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水利、环境和公共设施管理业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O</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居民服务、修理和其他服务业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P</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教育</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lastRenderedPageBreak/>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Q</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卫生和社会工作</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735,050,783.90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4.03</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R</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文化、体育和娱乐业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S</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综合</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合计</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9,853,326,007.19</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54.08</w:t>
            </w:r>
          </w:p>
        </w:tc>
      </w:tr>
    </w:tbl>
    <w:p w:rsidP="008C2A4F" w:rsidR="008C2A4F" w:rsidRDefault="008C2A4F" w:rsidRPr="008C2A4F">
      <w:pPr>
        <w:jc w:val="left"/>
        <w:rPr>
          <w:rFonts w:eastAsiaTheme="minorEastAsia"/>
          <w:b/>
          <w:bCs/>
          <w:color w:themeColor="text1" w:val="000000"/>
          <w:kern w:val="0"/>
          <w:sz w:val="24"/>
          <w:szCs w:val="24"/>
        </w:rPr>
      </w:pPr>
      <w:r w:rsidRPr="008C2A4F">
        <w:rPr>
          <w:rFonts w:eastAsiaTheme="minorEastAsia"/>
          <w:b/>
          <w:bCs/>
          <w:color w:themeColor="text1" w:val="000000"/>
          <w:kern w:val="0"/>
          <w:sz w:val="24"/>
          <w:szCs w:val="24"/>
        </w:rPr>
        <w:t xml:space="preserve"> </w:t>
      </w:r>
      <w:proofErr w:type="spellStart"/>
      <w:r w:rsidRPr="008C2A4F">
        <w:rPr>
          <w:rFonts w:eastAsiaTheme="minorEastAsia"/>
          <w:b/>
          <w:bCs/>
          <w:color w:themeColor="text1" w:val="000000"/>
          <w:kern w:val="0"/>
          <w:sz w:val="24"/>
          <w:szCs w:val="24"/>
        </w:rPr>
        <w:t/>
      </w:r>
      <w:proofErr w:type="spellEnd"/>
      <w:r w:rsidRPr="008C2A4F">
        <w:rPr>
          <w:rFonts w:eastAsiaTheme="minorEastAsia"/>
          <w:b/>
          <w:bCs/>
          <w:color w:themeColor="text1" w:val="000000"/>
          <w:kern w:val="0"/>
          <w:sz w:val="24"/>
          <w:szCs w:val="24"/>
        </w:rPr>
        <w:t>5.2.2</w:t>
      </w:r>
      <w:r w:rsidR="00B912D0">
        <w:rPr>
          <w:rFonts w:eastAsiaTheme="minorEastAsia"/>
          <w:b/>
          <w:bCs/>
          <w:color w:themeColor="text1" w:val="000000"/>
          <w:kern w:val="0"/>
          <w:sz w:val="24"/>
          <w:szCs w:val="24"/>
        </w:rPr>
        <w:t>报告期末按行业分类的</w:t>
      </w:r>
      <w:r w:rsidR="00B912D0">
        <w:rPr>
          <w:rFonts w:eastAsiaTheme="minorEastAsia" w:hint="eastAsia"/>
          <w:b/>
          <w:bCs/>
          <w:color w:themeColor="text1" w:val="000000"/>
          <w:kern w:val="0"/>
          <w:sz w:val="24"/>
          <w:szCs w:val="24"/>
        </w:rPr>
        <w:t>港股通</w:t>
      </w:r>
      <w:r w:rsidRPr="008C2A4F">
        <w:rPr>
          <w:rFonts w:eastAsiaTheme="minorEastAsia"/>
          <w:b/>
          <w:bCs/>
          <w:color w:themeColor="text1" w:val="000000"/>
          <w:kern w:val="0"/>
          <w:sz w:val="24"/>
          <w:szCs w:val="24"/>
        </w:rPr>
        <w:t>投资股票投资组合</w:t>
      </w:r>
    </w:p>
    <w:tbl>
      <w:tblPr>
        <w:tblW w:type="dxa" w:w="8634"/>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1" w:firstRow="1" w:lastColumn="0" w:lastRow="0" w:noHBand="0" w:noVBand="1" w:val="04A0"/>
      </w:tblPr>
      <w:tblGrid>
        <w:gridCol w:w="2397"/>
        <w:gridCol w:w="3119"/>
        <w:gridCol w:w="3118"/>
      </w:tblGrid>
      <w:tr w:rsidR="008C2A4F" w:rsidRPr="008C2A4F" w:rsidTr="003328D9">
        <w:trPr>
          <w:jc w:val="center"/>
        </w:trPr>
        <w:tc>
          <w:tcPr>
            <w:tcW w:type="dxa" w:w="2397"/>
            <w:vAlign w:val="center"/>
          </w:tcPr>
          <w:p w:rsidP="003328D9" w:rsidR="008C2A4F" w:rsidRDefault="008C2A4F" w:rsidRPr="008C2A4F">
            <w:pPr>
              <w:spacing w:before="29" w:line="360" w:lineRule="auto"/>
              <w:ind w:left="17"/>
              <w:jc w:val="center"/>
              <w:rPr>
                <w:rFonts w:eastAsiaTheme="minorEastAsia"/>
                <w:color w:themeColor="text1" w:val="000000"/>
                <w:kern w:val="0"/>
                <w:sz w:val="24"/>
                <w:szCs w:val="24"/>
              </w:rPr>
            </w:pPr>
            <w:r w:rsidRPr="008C2A4F">
              <w:rPr>
                <w:rFonts w:eastAsiaTheme="minorEastAsia"/>
                <w:color w:themeColor="text1" w:val="000000"/>
                <w:kern w:val="0"/>
                <w:sz w:val="24"/>
                <w:szCs w:val="24"/>
              </w:rPr>
              <w:t>行业类别</w:t>
            </w: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
            </w:r>
          </w:p>
        </w:tc>
        <w:tc>
          <w:tcPr>
            <w:tcW w:type="dxa" w:w="3119"/>
            <w:vAlign w:val="center"/>
          </w:tcPr>
          <w:p w:rsidP="003328D9" w:rsidR="008C2A4F" w:rsidRDefault="008C2A4F" w:rsidRPr="008C2A4F">
            <w:pPr>
              <w:spacing w:before="29" w:line="360" w:lineRule="auto"/>
              <w:ind w:left="17"/>
              <w:jc w:val="center"/>
              <w:rPr>
                <w:rFonts w:eastAsiaTheme="minorEastAsia"/>
                <w:color w:themeColor="text1" w:val="000000"/>
                <w:kern w:val="0"/>
                <w:sz w:val="24"/>
                <w:szCs w:val="24"/>
              </w:rPr>
            </w:pPr>
            <w:r w:rsidRPr="008C2A4F">
              <w:rPr>
                <w:rFonts w:eastAsiaTheme="minorEastAsia"/>
                <w:color w:themeColor="text1" w:val="000000"/>
                <w:kern w:val="0"/>
                <w:sz w:val="24"/>
                <w:szCs w:val="24"/>
              </w:rPr>
              <w:t>公允价值（人民币）</w:t>
            </w:r>
          </w:p>
        </w:tc>
        <w:tc>
          <w:tcPr>
            <w:tcW w:type="dxa" w:w="3118"/>
            <w:vAlign w:val="center"/>
          </w:tcPr>
          <w:p w:rsidP="003328D9" w:rsidR="008C2A4F" w:rsidRDefault="008C2A4F" w:rsidRPr="008C2A4F">
            <w:pPr>
              <w:spacing w:before="29" w:line="360" w:lineRule="auto"/>
              <w:ind w:left="17"/>
              <w:jc w:val="center"/>
              <w:rPr>
                <w:rFonts w:eastAsiaTheme="minorEastAsia"/>
                <w:color w:themeColor="text1" w:val="000000"/>
                <w:kern w:val="0"/>
                <w:sz w:val="24"/>
                <w:szCs w:val="24"/>
              </w:rPr>
            </w:pPr>
            <w:r w:rsidRPr="008C2A4F">
              <w:rPr>
                <w:rFonts w:eastAsiaTheme="minorEastAsia"/>
                <w:color w:themeColor="text1" w:val="000000"/>
                <w:kern w:val="0"/>
                <w:sz w:val="24"/>
                <w:szCs w:val="24"/>
              </w:rPr>
              <w:t>占基金资产净值比例（</w:t>
            </w:r>
            <w:r w:rsidRPr="008C2A4F">
              <w:rPr>
                <w:rFonts w:eastAsiaTheme="minorEastAsia"/>
                <w:color w:themeColor="text1" w:val="000000"/>
                <w:kern w:val="0"/>
                <w:sz w:val="24"/>
                <w:szCs w:val="24"/>
              </w:rPr>
              <w:t>%</w:t>
            </w:r>
            <w:r w:rsidRPr="008C2A4F">
              <w:rPr>
                <w:rFonts w:eastAsiaTheme="minorEastAsia"/>
                <w:color w:themeColor="text1" w:val="000000"/>
                <w:kern w:val="0"/>
                <w:sz w:val="24"/>
                <w:szCs w:val="24"/>
              </w:rPr>
              <w:t>）</w:t>
            </w:r>
          </w:p>
        </w:tc>
      </w:tr>
      <w:tr>
        <w:tc>
          <w:tcPr>
            <w:vAlign w:val="center"/>
          </w:tcPr>
          <w:p>
            <w:pPr>
              <w:jc w:val="center"/>
            </w:pPr>
            <w:r>
              <w:rPr>
                <w:rFonts w:eastAsiaTheme="minorEastAsia"/>
                <w:color w:themeColor="text1" w:val="000000"/>
                <w:kern w:val="0"/>
                <w:sz w:val="24"/>
                <w:szCs w:val="24"/>
              </w:rPr>
              <w:t>能源</w:t>
            </w:r>
          </w:p>
        </w:tc>
        <w:tc>
          <w:tcPr>
            <w:vAlign w:val="center"/>
          </w:tcPr>
          <w:p>
            <w:pPr>
              <w:jc w:val="center"/>
            </w:pPr>
            <w:r>
              <w:rPr>
                <w:rFonts w:eastAsiaTheme="minorEastAsia"/>
                <w:color w:themeColor="text1" w:val="000000"/>
                <w:kern w:val="0"/>
                <w:sz w:val="24"/>
                <w:szCs w:val="24"/>
              </w:rPr>
              <w:t>-</w:t>
            </w:r>
          </w:p>
        </w:tc>
        <w:tc>
          <w:tcPr>
            <w:vAlign w:val="center"/>
          </w:tcPr>
          <w:p>
            <w:pPr>
              <w:jc w:val="center"/>
            </w:pPr>
            <w:r>
              <w:rPr>
                <w:rFonts w:eastAsiaTheme="minorEastAsia"/>
                <w:color w:themeColor="text1" w:val="000000"/>
                <w:kern w:val="0"/>
                <w:sz w:val="24"/>
                <w:szCs w:val="24"/>
              </w:rPr>
              <w:t>-</w:t>
            </w:r>
          </w:p>
        </w:tc>
      </w:tr>
      <w:tr>
        <w:tc>
          <w:tcPr>
            <w:vAlign w:val="center"/>
          </w:tcPr>
          <w:p>
            <w:pPr>
              <w:jc w:val="center"/>
            </w:pPr>
            <w:r>
              <w:rPr>
                <w:rFonts w:eastAsiaTheme="minorEastAsia"/>
                <w:color w:themeColor="text1" w:val="000000"/>
                <w:kern w:val="0"/>
                <w:sz w:val="24"/>
                <w:szCs w:val="24"/>
              </w:rPr>
              <w:t>材料</w:t>
            </w:r>
          </w:p>
        </w:tc>
        <w:tc>
          <w:tcPr>
            <w:vAlign w:val="center"/>
          </w:tcPr>
          <w:p>
            <w:pPr>
              <w:jc w:val="center"/>
            </w:pPr>
            <w:r>
              <w:rPr>
                <w:rFonts w:eastAsiaTheme="minorEastAsia"/>
                <w:color w:themeColor="text1" w:val="000000"/>
                <w:kern w:val="0"/>
                <w:sz w:val="24"/>
                <w:szCs w:val="24"/>
              </w:rPr>
              <w:t>-</w:t>
            </w:r>
          </w:p>
        </w:tc>
        <w:tc>
          <w:tcPr>
            <w:vAlign w:val="center"/>
          </w:tcPr>
          <w:p>
            <w:pPr>
              <w:jc w:val="center"/>
            </w:pPr>
            <w:r>
              <w:rPr>
                <w:rFonts w:eastAsiaTheme="minorEastAsia"/>
                <w:color w:themeColor="text1" w:val="000000"/>
                <w:kern w:val="0"/>
                <w:sz w:val="24"/>
                <w:szCs w:val="24"/>
              </w:rPr>
              <w:t>-</w:t>
            </w:r>
          </w:p>
        </w:tc>
      </w:tr>
      <w:tr>
        <w:tc>
          <w:tcPr>
            <w:vAlign w:val="center"/>
          </w:tcPr>
          <w:p>
            <w:pPr>
              <w:jc w:val="center"/>
            </w:pPr>
            <w:r>
              <w:rPr>
                <w:rFonts w:eastAsiaTheme="minorEastAsia"/>
                <w:color w:themeColor="text1" w:val="000000"/>
                <w:kern w:val="0"/>
                <w:sz w:val="24"/>
                <w:szCs w:val="24"/>
              </w:rPr>
              <w:t>工业</w:t>
            </w:r>
          </w:p>
        </w:tc>
        <w:tc>
          <w:tcPr>
            <w:vAlign w:val="center"/>
          </w:tcPr>
          <w:p>
            <w:pPr>
              <w:jc w:val="center"/>
            </w:pPr>
            <w:r>
              <w:rPr>
                <w:rFonts w:eastAsiaTheme="minorEastAsia"/>
                <w:color w:themeColor="text1" w:val="000000"/>
                <w:kern w:val="0"/>
                <w:sz w:val="24"/>
                <w:szCs w:val="24"/>
              </w:rPr>
              <w:t>-</w:t>
            </w:r>
          </w:p>
        </w:tc>
        <w:tc>
          <w:tcPr>
            <w:vAlign w:val="center"/>
          </w:tcPr>
          <w:p>
            <w:pPr>
              <w:jc w:val="center"/>
            </w:pPr>
            <w:r>
              <w:rPr>
                <w:rFonts w:eastAsiaTheme="minorEastAsia"/>
                <w:color w:themeColor="text1" w:val="000000"/>
                <w:kern w:val="0"/>
                <w:sz w:val="24"/>
                <w:szCs w:val="24"/>
              </w:rPr>
              <w:t>-</w:t>
            </w:r>
          </w:p>
        </w:tc>
      </w:tr>
      <w:tr>
        <w:tc>
          <w:tcPr>
            <w:vAlign w:val="center"/>
          </w:tcPr>
          <w:p>
            <w:pPr>
              <w:jc w:val="center"/>
            </w:pPr>
            <w:r>
              <w:rPr>
                <w:rFonts w:eastAsiaTheme="minorEastAsia"/>
                <w:color w:themeColor="text1" w:val="000000"/>
                <w:kern w:val="0"/>
                <w:sz w:val="24"/>
                <w:szCs w:val="24"/>
              </w:rPr>
              <w:t>非必需消费品</w:t>
            </w:r>
          </w:p>
        </w:tc>
        <w:tc>
          <w:tcPr>
            <w:vAlign w:val="center"/>
          </w:tcPr>
          <w:p>
            <w:pPr>
              <w:jc w:val="center"/>
            </w:pPr>
            <w:r>
              <w:rPr>
                <w:rFonts w:eastAsiaTheme="minorEastAsia"/>
                <w:color w:themeColor="text1" w:val="000000"/>
                <w:kern w:val="0"/>
                <w:sz w:val="24"/>
                <w:szCs w:val="24"/>
              </w:rPr>
              <w:t>1,310,680,148.66</w:t>
            </w:r>
          </w:p>
        </w:tc>
        <w:tc>
          <w:tcPr>
            <w:vAlign w:val="center"/>
          </w:tcPr>
          <w:p>
            <w:pPr>
              <w:jc w:val="center"/>
            </w:pPr>
            <w:r>
              <w:rPr>
                <w:rFonts w:eastAsiaTheme="minorEastAsia"/>
                <w:color w:themeColor="text1" w:val="000000"/>
                <w:kern w:val="0"/>
                <w:sz w:val="24"/>
                <w:szCs w:val="24"/>
              </w:rPr>
              <w:t>7.19</w:t>
            </w:r>
          </w:p>
        </w:tc>
      </w:tr>
      <w:tr>
        <w:tc>
          <w:tcPr>
            <w:vAlign w:val="center"/>
          </w:tcPr>
          <w:p>
            <w:pPr>
              <w:jc w:val="center"/>
            </w:pPr>
            <w:r>
              <w:rPr>
                <w:rFonts w:eastAsiaTheme="minorEastAsia"/>
                <w:color w:themeColor="text1" w:val="000000"/>
                <w:kern w:val="0"/>
                <w:sz w:val="24"/>
                <w:szCs w:val="24"/>
              </w:rPr>
              <w:t>必需消费品</w:t>
            </w:r>
          </w:p>
        </w:tc>
        <w:tc>
          <w:tcPr>
            <w:vAlign w:val="center"/>
          </w:tcPr>
          <w:p>
            <w:pPr>
              <w:jc w:val="center"/>
            </w:pPr>
            <w:r>
              <w:rPr>
                <w:rFonts w:eastAsiaTheme="minorEastAsia"/>
                <w:color w:themeColor="text1" w:val="000000"/>
                <w:kern w:val="0"/>
                <w:sz w:val="24"/>
                <w:szCs w:val="24"/>
              </w:rPr>
              <w:t>-</w:t>
            </w:r>
          </w:p>
        </w:tc>
        <w:tc>
          <w:tcPr>
            <w:vAlign w:val="center"/>
          </w:tcPr>
          <w:p>
            <w:pPr>
              <w:jc w:val="center"/>
            </w:pPr>
            <w:r>
              <w:rPr>
                <w:rFonts w:eastAsiaTheme="minorEastAsia"/>
                <w:color w:themeColor="text1" w:val="000000"/>
                <w:kern w:val="0"/>
                <w:sz w:val="24"/>
                <w:szCs w:val="24"/>
              </w:rPr>
              <w:t>-</w:t>
            </w:r>
          </w:p>
        </w:tc>
      </w:tr>
      <w:tr>
        <w:tc>
          <w:tcPr>
            <w:vAlign w:val="center"/>
          </w:tcPr>
          <w:p>
            <w:pPr>
              <w:jc w:val="center"/>
            </w:pPr>
            <w:r>
              <w:rPr>
                <w:rFonts w:eastAsiaTheme="minorEastAsia"/>
                <w:color w:themeColor="text1" w:val="000000"/>
                <w:kern w:val="0"/>
                <w:sz w:val="24"/>
                <w:szCs w:val="24"/>
              </w:rPr>
              <w:t>保健</w:t>
            </w:r>
          </w:p>
        </w:tc>
        <w:tc>
          <w:tcPr>
            <w:vAlign w:val="center"/>
          </w:tcPr>
          <w:p>
            <w:pPr>
              <w:jc w:val="center"/>
            </w:pPr>
            <w:r>
              <w:rPr>
                <w:rFonts w:eastAsiaTheme="minorEastAsia"/>
                <w:color w:themeColor="text1" w:val="000000"/>
                <w:kern w:val="0"/>
                <w:sz w:val="24"/>
                <w:szCs w:val="24"/>
              </w:rPr>
              <w:t>2,198,102,929.44</w:t>
            </w:r>
          </w:p>
        </w:tc>
        <w:tc>
          <w:tcPr>
            <w:vAlign w:val="center"/>
          </w:tcPr>
          <w:p>
            <w:pPr>
              <w:jc w:val="center"/>
            </w:pPr>
            <w:r>
              <w:rPr>
                <w:rFonts w:eastAsiaTheme="minorEastAsia"/>
                <w:color w:themeColor="text1" w:val="000000"/>
                <w:kern w:val="0"/>
                <w:sz w:val="24"/>
                <w:szCs w:val="24"/>
              </w:rPr>
              <w:t>12.07</w:t>
            </w:r>
          </w:p>
        </w:tc>
      </w:tr>
      <w:tr>
        <w:tc>
          <w:tcPr>
            <w:vAlign w:val="center"/>
          </w:tcPr>
          <w:p>
            <w:pPr>
              <w:jc w:val="center"/>
            </w:pPr>
            <w:r>
              <w:rPr>
                <w:rFonts w:eastAsiaTheme="minorEastAsia"/>
                <w:color w:themeColor="text1" w:val="000000"/>
                <w:kern w:val="0"/>
                <w:sz w:val="24"/>
                <w:szCs w:val="24"/>
              </w:rPr>
              <w:t>金融</w:t>
            </w:r>
          </w:p>
        </w:tc>
        <w:tc>
          <w:tcPr>
            <w:vAlign w:val="center"/>
          </w:tcPr>
          <w:p>
            <w:pPr>
              <w:jc w:val="center"/>
            </w:pPr>
            <w:r>
              <w:rPr>
                <w:rFonts w:eastAsiaTheme="minorEastAsia"/>
                <w:color w:themeColor="text1" w:val="000000"/>
                <w:kern w:val="0"/>
                <w:sz w:val="24"/>
                <w:szCs w:val="24"/>
              </w:rPr>
              <w:t>1,753,388,271.36</w:t>
            </w:r>
          </w:p>
        </w:tc>
        <w:tc>
          <w:tcPr>
            <w:vAlign w:val="center"/>
          </w:tcPr>
          <w:p>
            <w:pPr>
              <w:jc w:val="center"/>
            </w:pPr>
            <w:r>
              <w:rPr>
                <w:rFonts w:eastAsiaTheme="minorEastAsia"/>
                <w:color w:themeColor="text1" w:val="000000"/>
                <w:kern w:val="0"/>
                <w:sz w:val="24"/>
                <w:szCs w:val="24"/>
              </w:rPr>
              <w:t>9.62</w:t>
            </w:r>
          </w:p>
        </w:tc>
      </w:tr>
      <w:tr>
        <w:tc>
          <w:tcPr>
            <w:vAlign w:val="center"/>
          </w:tcPr>
          <w:p>
            <w:pPr>
              <w:jc w:val="center"/>
            </w:pPr>
            <w:r>
              <w:rPr>
                <w:rFonts w:eastAsiaTheme="minorEastAsia"/>
                <w:color w:themeColor="text1" w:val="000000"/>
                <w:kern w:val="0"/>
                <w:sz w:val="24"/>
                <w:szCs w:val="24"/>
              </w:rPr>
              <w:t>信息技术</w:t>
            </w:r>
          </w:p>
        </w:tc>
        <w:tc>
          <w:tcPr>
            <w:vAlign w:val="center"/>
          </w:tcPr>
          <w:p>
            <w:pPr>
              <w:jc w:val="center"/>
            </w:pPr>
            <w:r>
              <w:rPr>
                <w:rFonts w:eastAsiaTheme="minorEastAsia"/>
                <w:color w:themeColor="text1" w:val="000000"/>
                <w:kern w:val="0"/>
                <w:sz w:val="24"/>
                <w:szCs w:val="24"/>
              </w:rPr>
              <w:t>-</w:t>
            </w:r>
          </w:p>
        </w:tc>
        <w:tc>
          <w:tcPr>
            <w:vAlign w:val="center"/>
          </w:tcPr>
          <w:p>
            <w:pPr>
              <w:jc w:val="center"/>
            </w:pPr>
            <w:r>
              <w:rPr>
                <w:rFonts w:eastAsiaTheme="minorEastAsia"/>
                <w:color w:themeColor="text1" w:val="000000"/>
                <w:kern w:val="0"/>
                <w:sz w:val="24"/>
                <w:szCs w:val="24"/>
              </w:rPr>
              <w:t>-</w:t>
            </w:r>
          </w:p>
        </w:tc>
      </w:tr>
      <w:tr>
        <w:tc>
          <w:tcPr>
            <w:vAlign w:val="center"/>
          </w:tcPr>
          <w:p>
            <w:pPr>
              <w:jc w:val="center"/>
            </w:pPr>
            <w:r>
              <w:rPr>
                <w:rFonts w:eastAsiaTheme="minorEastAsia"/>
                <w:color w:themeColor="text1" w:val="000000"/>
                <w:kern w:val="0"/>
                <w:sz w:val="24"/>
                <w:szCs w:val="24"/>
              </w:rPr>
              <w:t>电信服务</w:t>
            </w:r>
          </w:p>
        </w:tc>
        <w:tc>
          <w:tcPr>
            <w:vAlign w:val="center"/>
          </w:tcPr>
          <w:p>
            <w:pPr>
              <w:jc w:val="center"/>
            </w:pPr>
            <w:r>
              <w:rPr>
                <w:rFonts w:eastAsiaTheme="minorEastAsia"/>
                <w:color w:themeColor="text1" w:val="000000"/>
                <w:kern w:val="0"/>
                <w:sz w:val="24"/>
                <w:szCs w:val="24"/>
              </w:rPr>
              <w:t>1,743,884,293.54</w:t>
            </w:r>
          </w:p>
        </w:tc>
        <w:tc>
          <w:tcPr>
            <w:vAlign w:val="center"/>
          </w:tcPr>
          <w:p>
            <w:pPr>
              <w:jc w:val="center"/>
            </w:pPr>
            <w:r>
              <w:rPr>
                <w:rFonts w:eastAsiaTheme="minorEastAsia"/>
                <w:color w:themeColor="text1" w:val="000000"/>
                <w:kern w:val="0"/>
                <w:sz w:val="24"/>
                <w:szCs w:val="24"/>
              </w:rPr>
              <w:t>9.57</w:t>
            </w:r>
          </w:p>
        </w:tc>
      </w:tr>
      <w:tr>
        <w:tc>
          <w:tcPr>
            <w:vAlign w:val="center"/>
          </w:tcPr>
          <w:p>
            <w:pPr>
              <w:jc w:val="center"/>
            </w:pPr>
            <w:r>
              <w:rPr>
                <w:rFonts w:eastAsiaTheme="minorEastAsia"/>
                <w:color w:themeColor="text1" w:val="000000"/>
                <w:kern w:val="0"/>
                <w:sz w:val="24"/>
                <w:szCs w:val="24"/>
              </w:rPr>
              <w:t>公用事业</w:t>
            </w:r>
          </w:p>
        </w:tc>
        <w:tc>
          <w:tcPr>
            <w:vAlign w:val="center"/>
          </w:tcPr>
          <w:p>
            <w:pPr>
              <w:jc w:val="center"/>
            </w:pPr>
            <w:r>
              <w:rPr>
                <w:rFonts w:eastAsiaTheme="minorEastAsia"/>
                <w:color w:themeColor="text1" w:val="000000"/>
                <w:kern w:val="0"/>
                <w:sz w:val="24"/>
                <w:szCs w:val="24"/>
              </w:rPr>
              <w:t>-</w:t>
            </w:r>
          </w:p>
        </w:tc>
        <w:tc>
          <w:tcPr>
            <w:vAlign w:val="center"/>
          </w:tcPr>
          <w:p>
            <w:pPr>
              <w:jc w:val="center"/>
            </w:pPr>
            <w:r>
              <w:rPr>
                <w:rFonts w:eastAsiaTheme="minorEastAsia"/>
                <w:color w:themeColor="text1" w:val="000000"/>
                <w:kern w:val="0"/>
                <w:sz w:val="24"/>
                <w:szCs w:val="24"/>
              </w:rPr>
              <w:t>-</w:t>
            </w:r>
          </w:p>
        </w:tc>
      </w:tr>
      <w:tr>
        <w:tc>
          <w:tcPr>
            <w:vAlign w:val="center"/>
          </w:tcPr>
          <w:p>
            <w:pPr>
              <w:jc w:val="center"/>
            </w:pPr>
            <w:r>
              <w:rPr>
                <w:rFonts w:eastAsiaTheme="minorEastAsia"/>
                <w:color w:themeColor="text1" w:val="000000"/>
                <w:kern w:val="0"/>
                <w:sz w:val="24"/>
                <w:szCs w:val="24"/>
              </w:rPr>
              <w:t>房地产</w:t>
            </w:r>
          </w:p>
        </w:tc>
        <w:tc>
          <w:tcPr>
            <w:vAlign w:val="center"/>
          </w:tcPr>
          <w:p>
            <w:pPr>
              <w:jc w:val="center"/>
            </w:pPr>
            <w:r>
              <w:rPr>
                <w:rFonts w:eastAsiaTheme="minorEastAsia"/>
                <w:color w:themeColor="text1" w:val="000000"/>
                <w:kern w:val="0"/>
                <w:sz w:val="24"/>
                <w:szCs w:val="24"/>
              </w:rPr>
              <w:t>-</w:t>
            </w:r>
          </w:p>
        </w:tc>
        <w:tc>
          <w:tcPr>
            <w:vAlign w:val="center"/>
          </w:tcPr>
          <w:p>
            <w:pPr>
              <w:jc w:val="center"/>
            </w:pPr>
            <w:r>
              <w:rPr>
                <w:rFonts w:eastAsiaTheme="minorEastAsia"/>
                <w:color w:themeColor="text1" w:val="000000"/>
                <w:kern w:val="0"/>
                <w:sz w:val="24"/>
                <w:szCs w:val="24"/>
              </w:rPr>
              <w:t>-</w:t>
            </w:r>
          </w:p>
        </w:tc>
      </w:tr>
      <w:tr w:rsidR="008C2A4F" w:rsidRPr="008C2A4F" w:rsidTr="003328D9">
        <w:trPr>
          <w:jc w:val="center"/>
        </w:trPr>
        <w:tc>
          <w:tcPr>
            <w:tcW w:type="dxa" w:w="2397"/>
            <w:vAlign w:val="center"/>
          </w:tcPr>
          <w:p w:rsidP="003328D9" w:rsidR="008C2A4F" w:rsidRDefault="008C2A4F" w:rsidRPr="008C2A4F">
            <w:pPr>
              <w:spacing w:before="29" w:line="360" w:lineRule="auto"/>
              <w:ind w:left="17"/>
              <w:jc w:val="center"/>
              <w:rPr>
                <w:rFonts w:eastAsiaTheme="minorEastAsia"/>
                <w:color w:themeColor="text1" w:val="000000"/>
                <w:kern w:val="0"/>
                <w:sz w:val="24"/>
                <w:szCs w:val="24"/>
              </w:rPr>
            </w:pPr>
            <w:r w:rsidRPr="008C2A4F">
              <w:rPr>
                <w:rFonts w:eastAsiaTheme="minorEastAsia"/>
                <w:color w:themeColor="text1" w:val="000000"/>
                <w:kern w:val="0"/>
                <w:sz w:val="24"/>
                <w:szCs w:val="24"/>
              </w:rPr>
              <w:t>合计</w:t>
            </w:r>
          </w:p>
        </w:tc>
        <w:tc>
          <w:tcPr>
            <w:tcW w:type="dxa" w:w="3119"/>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7,006,055,643.00</w:t>
            </w:r>
          </w:p>
        </w:tc>
        <w:tc>
          <w:tcPr>
            <w:tcW w:type="dxa" w:w="3118"/>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38.46</w:t>
            </w:r>
          </w:p>
        </w:tc>
      </w:tr>
    </w:tbl>
    <w:p w:rsidP="008C2A4F" w:rsidR="00750D48" w:rsidRDefault="008C2A4F" w:rsidRPr="008C2A4F">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注：以上分类采用全球行业分类标准（GICS）。</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5.3 </w:t>
      </w:r>
      <w:r w:rsidRPr="00264E55">
        <w:rPr>
          <w:rFonts w:ascii="宋体" w:hAnsi="宋体" w:hint="eastAsia"/>
          <w:b/>
          <w:bCs/>
          <w:color w:val="000000"/>
          <w:kern w:val="0"/>
          <w:sz w:val="24"/>
          <w:szCs w:val="24"/>
        </w:rPr>
        <w:t>报告期末按公允价值占基金资产净值比例大小排序的前十名股票投资明细</w:t>
      </w:r>
    </w:p>
    <w:tbl>
      <w:tblPr>
        <w:tblW w:type="dxa" w:w="8789"/>
        <w:tblInd w:type="dxa" w:w="-176"/>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51"/>
        <w:gridCol w:w="1276"/>
        <w:gridCol w:w="1418"/>
        <w:gridCol w:w="1701"/>
        <w:gridCol w:w="1984"/>
        <w:gridCol w:w="1559"/>
      </w:tblGrid>
      <w:tr w:rsidR="00750D48" w:rsidRPr="00264E55" w:rsidTr="00191BDE">
        <w:tc>
          <w:tcPr>
            <w:tcW w:type="dxa" w:w="851"/>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股票代码</w:t>
            </w:r>
          </w:p>
        </w:tc>
        <w:tc>
          <w:tcPr>
            <w:tcW w:type="dxa" w:w="1418"/>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股票名称</w:t>
            </w:r>
          </w:p>
        </w:tc>
        <w:tc>
          <w:tcPr>
            <w:tcW w:type="dxa" w:w="1701"/>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（股）</w:t>
            </w:r>
          </w:p>
        </w:tc>
        <w:tc>
          <w:tcPr>
            <w:tcW w:type="dxa" w:w="1984"/>
            <w:vAlign w:val="center"/>
          </w:tcPr>
          <w:p w:rsidP="005F7917"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559"/>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00388</w:t>
            </w:r>
          </w:p>
        </w:tc>
        <w:tc>
          <w:tcPr>
            <w:vAlign w:val="center"/>
          </w:tcPr>
          <w:p>
            <w:pPr>
              <w:jc w:val="center"/>
            </w:pPr>
            <w:r>
              <w:rPr>
                <w:color w:val="000000"/>
                <w:kern w:val="0"/>
                <w:sz w:val="24"/>
                <w:szCs w:val="24"/>
              </w:rPr>
              <w:t>香港交易所</w:t>
            </w:r>
          </w:p>
        </w:tc>
        <w:tc>
          <w:tcPr>
            <w:vAlign w:val="center"/>
          </w:tcPr>
          <w:p>
            <w:pPr>
              <w:jc w:val="right"/>
            </w:pPr>
            <w:r>
              <w:rPr>
                <w:color w:val="000000"/>
                <w:kern w:val="0"/>
                <w:sz w:val="24"/>
                <w:szCs w:val="24"/>
              </w:rPr>
              <w:t>5,816,800</w:t>
            </w:r>
          </w:p>
        </w:tc>
        <w:tc>
          <w:tcPr>
            <w:vAlign w:val="center"/>
          </w:tcPr>
          <w:p>
            <w:pPr>
              <w:jc w:val="right"/>
            </w:pPr>
            <w:r>
              <w:rPr>
                <w:color w:val="000000"/>
                <w:kern w:val="0"/>
                <w:sz w:val="24"/>
                <w:szCs w:val="24"/>
              </w:rPr>
              <w:t>1,753,388,271.36</w:t>
            </w:r>
          </w:p>
        </w:tc>
        <w:tc>
          <w:tcPr>
            <w:vAlign w:val="center"/>
          </w:tcPr>
          <w:p>
            <w:pPr>
              <w:jc w:val="right"/>
            </w:pPr>
            <w:r>
              <w:rPr>
                <w:color w:val="000000"/>
                <w:kern w:val="0"/>
                <w:sz w:val="24"/>
                <w:szCs w:val="24"/>
              </w:rPr>
              <w:t>9.62</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00700</w:t>
            </w:r>
          </w:p>
        </w:tc>
        <w:tc>
          <w:tcPr>
            <w:vAlign w:val="center"/>
          </w:tcPr>
          <w:p>
            <w:pPr>
              <w:jc w:val="center"/>
            </w:pPr>
            <w:r>
              <w:rPr>
                <w:color w:val="000000"/>
                <w:kern w:val="0"/>
                <w:sz w:val="24"/>
                <w:szCs w:val="24"/>
              </w:rPr>
              <w:t>腾讯控股</w:t>
            </w:r>
          </w:p>
        </w:tc>
        <w:tc>
          <w:tcPr>
            <w:vAlign w:val="center"/>
          </w:tcPr>
          <w:p>
            <w:pPr>
              <w:jc w:val="right"/>
            </w:pPr>
            <w:r>
              <w:rPr>
                <w:color w:val="000000"/>
                <w:kern w:val="0"/>
                <w:sz w:val="24"/>
                <w:szCs w:val="24"/>
              </w:rPr>
              <w:t>3,829,000</w:t>
            </w:r>
          </w:p>
        </w:tc>
        <w:tc>
          <w:tcPr>
            <w:vAlign w:val="center"/>
          </w:tcPr>
          <w:p>
            <w:pPr>
              <w:jc w:val="right"/>
            </w:pPr>
            <w:r>
              <w:rPr>
                <w:color w:val="000000"/>
                <w:kern w:val="0"/>
                <w:sz w:val="24"/>
                <w:szCs w:val="24"/>
              </w:rPr>
              <w:t>1,743,884,293.54</w:t>
            </w:r>
          </w:p>
        </w:tc>
        <w:tc>
          <w:tcPr>
            <w:vAlign w:val="center"/>
          </w:tcPr>
          <w:p>
            <w:pPr>
              <w:jc w:val="right"/>
            </w:pPr>
            <w:r>
              <w:rPr>
                <w:color w:val="000000"/>
                <w:kern w:val="0"/>
                <w:sz w:val="24"/>
                <w:szCs w:val="24"/>
              </w:rPr>
              <w:t>9.57</w:t>
            </w:r>
          </w:p>
        </w:tc>
      </w:tr>
      <w:tr>
        <w:tc>
          <w:tcPr>
            <w:vAlign w:val="center"/>
          </w:tcPr>
          <w:p>
            <w:pPr>
              <w:jc w:val="center"/>
            </w:pPr>
            <w:r>
              <w:rPr>
                <w:color w:val="000000"/>
                <w:kern w:val="0"/>
                <w:sz w:val="24"/>
                <w:szCs w:val="24"/>
              </w:rPr>
              <w:t>3</w:t>
            </w:r>
          </w:p>
        </w:tc>
        <w:tc>
          <w:tcPr>
            <w:vAlign w:val="center"/>
          </w:tcPr>
          <w:p>
            <w:pPr>
              <w:jc w:val="center"/>
            </w:pPr>
            <w:r>
              <w:rPr>
                <w:color w:val="000000"/>
                <w:kern w:val="0"/>
                <w:sz w:val="24"/>
                <w:szCs w:val="24"/>
              </w:rPr>
              <w:t>000858</w:t>
            </w:r>
          </w:p>
        </w:tc>
        <w:tc>
          <w:tcPr>
            <w:vAlign w:val="center"/>
          </w:tcPr>
          <w:p>
            <w:pPr>
              <w:jc w:val="center"/>
            </w:pPr>
            <w:r>
              <w:rPr>
                <w:color w:val="000000"/>
                <w:kern w:val="0"/>
                <w:sz w:val="24"/>
                <w:szCs w:val="24"/>
              </w:rPr>
              <w:t>五粮液</w:t>
            </w:r>
          </w:p>
        </w:tc>
        <w:tc>
          <w:tcPr>
            <w:vAlign w:val="center"/>
          </w:tcPr>
          <w:p>
            <w:pPr>
              <w:jc w:val="right"/>
            </w:pPr>
            <w:r>
              <w:rPr>
                <w:color w:val="000000"/>
                <w:kern w:val="0"/>
                <w:sz w:val="24"/>
                <w:szCs w:val="24"/>
              </w:rPr>
              <w:t>10,090,071</w:t>
            </w:r>
          </w:p>
        </w:tc>
        <w:tc>
          <w:tcPr>
            <w:vAlign w:val="center"/>
          </w:tcPr>
          <w:p>
            <w:pPr>
              <w:jc w:val="right"/>
            </w:pPr>
            <w:r>
              <w:rPr>
                <w:color w:val="000000"/>
                <w:kern w:val="0"/>
                <w:sz w:val="24"/>
                <w:szCs w:val="24"/>
              </w:rPr>
              <w:t>1,726,612,949.52</w:t>
            </w:r>
          </w:p>
        </w:tc>
        <w:tc>
          <w:tcPr>
            <w:vAlign w:val="center"/>
          </w:tcPr>
          <w:p>
            <w:pPr>
              <w:jc w:val="right"/>
            </w:pPr>
            <w:r>
              <w:rPr>
                <w:color w:val="000000"/>
                <w:kern w:val="0"/>
                <w:sz w:val="24"/>
                <w:szCs w:val="24"/>
              </w:rPr>
              <w:t>9.48</w:t>
            </w:r>
          </w:p>
        </w:tc>
      </w:tr>
      <w:tr>
        <w:tc>
          <w:tcPr>
            <w:vAlign w:val="center"/>
          </w:tcPr>
          <w:p>
            <w:pPr>
              <w:jc w:val="center"/>
            </w:pPr>
            <w:r>
              <w:rPr>
                <w:color w:val="000000"/>
                <w:kern w:val="0"/>
                <w:sz w:val="24"/>
                <w:szCs w:val="24"/>
              </w:rPr>
              <w:t>4</w:t>
            </w:r>
          </w:p>
        </w:tc>
        <w:tc>
          <w:tcPr>
            <w:vAlign w:val="center"/>
          </w:tcPr>
          <w:p>
            <w:pPr>
              <w:jc w:val="center"/>
            </w:pPr>
            <w:r>
              <w:rPr>
                <w:color w:val="000000"/>
                <w:kern w:val="0"/>
                <w:sz w:val="24"/>
                <w:szCs w:val="24"/>
              </w:rPr>
              <w:t>600519</w:t>
            </w:r>
          </w:p>
        </w:tc>
        <w:tc>
          <w:tcPr>
            <w:vAlign w:val="center"/>
          </w:tcPr>
          <w:p>
            <w:pPr>
              <w:jc w:val="center"/>
            </w:pPr>
            <w:r>
              <w:rPr>
                <w:color w:val="000000"/>
                <w:kern w:val="0"/>
                <w:sz w:val="24"/>
                <w:szCs w:val="24"/>
              </w:rPr>
              <w:t>贵州茅台</w:t>
            </w:r>
          </w:p>
        </w:tc>
        <w:tc>
          <w:tcPr>
            <w:vAlign w:val="center"/>
          </w:tcPr>
          <w:p>
            <w:pPr>
              <w:jc w:val="right"/>
            </w:pPr>
            <w:r>
              <w:rPr>
                <w:color w:val="000000"/>
                <w:kern w:val="0"/>
                <w:sz w:val="24"/>
                <w:szCs w:val="24"/>
              </w:rPr>
              <w:t>1,177,011</w:t>
            </w:r>
          </w:p>
        </w:tc>
        <w:tc>
          <w:tcPr>
            <w:vAlign w:val="center"/>
          </w:tcPr>
          <w:p>
            <w:pPr>
              <w:jc w:val="right"/>
            </w:pPr>
            <w:r>
              <w:rPr>
                <w:color w:val="000000"/>
                <w:kern w:val="0"/>
                <w:sz w:val="24"/>
                <w:szCs w:val="24"/>
              </w:rPr>
              <w:t>1,721,825,851.68</w:t>
            </w:r>
          </w:p>
        </w:tc>
        <w:tc>
          <w:tcPr>
            <w:vAlign w:val="center"/>
          </w:tcPr>
          <w:p>
            <w:pPr>
              <w:jc w:val="right"/>
            </w:pPr>
            <w:r>
              <w:rPr>
                <w:color w:val="000000"/>
                <w:kern w:val="0"/>
                <w:sz w:val="24"/>
                <w:szCs w:val="24"/>
              </w:rPr>
              <w:t>9.45</w:t>
            </w:r>
          </w:p>
        </w:tc>
      </w:tr>
      <w:tr>
        <w:tc>
          <w:tcPr>
            <w:vAlign w:val="center"/>
          </w:tcPr>
          <w:p>
            <w:pPr>
              <w:jc w:val="center"/>
            </w:pPr>
            <w:r>
              <w:rPr>
                <w:color w:val="000000"/>
                <w:kern w:val="0"/>
                <w:sz w:val="24"/>
                <w:szCs w:val="24"/>
              </w:rPr>
              <w:t>5</w:t>
            </w:r>
          </w:p>
        </w:tc>
        <w:tc>
          <w:tcPr>
            <w:vAlign w:val="center"/>
          </w:tcPr>
          <w:p>
            <w:pPr>
              <w:jc w:val="center"/>
            </w:pPr>
            <w:r>
              <w:rPr>
                <w:color w:val="000000"/>
                <w:kern w:val="0"/>
                <w:sz w:val="24"/>
                <w:szCs w:val="24"/>
              </w:rPr>
              <w:t>000568</w:t>
            </w:r>
          </w:p>
        </w:tc>
        <w:tc>
          <w:tcPr>
            <w:vAlign w:val="center"/>
          </w:tcPr>
          <w:p>
            <w:pPr>
              <w:jc w:val="center"/>
            </w:pPr>
            <w:r>
              <w:rPr>
                <w:color w:val="000000"/>
                <w:kern w:val="0"/>
                <w:sz w:val="24"/>
                <w:szCs w:val="24"/>
              </w:rPr>
              <w:t>泸州老窖</w:t>
            </w:r>
          </w:p>
        </w:tc>
        <w:tc>
          <w:tcPr>
            <w:vAlign w:val="center"/>
          </w:tcPr>
          <w:p>
            <w:pPr>
              <w:jc w:val="right"/>
            </w:pPr>
            <w:r>
              <w:rPr>
                <w:color w:val="000000"/>
                <w:kern w:val="0"/>
                <w:sz w:val="24"/>
                <w:szCs w:val="24"/>
              </w:rPr>
              <w:t>18,850,032</w:t>
            </w:r>
          </w:p>
        </w:tc>
        <w:tc>
          <w:tcPr>
            <w:vAlign w:val="center"/>
          </w:tcPr>
          <w:p>
            <w:pPr>
              <w:jc w:val="right"/>
            </w:pPr>
            <w:r>
              <w:rPr>
                <w:color w:val="000000"/>
                <w:kern w:val="0"/>
                <w:sz w:val="24"/>
                <w:szCs w:val="24"/>
              </w:rPr>
              <w:t>1,717,614,915.84</w:t>
            </w:r>
          </w:p>
        </w:tc>
        <w:tc>
          <w:tcPr>
            <w:vAlign w:val="center"/>
          </w:tcPr>
          <w:p>
            <w:pPr>
              <w:jc w:val="right"/>
            </w:pPr>
            <w:r>
              <w:rPr>
                <w:color w:val="000000"/>
                <w:kern w:val="0"/>
                <w:sz w:val="24"/>
                <w:szCs w:val="24"/>
              </w:rPr>
              <w:t>9.43</w:t>
            </w:r>
          </w:p>
        </w:tc>
      </w:tr>
      <w:tr>
        <w:tc>
          <w:tcPr>
            <w:vAlign w:val="center"/>
          </w:tcPr>
          <w:p>
            <w:pPr>
              <w:jc w:val="center"/>
            </w:pPr>
            <w:r>
              <w:rPr>
                <w:color w:val="000000"/>
                <w:kern w:val="0"/>
                <w:sz w:val="24"/>
                <w:szCs w:val="24"/>
              </w:rPr>
              <w:t>6</w:t>
            </w:r>
          </w:p>
        </w:tc>
        <w:tc>
          <w:tcPr>
            <w:vAlign w:val="center"/>
          </w:tcPr>
          <w:p>
            <w:pPr>
              <w:jc w:val="center"/>
            </w:pPr>
            <w:r>
              <w:rPr>
                <w:color w:val="000000"/>
                <w:kern w:val="0"/>
                <w:sz w:val="24"/>
                <w:szCs w:val="24"/>
              </w:rPr>
              <w:t>03690</w:t>
            </w:r>
          </w:p>
        </w:tc>
        <w:tc>
          <w:tcPr>
            <w:vAlign w:val="center"/>
          </w:tcPr>
          <w:p>
            <w:pPr>
              <w:jc w:val="center"/>
            </w:pPr>
            <w:r>
              <w:rPr>
                <w:color w:val="000000"/>
                <w:kern w:val="0"/>
                <w:sz w:val="24"/>
                <w:szCs w:val="24"/>
              </w:rPr>
              <w:t>美团点评－Ｗ</w:t>
            </w:r>
          </w:p>
        </w:tc>
        <w:tc>
          <w:tcPr>
            <w:vAlign w:val="center"/>
          </w:tcPr>
          <w:p>
            <w:pPr>
              <w:jc w:val="right"/>
            </w:pPr>
            <w:r>
              <w:rPr>
                <w:color w:val="000000"/>
                <w:kern w:val="0"/>
                <w:sz w:val="24"/>
                <w:szCs w:val="24"/>
              </w:rPr>
              <w:t>8,347,200</w:t>
            </w:r>
          </w:p>
        </w:tc>
        <w:tc>
          <w:tcPr>
            <w:vAlign w:val="center"/>
          </w:tcPr>
          <w:p>
            <w:pPr>
              <w:jc w:val="right"/>
            </w:pPr>
            <w:r>
              <w:rPr>
                <w:color w:val="000000"/>
                <w:kern w:val="0"/>
                <w:sz w:val="24"/>
                <w:szCs w:val="24"/>
              </w:rPr>
              <w:t>1,310,680,148.66</w:t>
            </w:r>
          </w:p>
        </w:tc>
        <w:tc>
          <w:tcPr>
            <w:vAlign w:val="center"/>
          </w:tcPr>
          <w:p>
            <w:pPr>
              <w:jc w:val="right"/>
            </w:pPr>
            <w:r>
              <w:rPr>
                <w:color w:val="000000"/>
                <w:kern w:val="0"/>
                <w:sz w:val="24"/>
                <w:szCs w:val="24"/>
              </w:rPr>
              <w:t>7.19</w:t>
            </w:r>
          </w:p>
        </w:tc>
      </w:tr>
      <w:tr>
        <w:tc>
          <w:tcPr>
            <w:vAlign w:val="center"/>
          </w:tcPr>
          <w:p>
            <w:pPr>
              <w:jc w:val="center"/>
            </w:pPr>
            <w:r>
              <w:rPr>
                <w:color w:val="000000"/>
                <w:kern w:val="0"/>
                <w:sz w:val="24"/>
                <w:szCs w:val="24"/>
              </w:rPr>
              <w:t>7</w:t>
            </w:r>
          </w:p>
        </w:tc>
        <w:tc>
          <w:tcPr>
            <w:vAlign w:val="center"/>
          </w:tcPr>
          <w:p>
            <w:pPr>
              <w:jc w:val="center"/>
            </w:pPr>
            <w:r>
              <w:rPr>
                <w:color w:val="000000"/>
                <w:kern w:val="0"/>
                <w:sz w:val="24"/>
                <w:szCs w:val="24"/>
              </w:rPr>
              <w:t>01177</w:t>
            </w:r>
          </w:p>
        </w:tc>
        <w:tc>
          <w:tcPr>
            <w:vAlign w:val="center"/>
          </w:tcPr>
          <w:p>
            <w:pPr>
              <w:jc w:val="center"/>
            </w:pPr>
            <w:r>
              <w:rPr>
                <w:color w:val="000000"/>
                <w:kern w:val="0"/>
                <w:sz w:val="24"/>
                <w:szCs w:val="24"/>
              </w:rPr>
              <w:t>中国生物制药</w:t>
            </w:r>
          </w:p>
        </w:tc>
        <w:tc>
          <w:tcPr>
            <w:vAlign w:val="center"/>
          </w:tcPr>
          <w:p>
            <w:pPr>
              <w:jc w:val="right"/>
            </w:pPr>
            <w:r>
              <w:rPr>
                <w:color w:val="000000"/>
                <w:kern w:val="0"/>
                <w:sz w:val="24"/>
                <w:szCs w:val="24"/>
              </w:rPr>
              <w:t>85,005,000</w:t>
            </w:r>
          </w:p>
        </w:tc>
        <w:tc>
          <w:tcPr>
            <w:vAlign w:val="center"/>
          </w:tcPr>
          <w:p>
            <w:pPr>
              <w:jc w:val="right"/>
            </w:pPr>
            <w:r>
              <w:rPr>
                <w:color w:val="000000"/>
                <w:kern w:val="0"/>
                <w:sz w:val="24"/>
                <w:szCs w:val="24"/>
              </w:rPr>
              <w:t>1,133,645,721.12</w:t>
            </w:r>
          </w:p>
        </w:tc>
        <w:tc>
          <w:tcPr>
            <w:vAlign w:val="center"/>
          </w:tcPr>
          <w:p>
            <w:pPr>
              <w:jc w:val="right"/>
            </w:pPr>
            <w:r>
              <w:rPr>
                <w:color w:val="000000"/>
                <w:kern w:val="0"/>
                <w:sz w:val="24"/>
                <w:szCs w:val="24"/>
              </w:rPr>
              <w:t>6.22</w:t>
            </w:r>
          </w:p>
        </w:tc>
      </w:tr>
      <w:tr>
        <w:tc>
          <w:tcPr>
            <w:vAlign w:val="center"/>
          </w:tcPr>
          <w:p>
            <w:pPr>
              <w:jc w:val="center"/>
            </w:pPr>
            <w:r>
              <w:rPr>
                <w:color w:val="000000"/>
                <w:kern w:val="0"/>
                <w:sz w:val="24"/>
                <w:szCs w:val="24"/>
              </w:rPr>
              <w:t>8</w:t>
            </w:r>
          </w:p>
        </w:tc>
        <w:tc>
          <w:tcPr>
            <w:vAlign w:val="center"/>
          </w:tcPr>
          <w:p>
            <w:pPr>
              <w:jc w:val="center"/>
            </w:pPr>
            <w:r>
              <w:rPr>
                <w:color w:val="000000"/>
                <w:kern w:val="0"/>
                <w:sz w:val="24"/>
                <w:szCs w:val="24"/>
              </w:rPr>
              <w:t>02269</w:t>
            </w:r>
          </w:p>
        </w:tc>
        <w:tc>
          <w:tcPr>
            <w:vAlign w:val="center"/>
          </w:tcPr>
          <w:p>
            <w:pPr>
              <w:jc w:val="center"/>
            </w:pPr>
            <w:r>
              <w:rPr>
                <w:color w:val="000000"/>
                <w:kern w:val="0"/>
                <w:sz w:val="24"/>
                <w:szCs w:val="24"/>
              </w:rPr>
              <w:t>药明生物</w:t>
            </w:r>
          </w:p>
        </w:tc>
        <w:tc>
          <w:tcPr>
            <w:vAlign w:val="center"/>
          </w:tcPr>
          <w:p>
            <w:pPr>
              <w:jc w:val="right"/>
            </w:pPr>
            <w:r>
              <w:rPr>
                <w:color w:val="000000"/>
                <w:kern w:val="0"/>
                <w:sz w:val="24"/>
                <w:szCs w:val="24"/>
              </w:rPr>
              <w:t>5,700,000</w:t>
            </w:r>
          </w:p>
        </w:tc>
        <w:tc>
          <w:tcPr>
            <w:vAlign w:val="center"/>
          </w:tcPr>
          <w:p>
            <w:pPr>
              <w:jc w:val="right"/>
            </w:pPr>
            <w:r>
              <w:rPr>
                <w:color w:val="000000"/>
                <w:kern w:val="0"/>
                <w:sz w:val="24"/>
                <w:szCs w:val="24"/>
              </w:rPr>
              <w:t>738,297,014.40</w:t>
            </w:r>
          </w:p>
        </w:tc>
        <w:tc>
          <w:tcPr>
            <w:vAlign w:val="center"/>
          </w:tcPr>
          <w:p>
            <w:pPr>
              <w:jc w:val="right"/>
            </w:pPr>
            <w:r>
              <w:rPr>
                <w:color w:val="000000"/>
                <w:kern w:val="0"/>
                <w:sz w:val="24"/>
                <w:szCs w:val="24"/>
              </w:rPr>
              <w:t>4.05</w:t>
            </w:r>
          </w:p>
        </w:tc>
      </w:tr>
      <w:tr>
        <w:tc>
          <w:tcPr>
            <w:vAlign w:val="center"/>
          </w:tcPr>
          <w:p>
            <w:pPr>
              <w:jc w:val="center"/>
            </w:pPr>
            <w:r>
              <w:rPr>
                <w:color w:val="000000"/>
                <w:kern w:val="0"/>
                <w:sz w:val="24"/>
                <w:szCs w:val="24"/>
              </w:rPr>
              <w:t>9</w:t>
            </w:r>
          </w:p>
        </w:tc>
        <w:tc>
          <w:tcPr>
            <w:vAlign w:val="center"/>
          </w:tcPr>
          <w:p>
            <w:pPr>
              <w:jc w:val="center"/>
            </w:pPr>
            <w:r>
              <w:rPr>
                <w:color w:val="000000"/>
                <w:kern w:val="0"/>
                <w:sz w:val="24"/>
                <w:szCs w:val="24"/>
              </w:rPr>
              <w:t>600161</w:t>
            </w:r>
          </w:p>
        </w:tc>
        <w:tc>
          <w:tcPr>
            <w:vAlign w:val="center"/>
          </w:tcPr>
          <w:p>
            <w:pPr>
              <w:jc w:val="center"/>
            </w:pPr>
            <w:r>
              <w:rPr>
                <w:color w:val="000000"/>
                <w:kern w:val="0"/>
                <w:sz w:val="24"/>
                <w:szCs w:val="24"/>
              </w:rPr>
              <w:t>天坛生物</w:t>
            </w:r>
          </w:p>
        </w:tc>
        <w:tc>
          <w:tcPr>
            <w:vAlign w:val="center"/>
          </w:tcPr>
          <w:p>
            <w:pPr>
              <w:jc w:val="right"/>
            </w:pPr>
            <w:r>
              <w:rPr>
                <w:color w:val="000000"/>
                <w:kern w:val="0"/>
                <w:sz w:val="24"/>
                <w:szCs w:val="24"/>
              </w:rPr>
              <w:t>16,000,048</w:t>
            </w:r>
          </w:p>
        </w:tc>
        <w:tc>
          <w:tcPr>
            <w:vAlign w:val="center"/>
          </w:tcPr>
          <w:p>
            <w:pPr>
              <w:jc w:val="right"/>
            </w:pPr>
            <w:r>
              <w:rPr>
                <w:color w:val="000000"/>
                <w:kern w:val="0"/>
                <w:sz w:val="24"/>
                <w:szCs w:val="24"/>
              </w:rPr>
              <w:t>725,282,175.84</w:t>
            </w:r>
          </w:p>
        </w:tc>
        <w:tc>
          <w:tcPr>
            <w:vAlign w:val="center"/>
          </w:tcPr>
          <w:p>
            <w:pPr>
              <w:jc w:val="right"/>
            </w:pPr>
            <w:r>
              <w:rPr>
                <w:color w:val="000000"/>
                <w:kern w:val="0"/>
                <w:sz w:val="24"/>
                <w:szCs w:val="24"/>
              </w:rPr>
              <w:t>3.98</w:t>
            </w:r>
          </w:p>
        </w:tc>
      </w:tr>
      <w:tr>
        <w:tc>
          <w:tcPr>
            <w:vAlign w:val="center"/>
          </w:tcPr>
          <w:p>
            <w:pPr>
              <w:jc w:val="center"/>
            </w:pPr>
            <w:r>
              <w:rPr>
                <w:color w:val="000000"/>
                <w:kern w:val="0"/>
                <w:sz w:val="24"/>
                <w:szCs w:val="24"/>
              </w:rPr>
              <w:t>10</w:t>
            </w:r>
          </w:p>
        </w:tc>
        <w:tc>
          <w:tcPr>
            <w:vAlign w:val="center"/>
          </w:tcPr>
          <w:p>
            <w:pPr>
              <w:jc w:val="center"/>
            </w:pPr>
            <w:r>
              <w:rPr>
                <w:color w:val="000000"/>
                <w:kern w:val="0"/>
                <w:sz w:val="24"/>
                <w:szCs w:val="24"/>
              </w:rPr>
              <w:t>300015</w:t>
            </w:r>
          </w:p>
        </w:tc>
        <w:tc>
          <w:tcPr>
            <w:vAlign w:val="center"/>
          </w:tcPr>
          <w:p>
            <w:pPr>
              <w:jc w:val="center"/>
            </w:pPr>
            <w:r>
              <w:rPr>
                <w:color w:val="000000"/>
                <w:kern w:val="0"/>
                <w:sz w:val="24"/>
                <w:szCs w:val="24"/>
              </w:rPr>
              <w:t>爱尔眼科</w:t>
            </w:r>
          </w:p>
        </w:tc>
        <w:tc>
          <w:tcPr>
            <w:vAlign w:val="center"/>
          </w:tcPr>
          <w:p>
            <w:pPr>
              <w:jc w:val="right"/>
            </w:pPr>
            <w:r>
              <w:rPr>
                <w:color w:val="000000"/>
                <w:kern w:val="0"/>
                <w:sz w:val="24"/>
                <w:szCs w:val="24"/>
              </w:rPr>
              <w:t>16,500,064</w:t>
            </w:r>
          </w:p>
        </w:tc>
        <w:tc>
          <w:tcPr>
            <w:vAlign w:val="center"/>
          </w:tcPr>
          <w:p>
            <w:pPr>
              <w:jc w:val="right"/>
            </w:pPr>
            <w:r>
              <w:rPr>
                <w:color w:val="000000"/>
                <w:kern w:val="0"/>
                <w:sz w:val="24"/>
                <w:szCs w:val="24"/>
              </w:rPr>
              <w:t>716,927,780.80</w:t>
            </w:r>
          </w:p>
        </w:tc>
        <w:tc>
          <w:tcPr>
            <w:vAlign w:val="center"/>
          </w:tcPr>
          <w:p>
            <w:pPr>
              <w:jc w:val="right"/>
            </w:pPr>
            <w:r>
              <w:rPr>
                <w:color w:val="000000"/>
                <w:kern w:val="0"/>
                <w:sz w:val="24"/>
                <w:szCs w:val="24"/>
              </w:rPr>
              <w:t>3.94</w:t>
            </w:r>
          </w:p>
        </w:tc>
      </w:tr>
    </w:tbl>
    <w:p w:rsidP="00CA4677" w:rsidR="00CA4677" w:rsidRDefault="00750D48" w:rsidRPr="00283CAD">
      <w:pPr>
        <w:autoSpaceDE w:val="0"/>
        <w:autoSpaceDN w:val="0"/>
        <w:adjustRightInd w:val="0"/>
        <w:spacing w:line="360" w:lineRule="auto"/>
        <w:jc w:val="left"/>
        <w:rPr>
          <w:rFonts w:eastAsiaTheme="minorEastAsia"/>
          <w:b/>
          <w:bCs/>
          <w:color w:themeColor="text1" w:val="000000"/>
          <w:kern w:val="0"/>
          <w:sz w:val="24"/>
          <w:szCs w:val="24"/>
        </w:rPr>
      </w:pPr>
      <w:r w:rsidRPr="00264E55">
        <w:rPr>
          <w:rFonts w:ascii="宋体" w:hAnsi="宋体"/>
          <w:b/>
          <w:bCs/>
          <w:color w:val="000000"/>
          <w:kern w:val="0"/>
          <w:sz w:val="24"/>
          <w:szCs w:val="24"/>
        </w:rPr>
        <w:t xml:space="preserve">5.4 </w:t>
      </w:r>
      <w:r w:rsidRPr="00264E55">
        <w:rPr>
          <w:rFonts w:ascii="宋体" w:hAnsi="宋体" w:hint="eastAsia"/>
          <w:b/>
          <w:bCs/>
          <w:color w:val="000000"/>
          <w:kern w:val="0"/>
          <w:sz w:val="24"/>
          <w:szCs w:val="24"/>
        </w:rPr>
        <w:t>报告期末按债券品种分类的债券投资组合</w:t>
      </w:r>
    </w:p>
    <w:p w:rsidP="00403A06" w:rsidR="00750D48" w:rsidRDefault="00CA4677" w:rsidRPr="00232B03">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本基金本报告期末未持有债券。</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5.5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的前五名债券投资明细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本基金本报告期末未持有债券。</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5.6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的前十名资产支持证券投资明细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本基金本报告期末未持有资产支持证券。</w:t>
      </w:r>
    </w:p>
    <w:p w:rsidP="001D63BB" w:rsidR="00750D48" w:rsidRDefault="00750D48" w:rsidRPr="001D63BB">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r w:rsidRPr="001B0A62">
        <w:rPr>
          <w:rFonts w:ascii="宋体" w:hAnsi="宋体"/>
          <w:b/>
          <w:bCs/>
          <w:color w:val="000000"/>
          <w:kern w:val="0"/>
          <w:sz w:val="24"/>
          <w:szCs w:val="24"/>
        </w:rPr>
        <w:t>5.</w:t>
      </w:r>
      <w:r>
        <w:rPr>
          <w:rFonts w:ascii="宋体" w:hAnsi="宋体"/>
          <w:b/>
          <w:bCs/>
          <w:color w:val="000000"/>
          <w:kern w:val="0"/>
          <w:sz w:val="24"/>
          <w:szCs w:val="24"/>
        </w:rPr>
        <w:t/>
      </w:r>
      <w:r w:rsidRPr="001B0A62">
        <w:rPr>
          <w:rFonts w:ascii="宋体"/>
          <w:b/>
          <w:bCs/>
          <w:color w:val="000000"/>
          <w:kern w:val="0"/>
          <w:sz w:val="24"/>
          <w:szCs w:val="24"/>
        </w:rPr>
        <w:t>7</w:t>
      </w:r>
      <w:r w:rsidRPr="001D63BB">
        <w:rPr>
          <w:rFonts w:ascii="宋体" w:hAnsi="宋体" w:hint="eastAsia"/>
          <w:b/>
          <w:bCs/>
          <w:color w:val="000000"/>
          <w:kern w:val="0"/>
          <w:sz w:val="24"/>
          <w:szCs w:val="24"/>
        </w:rPr>
        <w:t>报告期末按公允价值占基金资产净值比例大小排序的前五名贵金属投资明细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本基金本报告期末未持有贵金属。</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Pr>
          <w:rFonts w:asci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5.</w:t>
      </w:r>
      <w:r w:rsidRPr="001B0A62">
        <w:rPr>
          <w:rFonts w:ascii="宋体" w:hAns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8</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的前五名权证投资明细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本基金本报告期末未持有权证。</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w:t>
      </w:r>
      <w:r>
        <w:rPr>
          <w:rFonts w:ascii="宋体"/>
          <w:b/>
          <w:bCs/>
          <w:color w:val="000000"/>
          <w:kern w:val="0"/>
          <w:sz w:val="24"/>
          <w:szCs w:val="24"/>
        </w:rPr>
        <w:t>.</w:t>
      </w:r>
      <w:r>
        <w:rPr>
          <w:rFonts w:ascii="宋体" w:hAnsi="宋体"/>
          <w:b/>
          <w:bCs/>
          <w:color w:val="000000"/>
          <w:kern w:val="0"/>
          <w:sz w:val="24"/>
          <w:szCs w:val="24"/>
        </w:rPr>
        <w:t/>
      </w:r>
      <w:r w:rsidRPr="001B0A62">
        <w:rPr>
          <w:rFonts w:ascii="宋体"/>
          <w:b/>
          <w:bCs/>
          <w:color w:val="000000"/>
          <w:kern w:val="0"/>
          <w:sz w:val="24"/>
          <w:szCs w:val="24"/>
        </w:rPr>
        <w:t>9</w:t>
      </w:r>
      <w:r w:rsidRPr="001B0A62">
        <w:rPr>
          <w:rFonts w:ascii="宋体" w:hAnsi="宋体" w:hint="eastAsia"/>
          <w:b/>
          <w:bCs/>
          <w:color w:val="000000"/>
          <w:kern w:val="0"/>
          <w:sz w:val="24"/>
          <w:szCs w:val="24"/>
        </w:rPr>
        <w:t>报告期末本基金投资的股指期货交易情况说明</w:t>
      </w:r>
    </w:p>
    <w:p w:rsidP="00277FAE" w:rsidR="00277FAE" w:rsidRDefault="00277FAE">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r>
        <w:rPr>
          <w:color w:val="000000"/>
          <w:sz w:val="24"/>
        </w:rPr>
        <w:t/>
      </w:r>
      <w:r>
        <w:rPr>
          <w:rFonts w:eastAsiaTheme="minorEastAsia"/>
          <w:color w:themeColor="text1" w:val="000000"/>
          <w:sz w:val="24"/>
        </w:rPr>
        <w:t/>
      </w:r>
      <w:proofErr w:type="spellEnd"/>
      <w:r>
        <w:rPr>
          <w:rFonts w:eastAsiaTheme="minorEastAsia"/>
          <w:color w:themeColor="text1" w:val="000000"/>
          <w:sz w:val="24"/>
        </w:rPr>
        <w:t>本基金本报告期末未投资股指期货。</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5.10</w:t>
      </w:r>
      <w:r w:rsidRPr="001B0A62">
        <w:rPr>
          <w:rFonts w:ascii="宋体" w:hAnsi="宋体" w:hint="eastAsia"/>
          <w:b/>
          <w:bCs/>
          <w:color w:val="000000"/>
          <w:kern w:val="0"/>
          <w:sz w:val="24"/>
          <w:szCs w:val="24"/>
        </w:rPr>
        <w:t>报告期末本基金投资的国债期货交易情况说明</w:t>
      </w:r>
    </w:p>
    <w:p w:rsidP="00277FAE" w:rsidR="00277FAE" w:rsidRDefault="00277FAE">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r>
        <w:rPr>
          <w:color w:val="000000"/>
          <w:sz w:val="24"/>
        </w:rPr>
        <w:t/>
      </w:r>
      <w:proofErr w:type="spellEnd"/>
      <w:r>
        <w:rPr>
          <w:color w:val="000000"/>
          <w:sz w:val="24"/>
        </w:rPr>
        <w:t>本基金本报告期末未投资国债期货。</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5.11 </w:t>
      </w:r>
      <w:r w:rsidRPr="00264E55">
        <w:rPr>
          <w:rFonts w:ascii="宋体" w:hAnsi="宋体" w:hint="eastAsia"/>
          <w:b/>
          <w:bCs/>
          <w:color w:val="000000"/>
          <w:kern w:val="0"/>
          <w:sz w:val="24"/>
          <w:szCs w:val="24"/>
        </w:rPr>
        <w:t>投资组合报告附注</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r w:rsidR="00750D48" w:rsidRPr="00264E55">
        <w:rPr>
          <w:rFonts w:ascii="宋体"/>
          <w:color w:val="000000"/>
          <w:sz w:val="24"/>
          <w:szCs w:val="24"/>
        </w:rPr>
        <w:t/>
      </w:r>
      <w:r w:rsidR="00750D48" w:rsidRPr="00264E55">
        <w:rPr>
          <w:rFonts w:ascii="宋体" w:hAnsi="宋体"/>
          <w:color w:val="000000"/>
          <w:sz w:val="24"/>
          <w:szCs w:val="24"/>
        </w:rPr>
        <w:t>5.11.1</w:t>
      </w:r>
      <w:r w:rsidR="00065E3C">
        <w:rPr>
          <w:rFonts w:ascii="宋体" w:hAnsi="宋体" w:hint="eastAsia"/>
          <w:color w:val="000000"/>
          <w:sz w:val="24"/>
          <w:szCs w:val="24"/>
        </w:rPr>
        <w:t xml:space="preserve"> </w:t>
      </w:r>
      <w:r w:rsidR="00750D48" w:rsidRPr="00264E55">
        <w:rPr>
          <w:rFonts w:ascii="宋体" w:hAnsi="宋体"/>
          <w:color w:val="000000"/>
          <w:sz w:val="24"/>
          <w:szCs w:val="24"/>
        </w:rPr>
        <w:t>本基金投资的前十名证券的发行主体本期没有出现被监管部门立案调查，或在报告编制日前一年内受到公开谴责、处罚的情形。</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750D48" w:rsidRPr="00264E55">
        <w:rPr>
          <w:rFonts w:ascii="宋体" w:hAnsi="宋体"/>
          <w:color w:val="000000"/>
          <w:sz w:val="24"/>
          <w:szCs w:val="24"/>
        </w:rPr>
        <w:t/>
      </w:r>
      <w:proofErr w:type="gramStart"/>
      <w:r w:rsidR="00750D48" w:rsidRPr="00264E55">
        <w:rPr>
          <w:rFonts w:ascii="宋体" w:hAnsi="宋体"/>
          <w:color w:val="000000"/>
          <w:sz w:val="24"/>
          <w:szCs w:val="24"/>
        </w:rPr>
        <w:t/>
      </w:r>
      <w:proofErr w:type="gramEnd"/>
      <w:r w:rsidR="00750D48" w:rsidRPr="00264E55">
        <w:rPr>
          <w:rFonts w:ascii="宋体" w:hAnsi="宋体"/>
          <w:color w:val="000000"/>
          <w:sz w:val="24"/>
          <w:szCs w:val="24"/>
        </w:rPr>
        <w:t>5.11.2</w:t>
      </w:r>
      <w:r w:rsidR="00065E3C">
        <w:rPr>
          <w:rFonts w:ascii="宋体" w:hAnsi="宋体" w:hint="eastAsia"/>
          <w:color w:val="000000"/>
          <w:sz w:val="24"/>
          <w:szCs w:val="24"/>
        </w:rPr>
        <w:t xml:space="preserve"> </w:t>
      </w:r>
      <w:r w:rsidR="00750D48" w:rsidRPr="00264E55">
        <w:rPr>
          <w:rFonts w:ascii="宋体" w:hAnsi="宋体"/>
          <w:color w:val="000000"/>
          <w:sz w:val="24"/>
          <w:szCs w:val="24"/>
        </w:rPr>
        <w:t>本基金投资的前十名股票没有超出基金合同规定的备选股票库。</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 xml:space="preserve">5.11.3 </w:t>
      </w:r>
      <w:r w:rsidR="00B371D4">
        <w:rPr>
          <w:rFonts w:ascii="宋体" w:hAnsi="宋体" w:hint="eastAsia"/>
          <w:bCs/>
          <w:color w:val="000000"/>
          <w:kern w:val="0"/>
          <w:sz w:val="24"/>
          <w:szCs w:val="24"/>
        </w:rPr>
        <w:t>其他</w:t>
      </w:r>
      <w:bookmarkStart w:id="2" w:name="_GoBack"/>
      <w:bookmarkEnd w:id="2"/>
      <w:r w:rsidRPr="001C7E00">
        <w:rPr>
          <w:rFonts w:ascii="宋体" w:hAnsi="宋体" w:hint="eastAsia"/>
          <w:bCs/>
          <w:color w:val="000000"/>
          <w:kern w:val="0"/>
          <w:sz w:val="24"/>
          <w:szCs w:val="24"/>
        </w:rPr>
        <w:t>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470"/>
        <w:gridCol w:w="4808"/>
      </w:tblGrid>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序号</w:t>
            </w:r>
          </w:p>
        </w:tc>
        <w:tc>
          <w:tcPr>
            <w:tcW w:type="dxa" w:w="2470"/>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名称</w:t>
            </w:r>
          </w:p>
        </w:tc>
        <w:tc>
          <w:tcPr>
            <w:tcW w:type="dxa" w:w="4808"/>
            <w:vAlign w:val="center"/>
          </w:tcPr>
          <w:p w:rsidP="005F7917"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金额</w:t>
            </w:r>
            <w:r w:rsidR="005F7917" w:rsidRPr="00B227EA">
              <w:rPr>
                <w:color w:val="000000"/>
                <w:kern w:val="0"/>
                <w:sz w:val="24"/>
                <w:szCs w:val="24"/>
              </w:rPr>
              <w:t>（元）</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lastRenderedPageBreak/>
              <w:t>1</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存出保证金</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965,984.25</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2</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应收证券清算款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3</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应收股利</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2,564,579.17</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4</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应收利息</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123,422.66</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5</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应收申购款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534,361,483.85</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6</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其他应收款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7</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待摊费用</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8</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9</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合计</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538,015,469.93</w:t>
            </w:r>
          </w:p>
        </w:tc>
      </w:tr>
    </w:tbl>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5.11.4</w:t>
      </w:r>
      <w:r w:rsidRPr="001C7E00">
        <w:rPr>
          <w:rFonts w:ascii="宋体" w:hAnsi="宋体" w:hint="eastAsia"/>
          <w:bCs/>
          <w:color w:val="000000"/>
          <w:kern w:val="0"/>
          <w:sz w:val="24"/>
          <w:szCs w:val="24"/>
        </w:rPr>
        <w:t>报告期末持有的处于转股期的可转换债券明细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本基金本报告期末未持有处于转股期的可转换债券。</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5.11.5</w:t>
      </w:r>
      <w:r w:rsidRPr="001C7E00">
        <w:rPr>
          <w:rFonts w:ascii="宋体" w:hAnsi="宋体" w:hint="eastAsia"/>
          <w:bCs/>
          <w:color w:val="000000"/>
          <w:kern w:val="0"/>
          <w:sz w:val="24"/>
          <w:szCs w:val="24"/>
        </w:rPr>
        <w:t>报告期末前十名股票中存在流通受限情况的说明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本基金本报告期末前十名股票中不存在流通受限情况。</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6  </w:t>
      </w:r>
      <w:r w:rsidRPr="00264E55">
        <w:rPr>
          <w:rFonts w:ascii="宋体" w:hAnsi="宋体" w:hint="eastAsia"/>
          <w:color w:val="000000"/>
          <w:kern w:val="0"/>
          <w:sz w:val="24"/>
          <w:szCs w:val="24"/>
        </w:rPr>
        <w:t>开放式基金份额变动</w:t>
      </w:r>
    </w:p>
    <w:p w:rsidP="004061AC" w:rsidR="00750D48" w:rsidRDefault="00750D48" w:rsidRPr="00264E55">
      <w:pPr>
        <w:autoSpaceDE w:val="0"/>
        <w:autoSpaceDN w:val="0"/>
        <w:adjustRightInd w:val="0"/>
        <w:spacing w:before="29" w:line="360" w:lineRule="auto"/>
        <w:ind w:left="15"/>
        <w:jc w:val="right"/>
        <w:rPr>
          <w:rFonts w:ascii="宋体"/>
          <w:color w:val="000000"/>
          <w:kern w:val="0"/>
          <w:sz w:val="24"/>
          <w:szCs w:val="24"/>
        </w:rPr>
      </w:pPr>
      <w:r w:rsidRPr="00264E55">
        <w:rPr>
          <w:rFonts w:ascii="宋体" w:cs="宋体" w:hAnsi="宋体" w:hint="eastAsia"/>
          <w:color w:val="000000"/>
          <w:kern w:val="0"/>
          <w:sz w:val="24"/>
          <w:szCs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4609"/>
        <w:gridCol w:w="4025"/>
      </w:tblGrid>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报告期期初基金份额总额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6,515,580,886.83</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基金总申购份额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5,036,574,633.59</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减：</w:t>
            </w: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基金总赎回份额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2,293,326,090.82</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基金拆分变动份额</w:t>
            </w:r>
            <w:r w:rsidR="00921BFA" w:rsidRPr="00921BFA">
              <w:rPr>
                <w:rFonts w:hint="eastAsia"/>
                <w:color w:val="000000"/>
                <w:kern w:val="0"/>
                <w:sz w:val="24"/>
                <w:szCs w:val="24"/>
              </w:rPr>
              <w:t>（份额减少以“</w:t>
            </w:r>
            <w:r w:rsidR="00921BFA" w:rsidRPr="00921BFA">
              <w:rPr>
                <w:rFonts w:hint="eastAsia"/>
                <w:color w:val="000000"/>
                <w:kern w:val="0"/>
                <w:sz w:val="24"/>
                <w:szCs w:val="24"/>
              </w:rPr>
              <w:t>-</w:t>
            </w:r>
            <w:r w:rsidR="00921BFA" w:rsidRPr="00921BFA">
              <w:rPr>
                <w:rFonts w:hint="eastAsia"/>
                <w:color w:val="000000"/>
                <w:kern w:val="0"/>
                <w:sz w:val="24"/>
                <w:szCs w:val="24"/>
              </w:rPr>
              <w:t>”填列）</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报告期期末基金份额总额</w:t>
            </w:r>
          </w:p>
        </w:tc>
        <w:tc>
          <w:tcPr>
            <w:tcW w:type="dxa" w:w="4025"/>
            <w:vAlign w:val="center"/>
          </w:tcPr>
          <w:p w:rsidP="000A2B53"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9,258,829,429.60</w:t>
            </w:r>
          </w:p>
        </w:tc>
      </w:tr>
    </w:tbl>
    <w:p w:rsidP="004D28A3" w:rsidR="00750D48" w:rsidRDefault="00750D48">
      <w:pPr>
        <w:pStyle w:val="1"/>
        <w:tabs>
          <w:tab w:pos="4156" w:val="center"/>
          <w:tab w:pos="8312" w:val="right"/>
        </w:tabs>
        <w:spacing w:after="312" w:afterLines="100" w:before="312" w:beforeLines="100" w:line="360" w:lineRule="auto"/>
        <w:jc w:val="center"/>
        <w:rPr>
          <w:rFonts w:ascii="方正仿宋简体"/>
          <w:sz w:val="24"/>
          <w:szCs w:val="24"/>
        </w:rPr>
      </w:pPr>
      <w:r>
        <w:rPr>
          <w:rFonts w:ascii="宋体" w:cs="Arial" w:hAnsi="宋体" w:hint="eastAsia"/>
          <w:color w:val="000000"/>
          <w:kern w:val="0"/>
          <w:sz w:val="24"/>
          <w:szCs w:val="24"/>
        </w:rPr>
        <w:lastRenderedPageBreak/>
        <w:t>§</w:t>
      </w:r>
      <w:r>
        <w:rPr>
          <w:rFonts w:ascii="宋体" w:cs="Arial"/>
          <w:color w:val="000000"/>
          <w:kern w:val="0"/>
          <w:sz w:val="24"/>
          <w:szCs w:val="24"/>
        </w:rPr>
        <w:t/>
      </w:r>
      <w:r>
        <w:rPr>
          <w:rFonts w:ascii="宋体" w:cs="Arial" w:hAnsi="宋体"/>
          <w:color w:val="000000"/>
          <w:kern w:val="0"/>
          <w:sz w:val="24"/>
          <w:szCs w:val="24"/>
        </w:rPr>
        <w:t xml:space="preserve">7  </w:t>
      </w:r>
      <w:r>
        <w:rPr>
          <w:rFonts w:ascii="方正仿宋简体" w:hint="eastAsia"/>
          <w:sz w:val="24"/>
          <w:szCs w:val="24"/>
        </w:rPr>
        <w:t>基金管理人运用固有资金投资本基金情况</w:t>
      </w:r>
    </w:p>
    <w:p w:rsidP="00EB374A" w:rsidR="00750D48" w:rsidRDefault="00750D48">
      <w:pPr>
        <w:spacing w:line="360" w:lineRule="auto"/>
        <w:jc w:val="left"/>
        <w:rPr>
          <w:sz w:val="24"/>
          <w:szCs w:val="24"/>
        </w:rPr>
      </w:pPr>
      <w:r>
        <w:rPr>
          <w:b/>
          <w:sz w:val="24"/>
        </w:rPr>
        <w:t/>
      </w:r>
      <w:proofErr w:type="spellStart"/>
      <w:r>
        <w:rPr>
          <w:b/>
          <w:sz w:val="24"/>
        </w:rPr>
        <w:t/>
      </w:r>
      <w:proofErr w:type="spellEnd"/>
      <w:r>
        <w:rPr>
          <w:b/>
          <w:sz w:val="24"/>
        </w:rPr>
        <w:t xml:space="preserve">7.1 </w:t>
      </w:r>
      <w:r>
        <w:rPr>
          <w:rFonts w:hint="eastAsia"/>
          <w:b/>
          <w:sz w:val="24"/>
        </w:rPr>
        <w:t>基金管理人持有本基金份额变动情况</w:t>
      </w:r>
    </w:p>
    <w:p w:rsidP="00AC11B0" w:rsidR="00AC11B0" w:rsidRDefault="00AC11B0" w:rsidRPr="005A564A">
      <w:pPr>
        <w:autoSpaceDE w:val="0"/>
        <w:autoSpaceDN w:val="0"/>
        <w:adjustRightInd w:val="0"/>
        <w:spacing w:before="29" w:line="360" w:lineRule="auto"/>
        <w:ind w:left="15"/>
        <w:jc w:val="right"/>
        <w:rPr>
          <w:sz w:val="24"/>
        </w:rPr>
      </w:pPr>
      <w:r w:rsidRPr="005A564A">
        <w:rPr>
          <w:sz w:val="24"/>
        </w:rPr>
        <w:t/>
      </w:r>
      <w:proofErr w:type="spellStart"/>
      <w:r w:rsidRPr="005A564A">
        <w:rPr>
          <w:sz w:val="24"/>
        </w:rPr>
        <w:t/>
      </w:r>
      <w:proofErr w:type="spellEnd"/>
      <w:r w:rsidRPr="005A564A">
        <w:rPr>
          <w:sz w:val="24"/>
        </w:rPr>
        <w:t/>
      </w:r>
      <w:r w:rsidRPr="005A564A">
        <w:rPr>
          <w:sz w:val="24"/>
        </w:rPr>
        <w:t>单位：份</w:t>
      </w:r>
    </w:p>
    <w:tbl>
      <w:tblPr>
        <w:tblW w:type="dxa" w:w="8415"/>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1" w:firstRow="1" w:lastColumn="0" w:lastRow="0" w:noHBand="0" w:noVBand="1" w:val="04A0"/>
      </w:tblPr>
      <w:tblGrid>
        <w:gridCol w:w="5037"/>
        <w:gridCol w:w="3378"/>
      </w:tblGrid>
      <w:tr w:rsidR="00AC11B0" w:rsidRPr="003B42FF" w:rsidTr="003B5535">
        <w:tc>
          <w:tcPr>
            <w:tcW w:type="dxa" w:w="5037"/>
            <w:vAlign w:val="center"/>
            <w:hideMark/>
          </w:tcPr>
          <w:p w:rsidP="003328D9" w:rsidR="00AC11B0" w:rsidRDefault="00AC11B0" w:rsidRPr="003B42FF">
            <w:pPr>
              <w:pStyle w:val="ad"/>
              <w:adjustRightInd w:val="0"/>
              <w:snapToGrid w:val="0"/>
              <w:spacing w:line="360" w:lineRule="exact"/>
              <w:rPr>
                <w:rFonts w:eastAsiaTheme="minorEastAsia"/>
                <w:color w:themeColor="text1" w:val="000000"/>
              </w:rPr>
            </w:pPr>
            <w:r w:rsidRPr="003B42FF">
              <w:rPr>
                <w:rFonts w:eastAsiaTheme="minorEastAsia"/>
                <w:color w:themeColor="text1" w:val="000000"/>
              </w:rPr>
              <w:t>报告期期初管理人持有的本基金份额</w:t>
            </w:r>
            <w:r w:rsidRPr="003B42FF">
              <w:rPr>
                <w:rFonts w:eastAsiaTheme="minorEastAsia"/>
                <w:bCs/>
                <w:color w:val="000000"/>
              </w:rPr>
              <w:t/>
            </w:r>
            <w:proofErr w:type="spellStart"/>
            <w:r w:rsidRPr="003B42FF">
              <w:rPr>
                <w:rFonts w:eastAsiaTheme="minorEastAsia"/>
                <w:bCs/>
                <w:color w:val="000000"/>
              </w:rPr>
              <w:t/>
            </w:r>
            <w:proofErr w:type="spellEnd"/>
            <w:r w:rsidRPr="003B42FF">
              <w:rPr>
                <w:rFonts w:eastAsiaTheme="minorEastAsia"/>
                <w:bCs/>
                <w:color w:val="000000"/>
              </w:rPr>
              <w:t/>
            </w:r>
            <w:r w:rsidRPr="003B42FF">
              <w:rPr>
                <w:rFonts w:eastAsiaTheme="minorEastAsia"/>
                <w:color w:themeColor="text1" w:val="000000"/>
              </w:rPr>
              <w:t/>
            </w:r>
            <w:proofErr w:type="spellStart"/>
            <w:r w:rsidRPr="003B42FF">
              <w:rPr>
                <w:rFonts w:eastAsiaTheme="minorEastAsia"/>
                <w:color w:themeColor="text1" w:val="000000"/>
              </w:rPr>
              <w:t/>
            </w:r>
            <w:proofErr w:type="spellEnd"/>
            <w:r w:rsidRPr="003B42FF">
              <w:rPr>
                <w:rFonts w:eastAsiaTheme="minorEastAsia"/>
                <w:color w:themeColor="text1" w:val="000000"/>
              </w:rPr>
              <w:t/>
            </w:r>
          </w:p>
        </w:tc>
        <w:tc>
          <w:tcPr>
            <w:tcW w:type="dxa" w:w="3378"/>
            <w:vAlign w:val="center"/>
            <w:hideMark/>
          </w:tcPr>
          <w:p w:rsidP="003328D9" w:rsidR="00AC11B0" w:rsidRDefault="00AC11B0" w:rsidRPr="003B42FF">
            <w:pPr>
              <w:jc w:val="right"/>
              <w:rPr>
                <w:rFonts w:eastAsiaTheme="minorEastAsia"/>
                <w:color w:themeColor="text1" w:val="000000"/>
                <w:sz w:val="24"/>
                <w:szCs w:val="24"/>
              </w:rPr>
            </w:pPr>
            <w:r w:rsidRPr="003B42FF">
              <w:rPr>
                <w:rFonts w:eastAsiaTheme="minorEastAsia"/>
                <w:color w:themeColor="text1" w:val="000000"/>
                <w:sz w:val="24"/>
                <w:szCs w:val="24"/>
              </w:rPr>
              <w:t>70,461,527.62</w:t>
            </w:r>
          </w:p>
        </w:tc>
      </w:tr>
      <w:tr w:rsidR="00AC11B0" w:rsidRPr="003B42FF" w:rsidTr="003B5535">
        <w:tc>
          <w:tcPr>
            <w:tcW w:type="dxa" w:w="5037"/>
            <w:vAlign w:val="center"/>
            <w:hideMark/>
          </w:tcPr>
          <w:p w:rsidP="003328D9" w:rsidR="00AC11B0" w:rsidRDefault="00AC11B0" w:rsidRPr="003B42FF">
            <w:pPr>
              <w:adjustRightInd w:val="0"/>
              <w:snapToGrid w:val="0"/>
              <w:spacing w:line="360" w:lineRule="exact"/>
              <w:rPr>
                <w:rFonts w:eastAsiaTheme="minorEastAsia"/>
                <w:color w:themeColor="text1" w:val="000000"/>
                <w:sz w:val="24"/>
                <w:szCs w:val="24"/>
              </w:rPr>
            </w:pPr>
            <w:r w:rsidRPr="003B42FF">
              <w:rPr>
                <w:rFonts w:eastAsiaTheme="minorEastAsia"/>
                <w:color w:themeColor="text1" w:val="000000"/>
                <w:kern w:val="0"/>
                <w:sz w:val="24"/>
                <w:szCs w:val="24"/>
              </w:rPr>
              <w:t/>
            </w:r>
            <w:proofErr w:type="spellStart"/>
            <w:r w:rsidRPr="003B42FF">
              <w:rPr>
                <w:rFonts w:eastAsiaTheme="minorEastAsia"/>
                <w:color w:themeColor="text1" w:val="000000"/>
                <w:kern w:val="0"/>
                <w:sz w:val="24"/>
                <w:szCs w:val="24"/>
              </w:rPr>
              <w:t/>
            </w:r>
            <w:r w:rsidR="00DA718D">
              <w:rPr>
                <w:color w:val="000000"/>
                <w:kern w:val="0"/>
                <w:sz w:val="24"/>
              </w:rPr>
              <w:t/>
            </w:r>
            <w:proofErr w:type="spellEnd"/>
            <w:r w:rsidRPr="003B42FF">
              <w:rPr>
                <w:rFonts w:eastAsiaTheme="minorEastAsia"/>
                <w:color w:themeColor="text1" w:val="000000"/>
                <w:kern w:val="0"/>
                <w:sz w:val="24"/>
                <w:szCs w:val="24"/>
              </w:rPr>
              <w:t>报告期</w:t>
            </w:r>
            <w:r w:rsidR="00B53067" w:rsidRPr="00B53067">
              <w:rPr>
                <w:rFonts w:eastAsiaTheme="minorEastAsia"/>
                <w:color w:themeColor="text1" w:val="000000"/>
                <w:sz w:val="24"/>
                <w:szCs w:val="24"/>
              </w:rPr>
              <w:t>期间</w:t>
            </w:r>
            <w:r w:rsidRPr="003B42FF">
              <w:rPr>
                <w:rFonts w:eastAsiaTheme="minorEastAsia"/>
                <w:color w:themeColor="text1" w:val="000000"/>
                <w:sz w:val="24"/>
                <w:szCs w:val="24"/>
              </w:rPr>
              <w:t>买入</w:t>
            </w:r>
            <w:r w:rsidRPr="003B42FF">
              <w:rPr>
                <w:rFonts w:eastAsiaTheme="minorEastAsia"/>
                <w:color w:themeColor="text1" w:val="000000"/>
                <w:sz w:val="24"/>
                <w:szCs w:val="24"/>
              </w:rPr>
              <w:t>/</w:t>
            </w:r>
            <w:r w:rsidRPr="003B42FF">
              <w:rPr>
                <w:rFonts w:eastAsiaTheme="minorEastAsia"/>
                <w:color w:themeColor="text1" w:val="000000"/>
                <w:sz w:val="24"/>
                <w:szCs w:val="24"/>
              </w:rPr>
              <w:t>申购总份额</w:t>
            </w:r>
          </w:p>
        </w:tc>
        <w:tc>
          <w:tcPr>
            <w:tcW w:type="dxa" w:w="3378"/>
            <w:vAlign w:val="center"/>
            <w:hideMark/>
          </w:tcPr>
          <w:p w:rsidP="003328D9" w:rsidR="00AC11B0" w:rsidRDefault="00AC11B0" w:rsidRPr="003B42FF">
            <w:pPr>
              <w:jc w:val="right"/>
              <w:rPr>
                <w:rFonts w:eastAsiaTheme="minorEastAsia"/>
                <w:color w:themeColor="text1" w:val="000000"/>
                <w:kern w:val="0"/>
                <w:sz w:val="24"/>
                <w:szCs w:val="24"/>
              </w:rPr>
            </w:pPr>
            <w:r w:rsidRPr="003B42FF">
              <w:rPr>
                <w:rFonts w:eastAsiaTheme="minorEastAsia"/>
                <w:color w:themeColor="text1" w:val="000000"/>
                <w:sz w:val="24"/>
                <w:szCs w:val="24"/>
              </w:rPr>
              <w:t/>
            </w:r>
            <w:proofErr w:type="spellStart"/>
            <w:r w:rsidRPr="003B42FF">
              <w:rPr>
                <w:rFonts w:eastAsiaTheme="minorEastAsia"/>
                <w:color w:themeColor="text1" w:val="000000"/>
                <w:sz w:val="24"/>
                <w:szCs w:val="24"/>
              </w:rPr>
              <w:t/>
            </w:r>
            <w:proofErr w:type="spellEnd"/>
            <w:r w:rsidRPr="003B42FF">
              <w:rPr>
                <w:rFonts w:eastAsiaTheme="minorEastAsia"/>
                <w:color w:themeColor="text1" w:val="000000"/>
                <w:sz w:val="24"/>
                <w:szCs w:val="24"/>
              </w:rPr>
              <w:t>-</w:t>
            </w:r>
          </w:p>
        </w:tc>
      </w:tr>
      <w:tr w:rsidR="00AC11B0" w:rsidRPr="003B42FF" w:rsidTr="003B5535">
        <w:tc>
          <w:tcPr>
            <w:tcW w:type="dxa" w:w="5037"/>
            <w:vAlign w:val="center"/>
            <w:hideMark/>
          </w:tcPr>
          <w:p w:rsidP="003328D9" w:rsidR="00AC11B0" w:rsidRDefault="00AC11B0" w:rsidRPr="003B42FF">
            <w:pPr>
              <w:adjustRightInd w:val="0"/>
              <w:snapToGrid w:val="0"/>
              <w:spacing w:line="360" w:lineRule="exact"/>
              <w:rPr>
                <w:rFonts w:eastAsiaTheme="minorEastAsia"/>
                <w:color w:themeColor="text1" w:val="000000"/>
                <w:sz w:val="24"/>
                <w:szCs w:val="24"/>
              </w:rPr>
            </w:pPr>
            <w:r w:rsidRPr="003B42FF">
              <w:rPr>
                <w:rFonts w:eastAsiaTheme="minorEastAsia"/>
                <w:color w:themeColor="text1" w:val="000000"/>
                <w:kern w:val="0"/>
                <w:sz w:val="24"/>
                <w:szCs w:val="24"/>
              </w:rPr>
              <w:t/>
            </w:r>
            <w:proofErr w:type="spellStart"/>
            <w:r w:rsidRPr="003B42FF">
              <w:rPr>
                <w:rFonts w:eastAsiaTheme="minorEastAsia"/>
                <w:color w:themeColor="text1" w:val="000000"/>
                <w:kern w:val="0"/>
                <w:sz w:val="24"/>
                <w:szCs w:val="24"/>
              </w:rPr>
              <w:t/>
            </w:r>
            <w:r w:rsidR="00DA718D">
              <w:rPr>
                <w:color w:val="000000"/>
                <w:kern w:val="0"/>
                <w:sz w:val="24"/>
              </w:rPr>
              <w:t/>
            </w:r>
            <w:proofErr w:type="spellEnd"/>
            <w:r w:rsidRPr="003B42FF">
              <w:rPr>
                <w:rFonts w:eastAsiaTheme="minorEastAsia"/>
                <w:color w:themeColor="text1" w:val="000000"/>
                <w:kern w:val="0"/>
                <w:sz w:val="24"/>
                <w:szCs w:val="24"/>
              </w:rPr>
              <w:t>报告期</w:t>
            </w:r>
            <w:r w:rsidR="00B53067" w:rsidRPr="00B53067">
              <w:rPr>
                <w:rFonts w:eastAsiaTheme="minorEastAsia"/>
                <w:color w:themeColor="text1" w:val="000000"/>
                <w:sz w:val="24"/>
                <w:szCs w:val="24"/>
              </w:rPr>
              <w:t>期间</w:t>
            </w:r>
            <w:r w:rsidRPr="003B42FF">
              <w:rPr>
                <w:rFonts w:eastAsiaTheme="minorEastAsia"/>
                <w:color w:themeColor="text1" w:val="000000"/>
                <w:sz w:val="24"/>
                <w:szCs w:val="24"/>
              </w:rPr>
              <w:t>卖出</w:t>
            </w:r>
            <w:r w:rsidRPr="003B42FF">
              <w:rPr>
                <w:rFonts w:eastAsiaTheme="minorEastAsia"/>
                <w:color w:themeColor="text1" w:val="000000"/>
                <w:sz w:val="24"/>
                <w:szCs w:val="24"/>
              </w:rPr>
              <w:t>/</w:t>
            </w:r>
            <w:r w:rsidRPr="003B42FF">
              <w:rPr>
                <w:rFonts w:eastAsiaTheme="minorEastAsia"/>
                <w:color w:themeColor="text1" w:val="000000"/>
                <w:sz w:val="24"/>
                <w:szCs w:val="24"/>
              </w:rPr>
              <w:t>赎回总份额</w:t>
            </w:r>
          </w:p>
        </w:tc>
        <w:tc>
          <w:tcPr>
            <w:tcW w:type="dxa" w:w="3378"/>
            <w:vAlign w:val="center"/>
            <w:hideMark/>
          </w:tcPr>
          <w:p w:rsidP="003328D9" w:rsidR="00AC11B0" w:rsidRDefault="00AC11B0" w:rsidRPr="003B42FF">
            <w:pPr>
              <w:jc w:val="right"/>
              <w:rPr>
                <w:rFonts w:eastAsiaTheme="minorEastAsia"/>
                <w:color w:themeColor="text1" w:val="000000"/>
                <w:kern w:val="0"/>
                <w:sz w:val="24"/>
                <w:szCs w:val="24"/>
              </w:rPr>
            </w:pPr>
            <w:r w:rsidRPr="003B42FF">
              <w:rPr>
                <w:rFonts w:eastAsiaTheme="minorEastAsia"/>
                <w:color w:themeColor="text1" w:val="000000"/>
                <w:sz w:val="24"/>
                <w:szCs w:val="24"/>
              </w:rPr>
              <w:t/>
            </w:r>
            <w:proofErr w:type="spellStart"/>
            <w:r w:rsidRPr="003B42FF">
              <w:rPr>
                <w:rFonts w:eastAsiaTheme="minorEastAsia"/>
                <w:color w:themeColor="text1" w:val="000000"/>
                <w:sz w:val="24"/>
                <w:szCs w:val="24"/>
              </w:rPr>
              <w:t/>
            </w:r>
            <w:proofErr w:type="spellEnd"/>
            <w:r w:rsidRPr="003B42FF">
              <w:rPr>
                <w:rFonts w:eastAsiaTheme="minorEastAsia"/>
                <w:color w:themeColor="text1" w:val="000000"/>
                <w:sz w:val="24"/>
                <w:szCs w:val="24"/>
              </w:rPr>
              <w:t>-</w:t>
            </w:r>
          </w:p>
        </w:tc>
      </w:tr>
      <w:tr w:rsidR="00AC11B0" w:rsidRPr="003B42FF" w:rsidTr="003B5535">
        <w:tc>
          <w:tcPr>
            <w:tcW w:type="dxa" w:w="5037"/>
            <w:vAlign w:val="center"/>
            <w:hideMark/>
          </w:tcPr>
          <w:p w:rsidP="003328D9" w:rsidR="00AC11B0" w:rsidRDefault="00AC11B0" w:rsidRPr="003B42FF">
            <w:pPr>
              <w:adjustRightInd w:val="0"/>
              <w:snapToGrid w:val="0"/>
              <w:spacing w:line="360" w:lineRule="exact"/>
              <w:rPr>
                <w:rFonts w:eastAsiaTheme="minorEastAsia"/>
                <w:color w:themeColor="text1" w:val="000000"/>
                <w:sz w:val="24"/>
                <w:szCs w:val="24"/>
              </w:rPr>
            </w:pPr>
            <w:r w:rsidRPr="003B42FF">
              <w:rPr>
                <w:rFonts w:eastAsiaTheme="minorEastAsia"/>
                <w:color w:themeColor="text1" w:val="000000"/>
                <w:sz w:val="24"/>
                <w:szCs w:val="24"/>
              </w:rPr>
              <w:t>报告期期末管理人持有的本基金份额</w:t>
            </w:r>
          </w:p>
        </w:tc>
        <w:tc>
          <w:tcPr>
            <w:tcW w:type="dxa" w:w="3378"/>
            <w:vAlign w:val="center"/>
            <w:hideMark/>
          </w:tcPr>
          <w:p w:rsidP="003328D9" w:rsidR="00AC11B0" w:rsidRDefault="00AC11B0" w:rsidRPr="003B42FF">
            <w:pPr>
              <w:jc w:val="right"/>
              <w:rPr>
                <w:rFonts w:eastAsiaTheme="minorEastAsia"/>
                <w:color w:themeColor="text1" w:val="000000"/>
                <w:sz w:val="24"/>
                <w:szCs w:val="24"/>
              </w:rPr>
            </w:pPr>
            <w:r w:rsidRPr="003B42FF">
              <w:rPr>
                <w:rFonts w:eastAsiaTheme="minorEastAsia"/>
                <w:color w:themeColor="text1" w:val="000000"/>
                <w:sz w:val="24"/>
                <w:szCs w:val="24"/>
              </w:rPr>
              <w:t/>
            </w:r>
            <w:proofErr w:type="spellStart"/>
            <w:r w:rsidRPr="003B42FF">
              <w:rPr>
                <w:rFonts w:eastAsiaTheme="minorEastAsia"/>
                <w:color w:themeColor="text1" w:val="000000"/>
                <w:sz w:val="24"/>
                <w:szCs w:val="24"/>
              </w:rPr>
              <w:t/>
            </w:r>
            <w:proofErr w:type="spellEnd"/>
            <w:r w:rsidRPr="003B42FF">
              <w:rPr>
                <w:rFonts w:eastAsiaTheme="minorEastAsia"/>
                <w:color w:themeColor="text1" w:val="000000"/>
                <w:sz w:val="24"/>
                <w:szCs w:val="24"/>
              </w:rPr>
              <w:t>70,461,527.62</w:t>
            </w:r>
          </w:p>
        </w:tc>
      </w:tr>
      <w:tr w:rsidR="00AC11B0" w:rsidRPr="003B42FF" w:rsidTr="003B5535">
        <w:tc>
          <w:tcPr>
            <w:tcW w:type="dxa" w:w="5037"/>
            <w:vAlign w:val="center"/>
            <w:hideMark/>
          </w:tcPr>
          <w:p w:rsidP="003328D9" w:rsidR="00AC11B0" w:rsidRDefault="00AC11B0" w:rsidRPr="003B42FF">
            <w:pPr>
              <w:adjustRightInd w:val="0"/>
              <w:snapToGrid w:val="0"/>
              <w:spacing w:line="360" w:lineRule="exact"/>
              <w:rPr>
                <w:rFonts w:eastAsiaTheme="minorEastAsia"/>
                <w:color w:themeColor="text1" w:val="000000"/>
                <w:sz w:val="24"/>
                <w:szCs w:val="24"/>
              </w:rPr>
            </w:pPr>
            <w:r w:rsidRPr="003B42FF">
              <w:rPr>
                <w:rFonts w:eastAsiaTheme="minorEastAsia"/>
                <w:color w:themeColor="text1" w:val="000000"/>
                <w:sz w:val="24"/>
                <w:szCs w:val="24"/>
              </w:rPr>
              <w:t>报告期期末持有的本基金份额占基金总份额比例（</w:t>
            </w:r>
            <w:r w:rsidRPr="003B42FF">
              <w:rPr>
                <w:rFonts w:eastAsiaTheme="minorEastAsia"/>
                <w:color w:themeColor="text1" w:val="000000"/>
                <w:sz w:val="24"/>
                <w:szCs w:val="24"/>
              </w:rPr>
              <w:t>%</w:t>
            </w:r>
            <w:r w:rsidRPr="003B42FF">
              <w:rPr>
                <w:rFonts w:eastAsiaTheme="minorEastAsia"/>
                <w:color w:themeColor="text1" w:val="000000"/>
                <w:sz w:val="24"/>
                <w:szCs w:val="24"/>
              </w:rPr>
              <w:t>）</w:t>
            </w:r>
          </w:p>
        </w:tc>
        <w:tc>
          <w:tcPr>
            <w:tcW w:type="dxa" w:w="3378"/>
            <w:vAlign w:val="center"/>
            <w:hideMark/>
          </w:tcPr>
          <w:p w:rsidP="003328D9" w:rsidR="00AC11B0" w:rsidRDefault="00AC11B0" w:rsidRPr="003B42FF">
            <w:pPr>
              <w:jc w:val="right"/>
              <w:rPr>
                <w:rFonts w:eastAsiaTheme="minorEastAsia"/>
                <w:color w:themeColor="text1" w:val="000000"/>
                <w:kern w:val="0"/>
                <w:sz w:val="24"/>
                <w:szCs w:val="24"/>
              </w:rPr>
            </w:pPr>
            <w:r w:rsidRPr="003B42FF">
              <w:rPr>
                <w:rFonts w:eastAsiaTheme="minorEastAsia"/>
                <w:color w:themeColor="text1" w:val="000000"/>
                <w:sz w:val="24"/>
                <w:szCs w:val="24"/>
              </w:rPr>
              <w:t/>
            </w:r>
            <w:proofErr w:type="spellStart"/>
            <w:r w:rsidRPr="003B42FF">
              <w:rPr>
                <w:rFonts w:eastAsiaTheme="minorEastAsia"/>
                <w:color w:themeColor="text1" w:val="000000"/>
                <w:sz w:val="24"/>
                <w:szCs w:val="24"/>
              </w:rPr>
              <w:t/>
            </w:r>
            <w:proofErr w:type="spellEnd"/>
            <w:r w:rsidRPr="003B42FF">
              <w:rPr>
                <w:rFonts w:eastAsiaTheme="minorEastAsia"/>
                <w:color w:themeColor="text1" w:val="000000"/>
                <w:sz w:val="24"/>
                <w:szCs w:val="24"/>
              </w:rPr>
              <w:t>0.7610</w:t>
            </w:r>
          </w:p>
        </w:tc>
      </w:tr>
    </w:tbl>
    <w:p w:rsidP="00EB374A" w:rsidR="00750D48" w:rsidRDefault="00750D48">
      <w:pPr>
        <w:spacing w:line="360" w:lineRule="auto"/>
        <w:jc w:val="left"/>
        <w:rPr>
          <w:sz w:val="24"/>
        </w:rPr>
      </w:pPr>
      <w:r>
        <w:rPr>
          <w:b/>
          <w:sz w:val="24"/>
        </w:rPr>
        <w:t/>
      </w:r>
      <w:proofErr w:type="spellStart"/>
      <w:r>
        <w:rPr>
          <w:b/>
          <w:sz w:val="24"/>
        </w:rPr>
        <w:t/>
      </w:r>
      <w:proofErr w:type="spellEnd"/>
      <w:r>
        <w:rPr>
          <w:b/>
          <w:sz w:val="24"/>
        </w:rPr>
        <w:t xml:space="preserve">7.2 </w:t>
      </w:r>
      <w:r>
        <w:rPr>
          <w:rFonts w:hint="eastAsia"/>
          <w:b/>
          <w:sz w:val="24"/>
        </w:rPr>
        <w:t>基金管理人运用固有资金投资本基金交易明细</w:t>
      </w:r>
    </w:p>
    <w:p w:rsidP="006C56AA"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xml:space="preserve">本报告期内基金管理人未运用固有资金申购、赎回、买卖本基金份额。 </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color w:val="000000"/>
          <w:kern w:val="0"/>
          <w:sz w:val="24"/>
          <w:szCs w:val="24"/>
        </w:rPr>
        <w:t/>
      </w:r>
      <w:r w:rsidRPr="00264E55">
        <w:rPr>
          <w:rFonts w:ascii="宋体" w:hAnsi="宋体"/>
          <w:color w:val="000000"/>
          <w:kern w:val="0"/>
          <w:sz w:val="24"/>
          <w:szCs w:val="24"/>
        </w:rPr>
        <w:t xml:space="preserve">8  </w:t>
      </w:r>
      <w:r w:rsidRPr="00264E55">
        <w:rPr>
          <w:rFonts w:ascii="宋体" w:hAnsi="宋体" w:hint="eastAsia"/>
          <w:color w:val="000000"/>
          <w:kern w:val="0"/>
          <w:sz w:val="24"/>
          <w:szCs w:val="24"/>
        </w:rPr>
        <w:t>备查文件目录</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8.1 </w:t>
      </w:r>
      <w:r w:rsidRPr="00264E55">
        <w:rPr>
          <w:rFonts w:ascii="宋体" w:hAnsi="宋体" w:hint="eastAsia"/>
          <w:b/>
          <w:bCs/>
          <w:color w:val="000000"/>
          <w:kern w:val="0"/>
          <w:sz w:val="24"/>
          <w:szCs w:val="24"/>
        </w:rPr>
        <w:t>备查文件目录</w:t>
      </w:r>
    </w:p>
    <w:p>
      <w:pPr>
        <w:spacing w:line="360" w:lineRule="auto"/>
        <w:ind w:firstLine="480" w:firstLineChars="200"/>
        <w:rPr>
          <w:color w:val="000000"/>
          <w:sz w:val="24"/>
          <w:szCs w:val="24"/>
        </w:rPr>
      </w:pPr>
      <w:r>
        <w:rPr>
          <w:color w:val="000000"/>
          <w:sz w:val="24"/>
          <w:szCs w:val="24"/>
        </w:rPr>
        <w:t>1.中国证监会准予易方达蓝筹精选混合型证券投资基金注册的文件；</w:t>
      </w:r>
    </w:p>
    <w:p>
      <w:pPr>
        <w:spacing w:line="360" w:lineRule="auto"/>
        <w:ind w:firstLine="480" w:firstLineChars="200"/>
        <w:rPr>
          <w:color w:val="000000"/>
          <w:sz w:val="24"/>
          <w:szCs w:val="24"/>
        </w:rPr>
      </w:pPr>
      <w:r>
        <w:rPr>
          <w:color w:val="000000"/>
          <w:sz w:val="24"/>
          <w:szCs w:val="24"/>
        </w:rPr>
        <w:t>2.《易方达蓝筹精选混合型证券投资基金基金合同》；</w:t>
      </w:r>
    </w:p>
    <w:p>
      <w:pPr>
        <w:spacing w:line="360" w:lineRule="auto"/>
        <w:ind w:firstLine="480" w:firstLineChars="200"/>
        <w:rPr>
          <w:color w:val="000000"/>
          <w:sz w:val="24"/>
          <w:szCs w:val="24"/>
        </w:rPr>
      </w:pPr>
      <w:r>
        <w:rPr>
          <w:color w:val="000000"/>
          <w:sz w:val="24"/>
          <w:szCs w:val="24"/>
        </w:rPr>
        <w:t>3.《易方达蓝筹精选混合型证券投资基金托管协议》；</w:t>
      </w:r>
    </w:p>
    <w:p>
      <w:pPr>
        <w:spacing w:line="360" w:lineRule="auto"/>
        <w:ind w:firstLine="480" w:firstLineChars="200"/>
        <w:rPr>
          <w:color w:val="000000"/>
          <w:sz w:val="24"/>
          <w:szCs w:val="24"/>
        </w:rPr>
      </w:pPr>
      <w:r>
        <w:rPr>
          <w:color w:val="000000"/>
          <w:sz w:val="24"/>
          <w:szCs w:val="24"/>
        </w:rPr>
        <w:t>4.《易方达基金管理有限公司开放式基金业务规则》；</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5.基金管理人业务资格批件、营业执照。</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8.2 </w:t>
      </w:r>
      <w:r w:rsidRPr="00264E55">
        <w:rPr>
          <w:rFonts w:ascii="宋体" w:hAnsi="宋体" w:hint="eastAsia"/>
          <w:b/>
          <w:bCs/>
          <w:color w:val="000000"/>
          <w:kern w:val="0"/>
          <w:sz w:val="24"/>
          <w:szCs w:val="24"/>
        </w:rPr>
        <w:t>存放地点</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广州市天河区珠江新城珠江东路30号广州银行大厦40-43楼。</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8.3 </w:t>
      </w:r>
      <w:r w:rsidRPr="00264E55">
        <w:rPr>
          <w:rFonts w:ascii="宋体" w:hAnsi="宋体" w:hint="eastAsia"/>
          <w:b/>
          <w:bCs/>
          <w:color w:val="000000"/>
          <w:kern w:val="0"/>
          <w:sz w:val="24"/>
          <w:szCs w:val="24"/>
        </w:rPr>
        <w:t>查阅方式</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投资者可在营业时间免费查阅，也可按工本费购买复印件。</w:t>
      </w: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C71497" w:rsidR="00750D48" w:rsidRDefault="00750D48" w:rsidRPr="00264E55">
      <w:pPr>
        <w:spacing w:line="360" w:lineRule="auto"/>
        <w:jc w:val="right"/>
        <w:rPr>
          <w:rFonts w:ascii="宋体" w:hAnsi="宋体"/>
          <w:b/>
          <w:bCs/>
          <w:sz w:val="24"/>
          <w:szCs w:val="24"/>
        </w:rPr>
      </w:pPr>
      <w:r w:rsidRPr="00264E55">
        <w:rPr>
          <w:rFonts w:asci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易方达基金管理有限公司</w:t>
      </w:r>
    </w:p>
    <w:p w:rsidP="00191817" w:rsidR="00750D48" w:rsidRDefault="00750D48" w:rsidRPr="00191817">
      <w:pPr>
        <w:spacing w:line="360" w:lineRule="auto"/>
        <w:jc w:val="right"/>
        <w:rPr>
          <w:rFonts w:ascii="宋体" w:hAnsi="宋体"/>
          <w:b/>
          <w:bCs/>
          <w:sz w:val="24"/>
          <w:szCs w:val="24"/>
        </w:rPr>
      </w:pPr>
      <w:r w:rsidRPr="00264E55">
        <w:rPr>
          <w:rFonts w:ascii="宋体" w:hAns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二〇二〇年七月二十一日</w:t>
      </w:r>
    </w:p>
    <w:sectPr w:rsidR="00750D48" w:rsidRPr="00191817" w:rsidSect="00304A12">
      <w:footerReference r:id="rId12" w:type="default"/>
      <w:pgSz w:code="9" w:h="16838" w:w="11906"/>
      <w:pgMar w:bottom="1440" w:footer="992" w:gutter="0" w:header="851" w:left="1797" w:right="1797"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A26" w:rsidRDefault="00BE5A26" w:rsidP="00876D65">
      <w:r>
        <w:separator/>
      </w:r>
    </w:p>
  </w:endnote>
  <w:endnote w:type="continuationSeparator" w:id="0">
    <w:p w:rsidR="00BE5A26" w:rsidRDefault="00BE5A26" w:rsidP="00876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FangSong">
    <w:altName w:val="Arial"/>
    <w:charset w:val="00"/>
    <w:family w:val="auto"/>
    <w:pitch w:val="default"/>
    <w:sig w:usb0="00000003" w:usb1="00000000" w:usb2="00000000" w:usb3="00000000" w:csb0="00000001" w:csb1="00000000"/>
  </w:font>
  <w:font w:name="方正仿宋简体">
    <w:altName w:val="宋体"/>
    <w:charset w:val="86"/>
    <w:family w:val="auto"/>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EF56B5"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w:t>
    </w:r>
    <w:r>
      <w:rPr>
        <w:rStyle w:val="a7"/>
      </w:rPr>
      <w:fldChar w:fldCharType="end"/>
    </w:r>
    <w:proofErr w:type="gramStart"/>
    <w:r>
      <w:rPr>
        <w:rStyle w:val="a7"/>
        <w:rFonts w:hint="eastAsia"/>
      </w:rPr>
      <w:t>页共</w:t>
    </w:r>
    <w:proofErr w:type="gramEnd"/>
    <w:r w:rsidR="00764C38">
      <w:fldChar w:fldCharType="begin"/>
    </w:r>
    <w:r w:rsidR="00764C38">
      <w:instrText xml:space="preserve"> NUMPAGES  \* Arabic  \* MERGEFORMAT </w:instrText>
    </w:r>
    <w:r w:rsidR="00764C38">
      <w:fldChar w:fldCharType="separate"/>
    </w:r>
    <w:r w:rsidR="00B371D4" w:rsidRPr="00B371D4">
      <w:rPr>
        <w:rStyle w:val="a7"/>
        <w:noProof/>
      </w:rPr>
      <w:t>27</w:t>
    </w:r>
    <w:r w:rsidR="00764C38">
      <w:rPr>
        <w:rStyle w:val="a7"/>
        <w:noProof/>
      </w:rPr>
      <w:fldChar w:fldCharType="end"/>
    </w:r>
    <w:r>
      <w:rPr>
        <w:rStyle w:val="a7"/>
        <w:rFonts w:hint="eastAsia"/>
      </w:rPr>
      <w:t>页</w:t>
    </w:r>
  </w:p>
  <w:p w:rsidP="00EF56B5" w:rsidR="003328D9" w:rsidRDefault="003328D9" w:rsidRPr="00EF56B5">
    <w:pPr>
      <w:pStyle w:val="a6"/>
    </w:pP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18</w:t>
    </w:r>
    <w:r>
      <w:rPr>
        <w:rStyle w:val="a7"/>
      </w:rPr>
      <w:fldChar w:fldCharType="end"/>
    </w:r>
    <w:proofErr w:type="gramStart"/>
    <w:r>
      <w:rPr>
        <w:rStyle w:val="a7"/>
        <w:rFonts w:hint="eastAsia"/>
      </w:rPr>
      <w:t>页共</w:t>
    </w:r>
    <w:proofErr w:type="gramEnd"/>
    <w:fldSimple w:instr=" NUMPAGES  \* Arabic  \* MERGEFORMAT ">
      <w:r w:rsidR="00B371D4" w:rsidRPr="00B371D4">
        <w:rPr>
          <w:rStyle w:val="a7"/>
          <w:noProof/>
        </w:rPr>
        <w:t>27</w:t>
      </w:r>
    </w:fldSimple>
    <w:r>
      <w:rPr>
        <w:rStyle w:val="a7"/>
        <w:rFonts w:hint="eastAsia"/>
      </w:rPr>
      <w:t>页</w:t>
    </w:r>
  </w:p>
  <w:p w:rsidR="003328D9" w:rsidRDefault="003328D9">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P="00876D65" w:rsidR="00BE5A26" w:rsidRDefault="00BE5A26">
      <w:r>
        <w:separator/>
      </w:r>
    </w:p>
  </w:footnote>
  <w:footnote w:id="0" w:type="continuationSeparator">
    <w:p w:rsidP="00876D65" w:rsidR="00BE5A26" w:rsidRDefault="00BE5A26">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090A26" w:rsidR="003328D9" w:rsidRDefault="003328D9" w:rsidRPr="00093704">
    <w:pPr>
      <w:pStyle w:val="a9"/>
      <w:pBdr>
        <w:bottom w:color="auto" w:space="0" w:sz="6" w:val="single"/>
      </w:pBdr>
      <w:jc w:val="right"/>
    </w:pPr>
    <w:r w:rsidRPr="00093704">
      <w:t/>
    </w:r>
    <w:proofErr w:type="spellStart"/>
    <w:proofErr w:type="gramStart"/>
    <w:r w:rsidRPr="00093704">
      <w:t/>
    </w:r>
    <w:proofErr w:type="spellEnd"/>
    <w:proofErr w:type="gramEnd"/>
    <w:r w:rsidRPr="00093704">
      <w:t>易方达蓝筹精选混合型证券投资基金</w:t>
    </w:r>
    <w:proofErr w:type="spellStart"/>
    <w:r w:rsidRPr="00093704">
      <w:t/>
    </w:r>
    <w:proofErr w:type="spellEnd"/>
    <w:r w:rsidRPr="00093704">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plc="04090003">
      <w:start w:val="1"/>
      <w:numFmt w:val="bullet"/>
      <w:lvlText w:val=""/>
      <w:lvlJc w:val="left"/>
      <w:pPr>
        <w:tabs>
          <w:tab w:pos="1260" w:val="num"/>
        </w:tabs>
        <w:ind w:hanging="420" w:left="1260"/>
      </w:pPr>
      <w:rPr>
        <w:rFonts w:ascii="Wingdings" w:hAnsi="Wingdings" w:hint="default"/>
      </w:rPr>
    </w:lvl>
    <w:lvl w:ilvl="2" w:tplc="04090005">
      <w:start w:val="1"/>
      <w:numFmt w:val="bullet"/>
      <w:lvlText w:val=""/>
      <w:lvlJc w:val="left"/>
      <w:pPr>
        <w:tabs>
          <w:tab w:pos="1680" w:val="num"/>
        </w:tabs>
        <w:ind w:hanging="420" w:left="1680"/>
      </w:pPr>
      <w:rPr>
        <w:rFonts w:ascii="Wingdings" w:hAnsi="Wingdings" w:hint="default"/>
      </w:rPr>
    </w:lvl>
    <w:lvl w:ilvl="3" w:tplc="04090001">
      <w:start w:val="1"/>
      <w:numFmt w:val="bullet"/>
      <w:lvlText w:val=""/>
      <w:lvlJc w:val="left"/>
      <w:pPr>
        <w:tabs>
          <w:tab w:pos="2100" w:val="num"/>
        </w:tabs>
        <w:ind w:hanging="420" w:left="2100"/>
      </w:pPr>
      <w:rPr>
        <w:rFonts w:ascii="Wingdings" w:hAnsi="Wingdings" w:hint="default"/>
      </w:rPr>
    </w:lvl>
    <w:lvl w:ilvl="4" w:tplc="04090003">
      <w:start w:val="1"/>
      <w:numFmt w:val="bullet"/>
      <w:lvlText w:val=""/>
      <w:lvlJc w:val="left"/>
      <w:pPr>
        <w:tabs>
          <w:tab w:pos="2520" w:val="num"/>
        </w:tabs>
        <w:ind w:hanging="420" w:left="2520"/>
      </w:pPr>
      <w:rPr>
        <w:rFonts w:ascii="Wingdings" w:hAnsi="Wingdings" w:hint="default"/>
      </w:rPr>
    </w:lvl>
    <w:lvl w:ilvl="5" w:tplc="04090005">
      <w:start w:val="1"/>
      <w:numFmt w:val="bullet"/>
      <w:lvlText w:val=""/>
      <w:lvlJc w:val="left"/>
      <w:pPr>
        <w:tabs>
          <w:tab w:pos="2940" w:val="num"/>
        </w:tabs>
        <w:ind w:hanging="420" w:left="2940"/>
      </w:pPr>
      <w:rPr>
        <w:rFonts w:ascii="Wingdings" w:hAnsi="Wingdings" w:hint="default"/>
      </w:rPr>
    </w:lvl>
    <w:lvl w:ilvl="6" w:tplc="04090001">
      <w:start w:val="1"/>
      <w:numFmt w:val="bullet"/>
      <w:lvlText w:val=""/>
      <w:lvlJc w:val="left"/>
      <w:pPr>
        <w:tabs>
          <w:tab w:pos="3360" w:val="num"/>
        </w:tabs>
        <w:ind w:hanging="420" w:left="3360"/>
      </w:pPr>
      <w:rPr>
        <w:rFonts w:ascii="Wingdings" w:hAnsi="Wingdings" w:hint="default"/>
      </w:rPr>
    </w:lvl>
    <w:lvl w:ilvl="7" w:tplc="04090003">
      <w:start w:val="1"/>
      <w:numFmt w:val="bullet"/>
      <w:lvlText w:val=""/>
      <w:lvlJc w:val="left"/>
      <w:pPr>
        <w:tabs>
          <w:tab w:pos="3780" w:val="num"/>
        </w:tabs>
        <w:ind w:hanging="420" w:left="3780"/>
      </w:pPr>
      <w:rPr>
        <w:rFonts w:ascii="Wingdings" w:hAnsi="Wingdings" w:hint="default"/>
      </w:rPr>
    </w:lvl>
    <w:lvl w:ilvl="8" w:tplc="04090005">
      <w:start w:val="1"/>
      <w:numFmt w:val="bullet"/>
      <w:lvlText w:val=""/>
      <w:lvlJc w:val="left"/>
      <w:pPr>
        <w:tabs>
          <w:tab w:pos="4200" w:val="num"/>
        </w:tabs>
        <w:ind w:hanging="420" w:left="4200"/>
      </w:pPr>
      <w:rPr>
        <w:rFonts w:ascii="Wingdings" w:hAnsi="Wingdings" w:hint="default"/>
      </w:rPr>
    </w:lvl>
  </w:abstractNum>
  <w:abstractNum w:abstractNumId="1">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szCs w:val="24"/>
      </w:rPr>
    </w:lvl>
    <w:lvl w:ilvl="1" w:tplc="04090019">
      <w:start w:val="1"/>
      <w:numFmt w:val="lowerLetter"/>
      <w:lvlText w:val="%2)"/>
      <w:lvlJc w:val="left"/>
      <w:pPr>
        <w:tabs>
          <w:tab w:pos="1320" w:val="num"/>
        </w:tabs>
        <w:ind w:hanging="420" w:left="1320"/>
      </w:pPr>
      <w:rPr>
        <w:rFonts w:cs="Times New Roman"/>
      </w:rPr>
    </w:lvl>
    <w:lvl w:ilvl="2" w:tplc="0409001B">
      <w:start w:val="1"/>
      <w:numFmt w:val="lowerRoman"/>
      <w:lvlText w:val="%3."/>
      <w:lvlJc w:val="right"/>
      <w:pPr>
        <w:tabs>
          <w:tab w:pos="1740" w:val="num"/>
        </w:tabs>
        <w:ind w:hanging="420" w:left="1740"/>
      </w:pPr>
      <w:rPr>
        <w:rFonts w:cs="Times New Roman"/>
      </w:rPr>
    </w:lvl>
    <w:lvl w:ilvl="3" w:tplc="0409000F">
      <w:start w:val="1"/>
      <w:numFmt w:val="decimal"/>
      <w:lvlText w:val="%4."/>
      <w:lvlJc w:val="left"/>
      <w:pPr>
        <w:tabs>
          <w:tab w:pos="2160" w:val="num"/>
        </w:tabs>
        <w:ind w:hanging="420" w:left="2160"/>
      </w:pPr>
      <w:rPr>
        <w:rFonts w:cs="Times New Roman"/>
      </w:rPr>
    </w:lvl>
    <w:lvl w:ilvl="4" w:tplc="04090019">
      <w:start w:val="1"/>
      <w:numFmt w:val="lowerLetter"/>
      <w:lvlText w:val="%5)"/>
      <w:lvlJc w:val="left"/>
      <w:pPr>
        <w:tabs>
          <w:tab w:pos="2580" w:val="num"/>
        </w:tabs>
        <w:ind w:hanging="420" w:left="2580"/>
      </w:pPr>
      <w:rPr>
        <w:rFonts w:cs="Times New Roman"/>
      </w:rPr>
    </w:lvl>
    <w:lvl w:ilvl="5" w:tplc="0409001B">
      <w:start w:val="1"/>
      <w:numFmt w:val="lowerRoman"/>
      <w:lvlText w:val="%6."/>
      <w:lvlJc w:val="right"/>
      <w:pPr>
        <w:tabs>
          <w:tab w:pos="3000" w:val="num"/>
        </w:tabs>
        <w:ind w:hanging="420" w:left="3000"/>
      </w:pPr>
      <w:rPr>
        <w:rFonts w:cs="Times New Roman"/>
      </w:rPr>
    </w:lvl>
    <w:lvl w:ilvl="6" w:tplc="0409000F">
      <w:start w:val="1"/>
      <w:numFmt w:val="decimal"/>
      <w:lvlText w:val="%7."/>
      <w:lvlJc w:val="left"/>
      <w:pPr>
        <w:tabs>
          <w:tab w:pos="3420" w:val="num"/>
        </w:tabs>
        <w:ind w:hanging="420" w:left="3420"/>
      </w:pPr>
      <w:rPr>
        <w:rFonts w:cs="Times New Roman"/>
      </w:rPr>
    </w:lvl>
    <w:lvl w:ilvl="7" w:tplc="04090019">
      <w:start w:val="1"/>
      <w:numFmt w:val="lowerLetter"/>
      <w:lvlText w:val="%8)"/>
      <w:lvlJc w:val="left"/>
      <w:pPr>
        <w:tabs>
          <w:tab w:pos="3840" w:val="num"/>
        </w:tabs>
        <w:ind w:hanging="420" w:left="3840"/>
      </w:pPr>
      <w:rPr>
        <w:rFonts w:cs="Times New Roman"/>
      </w:rPr>
    </w:lvl>
    <w:lvl w:ilvl="8" w:tplc="0409001B">
      <w:start w:val="1"/>
      <w:numFmt w:val="lowerRoman"/>
      <w:lvlText w:val="%9."/>
      <w:lvlJc w:val="right"/>
      <w:pPr>
        <w:tabs>
          <w:tab w:pos="4260" w:val="num"/>
        </w:tabs>
        <w:ind w:hanging="420" w:left="4260"/>
      </w:pPr>
      <w:rPr>
        <w:rFonts w:cs="Times New Roman"/>
      </w:rPr>
    </w:lvl>
  </w:abstractNum>
  <w:abstractNum w:abstractNumId="2">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plc="0409000F">
      <w:start w:val="1"/>
      <w:numFmt w:val="decimal"/>
      <w:lvlText w:val="%4."/>
      <w:lvlJc w:val="left"/>
      <w:pPr>
        <w:tabs>
          <w:tab w:pos="1680" w:val="num"/>
        </w:tabs>
        <w:ind w:hanging="420" w:left="1680"/>
      </w:pPr>
      <w:rPr>
        <w:rFonts w:cs="Times New Roman"/>
      </w:rPr>
    </w:lvl>
    <w:lvl w:ilvl="4" w:tplc="04090019">
      <w:start w:val="1"/>
      <w:numFmt w:val="lowerLetter"/>
      <w:lvlText w:val="%5)"/>
      <w:lvlJc w:val="left"/>
      <w:pPr>
        <w:tabs>
          <w:tab w:pos="2100" w:val="num"/>
        </w:tabs>
        <w:ind w:hanging="420" w:left="2100"/>
      </w:pPr>
      <w:rPr>
        <w:rFonts w:cs="Times New Roman"/>
      </w:rPr>
    </w:lvl>
    <w:lvl w:ilvl="5" w:tplc="0409001B">
      <w:start w:val="1"/>
      <w:numFmt w:val="lowerRoman"/>
      <w:lvlText w:val="%6."/>
      <w:lvlJc w:val="right"/>
      <w:pPr>
        <w:tabs>
          <w:tab w:pos="2520" w:val="num"/>
        </w:tabs>
        <w:ind w:hanging="420" w:left="2520"/>
      </w:pPr>
      <w:rPr>
        <w:rFonts w:cs="Times New Roman"/>
      </w:rPr>
    </w:lvl>
    <w:lvl w:ilvl="6" w:tplc="0409000F">
      <w:start w:val="1"/>
      <w:numFmt w:val="decimal"/>
      <w:lvlText w:val="%7."/>
      <w:lvlJc w:val="left"/>
      <w:pPr>
        <w:tabs>
          <w:tab w:pos="2940" w:val="num"/>
        </w:tabs>
        <w:ind w:hanging="420" w:left="2940"/>
      </w:pPr>
      <w:rPr>
        <w:rFonts w:cs="Times New Roman"/>
      </w:rPr>
    </w:lvl>
    <w:lvl w:ilvl="7" w:tplc="04090019">
      <w:start w:val="1"/>
      <w:numFmt w:val="lowerLetter"/>
      <w:lvlText w:val="%8)"/>
      <w:lvlJc w:val="left"/>
      <w:pPr>
        <w:tabs>
          <w:tab w:pos="3360" w:val="num"/>
        </w:tabs>
        <w:ind w:hanging="420" w:left="3360"/>
      </w:pPr>
      <w:rPr>
        <w:rFonts w:cs="Times New Roman"/>
      </w:rPr>
    </w:lvl>
    <w:lvl w:ilvl="8" w:tplc="0409001B">
      <w:start w:val="1"/>
      <w:numFmt w:val="lowerRoman"/>
      <w:lvlText w:val="%9."/>
      <w:lvlJc w:val="right"/>
      <w:pPr>
        <w:tabs>
          <w:tab w:pos="3780" w:val="num"/>
        </w:tabs>
        <w:ind w:hanging="420" w:left="3780"/>
      </w:pPr>
      <w:rPr>
        <w:rFonts w:cs="Times New Roman"/>
      </w:r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bordersDoNotSurroundHeader/>
  <w:bordersDoNotSurroundFooter/>
  <w:proofState w:grammar="clean"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061AC"/>
    <w:rsid w:val="00013E6E"/>
    <w:rsid w:val="00014099"/>
    <w:rsid w:val="000160C5"/>
    <w:rsid w:val="000210E7"/>
    <w:rsid w:val="000212F7"/>
    <w:rsid w:val="00031EBB"/>
    <w:rsid w:val="00033B8D"/>
    <w:rsid w:val="00043852"/>
    <w:rsid w:val="000450DD"/>
    <w:rsid w:val="000463DE"/>
    <w:rsid w:val="000553BD"/>
    <w:rsid w:val="00065E3C"/>
    <w:rsid w:val="0008313A"/>
    <w:rsid w:val="000875EA"/>
    <w:rsid w:val="000907D2"/>
    <w:rsid w:val="00090A26"/>
    <w:rsid w:val="00093704"/>
    <w:rsid w:val="00095F2A"/>
    <w:rsid w:val="000A2B53"/>
    <w:rsid w:val="000A438A"/>
    <w:rsid w:val="000B5257"/>
    <w:rsid w:val="000B624F"/>
    <w:rsid w:val="000B73C6"/>
    <w:rsid w:val="000C190B"/>
    <w:rsid w:val="000C1E17"/>
    <w:rsid w:val="000C493C"/>
    <w:rsid w:val="000C5216"/>
    <w:rsid w:val="000D0E6C"/>
    <w:rsid w:val="000D3ED4"/>
    <w:rsid w:val="000F2DE1"/>
    <w:rsid w:val="000F6CC8"/>
    <w:rsid w:val="00111261"/>
    <w:rsid w:val="00133843"/>
    <w:rsid w:val="00137452"/>
    <w:rsid w:val="00142CAF"/>
    <w:rsid w:val="00144F93"/>
    <w:rsid w:val="00147376"/>
    <w:rsid w:val="00150E7E"/>
    <w:rsid w:val="00154BE1"/>
    <w:rsid w:val="00154C17"/>
    <w:rsid w:val="00160EDC"/>
    <w:rsid w:val="0016180A"/>
    <w:rsid w:val="001675CD"/>
    <w:rsid w:val="00170435"/>
    <w:rsid w:val="00171EF0"/>
    <w:rsid w:val="001761D2"/>
    <w:rsid w:val="001830D7"/>
    <w:rsid w:val="00185A34"/>
    <w:rsid w:val="001878B0"/>
    <w:rsid w:val="0019049E"/>
    <w:rsid w:val="00191817"/>
    <w:rsid w:val="00191BDE"/>
    <w:rsid w:val="00196E6C"/>
    <w:rsid w:val="001A73E8"/>
    <w:rsid w:val="001B0A62"/>
    <w:rsid w:val="001B2F35"/>
    <w:rsid w:val="001B3C1C"/>
    <w:rsid w:val="001B6E7E"/>
    <w:rsid w:val="001C0993"/>
    <w:rsid w:val="001C79F2"/>
    <w:rsid w:val="001C7E00"/>
    <w:rsid w:val="001D0DB0"/>
    <w:rsid w:val="001D5B8F"/>
    <w:rsid w:val="001D63BB"/>
    <w:rsid w:val="001D6A4B"/>
    <w:rsid w:val="001D74DB"/>
    <w:rsid w:val="001E4630"/>
    <w:rsid w:val="001F0964"/>
    <w:rsid w:val="001F0EB2"/>
    <w:rsid w:val="001F30DA"/>
    <w:rsid w:val="001F5DC5"/>
    <w:rsid w:val="001F5F5D"/>
    <w:rsid w:val="00200FAB"/>
    <w:rsid w:val="00213821"/>
    <w:rsid w:val="00217B92"/>
    <w:rsid w:val="002279D3"/>
    <w:rsid w:val="00232B03"/>
    <w:rsid w:val="00240248"/>
    <w:rsid w:val="0024363B"/>
    <w:rsid w:val="00261111"/>
    <w:rsid w:val="00264E55"/>
    <w:rsid w:val="002661ED"/>
    <w:rsid w:val="00266337"/>
    <w:rsid w:val="00275745"/>
    <w:rsid w:val="0027688F"/>
    <w:rsid w:val="00276E44"/>
    <w:rsid w:val="00277FAE"/>
    <w:rsid w:val="00280C9F"/>
    <w:rsid w:val="00286BEF"/>
    <w:rsid w:val="00286FA2"/>
    <w:rsid w:val="002918E3"/>
    <w:rsid w:val="002973A9"/>
    <w:rsid w:val="002B1D1A"/>
    <w:rsid w:val="002C28F2"/>
    <w:rsid w:val="002C5960"/>
    <w:rsid w:val="002D6FB6"/>
    <w:rsid w:val="002E2255"/>
    <w:rsid w:val="002E3B09"/>
    <w:rsid w:val="002E4594"/>
    <w:rsid w:val="002E52B3"/>
    <w:rsid w:val="00303679"/>
    <w:rsid w:val="00304A12"/>
    <w:rsid w:val="00305636"/>
    <w:rsid w:val="00311662"/>
    <w:rsid w:val="00312A9F"/>
    <w:rsid w:val="00312F1C"/>
    <w:rsid w:val="00312F30"/>
    <w:rsid w:val="00315D5D"/>
    <w:rsid w:val="00316484"/>
    <w:rsid w:val="00316E01"/>
    <w:rsid w:val="00317067"/>
    <w:rsid w:val="00320300"/>
    <w:rsid w:val="00324508"/>
    <w:rsid w:val="003259C8"/>
    <w:rsid w:val="0032741D"/>
    <w:rsid w:val="003307FE"/>
    <w:rsid w:val="003328D9"/>
    <w:rsid w:val="003350A8"/>
    <w:rsid w:val="003376B7"/>
    <w:rsid w:val="00342369"/>
    <w:rsid w:val="003470E2"/>
    <w:rsid w:val="00352719"/>
    <w:rsid w:val="00354432"/>
    <w:rsid w:val="00355364"/>
    <w:rsid w:val="00364A60"/>
    <w:rsid w:val="00364CCB"/>
    <w:rsid w:val="0039085F"/>
    <w:rsid w:val="00392044"/>
    <w:rsid w:val="00394069"/>
    <w:rsid w:val="003A6061"/>
    <w:rsid w:val="003B5535"/>
    <w:rsid w:val="003B6FBC"/>
    <w:rsid w:val="003D7406"/>
    <w:rsid w:val="003D7FAF"/>
    <w:rsid w:val="003E62FB"/>
    <w:rsid w:val="003F39DF"/>
    <w:rsid w:val="003F63BE"/>
    <w:rsid w:val="00403A06"/>
    <w:rsid w:val="004061AC"/>
    <w:rsid w:val="00407DBB"/>
    <w:rsid w:val="004149AC"/>
    <w:rsid w:val="00415AEF"/>
    <w:rsid w:val="0042009D"/>
    <w:rsid w:val="00427F58"/>
    <w:rsid w:val="0043199A"/>
    <w:rsid w:val="00433805"/>
    <w:rsid w:val="0046668C"/>
    <w:rsid w:val="00466850"/>
    <w:rsid w:val="00467048"/>
    <w:rsid w:val="00471408"/>
    <w:rsid w:val="004858E0"/>
    <w:rsid w:val="004934E9"/>
    <w:rsid w:val="004943C2"/>
    <w:rsid w:val="004A11A7"/>
    <w:rsid w:val="004A4D5B"/>
    <w:rsid w:val="004B5343"/>
    <w:rsid w:val="004B7A92"/>
    <w:rsid w:val="004C0259"/>
    <w:rsid w:val="004C702F"/>
    <w:rsid w:val="004D28A3"/>
    <w:rsid w:val="004D495A"/>
    <w:rsid w:val="004D75CD"/>
    <w:rsid w:val="004E5975"/>
    <w:rsid w:val="004E790A"/>
    <w:rsid w:val="004F04C1"/>
    <w:rsid w:val="004F50FD"/>
    <w:rsid w:val="004F6891"/>
    <w:rsid w:val="00500A03"/>
    <w:rsid w:val="00501495"/>
    <w:rsid w:val="00507F99"/>
    <w:rsid w:val="00512200"/>
    <w:rsid w:val="005143CD"/>
    <w:rsid w:val="005144F2"/>
    <w:rsid w:val="005242A5"/>
    <w:rsid w:val="005249DD"/>
    <w:rsid w:val="00531BA5"/>
    <w:rsid w:val="00531F10"/>
    <w:rsid w:val="00532E86"/>
    <w:rsid w:val="00540B13"/>
    <w:rsid w:val="00542434"/>
    <w:rsid w:val="00542470"/>
    <w:rsid w:val="00542546"/>
    <w:rsid w:val="005425BA"/>
    <w:rsid w:val="005454FB"/>
    <w:rsid w:val="005602F3"/>
    <w:rsid w:val="005659E4"/>
    <w:rsid w:val="005761EE"/>
    <w:rsid w:val="00582D99"/>
    <w:rsid w:val="0058551C"/>
    <w:rsid w:val="00590656"/>
    <w:rsid w:val="0059076B"/>
    <w:rsid w:val="005973CB"/>
    <w:rsid w:val="00597E49"/>
    <w:rsid w:val="005A0F1F"/>
    <w:rsid w:val="005A2B83"/>
    <w:rsid w:val="005A478E"/>
    <w:rsid w:val="005A6675"/>
    <w:rsid w:val="005B2E9C"/>
    <w:rsid w:val="005B4F93"/>
    <w:rsid w:val="005B73D2"/>
    <w:rsid w:val="005C5E5B"/>
    <w:rsid w:val="005D2B36"/>
    <w:rsid w:val="005E1093"/>
    <w:rsid w:val="005E475E"/>
    <w:rsid w:val="005E78C0"/>
    <w:rsid w:val="005F3996"/>
    <w:rsid w:val="005F6AF6"/>
    <w:rsid w:val="005F7730"/>
    <w:rsid w:val="005F7917"/>
    <w:rsid w:val="005F7E00"/>
    <w:rsid w:val="00604C26"/>
    <w:rsid w:val="006066D2"/>
    <w:rsid w:val="0061286A"/>
    <w:rsid w:val="00613D7A"/>
    <w:rsid w:val="00614CC4"/>
    <w:rsid w:val="0062025E"/>
    <w:rsid w:val="00626998"/>
    <w:rsid w:val="006269FB"/>
    <w:rsid w:val="00631ED8"/>
    <w:rsid w:val="00635B05"/>
    <w:rsid w:val="00636DB7"/>
    <w:rsid w:val="0063783A"/>
    <w:rsid w:val="006423B9"/>
    <w:rsid w:val="00654B0D"/>
    <w:rsid w:val="00655CD8"/>
    <w:rsid w:val="006571DC"/>
    <w:rsid w:val="00660D4B"/>
    <w:rsid w:val="00664ECC"/>
    <w:rsid w:val="00670989"/>
    <w:rsid w:val="006757DC"/>
    <w:rsid w:val="00676095"/>
    <w:rsid w:val="006926A7"/>
    <w:rsid w:val="00693843"/>
    <w:rsid w:val="0069426C"/>
    <w:rsid w:val="00694DFB"/>
    <w:rsid w:val="006A1C62"/>
    <w:rsid w:val="006A48FD"/>
    <w:rsid w:val="006A67F8"/>
    <w:rsid w:val="006A7AF1"/>
    <w:rsid w:val="006B11BB"/>
    <w:rsid w:val="006B4C11"/>
    <w:rsid w:val="006C12B8"/>
    <w:rsid w:val="006C37FC"/>
    <w:rsid w:val="006C56AA"/>
    <w:rsid w:val="006C7EA3"/>
    <w:rsid w:val="006D07F3"/>
    <w:rsid w:val="006D39E9"/>
    <w:rsid w:val="006D3BE3"/>
    <w:rsid w:val="006D7004"/>
    <w:rsid w:val="006D789D"/>
    <w:rsid w:val="006D7FF8"/>
    <w:rsid w:val="006E042A"/>
    <w:rsid w:val="006E322B"/>
    <w:rsid w:val="006F49EE"/>
    <w:rsid w:val="006F5E68"/>
    <w:rsid w:val="00706D60"/>
    <w:rsid w:val="007075E3"/>
    <w:rsid w:val="00707F66"/>
    <w:rsid w:val="007125DB"/>
    <w:rsid w:val="00720D28"/>
    <w:rsid w:val="00722333"/>
    <w:rsid w:val="00722509"/>
    <w:rsid w:val="00727FCD"/>
    <w:rsid w:val="00733DDD"/>
    <w:rsid w:val="00744628"/>
    <w:rsid w:val="0074694E"/>
    <w:rsid w:val="00750CDF"/>
    <w:rsid w:val="00750D48"/>
    <w:rsid w:val="00752BA5"/>
    <w:rsid w:val="00755D86"/>
    <w:rsid w:val="00764C38"/>
    <w:rsid w:val="00767C98"/>
    <w:rsid w:val="00770971"/>
    <w:rsid w:val="00780186"/>
    <w:rsid w:val="0078089C"/>
    <w:rsid w:val="00787D16"/>
    <w:rsid w:val="00796CA8"/>
    <w:rsid w:val="00797305"/>
    <w:rsid w:val="007B035B"/>
    <w:rsid w:val="007B4C04"/>
    <w:rsid w:val="007B5AFB"/>
    <w:rsid w:val="007C1B9B"/>
    <w:rsid w:val="007C54B1"/>
    <w:rsid w:val="007C5862"/>
    <w:rsid w:val="007F31E6"/>
    <w:rsid w:val="008014F9"/>
    <w:rsid w:val="0080358B"/>
    <w:rsid w:val="008059BD"/>
    <w:rsid w:val="00812D46"/>
    <w:rsid w:val="00815999"/>
    <w:rsid w:val="00815A38"/>
    <w:rsid w:val="0082103F"/>
    <w:rsid w:val="008279FE"/>
    <w:rsid w:val="00831259"/>
    <w:rsid w:val="0083208A"/>
    <w:rsid w:val="0083218A"/>
    <w:rsid w:val="00832A00"/>
    <w:rsid w:val="00837845"/>
    <w:rsid w:val="008442C4"/>
    <w:rsid w:val="00846739"/>
    <w:rsid w:val="00853140"/>
    <w:rsid w:val="00854537"/>
    <w:rsid w:val="008606B6"/>
    <w:rsid w:val="008635E6"/>
    <w:rsid w:val="00866CF2"/>
    <w:rsid w:val="008700EC"/>
    <w:rsid w:val="00876D65"/>
    <w:rsid w:val="00891261"/>
    <w:rsid w:val="00895A8A"/>
    <w:rsid w:val="008A09E5"/>
    <w:rsid w:val="008A21B2"/>
    <w:rsid w:val="008B2FDD"/>
    <w:rsid w:val="008C2A4F"/>
    <w:rsid w:val="008C75E7"/>
    <w:rsid w:val="008C7CA8"/>
    <w:rsid w:val="008D09EC"/>
    <w:rsid w:val="008D799F"/>
    <w:rsid w:val="008E07EB"/>
    <w:rsid w:val="008E2DCB"/>
    <w:rsid w:val="008E326D"/>
    <w:rsid w:val="008F5A8D"/>
    <w:rsid w:val="008F5F67"/>
    <w:rsid w:val="008F60F2"/>
    <w:rsid w:val="0090217D"/>
    <w:rsid w:val="00904749"/>
    <w:rsid w:val="00905C5E"/>
    <w:rsid w:val="009078DC"/>
    <w:rsid w:val="00907B61"/>
    <w:rsid w:val="00910586"/>
    <w:rsid w:val="009161AF"/>
    <w:rsid w:val="00921AC7"/>
    <w:rsid w:val="00921BFA"/>
    <w:rsid w:val="00922880"/>
    <w:rsid w:val="00924582"/>
    <w:rsid w:val="00931291"/>
    <w:rsid w:val="00932DC0"/>
    <w:rsid w:val="0093367D"/>
    <w:rsid w:val="00933B24"/>
    <w:rsid w:val="009431FA"/>
    <w:rsid w:val="00943BB5"/>
    <w:rsid w:val="00945AF6"/>
    <w:rsid w:val="009510DE"/>
    <w:rsid w:val="00951C43"/>
    <w:rsid w:val="0095204B"/>
    <w:rsid w:val="0095280A"/>
    <w:rsid w:val="00954A4B"/>
    <w:rsid w:val="009550BE"/>
    <w:rsid w:val="00955531"/>
    <w:rsid w:val="00955BE8"/>
    <w:rsid w:val="00957594"/>
    <w:rsid w:val="00963F40"/>
    <w:rsid w:val="00965CFB"/>
    <w:rsid w:val="0098122D"/>
    <w:rsid w:val="00986596"/>
    <w:rsid w:val="00990685"/>
    <w:rsid w:val="00991411"/>
    <w:rsid w:val="00992238"/>
    <w:rsid w:val="009A0ABE"/>
    <w:rsid w:val="009B2D4B"/>
    <w:rsid w:val="009B3243"/>
    <w:rsid w:val="009C4E99"/>
    <w:rsid w:val="009C5186"/>
    <w:rsid w:val="009C60F7"/>
    <w:rsid w:val="009D0952"/>
    <w:rsid w:val="009D54EA"/>
    <w:rsid w:val="009E285B"/>
    <w:rsid w:val="009E31DA"/>
    <w:rsid w:val="009E402C"/>
    <w:rsid w:val="009E7C6A"/>
    <w:rsid w:val="009F7ED4"/>
    <w:rsid w:val="00A03AAC"/>
    <w:rsid w:val="00A047D1"/>
    <w:rsid w:val="00A22AD0"/>
    <w:rsid w:val="00A22DA8"/>
    <w:rsid w:val="00A234BE"/>
    <w:rsid w:val="00A31671"/>
    <w:rsid w:val="00A45320"/>
    <w:rsid w:val="00A52C6D"/>
    <w:rsid w:val="00A5612C"/>
    <w:rsid w:val="00A5689C"/>
    <w:rsid w:val="00A57AE4"/>
    <w:rsid w:val="00A63F19"/>
    <w:rsid w:val="00A66F3F"/>
    <w:rsid w:val="00A66F42"/>
    <w:rsid w:val="00A727C1"/>
    <w:rsid w:val="00A746EB"/>
    <w:rsid w:val="00A76625"/>
    <w:rsid w:val="00A82CBA"/>
    <w:rsid w:val="00A83500"/>
    <w:rsid w:val="00A90049"/>
    <w:rsid w:val="00A917BF"/>
    <w:rsid w:val="00A96A94"/>
    <w:rsid w:val="00AA257D"/>
    <w:rsid w:val="00AA3A38"/>
    <w:rsid w:val="00AA4F94"/>
    <w:rsid w:val="00AB047E"/>
    <w:rsid w:val="00AC11B0"/>
    <w:rsid w:val="00AC592E"/>
    <w:rsid w:val="00AC6C10"/>
    <w:rsid w:val="00AC7BC6"/>
    <w:rsid w:val="00AD24AA"/>
    <w:rsid w:val="00AE7962"/>
    <w:rsid w:val="00AF5BA0"/>
    <w:rsid w:val="00B014D7"/>
    <w:rsid w:val="00B05049"/>
    <w:rsid w:val="00B12B7D"/>
    <w:rsid w:val="00B16985"/>
    <w:rsid w:val="00B221B8"/>
    <w:rsid w:val="00B227EA"/>
    <w:rsid w:val="00B27206"/>
    <w:rsid w:val="00B32AA7"/>
    <w:rsid w:val="00B3392B"/>
    <w:rsid w:val="00B371D4"/>
    <w:rsid w:val="00B4012D"/>
    <w:rsid w:val="00B40F64"/>
    <w:rsid w:val="00B42A76"/>
    <w:rsid w:val="00B53067"/>
    <w:rsid w:val="00B66B7D"/>
    <w:rsid w:val="00B7378D"/>
    <w:rsid w:val="00B82413"/>
    <w:rsid w:val="00B85352"/>
    <w:rsid w:val="00B87214"/>
    <w:rsid w:val="00B912D0"/>
    <w:rsid w:val="00B92FF5"/>
    <w:rsid w:val="00B959E6"/>
    <w:rsid w:val="00BA0A6A"/>
    <w:rsid w:val="00BA40BB"/>
    <w:rsid w:val="00BA4338"/>
    <w:rsid w:val="00BA604D"/>
    <w:rsid w:val="00BB6813"/>
    <w:rsid w:val="00BC4585"/>
    <w:rsid w:val="00BC50F1"/>
    <w:rsid w:val="00BC73E5"/>
    <w:rsid w:val="00BD7473"/>
    <w:rsid w:val="00BD7703"/>
    <w:rsid w:val="00BE12B4"/>
    <w:rsid w:val="00BE3D2D"/>
    <w:rsid w:val="00BE420D"/>
    <w:rsid w:val="00BE5A26"/>
    <w:rsid w:val="00C11A5E"/>
    <w:rsid w:val="00C21520"/>
    <w:rsid w:val="00C222B2"/>
    <w:rsid w:val="00C225FB"/>
    <w:rsid w:val="00C41870"/>
    <w:rsid w:val="00C46B88"/>
    <w:rsid w:val="00C5218C"/>
    <w:rsid w:val="00C52191"/>
    <w:rsid w:val="00C5642F"/>
    <w:rsid w:val="00C57A3E"/>
    <w:rsid w:val="00C63554"/>
    <w:rsid w:val="00C71497"/>
    <w:rsid w:val="00C72F5B"/>
    <w:rsid w:val="00C73619"/>
    <w:rsid w:val="00C73BCD"/>
    <w:rsid w:val="00C77AEF"/>
    <w:rsid w:val="00C77E37"/>
    <w:rsid w:val="00C86EB7"/>
    <w:rsid w:val="00C87129"/>
    <w:rsid w:val="00C91E1B"/>
    <w:rsid w:val="00CA2BD3"/>
    <w:rsid w:val="00CA4677"/>
    <w:rsid w:val="00CA5FD5"/>
    <w:rsid w:val="00CA7703"/>
    <w:rsid w:val="00CB0F92"/>
    <w:rsid w:val="00CD4E6D"/>
    <w:rsid w:val="00CD5707"/>
    <w:rsid w:val="00CD7702"/>
    <w:rsid w:val="00CD7FC9"/>
    <w:rsid w:val="00CE0716"/>
    <w:rsid w:val="00CE075A"/>
    <w:rsid w:val="00CE29EA"/>
    <w:rsid w:val="00CF47EB"/>
    <w:rsid w:val="00CF6572"/>
    <w:rsid w:val="00CF7885"/>
    <w:rsid w:val="00D02347"/>
    <w:rsid w:val="00D04755"/>
    <w:rsid w:val="00D13737"/>
    <w:rsid w:val="00D15D27"/>
    <w:rsid w:val="00D1638E"/>
    <w:rsid w:val="00D21D10"/>
    <w:rsid w:val="00D21FFF"/>
    <w:rsid w:val="00D272A5"/>
    <w:rsid w:val="00D43AFB"/>
    <w:rsid w:val="00D5071D"/>
    <w:rsid w:val="00D564C7"/>
    <w:rsid w:val="00D57B7C"/>
    <w:rsid w:val="00D62BEE"/>
    <w:rsid w:val="00D65B44"/>
    <w:rsid w:val="00D8099B"/>
    <w:rsid w:val="00D866A8"/>
    <w:rsid w:val="00D87469"/>
    <w:rsid w:val="00D90B03"/>
    <w:rsid w:val="00D92F47"/>
    <w:rsid w:val="00D94B8D"/>
    <w:rsid w:val="00D96C8D"/>
    <w:rsid w:val="00DA2876"/>
    <w:rsid w:val="00DA718D"/>
    <w:rsid w:val="00DB0A8D"/>
    <w:rsid w:val="00DB348F"/>
    <w:rsid w:val="00DC0B51"/>
    <w:rsid w:val="00DD03DC"/>
    <w:rsid w:val="00DD5919"/>
    <w:rsid w:val="00DE27F7"/>
    <w:rsid w:val="00DE38CC"/>
    <w:rsid w:val="00E06069"/>
    <w:rsid w:val="00E115C0"/>
    <w:rsid w:val="00E44E18"/>
    <w:rsid w:val="00E54301"/>
    <w:rsid w:val="00E5483F"/>
    <w:rsid w:val="00E55ABD"/>
    <w:rsid w:val="00E60817"/>
    <w:rsid w:val="00E6412C"/>
    <w:rsid w:val="00E645C0"/>
    <w:rsid w:val="00E8246B"/>
    <w:rsid w:val="00E90C35"/>
    <w:rsid w:val="00EA70F1"/>
    <w:rsid w:val="00EB2516"/>
    <w:rsid w:val="00EB2C07"/>
    <w:rsid w:val="00EB374A"/>
    <w:rsid w:val="00EB3CE7"/>
    <w:rsid w:val="00EB572F"/>
    <w:rsid w:val="00EC1B4D"/>
    <w:rsid w:val="00ED040B"/>
    <w:rsid w:val="00ED62BE"/>
    <w:rsid w:val="00EF17AB"/>
    <w:rsid w:val="00EF56B5"/>
    <w:rsid w:val="00EF6FA5"/>
    <w:rsid w:val="00F078B5"/>
    <w:rsid w:val="00F11104"/>
    <w:rsid w:val="00F126C4"/>
    <w:rsid w:val="00F13122"/>
    <w:rsid w:val="00F16E3F"/>
    <w:rsid w:val="00F171C5"/>
    <w:rsid w:val="00F22499"/>
    <w:rsid w:val="00F22B0F"/>
    <w:rsid w:val="00F234A0"/>
    <w:rsid w:val="00F24B42"/>
    <w:rsid w:val="00F24F73"/>
    <w:rsid w:val="00F27299"/>
    <w:rsid w:val="00F31F6E"/>
    <w:rsid w:val="00F3389C"/>
    <w:rsid w:val="00F375F2"/>
    <w:rsid w:val="00F40868"/>
    <w:rsid w:val="00F54EAE"/>
    <w:rsid w:val="00F66A51"/>
    <w:rsid w:val="00F71057"/>
    <w:rsid w:val="00F71A4B"/>
    <w:rsid w:val="00F728CF"/>
    <w:rsid w:val="00F743D4"/>
    <w:rsid w:val="00F83B17"/>
    <w:rsid w:val="00F87EDA"/>
    <w:rsid w:val="00F932F8"/>
    <w:rsid w:val="00F970EE"/>
    <w:rsid w:val="00FB0BC9"/>
    <w:rsid w:val="00FB0F9B"/>
    <w:rsid w:val="00FB41D3"/>
    <w:rsid w:val="00FB4F70"/>
    <w:rsid w:val="00FB5EFC"/>
    <w:rsid w:val="00FB77BB"/>
    <w:rsid w:val="00FC15AA"/>
    <w:rsid w:val="00FD1375"/>
    <w:rsid w:val="00FD359E"/>
    <w:rsid w:val="00FD5F37"/>
    <w:rsid w:val="00FE0A17"/>
    <w:rsid w:val="00FE179F"/>
    <w:rsid w:val="00FF213A"/>
    <w:rsid w:val="00FF3C2E"/>
    <w:rsid w:val="00FF6E8F"/>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cs="Times New Roman" w:eastAsia="宋体" w:hAnsi="Calibri"/>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semiHidden="0" w:uiPriority="0" w:unhideWhenUsed="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footnote text" w:semiHidden="0" w:uiPriority="0" w:unhideWhenUsed="0"/>
    <w:lsdException w:locked="1" w:name="caption" w:qFormat="1" w:uiPriority="0"/>
    <w:lsdException w:locked="1" w:name="footnote reference" w:semiHidden="0" w:uiPriority="0" w:unhideWhenUsed="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Date" w:semiHidden="0" w:uiPriority="0" w:unhideWhenUsed="0"/>
    <w:lsdException w:locked="1" w:name="Strong" w:qFormat="1" w:semiHidden="0" w:uiPriority="22" w:unhideWhenUsed="0"/>
    <w:lsdException w:locked="1" w:name="Emphasis" w:qFormat="1" w:semiHidden="0" w:uiPriority="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4061AC"/>
    <w:pPr>
      <w:widowControl w:val="0"/>
      <w:jc w:val="both"/>
    </w:pPr>
    <w:rPr>
      <w:rFonts w:ascii="Times New Roman" w:hAnsi="Times New Roman"/>
      <w:kern w:val="2"/>
      <w:sz w:val="21"/>
      <w:szCs w:val="21"/>
    </w:rPr>
  </w:style>
  <w:style w:styleId="1" w:type="paragraph">
    <w:name w:val="heading 1"/>
    <w:basedOn w:val="a"/>
    <w:next w:val="a"/>
    <w:link w:val="1Char"/>
    <w:uiPriority w:val="99"/>
    <w:qFormat/>
    <w:rsid w:val="004061AC"/>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4061AC"/>
    <w:pPr>
      <w:keepNext/>
      <w:keepLines/>
      <w:spacing w:after="260" w:before="260" w:line="360" w:lineRule="auto"/>
      <w:outlineLvl w:val="1"/>
    </w:pPr>
    <w:rPr>
      <w:rFonts w:ascii="Arial" w:hAnsi="Arial"/>
      <w:b/>
      <w:bCs/>
      <w:kern w:val="0"/>
      <w:sz w:val="24"/>
      <w:szCs w:val="24"/>
    </w:rPr>
  </w:style>
  <w:style w:styleId="3" w:type="paragraph">
    <w:name w:val="heading 3"/>
    <w:basedOn w:val="a"/>
    <w:next w:val="a"/>
    <w:link w:val="3Char"/>
    <w:uiPriority w:val="99"/>
    <w:qFormat/>
    <w:rsid w:val="004061AC"/>
    <w:pPr>
      <w:keepNext/>
      <w:keepLines/>
      <w:spacing w:after="260" w:before="260" w:line="416" w:lineRule="auto"/>
      <w:outlineLvl w:val="2"/>
    </w:pPr>
    <w:rPr>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4061AC"/>
    <w:rPr>
      <w:rFonts w:ascii="Times New Roman" w:cs="Times New Roman" w:eastAsia="宋体" w:hAnsi="Times New Roman"/>
      <w:b/>
      <w:bCs/>
      <w:kern w:val="44"/>
      <w:sz w:val="44"/>
      <w:szCs w:val="44"/>
    </w:rPr>
  </w:style>
  <w:style w:customStyle="1" w:styleId="2Char" w:type="character">
    <w:name w:val="标题 2 Char"/>
    <w:link w:val="2"/>
    <w:uiPriority w:val="99"/>
    <w:locked/>
    <w:rsid w:val="004061AC"/>
    <w:rPr>
      <w:rFonts w:ascii="Arial" w:cs="Arial" w:eastAsia="宋体" w:hAnsi="Arial"/>
      <w:b/>
      <w:bCs/>
      <w:sz w:val="24"/>
      <w:szCs w:val="24"/>
    </w:rPr>
  </w:style>
  <w:style w:customStyle="1" w:styleId="3Char" w:type="character">
    <w:name w:val="标题 3 Char"/>
    <w:link w:val="3"/>
    <w:uiPriority w:val="99"/>
    <w:locked/>
    <w:rsid w:val="004061AC"/>
    <w:rPr>
      <w:rFonts w:ascii="Times New Roman" w:cs="Times New Roman" w:eastAsia="宋体" w:hAnsi="Times New Roman"/>
      <w:b/>
      <w:bCs/>
      <w:sz w:val="32"/>
      <w:szCs w:val="32"/>
    </w:rPr>
  </w:style>
  <w:style w:styleId="a0" w:type="paragraph">
    <w:name w:val="Normal Indent"/>
    <w:basedOn w:val="a"/>
    <w:uiPriority w:val="99"/>
    <w:rsid w:val="004061AC"/>
    <w:pPr>
      <w:ind w:firstLine="420" w:firstLineChars="200"/>
    </w:pPr>
  </w:style>
  <w:style w:styleId="a4" w:type="paragraph">
    <w:name w:val="Body Text Indent"/>
    <w:basedOn w:val="a"/>
    <w:link w:val="Char"/>
    <w:uiPriority w:val="99"/>
    <w:rsid w:val="004061AC"/>
    <w:pPr>
      <w:widowControl/>
      <w:spacing w:after="100" w:afterAutospacing="1" w:before="100" w:beforeAutospacing="1"/>
      <w:jc w:val="left"/>
    </w:pPr>
    <w:rPr>
      <w:rFonts w:ascii="Arial Unicode MS" w:eastAsia="Arial Unicode MS" w:hAnsi="Arial Unicode MS"/>
      <w:kern w:val="0"/>
      <w:sz w:val="24"/>
      <w:szCs w:val="24"/>
    </w:rPr>
  </w:style>
  <w:style w:customStyle="1" w:styleId="Char" w:type="character">
    <w:name w:val="正文文本缩进 Char"/>
    <w:link w:val="a4"/>
    <w:uiPriority w:val="99"/>
    <w:locked/>
    <w:rsid w:val="004061AC"/>
    <w:rPr>
      <w:rFonts w:ascii="Arial Unicode MS" w:cs="Arial Unicode MS" w:eastAsia="Arial Unicode MS" w:hAnsi="Arial Unicode MS"/>
      <w:kern w:val="0"/>
      <w:sz w:val="24"/>
      <w:szCs w:val="24"/>
    </w:rPr>
  </w:style>
  <w:style w:styleId="a5" w:type="paragraph">
    <w:name w:val="Plain Text"/>
    <w:basedOn w:val="a"/>
    <w:link w:val="Char0"/>
    <w:uiPriority w:val="99"/>
    <w:rsid w:val="004061AC"/>
    <w:rPr>
      <w:rFonts w:ascii="宋体" w:hAnsi="Courier New"/>
      <w:kern w:val="0"/>
    </w:rPr>
  </w:style>
  <w:style w:customStyle="1" w:styleId="Char0" w:type="character">
    <w:name w:val="纯文本 Char"/>
    <w:link w:val="a5"/>
    <w:uiPriority w:val="99"/>
    <w:locked/>
    <w:rsid w:val="004061AC"/>
    <w:rPr>
      <w:rFonts w:ascii="宋体" w:cs="宋体" w:eastAsia="宋体" w:hAnsi="Courier New"/>
      <w:sz w:val="21"/>
      <w:szCs w:val="21"/>
    </w:rPr>
  </w:style>
  <w:style w:styleId="20" w:type="paragraph">
    <w:name w:val="Body Text Indent 2"/>
    <w:basedOn w:val="a"/>
    <w:link w:val="2Char0"/>
    <w:uiPriority w:val="99"/>
    <w:rsid w:val="004061AC"/>
    <w:pPr>
      <w:spacing w:line="560" w:lineRule="exact"/>
      <w:ind w:firstLine="480" w:firstLineChars="200"/>
    </w:pPr>
    <w:rPr>
      <w:rFonts w:ascii="宋体" w:hAnsi="宋体"/>
      <w:color w:val="FF0000"/>
      <w:kern w:val="0"/>
      <w:sz w:val="24"/>
      <w:szCs w:val="24"/>
    </w:rPr>
  </w:style>
  <w:style w:customStyle="1" w:styleId="2Char0" w:type="character">
    <w:name w:val="正文文本缩进 2 Char"/>
    <w:link w:val="20"/>
    <w:uiPriority w:val="99"/>
    <w:locked/>
    <w:rsid w:val="004061AC"/>
    <w:rPr>
      <w:rFonts w:ascii="宋体" w:cs="宋体" w:eastAsia="宋体" w:hAnsi="宋体"/>
      <w:color w:val="FF0000"/>
      <w:sz w:val="24"/>
      <w:szCs w:val="24"/>
    </w:rPr>
  </w:style>
  <w:style w:styleId="a6" w:type="paragraph">
    <w:name w:val="footer"/>
    <w:basedOn w:val="a"/>
    <w:link w:val="Char1"/>
    <w:uiPriority w:val="99"/>
    <w:rsid w:val="004061AC"/>
    <w:pPr>
      <w:tabs>
        <w:tab w:pos="4153" w:val="center"/>
        <w:tab w:pos="8306" w:val="right"/>
      </w:tabs>
      <w:snapToGrid w:val="0"/>
      <w:jc w:val="left"/>
    </w:pPr>
    <w:rPr>
      <w:kern w:val="0"/>
      <w:sz w:val="18"/>
      <w:szCs w:val="18"/>
    </w:rPr>
  </w:style>
  <w:style w:customStyle="1" w:styleId="Char1" w:type="character">
    <w:name w:val="页脚 Char"/>
    <w:link w:val="a6"/>
    <w:uiPriority w:val="99"/>
    <w:locked/>
    <w:rsid w:val="004061AC"/>
    <w:rPr>
      <w:rFonts w:ascii="Times New Roman" w:cs="Times New Roman" w:eastAsia="宋体" w:hAnsi="Times New Roman"/>
      <w:sz w:val="18"/>
      <w:szCs w:val="18"/>
    </w:rPr>
  </w:style>
  <w:style w:styleId="a7" w:type="character">
    <w:name w:val="page number"/>
    <w:uiPriority w:val="99"/>
    <w:rsid w:val="004061AC"/>
    <w:rPr>
      <w:rFonts w:cs="Times New Roman"/>
    </w:rPr>
  </w:style>
  <w:style w:styleId="a8" w:type="character">
    <w:name w:val="Hyperlink"/>
    <w:uiPriority w:val="99"/>
    <w:rsid w:val="004061AC"/>
    <w:rPr>
      <w:rFonts w:cs="Times New Roman"/>
      <w:color w:val="0000FF"/>
      <w:u w:val="single"/>
    </w:rPr>
  </w:style>
  <w:style w:styleId="30" w:type="paragraph">
    <w:name w:val="Body Text Indent 3"/>
    <w:basedOn w:val="a"/>
    <w:link w:val="3Char0"/>
    <w:uiPriority w:val="99"/>
    <w:rsid w:val="004061AC"/>
    <w:pPr>
      <w:spacing w:line="560" w:lineRule="exact"/>
      <w:ind w:firstLine="420" w:firstLineChars="200"/>
    </w:pPr>
    <w:rPr>
      <w:rFonts w:ascii="Arial" w:hAnsi="Arial"/>
      <w:color w:val="FF0000"/>
      <w:kern w:val="0"/>
    </w:rPr>
  </w:style>
  <w:style w:customStyle="1" w:styleId="3Char0" w:type="character">
    <w:name w:val="正文文本缩进 3 Char"/>
    <w:link w:val="30"/>
    <w:uiPriority w:val="99"/>
    <w:locked/>
    <w:rsid w:val="004061AC"/>
    <w:rPr>
      <w:rFonts w:ascii="Arial" w:cs="Arial" w:eastAsia="宋体" w:hAnsi="Arial"/>
      <w:color w:val="FF0000"/>
      <w:sz w:val="21"/>
      <w:szCs w:val="21"/>
    </w:rPr>
  </w:style>
  <w:style w:styleId="a9" w:type="paragraph">
    <w:name w:val="header"/>
    <w:basedOn w:val="a"/>
    <w:link w:val="Char2"/>
    <w:uiPriority w:val="99"/>
    <w:rsid w:val="004061AC"/>
    <w:pPr>
      <w:pBdr>
        <w:bottom w:color="auto" w:space="1" w:sz="6" w:val="single"/>
      </w:pBdr>
      <w:tabs>
        <w:tab w:pos="4153" w:val="center"/>
        <w:tab w:pos="8306" w:val="right"/>
      </w:tabs>
      <w:snapToGrid w:val="0"/>
      <w:jc w:val="center"/>
    </w:pPr>
    <w:rPr>
      <w:kern w:val="0"/>
      <w:sz w:val="18"/>
      <w:szCs w:val="18"/>
    </w:rPr>
  </w:style>
  <w:style w:customStyle="1" w:styleId="Char2" w:type="character">
    <w:name w:val="页眉 Char"/>
    <w:link w:val="a9"/>
    <w:uiPriority w:val="99"/>
    <w:locked/>
    <w:rsid w:val="004061AC"/>
    <w:rPr>
      <w:rFonts w:ascii="Times New Roman" w:cs="Times New Roman" w:eastAsia="宋体" w:hAnsi="Times New Roman"/>
      <w:sz w:val="18"/>
      <w:szCs w:val="18"/>
    </w:rPr>
  </w:style>
  <w:style w:styleId="aa" w:type="character">
    <w:name w:val="FollowedHyperlink"/>
    <w:uiPriority w:val="99"/>
    <w:rsid w:val="004061AC"/>
    <w:rPr>
      <w:rFonts w:cs="Times New Roman"/>
      <w:color w:val="800080"/>
      <w:u w:val="single"/>
    </w:rPr>
  </w:style>
  <w:style w:styleId="ab" w:type="paragraph">
    <w:name w:val="List"/>
    <w:basedOn w:val="ac"/>
    <w:uiPriority w:val="99"/>
    <w:rsid w:val="004061AC"/>
    <w:pPr>
      <w:spacing w:after="220" w:line="220" w:lineRule="atLeast"/>
      <w:ind w:hanging="360" w:left="1440"/>
    </w:pPr>
  </w:style>
  <w:style w:styleId="ac" w:type="paragraph">
    <w:name w:val="Body Text"/>
    <w:basedOn w:val="a"/>
    <w:link w:val="Char3"/>
    <w:uiPriority w:val="99"/>
    <w:rsid w:val="004061AC"/>
    <w:pPr>
      <w:spacing w:after="120"/>
    </w:pPr>
    <w:rPr>
      <w:kern w:val="0"/>
    </w:rPr>
  </w:style>
  <w:style w:customStyle="1" w:styleId="Char3" w:type="character">
    <w:name w:val="正文文本 Char"/>
    <w:link w:val="ac"/>
    <w:uiPriority w:val="99"/>
    <w:locked/>
    <w:rsid w:val="004061AC"/>
    <w:rPr>
      <w:rFonts w:ascii="Times New Roman" w:cs="Times New Roman" w:eastAsia="宋体" w:hAnsi="Times New Roman"/>
      <w:sz w:val="21"/>
      <w:szCs w:val="21"/>
    </w:rPr>
  </w:style>
  <w:style w:styleId="ad" w:type="paragraph">
    <w:name w:val="Date"/>
    <w:basedOn w:val="a"/>
    <w:next w:val="a"/>
    <w:link w:val="Char4"/>
    <w:uiPriority w:val="99"/>
    <w:rsid w:val="004061AC"/>
    <w:rPr>
      <w:kern w:val="0"/>
      <w:sz w:val="24"/>
      <w:szCs w:val="24"/>
    </w:rPr>
  </w:style>
  <w:style w:customStyle="1" w:styleId="Char4" w:type="character">
    <w:name w:val="日期 Char"/>
    <w:link w:val="ad"/>
    <w:uiPriority w:val="99"/>
    <w:locked/>
    <w:rsid w:val="004061AC"/>
    <w:rPr>
      <w:rFonts w:ascii="Times New Roman" w:cs="Times New Roman" w:eastAsia="宋体" w:hAnsi="Times New Roman"/>
      <w:sz w:val="24"/>
      <w:szCs w:val="24"/>
    </w:rPr>
  </w:style>
  <w:style w:customStyle="1" w:styleId="c1" w:type="character">
    <w:name w:val="c1"/>
    <w:uiPriority w:val="99"/>
    <w:rsid w:val="004061AC"/>
    <w:rPr>
      <w:rFonts w:cs="Times New Roman"/>
      <w:color w:val="000000"/>
      <w:sz w:val="18"/>
      <w:szCs w:val="18"/>
    </w:rPr>
  </w:style>
  <w:style w:styleId="10" w:type="paragraph">
    <w:name w:val="index 1"/>
    <w:basedOn w:val="a"/>
    <w:next w:val="a"/>
    <w:autoRedefine/>
    <w:uiPriority w:val="99"/>
    <w:semiHidden/>
    <w:rsid w:val="004061AC"/>
    <w:pPr>
      <w:jc w:val="right"/>
    </w:pPr>
    <w:rPr>
      <w:color w:val="008000"/>
    </w:rPr>
  </w:style>
  <w:style w:customStyle="1" w:styleId="font5" w:type="paragraph">
    <w:name w:val="font5"/>
    <w:basedOn w:val="a"/>
    <w:uiPriority w:val="99"/>
    <w:rsid w:val="004061AC"/>
    <w:pPr>
      <w:widowControl/>
      <w:spacing w:after="100" w:afterAutospacing="1" w:before="100" w:beforeAutospacing="1"/>
      <w:jc w:val="left"/>
    </w:pPr>
    <w:rPr>
      <w:rFonts w:ascii="宋体" w:cs="宋体" w:hAnsi="宋体"/>
      <w:kern w:val="0"/>
      <w:sz w:val="18"/>
      <w:szCs w:val="18"/>
    </w:rPr>
  </w:style>
  <w:style w:customStyle="1" w:styleId="xl24" w:type="paragraph">
    <w:name w:val="xl24"/>
    <w:basedOn w:val="a"/>
    <w:uiPriority w:val="99"/>
    <w:rsid w:val="004061AC"/>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szCs w:val="24"/>
    </w:rPr>
  </w:style>
  <w:style w:customStyle="1" w:styleId="xl26" w:type="paragraph">
    <w:name w:val="xl2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7" w:type="paragraph">
    <w:name w:val="xl2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9" w:type="paragraph">
    <w:name w:val="xl29"/>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0" w:type="paragraph">
    <w:name w:val="xl30"/>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1" w:type="paragraph">
    <w:name w:val="xl31"/>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e" w:type="paragraph">
    <w:name w:val="Balloon Text"/>
    <w:basedOn w:val="a"/>
    <w:link w:val="Char5"/>
    <w:uiPriority w:val="99"/>
    <w:semiHidden/>
    <w:rsid w:val="004061AC"/>
    <w:rPr>
      <w:kern w:val="0"/>
      <w:sz w:val="18"/>
      <w:szCs w:val="18"/>
    </w:rPr>
  </w:style>
  <w:style w:customStyle="1" w:styleId="Char5" w:type="character">
    <w:name w:val="批注框文本 Char"/>
    <w:link w:val="ae"/>
    <w:uiPriority w:val="99"/>
    <w:semiHidden/>
    <w:locked/>
    <w:rsid w:val="004061AC"/>
    <w:rPr>
      <w:rFonts w:ascii="Times New Roman" w:cs="Times New Roman" w:eastAsia="宋体" w:hAnsi="Times New Roman"/>
      <w:sz w:val="18"/>
      <w:szCs w:val="18"/>
    </w:rPr>
  </w:style>
  <w:style w:styleId="af" w:type="character">
    <w:name w:val="annotation reference"/>
    <w:uiPriority w:val="99"/>
    <w:semiHidden/>
    <w:rsid w:val="004061AC"/>
    <w:rPr>
      <w:rFonts w:cs="Times New Roman"/>
      <w:sz w:val="21"/>
      <w:szCs w:val="21"/>
    </w:rPr>
  </w:style>
  <w:style w:styleId="af0" w:type="paragraph">
    <w:name w:val="annotation text"/>
    <w:basedOn w:val="a"/>
    <w:link w:val="Char6"/>
    <w:uiPriority w:val="99"/>
    <w:semiHidden/>
    <w:rsid w:val="004061AC"/>
    <w:pPr>
      <w:jc w:val="left"/>
    </w:pPr>
    <w:rPr>
      <w:kern w:val="0"/>
    </w:rPr>
  </w:style>
  <w:style w:customStyle="1" w:styleId="Char6" w:type="character">
    <w:name w:val="批注文字 Char"/>
    <w:link w:val="af0"/>
    <w:uiPriority w:val="99"/>
    <w:semiHidden/>
    <w:locked/>
    <w:rsid w:val="004061AC"/>
    <w:rPr>
      <w:rFonts w:ascii="Times New Roman" w:cs="Times New Roman" w:eastAsia="宋体" w:hAnsi="Times New Roman"/>
      <w:sz w:val="21"/>
      <w:szCs w:val="21"/>
    </w:rPr>
  </w:style>
  <w:style w:styleId="af1" w:type="paragraph">
    <w:name w:val="annotation subject"/>
    <w:basedOn w:val="af0"/>
    <w:next w:val="af0"/>
    <w:link w:val="Char7"/>
    <w:uiPriority w:val="99"/>
    <w:semiHidden/>
    <w:rsid w:val="004061AC"/>
    <w:rPr>
      <w:b/>
      <w:bCs/>
    </w:rPr>
  </w:style>
  <w:style w:customStyle="1" w:styleId="Char7" w:type="character">
    <w:name w:val="批注主题 Char"/>
    <w:link w:val="af1"/>
    <w:uiPriority w:val="99"/>
    <w:semiHidden/>
    <w:locked/>
    <w:rsid w:val="004061AC"/>
    <w:rPr>
      <w:rFonts w:ascii="Times New Roman" w:cs="Times New Roman" w:eastAsia="宋体" w:hAnsi="Times New Roman"/>
      <w:b/>
      <w:bCs/>
      <w:sz w:val="21"/>
      <w:szCs w:val="21"/>
    </w:rPr>
  </w:style>
  <w:style w:customStyle="1" w:styleId="Char8" w:type="paragraph">
    <w:name w:val="Char"/>
    <w:basedOn w:val="a"/>
    <w:uiPriority w:val="99"/>
    <w:rsid w:val="004061AC"/>
  </w:style>
  <w:style w:styleId="af2" w:type="paragraph">
    <w:name w:val="Document Map"/>
    <w:basedOn w:val="a"/>
    <w:link w:val="Char9"/>
    <w:uiPriority w:val="99"/>
    <w:semiHidden/>
    <w:rsid w:val="004061AC"/>
    <w:pPr>
      <w:shd w:color="auto" w:fill="000080" w:val="clear"/>
    </w:pPr>
    <w:rPr>
      <w:kern w:val="0"/>
    </w:rPr>
  </w:style>
  <w:style w:customStyle="1" w:styleId="Char9" w:type="character">
    <w:name w:val="文档结构图 Char"/>
    <w:link w:val="af2"/>
    <w:uiPriority w:val="99"/>
    <w:semiHidden/>
    <w:locked/>
    <w:rsid w:val="004061AC"/>
    <w:rPr>
      <w:rFonts w:ascii="Times New Roman" w:cs="Times New Roman" w:eastAsia="宋体" w:hAnsi="Times New Roman"/>
      <w:sz w:val="21"/>
      <w:szCs w:val="21"/>
      <w:shd w:color="auto" w:fill="000080" w:val="clear"/>
    </w:rPr>
  </w:style>
  <w:style w:customStyle="1" w:styleId="af3" w:type="paragraph">
    <w:name w:val="正文 + (符号) 宋体"/>
    <w:aliases w:val="小四,紧缩量  0.2 磅"/>
    <w:basedOn w:val="a"/>
    <w:uiPriority w:val="99"/>
    <w:rsid w:val="004061AC"/>
    <w:pPr>
      <w:autoSpaceDE w:val="0"/>
      <w:autoSpaceDN w:val="0"/>
      <w:adjustRightInd w:val="0"/>
      <w:ind w:firstLine="1229" w:firstLineChars="512" w:right="1409" w:rightChars="671"/>
      <w:jc w:val="distribute"/>
    </w:pPr>
    <w:rPr>
      <w:sz w:val="24"/>
      <w:szCs w:val="24"/>
    </w:rPr>
  </w:style>
  <w:style w:styleId="af4" w:type="paragraph">
    <w:name w:val="footnote text"/>
    <w:basedOn w:val="a"/>
    <w:link w:val="Chara"/>
    <w:uiPriority w:val="99"/>
    <w:rsid w:val="004061AC"/>
    <w:pPr>
      <w:snapToGrid w:val="0"/>
      <w:jc w:val="left"/>
    </w:pPr>
    <w:rPr>
      <w:kern w:val="0"/>
      <w:sz w:val="18"/>
      <w:szCs w:val="18"/>
    </w:rPr>
  </w:style>
  <w:style w:customStyle="1" w:styleId="Chara" w:type="character">
    <w:name w:val="脚注文本 Char"/>
    <w:link w:val="af4"/>
    <w:uiPriority w:val="99"/>
    <w:locked/>
    <w:rsid w:val="004061AC"/>
    <w:rPr>
      <w:rFonts w:ascii="Times New Roman" w:cs="Times New Roman" w:eastAsia="宋体" w:hAnsi="Times New Roman"/>
      <w:sz w:val="18"/>
      <w:szCs w:val="18"/>
    </w:rPr>
  </w:style>
  <w:style w:styleId="af5" w:type="character">
    <w:name w:val="footnote reference"/>
    <w:uiPriority w:val="99"/>
    <w:rsid w:val="004061AC"/>
    <w:rPr>
      <w:rFonts w:cs="Times New Roman"/>
      <w:vertAlign w:val="superscript"/>
    </w:rPr>
  </w:style>
  <w:style w:styleId="af6" w:type="paragraph">
    <w:name w:val="Normal (Web)"/>
    <w:basedOn w:val="a"/>
    <w:uiPriority w:val="99"/>
    <w:rsid w:val="004061AC"/>
    <w:pPr>
      <w:widowControl/>
      <w:spacing w:after="100" w:afterAutospacing="1" w:before="100" w:beforeAutospacing="1"/>
      <w:jc w:val="left"/>
    </w:pPr>
    <w:rPr>
      <w:rFonts w:ascii="宋体" w:cs="宋体" w:hAnsi="宋体"/>
      <w:kern w:val="0"/>
      <w:sz w:val="24"/>
      <w:szCs w:val="24"/>
    </w:rPr>
  </w:style>
  <w:style w:styleId="af7" w:type="table">
    <w:name w:val="Table Grid"/>
    <w:basedOn w:val="a2"/>
    <w:qFormat/>
    <w:rsid w:val="004061AC"/>
    <w:pPr>
      <w:widowControl w:val="0"/>
      <w:jc w:val="both"/>
    </w:pPr>
    <w:rPr>
      <w:rFonts w:ascii="Times New Roman" w:hAnsi="Times New Roman"/>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Char10" w:type="paragraph">
    <w:name w:val="Char1"/>
    <w:basedOn w:val="a"/>
    <w:uiPriority w:val="99"/>
    <w:rsid w:val="004061AC"/>
  </w:style>
  <w:style w:customStyle="1" w:styleId="CharCharCharCharCharChar1CharCharChar" w:type="paragraph">
    <w:name w:val="Char Char Char Char Char Char1 Char Char Char"/>
    <w:basedOn w:val="a"/>
    <w:uiPriority w:val="99"/>
    <w:rsid w:val="004061AC"/>
    <w:pPr>
      <w:autoSpaceDE w:val="0"/>
      <w:autoSpaceDN w:val="0"/>
      <w:adjustRightInd w:val="0"/>
      <w:jc w:val="left"/>
      <w:textAlignment w:val="baseline"/>
    </w:pPr>
    <w:rPr>
      <w:rFonts w:ascii="宋体" w:cs="宋体"/>
      <w:kern w:val="0"/>
      <w:sz w:val="34"/>
      <w:szCs w:val="34"/>
    </w:rPr>
  </w:style>
  <w:style w:customStyle="1" w:styleId="CharCharCharCharCharChar1CharCharChar2" w:type="paragraph">
    <w:name w:val="Char Char Char Char Char Char1 Char Char Char2"/>
    <w:basedOn w:val="a"/>
    <w:uiPriority w:val="99"/>
    <w:rsid w:val="004061AC"/>
    <w:pPr>
      <w:autoSpaceDE w:val="0"/>
      <w:autoSpaceDN w:val="0"/>
      <w:adjustRightInd w:val="0"/>
      <w:jc w:val="left"/>
      <w:textAlignment w:val="baseline"/>
    </w:pPr>
    <w:rPr>
      <w:rFonts w:ascii="宋体" w:cs="宋体"/>
      <w:kern w:val="0"/>
      <w:sz w:val="34"/>
      <w:szCs w:val="34"/>
    </w:rPr>
  </w:style>
  <w:style w:styleId="af8" w:type="paragraph">
    <w:name w:val="Title"/>
    <w:basedOn w:val="a"/>
    <w:next w:val="a"/>
    <w:link w:val="Charb"/>
    <w:uiPriority w:val="99"/>
    <w:qFormat/>
    <w:rsid w:val="004061AC"/>
    <w:pPr>
      <w:spacing w:after="60" w:before="240"/>
      <w:jc w:val="center"/>
      <w:outlineLvl w:val="0"/>
    </w:pPr>
    <w:rPr>
      <w:rFonts w:ascii="Cambria" w:hAnsi="Cambria"/>
      <w:b/>
      <w:bCs/>
      <w:kern w:val="0"/>
      <w:sz w:val="32"/>
      <w:szCs w:val="32"/>
    </w:rPr>
  </w:style>
  <w:style w:customStyle="1" w:styleId="Charb" w:type="character">
    <w:name w:val="标题 Char"/>
    <w:link w:val="af8"/>
    <w:uiPriority w:val="99"/>
    <w:locked/>
    <w:rsid w:val="004061AC"/>
    <w:rPr>
      <w:rFonts w:ascii="Cambria" w:cs="Cambria" w:eastAsia="宋体" w:hAnsi="Cambria"/>
      <w:b/>
      <w:bCs/>
      <w:sz w:val="32"/>
      <w:szCs w:val="32"/>
    </w:rPr>
  </w:style>
  <w:style w:customStyle="1" w:styleId="CharCharCharCharCharChar1CharCharChar1" w:type="paragraph">
    <w:name w:val="Char Char Char Char Char Char1 Char Char Char1"/>
    <w:basedOn w:val="a"/>
    <w:uiPriority w:val="99"/>
    <w:rsid w:val="004061AC"/>
    <w:pPr>
      <w:autoSpaceDE w:val="0"/>
      <w:autoSpaceDN w:val="0"/>
      <w:adjustRightInd w:val="0"/>
      <w:jc w:val="left"/>
      <w:textAlignment w:val="baseline"/>
    </w:pPr>
    <w:rPr>
      <w:rFonts w:ascii="宋体" w:cs="宋体"/>
      <w:kern w:val="0"/>
      <w:sz w:val="34"/>
      <w:szCs w:val="34"/>
    </w:rPr>
  </w:style>
  <w:style w:styleId="af9" w:type="paragraph">
    <w:name w:val="No Spacing"/>
    <w:link w:val="Charc"/>
    <w:uiPriority w:val="99"/>
    <w:qFormat/>
    <w:rsid w:val="004061AC"/>
    <w:rPr>
      <w:rFonts w:cs="Calibri"/>
      <w:sz w:val="22"/>
      <w:szCs w:val="22"/>
    </w:rPr>
  </w:style>
  <w:style w:customStyle="1" w:styleId="Charc" w:type="character">
    <w:name w:val="无间隔 Char"/>
    <w:link w:val="af9"/>
    <w:uiPriority w:val="99"/>
    <w:locked/>
    <w:rsid w:val="004061AC"/>
    <w:rPr>
      <w:rFonts w:cs="Calibri"/>
      <w:sz w:val="22"/>
      <w:szCs w:val="22"/>
      <w:lang w:bidi="ar-SA" w:eastAsia="zh-CN" w:val="en-US"/>
    </w:rPr>
  </w:style>
  <w:style w:customStyle="1" w:styleId="t1" w:type="character">
    <w:name w:val="t1"/>
    <w:uiPriority w:val="99"/>
    <w:rsid w:val="004061AC"/>
    <w:rPr>
      <w:rFonts w:cs="Times New Roman"/>
      <w:color w:val="auto"/>
    </w:rPr>
  </w:style>
  <w:style w:styleId="afa" w:type="paragraph">
    <w:name w:val="List Paragraph"/>
    <w:basedOn w:val="a"/>
    <w:uiPriority w:val="99"/>
    <w:qFormat/>
    <w:rsid w:val="00154BE1"/>
    <w:pPr>
      <w:ind w:firstLine="420" w:firstLineChars="200"/>
    </w:pPr>
  </w:style>
  <w:style w:customStyle="1" w:styleId="Default" w:type="paragraph">
    <w:name w:val="Default"/>
    <w:uiPriority w:val="99"/>
    <w:rsid w:val="00275745"/>
    <w:pPr>
      <w:widowControl w:val="0"/>
      <w:autoSpaceDE w:val="0"/>
      <w:autoSpaceDN w:val="0"/>
      <w:adjustRightInd w:val="0"/>
    </w:pPr>
    <w:rPr>
      <w:rFonts w:ascii="FangSong" w:cs="FangSong" w:hAnsi="FangSong"/>
      <w:color w:val="000000"/>
      <w:sz w:val="24"/>
      <w:szCs w:val="24"/>
    </w:rPr>
  </w:style>
  <w:style w:styleId="afb" w:type="character">
    <w:name w:val="Strong"/>
    <w:uiPriority w:val="22"/>
    <w:qFormat/>
    <w:locked/>
    <w:rsid w:val="00D8746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98932">
      <w:bodyDiv w:val="1"/>
      <w:marLeft w:val="0"/>
      <w:marRight w:val="0"/>
      <w:marTop w:val="0"/>
      <w:marBottom w:val="0"/>
      <w:divBdr>
        <w:top w:val="none" w:sz="0" w:space="0" w:color="auto"/>
        <w:left w:val="none" w:sz="0" w:space="0" w:color="auto"/>
        <w:bottom w:val="none" w:sz="0" w:space="0" w:color="auto"/>
        <w:right w:val="none" w:sz="0" w:space="0" w:color="auto"/>
      </w:divBdr>
    </w:div>
    <w:div w:id="105783393">
      <w:bodyDiv w:val="1"/>
      <w:marLeft w:val="0"/>
      <w:marRight w:val="0"/>
      <w:marTop w:val="0"/>
      <w:marBottom w:val="0"/>
      <w:divBdr>
        <w:top w:val="none" w:sz="0" w:space="0" w:color="auto"/>
        <w:left w:val="none" w:sz="0" w:space="0" w:color="auto"/>
        <w:bottom w:val="none" w:sz="0" w:space="0" w:color="auto"/>
        <w:right w:val="none" w:sz="0" w:space="0" w:color="auto"/>
      </w:divBdr>
    </w:div>
    <w:div w:id="1494878767">
      <w:marLeft w:val="0"/>
      <w:marRight w:val="0"/>
      <w:marTop w:val="0"/>
      <w:marBottom w:val="0"/>
      <w:divBdr>
        <w:top w:val="none" w:sz="0" w:space="0" w:color="auto"/>
        <w:left w:val="none" w:sz="0" w:space="0" w:color="auto"/>
        <w:bottom w:val="none" w:sz="0" w:space="0" w:color="auto"/>
        <w:right w:val="none" w:sz="0" w:space="0" w:color="auto"/>
      </w:divBdr>
    </w:div>
    <w:div w:id="1494878768">
      <w:marLeft w:val="0"/>
      <w:marRight w:val="0"/>
      <w:marTop w:val="0"/>
      <w:marBottom w:val="0"/>
      <w:divBdr>
        <w:top w:val="none" w:sz="0" w:space="0" w:color="auto"/>
        <w:left w:val="none" w:sz="0" w:space="0" w:color="auto"/>
        <w:bottom w:val="none" w:sz="0" w:space="0" w:color="auto"/>
        <w:right w:val="none" w:sz="0" w:space="0" w:color="auto"/>
      </w:divBdr>
    </w:div>
    <w:div w:id="1830948889">
      <w:bodyDiv w:val="1"/>
      <w:marLeft w:val="0"/>
      <w:marRight w:val="0"/>
      <w:marTop w:val="0"/>
      <w:marBottom w:val="0"/>
      <w:divBdr>
        <w:top w:val="none" w:sz="0" w:space="0" w:color="auto"/>
        <w:left w:val="none" w:sz="0" w:space="0" w:color="auto"/>
        <w:bottom w:val="none" w:sz="0" w:space="0" w:color="auto"/>
        <w:right w:val="none" w:sz="0" w:space="0" w:color="auto"/>
      </w:divBdr>
    </w:div>
    <w:div w:id="201792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10" Target="footer1.xml" Type="http://schemas.openxmlformats.org/officeDocument/2006/relationships/footer"/>
<Relationship Id="rId11" Target="media/image1.jpeg" Type="http://schemas.openxmlformats.org/officeDocument/2006/relationships/image"/>
<Relationship Id="rId12" Target="footer2.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tylesWithEffects.xml" Type="http://schemas.microsoft.com/office/2007/relationships/stylesWithEffects"/>
<Relationship Id="rId5" Target="settings.xml" Type="http://schemas.openxmlformats.org/officeDocument/2006/relationships/settings"/>
<Relationship Id="rId6" Target="webSettings.xml" Type="http://schemas.openxmlformats.org/officeDocument/2006/relationships/webSettings"/>
<Relationship Id="rId7" Target="footnotes.xml" Type="http://schemas.openxmlformats.org/officeDocument/2006/relationships/footnotes"/>
<Relationship Id="rId8" Target="endnotes.xml" Type="http://schemas.openxmlformats.org/officeDocument/2006/relationships/endnotes"/>
<Relationship Id="rId9" Target="header1.xml" Type="http://schemas.openxmlformats.org/officeDocument/2006/relationships/head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385AF-767C-48D7-B7B5-A5BAB9648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1799</TotalTime>
  <Pages>27</Pages>
  <Words>3847</Words>
  <Characters>21932</Characters>
  <Application>Microsoft Office Word</Application>
  <DocSecurity>0</DocSecurity>
  <Lines>182</Lines>
  <Paragraphs>51</Paragraphs>
  <ScaleCrop>false</ScaleCrop>
  <Company/>
  <LinksUpToDate>false</LinksUpToDate>
  <CharactersWithSpaces>25728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2012-10-16T06:07:00Z</dcterms:created>
  <cp:lastModifiedBy>sirong han</cp:lastModifiedBy>
  <dcterms:modified xsi:type="dcterms:W3CDTF">2020-07-09T03:00:00Z</dcterms:modified>
  <cp:revision>343</cp:revision>
</cp:coreProperties>
</file>