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易方达富财纯债债券型证券投资基金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兴业银行股份有限公司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易方达富财纯债债券</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005667</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005667</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2018年10月26日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7,582,978,595.29</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中短期政策性金融债，力求在承担较低风险的前提下，谋求投资收益的最大化，同时保持组合较好的流动性，为投资者提供稳定回报。本基金将采取积极管理的投资策略，力争为投资人获取超越业绩比较基准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兴业银行股份有限公司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88,325,195.77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-8,234,982.01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-0.0011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7,766,272,231.91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1.0242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0.03%</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1.07%</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2.03%</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1.24%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4.06%</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2.19%</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7.35%</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3.63%</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3.72%</w:t>
            </w:r>
          </w:p>
        </w:tc>
        <w:tc>
          <w:tcPr>
            <w:vAlign w:val="center"/>
          </w:tcPr>
          <w:p>
            <w:pPr>
              <w:jc w:val="center"/>
            </w:pPr>
            <w:r>
              <w:rPr>
                <w:color w:val="000000"/>
                <w:kern w:val="0"/>
                <w:sz w:val="24"/>
                <w:szCs w:val="24"/>
              </w:rPr>
              <w:t>0.00%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易方达富财纯债债券型证券投资基金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2018年10月26日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注：自基金合同生效至报告期末，基金份额净值增长率为7.35%，同期业绩比较基准收益率为3.63%。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增强回报债券型证券投资基金的基金经理（自2014年07月19日至2020年05月26日）、易方达纯债债券型证券投资基金的基金经理、易方达裕丰回报债券型证券投资基金的基金经理、易方达恒兴3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2018-10-26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2018-10-26</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szCs w:val="24"/>
        </w:rPr>
      </w:pPr>
      <w:r>
        <w:rPr>
          <w:color w:val="000000"/>
          <w:sz w:val="24"/>
          <w:szCs w:val="24"/>
        </w:rPr>
        <w:t>2.证券从业的含义遵从《证券业从业人员资格管理办法》的相关规定。</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3.本基金基金经理王晓晨曾因休产假超过30日，在其休假期间，本基金由同为基金经理的张雅君继续进行管理。在本报告期内，基金经理王晓晨已结束休假恢复履职。</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本基金报告期内依然选择中短期限的政策性金融债作为配置品种，不投资信用债和国债期货等衍生品。报告期内基金系统性降低了杠杆和久期水平，并适度参与利率债的波段操作。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截至报告期末，本基金份额净值为1.0242元，本报告期份额净值增长率为0.03%，同期业绩比较基准收益率为-1.04%。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8,379,392,000.00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98.69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8,379,392,000.00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98.69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831,201.50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110,193,378.79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8,490,416,580.29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8,379,392,000.00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107.89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8,379,392,000.00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107.89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8,379,392,000.00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107.89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160206</w:t>
            </w:r>
          </w:p>
        </w:tc>
        <w:tc>
          <w:tcPr>
            <w:vAlign w:val="center"/>
          </w:tcPr>
          <w:p>
            <w:pPr>
              <w:jc w:val="center"/>
            </w:pPr>
            <w:r>
              <w:rPr>
                <w:color w:val="000000"/>
                <w:kern w:val="0"/>
                <w:sz w:val="24"/>
                <w:szCs w:val="24"/>
              </w:rPr>
              <w:t>16国开06</w:t>
            </w:r>
          </w:p>
        </w:tc>
        <w:tc>
          <w:tcPr>
            <w:vAlign w:val="center"/>
          </w:tcPr>
          <w:p>
            <w:pPr>
              <w:jc w:val="right"/>
            </w:pPr>
            <w:r>
              <w:rPr>
                <w:color w:val="000000"/>
                <w:kern w:val="0"/>
                <w:sz w:val="24"/>
                <w:szCs w:val="24"/>
              </w:rPr>
              <w:t>10,800,000</w:t>
            </w:r>
          </w:p>
        </w:tc>
        <w:tc>
          <w:tcPr>
            <w:vAlign w:val="center"/>
          </w:tcPr>
          <w:p>
            <w:pPr>
              <w:jc w:val="right"/>
            </w:pPr>
            <w:r>
              <w:rPr>
                <w:color w:val="000000"/>
                <w:kern w:val="0"/>
                <w:sz w:val="24"/>
                <w:szCs w:val="24"/>
              </w:rPr>
              <w:t>1,085,292,000.00</w:t>
            </w:r>
          </w:p>
        </w:tc>
        <w:tc>
          <w:tcPr>
            <w:vAlign w:val="center"/>
          </w:tcPr>
          <w:p>
            <w:pPr>
              <w:jc w:val="right"/>
            </w:pPr>
            <w:r>
              <w:rPr>
                <w:color w:val="000000"/>
                <w:kern w:val="0"/>
                <w:sz w:val="24"/>
                <w:szCs w:val="24"/>
              </w:rPr>
              <w:t>13.97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180208</w:t>
            </w:r>
          </w:p>
        </w:tc>
        <w:tc>
          <w:tcPr>
            <w:vAlign w:val="center"/>
          </w:tcPr>
          <w:p>
            <w:pPr>
              <w:jc w:val="center"/>
            </w:pPr>
            <w:r>
              <w:rPr>
                <w:color w:val="000000"/>
                <w:kern w:val="0"/>
                <w:sz w:val="24"/>
                <w:szCs w:val="24"/>
              </w:rPr>
              <w:t>18国开08</w:t>
            </w:r>
          </w:p>
        </w:tc>
        <w:tc>
          <w:tcPr>
            <w:vAlign w:val="center"/>
          </w:tcPr>
          <w:p>
            <w:pPr>
              <w:jc w:val="right"/>
            </w:pPr>
            <w:r>
              <w:rPr>
                <w:color w:val="000000"/>
                <w:kern w:val="0"/>
                <w:sz w:val="24"/>
                <w:szCs w:val="24"/>
              </w:rPr>
              <w:t>6,700,000</w:t>
            </w:r>
          </w:p>
        </w:tc>
        <w:tc>
          <w:tcPr>
            <w:vAlign w:val="center"/>
          </w:tcPr>
          <w:p>
            <w:pPr>
              <w:jc w:val="right"/>
            </w:pPr>
            <w:r>
              <w:rPr>
                <w:color w:val="000000"/>
                <w:kern w:val="0"/>
                <w:sz w:val="24"/>
                <w:szCs w:val="24"/>
              </w:rPr>
              <w:t>680,117,000.00</w:t>
            </w:r>
          </w:p>
        </w:tc>
        <w:tc>
          <w:tcPr>
            <w:vAlign w:val="center"/>
          </w:tcPr>
          <w:p>
            <w:pPr>
              <w:jc w:val="right"/>
            </w:pPr>
            <w:r>
              <w:rPr>
                <w:color w:val="000000"/>
                <w:kern w:val="0"/>
                <w:sz w:val="24"/>
                <w:szCs w:val="24"/>
              </w:rPr>
              <w:t>8.76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190303</w:t>
            </w:r>
          </w:p>
        </w:tc>
        <w:tc>
          <w:tcPr>
            <w:vAlign w:val="center"/>
          </w:tcPr>
          <w:p>
            <w:pPr>
              <w:jc w:val="center"/>
            </w:pPr>
            <w:r>
              <w:rPr>
                <w:color w:val="000000"/>
                <w:kern w:val="0"/>
                <w:sz w:val="24"/>
                <w:szCs w:val="24"/>
              </w:rPr>
              <w:t>19进出03</w:t>
            </w:r>
          </w:p>
        </w:tc>
        <w:tc>
          <w:tcPr>
            <w:vAlign w:val="center"/>
          </w:tcPr>
          <w:p>
            <w:pPr>
              <w:jc w:val="right"/>
            </w:pPr>
            <w:r>
              <w:rPr>
                <w:color w:val="000000"/>
                <w:kern w:val="0"/>
                <w:sz w:val="24"/>
                <w:szCs w:val="24"/>
              </w:rPr>
              <w:t>5,800,000</w:t>
            </w:r>
          </w:p>
        </w:tc>
        <w:tc>
          <w:tcPr>
            <w:vAlign w:val="center"/>
          </w:tcPr>
          <w:p>
            <w:pPr>
              <w:jc w:val="right"/>
            </w:pPr>
            <w:r>
              <w:rPr>
                <w:color w:val="000000"/>
                <w:kern w:val="0"/>
                <w:sz w:val="24"/>
                <w:szCs w:val="24"/>
              </w:rPr>
              <w:t>583,770,000.00</w:t>
            </w:r>
          </w:p>
        </w:tc>
        <w:tc>
          <w:tcPr>
            <w:vAlign w:val="center"/>
          </w:tcPr>
          <w:p>
            <w:pPr>
              <w:jc w:val="right"/>
            </w:pPr>
            <w:r>
              <w:rPr>
                <w:color w:val="000000"/>
                <w:kern w:val="0"/>
                <w:sz w:val="24"/>
                <w:szCs w:val="24"/>
              </w:rPr>
              <w:t>7.52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091918001</w:t>
            </w:r>
          </w:p>
        </w:tc>
        <w:tc>
          <w:tcPr>
            <w:vAlign w:val="center"/>
          </w:tcPr>
          <w:p>
            <w:pPr>
              <w:jc w:val="center"/>
            </w:pPr>
            <w:r>
              <w:rPr>
                <w:color w:val="000000"/>
                <w:kern w:val="0"/>
                <w:sz w:val="24"/>
                <w:szCs w:val="24"/>
              </w:rPr>
              <w:t>19农发清发01</w:t>
            </w:r>
          </w:p>
        </w:tc>
        <w:tc>
          <w:tcPr>
            <w:vAlign w:val="center"/>
          </w:tcPr>
          <w:p>
            <w:pPr>
              <w:jc w:val="right"/>
            </w:pPr>
            <w:r>
              <w:rPr>
                <w:color w:val="000000"/>
                <w:kern w:val="0"/>
                <w:sz w:val="24"/>
                <w:szCs w:val="24"/>
              </w:rPr>
              <w:t>5,400,000</w:t>
            </w:r>
          </w:p>
        </w:tc>
        <w:tc>
          <w:tcPr>
            <w:vAlign w:val="center"/>
          </w:tcPr>
          <w:p>
            <w:pPr>
              <w:jc w:val="right"/>
            </w:pPr>
            <w:r>
              <w:rPr>
                <w:color w:val="000000"/>
                <w:kern w:val="0"/>
                <w:sz w:val="24"/>
                <w:szCs w:val="24"/>
              </w:rPr>
              <w:t>544,158,000.00</w:t>
            </w:r>
          </w:p>
        </w:tc>
        <w:tc>
          <w:tcPr>
            <w:vAlign w:val="center"/>
          </w:tcPr>
          <w:p>
            <w:pPr>
              <w:jc w:val="right"/>
            </w:pPr>
            <w:r>
              <w:rPr>
                <w:color w:val="000000"/>
                <w:kern w:val="0"/>
                <w:sz w:val="24"/>
                <w:szCs w:val="24"/>
              </w:rPr>
              <w:t>7.01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180313</w:t>
            </w:r>
          </w:p>
        </w:tc>
        <w:tc>
          <w:tcPr>
            <w:vAlign w:val="center"/>
          </w:tcPr>
          <w:p>
            <w:pPr>
              <w:jc w:val="center"/>
            </w:pPr>
            <w:r>
              <w:rPr>
                <w:color w:val="000000"/>
                <w:kern w:val="0"/>
                <w:sz w:val="24"/>
                <w:szCs w:val="24"/>
              </w:rPr>
              <w:t>18进出13</w:t>
            </w:r>
          </w:p>
        </w:tc>
        <w:tc>
          <w:tcPr>
            <w:vAlign w:val="center"/>
          </w:tcPr>
          <w:p>
            <w:pPr>
              <w:jc w:val="right"/>
            </w:pPr>
            <w:r>
              <w:rPr>
                <w:color w:val="000000"/>
                <w:kern w:val="0"/>
                <w:sz w:val="24"/>
                <w:szCs w:val="24"/>
              </w:rPr>
              <w:t>5,300,000</w:t>
            </w:r>
          </w:p>
        </w:tc>
        <w:tc>
          <w:tcPr>
            <w:vAlign w:val="center"/>
          </w:tcPr>
          <w:p>
            <w:pPr>
              <w:jc w:val="right"/>
            </w:pPr>
            <w:r>
              <w:rPr>
                <w:color w:val="000000"/>
                <w:kern w:val="0"/>
                <w:sz w:val="24"/>
                <w:szCs w:val="24"/>
              </w:rPr>
              <w:t>538,798,000.00</w:t>
            </w:r>
          </w:p>
        </w:tc>
        <w:tc>
          <w:tcPr>
            <w:vAlign w:val="center"/>
          </w:tcPr>
          <w:p>
            <w:pPr>
              <w:jc w:val="right"/>
            </w:pPr>
            <w:r>
              <w:rPr>
                <w:color w:val="000000"/>
                <w:kern w:val="0"/>
                <w:sz w:val="24"/>
                <w:szCs w:val="24"/>
              </w:rPr>
              <w:t>6.94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2020年4月30日，北京市西城区卫生健康委员会对中国农业发展银行违反《北京市生活饮用水卫生监督管理条例》第二十一条第（三）项的行为作出“罚款5000元”的行政处罚决定。</w:t>
      </w:r>
    </w:p>
    <w:p>
      <w:pPr>
        <w:spacing w:line="360" w:lineRule="auto"/>
        <w:rPr>
          <w:rFonts w:ascii="宋体" w:hAnsi="宋体"/>
          <w:color w:val="000000"/>
          <w:sz w:val="24"/>
          <w:szCs w:val="24"/>
        </w:rPr>
      </w:pPr>
      <w:r>
        <w:rPr>
          <w:rFonts w:ascii="宋体" w:hAnsi="宋体"/>
          <w:color w:val="000000"/>
          <w:sz w:val="24"/>
          <w:szCs w:val="24"/>
        </w:rPr>
        <w:t>本基金投资19农发清发01、15农发12的投资决策程序符合公司投资制度的规定。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除19农发清发01、15农发12外，本基金投资的前十名证券的发行主体本期没有出现被监管部门立案调查，或在报告编制日前一年内受到公开谴责、处罚的情形。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110,193,378.79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110,193,378.79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6,912,980,554.39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959,650,010.18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289,651,969.28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7,582,978,595.29</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2020年04月01日~2020年04月13日,2020年04月20日~2020年04月29日</w:t>
            </w:r>
          </w:p>
        </w:tc>
        <w:tc>
          <w:tcPr>
            <w:vAlign w:val="center"/>
          </w:tcPr>
          <w:p>
            <w:pPr>
              <w:jc w:val="center"/>
            </w:pPr>
            <w:r>
              <w:rPr>
                <w:sz w:val="24"/>
                <w:szCs w:val="24"/>
              </w:rPr>
              <w:t>1,435,005,320.39</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1,435,005,320.39</w:t>
            </w:r>
          </w:p>
        </w:tc>
        <w:tc>
          <w:tcPr>
            <w:vAlign w:val="center"/>
          </w:tcPr>
          <w:p>
            <w:pPr>
              <w:jc w:val="center"/>
            </w:pPr>
            <w:r>
              <w:rPr>
                <w:sz w:val="24"/>
                <w:szCs w:val="24"/>
              </w:rPr>
              <w:t>18.92%</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1.中国证监会准予易方达富财纯债债券型证券投资基金注册的文件；</w:t>
      </w:r>
    </w:p>
    <w:p>
      <w:pPr>
        <w:spacing w:line="360" w:lineRule="auto"/>
        <w:ind w:firstLine="480" w:firstLineChars="200"/>
        <w:rPr>
          <w:color w:val="000000"/>
          <w:sz w:val="24"/>
          <w:szCs w:val="24"/>
        </w:rPr>
      </w:pPr>
      <w:r>
        <w:rPr>
          <w:color w:val="000000"/>
          <w:sz w:val="24"/>
          <w:szCs w:val="24"/>
        </w:rPr>
        <w:t>2.《易方达富财纯债债券型证券投资基金基金合同》；</w:t>
      </w:r>
    </w:p>
    <w:p>
      <w:pPr>
        <w:spacing w:line="360" w:lineRule="auto"/>
        <w:ind w:firstLine="480" w:firstLineChars="200"/>
        <w:rPr>
          <w:color w:val="000000"/>
          <w:sz w:val="24"/>
          <w:szCs w:val="24"/>
        </w:rPr>
      </w:pPr>
      <w:r>
        <w:rPr>
          <w:color w:val="000000"/>
          <w:sz w:val="24"/>
          <w:szCs w:val="24"/>
        </w:rPr>
        <w:t>3.《易方达富财纯债债券型证券投资基金托管协议》；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易方达富财纯债债券型证券投资基金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