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易方达港股通红利灵活配置混合型证券投资基金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易方达港股通红利混合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005583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005583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2018年3月7日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1,466,709,330.80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在红利股初选的基础上，本基金将采取定量分析与定性分析相结合的分析方式，以选择具有持续竞争优势的上市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恒生中国企业指数（使用估值汇率折算）收益率×70%+人民币活期存款利率（税后）×30%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本基金为混合基金，理论上其预期风险与预期收益水平低于股票基金，高于债券基金和货币市场基金。 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-2,716,583.65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322,387,933.18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0.1971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1,421,589,752.73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0.9692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25.59%</w:t>
            </w:r>
          </w:p>
        </w:tc>
        <w:tc>
          <w:tcPr>
            <w:vAlign w:val="center"/>
          </w:tcPr>
          <w:p>
            <w:pPr>
              <w:jc w:val="center"/>
            </w:pPr>
            <w:r>
              <w:rPr>
                <w:color w:val="000000"/>
                <w:kern w:val="0"/>
                <w:sz w:val="24"/>
                <w:szCs w:val="24"/>
              </w:rPr>
              <w:t>1.55%</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0.94%</w:t>
            </w:r>
          </w:p>
        </w:tc>
        <w:tc>
          <w:tcPr>
            <w:vAlign w:val="center"/>
          </w:tcPr>
          <w:p>
            <w:pPr>
              <w:jc w:val="center"/>
            </w:pPr>
            <w:r>
              <w:rPr>
                <w:color w:val="000000"/>
                <w:kern w:val="0"/>
                <w:sz w:val="24"/>
                <w:szCs w:val="24"/>
              </w:rPr>
              <w:t>24.28%</w:t>
            </w:r>
          </w:p>
        </w:tc>
        <w:tc>
          <w:tcPr>
            <w:vAlign w:val="center"/>
          </w:tcPr>
          <w:p>
            <w:pPr>
              <w:jc w:val="center"/>
            </w:pPr>
            <w:r>
              <w:rPr>
                <w:color w:val="000000"/>
                <w:kern w:val="0"/>
                <w:sz w:val="24"/>
                <w:szCs w:val="24"/>
              </w:rPr>
              <w:t>0.61%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7.15%</w:t>
            </w:r>
          </w:p>
        </w:tc>
        <w:tc>
          <w:tcPr>
            <w:vAlign w:val="center"/>
          </w:tcPr>
          <w:p>
            <w:pPr>
              <w:jc w:val="center"/>
            </w:pPr>
            <w:r>
              <w:rPr>
                <w:color w:val="000000"/>
                <w:kern w:val="0"/>
                <w:sz w:val="24"/>
                <w:szCs w:val="24"/>
              </w:rPr>
              <w:t>2.18%</w:t>
            </w:r>
          </w:p>
        </w:tc>
        <w:tc>
          <w:tcPr>
            <w:vAlign w:val="center"/>
          </w:tcPr>
          <w:p>
            <w:pPr>
              <w:jc w:val="center"/>
            </w:pPr>
            <w:r>
              <w:rPr>
                <w:color w:val="000000"/>
                <w:kern w:val="0"/>
                <w:sz w:val="24"/>
                <w:szCs w:val="24"/>
              </w:rPr>
              <w:t>-7.31%</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14.46%</w:t>
            </w:r>
          </w:p>
        </w:tc>
        <w:tc>
          <w:tcPr>
            <w:vAlign w:val="center"/>
          </w:tcPr>
          <w:p>
            <w:pPr>
              <w:jc w:val="center"/>
            </w:pPr>
            <w:r>
              <w:rPr>
                <w:color w:val="000000"/>
                <w:kern w:val="0"/>
                <w:sz w:val="24"/>
                <w:szCs w:val="24"/>
              </w:rPr>
              <w:t>0.86%</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20.86%</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-4.25%</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25.11%</w:t>
            </w:r>
          </w:p>
        </w:tc>
        <w:tc>
          <w:tcPr>
            <w:vAlign w:val="center"/>
          </w:tcPr>
          <w:p>
            <w:pPr>
              <w:jc w:val="center"/>
            </w:pPr>
            <w:r>
              <w:rPr>
                <w:color w:val="000000"/>
                <w:kern w:val="0"/>
                <w:sz w:val="24"/>
                <w:szCs w:val="24"/>
              </w:rPr>
              <w:t>0.64%</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-3.08%</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-6.30%</w:t>
            </w:r>
          </w:p>
        </w:tc>
        <w:tc>
          <w:tcPr>
            <w:vAlign w:val="center"/>
          </w:tcPr>
          <w:p>
            <w:pPr>
              <w:jc w:val="center"/>
            </w:pPr>
            <w:r>
              <w:rPr>
                <w:color w:val="000000"/>
                <w:kern w:val="0"/>
                <w:sz w:val="24"/>
                <w:szCs w:val="24"/>
              </w:rPr>
              <w:t>0.93%</w:t>
            </w:r>
          </w:p>
        </w:tc>
        <w:tc>
          <w:tcPr>
            <w:vAlign w:val="center"/>
          </w:tcPr>
          <w:p>
            <w:pPr>
              <w:jc w:val="center"/>
            </w:pPr>
            <w:r>
              <w:rPr>
                <w:color w:val="000000"/>
                <w:kern w:val="0"/>
                <w:sz w:val="24"/>
                <w:szCs w:val="24"/>
              </w:rPr>
              <w:t>3.22%</w:t>
            </w:r>
          </w:p>
        </w:tc>
        <w:tc>
          <w:tcPr>
            <w:vAlign w:val="center"/>
          </w:tcPr>
          <w:p>
            <w:pPr>
              <w:jc w:val="center"/>
            </w:pPr>
            <w:r>
              <w:rPr>
                <w:color w:val="000000"/>
                <w:kern w:val="0"/>
                <w:sz w:val="24"/>
                <w:szCs w:val="24"/>
              </w:rPr>
              <w:t>0.54%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易方达港股通红利灵活配置混合型证券投资基金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2018年3月7日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注：1.本基金的业绩比较基准已经转换为以人民币计价。</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2.自基金合同生效至报告期末，基金份额净值增长率为-3.08%，同期业绩比较基准收益率为-6.30%。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毕仲圆</w:t>
            </w:r>
          </w:p>
        </w:tc>
        <w:tc>
          <w:tcPr>
            <w:vAlign w:val="center"/>
          </w:tcPr>
          <w:p>
            <w:pPr>
              <w:jc w:val="left"/>
            </w:pPr>
            <w:r>
              <w:rPr>
                <w:color w:val="000000"/>
                <w:sz w:val="24"/>
              </w:rPr>
              <w:t>本基金的基金经理、投资经理、易方达资产管理（香港）有限公司国际权益部投资经理、港股策略师</w:t>
            </w:r>
          </w:p>
        </w:tc>
        <w:tc>
          <w:tcPr>
            <w:vAlign w:val="center"/>
          </w:tcPr>
          <w:p>
            <w:pPr>
              <w:jc w:val="center"/>
            </w:pPr>
            <w:r>
              <w:rPr>
                <w:color w:val="000000"/>
                <w:sz w:val="24"/>
              </w:rPr>
              <w:t>2019-04-30</w:t>
            </w:r>
          </w:p>
        </w:tc>
        <w:tc>
          <w:tcPr>
            <w:vAlign w:val="center"/>
          </w:tcPr>
          <w:p>
            <w:pPr>
              <w:jc w:val="center"/>
            </w:pPr>
            <w:r>
              <w:rPr>
                <w:color w:val="000000"/>
                <w:sz w:val="24"/>
              </w:rPr>
              <w:t>2020-05-12</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硕士研究生，具有基金从业资格。曾任盛博香港有限公司研究员，易方达资产管理（香港）有限公司国际投资部研究员，易方达基金管理有限公司国际投资部投资经理。</w:t>
            </w:r>
          </w:p>
        </w:tc>
      </w:tr>
      <w:tr>
        <w:tc>
          <w:tcPr>
            <w:vAlign w:val="center"/>
          </w:tcPr>
          <w:p>
            <w:pPr>
              <w:jc w:val="center"/>
            </w:pPr>
            <w:r>
              <w:rPr>
                <w:color w:val="000000"/>
                <w:sz w:val="24"/>
              </w:rPr>
              <w:t>陈宏初</w:t>
            </w:r>
          </w:p>
        </w:tc>
        <w:tc>
          <w:tcPr>
            <w:vAlign w:val="center"/>
          </w:tcPr>
          <w:p>
            <w:pPr>
              <w:jc w:val="left"/>
            </w:pPr>
            <w:r>
              <w:rPr>
                <w:color w:val="000000"/>
                <w:sz w:val="24"/>
              </w:rPr>
              <w:t>本基金的基金经理、国际投资部总经理、易方达资产管理（香港）有限公司首席投资官、就证券提供意见负责人员（RO）、提供资产管理负责人员（RO）、证券交易负责人员（RO）、权益及资产配置投资决策委员会委员、固定收益投资决策委员会委员</w:t>
            </w:r>
          </w:p>
        </w:tc>
        <w:tc>
          <w:tcPr>
            <w:vAlign w:val="center"/>
          </w:tcPr>
          <w:p>
            <w:pPr>
              <w:jc w:val="center"/>
            </w:pPr>
            <w:r>
              <w:rPr>
                <w:color w:val="000000"/>
                <w:sz w:val="24"/>
              </w:rPr>
              <w:t>2019-04-30</w:t>
            </w:r>
          </w:p>
        </w:tc>
        <w:tc>
          <w:tcPr>
            <w:vAlign w:val="center"/>
          </w:tcPr>
          <w:p>
            <w:pPr>
              <w:jc w:val="center"/>
            </w:pPr>
            <w:r>
              <w:rPr>
                <w:color w:val="000000"/>
                <w:sz w:val="24"/>
              </w:rPr>
              <w:t>-</w:t>
            </w:r>
          </w:p>
        </w:tc>
        <w:tc>
          <w:tcPr>
            <w:vAlign w:val="center"/>
          </w:tcPr>
          <w:p>
            <w:pPr>
              <w:jc w:val="center"/>
            </w:pPr>
            <w:r>
              <w:rPr>
                <w:color w:val="000000"/>
                <w:sz w:val="24"/>
              </w:rPr>
              <w:t>26年</w:t>
            </w:r>
          </w:p>
        </w:tc>
        <w:tc>
          <w:tcPr>
            <w:vAlign w:val="center"/>
          </w:tcPr>
          <w:p>
            <w:pPr>
              <w:jc w:val="both"/>
            </w:pPr>
            <w:r>
              <w:rPr>
                <w:color w:val="000000"/>
                <w:sz w:val="24"/>
              </w:rPr>
              <w:t>加拿大籍，硕士研究生，具有基金从业资格。曾任Patinni Investment Limited金融分析师，上海实业（集团）有限公司投资经理，Salomon-Shanghai Industrial Greater China Asset Management Co.基金经理，SEB Investment Management基金经理，Crown Asset Management Limited总经理，中金香港资产管理公司香港股票主管，德意志资产管理（香港）有限公司投资部副总裁、基金经理，嘉实国际资产管理有限公司国际投资部基金经理，华安资产管理（香港）有限公司董事总经理、首席投资官，泰康资产管理（香港）有限公司董事总经理、首席投资官，易方达基金管理有限公司国际投资部投资经理，易方达资产管理（香港）有限公司国际投资部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在宏观不确定性较大和流动性宽松的背景下，二季度市场走出了较强的结构性行情。二季度指数层面表现乏善可陈，疫情进展的反复影响了投资者对宏观经济恢复的预期，叠加地缘政治事件的影响，投资者的风险偏好未出现持续性的上升，指数的市净率处于底部区域。但是由于市场的流动性水平非常充裕，故部分疫情免疫或受益的板块，表现非常强劲，市场表现出了很好的结构性机会。</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二季度，账户主要聚焦确定性这一投资主线。整体上我们布局于竞争壁垒高，赛道空间大，短期增长兑现较好，且具有非线性成长空间的个股，并取得了良好的超额收益。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截至报告期末，本基金份额净值为0.9692元，本报告期份额净值增长率为25.59%，同期业绩比较基准收益率为1.31%。</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1,331,991,302.15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1,331,991,302.15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50,070,000.00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3.46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50,070,000.00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3.46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40,558,337.97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2.81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22,873,673.15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1,445,493,313.27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注：本基金本报告期末通过港股通交易机制投资的港股市值为1,331,991,302.15元,占净值比例93.70%。</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230,772,943.10</w:t>
            </w:r>
          </w:p>
        </w:tc>
        <w:tc>
          <w:tcPr>
            <w:vAlign w:val="center"/>
          </w:tcPr>
          <w:p>
            <w:pPr>
              <w:jc w:val="center"/>
            </w:pPr>
            <w:r>
              <w:rPr>
                <w:rFonts w:eastAsiaTheme="minorEastAsia"/>
                <w:color w:themeColor="text1" w:val="000000"/>
                <w:kern w:val="0"/>
                <w:sz w:val="24"/>
                <w:szCs w:val="24"/>
              </w:rPr>
              <w:t>16.23</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343,810,951.28</w:t>
            </w:r>
          </w:p>
        </w:tc>
        <w:tc>
          <w:tcPr>
            <w:vAlign w:val="center"/>
          </w:tcPr>
          <w:p>
            <w:pPr>
              <w:jc w:val="center"/>
            </w:pPr>
            <w:r>
              <w:rPr>
                <w:rFonts w:eastAsiaTheme="minorEastAsia"/>
                <w:color w:themeColor="text1" w:val="000000"/>
                <w:kern w:val="0"/>
                <w:sz w:val="24"/>
                <w:szCs w:val="24"/>
              </w:rPr>
              <w:t>24.18</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169,792,739.16</w:t>
            </w:r>
          </w:p>
        </w:tc>
        <w:tc>
          <w:tcPr>
            <w:vAlign w:val="center"/>
          </w:tcPr>
          <w:p>
            <w:pPr>
              <w:jc w:val="center"/>
            </w:pPr>
            <w:r>
              <w:rPr>
                <w:rFonts w:eastAsiaTheme="minorEastAsia"/>
                <w:color w:themeColor="text1" w:val="000000"/>
                <w:kern w:val="0"/>
                <w:sz w:val="24"/>
                <w:szCs w:val="24"/>
              </w:rPr>
              <w:t>11.94</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96,515,440.56</w:t>
            </w:r>
          </w:p>
        </w:tc>
        <w:tc>
          <w:tcPr>
            <w:vAlign w:val="center"/>
          </w:tcPr>
          <w:p>
            <w:pPr>
              <w:jc w:val="center"/>
            </w:pPr>
            <w:r>
              <w:rPr>
                <w:rFonts w:eastAsiaTheme="minorEastAsia"/>
                <w:color w:themeColor="text1" w:val="000000"/>
                <w:kern w:val="0"/>
                <w:sz w:val="24"/>
                <w:szCs w:val="24"/>
              </w:rPr>
              <w:t>6.79</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337,403,854.76</w:t>
            </w:r>
          </w:p>
        </w:tc>
        <w:tc>
          <w:tcPr>
            <w:vAlign w:val="center"/>
          </w:tcPr>
          <w:p>
            <w:pPr>
              <w:jc w:val="center"/>
            </w:pPr>
            <w:r>
              <w:rPr>
                <w:rFonts w:eastAsiaTheme="minorEastAsia"/>
                <w:color w:themeColor="text1" w:val="000000"/>
                <w:kern w:val="0"/>
                <w:sz w:val="24"/>
                <w:szCs w:val="24"/>
              </w:rPr>
              <w:t>23.73</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48,275,304.00</w:t>
            </w:r>
          </w:p>
        </w:tc>
        <w:tc>
          <w:tcPr>
            <w:vAlign w:val="center"/>
          </w:tcPr>
          <w:p>
            <w:pPr>
              <w:jc w:val="center"/>
            </w:pPr>
            <w:r>
              <w:rPr>
                <w:rFonts w:eastAsiaTheme="minorEastAsia"/>
                <w:color w:themeColor="text1" w:val="000000"/>
                <w:kern w:val="0"/>
                <w:sz w:val="24"/>
                <w:szCs w:val="24"/>
              </w:rPr>
              <w:t>3.40</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105,420,069.29</w:t>
            </w:r>
          </w:p>
        </w:tc>
        <w:tc>
          <w:tcPr>
            <w:vAlign w:val="center"/>
          </w:tcPr>
          <w:p>
            <w:pPr>
              <w:jc w:val="center"/>
            </w:pPr>
            <w:r>
              <w:rPr>
                <w:rFonts w:eastAsiaTheme="minorEastAsia"/>
                <w:color w:themeColor="text1" w:val="000000"/>
                <w:kern w:val="0"/>
                <w:sz w:val="24"/>
                <w:szCs w:val="24"/>
              </w:rPr>
              <w:t>7.42</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1,331,991,302.15</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93.70</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01579</w:t>
            </w:r>
          </w:p>
        </w:tc>
        <w:tc>
          <w:tcPr>
            <w:vAlign w:val="center"/>
          </w:tcPr>
          <w:p>
            <w:pPr>
              <w:jc w:val="center"/>
            </w:pPr>
            <w:r>
              <w:rPr>
                <w:color w:val="000000"/>
                <w:kern w:val="0"/>
                <w:sz w:val="24"/>
                <w:szCs w:val="24"/>
              </w:rPr>
              <w:t>颐海国际</w:t>
            </w:r>
          </w:p>
        </w:tc>
        <w:tc>
          <w:tcPr>
            <w:vAlign w:val="center"/>
          </w:tcPr>
          <w:p>
            <w:pPr>
              <w:jc w:val="right"/>
            </w:pPr>
            <w:r>
              <w:rPr>
                <w:color w:val="000000"/>
                <w:kern w:val="0"/>
                <w:sz w:val="24"/>
                <w:szCs w:val="24"/>
              </w:rPr>
              <w:t>1,499,000</w:t>
            </w:r>
          </w:p>
        </w:tc>
        <w:tc>
          <w:tcPr>
            <w:vAlign w:val="center"/>
          </w:tcPr>
          <w:p>
            <w:pPr>
              <w:jc w:val="right"/>
            </w:pPr>
            <w:r>
              <w:rPr>
                <w:color w:val="000000"/>
                <w:kern w:val="0"/>
                <w:sz w:val="24"/>
                <w:szCs w:val="24"/>
              </w:rPr>
              <w:t>108,786,639.19</w:t>
            </w:r>
          </w:p>
        </w:tc>
        <w:tc>
          <w:tcPr>
            <w:vAlign w:val="center"/>
          </w:tcPr>
          <w:p>
            <w:pPr>
              <w:jc w:val="right"/>
            </w:pPr>
            <w:r>
              <w:rPr>
                <w:color w:val="000000"/>
                <w:kern w:val="0"/>
                <w:sz w:val="24"/>
                <w:szCs w:val="24"/>
              </w:rPr>
              <w:t>7.65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00981</w:t>
            </w:r>
          </w:p>
        </w:tc>
        <w:tc>
          <w:tcPr>
            <w:vAlign w:val="center"/>
          </w:tcPr>
          <w:p>
            <w:pPr>
              <w:jc w:val="center"/>
            </w:pPr>
            <w:r>
              <w:rPr>
                <w:color w:val="000000"/>
                <w:kern w:val="0"/>
                <w:sz w:val="24"/>
                <w:szCs w:val="24"/>
              </w:rPr>
              <w:t>中芯国际</w:t>
            </w:r>
          </w:p>
        </w:tc>
        <w:tc>
          <w:tcPr>
            <w:vAlign w:val="center"/>
          </w:tcPr>
          <w:p>
            <w:pPr>
              <w:jc w:val="right"/>
            </w:pPr>
            <w:r>
              <w:rPr>
                <w:color w:val="000000"/>
                <w:kern w:val="0"/>
                <w:sz w:val="24"/>
                <w:szCs w:val="24"/>
              </w:rPr>
              <w:t>4,248,500</w:t>
            </w:r>
          </w:p>
        </w:tc>
        <w:tc>
          <w:tcPr>
            <w:vAlign w:val="center"/>
          </w:tcPr>
          <w:p>
            <w:pPr>
              <w:jc w:val="right"/>
            </w:pPr>
            <w:r>
              <w:rPr>
                <w:color w:val="000000"/>
                <w:kern w:val="0"/>
                <w:sz w:val="24"/>
                <w:szCs w:val="24"/>
              </w:rPr>
              <w:t>104,780,245.68</w:t>
            </w:r>
          </w:p>
        </w:tc>
        <w:tc>
          <w:tcPr>
            <w:vAlign w:val="center"/>
          </w:tcPr>
          <w:p>
            <w:pPr>
              <w:jc w:val="right"/>
            </w:pPr>
            <w:r>
              <w:rPr>
                <w:color w:val="000000"/>
                <w:kern w:val="0"/>
                <w:sz w:val="24"/>
                <w:szCs w:val="24"/>
              </w:rPr>
              <w:t>7.37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02382</w:t>
            </w:r>
          </w:p>
        </w:tc>
        <w:tc>
          <w:tcPr>
            <w:vAlign w:val="center"/>
          </w:tcPr>
          <w:p>
            <w:pPr>
              <w:jc w:val="center"/>
            </w:pPr>
            <w:r>
              <w:rPr>
                <w:color w:val="000000"/>
                <w:kern w:val="0"/>
                <w:sz w:val="24"/>
                <w:szCs w:val="24"/>
              </w:rPr>
              <w:t>舜宇光学科技</w:t>
            </w:r>
          </w:p>
        </w:tc>
        <w:tc>
          <w:tcPr>
            <w:vAlign w:val="center"/>
          </w:tcPr>
          <w:p>
            <w:pPr>
              <w:jc w:val="right"/>
            </w:pPr>
            <w:r>
              <w:rPr>
                <w:color w:val="000000"/>
                <w:kern w:val="0"/>
                <w:sz w:val="24"/>
                <w:szCs w:val="24"/>
              </w:rPr>
              <w:t>812,700</w:t>
            </w:r>
          </w:p>
        </w:tc>
        <w:tc>
          <w:tcPr>
            <w:vAlign w:val="center"/>
          </w:tcPr>
          <w:p>
            <w:pPr>
              <w:jc w:val="right"/>
            </w:pPr>
            <w:r>
              <w:rPr>
                <w:color w:val="000000"/>
                <w:kern w:val="0"/>
                <w:sz w:val="24"/>
                <w:szCs w:val="24"/>
              </w:rPr>
              <w:t>92,051,733.31</w:t>
            </w:r>
          </w:p>
        </w:tc>
        <w:tc>
          <w:tcPr>
            <w:vAlign w:val="center"/>
          </w:tcPr>
          <w:p>
            <w:pPr>
              <w:jc w:val="right"/>
            </w:pPr>
            <w:r>
              <w:rPr>
                <w:color w:val="000000"/>
                <w:kern w:val="0"/>
                <w:sz w:val="24"/>
                <w:szCs w:val="24"/>
              </w:rPr>
              <w:t>6.48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03690</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568,600</w:t>
            </w:r>
          </w:p>
        </w:tc>
        <w:tc>
          <w:tcPr>
            <w:vAlign w:val="center"/>
          </w:tcPr>
          <w:p>
            <w:pPr>
              <w:jc w:val="right"/>
            </w:pPr>
            <w:r>
              <w:rPr>
                <w:color w:val="000000"/>
                <w:kern w:val="0"/>
                <w:sz w:val="24"/>
                <w:szCs w:val="24"/>
              </w:rPr>
              <w:t>89,281,763.05</w:t>
            </w:r>
          </w:p>
        </w:tc>
        <w:tc>
          <w:tcPr>
            <w:vAlign w:val="center"/>
          </w:tcPr>
          <w:p>
            <w:pPr>
              <w:jc w:val="right"/>
            </w:pPr>
            <w:r>
              <w:rPr>
                <w:color w:val="000000"/>
                <w:kern w:val="0"/>
                <w:sz w:val="24"/>
                <w:szCs w:val="24"/>
              </w:rPr>
              <w:t>6.28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03888</w:t>
            </w:r>
          </w:p>
        </w:tc>
        <w:tc>
          <w:tcPr>
            <w:vAlign w:val="center"/>
          </w:tcPr>
          <w:p>
            <w:pPr>
              <w:jc w:val="center"/>
            </w:pPr>
            <w:r>
              <w:rPr>
                <w:color w:val="000000"/>
                <w:kern w:val="0"/>
                <w:sz w:val="24"/>
                <w:szCs w:val="24"/>
              </w:rPr>
              <w:t>金山软件</w:t>
            </w:r>
          </w:p>
        </w:tc>
        <w:tc>
          <w:tcPr>
            <w:vAlign w:val="center"/>
          </w:tcPr>
          <w:p>
            <w:pPr>
              <w:jc w:val="right"/>
            </w:pPr>
            <w:r>
              <w:rPr>
                <w:color w:val="000000"/>
                <w:kern w:val="0"/>
                <w:sz w:val="24"/>
                <w:szCs w:val="24"/>
              </w:rPr>
              <w:t>2,560,000</w:t>
            </w:r>
          </w:p>
        </w:tc>
        <w:tc>
          <w:tcPr>
            <w:vAlign w:val="center"/>
          </w:tcPr>
          <w:p>
            <w:pPr>
              <w:jc w:val="right"/>
            </w:pPr>
            <w:r>
              <w:rPr>
                <w:color w:val="000000"/>
                <w:kern w:val="0"/>
                <w:sz w:val="24"/>
                <w:szCs w:val="24"/>
              </w:rPr>
              <w:t>84,299,550.72</w:t>
            </w:r>
          </w:p>
        </w:tc>
        <w:tc>
          <w:tcPr>
            <w:vAlign w:val="center"/>
          </w:tcPr>
          <w:p>
            <w:pPr>
              <w:jc w:val="right"/>
            </w:pPr>
            <w:r>
              <w:rPr>
                <w:color w:val="000000"/>
                <w:kern w:val="0"/>
                <w:sz w:val="24"/>
                <w:szCs w:val="24"/>
              </w:rPr>
              <w:t>5.93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06098</w:t>
            </w:r>
          </w:p>
        </w:tc>
        <w:tc>
          <w:tcPr>
            <w:vAlign w:val="center"/>
          </w:tcPr>
          <w:p>
            <w:pPr>
              <w:jc w:val="center"/>
            </w:pPr>
            <w:r>
              <w:rPr>
                <w:color w:val="000000"/>
                <w:kern w:val="0"/>
                <w:sz w:val="24"/>
                <w:szCs w:val="24"/>
              </w:rPr>
              <w:t>碧桂园服务</w:t>
            </w:r>
          </w:p>
        </w:tc>
        <w:tc>
          <w:tcPr>
            <w:vAlign w:val="center"/>
          </w:tcPr>
          <w:p>
            <w:pPr>
              <w:jc w:val="right"/>
            </w:pPr>
            <w:r>
              <w:rPr>
                <w:color w:val="000000"/>
                <w:kern w:val="0"/>
                <w:sz w:val="24"/>
                <w:szCs w:val="24"/>
              </w:rPr>
              <w:t>2,430,000</w:t>
            </w:r>
          </w:p>
        </w:tc>
        <w:tc>
          <w:tcPr>
            <w:vAlign w:val="center"/>
          </w:tcPr>
          <w:p>
            <w:pPr>
              <w:jc w:val="right"/>
            </w:pPr>
            <w:r>
              <w:rPr>
                <w:color w:val="000000"/>
                <w:kern w:val="0"/>
                <w:sz w:val="24"/>
                <w:szCs w:val="24"/>
              </w:rPr>
              <w:t>79,907,731.20</w:t>
            </w:r>
          </w:p>
        </w:tc>
        <w:tc>
          <w:tcPr>
            <w:vAlign w:val="center"/>
          </w:tcPr>
          <w:p>
            <w:pPr>
              <w:jc w:val="right"/>
            </w:pPr>
            <w:r>
              <w:rPr>
                <w:color w:val="000000"/>
                <w:kern w:val="0"/>
                <w:sz w:val="24"/>
                <w:szCs w:val="24"/>
              </w:rPr>
              <w:t>5.62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00881</w:t>
            </w:r>
          </w:p>
        </w:tc>
        <w:tc>
          <w:tcPr>
            <w:vAlign w:val="center"/>
          </w:tcPr>
          <w:p>
            <w:pPr>
              <w:jc w:val="center"/>
            </w:pPr>
            <w:r>
              <w:rPr>
                <w:color w:val="000000"/>
                <w:kern w:val="0"/>
                <w:sz w:val="24"/>
                <w:szCs w:val="24"/>
              </w:rPr>
              <w:t>中升控股</w:t>
            </w:r>
          </w:p>
        </w:tc>
        <w:tc>
          <w:tcPr>
            <w:vAlign w:val="center"/>
          </w:tcPr>
          <w:p>
            <w:pPr>
              <w:jc w:val="right"/>
            </w:pPr>
            <w:r>
              <w:rPr>
                <w:color w:val="000000"/>
                <w:kern w:val="0"/>
                <w:sz w:val="24"/>
                <w:szCs w:val="24"/>
              </w:rPr>
              <w:t>1,800,000</w:t>
            </w:r>
          </w:p>
        </w:tc>
        <w:tc>
          <w:tcPr>
            <w:vAlign w:val="center"/>
          </w:tcPr>
          <w:p>
            <w:pPr>
              <w:jc w:val="right"/>
            </w:pPr>
            <w:r>
              <w:rPr>
                <w:color w:val="000000"/>
                <w:kern w:val="0"/>
                <w:sz w:val="24"/>
                <w:szCs w:val="24"/>
              </w:rPr>
              <w:t>70,535,836.80</w:t>
            </w:r>
          </w:p>
        </w:tc>
        <w:tc>
          <w:tcPr>
            <w:vAlign w:val="center"/>
          </w:tcPr>
          <w:p>
            <w:pPr>
              <w:jc w:val="right"/>
            </w:pPr>
            <w:r>
              <w:rPr>
                <w:color w:val="000000"/>
                <w:kern w:val="0"/>
                <w:sz w:val="24"/>
                <w:szCs w:val="24"/>
              </w:rPr>
              <w:t>4.96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01177</w:t>
            </w:r>
          </w:p>
        </w:tc>
        <w:tc>
          <w:tcPr>
            <w:vAlign w:val="center"/>
          </w:tcPr>
          <w:p>
            <w:pPr>
              <w:jc w:val="center"/>
            </w:pPr>
            <w:r>
              <w:rPr>
                <w:color w:val="000000"/>
                <w:kern w:val="0"/>
                <w:sz w:val="24"/>
                <w:szCs w:val="24"/>
              </w:rPr>
              <w:t>中国生物制药</w:t>
            </w:r>
          </w:p>
        </w:tc>
        <w:tc>
          <w:tcPr>
            <w:vAlign w:val="center"/>
          </w:tcPr>
          <w:p>
            <w:pPr>
              <w:jc w:val="right"/>
            </w:pPr>
            <w:r>
              <w:rPr>
                <w:color w:val="000000"/>
                <w:kern w:val="0"/>
                <w:sz w:val="24"/>
                <w:szCs w:val="24"/>
              </w:rPr>
              <w:t>4,843,000</w:t>
            </w:r>
          </w:p>
        </w:tc>
        <w:tc>
          <w:tcPr>
            <w:vAlign w:val="center"/>
          </w:tcPr>
          <w:p>
            <w:pPr>
              <w:jc w:val="right"/>
            </w:pPr>
            <w:r>
              <w:rPr>
                <w:color w:val="000000"/>
                <w:kern w:val="0"/>
                <w:sz w:val="24"/>
                <w:szCs w:val="24"/>
              </w:rPr>
              <w:t>64,587,332.83</w:t>
            </w:r>
          </w:p>
        </w:tc>
        <w:tc>
          <w:tcPr>
            <w:vAlign w:val="center"/>
          </w:tcPr>
          <w:p>
            <w:pPr>
              <w:jc w:val="right"/>
            </w:pPr>
            <w:r>
              <w:rPr>
                <w:color w:val="000000"/>
                <w:kern w:val="0"/>
                <w:sz w:val="24"/>
                <w:szCs w:val="24"/>
              </w:rPr>
              <w:t>4.54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00291</w:t>
            </w:r>
          </w:p>
        </w:tc>
        <w:tc>
          <w:tcPr>
            <w:vAlign w:val="center"/>
          </w:tcPr>
          <w:p>
            <w:pPr>
              <w:jc w:val="center"/>
            </w:pPr>
            <w:r>
              <w:rPr>
                <w:color w:val="000000"/>
                <w:kern w:val="0"/>
                <w:sz w:val="24"/>
                <w:szCs w:val="24"/>
              </w:rPr>
              <w:t>华润啤酒</w:t>
            </w:r>
          </w:p>
        </w:tc>
        <w:tc>
          <w:tcPr>
            <w:vAlign w:val="center"/>
          </w:tcPr>
          <w:p>
            <w:pPr>
              <w:jc w:val="right"/>
            </w:pPr>
            <w:r>
              <w:rPr>
                <w:color w:val="000000"/>
                <w:kern w:val="0"/>
                <w:sz w:val="24"/>
                <w:szCs w:val="24"/>
              </w:rPr>
              <w:t>1,546,000</w:t>
            </w:r>
          </w:p>
        </w:tc>
        <w:tc>
          <w:tcPr>
            <w:vAlign w:val="center"/>
          </w:tcPr>
          <w:p>
            <w:pPr>
              <w:jc w:val="right"/>
            </w:pPr>
            <w:r>
              <w:rPr>
                <w:color w:val="000000"/>
                <w:kern w:val="0"/>
                <w:sz w:val="24"/>
                <w:szCs w:val="24"/>
              </w:rPr>
              <w:t>61,006,099.97</w:t>
            </w:r>
          </w:p>
        </w:tc>
        <w:tc>
          <w:tcPr>
            <w:vAlign w:val="center"/>
          </w:tcPr>
          <w:p>
            <w:pPr>
              <w:jc w:val="right"/>
            </w:pPr>
            <w:r>
              <w:rPr>
                <w:color w:val="000000"/>
                <w:kern w:val="0"/>
                <w:sz w:val="24"/>
                <w:szCs w:val="24"/>
              </w:rPr>
              <w:t>4.29</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03808</w:t>
            </w:r>
          </w:p>
        </w:tc>
        <w:tc>
          <w:tcPr>
            <w:vAlign w:val="center"/>
          </w:tcPr>
          <w:p>
            <w:pPr>
              <w:jc w:val="center"/>
            </w:pPr>
            <w:r>
              <w:rPr>
                <w:color w:val="000000"/>
                <w:kern w:val="0"/>
                <w:sz w:val="24"/>
                <w:szCs w:val="24"/>
              </w:rPr>
              <w:t>中国重汽</w:t>
            </w:r>
          </w:p>
        </w:tc>
        <w:tc>
          <w:tcPr>
            <w:vAlign w:val="center"/>
          </w:tcPr>
          <w:p>
            <w:pPr>
              <w:jc w:val="right"/>
            </w:pPr>
            <w:r>
              <w:rPr>
                <w:color w:val="000000"/>
                <w:kern w:val="0"/>
                <w:sz w:val="24"/>
                <w:szCs w:val="24"/>
              </w:rPr>
              <w:t>3,123,500</w:t>
            </w:r>
          </w:p>
        </w:tc>
        <w:tc>
          <w:tcPr>
            <w:vAlign w:val="center"/>
          </w:tcPr>
          <w:p>
            <w:pPr>
              <w:jc w:val="right"/>
            </w:pPr>
            <w:r>
              <w:rPr>
                <w:color w:val="000000"/>
                <w:kern w:val="0"/>
                <w:sz w:val="24"/>
                <w:szCs w:val="24"/>
              </w:rPr>
              <w:t>57,205,253.29</w:t>
            </w:r>
          </w:p>
        </w:tc>
        <w:tc>
          <w:tcPr>
            <w:vAlign w:val="center"/>
          </w:tcPr>
          <w:p>
            <w:pPr>
              <w:jc w:val="right"/>
            </w:pPr>
            <w:r>
              <w:rPr>
                <w:color w:val="000000"/>
                <w:kern w:val="0"/>
                <w:sz w:val="24"/>
                <w:szCs w:val="24"/>
              </w:rPr>
              <w:t>4.02</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50,070,000.00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3.52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50,070,000.00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3.52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50,070,000.00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3.52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200201</w:t>
            </w:r>
          </w:p>
        </w:tc>
        <w:tc>
          <w:tcPr>
            <w:vAlign w:val="center"/>
          </w:tcPr>
          <w:p>
            <w:pPr>
              <w:jc w:val="center"/>
            </w:pPr>
            <w:r>
              <w:rPr>
                <w:color w:val="000000"/>
                <w:kern w:val="0"/>
                <w:sz w:val="24"/>
                <w:szCs w:val="24"/>
              </w:rPr>
              <w:t>20国开01</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50,070,000.00</w:t>
            </w:r>
          </w:p>
        </w:tc>
        <w:tc>
          <w:tcPr>
            <w:vAlign w:val="center"/>
          </w:tcPr>
          <w:p>
            <w:pPr>
              <w:jc w:val="right"/>
            </w:pPr>
            <w:r>
              <w:rPr>
                <w:color w:val="000000"/>
                <w:kern w:val="0"/>
                <w:sz w:val="24"/>
                <w:szCs w:val="24"/>
              </w:rPr>
              <w:t>3.52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446,979.49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13,834,087.23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4,820,946.64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560,001.83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3,211,657.96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22,873,673.15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1,770,172,193.38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78,894,588.56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382,357,451.14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1,466,709,330.80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1.中国证监会准予易方达港股通红利灵活配置混合型证券投资基金注册的文件；</w:t>
      </w:r>
    </w:p>
    <w:p>
      <w:pPr>
        <w:spacing w:line="360" w:lineRule="auto"/>
        <w:ind w:firstLine="480" w:firstLineChars="200"/>
        <w:rPr>
          <w:color w:val="000000"/>
          <w:sz w:val="24"/>
          <w:szCs w:val="24"/>
        </w:rPr>
      </w:pPr>
      <w:r>
        <w:rPr>
          <w:color w:val="000000"/>
          <w:sz w:val="24"/>
          <w:szCs w:val="24"/>
        </w:rPr>
        <w:t>2.《易方达港股通红利灵活配置混合型证券投资基金基金合同》；</w:t>
      </w:r>
    </w:p>
    <w:p>
      <w:pPr>
        <w:spacing w:line="360" w:lineRule="auto"/>
        <w:ind w:firstLine="480" w:firstLineChars="200"/>
        <w:rPr>
          <w:color w:val="000000"/>
          <w:sz w:val="24"/>
          <w:szCs w:val="24"/>
        </w:rPr>
      </w:pPr>
      <w:r>
        <w:rPr>
          <w:color w:val="000000"/>
          <w:sz w:val="24"/>
          <w:szCs w:val="24"/>
        </w:rPr>
        <w:t>3.《易方达港股通红利灵活配置混合型证券投资基金托管协议》；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易方达港股通红利灵活配置混合型证券投资基金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