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易方达恒安定期开放债券型发起式证券投资基金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平安银行股份有限公司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基金托管人平安银行股份有限公司根据本基金合同规定，于2020年7月17日复核了本报告中的财务指标、净值表现和投资组合报告等内容，保证复核内容不存在虚假记载、误导性陈述或者重大遗漏。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易方达恒安定开债券发起式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005439</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005439</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2018年5月15日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1,989,814,814.81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基金管理人主要通过分析影响债券市场的各类要素，对债券组合的平均久期、期限结构、类属品种进行有效配置，力争为投资人提供长期稳定的投资回报。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封闭运作期与开放运作期采取不同的投资策略。封闭期内，本基金将采取积极管理的投资策略，在分析和判断宏观经济运行状况和金融市场运行趋势的基础上，自上而下地决定债券组合久期及类属配置；同时在严谨深入的信用分析的基础上，自下而上地精选个券，力争获得超越业绩比较基准的投资回报。开放运作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中债新综合指数（全价）收益率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平安银行股份有限公司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43,627,121.65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-1,649,472.91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2,086,745,239.00</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1.0487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0.15%</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0.96%</w:t>
            </w:r>
          </w:p>
        </w:tc>
        <w:tc>
          <w:tcPr>
            <w:vAlign w:val="center"/>
          </w:tcPr>
          <w:p>
            <w:pPr>
              <w:jc w:val="center"/>
            </w:pPr>
            <w:r>
              <w:rPr>
                <w:color w:val="000000"/>
                <w:kern w:val="0"/>
                <w:sz w:val="24"/>
                <w:szCs w:val="24"/>
              </w:rPr>
              <w:t>0.03%</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1.97%</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1.18%</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3.90%</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1.87%</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2.03%</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11.11%</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5.17%</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5.94%</w:t>
            </w:r>
          </w:p>
        </w:tc>
        <w:tc>
          <w:tcPr>
            <w:vAlign w:val="center"/>
          </w:tcPr>
          <w:p>
            <w:pPr>
              <w:jc w:val="center"/>
            </w:pPr>
            <w:r>
              <w:rPr>
                <w:color w:val="000000"/>
                <w:kern w:val="0"/>
                <w:sz w:val="24"/>
                <w:szCs w:val="24"/>
              </w:rPr>
              <w:t>0.00%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易方达恒安定期开放债券型发起式证券投资基金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2018年5月15日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注：自基金合同生效至报告期末，基金份额净值增长率为11.11%，同期业绩比较基准收益率为5.17%。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双债增强债券型证券投资基金的基金经理、易方达富财纯债债券型证券投资基金的基金经理、易方达安瑞短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2018-05-15</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szCs w:val="24"/>
        </w:rPr>
      </w:pPr>
      <w:r>
        <w:rPr>
          <w:color w:val="000000"/>
          <w:sz w:val="24"/>
          <w:szCs w:val="24"/>
        </w:rPr>
        <w:t>2.证券从业的含义遵从《证券业从业人员资格管理办法》的相关规定。</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3.本基金基金经理王晓晨曾因休产假超过30日，在其休假期间，本基金暂由我公司基金经理石大怿代为履行基金经理职责。在本报告期内，基金经理王晓晨已结束休假恢复履职。</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szCs w:val="24"/>
        </w:rPr>
      </w:pPr>
      <w:r>
        <w:rPr>
          <w:color w:val="000000"/>
          <w:sz w:val="24"/>
          <w:szCs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报告期内本基金灵活调整组合杠杆和久期，整体保持了较高的杠杆水平和中性的久期，主要配置中短久期高等级信用债，少量参与利率债波段，信用债为本基金贡献最大收益。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截至报告期末，本基金份额净值为1.0487元，本报告期份额净值增长率为-0.08%，同期业绩比较基准收益率为-1.04%。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2,809,451,000.00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96.08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2,809,451,000.00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96.08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72,327,799.92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42,245,780.44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2,924,024,580.36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109,076,000.00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5.23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109,076,000.00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5.23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1,276,036,000.00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61.15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1,424,339,000.00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68.26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2,809,451,000.00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134.63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155098</w:t>
            </w:r>
          </w:p>
        </w:tc>
        <w:tc>
          <w:tcPr>
            <w:vAlign w:val="center"/>
          </w:tcPr>
          <w:p>
            <w:pPr>
              <w:jc w:val="center"/>
            </w:pPr>
            <w:r>
              <w:rPr>
                <w:color w:val="000000"/>
                <w:kern w:val="0"/>
                <w:sz w:val="24"/>
                <w:szCs w:val="24"/>
              </w:rPr>
              <w:t>19国管01</w:t>
            </w:r>
          </w:p>
        </w:tc>
        <w:tc>
          <w:tcPr>
            <w:vAlign w:val="center"/>
          </w:tcPr>
          <w:p>
            <w:pPr>
              <w:jc w:val="right"/>
            </w:pPr>
            <w:r>
              <w:rPr>
                <w:color w:val="000000"/>
                <w:kern w:val="0"/>
                <w:sz w:val="24"/>
                <w:szCs w:val="24"/>
              </w:rPr>
              <w:t>1,300,000</w:t>
            </w:r>
          </w:p>
        </w:tc>
        <w:tc>
          <w:tcPr>
            <w:vAlign w:val="center"/>
          </w:tcPr>
          <w:p>
            <w:pPr>
              <w:jc w:val="right"/>
            </w:pPr>
            <w:r>
              <w:rPr>
                <w:color w:val="000000"/>
                <w:kern w:val="0"/>
                <w:sz w:val="24"/>
                <w:szCs w:val="24"/>
              </w:rPr>
              <w:t>131,976,000.00</w:t>
            </w:r>
          </w:p>
        </w:tc>
        <w:tc>
          <w:tcPr>
            <w:vAlign w:val="center"/>
          </w:tcPr>
          <w:p>
            <w:pPr>
              <w:jc w:val="right"/>
            </w:pPr>
            <w:r>
              <w:rPr>
                <w:color w:val="000000"/>
                <w:kern w:val="0"/>
                <w:sz w:val="24"/>
                <w:szCs w:val="24"/>
              </w:rPr>
              <w:t>6.32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200206</w:t>
            </w:r>
          </w:p>
        </w:tc>
        <w:tc>
          <w:tcPr>
            <w:vAlign w:val="center"/>
          </w:tcPr>
          <w:p>
            <w:pPr>
              <w:jc w:val="center"/>
            </w:pPr>
            <w:r>
              <w:rPr>
                <w:color w:val="000000"/>
                <w:kern w:val="0"/>
                <w:sz w:val="24"/>
                <w:szCs w:val="24"/>
              </w:rPr>
              <w:t>20国开06</w:t>
            </w:r>
          </w:p>
        </w:tc>
        <w:tc>
          <w:tcPr>
            <w:vAlign w:val="center"/>
          </w:tcPr>
          <w:p>
            <w:pPr>
              <w:jc w:val="right"/>
            </w:pPr>
            <w:r>
              <w:rPr>
                <w:color w:val="000000"/>
                <w:kern w:val="0"/>
                <w:sz w:val="24"/>
                <w:szCs w:val="24"/>
              </w:rPr>
              <w:t>1,100,000</w:t>
            </w:r>
          </w:p>
        </w:tc>
        <w:tc>
          <w:tcPr>
            <w:vAlign w:val="center"/>
          </w:tcPr>
          <w:p>
            <w:pPr>
              <w:jc w:val="right"/>
            </w:pPr>
            <w:r>
              <w:rPr>
                <w:color w:val="000000"/>
                <w:kern w:val="0"/>
                <w:sz w:val="24"/>
                <w:szCs w:val="24"/>
              </w:rPr>
              <w:t>109,076,000.00</w:t>
            </w:r>
          </w:p>
        </w:tc>
        <w:tc>
          <w:tcPr>
            <w:vAlign w:val="center"/>
          </w:tcPr>
          <w:p>
            <w:pPr>
              <w:jc w:val="right"/>
            </w:pPr>
            <w:r>
              <w:rPr>
                <w:color w:val="000000"/>
                <w:kern w:val="0"/>
                <w:sz w:val="24"/>
                <w:szCs w:val="24"/>
              </w:rPr>
              <w:t>5.23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155743</w:t>
            </w:r>
          </w:p>
        </w:tc>
        <w:tc>
          <w:tcPr>
            <w:vAlign w:val="center"/>
          </w:tcPr>
          <w:p>
            <w:pPr>
              <w:jc w:val="center"/>
            </w:pPr>
            <w:r>
              <w:rPr>
                <w:color w:val="000000"/>
                <w:kern w:val="0"/>
                <w:sz w:val="24"/>
                <w:szCs w:val="24"/>
              </w:rPr>
              <w:t>19保利03</w:t>
            </w:r>
          </w:p>
        </w:tc>
        <w:tc>
          <w:tcPr>
            <w:vAlign w:val="center"/>
          </w:tcPr>
          <w:p>
            <w:pPr>
              <w:jc w:val="right"/>
            </w:pPr>
            <w:r>
              <w:rPr>
                <w:color w:val="000000"/>
                <w:kern w:val="0"/>
                <w:sz w:val="24"/>
                <w:szCs w:val="24"/>
              </w:rPr>
              <w:t>1,000,000</w:t>
            </w:r>
          </w:p>
        </w:tc>
        <w:tc>
          <w:tcPr>
            <w:vAlign w:val="center"/>
          </w:tcPr>
          <w:p>
            <w:pPr>
              <w:jc w:val="right"/>
            </w:pPr>
            <w:r>
              <w:rPr>
                <w:color w:val="000000"/>
                <w:kern w:val="0"/>
                <w:sz w:val="24"/>
                <w:szCs w:val="24"/>
              </w:rPr>
              <w:t>100,540,000.00</w:t>
            </w:r>
          </w:p>
        </w:tc>
        <w:tc>
          <w:tcPr>
            <w:vAlign w:val="center"/>
          </w:tcPr>
          <w:p>
            <w:pPr>
              <w:jc w:val="right"/>
            </w:pPr>
            <w:r>
              <w:rPr>
                <w:color w:val="000000"/>
                <w:kern w:val="0"/>
                <w:sz w:val="24"/>
                <w:szCs w:val="24"/>
              </w:rPr>
              <w:t>4.82</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102001128</w:t>
            </w:r>
          </w:p>
        </w:tc>
        <w:tc>
          <w:tcPr>
            <w:vAlign w:val="center"/>
          </w:tcPr>
          <w:p>
            <w:pPr>
              <w:jc w:val="center"/>
            </w:pPr>
            <w:r>
              <w:rPr>
                <w:color w:val="000000"/>
                <w:kern w:val="0"/>
                <w:sz w:val="24"/>
                <w:szCs w:val="24"/>
              </w:rPr>
              <w:t>20中铁股MTN004</w:t>
            </w:r>
          </w:p>
        </w:tc>
        <w:tc>
          <w:tcPr>
            <w:vAlign w:val="center"/>
          </w:tcPr>
          <w:p>
            <w:pPr>
              <w:jc w:val="right"/>
            </w:pPr>
            <w:r>
              <w:rPr>
                <w:color w:val="000000"/>
                <w:kern w:val="0"/>
                <w:sz w:val="24"/>
                <w:szCs w:val="24"/>
              </w:rPr>
              <w:t>1,000,000</w:t>
            </w:r>
          </w:p>
        </w:tc>
        <w:tc>
          <w:tcPr>
            <w:vAlign w:val="center"/>
          </w:tcPr>
          <w:p>
            <w:pPr>
              <w:jc w:val="right"/>
            </w:pPr>
            <w:r>
              <w:rPr>
                <w:color w:val="000000"/>
                <w:kern w:val="0"/>
                <w:sz w:val="24"/>
                <w:szCs w:val="24"/>
              </w:rPr>
              <w:t>99,820,000.00</w:t>
            </w:r>
          </w:p>
        </w:tc>
        <w:tc>
          <w:tcPr>
            <w:vAlign w:val="center"/>
          </w:tcPr>
          <w:p>
            <w:pPr>
              <w:jc w:val="right"/>
            </w:pPr>
            <w:r>
              <w:rPr>
                <w:color w:val="000000"/>
                <w:kern w:val="0"/>
                <w:sz w:val="24"/>
                <w:szCs w:val="24"/>
              </w:rPr>
              <w:t>4.78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143069</w:t>
            </w:r>
          </w:p>
        </w:tc>
        <w:tc>
          <w:tcPr>
            <w:vAlign w:val="center"/>
          </w:tcPr>
          <w:p>
            <w:pPr>
              <w:jc w:val="center"/>
            </w:pPr>
            <w:r>
              <w:rPr>
                <w:color w:val="000000"/>
                <w:kern w:val="0"/>
                <w:sz w:val="24"/>
                <w:szCs w:val="24"/>
              </w:rPr>
              <w:t>17川投01</w:t>
            </w:r>
          </w:p>
        </w:tc>
        <w:tc>
          <w:tcPr>
            <w:vAlign w:val="center"/>
          </w:tcPr>
          <w:p>
            <w:pPr>
              <w:jc w:val="right"/>
            </w:pPr>
            <w:r>
              <w:rPr>
                <w:color w:val="000000"/>
                <w:kern w:val="0"/>
                <w:sz w:val="24"/>
                <w:szCs w:val="24"/>
              </w:rPr>
              <w:t>900,000</w:t>
            </w:r>
          </w:p>
        </w:tc>
        <w:tc>
          <w:tcPr>
            <w:vAlign w:val="center"/>
          </w:tcPr>
          <w:p>
            <w:pPr>
              <w:jc w:val="right"/>
            </w:pPr>
            <w:r>
              <w:rPr>
                <w:color w:val="000000"/>
                <w:kern w:val="0"/>
                <w:sz w:val="24"/>
                <w:szCs w:val="24"/>
              </w:rPr>
              <w:t>89,928,000.00</w:t>
            </w:r>
          </w:p>
        </w:tc>
        <w:tc>
          <w:tcPr>
            <w:vAlign w:val="center"/>
          </w:tcPr>
          <w:p>
            <w:pPr>
              <w:jc w:val="right"/>
            </w:pPr>
            <w:r>
              <w:rPr>
                <w:color w:val="000000"/>
                <w:kern w:val="0"/>
                <w:sz w:val="24"/>
                <w:szCs w:val="24"/>
              </w:rPr>
              <w:t>4.31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2020年1月6日，深圳市交通运输局依据《建设工程安全生产管理条例》第六十二条第（三）项、《中华人民共和国安全生产法》第九十六条第（一）项，对中国中铁股份有限公司“未在施工现场的危险部位设置明显的安全警示标志，或者未按照国家有关规定在施工现场设置消防通道、消防水源、配备消防设施和灭火器材”、“未在有较大危险因素的生产经营场所和有关设施、设备上设置明显的安全警示标志”的行为罚款10000元。</w:t>
      </w:r>
    </w:p>
    <w:p>
      <w:pPr>
        <w:spacing w:line="360" w:lineRule="auto"/>
        <w:rPr>
          <w:rFonts w:ascii="宋体" w:hAnsi="宋体"/>
          <w:color w:val="000000"/>
          <w:sz w:val="24"/>
          <w:szCs w:val="24"/>
        </w:rPr>
      </w:pPr>
      <w:r>
        <w:rPr>
          <w:rFonts w:ascii="宋体" w:hAnsi="宋体"/>
          <w:color w:val="000000"/>
          <w:sz w:val="24"/>
          <w:szCs w:val="24"/>
        </w:rPr>
        <w:t>本基金投资20中铁股MTN004的投资决策程序符合公司投资制度的规定。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除20中铁股MTN004外，本基金投资的前十名证券的发行主体本期没有出现被监管部门立案调查，或在报告编制日前一年内受到公开谴责、处罚的情形。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215,497.97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42,030,282.47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42,245,780.44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1,989,814,814.81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1,989,814,814.81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0.5026</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0.5026%</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0.5026%</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0.5026%</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0.5026%</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1,979,814,814.81</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1,979,814,814.81</w:t>
            </w:r>
          </w:p>
        </w:tc>
        <w:tc>
          <w:tcPr>
            <w:vAlign w:val="center"/>
          </w:tcPr>
          <w:p>
            <w:pPr>
              <w:jc w:val="center"/>
            </w:pPr>
            <w:r>
              <w:rPr>
                <w:sz w:val="24"/>
                <w:szCs w:val="24"/>
              </w:rPr>
              <w:t>99.50%</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9.2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1、定期开放运作的风险</w:t>
      </w:r>
    </w:p>
    <w:p>
      <w:pPr>
        <w:spacing w:line="360" w:lineRule="auto"/>
        <w:ind w:firstLine="480" w:firstLineChars="200"/>
        <w:rPr>
          <w:color w:val="000000"/>
          <w:sz w:val="24"/>
          <w:szCs w:val="24"/>
        </w:rPr>
      </w:pPr>
      <w:r>
        <w:rPr>
          <w:rFonts w:eastAsiaTheme="minorEastAsia"/>
          <w:color w:themeColor="text1" w:val="000000"/>
          <w:sz w:val="24"/>
          <w:szCs w:val="24"/>
        </w:rPr>
        <w:t>（1）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（2）基金合同生效后的首个运作期为封闭运作期，自基金合同生效日至基金管理人规定的时间，首个封闭运作期可能少于或者超过3个月，投资者应仔细阅读相关法律文件及公告，并及时行使相关权利。</w:t>
      </w:r>
    </w:p>
    <w:p>
      <w:pPr>
        <w:spacing w:line="360" w:lineRule="auto"/>
        <w:ind w:firstLine="480" w:firstLineChars="200"/>
        <w:rPr>
          <w:color w:val="000000"/>
          <w:sz w:val="24"/>
          <w:szCs w:val="24"/>
        </w:rPr>
      </w:pPr>
      <w:r>
        <w:rPr>
          <w:rFonts w:eastAsiaTheme="minorEastAsia"/>
          <w:color w:themeColor="text1" w:val="000000"/>
          <w:sz w:val="24"/>
          <w:szCs w:val="24"/>
        </w:rPr>
        <w:t>（3）除首个运作期封闭运作外，本基金的运作期包含“封闭运作期”和“开放运作期”，运作期期限3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2、单一投资者或者构成一致行动人的多个投资者持有基金份额可达到或者超过50%的风险</w:t>
      </w:r>
    </w:p>
    <w:p>
      <w:pPr>
        <w:spacing w:line="360" w:lineRule="auto"/>
        <w:ind w:firstLine="480" w:firstLineChars="200"/>
        <w:rPr>
          <w:color w:val="000000"/>
          <w:sz w:val="24"/>
          <w:szCs w:val="24"/>
        </w:rPr>
      </w:pPr>
      <w:r>
        <w:rPr>
          <w:rFonts w:eastAsiaTheme="minorEastAsia"/>
          <w:color w:themeColor="text1" w:val="000000"/>
          <w:sz w:val="24"/>
          <w:szCs w:val="24"/>
        </w:rPr>
        <w:t>（1）本基金单一投资者或者构成一致行动人的多个投资者持有基金份额可达到或者超过50%，单一投资者或者构成一致行动人的多个投资者大额赎回时，可能会对本基金资产运作及净值表现产生较大影响。</w:t>
      </w:r>
    </w:p>
    <w:p>
      <w:pPr>
        <w:spacing w:line="360" w:lineRule="auto"/>
        <w:ind w:firstLine="480" w:firstLineChars="200"/>
        <w:rPr>
          <w:color w:val="000000"/>
          <w:sz w:val="24"/>
          <w:szCs w:val="24"/>
        </w:rPr>
      </w:pPr>
      <w:r>
        <w:rPr>
          <w:rFonts w:eastAsiaTheme="minorEastAsia"/>
          <w:color w:themeColor="text1" w:val="000000"/>
          <w:sz w:val="24"/>
          <w:szCs w:val="24"/>
        </w:rPr>
        <w:t>（2）巨额赎回的风险</w:t>
      </w:r>
    </w:p>
    <w:p>
      <w:pPr>
        <w:spacing w:line="360" w:lineRule="auto"/>
        <w:ind w:firstLine="480" w:firstLineChars="200"/>
        <w:rPr>
          <w:color w:val="000000"/>
          <w:sz w:val="24"/>
          <w:szCs w:val="24"/>
        </w:rPr>
      </w:pPr>
      <w:r>
        <w:rPr>
          <w:rFonts w:eastAsiaTheme="minorEastAsia"/>
          <w:color w:themeColor="text1" w:val="000000"/>
          <w:sz w:val="24"/>
          <w:szCs w:val="24"/>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pPr>
        <w:spacing w:line="360" w:lineRule="auto"/>
        <w:ind w:firstLine="480" w:firstLineChars="200"/>
        <w:rPr>
          <w:color w:val="000000"/>
          <w:sz w:val="24"/>
          <w:szCs w:val="24"/>
        </w:rPr>
      </w:pPr>
      <w:r>
        <w:rPr>
          <w:rFonts w:eastAsiaTheme="minorEastAsia"/>
          <w:color w:themeColor="text1" w:val="000000"/>
          <w:sz w:val="24"/>
          <w:szCs w:val="24"/>
        </w:rPr>
        <w:t>3、转换运作方式、与其他基金合并或者终止基金合同的风险</w:t>
      </w:r>
    </w:p>
    <w:p>
      <w:pPr>
        <w:spacing w:line="360" w:lineRule="auto"/>
        <w:ind w:firstLine="480" w:firstLineChars="200"/>
        <w:rPr>
          <w:color w:val="000000"/>
          <w:sz w:val="24"/>
          <w:szCs w:val="24"/>
        </w:rPr>
      </w:pPr>
      <w:r>
        <w:rPr>
          <w:rFonts w:eastAsiaTheme="minorEastAsia"/>
          <w:color w:themeColor="text1" w:val="000000"/>
          <w:sz w:val="24"/>
          <w:szCs w:val="24"/>
        </w:rPr>
        <w:t>（1）本基金的销售对象主要为机构投资者，不向个人投资者公开发售，基金持续营销及募集规模可能受到影响，若基金合同生效之日起三年后的对应日基金资产净值低于2亿元，基金合同自动终止且不得通过召开基金份额持有人大会延续，投资者将面临基金合同终止的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2）本基金基金合同生效满三年后继续存续的，若连续60个工作日出现基金资产净值低于5000万元情形，基金管理人应当向中国证监会报告并提出解决方案，如转换运作方式、与其他基金合并或者终止基金合同等，并召开基金份额持有人大会进行表决。投资者面临转换基金运作方式、与其他基金合并或终止基金合同的风险。</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1.中国证监会准予易方达恒安定期开放债券型发起式证券投资基金注册的文件；</w:t>
      </w:r>
    </w:p>
    <w:p>
      <w:pPr>
        <w:spacing w:line="360" w:lineRule="auto"/>
        <w:ind w:firstLine="480" w:firstLineChars="200"/>
        <w:rPr>
          <w:color w:val="000000"/>
          <w:sz w:val="24"/>
          <w:szCs w:val="24"/>
        </w:rPr>
      </w:pPr>
      <w:r>
        <w:rPr>
          <w:color w:val="000000"/>
          <w:sz w:val="24"/>
          <w:szCs w:val="24"/>
        </w:rPr>
        <w:t>2.《易方达恒安定期开放债券型发起式证券投资基金基金合同》；</w:t>
      </w:r>
    </w:p>
    <w:p>
      <w:pPr>
        <w:spacing w:line="360" w:lineRule="auto"/>
        <w:ind w:firstLine="480" w:firstLineChars="200"/>
        <w:rPr>
          <w:color w:val="000000"/>
          <w:sz w:val="24"/>
          <w:szCs w:val="24"/>
        </w:rPr>
      </w:pPr>
      <w:r>
        <w:rPr>
          <w:color w:val="000000"/>
          <w:sz w:val="24"/>
          <w:szCs w:val="24"/>
        </w:rPr>
        <w:t>3.《易方达恒安定期开放债券型发起式证券投资基金托管协议》；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易方达恒安定期开放债券型发起式证券投资基金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