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易方达易百智能量化策略灵活配置混合型证券投资基金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易方达易百智能量化策略混合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005437</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2018年1月24日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142,370,296.74</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xml:space="preserve"> 本基金主要依托于百度提供的特色数据及其数据处理能力，通过大数据挖掘和分析技术，结合基金管理人自主研发的量化策略进行投资组合管理，追求基金资产的长期稳健增值。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主要借助百度在人工智能技术和算法方面的优势，同时结合其特有的互联网大数据，对证券市场相关数据进行深度分析，在海外成熟的多因子量化选股框架下扩充因子维度，对股票超额收益进行预测，并据此筛选具有投资价值的股票构建投资组合。同时，本基金也可应用定向增发套利与大宗交易套利等多种量化套利策略，根据各策略的预期收益、风险及其所使用的市场环境，发现和捕捉因市场波动及无效定价带来的价差机会，力争获取超越业绩比较基准的投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沪深300指数收益率×65%+中债新综合指数（财富）收益率×35%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易方达易百智能量化策略混合A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易方达易百智能量化策略混合C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005437</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005438</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138,063,350.10</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4,306,946.64</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易方达易百智能量化策略混合A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易方达易百智能量化策略混合C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4,756,069.77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123,343.25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27,414,249.73</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668,931.87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0.1457</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0.1527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148,549,008.05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4,599,714.01</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1.0759</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1.0680</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易方达易百智能量化策略混合A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16.69%</w:t>
            </w:r>
          </w:p>
        </w:tc>
        <w:tc>
          <w:tcPr>
            <w:vAlign w:val="center"/>
          </w:tcPr>
          <w:p>
            <w:pPr>
              <w:jc w:val="center"/>
            </w:pPr>
            <w:r>
              <w:rPr>
                <w:color w:val="000000"/>
                <w:sz w:val="24"/>
              </w:rPr>
              <w:t>0.87%</w:t>
            </w:r>
          </w:p>
        </w:tc>
        <w:tc>
          <w:tcPr>
            <w:vAlign w:val="center"/>
          </w:tcPr>
          <w:p>
            <w:pPr>
              <w:jc w:val="center"/>
            </w:pPr>
            <w:r>
              <w:rPr>
                <w:color w:val="000000"/>
                <w:sz w:val="24"/>
              </w:rPr>
              <w:t>8.35%</w:t>
            </w:r>
          </w:p>
        </w:tc>
        <w:tc>
          <w:tcPr>
            <w:vAlign w:val="center"/>
          </w:tcPr>
          <w:p>
            <w:pPr>
              <w:jc w:val="center"/>
            </w:pPr>
            <w:r>
              <w:rPr>
                <w:color w:val="000000"/>
                <w:sz w:val="24"/>
              </w:rPr>
              <w:t>0.58%</w:t>
            </w:r>
          </w:p>
        </w:tc>
        <w:tc>
          <w:tcPr>
            <w:vAlign w:val="center"/>
          </w:tcPr>
          <w:p>
            <w:pPr>
              <w:jc w:val="center"/>
            </w:pPr>
            <w:r>
              <w:rPr>
                <w:color w:val="000000"/>
                <w:sz w:val="24"/>
              </w:rPr>
              <w:t>8.34%</w:t>
            </w:r>
          </w:p>
        </w:tc>
        <w:tc>
          <w:tcPr>
            <w:vAlign w:val="center"/>
          </w:tcPr>
          <w:p>
            <w:pPr>
              <w:jc w:val="center"/>
            </w:pPr>
            <w:r>
              <w:rPr>
                <w:color w:val="000000"/>
                <w:sz w:val="24"/>
              </w:rPr>
              <w:t>0.29%</w:t>
            </w:r>
          </w:p>
        </w:tc>
      </w:tr>
      <w:tr>
        <w:tc>
          <w:tcPr>
            <w:vAlign w:val="center"/>
          </w:tcPr>
          <w:p>
            <w:pPr>
              <w:jc w:val="left"/>
            </w:pPr>
            <w:r>
              <w:rPr>
                <w:color w:val="000000"/>
                <w:sz w:val="24"/>
              </w:rPr>
              <w:t>过去六个月</w:t>
            </w:r>
          </w:p>
        </w:tc>
        <w:tc>
          <w:tcPr>
            <w:vAlign w:val="center"/>
          </w:tcPr>
          <w:p>
            <w:pPr>
              <w:jc w:val="center"/>
            </w:pPr>
            <w:r>
              <w:rPr>
                <w:color w:val="000000"/>
                <w:sz w:val="24"/>
              </w:rPr>
              <w:t>10.31%</w:t>
            </w:r>
          </w:p>
        </w:tc>
        <w:tc>
          <w:tcPr>
            <w:vAlign w:val="center"/>
          </w:tcPr>
          <w:p>
            <w:pPr>
              <w:jc w:val="center"/>
            </w:pPr>
            <w:r>
              <w:rPr>
                <w:color w:val="000000"/>
                <w:sz w:val="24"/>
              </w:rPr>
              <w:t>1.47%</w:t>
            </w:r>
          </w:p>
        </w:tc>
        <w:tc>
          <w:tcPr>
            <w:vAlign w:val="center"/>
          </w:tcPr>
          <w:p>
            <w:pPr>
              <w:jc w:val="center"/>
            </w:pPr>
            <w:r>
              <w:rPr>
                <w:color w:val="000000"/>
                <w:sz w:val="24"/>
              </w:rPr>
              <w:t>1.89%</w:t>
            </w:r>
          </w:p>
        </w:tc>
        <w:tc>
          <w:tcPr>
            <w:vAlign w:val="center"/>
          </w:tcPr>
          <w:p>
            <w:pPr>
              <w:jc w:val="center"/>
            </w:pPr>
            <w:r>
              <w:rPr>
                <w:color w:val="000000"/>
                <w:sz w:val="24"/>
              </w:rPr>
              <w:t>0.97%</w:t>
            </w:r>
          </w:p>
        </w:tc>
        <w:tc>
          <w:tcPr>
            <w:vAlign w:val="center"/>
          </w:tcPr>
          <w:p>
            <w:pPr>
              <w:jc w:val="center"/>
            </w:pPr>
            <w:r>
              <w:rPr>
                <w:color w:val="000000"/>
                <w:sz w:val="24"/>
              </w:rPr>
              <w:t>8.42%</w:t>
            </w:r>
          </w:p>
        </w:tc>
        <w:tc>
          <w:tcPr>
            <w:vAlign w:val="center"/>
          </w:tcPr>
          <w:p>
            <w:pPr>
              <w:jc w:val="center"/>
            </w:pPr>
            <w:r>
              <w:rPr>
                <w:color w:val="000000"/>
                <w:sz w:val="24"/>
              </w:rPr>
              <w:t>0.50%</w:t>
            </w:r>
          </w:p>
        </w:tc>
      </w:tr>
      <w:tr>
        <w:tc>
          <w:tcPr>
            <w:vAlign w:val="center"/>
          </w:tcPr>
          <w:p>
            <w:pPr>
              <w:jc w:val="left"/>
            </w:pPr>
            <w:r>
              <w:rPr>
                <w:color w:val="000000"/>
                <w:sz w:val="24"/>
              </w:rPr>
              <w:t>过去一年</w:t>
            </w:r>
          </w:p>
        </w:tc>
        <w:tc>
          <w:tcPr>
            <w:vAlign w:val="center"/>
          </w:tcPr>
          <w:p>
            <w:pPr>
              <w:jc w:val="center"/>
            </w:pPr>
            <w:r>
              <w:rPr>
                <w:color w:val="000000"/>
                <w:sz w:val="24"/>
              </w:rPr>
              <w:t>21.45%</w:t>
            </w:r>
          </w:p>
        </w:tc>
        <w:tc>
          <w:tcPr>
            <w:vAlign w:val="center"/>
          </w:tcPr>
          <w:p>
            <w:pPr>
              <w:jc w:val="center"/>
            </w:pPr>
            <w:r>
              <w:rPr>
                <w:color w:val="000000"/>
                <w:sz w:val="24"/>
              </w:rPr>
              <w:t>1.19%</w:t>
            </w:r>
          </w:p>
        </w:tc>
        <w:tc>
          <w:tcPr>
            <w:vAlign w:val="center"/>
          </w:tcPr>
          <w:p>
            <w:pPr>
              <w:jc w:val="center"/>
            </w:pPr>
            <w:r>
              <w:rPr>
                <w:color w:val="000000"/>
                <w:sz w:val="24"/>
              </w:rPr>
              <w:t>7.54%</w:t>
            </w:r>
          </w:p>
        </w:tc>
        <w:tc>
          <w:tcPr>
            <w:vAlign w:val="center"/>
          </w:tcPr>
          <w:p>
            <w:pPr>
              <w:jc w:val="center"/>
            </w:pPr>
            <w:r>
              <w:rPr>
                <w:color w:val="000000"/>
                <w:sz w:val="24"/>
              </w:rPr>
              <w:t>0.78%</w:t>
            </w:r>
          </w:p>
        </w:tc>
        <w:tc>
          <w:tcPr>
            <w:vAlign w:val="center"/>
          </w:tcPr>
          <w:p>
            <w:pPr>
              <w:jc w:val="center"/>
            </w:pPr>
            <w:r>
              <w:rPr>
                <w:color w:val="000000"/>
                <w:sz w:val="24"/>
              </w:rPr>
              <w:t>13.91%</w:t>
            </w:r>
          </w:p>
        </w:tc>
        <w:tc>
          <w:tcPr>
            <w:vAlign w:val="center"/>
          </w:tcPr>
          <w:p>
            <w:pPr>
              <w:jc w:val="center"/>
            </w:pPr>
            <w:r>
              <w:rPr>
                <w:color w:val="000000"/>
                <w:sz w:val="24"/>
              </w:rPr>
              <w:t>0.41%</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7.59%</w:t>
            </w:r>
          </w:p>
        </w:tc>
        <w:tc>
          <w:tcPr>
            <w:vAlign w:val="center"/>
          </w:tcPr>
          <w:p>
            <w:pPr>
              <w:jc w:val="center"/>
            </w:pPr>
            <w:r>
              <w:rPr>
                <w:color w:val="000000"/>
                <w:sz w:val="24"/>
              </w:rPr>
              <w:t>1.23%</w:t>
            </w:r>
          </w:p>
        </w:tc>
        <w:tc>
          <w:tcPr>
            <w:vAlign w:val="center"/>
          </w:tcPr>
          <w:p>
            <w:pPr>
              <w:jc w:val="center"/>
            </w:pPr>
            <w:r>
              <w:rPr>
                <w:color w:val="000000"/>
                <w:sz w:val="24"/>
              </w:rPr>
              <w:t>2.22%</w:t>
            </w:r>
          </w:p>
        </w:tc>
        <w:tc>
          <w:tcPr>
            <w:vAlign w:val="center"/>
          </w:tcPr>
          <w:p>
            <w:pPr>
              <w:jc w:val="center"/>
            </w:pPr>
            <w:r>
              <w:rPr>
                <w:color w:val="000000"/>
                <w:sz w:val="24"/>
              </w:rPr>
              <w:t>0.87%</w:t>
            </w:r>
          </w:p>
        </w:tc>
        <w:tc>
          <w:tcPr>
            <w:vAlign w:val="center"/>
          </w:tcPr>
          <w:p>
            <w:pPr>
              <w:jc w:val="center"/>
            </w:pPr>
            <w:r>
              <w:rPr>
                <w:color w:val="000000"/>
                <w:sz w:val="24"/>
              </w:rPr>
              <w:t>5.37%</w:t>
            </w:r>
          </w:p>
        </w:tc>
        <w:tc>
          <w:tcPr>
            <w:vAlign w:val="center"/>
          </w:tcPr>
          <w:p>
            <w:pPr>
              <w:jc w:val="center"/>
            </w:pPr>
            <w:r>
              <w:rPr>
                <w:color w:val="000000"/>
                <w:sz w:val="24"/>
              </w:rPr>
              <w:t>0.36%</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易方达易百智能量化策略混合C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16.61%</w:t>
            </w:r>
          </w:p>
        </w:tc>
        <w:tc>
          <w:tcPr>
            <w:vAlign w:val="center"/>
          </w:tcPr>
          <w:p>
            <w:pPr>
              <w:jc w:val="center"/>
            </w:pPr>
            <w:r>
              <w:rPr>
                <w:color w:val="000000"/>
                <w:sz w:val="24"/>
              </w:rPr>
              <w:t>0.86%</w:t>
            </w:r>
          </w:p>
        </w:tc>
        <w:tc>
          <w:tcPr>
            <w:vAlign w:val="center"/>
          </w:tcPr>
          <w:p>
            <w:pPr>
              <w:jc w:val="center"/>
            </w:pPr>
            <w:r>
              <w:rPr>
                <w:color w:val="000000"/>
                <w:sz w:val="24"/>
              </w:rPr>
              <w:t>8.35%</w:t>
            </w:r>
          </w:p>
        </w:tc>
        <w:tc>
          <w:tcPr>
            <w:vAlign w:val="center"/>
          </w:tcPr>
          <w:p>
            <w:pPr>
              <w:jc w:val="center"/>
            </w:pPr>
            <w:r>
              <w:rPr>
                <w:color w:val="000000"/>
                <w:sz w:val="24"/>
              </w:rPr>
              <w:t>0.58%</w:t>
            </w:r>
          </w:p>
        </w:tc>
        <w:tc>
          <w:tcPr>
            <w:vAlign w:val="center"/>
          </w:tcPr>
          <w:p>
            <w:pPr>
              <w:jc w:val="center"/>
            </w:pPr>
            <w:r>
              <w:rPr>
                <w:color w:val="000000"/>
                <w:sz w:val="24"/>
              </w:rPr>
              <w:t>8.26%</w:t>
            </w:r>
          </w:p>
        </w:tc>
        <w:tc>
          <w:tcPr>
            <w:vAlign w:val="center"/>
          </w:tcPr>
          <w:p>
            <w:pPr>
              <w:jc w:val="center"/>
            </w:pPr>
            <w:r>
              <w:rPr>
                <w:color w:val="000000"/>
                <w:sz w:val="24"/>
              </w:rPr>
              <w:t>0.28%</w:t>
            </w:r>
          </w:p>
        </w:tc>
      </w:tr>
      <w:tr>
        <w:tc>
          <w:tcPr>
            <w:vAlign w:val="center"/>
          </w:tcPr>
          <w:p>
            <w:pPr>
              <w:jc w:val="left"/>
            </w:pPr>
            <w:r>
              <w:rPr>
                <w:color w:val="000000"/>
                <w:sz w:val="24"/>
              </w:rPr>
              <w:t>过去六个月</w:t>
            </w:r>
          </w:p>
        </w:tc>
        <w:tc>
          <w:tcPr>
            <w:vAlign w:val="center"/>
          </w:tcPr>
          <w:p>
            <w:pPr>
              <w:jc w:val="center"/>
            </w:pPr>
            <w:r>
              <w:rPr>
                <w:color w:val="000000"/>
                <w:sz w:val="24"/>
              </w:rPr>
              <w:t>10.16%</w:t>
            </w:r>
          </w:p>
        </w:tc>
        <w:tc>
          <w:tcPr>
            <w:vAlign w:val="center"/>
          </w:tcPr>
          <w:p>
            <w:pPr>
              <w:jc w:val="center"/>
            </w:pPr>
            <w:r>
              <w:rPr>
                <w:color w:val="000000"/>
                <w:sz w:val="24"/>
              </w:rPr>
              <w:t>1.47%</w:t>
            </w:r>
          </w:p>
        </w:tc>
        <w:tc>
          <w:tcPr>
            <w:vAlign w:val="center"/>
          </w:tcPr>
          <w:p>
            <w:pPr>
              <w:jc w:val="center"/>
            </w:pPr>
            <w:r>
              <w:rPr>
                <w:color w:val="000000"/>
                <w:sz w:val="24"/>
              </w:rPr>
              <w:t>1.89%</w:t>
            </w:r>
          </w:p>
        </w:tc>
        <w:tc>
          <w:tcPr>
            <w:vAlign w:val="center"/>
          </w:tcPr>
          <w:p>
            <w:pPr>
              <w:jc w:val="center"/>
            </w:pPr>
            <w:r>
              <w:rPr>
                <w:color w:val="000000"/>
                <w:sz w:val="24"/>
              </w:rPr>
              <w:t>0.97%</w:t>
            </w:r>
          </w:p>
        </w:tc>
        <w:tc>
          <w:tcPr>
            <w:vAlign w:val="center"/>
          </w:tcPr>
          <w:p>
            <w:pPr>
              <w:jc w:val="center"/>
            </w:pPr>
            <w:r>
              <w:rPr>
                <w:color w:val="000000"/>
                <w:sz w:val="24"/>
              </w:rPr>
              <w:t>8.27%</w:t>
            </w:r>
          </w:p>
        </w:tc>
        <w:tc>
          <w:tcPr>
            <w:vAlign w:val="center"/>
          </w:tcPr>
          <w:p>
            <w:pPr>
              <w:jc w:val="center"/>
            </w:pPr>
            <w:r>
              <w:rPr>
                <w:color w:val="000000"/>
                <w:sz w:val="24"/>
              </w:rPr>
              <w:t>0.50%</w:t>
            </w:r>
          </w:p>
        </w:tc>
      </w:tr>
      <w:tr>
        <w:tc>
          <w:tcPr>
            <w:vAlign w:val="center"/>
          </w:tcPr>
          <w:p>
            <w:pPr>
              <w:jc w:val="left"/>
            </w:pPr>
            <w:r>
              <w:rPr>
                <w:color w:val="000000"/>
                <w:sz w:val="24"/>
              </w:rPr>
              <w:t>过去一年</w:t>
            </w:r>
          </w:p>
        </w:tc>
        <w:tc>
          <w:tcPr>
            <w:vAlign w:val="center"/>
          </w:tcPr>
          <w:p>
            <w:pPr>
              <w:jc w:val="center"/>
            </w:pPr>
            <w:r>
              <w:rPr>
                <w:color w:val="000000"/>
                <w:sz w:val="24"/>
              </w:rPr>
              <w:t>21.09%</w:t>
            </w:r>
          </w:p>
        </w:tc>
        <w:tc>
          <w:tcPr>
            <w:vAlign w:val="center"/>
          </w:tcPr>
          <w:p>
            <w:pPr>
              <w:jc w:val="center"/>
            </w:pPr>
            <w:r>
              <w:rPr>
                <w:color w:val="000000"/>
                <w:sz w:val="24"/>
              </w:rPr>
              <w:t>1.19%</w:t>
            </w:r>
          </w:p>
        </w:tc>
        <w:tc>
          <w:tcPr>
            <w:vAlign w:val="center"/>
          </w:tcPr>
          <w:p>
            <w:pPr>
              <w:jc w:val="center"/>
            </w:pPr>
            <w:r>
              <w:rPr>
                <w:color w:val="000000"/>
                <w:sz w:val="24"/>
              </w:rPr>
              <w:t>7.54%</w:t>
            </w:r>
          </w:p>
        </w:tc>
        <w:tc>
          <w:tcPr>
            <w:vAlign w:val="center"/>
          </w:tcPr>
          <w:p>
            <w:pPr>
              <w:jc w:val="center"/>
            </w:pPr>
            <w:r>
              <w:rPr>
                <w:color w:val="000000"/>
                <w:sz w:val="24"/>
              </w:rPr>
              <w:t>0.78%</w:t>
            </w:r>
          </w:p>
        </w:tc>
        <w:tc>
          <w:tcPr>
            <w:vAlign w:val="center"/>
          </w:tcPr>
          <w:p>
            <w:pPr>
              <w:jc w:val="center"/>
            </w:pPr>
            <w:r>
              <w:rPr>
                <w:color w:val="000000"/>
                <w:sz w:val="24"/>
              </w:rPr>
              <w:t>13.55%</w:t>
            </w:r>
          </w:p>
        </w:tc>
        <w:tc>
          <w:tcPr>
            <w:vAlign w:val="center"/>
          </w:tcPr>
          <w:p>
            <w:pPr>
              <w:jc w:val="center"/>
            </w:pPr>
            <w:r>
              <w:rPr>
                <w:color w:val="000000"/>
                <w:sz w:val="24"/>
              </w:rPr>
              <w:t>0.41%</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6.80%</w:t>
            </w:r>
          </w:p>
        </w:tc>
        <w:tc>
          <w:tcPr>
            <w:vAlign w:val="center"/>
          </w:tcPr>
          <w:p>
            <w:pPr>
              <w:jc w:val="center"/>
            </w:pPr>
            <w:r>
              <w:rPr>
                <w:color w:val="000000"/>
                <w:sz w:val="24"/>
              </w:rPr>
              <w:t>1.23%</w:t>
            </w:r>
          </w:p>
        </w:tc>
        <w:tc>
          <w:tcPr>
            <w:vAlign w:val="center"/>
          </w:tcPr>
          <w:p>
            <w:pPr>
              <w:jc w:val="center"/>
            </w:pPr>
            <w:r>
              <w:rPr>
                <w:color w:val="000000"/>
                <w:sz w:val="24"/>
              </w:rPr>
              <w:t>2.22%</w:t>
            </w:r>
          </w:p>
        </w:tc>
        <w:tc>
          <w:tcPr>
            <w:vAlign w:val="center"/>
          </w:tcPr>
          <w:p>
            <w:pPr>
              <w:jc w:val="center"/>
            </w:pPr>
            <w:r>
              <w:rPr>
                <w:color w:val="000000"/>
                <w:sz w:val="24"/>
              </w:rPr>
              <w:t>0.87%</w:t>
            </w:r>
          </w:p>
        </w:tc>
        <w:tc>
          <w:tcPr>
            <w:vAlign w:val="center"/>
          </w:tcPr>
          <w:p>
            <w:pPr>
              <w:jc w:val="center"/>
            </w:pPr>
            <w:r>
              <w:rPr>
                <w:color w:val="000000"/>
                <w:sz w:val="24"/>
              </w:rPr>
              <w:t>4.58%</w:t>
            </w:r>
          </w:p>
        </w:tc>
        <w:tc>
          <w:tcPr>
            <w:vAlign w:val="center"/>
          </w:tcPr>
          <w:p>
            <w:pPr>
              <w:jc w:val="center"/>
            </w:pPr>
            <w:r>
              <w:rPr>
                <w:color w:val="000000"/>
                <w:sz w:val="24"/>
              </w:rPr>
              <w:t>0.36%</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易方达易百智能量化策略灵活配置混合型证券投资基金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（2018年1月24日至2020年6月30日）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易方达易百智能量化策略混合A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易方达易百智能量化策略混合C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注：自基金合同生效至报告期末，A类基金份额净值增长率为7.59%，C类基金份额净值增长率为6.80%，同期业绩比较基准收益率为2.22%。</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官泽帆</w:t>
            </w:r>
          </w:p>
        </w:tc>
        <w:tc>
          <w:tcPr>
            <w:vAlign w:val="center"/>
          </w:tcPr>
          <w:p>
            <w:pPr>
              <w:jc w:val="left"/>
            </w:pPr>
            <w:r>
              <w:rPr>
                <w:color w:val="000000"/>
                <w:sz w:val="24"/>
              </w:rPr>
              <w:t>本基金的基金经理、易方达沪深300量化增强证券投资基金的基金经理、易方达量化策略精选灵活配置混合型证券投资基金的基金经理</w:t>
            </w:r>
          </w:p>
        </w:tc>
        <w:tc>
          <w:tcPr>
            <w:vAlign w:val="center"/>
          </w:tcPr>
          <w:p>
            <w:pPr>
              <w:jc w:val="center"/>
            </w:pPr>
            <w:r>
              <w:rPr>
                <w:color w:val="000000"/>
                <w:sz w:val="24"/>
              </w:rPr>
              <w:t>2018-01-24</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基金管理有限公司投资开发工程师，摩根士丹利华鑫基金管理有限公司数量化研究员、基金经理助理，易方达基金管理有限公司易方达沪深300量化增强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回顾本报告期，国内外疫情有所好转，复工复产与经济重启计划持续推进，国内供需两端环比持续改善：5月工业增加值同比增速上升至4.4%，固定资产投资同比增速上升至3.9%，社会消费品零售额同比增速回升至-2.8%。经济逐渐走出疫情低谷，复苏趋势主导了A股盈利预期，5月份全国规模以上工业企业实现利润由4月份同比下降4.3%转为增长6.0%。流动性方面，本报告期间国内货币政策维持宽松，短端利率下行；海外普遍施行零利率或负利率政策，辅以大规模的量化宽松，美元指数明显回落而人民币汇率稳定，外资持续流入，二季度北上资金净流入1332.60亿元，对A股估值形成支撑。</w:t>
      </w:r>
    </w:p>
    <w:p>
      <w:pPr>
        <w:spacing w:line="360" w:lineRule="auto"/>
        <w:ind w:firstLine="480" w:firstLineChars="200"/>
        <w:rPr>
          <w:color w:val="000000"/>
          <w:sz w:val="24"/>
        </w:rPr>
      </w:pPr>
      <w:r>
        <w:rPr>
          <w:color w:val="000000"/>
          <w:sz w:val="24"/>
        </w:rPr>
        <w:t>二季度上证指数、沪深300、中证500和创业板指分别上涨8.52%、12.96%、16.32%和30.25%，其中创业板指数于6月底成功突破2016年1月以来的阶段高点。风格和行业表现的分化主要由经济复苏斜率的不确定性所主导：行业上体现在消费类稳定增长行业备受青睐，而与经济增长相关度较高的周期、金融地产等行业受到冷落；科技行业在疫情缓和后产销端恢复明显，重拾景气上行，录得较高涨幅；风格上体现为成长与估值表现的分化持续加剧，尤其估值类因子回撤已属于历史较高水平，此外动量类因子表现也相对强势，市场成交量也逐渐放大，6月底A股日均成交量已达7000～8000亿的水平，投资者交易行为逐渐活跃。</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基金略好于市场大盘指数表现，一定程度上捕捉到市场结构性机会，借助量化选股模型，精选估值合理且具备一定成长属性的优秀个股，把握市场反弹时的投资机会，后续仍将坚持采用多因子量化模型进行选股，顺应市场风格变换配置长期稳健的策略模型，为投资人创造优良的投资回报。</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1.0759元，本报告期份额净值增长率为16.69%，同期业绩比较基准收益率为8.35%；C类基金份额净值为1.0680元，本报告期份额净值增长率为16.61%，同期业绩比较基准收益率为8.35%，各项指标均在合同规定的目标控制范围之内。</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143,254,697.26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90.62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143,254,697.26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90.62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10,163,205.29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6.43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4,658,582.10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158,076,484.65</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2,344,380.00</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1.53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4,587,931.00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3.00</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72,572,669.30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47.39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3,724,834.32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2.43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3,729,860.00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2.44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3,086,738.00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5,839,066.00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3.81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7,263,175.64</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4.74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27,464,781.00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17.93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7,300,014.00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4.77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183,540.00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0.12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793,324.00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0.52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2,316,274.00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1.51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2,048,110.00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143,254,697.26</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93.54</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600519</w:t>
            </w:r>
          </w:p>
        </w:tc>
        <w:tc>
          <w:tcPr>
            <w:vAlign w:val="center"/>
          </w:tcPr>
          <w:p>
            <w:pPr>
              <w:jc w:val="center"/>
            </w:pPr>
            <w:r>
              <w:rPr>
                <w:color w:val="000000"/>
                <w:sz w:val="24"/>
              </w:rPr>
              <w:t>贵州茅台</w:t>
            </w:r>
          </w:p>
        </w:tc>
        <w:tc>
          <w:tcPr>
            <w:vAlign w:val="center"/>
          </w:tcPr>
          <w:p>
            <w:pPr>
              <w:jc w:val="right"/>
            </w:pPr>
            <w:r>
              <w:rPr>
                <w:color w:val="000000"/>
                <w:sz w:val="24"/>
              </w:rPr>
              <w:t>3,900</w:t>
            </w:r>
          </w:p>
        </w:tc>
        <w:tc>
          <w:tcPr>
            <w:vAlign w:val="center"/>
          </w:tcPr>
          <w:p>
            <w:pPr>
              <w:jc w:val="right"/>
            </w:pPr>
            <w:r>
              <w:rPr>
                <w:color w:val="000000"/>
                <w:sz w:val="24"/>
              </w:rPr>
              <w:t>5,705,232.00</w:t>
            </w:r>
          </w:p>
        </w:tc>
        <w:tc>
          <w:tcPr>
            <w:vAlign w:val="center"/>
          </w:tcPr>
          <w:p>
            <w:pPr>
              <w:jc w:val="right"/>
            </w:pPr>
            <w:r>
              <w:rPr>
                <w:color w:val="000000"/>
                <w:sz w:val="24"/>
              </w:rPr>
              <w:t>3.73</w:t>
            </w:r>
          </w:p>
        </w:tc>
      </w:tr>
      <w:tr>
        <w:tc>
          <w:tcPr>
            <w:vAlign w:val="center"/>
          </w:tcPr>
          <w:p>
            <w:pPr>
              <w:jc w:val="center"/>
            </w:pPr>
            <w:r>
              <w:rPr>
                <w:color w:val="000000"/>
                <w:sz w:val="24"/>
              </w:rPr>
              <w:t>2</w:t>
            </w:r>
          </w:p>
        </w:tc>
        <w:tc>
          <w:tcPr>
            <w:vAlign w:val="center"/>
          </w:tcPr>
          <w:p>
            <w:pPr>
              <w:jc w:val="center"/>
            </w:pPr>
            <w:r>
              <w:rPr>
                <w:color w:val="000000"/>
                <w:sz w:val="24"/>
              </w:rPr>
              <w:t>601318</w:t>
            </w:r>
          </w:p>
        </w:tc>
        <w:tc>
          <w:tcPr>
            <w:vAlign w:val="center"/>
          </w:tcPr>
          <w:p>
            <w:pPr>
              <w:jc w:val="center"/>
            </w:pPr>
            <w:r>
              <w:rPr>
                <w:color w:val="000000"/>
                <w:sz w:val="24"/>
              </w:rPr>
              <w:t>中国平安</w:t>
            </w:r>
          </w:p>
        </w:tc>
        <w:tc>
          <w:tcPr>
            <w:vAlign w:val="center"/>
          </w:tcPr>
          <w:p>
            <w:pPr>
              <w:jc w:val="right"/>
            </w:pPr>
            <w:r>
              <w:rPr>
                <w:color w:val="000000"/>
                <w:sz w:val="24"/>
              </w:rPr>
              <w:t>70,200</w:t>
            </w:r>
          </w:p>
        </w:tc>
        <w:tc>
          <w:tcPr>
            <w:vAlign w:val="center"/>
          </w:tcPr>
          <w:p>
            <w:pPr>
              <w:jc w:val="right"/>
            </w:pPr>
            <w:r>
              <w:rPr>
                <w:color w:val="000000"/>
                <w:sz w:val="24"/>
              </w:rPr>
              <w:t>5,012,280.00</w:t>
            </w:r>
          </w:p>
        </w:tc>
        <w:tc>
          <w:tcPr>
            <w:vAlign w:val="center"/>
          </w:tcPr>
          <w:p>
            <w:pPr>
              <w:jc w:val="right"/>
            </w:pPr>
            <w:r>
              <w:rPr>
                <w:color w:val="000000"/>
                <w:sz w:val="24"/>
              </w:rPr>
              <w:t>3.27</w:t>
            </w:r>
          </w:p>
        </w:tc>
      </w:tr>
      <w:tr>
        <w:tc>
          <w:tcPr>
            <w:vAlign w:val="center"/>
          </w:tcPr>
          <w:p>
            <w:pPr>
              <w:jc w:val="center"/>
            </w:pPr>
            <w:r>
              <w:rPr>
                <w:color w:val="000000"/>
                <w:sz w:val="24"/>
              </w:rPr>
              <w:t>3</w:t>
            </w:r>
          </w:p>
        </w:tc>
        <w:tc>
          <w:tcPr>
            <w:vAlign w:val="center"/>
          </w:tcPr>
          <w:p>
            <w:pPr>
              <w:jc w:val="center"/>
            </w:pPr>
            <w:r>
              <w:rPr>
                <w:color w:val="000000"/>
                <w:sz w:val="24"/>
              </w:rPr>
              <w:t>000166</w:t>
            </w:r>
          </w:p>
        </w:tc>
        <w:tc>
          <w:tcPr>
            <w:vAlign w:val="center"/>
          </w:tcPr>
          <w:p>
            <w:pPr>
              <w:jc w:val="center"/>
            </w:pPr>
            <w:r>
              <w:rPr>
                <w:color w:val="000000"/>
                <w:sz w:val="24"/>
              </w:rPr>
              <w:t>申万宏源</w:t>
            </w:r>
          </w:p>
        </w:tc>
        <w:tc>
          <w:tcPr>
            <w:vAlign w:val="center"/>
          </w:tcPr>
          <w:p>
            <w:pPr>
              <w:jc w:val="right"/>
            </w:pPr>
            <w:r>
              <w:rPr>
                <w:color w:val="000000"/>
                <w:sz w:val="24"/>
              </w:rPr>
              <w:t>908,600</w:t>
            </w:r>
          </w:p>
        </w:tc>
        <w:tc>
          <w:tcPr>
            <w:vAlign w:val="center"/>
          </w:tcPr>
          <w:p>
            <w:pPr>
              <w:jc w:val="right"/>
            </w:pPr>
            <w:r>
              <w:rPr>
                <w:color w:val="000000"/>
                <w:sz w:val="24"/>
              </w:rPr>
              <w:t>4,588,430.00</w:t>
            </w:r>
          </w:p>
        </w:tc>
        <w:tc>
          <w:tcPr>
            <w:vAlign w:val="center"/>
          </w:tcPr>
          <w:p>
            <w:pPr>
              <w:jc w:val="right"/>
            </w:pPr>
            <w:r>
              <w:rPr>
                <w:color w:val="000000"/>
                <w:sz w:val="24"/>
              </w:rPr>
              <w:t>3.00</w:t>
            </w:r>
          </w:p>
        </w:tc>
      </w:tr>
      <w:tr>
        <w:tc>
          <w:tcPr>
            <w:vAlign w:val="center"/>
          </w:tcPr>
          <w:p>
            <w:pPr>
              <w:jc w:val="center"/>
            </w:pPr>
            <w:r>
              <w:rPr>
                <w:color w:val="000000"/>
                <w:sz w:val="24"/>
              </w:rPr>
              <w:t>4</w:t>
            </w:r>
          </w:p>
        </w:tc>
        <w:tc>
          <w:tcPr>
            <w:vAlign w:val="center"/>
          </w:tcPr>
          <w:p>
            <w:pPr>
              <w:jc w:val="center"/>
            </w:pPr>
            <w:r>
              <w:rPr>
                <w:color w:val="000000"/>
                <w:sz w:val="24"/>
              </w:rPr>
              <w:t>600276</w:t>
            </w:r>
          </w:p>
        </w:tc>
        <w:tc>
          <w:tcPr>
            <w:vAlign w:val="center"/>
          </w:tcPr>
          <w:p>
            <w:pPr>
              <w:jc w:val="center"/>
            </w:pPr>
            <w:r>
              <w:rPr>
                <w:color w:val="000000"/>
                <w:sz w:val="24"/>
              </w:rPr>
              <w:t>恒瑞医药</w:t>
            </w:r>
          </w:p>
        </w:tc>
        <w:tc>
          <w:tcPr>
            <w:vAlign w:val="center"/>
          </w:tcPr>
          <w:p>
            <w:pPr>
              <w:jc w:val="right"/>
            </w:pPr>
            <w:r>
              <w:rPr>
                <w:color w:val="000000"/>
                <w:sz w:val="24"/>
              </w:rPr>
              <w:t>45,800</w:t>
            </w:r>
          </w:p>
        </w:tc>
        <w:tc>
          <w:tcPr>
            <w:vAlign w:val="center"/>
          </w:tcPr>
          <w:p>
            <w:pPr>
              <w:jc w:val="right"/>
            </w:pPr>
            <w:r>
              <w:rPr>
                <w:color w:val="000000"/>
                <w:sz w:val="24"/>
              </w:rPr>
              <w:t>4,227,340.00</w:t>
            </w:r>
          </w:p>
        </w:tc>
        <w:tc>
          <w:tcPr>
            <w:vAlign w:val="center"/>
          </w:tcPr>
          <w:p>
            <w:pPr>
              <w:jc w:val="right"/>
            </w:pPr>
            <w:r>
              <w:rPr>
                <w:color w:val="000000"/>
                <w:sz w:val="24"/>
              </w:rPr>
              <w:t>2.76</w:t>
            </w:r>
          </w:p>
        </w:tc>
      </w:tr>
      <w:tr>
        <w:tc>
          <w:tcPr>
            <w:vAlign w:val="center"/>
          </w:tcPr>
          <w:p>
            <w:pPr>
              <w:jc w:val="center"/>
            </w:pPr>
            <w:r>
              <w:rPr>
                <w:color w:val="000000"/>
                <w:sz w:val="24"/>
              </w:rPr>
              <w:t>5</w:t>
            </w:r>
          </w:p>
        </w:tc>
        <w:tc>
          <w:tcPr>
            <w:vAlign w:val="center"/>
          </w:tcPr>
          <w:p>
            <w:pPr>
              <w:jc w:val="center"/>
            </w:pPr>
            <w:r>
              <w:rPr>
                <w:color w:val="000000"/>
                <w:sz w:val="24"/>
              </w:rPr>
              <w:t>000858</w:t>
            </w:r>
          </w:p>
        </w:tc>
        <w:tc>
          <w:tcPr>
            <w:vAlign w:val="center"/>
          </w:tcPr>
          <w:p>
            <w:pPr>
              <w:jc w:val="center"/>
            </w:pPr>
            <w:r>
              <w:rPr>
                <w:color w:val="000000"/>
                <w:sz w:val="24"/>
              </w:rPr>
              <w:t>五粮液</w:t>
            </w:r>
          </w:p>
        </w:tc>
        <w:tc>
          <w:tcPr>
            <w:vAlign w:val="center"/>
          </w:tcPr>
          <w:p>
            <w:pPr>
              <w:jc w:val="right"/>
            </w:pPr>
            <w:r>
              <w:rPr>
                <w:color w:val="000000"/>
                <w:sz w:val="24"/>
              </w:rPr>
              <w:t>24,386</w:t>
            </w:r>
          </w:p>
        </w:tc>
        <w:tc>
          <w:tcPr>
            <w:vAlign w:val="center"/>
          </w:tcPr>
          <w:p>
            <w:pPr>
              <w:jc w:val="right"/>
            </w:pPr>
            <w:r>
              <w:rPr>
                <w:color w:val="000000"/>
                <w:sz w:val="24"/>
              </w:rPr>
              <w:t>4,172,932.32</w:t>
            </w:r>
          </w:p>
        </w:tc>
        <w:tc>
          <w:tcPr>
            <w:vAlign w:val="center"/>
          </w:tcPr>
          <w:p>
            <w:pPr>
              <w:jc w:val="right"/>
            </w:pPr>
            <w:r>
              <w:rPr>
                <w:color w:val="000000"/>
                <w:sz w:val="24"/>
              </w:rPr>
              <w:t>2.72</w:t>
            </w:r>
          </w:p>
        </w:tc>
      </w:tr>
      <w:tr>
        <w:tc>
          <w:tcPr>
            <w:vAlign w:val="center"/>
          </w:tcPr>
          <w:p>
            <w:pPr>
              <w:jc w:val="center"/>
            </w:pPr>
            <w:r>
              <w:rPr>
                <w:color w:val="000000"/>
                <w:sz w:val="24"/>
              </w:rPr>
              <w:t>6</w:t>
            </w:r>
          </w:p>
        </w:tc>
        <w:tc>
          <w:tcPr>
            <w:vAlign w:val="center"/>
          </w:tcPr>
          <w:p>
            <w:pPr>
              <w:jc w:val="center"/>
            </w:pPr>
            <w:r>
              <w:rPr>
                <w:color w:val="000000"/>
                <w:sz w:val="24"/>
              </w:rPr>
              <w:t>601688</w:t>
            </w:r>
          </w:p>
        </w:tc>
        <w:tc>
          <w:tcPr>
            <w:vAlign w:val="center"/>
          </w:tcPr>
          <w:p>
            <w:pPr>
              <w:jc w:val="center"/>
            </w:pPr>
            <w:r>
              <w:rPr>
                <w:color w:val="000000"/>
                <w:sz w:val="24"/>
              </w:rPr>
              <w:t>华泰证券</w:t>
            </w:r>
          </w:p>
        </w:tc>
        <w:tc>
          <w:tcPr>
            <w:vAlign w:val="center"/>
          </w:tcPr>
          <w:p>
            <w:pPr>
              <w:jc w:val="right"/>
            </w:pPr>
            <w:r>
              <w:rPr>
                <w:color w:val="000000"/>
                <w:sz w:val="24"/>
              </w:rPr>
              <w:t>215,800</w:t>
            </w:r>
          </w:p>
        </w:tc>
        <w:tc>
          <w:tcPr>
            <w:vAlign w:val="center"/>
          </w:tcPr>
          <w:p>
            <w:pPr>
              <w:jc w:val="right"/>
            </w:pPr>
            <w:r>
              <w:rPr>
                <w:color w:val="000000"/>
                <w:sz w:val="24"/>
              </w:rPr>
              <w:t>4,057,040.00</w:t>
            </w:r>
          </w:p>
        </w:tc>
        <w:tc>
          <w:tcPr>
            <w:vAlign w:val="center"/>
          </w:tcPr>
          <w:p>
            <w:pPr>
              <w:jc w:val="right"/>
            </w:pPr>
            <w:r>
              <w:rPr>
                <w:color w:val="000000"/>
                <w:sz w:val="24"/>
              </w:rPr>
              <w:t>2.65</w:t>
            </w:r>
          </w:p>
        </w:tc>
      </w:tr>
      <w:tr>
        <w:tc>
          <w:tcPr>
            <w:vAlign w:val="center"/>
          </w:tcPr>
          <w:p>
            <w:pPr>
              <w:jc w:val="center"/>
            </w:pPr>
            <w:r>
              <w:rPr>
                <w:color w:val="000000"/>
                <w:sz w:val="24"/>
              </w:rPr>
              <w:t>7</w:t>
            </w:r>
          </w:p>
        </w:tc>
        <w:tc>
          <w:tcPr>
            <w:vAlign w:val="center"/>
          </w:tcPr>
          <w:p>
            <w:pPr>
              <w:jc w:val="center"/>
            </w:pPr>
            <w:r>
              <w:rPr>
                <w:color w:val="000000"/>
                <w:sz w:val="24"/>
              </w:rPr>
              <w:t>002352</w:t>
            </w:r>
          </w:p>
        </w:tc>
        <w:tc>
          <w:tcPr>
            <w:vAlign w:val="center"/>
          </w:tcPr>
          <w:p>
            <w:pPr>
              <w:jc w:val="center"/>
            </w:pPr>
            <w:r>
              <w:rPr>
                <w:color w:val="000000"/>
                <w:sz w:val="24"/>
              </w:rPr>
              <w:t>顺丰控股</w:t>
            </w:r>
          </w:p>
        </w:tc>
        <w:tc>
          <w:tcPr>
            <w:vAlign w:val="center"/>
          </w:tcPr>
          <w:p>
            <w:pPr>
              <w:jc w:val="right"/>
            </w:pPr>
            <w:r>
              <w:rPr>
                <w:color w:val="000000"/>
                <w:sz w:val="24"/>
              </w:rPr>
              <w:t>72,300</w:t>
            </w:r>
          </w:p>
        </w:tc>
        <w:tc>
          <w:tcPr>
            <w:vAlign w:val="center"/>
          </w:tcPr>
          <w:p>
            <w:pPr>
              <w:jc w:val="right"/>
            </w:pPr>
            <w:r>
              <w:rPr>
                <w:color w:val="000000"/>
                <w:sz w:val="24"/>
              </w:rPr>
              <w:t>3,954,810.00</w:t>
            </w:r>
          </w:p>
        </w:tc>
        <w:tc>
          <w:tcPr>
            <w:vAlign w:val="center"/>
          </w:tcPr>
          <w:p>
            <w:pPr>
              <w:jc w:val="right"/>
            </w:pPr>
            <w:r>
              <w:rPr>
                <w:color w:val="000000"/>
                <w:sz w:val="24"/>
              </w:rPr>
              <w:t>2.58</w:t>
            </w:r>
          </w:p>
        </w:tc>
      </w:tr>
      <w:tr>
        <w:tc>
          <w:tcPr>
            <w:vAlign w:val="center"/>
          </w:tcPr>
          <w:p>
            <w:pPr>
              <w:jc w:val="center"/>
            </w:pPr>
            <w:r>
              <w:rPr>
                <w:color w:val="000000"/>
                <w:sz w:val="24"/>
              </w:rPr>
              <w:t>8</w:t>
            </w:r>
          </w:p>
        </w:tc>
        <w:tc>
          <w:tcPr>
            <w:vAlign w:val="center"/>
          </w:tcPr>
          <w:p>
            <w:pPr>
              <w:jc w:val="center"/>
            </w:pPr>
            <w:r>
              <w:rPr>
                <w:color w:val="000000"/>
                <w:sz w:val="24"/>
              </w:rPr>
              <w:t>002001</w:t>
            </w:r>
          </w:p>
        </w:tc>
        <w:tc>
          <w:tcPr>
            <w:vAlign w:val="center"/>
          </w:tcPr>
          <w:p>
            <w:pPr>
              <w:jc w:val="center"/>
            </w:pPr>
            <w:r>
              <w:rPr>
                <w:color w:val="000000"/>
                <w:sz w:val="24"/>
              </w:rPr>
              <w:t>新和成</w:t>
            </w:r>
          </w:p>
        </w:tc>
        <w:tc>
          <w:tcPr>
            <w:vAlign w:val="center"/>
          </w:tcPr>
          <w:p>
            <w:pPr>
              <w:jc w:val="right"/>
            </w:pPr>
            <w:r>
              <w:rPr>
                <w:color w:val="000000"/>
                <w:sz w:val="24"/>
              </w:rPr>
              <w:t>130,000</w:t>
            </w:r>
          </w:p>
        </w:tc>
        <w:tc>
          <w:tcPr>
            <w:vAlign w:val="center"/>
          </w:tcPr>
          <w:p>
            <w:pPr>
              <w:jc w:val="right"/>
            </w:pPr>
            <w:r>
              <w:rPr>
                <w:color w:val="000000"/>
                <w:sz w:val="24"/>
              </w:rPr>
              <w:t>3,783,000.00</w:t>
            </w:r>
          </w:p>
        </w:tc>
        <w:tc>
          <w:tcPr>
            <w:vAlign w:val="center"/>
          </w:tcPr>
          <w:p>
            <w:pPr>
              <w:jc w:val="right"/>
            </w:pPr>
            <w:r>
              <w:rPr>
                <w:color w:val="000000"/>
                <w:sz w:val="24"/>
              </w:rPr>
              <w:t>2.47</w:t>
            </w:r>
          </w:p>
        </w:tc>
      </w:tr>
      <w:tr>
        <w:tc>
          <w:tcPr>
            <w:vAlign w:val="center"/>
          </w:tcPr>
          <w:p>
            <w:pPr>
              <w:jc w:val="center"/>
            </w:pPr>
            <w:r>
              <w:rPr>
                <w:color w:val="000000"/>
                <w:sz w:val="24"/>
              </w:rPr>
              <w:t>9</w:t>
            </w:r>
          </w:p>
        </w:tc>
        <w:tc>
          <w:tcPr>
            <w:vAlign w:val="center"/>
          </w:tcPr>
          <w:p>
            <w:pPr>
              <w:jc w:val="center"/>
            </w:pPr>
            <w:r>
              <w:rPr>
                <w:color w:val="000000"/>
                <w:sz w:val="24"/>
              </w:rPr>
              <w:t>601390</w:t>
            </w:r>
          </w:p>
        </w:tc>
        <w:tc>
          <w:tcPr>
            <w:vAlign w:val="center"/>
          </w:tcPr>
          <w:p>
            <w:pPr>
              <w:jc w:val="center"/>
            </w:pPr>
            <w:r>
              <w:rPr>
                <w:color w:val="000000"/>
                <w:sz w:val="24"/>
              </w:rPr>
              <w:t>中国中铁</w:t>
            </w:r>
          </w:p>
        </w:tc>
        <w:tc>
          <w:tcPr>
            <w:vAlign w:val="center"/>
          </w:tcPr>
          <w:p>
            <w:pPr>
              <w:jc w:val="right"/>
            </w:pPr>
            <w:r>
              <w:rPr>
                <w:color w:val="000000"/>
                <w:sz w:val="24"/>
              </w:rPr>
              <w:t>743,000</w:t>
            </w:r>
          </w:p>
        </w:tc>
        <w:tc>
          <w:tcPr>
            <w:vAlign w:val="center"/>
          </w:tcPr>
          <w:p>
            <w:pPr>
              <w:jc w:val="right"/>
            </w:pPr>
            <w:r>
              <w:rPr>
                <w:color w:val="000000"/>
                <w:sz w:val="24"/>
              </w:rPr>
              <w:t>3,729,860.00</w:t>
            </w:r>
          </w:p>
        </w:tc>
        <w:tc>
          <w:tcPr>
            <w:vAlign w:val="center"/>
          </w:tcPr>
          <w:p>
            <w:pPr>
              <w:jc w:val="right"/>
            </w:pPr>
            <w:r>
              <w:rPr>
                <w:color w:val="000000"/>
                <w:sz w:val="24"/>
              </w:rPr>
              <w:t>2.44</w:t>
            </w:r>
          </w:p>
        </w:tc>
      </w:tr>
      <w:tr>
        <w:tc>
          <w:tcPr>
            <w:vAlign w:val="center"/>
          </w:tcPr>
          <w:p>
            <w:pPr>
              <w:jc w:val="center"/>
            </w:pPr>
            <w:r>
              <w:rPr>
                <w:color w:val="000000"/>
                <w:sz w:val="24"/>
              </w:rPr>
              <w:t>10</w:t>
            </w:r>
          </w:p>
        </w:tc>
        <w:tc>
          <w:tcPr>
            <w:vAlign w:val="center"/>
          </w:tcPr>
          <w:p>
            <w:pPr>
              <w:jc w:val="center"/>
            </w:pPr>
            <w:r>
              <w:rPr>
                <w:color w:val="000000"/>
                <w:sz w:val="24"/>
              </w:rPr>
              <w:t>600027</w:t>
            </w:r>
          </w:p>
        </w:tc>
        <w:tc>
          <w:tcPr>
            <w:vAlign w:val="center"/>
          </w:tcPr>
          <w:p>
            <w:pPr>
              <w:jc w:val="center"/>
            </w:pPr>
            <w:r>
              <w:rPr>
                <w:color w:val="000000"/>
                <w:sz w:val="24"/>
              </w:rPr>
              <w:t>华电国际</w:t>
            </w:r>
          </w:p>
        </w:tc>
        <w:tc>
          <w:tcPr>
            <w:vAlign w:val="center"/>
          </w:tcPr>
          <w:p>
            <w:pPr>
              <w:jc w:val="right"/>
            </w:pPr>
            <w:r>
              <w:rPr>
                <w:color w:val="000000"/>
                <w:sz w:val="24"/>
              </w:rPr>
              <w:t>1,085,400</w:t>
            </w:r>
          </w:p>
        </w:tc>
        <w:tc>
          <w:tcPr>
            <w:vAlign w:val="center"/>
          </w:tcPr>
          <w:p>
            <w:pPr>
              <w:jc w:val="right"/>
            </w:pPr>
            <w:r>
              <w:rPr>
                <w:color w:val="000000"/>
                <w:sz w:val="24"/>
              </w:rPr>
              <w:t>3,712,068.00</w:t>
            </w:r>
          </w:p>
        </w:tc>
        <w:tc>
          <w:tcPr>
            <w:vAlign w:val="center"/>
          </w:tcPr>
          <w:p>
            <w:pPr>
              <w:jc w:val="right"/>
            </w:pPr>
            <w:r>
              <w:rPr>
                <w:color w:val="000000"/>
                <w:sz w:val="24"/>
              </w:rPr>
              <w:t>2.42</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p w:rsidP="006A1153" w:rsidR="00F016DD" w:rsidRDefault="006A1153" w:rsidRPr="00EA6415">
      <w:pPr>
        <w:spacing w:line="360" w:lineRule="auto"/>
        <w:ind w:firstLine="480" w:firstLineChars="200"/>
        <w:rPr>
          <w:color w:val="000000"/>
          <w:sz w:val="24"/>
        </w:rPr>
      </w:pPr>
      <w:r w:rsidRPr="00EA6415">
        <w:rPr>
          <w:color w:val="000000"/>
          <w:sz w:val="24"/>
        </w:rPr>
        <w:lastRenderedPageBreak/>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本基金本报告期末未持有债券。</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本基金本报告期末未持有债券。</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2020年1月6日，深圳市交通运输局依据《建设工程安全生产管理条例》第六十二条第（三）项，对中国中铁股份有限公司 “未在施工现场的危险部位设置明显的安全警示标志，或者未按照国家有关规定在施工现场设置消防通道、消防水源、配备消防设施和灭火器材”的行为；依据《中华人民共和国安全生产法》第九十六条第（一）项，对中国中铁股份有限公司“未在有较大危险因素的生产经营场所和有关设施、设备上设置明显的安全警示标志”的行为罚款10000元。</w:t>
      </w:r>
    </w:p>
    <w:p>
      <w:pPr>
        <w:widowControl/>
        <w:spacing w:line="360" w:lineRule="auto"/>
        <w:rPr>
          <w:color w:val="000000"/>
          <w:sz w:val="24"/>
        </w:rPr>
      </w:pPr>
      <w:r>
        <w:rPr>
          <w:color w:val="000000"/>
          <w:sz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widowControl/>
        <w:spacing w:line="360" w:lineRule="auto"/>
        <w:rPr>
          <w:color w:val="000000"/>
          <w:sz w:val="24"/>
        </w:rPr>
      </w:pPr>
      <w:r>
        <w:rPr>
          <w:color w:val="000000"/>
          <w:sz w:val="24"/>
        </w:rPr>
        <w:t>本基金投资中国中铁、华泰证券的投资决策程序符合公司投资制度的规定。</w:t>
      </w:r>
    </w:p>
    <w:p>
      <w:pPr>
        <w:widowControl/>
        <w:spacing w:line="360" w:lineRule="auto"/>
        <w:rPr>
          <w:color w:val="000000"/>
          <w:sz w:val="24"/>
        </w:rPr>
      </w:pPr>
      <w:r>
        <w:rPr>
          <w:color w:val="000000"/>
          <w:sz w:val="24"/>
        </w:rPr>
        <w:t>除中国中铁、华泰证券外，本基金投资的前十名证券的发行主体本期没有出现被监管部门立案调查，或在报告编制日前一年内受到公开谴责、处罚的情形。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91,335.49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4,534,426.19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1,906.91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30,913.51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4,658,582.10</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易方达易百智能量化策略混合A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易方达易百智能量化策略混合C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202,652,517.61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4,422,349.67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311,687.69</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718,110.17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64,900,855.20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833,513.20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138,063,350.10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4,306,946.64</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1.中国证监会准予易方达易百智能量化策略灵活配置混合型证券投资基金注册的文件；</w:t>
      </w:r>
    </w:p>
    <w:p>
      <w:pPr>
        <w:spacing w:line="360" w:lineRule="auto"/>
        <w:ind w:firstLine="480" w:firstLineChars="200"/>
        <w:rPr>
          <w:color w:val="000000"/>
          <w:sz w:val="24"/>
        </w:rPr>
      </w:pPr>
      <w:r>
        <w:rPr>
          <w:color w:val="000000"/>
          <w:sz w:val="24"/>
        </w:rPr>
        <w:t>2.《易方达易百智能量化策略灵活配置混合型证券投资基金基金合同》；</w:t>
      </w:r>
    </w:p>
    <w:p>
      <w:pPr>
        <w:spacing w:line="360" w:lineRule="auto"/>
        <w:ind w:firstLine="480" w:firstLineChars="200"/>
        <w:rPr>
          <w:color w:val="000000"/>
          <w:sz w:val="24"/>
        </w:rPr>
      </w:pPr>
      <w:r>
        <w:rPr>
          <w:color w:val="000000"/>
          <w:sz w:val="24"/>
        </w:rPr>
        <w:t>3.《易方达易百智能量化策略灵活配置混合型证券投资基金托管协议》；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易方达易百智能量化策略灵活配置混合型证券投资基金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