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易方达瑞弘灵活配置混合型证券投资基金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上海浦东发展银行股份有限公司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6711D6" w:rsidRDefault="003524EB">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6711D6" w:rsidRDefault="003524EB">
      <w:pPr>
        <w:spacing w:line="360" w:lineRule="auto"/>
        <w:ind w:firstLineChars="200" w:firstLine="480"/>
        <w:rPr>
          <w:color w:val="000000"/>
          <w:sz w:val="24"/>
        </w:rPr>
      </w:pPr>
      <w:r>
        <w:rPr>
          <w:color w:val="000000"/>
          <w:sz w:val="24"/>
        </w:rPr>
        <w:t>基金托管人上海浦东发展银行股份有限公司根据本基金合同规定，于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6711D6" w:rsidRDefault="003524EB">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6711D6" w:rsidRDefault="003524EB">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6711D6" w:rsidRDefault="003524EB">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易方达瑞弘混合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003882</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2017</w:t>
            </w:r>
            <w:r w:rsidRPr="00C30CFF">
              <w:rPr>
                <w:color w:val="000000"/>
                <w:kern w:val="0"/>
                <w:sz w:val="24"/>
              </w:rPr>
              <w:t>年</w:t>
            </w:r>
            <w:r w:rsidRPr="00C30CFF">
              <w:rPr>
                <w:color w:val="000000"/>
                <w:kern w:val="0"/>
                <w:sz w:val="24"/>
              </w:rPr>
              <w:t>1</w:t>
            </w:r>
            <w:r w:rsidRPr="00C30CFF">
              <w:rPr>
                <w:color w:val="000000"/>
                <w:kern w:val="0"/>
                <w:sz w:val="24"/>
              </w:rPr>
              <w:t>月</w:t>
            </w:r>
            <w:r w:rsidRPr="00C30CFF">
              <w:rPr>
                <w:color w:val="000000"/>
                <w:kern w:val="0"/>
                <w:sz w:val="24"/>
              </w:rPr>
              <w:t>11</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550,607,154.86</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本基金在控制风险的前提下，追求基金资产的稳健增值。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w:t>
            </w:r>
            <w:r w:rsidRPr="00C30CFF">
              <w:rPr>
                <w:color w:val="000000"/>
                <w:kern w:val="0"/>
                <w:sz w:val="24"/>
              </w:rPr>
              <w:lastRenderedPageBreak/>
              <w:t>资上结合对行业景气度、行业竞争格局的判断以及对公司基本面、估值水平等因素进行定量和定性的分析，选择优质行业、个股进行配置，追求业绩的长期稳健增值。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中债新综合指数（财富）收益率</w:t>
            </w:r>
            <w:r w:rsidRPr="00C30CFF">
              <w:rPr>
                <w:color w:val="000000"/>
                <w:kern w:val="0"/>
                <w:sz w:val="24"/>
              </w:rPr>
              <w:t>×80%+</w:t>
            </w: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×20%</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上海浦东发展银行股份有限公司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易方达瑞弘混合</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易方达瑞弘混合</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003882</w:t>
            </w:r>
          </w:p>
        </w:tc>
        <w:tc>
          <w:tcPr>
            <w:tcW w:w="2790" w:type="dxa"/>
            <w:vAlign w:val="center"/>
          </w:tcPr>
          <w:p w:rsidR="00F016DD" w:rsidRPr="00C30CFF" w:rsidRDefault="00F016DD" w:rsidP="00950413">
            <w:pPr>
              <w:jc w:val="left"/>
              <w:rPr>
                <w:color w:val="000000"/>
                <w:sz w:val="24"/>
              </w:rPr>
            </w:pPr>
            <w:r w:rsidRPr="00C30CFF">
              <w:rPr>
                <w:color w:val="000000"/>
                <w:sz w:val="24"/>
              </w:rPr>
              <w:t>003883</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550,481,408.02</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125,746.84</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易方达瑞弘混合</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易方达瑞弘混合</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23,514,864.48</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3,961.71</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68,321,207.58</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12,037.28</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0.1241</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0.1327</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823,825,474.25</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187,424.78</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1.4966</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1.4905</w:t>
            </w:r>
          </w:p>
        </w:tc>
      </w:tr>
    </w:tbl>
    <w:p w:rsidR="006711D6" w:rsidRDefault="003524EB">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易方达瑞弘混合A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6711D6">
        <w:tc>
          <w:tcPr>
            <w:tcW w:w="1290" w:type="dxa"/>
            <w:vAlign w:val="center"/>
          </w:tcPr>
          <w:p w:rsidR="006711D6" w:rsidRDefault="003524EB">
            <w:pPr>
              <w:jc w:val="left"/>
            </w:pPr>
            <w:r>
              <w:rPr>
                <w:color w:val="000000"/>
                <w:sz w:val="24"/>
              </w:rPr>
              <w:t>过去三个月</w:t>
            </w:r>
          </w:p>
        </w:tc>
        <w:tc>
          <w:tcPr>
            <w:tcW w:w="1291" w:type="dxa"/>
            <w:vAlign w:val="center"/>
          </w:tcPr>
          <w:p w:rsidR="006711D6" w:rsidRDefault="003524EB">
            <w:pPr>
              <w:jc w:val="center"/>
            </w:pPr>
            <w:r>
              <w:rPr>
                <w:color w:val="000000"/>
                <w:sz w:val="24"/>
              </w:rPr>
              <w:t>9.05%</w:t>
            </w:r>
          </w:p>
        </w:tc>
        <w:tc>
          <w:tcPr>
            <w:tcW w:w="1291" w:type="dxa"/>
            <w:vAlign w:val="center"/>
          </w:tcPr>
          <w:p w:rsidR="006711D6" w:rsidRDefault="003524EB">
            <w:pPr>
              <w:jc w:val="center"/>
            </w:pPr>
            <w:r>
              <w:rPr>
                <w:color w:val="000000"/>
                <w:sz w:val="24"/>
              </w:rPr>
              <w:t>0.38%</w:t>
            </w:r>
          </w:p>
        </w:tc>
        <w:tc>
          <w:tcPr>
            <w:tcW w:w="1291" w:type="dxa"/>
            <w:vAlign w:val="center"/>
          </w:tcPr>
          <w:p w:rsidR="006711D6" w:rsidRDefault="003524EB">
            <w:pPr>
              <w:jc w:val="center"/>
            </w:pPr>
            <w:r>
              <w:rPr>
                <w:color w:val="000000"/>
                <w:sz w:val="24"/>
              </w:rPr>
              <w:t>2.41%</w:t>
            </w:r>
          </w:p>
        </w:tc>
        <w:tc>
          <w:tcPr>
            <w:tcW w:w="1291" w:type="dxa"/>
            <w:vAlign w:val="center"/>
          </w:tcPr>
          <w:p w:rsidR="006711D6" w:rsidRDefault="003524EB">
            <w:pPr>
              <w:jc w:val="center"/>
            </w:pPr>
            <w:r>
              <w:rPr>
                <w:color w:val="000000"/>
                <w:sz w:val="24"/>
              </w:rPr>
              <w:t>0.20%</w:t>
            </w:r>
          </w:p>
        </w:tc>
        <w:tc>
          <w:tcPr>
            <w:tcW w:w="1291" w:type="dxa"/>
            <w:vAlign w:val="center"/>
          </w:tcPr>
          <w:p w:rsidR="006711D6" w:rsidRDefault="003524EB">
            <w:pPr>
              <w:jc w:val="center"/>
            </w:pPr>
            <w:r>
              <w:rPr>
                <w:color w:val="000000"/>
                <w:sz w:val="24"/>
              </w:rPr>
              <w:t>6.64%</w:t>
            </w:r>
          </w:p>
        </w:tc>
        <w:tc>
          <w:tcPr>
            <w:tcW w:w="1291" w:type="dxa"/>
            <w:vAlign w:val="center"/>
          </w:tcPr>
          <w:p w:rsidR="006711D6" w:rsidRDefault="003524EB">
            <w:pPr>
              <w:jc w:val="center"/>
            </w:pPr>
            <w:r>
              <w:rPr>
                <w:color w:val="000000"/>
                <w:sz w:val="24"/>
              </w:rPr>
              <w:t>0.18%</w:t>
            </w:r>
          </w:p>
        </w:tc>
      </w:tr>
      <w:tr w:rsidR="006711D6">
        <w:tc>
          <w:tcPr>
            <w:tcW w:w="1290" w:type="dxa"/>
            <w:vAlign w:val="center"/>
          </w:tcPr>
          <w:p w:rsidR="006711D6" w:rsidRDefault="003524EB">
            <w:pPr>
              <w:jc w:val="left"/>
            </w:pPr>
            <w:r>
              <w:rPr>
                <w:color w:val="000000"/>
                <w:sz w:val="24"/>
              </w:rPr>
              <w:t>过去六个月</w:t>
            </w:r>
          </w:p>
        </w:tc>
        <w:tc>
          <w:tcPr>
            <w:tcW w:w="1291" w:type="dxa"/>
            <w:vAlign w:val="center"/>
          </w:tcPr>
          <w:p w:rsidR="006711D6" w:rsidRDefault="003524EB">
            <w:pPr>
              <w:jc w:val="center"/>
            </w:pPr>
            <w:r>
              <w:rPr>
                <w:color w:val="000000"/>
                <w:sz w:val="24"/>
              </w:rPr>
              <w:t>8.91%</w:t>
            </w:r>
          </w:p>
        </w:tc>
        <w:tc>
          <w:tcPr>
            <w:tcW w:w="1291" w:type="dxa"/>
            <w:vAlign w:val="center"/>
          </w:tcPr>
          <w:p w:rsidR="006711D6" w:rsidRDefault="003524EB">
            <w:pPr>
              <w:jc w:val="center"/>
            </w:pPr>
            <w:r>
              <w:rPr>
                <w:color w:val="000000"/>
                <w:sz w:val="24"/>
              </w:rPr>
              <w:t>0.63%</w:t>
            </w:r>
          </w:p>
        </w:tc>
        <w:tc>
          <w:tcPr>
            <w:tcW w:w="1291" w:type="dxa"/>
            <w:vAlign w:val="center"/>
          </w:tcPr>
          <w:p w:rsidR="006711D6" w:rsidRDefault="003524EB">
            <w:pPr>
              <w:jc w:val="center"/>
            </w:pPr>
            <w:r>
              <w:rPr>
                <w:color w:val="000000"/>
                <w:sz w:val="24"/>
              </w:rPr>
              <w:t>2.20%</w:t>
            </w:r>
          </w:p>
        </w:tc>
        <w:tc>
          <w:tcPr>
            <w:tcW w:w="1291" w:type="dxa"/>
            <w:vAlign w:val="center"/>
          </w:tcPr>
          <w:p w:rsidR="006711D6" w:rsidRDefault="003524EB">
            <w:pPr>
              <w:jc w:val="center"/>
            </w:pPr>
            <w:r>
              <w:rPr>
                <w:color w:val="000000"/>
                <w:sz w:val="24"/>
              </w:rPr>
              <w:t>0.28%</w:t>
            </w:r>
          </w:p>
        </w:tc>
        <w:tc>
          <w:tcPr>
            <w:tcW w:w="1291" w:type="dxa"/>
            <w:vAlign w:val="center"/>
          </w:tcPr>
          <w:p w:rsidR="006711D6" w:rsidRDefault="003524EB">
            <w:pPr>
              <w:jc w:val="center"/>
            </w:pPr>
            <w:r>
              <w:rPr>
                <w:color w:val="000000"/>
                <w:sz w:val="24"/>
              </w:rPr>
              <w:t>6.71%</w:t>
            </w:r>
          </w:p>
        </w:tc>
        <w:tc>
          <w:tcPr>
            <w:tcW w:w="1291" w:type="dxa"/>
            <w:vAlign w:val="center"/>
          </w:tcPr>
          <w:p w:rsidR="006711D6" w:rsidRDefault="003524EB">
            <w:pPr>
              <w:jc w:val="center"/>
            </w:pPr>
            <w:r>
              <w:rPr>
                <w:color w:val="000000"/>
                <w:sz w:val="24"/>
              </w:rPr>
              <w:t>0.35%</w:t>
            </w:r>
          </w:p>
        </w:tc>
      </w:tr>
      <w:tr w:rsidR="006711D6">
        <w:tc>
          <w:tcPr>
            <w:tcW w:w="1290" w:type="dxa"/>
            <w:vAlign w:val="center"/>
          </w:tcPr>
          <w:p w:rsidR="006711D6" w:rsidRDefault="003524EB">
            <w:pPr>
              <w:jc w:val="left"/>
            </w:pPr>
            <w:r>
              <w:rPr>
                <w:color w:val="000000"/>
                <w:sz w:val="24"/>
              </w:rPr>
              <w:t>过去一年</w:t>
            </w:r>
          </w:p>
        </w:tc>
        <w:tc>
          <w:tcPr>
            <w:tcW w:w="1291" w:type="dxa"/>
            <w:vAlign w:val="center"/>
          </w:tcPr>
          <w:p w:rsidR="006711D6" w:rsidRDefault="003524EB">
            <w:pPr>
              <w:jc w:val="center"/>
            </w:pPr>
            <w:r>
              <w:rPr>
                <w:color w:val="000000"/>
                <w:sz w:val="24"/>
              </w:rPr>
              <w:t>22.45%</w:t>
            </w:r>
          </w:p>
        </w:tc>
        <w:tc>
          <w:tcPr>
            <w:tcW w:w="1291" w:type="dxa"/>
            <w:vAlign w:val="center"/>
          </w:tcPr>
          <w:p w:rsidR="006711D6" w:rsidRDefault="003524EB">
            <w:pPr>
              <w:jc w:val="center"/>
            </w:pPr>
            <w:r>
              <w:rPr>
                <w:color w:val="000000"/>
                <w:sz w:val="24"/>
              </w:rPr>
              <w:t>0.49%</w:t>
            </w:r>
          </w:p>
        </w:tc>
        <w:tc>
          <w:tcPr>
            <w:tcW w:w="1291" w:type="dxa"/>
            <w:vAlign w:val="center"/>
          </w:tcPr>
          <w:p w:rsidR="006711D6" w:rsidRDefault="003524EB">
            <w:pPr>
              <w:jc w:val="center"/>
            </w:pPr>
            <w:r>
              <w:rPr>
                <w:color w:val="000000"/>
                <w:sz w:val="24"/>
              </w:rPr>
              <w:t>5.86%</w:t>
            </w:r>
          </w:p>
        </w:tc>
        <w:tc>
          <w:tcPr>
            <w:tcW w:w="1291" w:type="dxa"/>
            <w:vAlign w:val="center"/>
          </w:tcPr>
          <w:p w:rsidR="006711D6" w:rsidRDefault="003524EB">
            <w:pPr>
              <w:jc w:val="center"/>
            </w:pPr>
            <w:r>
              <w:rPr>
                <w:color w:val="000000"/>
                <w:sz w:val="24"/>
              </w:rPr>
              <w:t>0.23%</w:t>
            </w:r>
          </w:p>
        </w:tc>
        <w:tc>
          <w:tcPr>
            <w:tcW w:w="1291" w:type="dxa"/>
            <w:vAlign w:val="center"/>
          </w:tcPr>
          <w:p w:rsidR="006711D6" w:rsidRDefault="003524EB">
            <w:pPr>
              <w:jc w:val="center"/>
            </w:pPr>
            <w:r>
              <w:rPr>
                <w:color w:val="000000"/>
                <w:sz w:val="24"/>
              </w:rPr>
              <w:t>16.59%</w:t>
            </w:r>
          </w:p>
        </w:tc>
        <w:tc>
          <w:tcPr>
            <w:tcW w:w="1291" w:type="dxa"/>
            <w:vAlign w:val="center"/>
          </w:tcPr>
          <w:p w:rsidR="006711D6" w:rsidRDefault="003524EB">
            <w:pPr>
              <w:jc w:val="center"/>
            </w:pPr>
            <w:r>
              <w:rPr>
                <w:color w:val="000000"/>
                <w:sz w:val="24"/>
              </w:rPr>
              <w:t>0.26%</w:t>
            </w:r>
          </w:p>
        </w:tc>
      </w:tr>
      <w:tr w:rsidR="006711D6">
        <w:tc>
          <w:tcPr>
            <w:tcW w:w="1290" w:type="dxa"/>
            <w:vAlign w:val="center"/>
          </w:tcPr>
          <w:p w:rsidR="006711D6" w:rsidRDefault="003524EB">
            <w:pPr>
              <w:jc w:val="left"/>
            </w:pPr>
            <w:r>
              <w:rPr>
                <w:color w:val="000000"/>
                <w:sz w:val="24"/>
              </w:rPr>
              <w:t>过去三年</w:t>
            </w:r>
          </w:p>
        </w:tc>
        <w:tc>
          <w:tcPr>
            <w:tcW w:w="1291" w:type="dxa"/>
            <w:vAlign w:val="center"/>
          </w:tcPr>
          <w:p w:rsidR="006711D6" w:rsidRDefault="003524EB">
            <w:pPr>
              <w:jc w:val="center"/>
            </w:pPr>
            <w:r>
              <w:rPr>
                <w:color w:val="000000"/>
                <w:sz w:val="24"/>
              </w:rPr>
              <w:t>43.56%</w:t>
            </w:r>
          </w:p>
        </w:tc>
        <w:tc>
          <w:tcPr>
            <w:tcW w:w="1291" w:type="dxa"/>
            <w:vAlign w:val="center"/>
          </w:tcPr>
          <w:p w:rsidR="006711D6" w:rsidRDefault="003524EB">
            <w:pPr>
              <w:jc w:val="center"/>
            </w:pPr>
            <w:r>
              <w:rPr>
                <w:color w:val="000000"/>
                <w:sz w:val="24"/>
              </w:rPr>
              <w:t>0.41%</w:t>
            </w:r>
          </w:p>
        </w:tc>
        <w:tc>
          <w:tcPr>
            <w:tcW w:w="1291" w:type="dxa"/>
            <w:vAlign w:val="center"/>
          </w:tcPr>
          <w:p w:rsidR="006711D6" w:rsidRDefault="003524EB">
            <w:pPr>
              <w:jc w:val="center"/>
            </w:pPr>
            <w:r>
              <w:rPr>
                <w:color w:val="000000"/>
                <w:sz w:val="24"/>
              </w:rPr>
              <w:t>15.70%</w:t>
            </w:r>
          </w:p>
        </w:tc>
        <w:tc>
          <w:tcPr>
            <w:tcW w:w="1291" w:type="dxa"/>
            <w:vAlign w:val="center"/>
          </w:tcPr>
          <w:p w:rsidR="006711D6" w:rsidRDefault="003524EB">
            <w:pPr>
              <w:jc w:val="center"/>
            </w:pPr>
            <w:r>
              <w:rPr>
                <w:color w:val="000000"/>
                <w:sz w:val="24"/>
              </w:rPr>
              <w:t>0.24%</w:t>
            </w:r>
          </w:p>
        </w:tc>
        <w:tc>
          <w:tcPr>
            <w:tcW w:w="1291" w:type="dxa"/>
            <w:vAlign w:val="center"/>
          </w:tcPr>
          <w:p w:rsidR="006711D6" w:rsidRDefault="003524EB">
            <w:pPr>
              <w:jc w:val="center"/>
            </w:pPr>
            <w:r>
              <w:rPr>
                <w:color w:val="000000"/>
                <w:sz w:val="24"/>
              </w:rPr>
              <w:t>27.86%</w:t>
            </w:r>
          </w:p>
        </w:tc>
        <w:tc>
          <w:tcPr>
            <w:tcW w:w="1291" w:type="dxa"/>
            <w:vAlign w:val="center"/>
          </w:tcPr>
          <w:p w:rsidR="006711D6" w:rsidRDefault="003524EB">
            <w:pPr>
              <w:jc w:val="center"/>
            </w:pPr>
            <w:r>
              <w:rPr>
                <w:color w:val="000000"/>
                <w:sz w:val="24"/>
              </w:rPr>
              <w:t>0.17%</w:t>
            </w:r>
          </w:p>
        </w:tc>
      </w:tr>
      <w:tr w:rsidR="006711D6">
        <w:tc>
          <w:tcPr>
            <w:tcW w:w="1290" w:type="dxa"/>
            <w:vAlign w:val="center"/>
          </w:tcPr>
          <w:p w:rsidR="006711D6" w:rsidRDefault="003524EB">
            <w:pPr>
              <w:jc w:val="left"/>
            </w:pPr>
            <w:r>
              <w:rPr>
                <w:color w:val="000000"/>
                <w:sz w:val="24"/>
              </w:rPr>
              <w:t>过去五年</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r>
      <w:tr w:rsidR="006711D6">
        <w:tc>
          <w:tcPr>
            <w:tcW w:w="1290" w:type="dxa"/>
            <w:vAlign w:val="center"/>
          </w:tcPr>
          <w:p w:rsidR="006711D6" w:rsidRDefault="003524EB">
            <w:pPr>
              <w:jc w:val="left"/>
            </w:pPr>
            <w:r>
              <w:rPr>
                <w:color w:val="000000"/>
                <w:sz w:val="24"/>
              </w:rPr>
              <w:t>自基金合同生效起至今</w:t>
            </w:r>
          </w:p>
        </w:tc>
        <w:tc>
          <w:tcPr>
            <w:tcW w:w="1291" w:type="dxa"/>
            <w:vAlign w:val="center"/>
          </w:tcPr>
          <w:p w:rsidR="006711D6" w:rsidRDefault="003524EB">
            <w:pPr>
              <w:jc w:val="center"/>
            </w:pPr>
            <w:r>
              <w:rPr>
                <w:color w:val="000000"/>
                <w:sz w:val="24"/>
              </w:rPr>
              <w:t>49.66%</w:t>
            </w:r>
          </w:p>
        </w:tc>
        <w:tc>
          <w:tcPr>
            <w:tcW w:w="1291" w:type="dxa"/>
            <w:vAlign w:val="center"/>
          </w:tcPr>
          <w:p w:rsidR="006711D6" w:rsidRDefault="003524EB">
            <w:pPr>
              <w:jc w:val="center"/>
            </w:pPr>
            <w:r>
              <w:rPr>
                <w:color w:val="000000"/>
                <w:sz w:val="24"/>
              </w:rPr>
              <w:t>0.38%</w:t>
            </w:r>
          </w:p>
        </w:tc>
        <w:tc>
          <w:tcPr>
            <w:tcW w:w="1291" w:type="dxa"/>
            <w:vAlign w:val="center"/>
          </w:tcPr>
          <w:p w:rsidR="006711D6" w:rsidRDefault="003524EB">
            <w:pPr>
              <w:jc w:val="center"/>
            </w:pPr>
            <w:r>
              <w:rPr>
                <w:color w:val="000000"/>
                <w:sz w:val="24"/>
              </w:rPr>
              <w:t>17.67%</w:t>
            </w:r>
          </w:p>
        </w:tc>
        <w:tc>
          <w:tcPr>
            <w:tcW w:w="1291" w:type="dxa"/>
            <w:vAlign w:val="center"/>
          </w:tcPr>
          <w:p w:rsidR="006711D6" w:rsidRDefault="003524EB">
            <w:pPr>
              <w:jc w:val="center"/>
            </w:pPr>
            <w:r>
              <w:rPr>
                <w:color w:val="000000"/>
                <w:sz w:val="24"/>
              </w:rPr>
              <w:t>0.23%</w:t>
            </w:r>
          </w:p>
        </w:tc>
        <w:tc>
          <w:tcPr>
            <w:tcW w:w="1291" w:type="dxa"/>
            <w:vAlign w:val="center"/>
          </w:tcPr>
          <w:p w:rsidR="006711D6" w:rsidRDefault="003524EB">
            <w:pPr>
              <w:jc w:val="center"/>
            </w:pPr>
            <w:r>
              <w:rPr>
                <w:color w:val="000000"/>
                <w:sz w:val="24"/>
              </w:rPr>
              <w:t>31.99%</w:t>
            </w:r>
          </w:p>
        </w:tc>
        <w:tc>
          <w:tcPr>
            <w:tcW w:w="1291" w:type="dxa"/>
            <w:vAlign w:val="center"/>
          </w:tcPr>
          <w:p w:rsidR="006711D6" w:rsidRDefault="003524EB">
            <w:pPr>
              <w:jc w:val="center"/>
            </w:pPr>
            <w:r>
              <w:rPr>
                <w:color w:val="000000"/>
                <w:sz w:val="24"/>
              </w:rPr>
              <w:t>0.15%</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易方达瑞弘混合C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6711D6">
        <w:tc>
          <w:tcPr>
            <w:tcW w:w="1290" w:type="dxa"/>
            <w:vAlign w:val="center"/>
          </w:tcPr>
          <w:p w:rsidR="006711D6" w:rsidRDefault="003524EB">
            <w:pPr>
              <w:jc w:val="left"/>
            </w:pPr>
            <w:r>
              <w:rPr>
                <w:color w:val="000000"/>
                <w:sz w:val="24"/>
              </w:rPr>
              <w:t>过去三个月</w:t>
            </w:r>
          </w:p>
        </w:tc>
        <w:tc>
          <w:tcPr>
            <w:tcW w:w="1291" w:type="dxa"/>
            <w:vAlign w:val="center"/>
          </w:tcPr>
          <w:p w:rsidR="006711D6" w:rsidRDefault="003524EB">
            <w:pPr>
              <w:jc w:val="center"/>
            </w:pPr>
            <w:r>
              <w:rPr>
                <w:color w:val="000000"/>
                <w:sz w:val="24"/>
              </w:rPr>
              <w:t>8.99%</w:t>
            </w:r>
          </w:p>
        </w:tc>
        <w:tc>
          <w:tcPr>
            <w:tcW w:w="1291" w:type="dxa"/>
            <w:vAlign w:val="center"/>
          </w:tcPr>
          <w:p w:rsidR="006711D6" w:rsidRDefault="003524EB">
            <w:pPr>
              <w:jc w:val="center"/>
            </w:pPr>
            <w:r>
              <w:rPr>
                <w:color w:val="000000"/>
                <w:sz w:val="24"/>
              </w:rPr>
              <w:t>0.38%</w:t>
            </w:r>
          </w:p>
        </w:tc>
        <w:tc>
          <w:tcPr>
            <w:tcW w:w="1291" w:type="dxa"/>
            <w:vAlign w:val="center"/>
          </w:tcPr>
          <w:p w:rsidR="006711D6" w:rsidRDefault="003524EB">
            <w:pPr>
              <w:jc w:val="center"/>
            </w:pPr>
            <w:r>
              <w:rPr>
                <w:color w:val="000000"/>
                <w:sz w:val="24"/>
              </w:rPr>
              <w:t>2.41%</w:t>
            </w:r>
          </w:p>
        </w:tc>
        <w:tc>
          <w:tcPr>
            <w:tcW w:w="1291" w:type="dxa"/>
            <w:vAlign w:val="center"/>
          </w:tcPr>
          <w:p w:rsidR="006711D6" w:rsidRDefault="003524EB">
            <w:pPr>
              <w:jc w:val="center"/>
            </w:pPr>
            <w:r>
              <w:rPr>
                <w:color w:val="000000"/>
                <w:sz w:val="24"/>
              </w:rPr>
              <w:t>0.20%</w:t>
            </w:r>
          </w:p>
        </w:tc>
        <w:tc>
          <w:tcPr>
            <w:tcW w:w="1291" w:type="dxa"/>
            <w:vAlign w:val="center"/>
          </w:tcPr>
          <w:p w:rsidR="006711D6" w:rsidRDefault="003524EB">
            <w:pPr>
              <w:jc w:val="center"/>
            </w:pPr>
            <w:r>
              <w:rPr>
                <w:color w:val="000000"/>
                <w:sz w:val="24"/>
              </w:rPr>
              <w:t>6.58%</w:t>
            </w:r>
          </w:p>
        </w:tc>
        <w:tc>
          <w:tcPr>
            <w:tcW w:w="1291" w:type="dxa"/>
            <w:vAlign w:val="center"/>
          </w:tcPr>
          <w:p w:rsidR="006711D6" w:rsidRDefault="003524EB">
            <w:pPr>
              <w:jc w:val="center"/>
            </w:pPr>
            <w:r>
              <w:rPr>
                <w:color w:val="000000"/>
                <w:sz w:val="24"/>
              </w:rPr>
              <w:t>0.18%</w:t>
            </w:r>
          </w:p>
        </w:tc>
      </w:tr>
      <w:tr w:rsidR="006711D6">
        <w:tc>
          <w:tcPr>
            <w:tcW w:w="1290" w:type="dxa"/>
            <w:vAlign w:val="center"/>
          </w:tcPr>
          <w:p w:rsidR="006711D6" w:rsidRDefault="003524EB">
            <w:pPr>
              <w:jc w:val="left"/>
            </w:pPr>
            <w:r>
              <w:rPr>
                <w:color w:val="000000"/>
                <w:sz w:val="24"/>
              </w:rPr>
              <w:t>过去六个月</w:t>
            </w:r>
          </w:p>
        </w:tc>
        <w:tc>
          <w:tcPr>
            <w:tcW w:w="1291" w:type="dxa"/>
            <w:vAlign w:val="center"/>
          </w:tcPr>
          <w:p w:rsidR="006711D6" w:rsidRDefault="003524EB">
            <w:pPr>
              <w:jc w:val="center"/>
            </w:pPr>
            <w:r>
              <w:rPr>
                <w:color w:val="000000"/>
                <w:sz w:val="24"/>
              </w:rPr>
              <w:t>8.80%</w:t>
            </w:r>
          </w:p>
        </w:tc>
        <w:tc>
          <w:tcPr>
            <w:tcW w:w="1291" w:type="dxa"/>
            <w:vAlign w:val="center"/>
          </w:tcPr>
          <w:p w:rsidR="006711D6" w:rsidRDefault="003524EB">
            <w:pPr>
              <w:jc w:val="center"/>
            </w:pPr>
            <w:r>
              <w:rPr>
                <w:color w:val="000000"/>
                <w:sz w:val="24"/>
              </w:rPr>
              <w:t>0.63%</w:t>
            </w:r>
          </w:p>
        </w:tc>
        <w:tc>
          <w:tcPr>
            <w:tcW w:w="1291" w:type="dxa"/>
            <w:vAlign w:val="center"/>
          </w:tcPr>
          <w:p w:rsidR="006711D6" w:rsidRDefault="003524EB">
            <w:pPr>
              <w:jc w:val="center"/>
            </w:pPr>
            <w:r>
              <w:rPr>
                <w:color w:val="000000"/>
                <w:sz w:val="24"/>
              </w:rPr>
              <w:t>2.20%</w:t>
            </w:r>
          </w:p>
        </w:tc>
        <w:tc>
          <w:tcPr>
            <w:tcW w:w="1291" w:type="dxa"/>
            <w:vAlign w:val="center"/>
          </w:tcPr>
          <w:p w:rsidR="006711D6" w:rsidRDefault="003524EB">
            <w:pPr>
              <w:jc w:val="center"/>
            </w:pPr>
            <w:r>
              <w:rPr>
                <w:color w:val="000000"/>
                <w:sz w:val="24"/>
              </w:rPr>
              <w:t>0.28%</w:t>
            </w:r>
          </w:p>
        </w:tc>
        <w:tc>
          <w:tcPr>
            <w:tcW w:w="1291" w:type="dxa"/>
            <w:vAlign w:val="center"/>
          </w:tcPr>
          <w:p w:rsidR="006711D6" w:rsidRDefault="003524EB">
            <w:pPr>
              <w:jc w:val="center"/>
            </w:pPr>
            <w:r>
              <w:rPr>
                <w:color w:val="000000"/>
                <w:sz w:val="24"/>
              </w:rPr>
              <w:t>6.60%</w:t>
            </w:r>
          </w:p>
        </w:tc>
        <w:tc>
          <w:tcPr>
            <w:tcW w:w="1291" w:type="dxa"/>
            <w:vAlign w:val="center"/>
          </w:tcPr>
          <w:p w:rsidR="006711D6" w:rsidRDefault="003524EB">
            <w:pPr>
              <w:jc w:val="center"/>
            </w:pPr>
            <w:r>
              <w:rPr>
                <w:color w:val="000000"/>
                <w:sz w:val="24"/>
              </w:rPr>
              <w:t>0.35%</w:t>
            </w:r>
          </w:p>
        </w:tc>
      </w:tr>
      <w:tr w:rsidR="006711D6">
        <w:tc>
          <w:tcPr>
            <w:tcW w:w="1290" w:type="dxa"/>
            <w:vAlign w:val="center"/>
          </w:tcPr>
          <w:p w:rsidR="006711D6" w:rsidRDefault="003524EB">
            <w:pPr>
              <w:jc w:val="left"/>
            </w:pPr>
            <w:r>
              <w:rPr>
                <w:color w:val="000000"/>
                <w:sz w:val="24"/>
              </w:rPr>
              <w:t>过去一年</w:t>
            </w:r>
          </w:p>
        </w:tc>
        <w:tc>
          <w:tcPr>
            <w:tcW w:w="1291" w:type="dxa"/>
            <w:vAlign w:val="center"/>
          </w:tcPr>
          <w:p w:rsidR="006711D6" w:rsidRDefault="003524EB">
            <w:pPr>
              <w:jc w:val="center"/>
            </w:pPr>
            <w:r>
              <w:rPr>
                <w:color w:val="000000"/>
                <w:sz w:val="24"/>
              </w:rPr>
              <w:t>22.38%</w:t>
            </w:r>
          </w:p>
        </w:tc>
        <w:tc>
          <w:tcPr>
            <w:tcW w:w="1291" w:type="dxa"/>
            <w:vAlign w:val="center"/>
          </w:tcPr>
          <w:p w:rsidR="006711D6" w:rsidRDefault="003524EB">
            <w:pPr>
              <w:jc w:val="center"/>
            </w:pPr>
            <w:r>
              <w:rPr>
                <w:color w:val="000000"/>
                <w:sz w:val="24"/>
              </w:rPr>
              <w:t>0.49%</w:t>
            </w:r>
          </w:p>
        </w:tc>
        <w:tc>
          <w:tcPr>
            <w:tcW w:w="1291" w:type="dxa"/>
            <w:vAlign w:val="center"/>
          </w:tcPr>
          <w:p w:rsidR="006711D6" w:rsidRDefault="003524EB">
            <w:pPr>
              <w:jc w:val="center"/>
            </w:pPr>
            <w:r>
              <w:rPr>
                <w:color w:val="000000"/>
                <w:sz w:val="24"/>
              </w:rPr>
              <w:t>5.86%</w:t>
            </w:r>
          </w:p>
        </w:tc>
        <w:tc>
          <w:tcPr>
            <w:tcW w:w="1291" w:type="dxa"/>
            <w:vAlign w:val="center"/>
          </w:tcPr>
          <w:p w:rsidR="006711D6" w:rsidRDefault="003524EB">
            <w:pPr>
              <w:jc w:val="center"/>
            </w:pPr>
            <w:r>
              <w:rPr>
                <w:color w:val="000000"/>
                <w:sz w:val="24"/>
              </w:rPr>
              <w:t>0.23%</w:t>
            </w:r>
          </w:p>
        </w:tc>
        <w:tc>
          <w:tcPr>
            <w:tcW w:w="1291" w:type="dxa"/>
            <w:vAlign w:val="center"/>
          </w:tcPr>
          <w:p w:rsidR="006711D6" w:rsidRDefault="003524EB">
            <w:pPr>
              <w:jc w:val="center"/>
            </w:pPr>
            <w:r>
              <w:rPr>
                <w:color w:val="000000"/>
                <w:sz w:val="24"/>
              </w:rPr>
              <w:t>16.52%</w:t>
            </w:r>
          </w:p>
        </w:tc>
        <w:tc>
          <w:tcPr>
            <w:tcW w:w="1291" w:type="dxa"/>
            <w:vAlign w:val="center"/>
          </w:tcPr>
          <w:p w:rsidR="006711D6" w:rsidRDefault="003524EB">
            <w:pPr>
              <w:jc w:val="center"/>
            </w:pPr>
            <w:r>
              <w:rPr>
                <w:color w:val="000000"/>
                <w:sz w:val="24"/>
              </w:rPr>
              <w:t>0.26%</w:t>
            </w:r>
          </w:p>
        </w:tc>
      </w:tr>
      <w:tr w:rsidR="006711D6">
        <w:tc>
          <w:tcPr>
            <w:tcW w:w="1290" w:type="dxa"/>
            <w:vAlign w:val="center"/>
          </w:tcPr>
          <w:p w:rsidR="006711D6" w:rsidRDefault="003524EB">
            <w:pPr>
              <w:jc w:val="left"/>
            </w:pPr>
            <w:r>
              <w:rPr>
                <w:color w:val="000000"/>
                <w:sz w:val="24"/>
              </w:rPr>
              <w:t>过去三年</w:t>
            </w:r>
          </w:p>
        </w:tc>
        <w:tc>
          <w:tcPr>
            <w:tcW w:w="1291" w:type="dxa"/>
            <w:vAlign w:val="center"/>
          </w:tcPr>
          <w:p w:rsidR="006711D6" w:rsidRDefault="003524EB">
            <w:pPr>
              <w:jc w:val="center"/>
            </w:pPr>
            <w:r>
              <w:rPr>
                <w:color w:val="000000"/>
                <w:sz w:val="24"/>
              </w:rPr>
              <w:t>43.10%</w:t>
            </w:r>
          </w:p>
        </w:tc>
        <w:tc>
          <w:tcPr>
            <w:tcW w:w="1291" w:type="dxa"/>
            <w:vAlign w:val="center"/>
          </w:tcPr>
          <w:p w:rsidR="006711D6" w:rsidRDefault="003524EB">
            <w:pPr>
              <w:jc w:val="center"/>
            </w:pPr>
            <w:r>
              <w:rPr>
                <w:color w:val="000000"/>
                <w:sz w:val="24"/>
              </w:rPr>
              <w:t>0.41%</w:t>
            </w:r>
          </w:p>
        </w:tc>
        <w:tc>
          <w:tcPr>
            <w:tcW w:w="1291" w:type="dxa"/>
            <w:vAlign w:val="center"/>
          </w:tcPr>
          <w:p w:rsidR="006711D6" w:rsidRDefault="003524EB">
            <w:pPr>
              <w:jc w:val="center"/>
            </w:pPr>
            <w:r>
              <w:rPr>
                <w:color w:val="000000"/>
                <w:sz w:val="24"/>
              </w:rPr>
              <w:t>15.70%</w:t>
            </w:r>
          </w:p>
        </w:tc>
        <w:tc>
          <w:tcPr>
            <w:tcW w:w="1291" w:type="dxa"/>
            <w:vAlign w:val="center"/>
          </w:tcPr>
          <w:p w:rsidR="006711D6" w:rsidRDefault="003524EB">
            <w:pPr>
              <w:jc w:val="center"/>
            </w:pPr>
            <w:r>
              <w:rPr>
                <w:color w:val="000000"/>
                <w:sz w:val="24"/>
              </w:rPr>
              <w:t>0.24%</w:t>
            </w:r>
          </w:p>
        </w:tc>
        <w:tc>
          <w:tcPr>
            <w:tcW w:w="1291" w:type="dxa"/>
            <w:vAlign w:val="center"/>
          </w:tcPr>
          <w:p w:rsidR="006711D6" w:rsidRDefault="003524EB">
            <w:pPr>
              <w:jc w:val="center"/>
            </w:pPr>
            <w:r>
              <w:rPr>
                <w:color w:val="000000"/>
                <w:sz w:val="24"/>
              </w:rPr>
              <w:t>27.40%</w:t>
            </w:r>
          </w:p>
        </w:tc>
        <w:tc>
          <w:tcPr>
            <w:tcW w:w="1291" w:type="dxa"/>
            <w:vAlign w:val="center"/>
          </w:tcPr>
          <w:p w:rsidR="006711D6" w:rsidRDefault="003524EB">
            <w:pPr>
              <w:jc w:val="center"/>
            </w:pPr>
            <w:r>
              <w:rPr>
                <w:color w:val="000000"/>
                <w:sz w:val="24"/>
              </w:rPr>
              <w:t>0.17%</w:t>
            </w:r>
          </w:p>
        </w:tc>
      </w:tr>
      <w:tr w:rsidR="006711D6">
        <w:tc>
          <w:tcPr>
            <w:tcW w:w="1290" w:type="dxa"/>
            <w:vAlign w:val="center"/>
          </w:tcPr>
          <w:p w:rsidR="006711D6" w:rsidRDefault="003524EB">
            <w:pPr>
              <w:jc w:val="left"/>
            </w:pPr>
            <w:r>
              <w:rPr>
                <w:color w:val="000000"/>
                <w:sz w:val="24"/>
              </w:rPr>
              <w:t>过去五年</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c>
          <w:tcPr>
            <w:tcW w:w="1291" w:type="dxa"/>
            <w:vAlign w:val="center"/>
          </w:tcPr>
          <w:p w:rsidR="006711D6" w:rsidRDefault="003524EB">
            <w:pPr>
              <w:jc w:val="center"/>
            </w:pPr>
            <w:r>
              <w:rPr>
                <w:color w:val="000000"/>
                <w:sz w:val="24"/>
              </w:rPr>
              <w:t>-</w:t>
            </w:r>
          </w:p>
        </w:tc>
      </w:tr>
      <w:tr w:rsidR="006711D6">
        <w:tc>
          <w:tcPr>
            <w:tcW w:w="1290" w:type="dxa"/>
            <w:vAlign w:val="center"/>
          </w:tcPr>
          <w:p w:rsidR="006711D6" w:rsidRDefault="003524EB">
            <w:pPr>
              <w:jc w:val="left"/>
            </w:pPr>
            <w:r>
              <w:rPr>
                <w:color w:val="000000"/>
                <w:sz w:val="24"/>
              </w:rPr>
              <w:t>自基金合同生效起</w:t>
            </w:r>
            <w:r>
              <w:rPr>
                <w:color w:val="000000"/>
                <w:sz w:val="24"/>
              </w:rPr>
              <w:lastRenderedPageBreak/>
              <w:t>至今</w:t>
            </w:r>
          </w:p>
        </w:tc>
        <w:tc>
          <w:tcPr>
            <w:tcW w:w="1291" w:type="dxa"/>
            <w:vAlign w:val="center"/>
          </w:tcPr>
          <w:p w:rsidR="006711D6" w:rsidRDefault="003524EB">
            <w:pPr>
              <w:jc w:val="center"/>
            </w:pPr>
            <w:r>
              <w:rPr>
                <w:color w:val="000000"/>
                <w:sz w:val="24"/>
              </w:rPr>
              <w:lastRenderedPageBreak/>
              <w:t>49.05%</w:t>
            </w:r>
          </w:p>
        </w:tc>
        <w:tc>
          <w:tcPr>
            <w:tcW w:w="1291" w:type="dxa"/>
            <w:vAlign w:val="center"/>
          </w:tcPr>
          <w:p w:rsidR="006711D6" w:rsidRDefault="003524EB">
            <w:pPr>
              <w:jc w:val="center"/>
            </w:pPr>
            <w:r>
              <w:rPr>
                <w:color w:val="000000"/>
                <w:sz w:val="24"/>
              </w:rPr>
              <w:t>0.38%</w:t>
            </w:r>
          </w:p>
        </w:tc>
        <w:tc>
          <w:tcPr>
            <w:tcW w:w="1291" w:type="dxa"/>
            <w:vAlign w:val="center"/>
          </w:tcPr>
          <w:p w:rsidR="006711D6" w:rsidRDefault="003524EB">
            <w:pPr>
              <w:jc w:val="center"/>
            </w:pPr>
            <w:r>
              <w:rPr>
                <w:color w:val="000000"/>
                <w:sz w:val="24"/>
              </w:rPr>
              <w:t>17.67%</w:t>
            </w:r>
          </w:p>
        </w:tc>
        <w:tc>
          <w:tcPr>
            <w:tcW w:w="1291" w:type="dxa"/>
            <w:vAlign w:val="center"/>
          </w:tcPr>
          <w:p w:rsidR="006711D6" w:rsidRDefault="003524EB">
            <w:pPr>
              <w:jc w:val="center"/>
            </w:pPr>
            <w:r>
              <w:rPr>
                <w:color w:val="000000"/>
                <w:sz w:val="24"/>
              </w:rPr>
              <w:t>0.23%</w:t>
            </w:r>
          </w:p>
        </w:tc>
        <w:tc>
          <w:tcPr>
            <w:tcW w:w="1291" w:type="dxa"/>
            <w:vAlign w:val="center"/>
          </w:tcPr>
          <w:p w:rsidR="006711D6" w:rsidRDefault="003524EB">
            <w:pPr>
              <w:jc w:val="center"/>
            </w:pPr>
            <w:r>
              <w:rPr>
                <w:color w:val="000000"/>
                <w:sz w:val="24"/>
              </w:rPr>
              <w:t>31.38%</w:t>
            </w:r>
          </w:p>
        </w:tc>
        <w:tc>
          <w:tcPr>
            <w:tcW w:w="1291" w:type="dxa"/>
            <w:vAlign w:val="center"/>
          </w:tcPr>
          <w:p w:rsidR="006711D6" w:rsidRDefault="003524EB">
            <w:pPr>
              <w:jc w:val="center"/>
            </w:pPr>
            <w:r>
              <w:rPr>
                <w:color w:val="000000"/>
                <w:sz w:val="24"/>
              </w:rPr>
              <w:t>0.15%</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易方达瑞弘灵活配置混合型证券投资基金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2017</w:t>
      </w:r>
      <w:r w:rsidRPr="00526282">
        <w:rPr>
          <w:rFonts w:ascii="Times New Roman" w:hAnsi="Times New Roman"/>
          <w:sz w:val="24"/>
          <w:szCs w:val="24"/>
        </w:rPr>
        <w:t>年</w:t>
      </w:r>
      <w:r w:rsidRPr="00526282">
        <w:rPr>
          <w:rFonts w:ascii="Times New Roman" w:hAnsi="Times New Roman"/>
          <w:sz w:val="24"/>
          <w:szCs w:val="24"/>
        </w:rPr>
        <w:t>1</w:t>
      </w:r>
      <w:r w:rsidRPr="00526282">
        <w:rPr>
          <w:rFonts w:ascii="Times New Roman" w:hAnsi="Times New Roman"/>
          <w:sz w:val="24"/>
          <w:szCs w:val="24"/>
        </w:rPr>
        <w:t>月</w:t>
      </w:r>
      <w:r w:rsidRPr="00526282">
        <w:rPr>
          <w:rFonts w:ascii="Times New Roman" w:hAnsi="Times New Roman"/>
          <w:sz w:val="24"/>
          <w:szCs w:val="24"/>
        </w:rPr>
        <w:t>11</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易方达瑞弘混合</w:t>
      </w:r>
      <w:r w:rsidRPr="00611CB2">
        <w:rPr>
          <w:color w:val="000000"/>
          <w:sz w:val="24"/>
        </w:rPr>
        <w:t>A</w:t>
      </w:r>
    </w:p>
    <w:p w:rsidR="00F016DD" w:rsidRPr="0078105B" w:rsidRDefault="0058278A"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易方达瑞弘混合</w:t>
      </w:r>
      <w:r w:rsidRPr="00611CB2">
        <w:rPr>
          <w:color w:val="000000"/>
          <w:sz w:val="24"/>
        </w:rPr>
        <w:t>C</w:t>
      </w:r>
    </w:p>
    <w:p w:rsidR="00F016DD" w:rsidRPr="0078105B" w:rsidRDefault="0058278A"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49.66%</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49.05%</w:t>
      </w:r>
      <w:r w:rsidRPr="00DF18FE">
        <w:rPr>
          <w:color w:val="000000"/>
          <w:sz w:val="24"/>
        </w:rPr>
        <w:t>，同期业绩比较基准收益率为</w:t>
      </w:r>
      <w:r w:rsidRPr="00DF18FE">
        <w:rPr>
          <w:color w:val="000000"/>
          <w:sz w:val="24"/>
        </w:rPr>
        <w:t>17.67%</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6711D6">
        <w:tc>
          <w:tcPr>
            <w:tcW w:w="567" w:type="dxa"/>
            <w:vAlign w:val="center"/>
          </w:tcPr>
          <w:p w:rsidR="006711D6" w:rsidRDefault="003524EB">
            <w:pPr>
              <w:jc w:val="center"/>
            </w:pPr>
            <w:r>
              <w:rPr>
                <w:color w:val="000000"/>
                <w:sz w:val="24"/>
              </w:rPr>
              <w:t>林森</w:t>
            </w:r>
          </w:p>
        </w:tc>
        <w:tc>
          <w:tcPr>
            <w:tcW w:w="2835" w:type="dxa"/>
            <w:vAlign w:val="center"/>
          </w:tcPr>
          <w:p w:rsidR="006711D6" w:rsidRDefault="003524EB">
            <w:pPr>
              <w:jc w:val="left"/>
            </w:pPr>
            <w:r>
              <w:rPr>
                <w:color w:val="000000"/>
                <w:sz w:val="24"/>
              </w:rPr>
              <w:t>本基金的基金经理、易方达安心回馈混合型证券投资基金的基金经理、易方达瑞程灵活配置混合型证券投资基金的基金经理、易方达瑞通灵活配置混合型证券投资基金的基金经理、易方达裕祥回报债券型证券投资基金的基金经理、易方达裕景添利</w:t>
            </w:r>
            <w:r>
              <w:rPr>
                <w:color w:val="000000"/>
                <w:sz w:val="24"/>
              </w:rPr>
              <w:t>6</w:t>
            </w:r>
            <w:r>
              <w:rPr>
                <w:color w:val="000000"/>
                <w:sz w:val="24"/>
              </w:rPr>
              <w:t>个月定期开放债券型证券投资基金的基金经理、易方达高等级信</w:t>
            </w:r>
            <w:r>
              <w:rPr>
                <w:color w:val="000000"/>
                <w:sz w:val="24"/>
              </w:rPr>
              <w:lastRenderedPageBreak/>
              <w:t>用债债券型证券投资基金的基金经理、固定收益投资部总经理助理、投资经理</w:t>
            </w:r>
          </w:p>
        </w:tc>
        <w:tc>
          <w:tcPr>
            <w:tcW w:w="851" w:type="dxa"/>
            <w:vAlign w:val="center"/>
          </w:tcPr>
          <w:p w:rsidR="006711D6" w:rsidRDefault="003524EB">
            <w:pPr>
              <w:jc w:val="center"/>
            </w:pPr>
            <w:r>
              <w:rPr>
                <w:color w:val="000000"/>
                <w:sz w:val="24"/>
              </w:rPr>
              <w:lastRenderedPageBreak/>
              <w:t>2017-03-07</w:t>
            </w:r>
          </w:p>
        </w:tc>
        <w:tc>
          <w:tcPr>
            <w:tcW w:w="850" w:type="dxa"/>
            <w:vAlign w:val="center"/>
          </w:tcPr>
          <w:p w:rsidR="006711D6" w:rsidRDefault="003524EB">
            <w:pPr>
              <w:jc w:val="center"/>
            </w:pPr>
            <w:r>
              <w:rPr>
                <w:color w:val="000000"/>
                <w:sz w:val="24"/>
              </w:rPr>
              <w:t>-</w:t>
            </w:r>
          </w:p>
        </w:tc>
        <w:tc>
          <w:tcPr>
            <w:tcW w:w="851" w:type="dxa"/>
            <w:vAlign w:val="center"/>
          </w:tcPr>
          <w:p w:rsidR="006711D6" w:rsidRDefault="003524EB">
            <w:pPr>
              <w:jc w:val="center"/>
            </w:pPr>
            <w:r>
              <w:rPr>
                <w:color w:val="000000"/>
                <w:sz w:val="24"/>
              </w:rPr>
              <w:t>10</w:t>
            </w:r>
            <w:r>
              <w:rPr>
                <w:color w:val="000000"/>
                <w:sz w:val="24"/>
              </w:rPr>
              <w:t>年</w:t>
            </w:r>
          </w:p>
        </w:tc>
        <w:tc>
          <w:tcPr>
            <w:tcW w:w="2977" w:type="dxa"/>
            <w:vAlign w:val="center"/>
          </w:tcPr>
          <w:p w:rsidR="006711D6" w:rsidRDefault="003524EB">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w:t>
            </w:r>
            <w:r>
              <w:rPr>
                <w:color w:val="000000"/>
                <w:sz w:val="24"/>
              </w:rPr>
              <w:lastRenderedPageBreak/>
              <w:t>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345A1D" w:rsidRDefault="0058278A" w:rsidP="00345A1D">
      <w:pPr>
        <w:spacing w:line="360" w:lineRule="auto"/>
        <w:rPr>
          <w:color w:val="000000"/>
          <w:sz w:val="24"/>
        </w:rPr>
      </w:pPr>
      <w:r w:rsidRPr="0058278A">
        <w:rPr>
          <w:noProof/>
          <w:color w:val="000000"/>
          <w:sz w:val="24"/>
        </w:rPr>
        <w:lastRenderedPageBreak/>
        <w:drawing>
          <wp:inline distT="0" distB="0" distL="0" distR="0">
            <wp:extent cx="5600700" cy="3752297"/>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752297"/>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lastRenderedPageBreak/>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6711D6" w:rsidRDefault="003524EB">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6711D6" w:rsidRDefault="003524EB">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6711D6" w:rsidRDefault="003524EB">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w:t>
      </w:r>
      <w:r>
        <w:rPr>
          <w:color w:val="000000"/>
          <w:sz w:val="24"/>
        </w:rPr>
        <w:lastRenderedPageBreak/>
        <w:t>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月份以来，资本市场改革政策逐步推出，创业板注册制的快速推进、三板精选层基金的发布等，显著提升了权益市场的风险偏好，也催生二季度后期科技板块的强劲反弹。</w:t>
      </w:r>
    </w:p>
    <w:p w:rsidR="00F016DD" w:rsidRPr="00DF18FE" w:rsidRDefault="00F016DD" w:rsidP="00DF18FE">
      <w:pPr>
        <w:spacing w:line="360" w:lineRule="auto"/>
        <w:ind w:firstLineChars="200" w:firstLine="480"/>
        <w:rPr>
          <w:color w:val="000000"/>
          <w:sz w:val="24"/>
        </w:rPr>
      </w:pPr>
      <w:r w:rsidRPr="00DF18FE">
        <w:rPr>
          <w:color w:val="000000"/>
          <w:sz w:val="24"/>
        </w:rPr>
        <w:t>操作上，组合权益坚持自下而上选择个股的长期配置价值，维持了较为稳定的股票仓位。债券方面，组合继续维持较高的杠杆和中性的久期水平，整体仍按照票息策略的偏绝对收益操作思路为主。此外，组合仍积极参与科创版打新。</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1.4966</w:t>
      </w:r>
      <w:r w:rsidRPr="00DF18FE">
        <w:rPr>
          <w:color w:val="000000"/>
          <w:sz w:val="24"/>
        </w:rPr>
        <w:t>元，本报告期份额净值增长率为</w:t>
      </w:r>
      <w:r w:rsidRPr="00DF18FE">
        <w:rPr>
          <w:color w:val="000000"/>
          <w:sz w:val="24"/>
        </w:rPr>
        <w:t>9.05%</w:t>
      </w:r>
      <w:r w:rsidRPr="00DF18FE">
        <w:rPr>
          <w:color w:val="000000"/>
          <w:sz w:val="24"/>
        </w:rPr>
        <w:t>，同期业绩比较基准收益率为</w:t>
      </w:r>
      <w:r w:rsidRPr="00DF18FE">
        <w:rPr>
          <w:color w:val="000000"/>
          <w:sz w:val="24"/>
        </w:rPr>
        <w:t>2.41%</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1.4905</w:t>
      </w:r>
      <w:r w:rsidRPr="00DF18FE">
        <w:rPr>
          <w:color w:val="000000"/>
          <w:sz w:val="24"/>
        </w:rPr>
        <w:t>元，本报告期份额净值增长率为</w:t>
      </w:r>
      <w:r w:rsidRPr="00DF18FE">
        <w:rPr>
          <w:color w:val="000000"/>
          <w:sz w:val="24"/>
        </w:rPr>
        <w:t>8.99%</w:t>
      </w:r>
      <w:r w:rsidRPr="00DF18FE">
        <w:rPr>
          <w:color w:val="000000"/>
          <w:sz w:val="24"/>
        </w:rPr>
        <w:t>，同期业绩比较基准收益率为</w:t>
      </w:r>
      <w:r w:rsidRPr="00DF18FE">
        <w:rPr>
          <w:color w:val="000000"/>
          <w:sz w:val="24"/>
        </w:rPr>
        <w:t>2.41%</w:t>
      </w:r>
      <w:r w:rsidRPr="00DF18FE">
        <w:rPr>
          <w:color w:val="000000"/>
          <w:sz w:val="24"/>
        </w:rPr>
        <w:t>。</w:t>
      </w:r>
    </w:p>
    <w:p w:rsidR="003F1058" w:rsidRPr="00701A03" w:rsidRDefault="003F1058" w:rsidP="003F1058">
      <w:pPr>
        <w:autoSpaceDE w:val="0"/>
        <w:autoSpaceDN w:val="0"/>
        <w:adjustRightInd w:val="0"/>
        <w:spacing w:line="360" w:lineRule="auto"/>
        <w:jc w:val="left"/>
        <w:rPr>
          <w:rFonts w:ascii="宋体" w:hAnsi="宋体" w:cs="Arial"/>
          <w:b/>
          <w:color w:val="000000"/>
          <w:kern w:val="0"/>
          <w:sz w:val="24"/>
        </w:rPr>
      </w:pPr>
      <w:r w:rsidRPr="00701A03">
        <w:rPr>
          <w:rFonts w:ascii="宋体" w:hAnsi="宋体" w:cs="Arial"/>
          <w:b/>
          <w:color w:val="000000"/>
          <w:kern w:val="0"/>
          <w:sz w:val="24"/>
        </w:rPr>
        <w:t>4</w:t>
      </w:r>
      <w:r w:rsidR="00624C10">
        <w:rPr>
          <w:rFonts w:ascii="宋体" w:hAnsi="宋体" w:cs="Arial" w:hint="eastAsia"/>
          <w:b/>
          <w:color w:val="000000"/>
          <w:kern w:val="0"/>
          <w:sz w:val="24"/>
        </w:rPr>
        <w:t>.</w:t>
      </w:r>
      <w:r w:rsidRPr="00701A03">
        <w:rPr>
          <w:rFonts w:ascii="宋体" w:hAnsi="宋体" w:cs="Arial" w:hint="eastAsia"/>
          <w:b/>
          <w:color w:val="000000"/>
          <w:kern w:val="0"/>
          <w:sz w:val="24"/>
        </w:rPr>
        <w:t>5报告期内基金持有人数或基金资产净值预警说明</w:t>
      </w:r>
    </w:p>
    <w:p w:rsidR="006711D6" w:rsidRDefault="003524EB">
      <w:pPr>
        <w:spacing w:line="360" w:lineRule="auto"/>
        <w:ind w:firstLineChars="200" w:firstLine="480"/>
        <w:rPr>
          <w:color w:val="000000"/>
          <w:sz w:val="24"/>
        </w:rPr>
      </w:pPr>
      <w:r>
        <w:rPr>
          <w:color w:val="000000"/>
          <w:sz w:val="24"/>
        </w:rPr>
        <w:t>本报告期，本基金均存在连续二十个工作日基金份额持有人数量不满二百人的情形。</w:t>
      </w:r>
    </w:p>
    <w:p w:rsidR="008B6085" w:rsidRPr="00DF18FE" w:rsidRDefault="003F1058" w:rsidP="003F1058">
      <w:pPr>
        <w:spacing w:line="360" w:lineRule="auto"/>
        <w:ind w:firstLineChars="200" w:firstLine="480"/>
        <w:rPr>
          <w:color w:val="000000"/>
          <w:sz w:val="24"/>
        </w:rPr>
      </w:pPr>
      <w:r w:rsidRPr="0006661F">
        <w:rPr>
          <w:color w:val="000000"/>
          <w:sz w:val="24"/>
        </w:rPr>
        <w:t>本报告期，本基金均存在连续六十个工作日基金份额持有人数量不满二百人的情形。鉴于基金份额持有人数量的下滑主要受市场环境影响，本基金将继续运作。</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273,368,450.39</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24.61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273,368,450.39</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24.61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808,731,661.66</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72.80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808,731,661.66</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72.80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13,933,422.52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1.25</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14,822,903.40</w:t>
            </w:r>
          </w:p>
        </w:tc>
        <w:tc>
          <w:tcPr>
            <w:tcW w:w="1843" w:type="dxa"/>
            <w:vAlign w:val="center"/>
          </w:tcPr>
          <w:p w:rsidR="00F016DD" w:rsidRPr="00FA472B" w:rsidRDefault="00F016DD" w:rsidP="00F4518C">
            <w:pPr>
              <w:jc w:val="right"/>
              <w:rPr>
                <w:color w:val="000000"/>
                <w:sz w:val="24"/>
              </w:rPr>
            </w:pPr>
            <w:r w:rsidRPr="00FA472B">
              <w:rPr>
                <w:color w:val="000000"/>
                <w:sz w:val="24"/>
              </w:rPr>
              <w:t>1.33</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1,110,856,437.97</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235,551,262.95</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28.59</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12,766.32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10,232,127.00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1.24</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5,593,420.57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0.68</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547,253.55</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21,431,620.00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2.60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lastRenderedPageBreak/>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273,368,450.39</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33.18</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rsidR="006711D6">
        <w:tc>
          <w:tcPr>
            <w:tcW w:w="817" w:type="dxa"/>
            <w:vAlign w:val="center"/>
          </w:tcPr>
          <w:p w:rsidR="006711D6" w:rsidRDefault="003524EB">
            <w:pPr>
              <w:jc w:val="center"/>
            </w:pPr>
            <w:r>
              <w:rPr>
                <w:color w:val="000000"/>
                <w:sz w:val="24"/>
              </w:rPr>
              <w:t>1</w:t>
            </w:r>
          </w:p>
        </w:tc>
        <w:tc>
          <w:tcPr>
            <w:tcW w:w="1276" w:type="dxa"/>
            <w:vAlign w:val="center"/>
          </w:tcPr>
          <w:p w:rsidR="006711D6" w:rsidRDefault="003524EB">
            <w:pPr>
              <w:jc w:val="center"/>
            </w:pPr>
            <w:r>
              <w:rPr>
                <w:color w:val="000000"/>
                <w:sz w:val="24"/>
              </w:rPr>
              <w:t>002475</w:t>
            </w:r>
          </w:p>
        </w:tc>
        <w:tc>
          <w:tcPr>
            <w:tcW w:w="1417" w:type="dxa"/>
            <w:vAlign w:val="center"/>
          </w:tcPr>
          <w:p w:rsidR="006711D6" w:rsidRDefault="003524EB">
            <w:pPr>
              <w:jc w:val="center"/>
            </w:pPr>
            <w:r>
              <w:rPr>
                <w:color w:val="000000"/>
                <w:sz w:val="24"/>
              </w:rPr>
              <w:t>立讯精密</w:t>
            </w:r>
          </w:p>
        </w:tc>
        <w:tc>
          <w:tcPr>
            <w:tcW w:w="1560" w:type="dxa"/>
            <w:vAlign w:val="center"/>
          </w:tcPr>
          <w:p w:rsidR="006711D6" w:rsidRDefault="003524EB">
            <w:pPr>
              <w:jc w:val="right"/>
            </w:pPr>
            <w:r>
              <w:rPr>
                <w:color w:val="000000"/>
                <w:sz w:val="24"/>
              </w:rPr>
              <w:t>688,984</w:t>
            </w:r>
          </w:p>
        </w:tc>
        <w:tc>
          <w:tcPr>
            <w:tcW w:w="2268" w:type="dxa"/>
            <w:vAlign w:val="center"/>
          </w:tcPr>
          <w:p w:rsidR="006711D6" w:rsidRDefault="003524EB">
            <w:pPr>
              <w:jc w:val="right"/>
            </w:pPr>
            <w:r>
              <w:rPr>
                <w:color w:val="000000"/>
                <w:sz w:val="24"/>
              </w:rPr>
              <w:t>34,511,208.56</w:t>
            </w:r>
          </w:p>
        </w:tc>
        <w:tc>
          <w:tcPr>
            <w:tcW w:w="1559" w:type="dxa"/>
            <w:vAlign w:val="center"/>
          </w:tcPr>
          <w:p w:rsidR="006711D6" w:rsidRDefault="003524EB">
            <w:pPr>
              <w:jc w:val="right"/>
            </w:pPr>
            <w:r>
              <w:rPr>
                <w:color w:val="000000"/>
                <w:sz w:val="24"/>
              </w:rPr>
              <w:t>4.19</w:t>
            </w:r>
          </w:p>
        </w:tc>
      </w:tr>
      <w:tr w:rsidR="006711D6">
        <w:tc>
          <w:tcPr>
            <w:tcW w:w="817" w:type="dxa"/>
            <w:vAlign w:val="center"/>
          </w:tcPr>
          <w:p w:rsidR="006711D6" w:rsidRDefault="003524EB">
            <w:pPr>
              <w:jc w:val="center"/>
            </w:pPr>
            <w:r>
              <w:rPr>
                <w:color w:val="000000"/>
                <w:sz w:val="24"/>
              </w:rPr>
              <w:t>2</w:t>
            </w:r>
          </w:p>
        </w:tc>
        <w:tc>
          <w:tcPr>
            <w:tcW w:w="1276" w:type="dxa"/>
            <w:vAlign w:val="center"/>
          </w:tcPr>
          <w:p w:rsidR="006711D6" w:rsidRDefault="003524EB">
            <w:pPr>
              <w:jc w:val="center"/>
            </w:pPr>
            <w:r>
              <w:rPr>
                <w:color w:val="000000"/>
                <w:sz w:val="24"/>
              </w:rPr>
              <w:t>601799</w:t>
            </w:r>
          </w:p>
        </w:tc>
        <w:tc>
          <w:tcPr>
            <w:tcW w:w="1417" w:type="dxa"/>
            <w:vAlign w:val="center"/>
          </w:tcPr>
          <w:p w:rsidR="006711D6" w:rsidRDefault="003524EB">
            <w:pPr>
              <w:jc w:val="center"/>
            </w:pPr>
            <w:r>
              <w:rPr>
                <w:color w:val="000000"/>
                <w:sz w:val="24"/>
              </w:rPr>
              <w:t>星宇股份</w:t>
            </w:r>
          </w:p>
        </w:tc>
        <w:tc>
          <w:tcPr>
            <w:tcW w:w="1560" w:type="dxa"/>
            <w:vAlign w:val="center"/>
          </w:tcPr>
          <w:p w:rsidR="006711D6" w:rsidRDefault="003524EB">
            <w:pPr>
              <w:jc w:val="right"/>
            </w:pPr>
            <w:r>
              <w:rPr>
                <w:color w:val="000000"/>
                <w:sz w:val="24"/>
              </w:rPr>
              <w:t>204,756</w:t>
            </w:r>
          </w:p>
        </w:tc>
        <w:tc>
          <w:tcPr>
            <w:tcW w:w="2268" w:type="dxa"/>
            <w:vAlign w:val="center"/>
          </w:tcPr>
          <w:p w:rsidR="006711D6" w:rsidRDefault="003524EB">
            <w:pPr>
              <w:jc w:val="right"/>
            </w:pPr>
            <w:r>
              <w:rPr>
                <w:color w:val="000000"/>
                <w:sz w:val="24"/>
              </w:rPr>
              <w:t>26,004,012.00</w:t>
            </w:r>
          </w:p>
        </w:tc>
        <w:tc>
          <w:tcPr>
            <w:tcW w:w="1559" w:type="dxa"/>
            <w:vAlign w:val="center"/>
          </w:tcPr>
          <w:p w:rsidR="006711D6" w:rsidRDefault="003524EB">
            <w:pPr>
              <w:jc w:val="right"/>
            </w:pPr>
            <w:r>
              <w:rPr>
                <w:color w:val="000000"/>
                <w:sz w:val="24"/>
              </w:rPr>
              <w:t>3.16</w:t>
            </w:r>
          </w:p>
        </w:tc>
      </w:tr>
      <w:tr w:rsidR="006711D6">
        <w:tc>
          <w:tcPr>
            <w:tcW w:w="817" w:type="dxa"/>
            <w:vAlign w:val="center"/>
          </w:tcPr>
          <w:p w:rsidR="006711D6" w:rsidRDefault="003524EB">
            <w:pPr>
              <w:jc w:val="center"/>
            </w:pPr>
            <w:r>
              <w:rPr>
                <w:color w:val="000000"/>
                <w:sz w:val="24"/>
              </w:rPr>
              <w:t>3</w:t>
            </w:r>
          </w:p>
        </w:tc>
        <w:tc>
          <w:tcPr>
            <w:tcW w:w="1276" w:type="dxa"/>
            <w:vAlign w:val="center"/>
          </w:tcPr>
          <w:p w:rsidR="006711D6" w:rsidRDefault="003524EB">
            <w:pPr>
              <w:jc w:val="center"/>
            </w:pPr>
            <w:r>
              <w:rPr>
                <w:color w:val="000000"/>
                <w:sz w:val="24"/>
              </w:rPr>
              <w:t>000651</w:t>
            </w:r>
          </w:p>
        </w:tc>
        <w:tc>
          <w:tcPr>
            <w:tcW w:w="1417" w:type="dxa"/>
            <w:vAlign w:val="center"/>
          </w:tcPr>
          <w:p w:rsidR="006711D6" w:rsidRDefault="003524EB">
            <w:pPr>
              <w:jc w:val="center"/>
            </w:pPr>
            <w:r>
              <w:rPr>
                <w:color w:val="000000"/>
                <w:sz w:val="24"/>
              </w:rPr>
              <w:t>格力电器</w:t>
            </w:r>
          </w:p>
        </w:tc>
        <w:tc>
          <w:tcPr>
            <w:tcW w:w="1560" w:type="dxa"/>
            <w:vAlign w:val="center"/>
          </w:tcPr>
          <w:p w:rsidR="006711D6" w:rsidRDefault="003524EB">
            <w:pPr>
              <w:jc w:val="right"/>
            </w:pPr>
            <w:r>
              <w:rPr>
                <w:color w:val="000000"/>
                <w:sz w:val="24"/>
              </w:rPr>
              <w:t>453,657</w:t>
            </w:r>
          </w:p>
        </w:tc>
        <w:tc>
          <w:tcPr>
            <w:tcW w:w="2268" w:type="dxa"/>
            <w:vAlign w:val="center"/>
          </w:tcPr>
          <w:p w:rsidR="006711D6" w:rsidRDefault="003524EB">
            <w:pPr>
              <w:jc w:val="right"/>
            </w:pPr>
            <w:r>
              <w:rPr>
                <w:color w:val="000000"/>
                <w:sz w:val="24"/>
              </w:rPr>
              <w:t>25,663,376.49</w:t>
            </w:r>
          </w:p>
        </w:tc>
        <w:tc>
          <w:tcPr>
            <w:tcW w:w="1559" w:type="dxa"/>
            <w:vAlign w:val="center"/>
          </w:tcPr>
          <w:p w:rsidR="006711D6" w:rsidRDefault="003524EB">
            <w:pPr>
              <w:jc w:val="right"/>
            </w:pPr>
            <w:r>
              <w:rPr>
                <w:color w:val="000000"/>
                <w:sz w:val="24"/>
              </w:rPr>
              <w:t>3.11</w:t>
            </w:r>
          </w:p>
        </w:tc>
      </w:tr>
      <w:tr w:rsidR="006711D6">
        <w:tc>
          <w:tcPr>
            <w:tcW w:w="817" w:type="dxa"/>
            <w:vAlign w:val="center"/>
          </w:tcPr>
          <w:p w:rsidR="006711D6" w:rsidRDefault="003524EB">
            <w:pPr>
              <w:jc w:val="center"/>
            </w:pPr>
            <w:r>
              <w:rPr>
                <w:color w:val="000000"/>
                <w:sz w:val="24"/>
              </w:rPr>
              <w:t>4</w:t>
            </w:r>
          </w:p>
        </w:tc>
        <w:tc>
          <w:tcPr>
            <w:tcW w:w="1276" w:type="dxa"/>
            <w:vAlign w:val="center"/>
          </w:tcPr>
          <w:p w:rsidR="006711D6" w:rsidRDefault="003524EB">
            <w:pPr>
              <w:jc w:val="center"/>
            </w:pPr>
            <w:r>
              <w:rPr>
                <w:color w:val="000000"/>
                <w:sz w:val="24"/>
              </w:rPr>
              <w:t>300433</w:t>
            </w:r>
          </w:p>
        </w:tc>
        <w:tc>
          <w:tcPr>
            <w:tcW w:w="1417" w:type="dxa"/>
            <w:vAlign w:val="center"/>
          </w:tcPr>
          <w:p w:rsidR="006711D6" w:rsidRDefault="003524EB">
            <w:pPr>
              <w:jc w:val="center"/>
            </w:pPr>
            <w:r>
              <w:rPr>
                <w:color w:val="000000"/>
                <w:sz w:val="24"/>
              </w:rPr>
              <w:t>蓝思科技</w:t>
            </w:r>
          </w:p>
        </w:tc>
        <w:tc>
          <w:tcPr>
            <w:tcW w:w="1560" w:type="dxa"/>
            <w:vAlign w:val="center"/>
          </w:tcPr>
          <w:p w:rsidR="006711D6" w:rsidRDefault="003524EB">
            <w:pPr>
              <w:jc w:val="right"/>
            </w:pPr>
            <w:r>
              <w:rPr>
                <w:color w:val="000000"/>
                <w:sz w:val="24"/>
              </w:rPr>
              <w:t>838,100</w:t>
            </w:r>
          </w:p>
        </w:tc>
        <w:tc>
          <w:tcPr>
            <w:tcW w:w="2268" w:type="dxa"/>
            <w:vAlign w:val="center"/>
          </w:tcPr>
          <w:p w:rsidR="006711D6" w:rsidRDefault="003524EB">
            <w:pPr>
              <w:jc w:val="right"/>
            </w:pPr>
            <w:r>
              <w:rPr>
                <w:color w:val="000000"/>
                <w:sz w:val="24"/>
              </w:rPr>
              <w:t>23,500,324.00</w:t>
            </w:r>
          </w:p>
        </w:tc>
        <w:tc>
          <w:tcPr>
            <w:tcW w:w="1559" w:type="dxa"/>
            <w:vAlign w:val="center"/>
          </w:tcPr>
          <w:p w:rsidR="006711D6" w:rsidRDefault="003524EB">
            <w:pPr>
              <w:jc w:val="right"/>
            </w:pPr>
            <w:r>
              <w:rPr>
                <w:color w:val="000000"/>
                <w:sz w:val="24"/>
              </w:rPr>
              <w:t>2.85</w:t>
            </w:r>
          </w:p>
        </w:tc>
      </w:tr>
      <w:tr w:rsidR="006711D6">
        <w:tc>
          <w:tcPr>
            <w:tcW w:w="817" w:type="dxa"/>
            <w:vAlign w:val="center"/>
          </w:tcPr>
          <w:p w:rsidR="006711D6" w:rsidRDefault="003524EB">
            <w:pPr>
              <w:jc w:val="center"/>
            </w:pPr>
            <w:r>
              <w:rPr>
                <w:color w:val="000000"/>
                <w:sz w:val="24"/>
              </w:rPr>
              <w:t>5</w:t>
            </w:r>
          </w:p>
        </w:tc>
        <w:tc>
          <w:tcPr>
            <w:tcW w:w="1276" w:type="dxa"/>
            <w:vAlign w:val="center"/>
          </w:tcPr>
          <w:p w:rsidR="006711D6" w:rsidRDefault="003524EB">
            <w:pPr>
              <w:jc w:val="center"/>
            </w:pPr>
            <w:r>
              <w:rPr>
                <w:color w:val="000000"/>
                <w:sz w:val="24"/>
              </w:rPr>
              <w:t>600933</w:t>
            </w:r>
          </w:p>
        </w:tc>
        <w:tc>
          <w:tcPr>
            <w:tcW w:w="1417" w:type="dxa"/>
            <w:vAlign w:val="center"/>
          </w:tcPr>
          <w:p w:rsidR="006711D6" w:rsidRDefault="003524EB">
            <w:pPr>
              <w:jc w:val="center"/>
            </w:pPr>
            <w:r>
              <w:rPr>
                <w:color w:val="000000"/>
                <w:sz w:val="24"/>
              </w:rPr>
              <w:t>爱柯迪</w:t>
            </w:r>
          </w:p>
        </w:tc>
        <w:tc>
          <w:tcPr>
            <w:tcW w:w="1560" w:type="dxa"/>
            <w:vAlign w:val="center"/>
          </w:tcPr>
          <w:p w:rsidR="006711D6" w:rsidRDefault="003524EB">
            <w:pPr>
              <w:jc w:val="right"/>
            </w:pPr>
            <w:r>
              <w:rPr>
                <w:color w:val="000000"/>
                <w:sz w:val="24"/>
              </w:rPr>
              <w:t>1,676,789</w:t>
            </w:r>
          </w:p>
        </w:tc>
        <w:tc>
          <w:tcPr>
            <w:tcW w:w="2268" w:type="dxa"/>
            <w:vAlign w:val="center"/>
          </w:tcPr>
          <w:p w:rsidR="006711D6" w:rsidRDefault="003524EB">
            <w:pPr>
              <w:jc w:val="right"/>
            </w:pPr>
            <w:r>
              <w:rPr>
                <w:color w:val="000000"/>
                <w:sz w:val="24"/>
              </w:rPr>
              <w:t>23,340,902.88</w:t>
            </w:r>
          </w:p>
        </w:tc>
        <w:tc>
          <w:tcPr>
            <w:tcW w:w="1559" w:type="dxa"/>
            <w:vAlign w:val="center"/>
          </w:tcPr>
          <w:p w:rsidR="006711D6" w:rsidRDefault="003524EB">
            <w:pPr>
              <w:jc w:val="right"/>
            </w:pPr>
            <w:r>
              <w:rPr>
                <w:color w:val="000000"/>
                <w:sz w:val="24"/>
              </w:rPr>
              <w:t>2.83</w:t>
            </w:r>
          </w:p>
        </w:tc>
      </w:tr>
      <w:tr w:rsidR="006711D6">
        <w:tc>
          <w:tcPr>
            <w:tcW w:w="817" w:type="dxa"/>
            <w:vAlign w:val="center"/>
          </w:tcPr>
          <w:p w:rsidR="006711D6" w:rsidRDefault="003524EB">
            <w:pPr>
              <w:jc w:val="center"/>
            </w:pPr>
            <w:r>
              <w:rPr>
                <w:color w:val="000000"/>
                <w:sz w:val="24"/>
              </w:rPr>
              <w:t>6</w:t>
            </w:r>
          </w:p>
        </w:tc>
        <w:tc>
          <w:tcPr>
            <w:tcW w:w="1276" w:type="dxa"/>
            <w:vAlign w:val="center"/>
          </w:tcPr>
          <w:p w:rsidR="006711D6" w:rsidRDefault="003524EB">
            <w:pPr>
              <w:jc w:val="center"/>
            </w:pPr>
            <w:r>
              <w:rPr>
                <w:color w:val="000000"/>
                <w:sz w:val="24"/>
              </w:rPr>
              <w:t>600066</w:t>
            </w:r>
          </w:p>
        </w:tc>
        <w:tc>
          <w:tcPr>
            <w:tcW w:w="1417" w:type="dxa"/>
            <w:vAlign w:val="center"/>
          </w:tcPr>
          <w:p w:rsidR="006711D6" w:rsidRDefault="003524EB">
            <w:pPr>
              <w:jc w:val="center"/>
            </w:pPr>
            <w:r>
              <w:rPr>
                <w:color w:val="000000"/>
                <w:sz w:val="24"/>
              </w:rPr>
              <w:t>宇通客车</w:t>
            </w:r>
          </w:p>
        </w:tc>
        <w:tc>
          <w:tcPr>
            <w:tcW w:w="1560" w:type="dxa"/>
            <w:vAlign w:val="center"/>
          </w:tcPr>
          <w:p w:rsidR="006711D6" w:rsidRDefault="003524EB">
            <w:pPr>
              <w:jc w:val="right"/>
            </w:pPr>
            <w:r>
              <w:rPr>
                <w:color w:val="000000"/>
                <w:sz w:val="24"/>
              </w:rPr>
              <w:t>1,807,853</w:t>
            </w:r>
          </w:p>
        </w:tc>
        <w:tc>
          <w:tcPr>
            <w:tcW w:w="2268" w:type="dxa"/>
            <w:vAlign w:val="center"/>
          </w:tcPr>
          <w:p w:rsidR="006711D6" w:rsidRDefault="003524EB">
            <w:pPr>
              <w:jc w:val="right"/>
            </w:pPr>
            <w:r>
              <w:rPr>
                <w:color w:val="000000"/>
                <w:sz w:val="24"/>
              </w:rPr>
              <w:t>22,055,806.60</w:t>
            </w:r>
          </w:p>
        </w:tc>
        <w:tc>
          <w:tcPr>
            <w:tcW w:w="1559" w:type="dxa"/>
            <w:vAlign w:val="center"/>
          </w:tcPr>
          <w:p w:rsidR="006711D6" w:rsidRDefault="003524EB">
            <w:pPr>
              <w:jc w:val="right"/>
            </w:pPr>
            <w:r>
              <w:rPr>
                <w:color w:val="000000"/>
                <w:sz w:val="24"/>
              </w:rPr>
              <w:t>2.68</w:t>
            </w:r>
          </w:p>
        </w:tc>
      </w:tr>
      <w:tr w:rsidR="006711D6">
        <w:tc>
          <w:tcPr>
            <w:tcW w:w="817" w:type="dxa"/>
            <w:vAlign w:val="center"/>
          </w:tcPr>
          <w:p w:rsidR="006711D6" w:rsidRDefault="003524EB">
            <w:pPr>
              <w:jc w:val="center"/>
            </w:pPr>
            <w:r>
              <w:rPr>
                <w:color w:val="000000"/>
                <w:sz w:val="24"/>
              </w:rPr>
              <w:t>7</w:t>
            </w:r>
          </w:p>
        </w:tc>
        <w:tc>
          <w:tcPr>
            <w:tcW w:w="1276" w:type="dxa"/>
            <w:vAlign w:val="center"/>
          </w:tcPr>
          <w:p w:rsidR="006711D6" w:rsidRDefault="003524EB">
            <w:pPr>
              <w:jc w:val="center"/>
            </w:pPr>
            <w:r>
              <w:rPr>
                <w:color w:val="000000"/>
                <w:sz w:val="24"/>
              </w:rPr>
              <w:t>601012</w:t>
            </w:r>
          </w:p>
        </w:tc>
        <w:tc>
          <w:tcPr>
            <w:tcW w:w="1417" w:type="dxa"/>
            <w:vAlign w:val="center"/>
          </w:tcPr>
          <w:p w:rsidR="006711D6" w:rsidRDefault="003524EB">
            <w:pPr>
              <w:jc w:val="center"/>
            </w:pPr>
            <w:r>
              <w:rPr>
                <w:color w:val="000000"/>
                <w:sz w:val="24"/>
              </w:rPr>
              <w:t>隆基股份</w:t>
            </w:r>
          </w:p>
        </w:tc>
        <w:tc>
          <w:tcPr>
            <w:tcW w:w="1560" w:type="dxa"/>
            <w:vAlign w:val="center"/>
          </w:tcPr>
          <w:p w:rsidR="006711D6" w:rsidRDefault="003524EB">
            <w:pPr>
              <w:jc w:val="right"/>
            </w:pPr>
            <w:r>
              <w:rPr>
                <w:color w:val="000000"/>
                <w:sz w:val="24"/>
              </w:rPr>
              <w:t>537,165</w:t>
            </w:r>
          </w:p>
        </w:tc>
        <w:tc>
          <w:tcPr>
            <w:tcW w:w="2268" w:type="dxa"/>
            <w:vAlign w:val="center"/>
          </w:tcPr>
          <w:p w:rsidR="006711D6" w:rsidRDefault="003524EB">
            <w:pPr>
              <w:jc w:val="right"/>
            </w:pPr>
            <w:r>
              <w:rPr>
                <w:color w:val="000000"/>
                <w:sz w:val="24"/>
              </w:rPr>
              <w:t>21,878,730.45</w:t>
            </w:r>
          </w:p>
        </w:tc>
        <w:tc>
          <w:tcPr>
            <w:tcW w:w="1559" w:type="dxa"/>
            <w:vAlign w:val="center"/>
          </w:tcPr>
          <w:p w:rsidR="006711D6" w:rsidRDefault="003524EB">
            <w:pPr>
              <w:jc w:val="right"/>
            </w:pPr>
            <w:r>
              <w:rPr>
                <w:color w:val="000000"/>
                <w:sz w:val="24"/>
              </w:rPr>
              <w:t>2.66</w:t>
            </w:r>
          </w:p>
        </w:tc>
      </w:tr>
      <w:tr w:rsidR="006711D6">
        <w:tc>
          <w:tcPr>
            <w:tcW w:w="817" w:type="dxa"/>
            <w:vAlign w:val="center"/>
          </w:tcPr>
          <w:p w:rsidR="006711D6" w:rsidRDefault="003524EB">
            <w:pPr>
              <w:jc w:val="center"/>
            </w:pPr>
            <w:r>
              <w:rPr>
                <w:color w:val="000000"/>
                <w:sz w:val="24"/>
              </w:rPr>
              <w:t>8</w:t>
            </w:r>
          </w:p>
        </w:tc>
        <w:tc>
          <w:tcPr>
            <w:tcW w:w="1276" w:type="dxa"/>
            <w:vAlign w:val="center"/>
          </w:tcPr>
          <w:p w:rsidR="006711D6" w:rsidRDefault="003524EB">
            <w:pPr>
              <w:jc w:val="center"/>
            </w:pPr>
            <w:r>
              <w:rPr>
                <w:color w:val="000000"/>
                <w:sz w:val="24"/>
              </w:rPr>
              <w:t>000002</w:t>
            </w:r>
          </w:p>
        </w:tc>
        <w:tc>
          <w:tcPr>
            <w:tcW w:w="1417" w:type="dxa"/>
            <w:vAlign w:val="center"/>
          </w:tcPr>
          <w:p w:rsidR="006711D6" w:rsidRDefault="003524EB">
            <w:pPr>
              <w:jc w:val="center"/>
            </w:pPr>
            <w:r>
              <w:rPr>
                <w:color w:val="000000"/>
                <w:sz w:val="24"/>
              </w:rPr>
              <w:t>万科</w:t>
            </w:r>
            <w:r>
              <w:rPr>
                <w:color w:val="000000"/>
                <w:sz w:val="24"/>
              </w:rPr>
              <w:t>A</w:t>
            </w:r>
          </w:p>
        </w:tc>
        <w:tc>
          <w:tcPr>
            <w:tcW w:w="1560" w:type="dxa"/>
            <w:vAlign w:val="center"/>
          </w:tcPr>
          <w:p w:rsidR="006711D6" w:rsidRDefault="003524EB">
            <w:pPr>
              <w:jc w:val="right"/>
            </w:pPr>
            <w:r>
              <w:rPr>
                <w:color w:val="000000"/>
                <w:sz w:val="24"/>
              </w:rPr>
              <w:t>700,600</w:t>
            </w:r>
          </w:p>
        </w:tc>
        <w:tc>
          <w:tcPr>
            <w:tcW w:w="2268" w:type="dxa"/>
            <w:vAlign w:val="center"/>
          </w:tcPr>
          <w:p w:rsidR="006711D6" w:rsidRDefault="003524EB">
            <w:pPr>
              <w:jc w:val="right"/>
            </w:pPr>
            <w:r>
              <w:rPr>
                <w:color w:val="000000"/>
                <w:sz w:val="24"/>
              </w:rPr>
              <w:t>18,313,684.00</w:t>
            </w:r>
          </w:p>
        </w:tc>
        <w:tc>
          <w:tcPr>
            <w:tcW w:w="1559" w:type="dxa"/>
            <w:vAlign w:val="center"/>
          </w:tcPr>
          <w:p w:rsidR="006711D6" w:rsidRDefault="003524EB">
            <w:pPr>
              <w:jc w:val="right"/>
            </w:pPr>
            <w:r>
              <w:rPr>
                <w:color w:val="000000"/>
                <w:sz w:val="24"/>
              </w:rPr>
              <w:t>2.22</w:t>
            </w:r>
          </w:p>
        </w:tc>
      </w:tr>
      <w:tr w:rsidR="006711D6">
        <w:tc>
          <w:tcPr>
            <w:tcW w:w="817" w:type="dxa"/>
            <w:vAlign w:val="center"/>
          </w:tcPr>
          <w:p w:rsidR="006711D6" w:rsidRDefault="003524EB">
            <w:pPr>
              <w:jc w:val="center"/>
            </w:pPr>
            <w:r>
              <w:rPr>
                <w:color w:val="000000"/>
                <w:sz w:val="24"/>
              </w:rPr>
              <w:t>9</w:t>
            </w:r>
          </w:p>
        </w:tc>
        <w:tc>
          <w:tcPr>
            <w:tcW w:w="1276" w:type="dxa"/>
            <w:vAlign w:val="center"/>
          </w:tcPr>
          <w:p w:rsidR="006711D6" w:rsidRDefault="003524EB">
            <w:pPr>
              <w:jc w:val="center"/>
            </w:pPr>
            <w:r>
              <w:rPr>
                <w:color w:val="000000"/>
                <w:sz w:val="24"/>
              </w:rPr>
              <w:t>002236</w:t>
            </w:r>
          </w:p>
        </w:tc>
        <w:tc>
          <w:tcPr>
            <w:tcW w:w="1417" w:type="dxa"/>
            <w:vAlign w:val="center"/>
          </w:tcPr>
          <w:p w:rsidR="006711D6" w:rsidRDefault="003524EB">
            <w:pPr>
              <w:jc w:val="center"/>
            </w:pPr>
            <w:r>
              <w:rPr>
                <w:color w:val="000000"/>
                <w:sz w:val="24"/>
              </w:rPr>
              <w:t>大华股份</w:t>
            </w:r>
          </w:p>
        </w:tc>
        <w:tc>
          <w:tcPr>
            <w:tcW w:w="1560" w:type="dxa"/>
            <w:vAlign w:val="center"/>
          </w:tcPr>
          <w:p w:rsidR="006711D6" w:rsidRDefault="003524EB">
            <w:pPr>
              <w:jc w:val="right"/>
            </w:pPr>
            <w:r>
              <w:rPr>
                <w:color w:val="000000"/>
                <w:sz w:val="24"/>
              </w:rPr>
              <w:t>891,100</w:t>
            </w:r>
          </w:p>
        </w:tc>
        <w:tc>
          <w:tcPr>
            <w:tcW w:w="2268" w:type="dxa"/>
            <w:vAlign w:val="center"/>
          </w:tcPr>
          <w:p w:rsidR="006711D6" w:rsidRDefault="003524EB">
            <w:pPr>
              <w:jc w:val="right"/>
            </w:pPr>
            <w:r>
              <w:rPr>
                <w:color w:val="000000"/>
                <w:sz w:val="24"/>
              </w:rPr>
              <w:t>17,118,031.00</w:t>
            </w:r>
          </w:p>
        </w:tc>
        <w:tc>
          <w:tcPr>
            <w:tcW w:w="1559" w:type="dxa"/>
            <w:vAlign w:val="center"/>
          </w:tcPr>
          <w:p w:rsidR="006711D6" w:rsidRDefault="003524EB">
            <w:pPr>
              <w:jc w:val="right"/>
            </w:pPr>
            <w:r>
              <w:rPr>
                <w:color w:val="000000"/>
                <w:sz w:val="24"/>
              </w:rPr>
              <w:t>2.08</w:t>
            </w:r>
          </w:p>
        </w:tc>
      </w:tr>
      <w:tr w:rsidR="006711D6">
        <w:tc>
          <w:tcPr>
            <w:tcW w:w="817" w:type="dxa"/>
            <w:vAlign w:val="center"/>
          </w:tcPr>
          <w:p w:rsidR="006711D6" w:rsidRDefault="003524EB">
            <w:pPr>
              <w:jc w:val="center"/>
            </w:pPr>
            <w:r>
              <w:rPr>
                <w:color w:val="000000"/>
                <w:sz w:val="24"/>
              </w:rPr>
              <w:t>10</w:t>
            </w:r>
          </w:p>
        </w:tc>
        <w:tc>
          <w:tcPr>
            <w:tcW w:w="1276" w:type="dxa"/>
            <w:vAlign w:val="center"/>
          </w:tcPr>
          <w:p w:rsidR="006711D6" w:rsidRDefault="003524EB">
            <w:pPr>
              <w:jc w:val="center"/>
            </w:pPr>
            <w:r>
              <w:rPr>
                <w:color w:val="000000"/>
                <w:sz w:val="24"/>
              </w:rPr>
              <w:t>600585</w:t>
            </w:r>
          </w:p>
        </w:tc>
        <w:tc>
          <w:tcPr>
            <w:tcW w:w="1417" w:type="dxa"/>
            <w:vAlign w:val="center"/>
          </w:tcPr>
          <w:p w:rsidR="006711D6" w:rsidRDefault="003524EB">
            <w:pPr>
              <w:jc w:val="center"/>
            </w:pPr>
            <w:r>
              <w:rPr>
                <w:color w:val="000000"/>
                <w:sz w:val="24"/>
              </w:rPr>
              <w:t>海螺水泥</w:t>
            </w:r>
          </w:p>
        </w:tc>
        <w:tc>
          <w:tcPr>
            <w:tcW w:w="1560" w:type="dxa"/>
            <w:vAlign w:val="center"/>
          </w:tcPr>
          <w:p w:rsidR="006711D6" w:rsidRDefault="003524EB">
            <w:pPr>
              <w:jc w:val="right"/>
            </w:pPr>
            <w:r>
              <w:rPr>
                <w:color w:val="000000"/>
                <w:sz w:val="24"/>
              </w:rPr>
              <w:t>280,300</w:t>
            </w:r>
          </w:p>
        </w:tc>
        <w:tc>
          <w:tcPr>
            <w:tcW w:w="2268" w:type="dxa"/>
            <w:vAlign w:val="center"/>
          </w:tcPr>
          <w:p w:rsidR="006711D6" w:rsidRDefault="003524EB">
            <w:pPr>
              <w:jc w:val="right"/>
            </w:pPr>
            <w:r>
              <w:rPr>
                <w:color w:val="000000"/>
                <w:sz w:val="24"/>
              </w:rPr>
              <w:t>14,830,673.00</w:t>
            </w:r>
          </w:p>
        </w:tc>
        <w:tc>
          <w:tcPr>
            <w:tcW w:w="1559" w:type="dxa"/>
            <w:vAlign w:val="center"/>
          </w:tcPr>
          <w:p w:rsidR="006711D6" w:rsidRDefault="003524EB">
            <w:pPr>
              <w:jc w:val="right"/>
            </w:pPr>
            <w:r>
              <w:rPr>
                <w:color w:val="000000"/>
                <w:sz w:val="24"/>
              </w:rPr>
              <w:t>1.80</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1,600,800.00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0.19</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40,051,000.00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4.86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40,051,000.00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4.86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346,380,249.00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42.04</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417,371,600.00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50.65</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3,328,012.66</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0.40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lastRenderedPageBreak/>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808,731,661.66</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98.15</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6711D6">
        <w:tc>
          <w:tcPr>
            <w:tcW w:w="802" w:type="dxa"/>
            <w:vAlign w:val="center"/>
          </w:tcPr>
          <w:p w:rsidR="006711D6" w:rsidRDefault="003524EB">
            <w:pPr>
              <w:jc w:val="center"/>
            </w:pPr>
            <w:r>
              <w:rPr>
                <w:color w:val="000000"/>
                <w:sz w:val="24"/>
              </w:rPr>
              <w:t>1</w:t>
            </w:r>
          </w:p>
        </w:tc>
        <w:tc>
          <w:tcPr>
            <w:tcW w:w="1559" w:type="dxa"/>
            <w:vAlign w:val="center"/>
          </w:tcPr>
          <w:p w:rsidR="006711D6" w:rsidRDefault="003524EB">
            <w:pPr>
              <w:jc w:val="center"/>
            </w:pPr>
            <w:r>
              <w:rPr>
                <w:color w:val="000000"/>
                <w:sz w:val="24"/>
              </w:rPr>
              <w:t>101801540</w:t>
            </w:r>
          </w:p>
        </w:tc>
        <w:tc>
          <w:tcPr>
            <w:tcW w:w="1985" w:type="dxa"/>
            <w:vAlign w:val="center"/>
          </w:tcPr>
          <w:p w:rsidR="006711D6" w:rsidRDefault="003524EB">
            <w:pPr>
              <w:jc w:val="center"/>
            </w:pPr>
            <w:r>
              <w:rPr>
                <w:color w:val="000000"/>
                <w:sz w:val="24"/>
              </w:rPr>
              <w:t>18</w:t>
            </w:r>
            <w:r>
              <w:rPr>
                <w:color w:val="000000"/>
                <w:sz w:val="24"/>
              </w:rPr>
              <w:t>陕延油</w:t>
            </w:r>
            <w:r>
              <w:rPr>
                <w:color w:val="000000"/>
                <w:sz w:val="24"/>
              </w:rPr>
              <w:t>MTN003</w:t>
            </w:r>
          </w:p>
        </w:tc>
        <w:tc>
          <w:tcPr>
            <w:tcW w:w="1559" w:type="dxa"/>
            <w:vAlign w:val="center"/>
          </w:tcPr>
          <w:p w:rsidR="006711D6" w:rsidRDefault="003524EB">
            <w:pPr>
              <w:jc w:val="right"/>
            </w:pPr>
            <w:r>
              <w:rPr>
                <w:color w:val="000000"/>
                <w:sz w:val="24"/>
              </w:rPr>
              <w:t>500,000</w:t>
            </w:r>
          </w:p>
        </w:tc>
        <w:tc>
          <w:tcPr>
            <w:tcW w:w="2126" w:type="dxa"/>
            <w:vAlign w:val="center"/>
          </w:tcPr>
          <w:p w:rsidR="006711D6" w:rsidRDefault="003524EB">
            <w:pPr>
              <w:jc w:val="right"/>
            </w:pPr>
            <w:r>
              <w:rPr>
                <w:color w:val="000000"/>
                <w:sz w:val="24"/>
              </w:rPr>
              <w:t>51,205,000.00</w:t>
            </w:r>
          </w:p>
        </w:tc>
        <w:tc>
          <w:tcPr>
            <w:tcW w:w="990" w:type="dxa"/>
            <w:vAlign w:val="center"/>
          </w:tcPr>
          <w:p w:rsidR="006711D6" w:rsidRDefault="003524EB">
            <w:pPr>
              <w:jc w:val="right"/>
            </w:pPr>
            <w:r>
              <w:rPr>
                <w:color w:val="000000"/>
                <w:sz w:val="24"/>
              </w:rPr>
              <w:t>6.21</w:t>
            </w:r>
          </w:p>
        </w:tc>
      </w:tr>
      <w:tr w:rsidR="006711D6">
        <w:tc>
          <w:tcPr>
            <w:tcW w:w="802" w:type="dxa"/>
            <w:vAlign w:val="center"/>
          </w:tcPr>
          <w:p w:rsidR="006711D6" w:rsidRDefault="003524EB">
            <w:pPr>
              <w:jc w:val="center"/>
            </w:pPr>
            <w:r>
              <w:rPr>
                <w:color w:val="000000"/>
                <w:sz w:val="24"/>
              </w:rPr>
              <w:t>2</w:t>
            </w:r>
          </w:p>
        </w:tc>
        <w:tc>
          <w:tcPr>
            <w:tcW w:w="1559" w:type="dxa"/>
            <w:vAlign w:val="center"/>
          </w:tcPr>
          <w:p w:rsidR="006711D6" w:rsidRDefault="003524EB">
            <w:pPr>
              <w:jc w:val="center"/>
            </w:pPr>
            <w:r>
              <w:rPr>
                <w:color w:val="000000"/>
                <w:sz w:val="24"/>
              </w:rPr>
              <w:t>101760062</w:t>
            </w:r>
          </w:p>
        </w:tc>
        <w:tc>
          <w:tcPr>
            <w:tcW w:w="1985" w:type="dxa"/>
            <w:vAlign w:val="center"/>
          </w:tcPr>
          <w:p w:rsidR="006711D6" w:rsidRDefault="003524EB">
            <w:pPr>
              <w:jc w:val="center"/>
            </w:pPr>
            <w:r>
              <w:rPr>
                <w:color w:val="000000"/>
                <w:sz w:val="24"/>
              </w:rPr>
              <w:t>17</w:t>
            </w:r>
            <w:r>
              <w:rPr>
                <w:color w:val="000000"/>
                <w:sz w:val="24"/>
              </w:rPr>
              <w:t>鲁能源</w:t>
            </w:r>
            <w:r>
              <w:rPr>
                <w:color w:val="000000"/>
                <w:sz w:val="24"/>
              </w:rPr>
              <w:t>MTN001</w:t>
            </w:r>
          </w:p>
        </w:tc>
        <w:tc>
          <w:tcPr>
            <w:tcW w:w="1559" w:type="dxa"/>
            <w:vAlign w:val="center"/>
          </w:tcPr>
          <w:p w:rsidR="006711D6" w:rsidRDefault="003524EB">
            <w:pPr>
              <w:jc w:val="right"/>
            </w:pPr>
            <w:r>
              <w:rPr>
                <w:color w:val="000000"/>
                <w:sz w:val="24"/>
              </w:rPr>
              <w:t>400,000</w:t>
            </w:r>
          </w:p>
        </w:tc>
        <w:tc>
          <w:tcPr>
            <w:tcW w:w="2126" w:type="dxa"/>
            <w:vAlign w:val="center"/>
          </w:tcPr>
          <w:p w:rsidR="006711D6" w:rsidRDefault="003524EB">
            <w:pPr>
              <w:jc w:val="right"/>
            </w:pPr>
            <w:r>
              <w:rPr>
                <w:color w:val="000000"/>
                <w:sz w:val="24"/>
              </w:rPr>
              <w:t>42,264,000.00</w:t>
            </w:r>
          </w:p>
        </w:tc>
        <w:tc>
          <w:tcPr>
            <w:tcW w:w="990" w:type="dxa"/>
            <w:vAlign w:val="center"/>
          </w:tcPr>
          <w:p w:rsidR="006711D6" w:rsidRDefault="003524EB">
            <w:pPr>
              <w:jc w:val="right"/>
            </w:pPr>
            <w:r>
              <w:rPr>
                <w:color w:val="000000"/>
                <w:sz w:val="24"/>
              </w:rPr>
              <w:t>5.13</w:t>
            </w:r>
          </w:p>
        </w:tc>
      </w:tr>
      <w:tr w:rsidR="006711D6">
        <w:tc>
          <w:tcPr>
            <w:tcW w:w="802" w:type="dxa"/>
            <w:vAlign w:val="center"/>
          </w:tcPr>
          <w:p w:rsidR="006711D6" w:rsidRDefault="003524EB">
            <w:pPr>
              <w:jc w:val="center"/>
            </w:pPr>
            <w:r>
              <w:rPr>
                <w:color w:val="000000"/>
                <w:sz w:val="24"/>
              </w:rPr>
              <w:t>3</w:t>
            </w:r>
          </w:p>
        </w:tc>
        <w:tc>
          <w:tcPr>
            <w:tcW w:w="1559" w:type="dxa"/>
            <w:vAlign w:val="center"/>
          </w:tcPr>
          <w:p w:rsidR="006711D6" w:rsidRDefault="003524EB">
            <w:pPr>
              <w:jc w:val="center"/>
            </w:pPr>
            <w:r>
              <w:rPr>
                <w:color w:val="000000"/>
                <w:sz w:val="24"/>
              </w:rPr>
              <w:t>101901414</w:t>
            </w:r>
          </w:p>
        </w:tc>
        <w:tc>
          <w:tcPr>
            <w:tcW w:w="1985" w:type="dxa"/>
            <w:vAlign w:val="center"/>
          </w:tcPr>
          <w:p w:rsidR="006711D6" w:rsidRDefault="003524EB">
            <w:pPr>
              <w:jc w:val="center"/>
            </w:pPr>
            <w:r>
              <w:rPr>
                <w:color w:val="000000"/>
                <w:sz w:val="24"/>
              </w:rPr>
              <w:t>19</w:t>
            </w:r>
            <w:r>
              <w:rPr>
                <w:color w:val="000000"/>
                <w:sz w:val="24"/>
              </w:rPr>
              <w:t>华侨城</w:t>
            </w:r>
            <w:r>
              <w:rPr>
                <w:color w:val="000000"/>
                <w:sz w:val="24"/>
              </w:rPr>
              <w:t>MTN003</w:t>
            </w:r>
          </w:p>
        </w:tc>
        <w:tc>
          <w:tcPr>
            <w:tcW w:w="1559" w:type="dxa"/>
            <w:vAlign w:val="center"/>
          </w:tcPr>
          <w:p w:rsidR="006711D6" w:rsidRDefault="003524EB">
            <w:pPr>
              <w:jc w:val="right"/>
            </w:pPr>
            <w:r>
              <w:rPr>
                <w:color w:val="000000"/>
                <w:sz w:val="24"/>
              </w:rPr>
              <w:t>400,000</w:t>
            </w:r>
          </w:p>
        </w:tc>
        <w:tc>
          <w:tcPr>
            <w:tcW w:w="2126" w:type="dxa"/>
            <w:vAlign w:val="center"/>
          </w:tcPr>
          <w:p w:rsidR="006711D6" w:rsidRDefault="003524EB">
            <w:pPr>
              <w:jc w:val="right"/>
            </w:pPr>
            <w:r>
              <w:rPr>
                <w:color w:val="000000"/>
                <w:sz w:val="24"/>
              </w:rPr>
              <w:t>40,496,000.00</w:t>
            </w:r>
          </w:p>
        </w:tc>
        <w:tc>
          <w:tcPr>
            <w:tcW w:w="990" w:type="dxa"/>
            <w:vAlign w:val="center"/>
          </w:tcPr>
          <w:p w:rsidR="006711D6" w:rsidRDefault="003524EB">
            <w:pPr>
              <w:jc w:val="right"/>
            </w:pPr>
            <w:r>
              <w:rPr>
                <w:color w:val="000000"/>
                <w:sz w:val="24"/>
              </w:rPr>
              <w:t>4.91</w:t>
            </w:r>
          </w:p>
        </w:tc>
      </w:tr>
      <w:tr w:rsidR="006711D6">
        <w:tc>
          <w:tcPr>
            <w:tcW w:w="802" w:type="dxa"/>
            <w:vAlign w:val="center"/>
          </w:tcPr>
          <w:p w:rsidR="006711D6" w:rsidRDefault="003524EB">
            <w:pPr>
              <w:jc w:val="center"/>
            </w:pPr>
            <w:r>
              <w:rPr>
                <w:color w:val="000000"/>
                <w:sz w:val="24"/>
              </w:rPr>
              <w:t>4</w:t>
            </w:r>
          </w:p>
        </w:tc>
        <w:tc>
          <w:tcPr>
            <w:tcW w:w="1559" w:type="dxa"/>
            <w:vAlign w:val="center"/>
          </w:tcPr>
          <w:p w:rsidR="006711D6" w:rsidRDefault="003524EB">
            <w:pPr>
              <w:jc w:val="center"/>
            </w:pPr>
            <w:r>
              <w:rPr>
                <w:color w:val="000000"/>
                <w:sz w:val="24"/>
              </w:rPr>
              <w:t>112457</w:t>
            </w:r>
          </w:p>
        </w:tc>
        <w:tc>
          <w:tcPr>
            <w:tcW w:w="1985" w:type="dxa"/>
            <w:vAlign w:val="center"/>
          </w:tcPr>
          <w:p w:rsidR="006711D6" w:rsidRDefault="003524EB">
            <w:pPr>
              <w:jc w:val="center"/>
            </w:pPr>
            <w:r>
              <w:rPr>
                <w:color w:val="000000"/>
                <w:sz w:val="24"/>
              </w:rPr>
              <w:t>16</w:t>
            </w:r>
            <w:r>
              <w:rPr>
                <w:color w:val="000000"/>
                <w:sz w:val="24"/>
              </w:rPr>
              <w:t>魏桥</w:t>
            </w:r>
            <w:r>
              <w:rPr>
                <w:color w:val="000000"/>
                <w:sz w:val="24"/>
              </w:rPr>
              <w:t>05</w:t>
            </w:r>
          </w:p>
        </w:tc>
        <w:tc>
          <w:tcPr>
            <w:tcW w:w="1559" w:type="dxa"/>
            <w:vAlign w:val="center"/>
          </w:tcPr>
          <w:p w:rsidR="006711D6" w:rsidRDefault="003524EB">
            <w:pPr>
              <w:jc w:val="right"/>
            </w:pPr>
            <w:r>
              <w:rPr>
                <w:color w:val="000000"/>
                <w:sz w:val="24"/>
              </w:rPr>
              <w:t>435,850</w:t>
            </w:r>
          </w:p>
        </w:tc>
        <w:tc>
          <w:tcPr>
            <w:tcW w:w="2126" w:type="dxa"/>
            <w:vAlign w:val="center"/>
          </w:tcPr>
          <w:p w:rsidR="006711D6" w:rsidRDefault="003524EB">
            <w:pPr>
              <w:jc w:val="right"/>
            </w:pPr>
            <w:r>
              <w:rPr>
                <w:color w:val="000000"/>
                <w:sz w:val="24"/>
              </w:rPr>
              <w:t>38,938,839.00</w:t>
            </w:r>
          </w:p>
        </w:tc>
        <w:tc>
          <w:tcPr>
            <w:tcW w:w="990" w:type="dxa"/>
            <w:vAlign w:val="center"/>
          </w:tcPr>
          <w:p w:rsidR="006711D6" w:rsidRDefault="003524EB">
            <w:pPr>
              <w:jc w:val="right"/>
            </w:pPr>
            <w:r>
              <w:rPr>
                <w:color w:val="000000"/>
                <w:sz w:val="24"/>
              </w:rPr>
              <w:t>4.73</w:t>
            </w:r>
          </w:p>
        </w:tc>
      </w:tr>
      <w:tr w:rsidR="006711D6">
        <w:tc>
          <w:tcPr>
            <w:tcW w:w="802" w:type="dxa"/>
            <w:vAlign w:val="center"/>
          </w:tcPr>
          <w:p w:rsidR="006711D6" w:rsidRDefault="003524EB">
            <w:pPr>
              <w:jc w:val="center"/>
            </w:pPr>
            <w:r>
              <w:rPr>
                <w:color w:val="000000"/>
                <w:sz w:val="24"/>
              </w:rPr>
              <w:t>5</w:t>
            </w:r>
          </w:p>
        </w:tc>
        <w:tc>
          <w:tcPr>
            <w:tcW w:w="1559" w:type="dxa"/>
            <w:vAlign w:val="center"/>
          </w:tcPr>
          <w:p w:rsidR="006711D6" w:rsidRDefault="003524EB">
            <w:pPr>
              <w:jc w:val="center"/>
            </w:pPr>
            <w:r>
              <w:rPr>
                <w:color w:val="000000"/>
                <w:sz w:val="24"/>
              </w:rPr>
              <w:t>101901183</w:t>
            </w:r>
          </w:p>
        </w:tc>
        <w:tc>
          <w:tcPr>
            <w:tcW w:w="1985" w:type="dxa"/>
            <w:vAlign w:val="center"/>
          </w:tcPr>
          <w:p w:rsidR="006711D6" w:rsidRDefault="003524EB">
            <w:pPr>
              <w:jc w:val="center"/>
            </w:pPr>
            <w:r>
              <w:rPr>
                <w:color w:val="000000"/>
                <w:sz w:val="24"/>
              </w:rPr>
              <w:t>19</w:t>
            </w:r>
            <w:r>
              <w:rPr>
                <w:color w:val="000000"/>
                <w:sz w:val="24"/>
              </w:rPr>
              <w:t>越秀集团</w:t>
            </w:r>
            <w:r>
              <w:rPr>
                <w:color w:val="000000"/>
                <w:sz w:val="24"/>
              </w:rPr>
              <w:t>MTN003</w:t>
            </w:r>
          </w:p>
        </w:tc>
        <w:tc>
          <w:tcPr>
            <w:tcW w:w="1559" w:type="dxa"/>
            <w:vAlign w:val="center"/>
          </w:tcPr>
          <w:p w:rsidR="006711D6" w:rsidRDefault="003524EB">
            <w:pPr>
              <w:jc w:val="right"/>
            </w:pPr>
            <w:r>
              <w:rPr>
                <w:color w:val="000000"/>
                <w:sz w:val="24"/>
              </w:rPr>
              <w:t>300,000</w:t>
            </w:r>
          </w:p>
        </w:tc>
        <w:tc>
          <w:tcPr>
            <w:tcW w:w="2126" w:type="dxa"/>
            <w:vAlign w:val="center"/>
          </w:tcPr>
          <w:p w:rsidR="006711D6" w:rsidRDefault="003524EB">
            <w:pPr>
              <w:jc w:val="right"/>
            </w:pPr>
            <w:r>
              <w:rPr>
                <w:color w:val="000000"/>
                <w:sz w:val="24"/>
              </w:rPr>
              <w:t>30,525,000.00</w:t>
            </w:r>
          </w:p>
        </w:tc>
        <w:tc>
          <w:tcPr>
            <w:tcW w:w="990" w:type="dxa"/>
            <w:vAlign w:val="center"/>
          </w:tcPr>
          <w:p w:rsidR="006711D6" w:rsidRDefault="003524EB">
            <w:pPr>
              <w:jc w:val="right"/>
            </w:pPr>
            <w:r>
              <w:rPr>
                <w:color w:val="000000"/>
                <w:sz w:val="24"/>
              </w:rPr>
              <w:t>3.70</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本基金本报告期末未持有资产支持证券。</w:t>
      </w:r>
    </w:p>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17</w:t>
      </w:r>
      <w:r w:rsidRPr="00414367">
        <w:rPr>
          <w:color w:val="000000"/>
          <w:sz w:val="24"/>
        </w:rPr>
        <w:t>日，国家外汇管理局深圳市分局对华侨城集团有限公司违反</w:t>
      </w:r>
      <w:r w:rsidRPr="00414367">
        <w:rPr>
          <w:color w:val="000000"/>
          <w:sz w:val="24"/>
        </w:rPr>
        <w:t>“</w:t>
      </w:r>
      <w:r w:rsidRPr="00414367">
        <w:rPr>
          <w:color w:val="000000"/>
          <w:sz w:val="24"/>
        </w:rPr>
        <w:t>《国家外汇管理局关于进一步简化和改进直接投资外汇管理政策的通知》第二条第三项</w:t>
      </w:r>
      <w:r w:rsidRPr="00414367">
        <w:rPr>
          <w:color w:val="000000"/>
          <w:sz w:val="24"/>
        </w:rPr>
        <w:t>”</w:t>
      </w:r>
      <w:r w:rsidRPr="00414367">
        <w:rPr>
          <w:color w:val="000000"/>
          <w:sz w:val="24"/>
        </w:rPr>
        <w:t>的行为作出</w:t>
      </w:r>
      <w:r w:rsidRPr="00414367">
        <w:rPr>
          <w:color w:val="000000"/>
          <w:sz w:val="24"/>
        </w:rPr>
        <w:t>“</w:t>
      </w:r>
      <w:r w:rsidRPr="00414367">
        <w:rPr>
          <w:color w:val="000000"/>
          <w:sz w:val="24"/>
        </w:rPr>
        <w:t>警告、罚款</w:t>
      </w:r>
      <w:r w:rsidRPr="00414367">
        <w:rPr>
          <w:color w:val="000000"/>
          <w:sz w:val="24"/>
        </w:rPr>
        <w:t>3</w:t>
      </w:r>
      <w:r w:rsidRPr="00414367">
        <w:rPr>
          <w:color w:val="000000"/>
          <w:sz w:val="24"/>
        </w:rPr>
        <w:t>万元</w:t>
      </w:r>
      <w:r w:rsidRPr="00414367">
        <w:rPr>
          <w:color w:val="000000"/>
          <w:sz w:val="24"/>
        </w:rPr>
        <w:t>”</w:t>
      </w:r>
      <w:r w:rsidRPr="00414367">
        <w:rPr>
          <w:color w:val="000000"/>
          <w:sz w:val="24"/>
        </w:rPr>
        <w:t>的行政处罚决定。</w:t>
      </w:r>
    </w:p>
    <w:p w:rsidR="006711D6" w:rsidRDefault="003524EB">
      <w:pPr>
        <w:widowControl/>
        <w:spacing w:line="360" w:lineRule="auto"/>
        <w:rPr>
          <w:color w:val="000000"/>
          <w:sz w:val="24"/>
        </w:rPr>
      </w:pPr>
      <w:r>
        <w:rPr>
          <w:color w:val="000000"/>
          <w:sz w:val="24"/>
        </w:rPr>
        <w:t>本基金投资</w:t>
      </w:r>
      <w:r>
        <w:rPr>
          <w:color w:val="000000"/>
          <w:sz w:val="24"/>
        </w:rPr>
        <w:t>19</w:t>
      </w:r>
      <w:r>
        <w:rPr>
          <w:color w:val="000000"/>
          <w:sz w:val="24"/>
        </w:rPr>
        <w:t>华侨城</w:t>
      </w:r>
      <w:r>
        <w:rPr>
          <w:color w:val="000000"/>
          <w:sz w:val="24"/>
        </w:rPr>
        <w:t>MTN003</w:t>
      </w:r>
      <w:r>
        <w:rPr>
          <w:color w:val="000000"/>
          <w:sz w:val="24"/>
        </w:rPr>
        <w:t>的投资决策程序符合公司投资制度的规定。</w:t>
      </w:r>
    </w:p>
    <w:p w:rsidR="006711D6" w:rsidRDefault="003524EB">
      <w:pPr>
        <w:widowControl/>
        <w:spacing w:line="360" w:lineRule="auto"/>
        <w:rPr>
          <w:color w:val="000000"/>
          <w:sz w:val="24"/>
        </w:rPr>
      </w:pPr>
      <w:r>
        <w:rPr>
          <w:color w:val="000000"/>
          <w:sz w:val="24"/>
        </w:rPr>
        <w:lastRenderedPageBreak/>
        <w:t>除</w:t>
      </w:r>
      <w:r>
        <w:rPr>
          <w:color w:val="000000"/>
          <w:sz w:val="24"/>
        </w:rPr>
        <w:t>19</w:t>
      </w:r>
      <w:r>
        <w:rPr>
          <w:color w:val="000000"/>
          <w:sz w:val="24"/>
        </w:rPr>
        <w:t>华侨城</w:t>
      </w:r>
      <w:r>
        <w:rPr>
          <w:color w:val="000000"/>
          <w:sz w:val="24"/>
        </w:rPr>
        <w:t>MTN003</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60,252.33</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996,091.64</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13,729,538.21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37,021.22</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14,822,903.40</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6711D6">
        <w:tc>
          <w:tcPr>
            <w:tcW w:w="0" w:type="auto"/>
            <w:vAlign w:val="center"/>
          </w:tcPr>
          <w:p w:rsidR="006711D6" w:rsidRDefault="003524EB">
            <w:pPr>
              <w:jc w:val="center"/>
            </w:pPr>
            <w:r>
              <w:rPr>
                <w:color w:val="000000"/>
                <w:sz w:val="24"/>
              </w:rPr>
              <w:t>1</w:t>
            </w:r>
          </w:p>
        </w:tc>
        <w:tc>
          <w:tcPr>
            <w:tcW w:w="0" w:type="auto"/>
            <w:vAlign w:val="center"/>
          </w:tcPr>
          <w:p w:rsidR="006711D6" w:rsidRDefault="003524EB">
            <w:pPr>
              <w:jc w:val="center"/>
            </w:pPr>
            <w:r>
              <w:rPr>
                <w:color w:val="000000"/>
                <w:sz w:val="24"/>
              </w:rPr>
              <w:t>128050</w:t>
            </w:r>
          </w:p>
        </w:tc>
        <w:tc>
          <w:tcPr>
            <w:tcW w:w="0" w:type="auto"/>
            <w:vAlign w:val="center"/>
          </w:tcPr>
          <w:p w:rsidR="006711D6" w:rsidRDefault="003524EB">
            <w:pPr>
              <w:jc w:val="center"/>
            </w:pPr>
            <w:r>
              <w:rPr>
                <w:color w:val="000000"/>
                <w:sz w:val="24"/>
              </w:rPr>
              <w:t>钧达转债</w:t>
            </w:r>
          </w:p>
        </w:tc>
        <w:tc>
          <w:tcPr>
            <w:tcW w:w="0" w:type="auto"/>
            <w:vAlign w:val="center"/>
          </w:tcPr>
          <w:p w:rsidR="006711D6" w:rsidRDefault="003524EB">
            <w:pPr>
              <w:jc w:val="right"/>
            </w:pPr>
            <w:r>
              <w:rPr>
                <w:color w:val="000000"/>
                <w:sz w:val="24"/>
              </w:rPr>
              <w:t>1,455,968.00</w:t>
            </w:r>
          </w:p>
        </w:tc>
        <w:tc>
          <w:tcPr>
            <w:tcW w:w="0" w:type="auto"/>
            <w:vAlign w:val="center"/>
          </w:tcPr>
          <w:p w:rsidR="006711D6" w:rsidRDefault="003524EB">
            <w:pPr>
              <w:jc w:val="right"/>
            </w:pPr>
            <w:r>
              <w:rPr>
                <w:color w:val="000000"/>
                <w:sz w:val="24"/>
              </w:rPr>
              <w:t>0.18</w:t>
            </w:r>
          </w:p>
        </w:tc>
      </w:tr>
      <w:tr w:rsidR="006711D6">
        <w:tc>
          <w:tcPr>
            <w:tcW w:w="0" w:type="auto"/>
            <w:vAlign w:val="center"/>
          </w:tcPr>
          <w:p w:rsidR="006711D6" w:rsidRDefault="003524EB">
            <w:pPr>
              <w:jc w:val="center"/>
            </w:pPr>
            <w:r>
              <w:rPr>
                <w:color w:val="000000"/>
                <w:sz w:val="24"/>
              </w:rPr>
              <w:t>2</w:t>
            </w:r>
          </w:p>
        </w:tc>
        <w:tc>
          <w:tcPr>
            <w:tcW w:w="0" w:type="auto"/>
            <w:vAlign w:val="center"/>
          </w:tcPr>
          <w:p w:rsidR="006711D6" w:rsidRDefault="003524EB">
            <w:pPr>
              <w:jc w:val="center"/>
            </w:pPr>
            <w:r>
              <w:rPr>
                <w:color w:val="000000"/>
                <w:sz w:val="24"/>
              </w:rPr>
              <w:t>113545</w:t>
            </w:r>
          </w:p>
        </w:tc>
        <w:tc>
          <w:tcPr>
            <w:tcW w:w="0" w:type="auto"/>
            <w:vAlign w:val="center"/>
          </w:tcPr>
          <w:p w:rsidR="006711D6" w:rsidRDefault="003524EB">
            <w:pPr>
              <w:jc w:val="center"/>
            </w:pPr>
            <w:r>
              <w:rPr>
                <w:color w:val="000000"/>
                <w:sz w:val="24"/>
              </w:rPr>
              <w:t>金能转债</w:t>
            </w:r>
          </w:p>
        </w:tc>
        <w:tc>
          <w:tcPr>
            <w:tcW w:w="0" w:type="auto"/>
            <w:vAlign w:val="center"/>
          </w:tcPr>
          <w:p w:rsidR="006711D6" w:rsidRDefault="003524EB">
            <w:pPr>
              <w:jc w:val="right"/>
            </w:pPr>
            <w:r>
              <w:rPr>
                <w:color w:val="000000"/>
                <w:sz w:val="24"/>
              </w:rPr>
              <w:t>158,672.40</w:t>
            </w:r>
          </w:p>
        </w:tc>
        <w:tc>
          <w:tcPr>
            <w:tcW w:w="0" w:type="auto"/>
            <w:vAlign w:val="center"/>
          </w:tcPr>
          <w:p w:rsidR="006711D6" w:rsidRDefault="003524EB">
            <w:pPr>
              <w:jc w:val="right"/>
            </w:pPr>
            <w:r>
              <w:rPr>
                <w:color w:val="000000"/>
                <w:sz w:val="24"/>
              </w:rPr>
              <w:t>0.02</w:t>
            </w:r>
          </w:p>
        </w:tc>
      </w:tr>
      <w:tr w:rsidR="006711D6">
        <w:tc>
          <w:tcPr>
            <w:tcW w:w="0" w:type="auto"/>
            <w:vAlign w:val="center"/>
          </w:tcPr>
          <w:p w:rsidR="006711D6" w:rsidRDefault="003524EB">
            <w:pPr>
              <w:jc w:val="center"/>
            </w:pPr>
            <w:r>
              <w:rPr>
                <w:color w:val="000000"/>
                <w:sz w:val="24"/>
              </w:rPr>
              <w:t>3</w:t>
            </w:r>
          </w:p>
        </w:tc>
        <w:tc>
          <w:tcPr>
            <w:tcW w:w="0" w:type="auto"/>
            <w:vAlign w:val="center"/>
          </w:tcPr>
          <w:p w:rsidR="006711D6" w:rsidRDefault="003524EB">
            <w:pPr>
              <w:jc w:val="center"/>
            </w:pPr>
            <w:r>
              <w:rPr>
                <w:color w:val="000000"/>
                <w:sz w:val="24"/>
              </w:rPr>
              <w:t>110065</w:t>
            </w:r>
          </w:p>
        </w:tc>
        <w:tc>
          <w:tcPr>
            <w:tcW w:w="0" w:type="auto"/>
            <w:vAlign w:val="center"/>
          </w:tcPr>
          <w:p w:rsidR="006711D6" w:rsidRDefault="003524EB">
            <w:pPr>
              <w:jc w:val="center"/>
            </w:pPr>
            <w:r>
              <w:rPr>
                <w:color w:val="000000"/>
                <w:sz w:val="24"/>
              </w:rPr>
              <w:t>淮矿转债</w:t>
            </w:r>
          </w:p>
        </w:tc>
        <w:tc>
          <w:tcPr>
            <w:tcW w:w="0" w:type="auto"/>
            <w:vAlign w:val="center"/>
          </w:tcPr>
          <w:p w:rsidR="006711D6" w:rsidRDefault="003524EB">
            <w:pPr>
              <w:jc w:val="right"/>
            </w:pPr>
            <w:r>
              <w:rPr>
                <w:color w:val="000000"/>
                <w:sz w:val="24"/>
              </w:rPr>
              <w:t>129,728.10</w:t>
            </w:r>
          </w:p>
        </w:tc>
        <w:tc>
          <w:tcPr>
            <w:tcW w:w="0" w:type="auto"/>
            <w:vAlign w:val="center"/>
          </w:tcPr>
          <w:p w:rsidR="006711D6" w:rsidRDefault="003524EB">
            <w:pPr>
              <w:jc w:val="right"/>
            </w:pPr>
            <w:r>
              <w:rPr>
                <w:color w:val="000000"/>
                <w:sz w:val="24"/>
              </w:rPr>
              <w:t>0.02</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F016DD" w:rsidRPr="00E85E29" w:rsidTr="00F4518C">
        <w:tc>
          <w:tcPr>
            <w:tcW w:w="108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1302"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股票代码</w:t>
            </w:r>
          </w:p>
        </w:tc>
        <w:tc>
          <w:tcPr>
            <w:tcW w:w="1301"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股票名称</w:t>
            </w:r>
          </w:p>
        </w:tc>
        <w:tc>
          <w:tcPr>
            <w:tcW w:w="180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w="165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w="136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流通受限情况说明</w:t>
            </w:r>
          </w:p>
        </w:tc>
      </w:tr>
      <w:tr w:rsidR="006711D6">
        <w:tc>
          <w:tcPr>
            <w:tcW w:w="1083" w:type="dxa"/>
            <w:vAlign w:val="center"/>
          </w:tcPr>
          <w:p w:rsidR="006711D6" w:rsidRDefault="003524EB">
            <w:pPr>
              <w:jc w:val="center"/>
            </w:pPr>
            <w:r>
              <w:rPr>
                <w:color w:val="000000"/>
                <w:sz w:val="24"/>
              </w:rPr>
              <w:t>1</w:t>
            </w:r>
          </w:p>
        </w:tc>
        <w:tc>
          <w:tcPr>
            <w:tcW w:w="1302" w:type="dxa"/>
            <w:vAlign w:val="center"/>
          </w:tcPr>
          <w:p w:rsidR="006711D6" w:rsidRDefault="003524EB">
            <w:pPr>
              <w:jc w:val="center"/>
            </w:pPr>
            <w:r>
              <w:rPr>
                <w:color w:val="000000"/>
                <w:sz w:val="24"/>
              </w:rPr>
              <w:t>002475</w:t>
            </w:r>
          </w:p>
        </w:tc>
        <w:tc>
          <w:tcPr>
            <w:tcW w:w="1301" w:type="dxa"/>
            <w:vAlign w:val="center"/>
          </w:tcPr>
          <w:p w:rsidR="006711D6" w:rsidRDefault="003524EB">
            <w:pPr>
              <w:jc w:val="center"/>
            </w:pPr>
            <w:r>
              <w:rPr>
                <w:color w:val="000000"/>
                <w:sz w:val="24"/>
              </w:rPr>
              <w:t>立讯精密</w:t>
            </w:r>
          </w:p>
        </w:tc>
        <w:tc>
          <w:tcPr>
            <w:tcW w:w="1805" w:type="dxa"/>
            <w:vAlign w:val="center"/>
          </w:tcPr>
          <w:p w:rsidR="006711D6" w:rsidRDefault="003524EB">
            <w:pPr>
              <w:jc w:val="right"/>
            </w:pPr>
            <w:r>
              <w:rPr>
                <w:color w:val="000000"/>
                <w:sz w:val="24"/>
              </w:rPr>
              <w:t>34,511,208.56</w:t>
            </w:r>
          </w:p>
        </w:tc>
        <w:tc>
          <w:tcPr>
            <w:tcW w:w="1655" w:type="dxa"/>
            <w:vAlign w:val="center"/>
          </w:tcPr>
          <w:p w:rsidR="006711D6" w:rsidRDefault="003524EB">
            <w:pPr>
              <w:jc w:val="right"/>
            </w:pPr>
            <w:r>
              <w:rPr>
                <w:color w:val="000000"/>
                <w:sz w:val="24"/>
              </w:rPr>
              <w:t>4.19</w:t>
            </w:r>
          </w:p>
        </w:tc>
        <w:tc>
          <w:tcPr>
            <w:tcW w:w="1367" w:type="dxa"/>
            <w:vAlign w:val="center"/>
          </w:tcPr>
          <w:p w:rsidR="006711D6" w:rsidRDefault="003524EB">
            <w:pPr>
              <w:jc w:val="right"/>
            </w:pPr>
            <w:r>
              <w:rPr>
                <w:color w:val="000000"/>
                <w:sz w:val="24"/>
              </w:rPr>
              <w:t>大宗交易流通受限</w:t>
            </w:r>
          </w:p>
        </w:tc>
      </w:tr>
    </w:tbl>
    <w:p w:rsidR="00F016DD" w:rsidRPr="00DF18FE" w:rsidRDefault="00F016DD" w:rsidP="00DF18FE">
      <w:pPr>
        <w:spacing w:line="360" w:lineRule="auto"/>
        <w:ind w:firstLineChars="200" w:firstLine="480"/>
        <w:rPr>
          <w:color w:val="000000"/>
          <w:sz w:val="24"/>
        </w:rPr>
      </w:pPr>
      <w:r w:rsidRPr="00DF18FE">
        <w:rPr>
          <w:color w:val="000000"/>
          <w:sz w:val="24"/>
        </w:rPr>
        <w:t>注：根据《深圳</w:t>
      </w:r>
      <w:r w:rsidRPr="00DF18FE">
        <w:rPr>
          <w:color w:val="000000"/>
          <w:sz w:val="24"/>
        </w:rPr>
        <w:t>/</w:t>
      </w:r>
      <w:r w:rsidRPr="00DF18FE">
        <w:rPr>
          <w:color w:val="000000"/>
          <w:sz w:val="24"/>
        </w:rPr>
        <w:t>上海证券交易所上市公司股东及董事、监事、高级管理人员减持股份实施细则》，大股东减持或者特定股东减持，采取大宗交易方式的，在任意连续</w:t>
      </w:r>
      <w:r w:rsidRPr="00DF18FE">
        <w:rPr>
          <w:color w:val="000000"/>
          <w:sz w:val="24"/>
        </w:rPr>
        <w:t>90</w:t>
      </w:r>
      <w:r w:rsidRPr="00DF18FE">
        <w:rPr>
          <w:color w:val="000000"/>
          <w:sz w:val="24"/>
        </w:rPr>
        <w:t>日内，减持股份的总数不得超过公司股份总数的</w:t>
      </w:r>
      <w:r w:rsidRPr="00DF18FE">
        <w:rPr>
          <w:color w:val="000000"/>
          <w:sz w:val="24"/>
        </w:rPr>
        <w:t>2%</w:t>
      </w:r>
      <w:r w:rsidRPr="00DF18FE">
        <w:rPr>
          <w:color w:val="000000"/>
          <w:sz w:val="24"/>
        </w:rPr>
        <w:t>；前款交易的受让方在受让后</w:t>
      </w:r>
      <w:r w:rsidRPr="00DF18FE">
        <w:rPr>
          <w:color w:val="000000"/>
          <w:sz w:val="24"/>
        </w:rPr>
        <w:t>6</w:t>
      </w:r>
      <w:r w:rsidRPr="00DF18FE">
        <w:rPr>
          <w:color w:val="000000"/>
          <w:sz w:val="24"/>
        </w:rPr>
        <w:t>个月内，不得转让所受让的股份。</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易方达瑞弘混合</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易方达瑞弘混合</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550,419,701.71</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87,433.66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70,189.59</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38,333.18</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8,483.28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20.00</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550,481,408.02</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125,746.84</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6711D6">
        <w:trPr>
          <w:jc w:val="center"/>
        </w:trPr>
        <w:tc>
          <w:tcPr>
            <w:tcW w:w="709" w:type="dxa"/>
            <w:vMerge w:val="restart"/>
            <w:vAlign w:val="center"/>
          </w:tcPr>
          <w:p w:rsidR="006711D6" w:rsidRDefault="003524EB">
            <w:r>
              <w:rPr>
                <w:rFonts w:eastAsiaTheme="minorEastAsia"/>
                <w:bCs/>
                <w:color w:val="000000" w:themeColor="text1"/>
                <w:sz w:val="24"/>
              </w:rPr>
              <w:t>机构</w:t>
            </w:r>
          </w:p>
        </w:tc>
        <w:tc>
          <w:tcPr>
            <w:tcW w:w="709" w:type="dxa"/>
            <w:vAlign w:val="center"/>
          </w:tcPr>
          <w:p w:rsidR="006711D6" w:rsidRDefault="003524EB">
            <w:pPr>
              <w:jc w:val="center"/>
            </w:pPr>
            <w:r>
              <w:rPr>
                <w:sz w:val="24"/>
              </w:rPr>
              <w:t>1</w:t>
            </w:r>
          </w:p>
        </w:tc>
        <w:tc>
          <w:tcPr>
            <w:tcW w:w="2126" w:type="dxa"/>
            <w:vAlign w:val="center"/>
          </w:tcPr>
          <w:p w:rsidR="006711D6" w:rsidRDefault="003524EB">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6711D6" w:rsidRDefault="003524EB">
            <w:pPr>
              <w:jc w:val="center"/>
            </w:pPr>
            <w:r>
              <w:rPr>
                <w:sz w:val="24"/>
              </w:rPr>
              <w:t>549,999,000.00</w:t>
            </w:r>
          </w:p>
        </w:tc>
        <w:tc>
          <w:tcPr>
            <w:tcW w:w="1276" w:type="dxa"/>
            <w:vAlign w:val="center"/>
          </w:tcPr>
          <w:p w:rsidR="006711D6" w:rsidRDefault="003524EB">
            <w:pPr>
              <w:jc w:val="center"/>
            </w:pPr>
            <w:r>
              <w:rPr>
                <w:sz w:val="24"/>
              </w:rPr>
              <w:t>-</w:t>
            </w:r>
          </w:p>
        </w:tc>
        <w:tc>
          <w:tcPr>
            <w:tcW w:w="1276" w:type="dxa"/>
            <w:vAlign w:val="center"/>
          </w:tcPr>
          <w:p w:rsidR="006711D6" w:rsidRDefault="003524EB">
            <w:pPr>
              <w:jc w:val="center"/>
            </w:pPr>
            <w:r>
              <w:rPr>
                <w:sz w:val="24"/>
              </w:rPr>
              <w:t>-</w:t>
            </w:r>
          </w:p>
        </w:tc>
        <w:tc>
          <w:tcPr>
            <w:tcW w:w="1417" w:type="dxa"/>
            <w:vAlign w:val="center"/>
          </w:tcPr>
          <w:p w:rsidR="006711D6" w:rsidRDefault="003524EB">
            <w:pPr>
              <w:jc w:val="center"/>
            </w:pPr>
            <w:r>
              <w:rPr>
                <w:sz w:val="24"/>
              </w:rPr>
              <w:t>549,999,000.00</w:t>
            </w:r>
          </w:p>
        </w:tc>
        <w:tc>
          <w:tcPr>
            <w:tcW w:w="851" w:type="dxa"/>
            <w:vAlign w:val="center"/>
          </w:tcPr>
          <w:p w:rsidR="006711D6" w:rsidRDefault="003524EB">
            <w:pPr>
              <w:jc w:val="center"/>
            </w:pPr>
            <w:r>
              <w:rPr>
                <w:sz w:val="24"/>
              </w:rPr>
              <w:t>99.89%</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w:t>
            </w:r>
            <w:r w:rsidRPr="00FC0759">
              <w:rPr>
                <w:sz w:val="24"/>
              </w:rPr>
              <w:lastRenderedPageBreak/>
              <w:t>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6711D6" w:rsidRDefault="003524EB">
      <w:pPr>
        <w:spacing w:line="360" w:lineRule="auto"/>
        <w:ind w:firstLineChars="200" w:firstLine="480"/>
        <w:rPr>
          <w:color w:val="000000"/>
          <w:sz w:val="24"/>
        </w:rPr>
      </w:pPr>
      <w:r>
        <w:rPr>
          <w:color w:val="000000"/>
          <w:sz w:val="24"/>
        </w:rPr>
        <w:t>1.</w:t>
      </w:r>
      <w:r>
        <w:rPr>
          <w:color w:val="000000"/>
          <w:sz w:val="24"/>
        </w:rPr>
        <w:t>中国证监会准予易方达瑞弘灵活配置混合型证券投资基金注册的文件；</w:t>
      </w:r>
    </w:p>
    <w:p w:rsidR="006711D6" w:rsidRDefault="003524EB">
      <w:pPr>
        <w:spacing w:line="360" w:lineRule="auto"/>
        <w:ind w:firstLineChars="200" w:firstLine="480"/>
        <w:rPr>
          <w:color w:val="000000"/>
          <w:sz w:val="24"/>
        </w:rPr>
      </w:pPr>
      <w:r>
        <w:rPr>
          <w:color w:val="000000"/>
          <w:sz w:val="24"/>
        </w:rPr>
        <w:t>2.</w:t>
      </w:r>
      <w:r>
        <w:rPr>
          <w:color w:val="000000"/>
          <w:sz w:val="24"/>
        </w:rPr>
        <w:t>《易方达瑞弘灵活配置混合型证券投资基金基金合同》；</w:t>
      </w:r>
    </w:p>
    <w:p w:rsidR="006711D6" w:rsidRDefault="003524EB">
      <w:pPr>
        <w:spacing w:line="360" w:lineRule="auto"/>
        <w:ind w:firstLineChars="200" w:firstLine="480"/>
        <w:rPr>
          <w:color w:val="000000"/>
          <w:sz w:val="24"/>
        </w:rPr>
      </w:pPr>
      <w:r>
        <w:rPr>
          <w:color w:val="000000"/>
          <w:sz w:val="24"/>
        </w:rPr>
        <w:t>3.</w:t>
      </w:r>
      <w:r>
        <w:rPr>
          <w:color w:val="000000"/>
          <w:sz w:val="24"/>
        </w:rPr>
        <w:t>《易方达瑞弘灵活配置混合型证券投资基金托管协议》；</w:t>
      </w:r>
    </w:p>
    <w:p w:rsidR="006711D6" w:rsidRDefault="003524EB">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0E7" w:rsidRDefault="00D870E7">
      <w:r>
        <w:separator/>
      </w:r>
    </w:p>
  </w:endnote>
  <w:endnote w:type="continuationSeparator" w:id="0">
    <w:p w:rsidR="00D870E7" w:rsidRDefault="00D8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58278A">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58278A">
      <w:rPr>
        <w:noProof/>
        <w:szCs w:val="21"/>
      </w:rPr>
      <w:t>15</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58278A">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0E7" w:rsidRDefault="00D870E7">
      <w:r>
        <w:separator/>
      </w:r>
    </w:p>
  </w:footnote>
  <w:footnote w:type="continuationSeparator" w:id="0">
    <w:p w:rsidR="00D870E7" w:rsidRDefault="00D87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易方达瑞弘灵活配置混合型证券投资基金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45A1D"/>
    <w:rsid w:val="00351704"/>
    <w:rsid w:val="003524EB"/>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278A"/>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11D6"/>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0E7"/>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603804E-E8C3-4BDF-94B5-B3FBB107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408</TotalTime>
  <Pages>15</Pages>
  <Words>1312</Words>
  <Characters>7482</Characters>
  <Application>Microsoft Office Word</Application>
  <DocSecurity>0</DocSecurity>
  <Lines>62</Lines>
  <Paragraphs>17</Paragraphs>
  <ScaleCrop>false</ScaleCrop>
  <Company>TRT. Ltd. Co.</Company>
  <LinksUpToDate>false</LinksUpToDate>
  <CharactersWithSpaces>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175</cp:revision>
  <cp:lastPrinted>2007-07-19T00:46:00Z</cp:lastPrinted>
  <dcterms:created xsi:type="dcterms:W3CDTF">2013-06-21T06:56:00Z</dcterms:created>
  <dcterms:modified xsi:type="dcterms:W3CDTF">2020-07-16T10:36:00Z</dcterms:modified>
</cp:coreProperties>
</file>