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4E" w:rsidRPr="003307CA" w:rsidRDefault="0064594E" w:rsidP="00CE3F81">
      <w:pPr>
        <w:snapToGrid w:val="0"/>
        <w:spacing w:line="360" w:lineRule="auto"/>
        <w:ind w:firstLineChars="200" w:firstLine="883"/>
        <w:jc w:val="center"/>
        <w:rPr>
          <w:rFonts w:asciiTheme="minorEastAsia" w:eastAsiaTheme="minorEastAsia" w:hAnsiTheme="minorEastAsia"/>
          <w:b/>
          <w:sz w:val="44"/>
        </w:rPr>
      </w:pPr>
    </w:p>
    <w:p w:rsidR="00EC2F95" w:rsidRPr="003307CA" w:rsidRDefault="0064594E" w:rsidP="00CE3F81">
      <w:pPr>
        <w:snapToGrid w:val="0"/>
        <w:spacing w:line="360" w:lineRule="auto"/>
        <w:ind w:firstLineChars="200" w:firstLine="723"/>
        <w:jc w:val="center"/>
        <w:rPr>
          <w:rFonts w:asciiTheme="minorEastAsia" w:eastAsiaTheme="minorEastAsia" w:hAnsiTheme="minorEastAsia"/>
          <w:b/>
          <w:sz w:val="36"/>
          <w:szCs w:val="36"/>
        </w:rPr>
      </w:pPr>
      <w:r w:rsidRPr="003307CA">
        <w:rPr>
          <w:rFonts w:asciiTheme="minorEastAsia" w:eastAsiaTheme="minorEastAsia" w:hAnsiTheme="minorEastAsia" w:hint="eastAsia"/>
          <w:b/>
          <w:sz w:val="36"/>
          <w:szCs w:val="36"/>
        </w:rPr>
        <w:t>易方达</w:t>
      </w:r>
      <w:r w:rsidR="00416014" w:rsidRPr="003307CA">
        <w:rPr>
          <w:rFonts w:asciiTheme="minorEastAsia" w:eastAsiaTheme="minorEastAsia" w:hAnsiTheme="minorEastAsia" w:hint="eastAsia"/>
          <w:b/>
          <w:sz w:val="36"/>
          <w:szCs w:val="36"/>
        </w:rPr>
        <w:t>亚洲精选</w:t>
      </w:r>
      <w:r w:rsidRPr="003307CA">
        <w:rPr>
          <w:rFonts w:asciiTheme="minorEastAsia" w:eastAsiaTheme="minorEastAsia" w:hAnsiTheme="minorEastAsia" w:hint="eastAsia"/>
          <w:b/>
          <w:sz w:val="36"/>
          <w:szCs w:val="36"/>
        </w:rPr>
        <w:t>股票型证券投资基金</w:t>
      </w:r>
    </w:p>
    <w:p w:rsidR="0064594E" w:rsidRPr="003307CA" w:rsidRDefault="00EC2F95" w:rsidP="00CE3F81">
      <w:pPr>
        <w:snapToGrid w:val="0"/>
        <w:spacing w:line="360" w:lineRule="auto"/>
        <w:ind w:firstLineChars="200" w:firstLine="723"/>
        <w:jc w:val="center"/>
        <w:rPr>
          <w:rFonts w:asciiTheme="minorEastAsia" w:eastAsiaTheme="minorEastAsia" w:hAnsiTheme="minorEastAsia"/>
          <w:b/>
          <w:sz w:val="36"/>
          <w:szCs w:val="36"/>
        </w:rPr>
      </w:pPr>
      <w:r w:rsidRPr="003307CA">
        <w:rPr>
          <w:rFonts w:asciiTheme="minorEastAsia" w:eastAsiaTheme="minorEastAsia" w:hAnsiTheme="minorEastAsia" w:hint="eastAsia"/>
          <w:b/>
          <w:sz w:val="36"/>
          <w:szCs w:val="36"/>
        </w:rPr>
        <w:t>更新的</w:t>
      </w:r>
      <w:r w:rsidR="0064594E" w:rsidRPr="003307CA">
        <w:rPr>
          <w:rFonts w:asciiTheme="minorEastAsia" w:eastAsiaTheme="minorEastAsia" w:hAnsiTheme="minorEastAsia" w:hint="eastAsia"/>
          <w:b/>
          <w:sz w:val="36"/>
          <w:szCs w:val="36"/>
        </w:rPr>
        <w:t>招募说明书</w:t>
      </w:r>
    </w:p>
    <w:p w:rsidR="0064594E" w:rsidRPr="003307CA" w:rsidRDefault="0064594E" w:rsidP="00CE3F81">
      <w:pPr>
        <w:snapToGrid w:val="0"/>
        <w:spacing w:line="360" w:lineRule="auto"/>
        <w:ind w:firstLineChars="200" w:firstLine="723"/>
        <w:jc w:val="center"/>
        <w:rPr>
          <w:rFonts w:asciiTheme="minorEastAsia" w:eastAsiaTheme="minorEastAsia" w:hAnsiTheme="minorEastAsia"/>
          <w:b/>
          <w:sz w:val="36"/>
          <w:szCs w:val="36"/>
        </w:rPr>
      </w:pPr>
    </w:p>
    <w:p w:rsidR="0064594E" w:rsidRPr="003307CA" w:rsidRDefault="0064594E" w:rsidP="00CE3F81">
      <w:pPr>
        <w:snapToGrid w:val="0"/>
        <w:spacing w:line="360" w:lineRule="auto"/>
        <w:ind w:firstLineChars="200" w:firstLine="883"/>
        <w:jc w:val="center"/>
        <w:rPr>
          <w:rFonts w:asciiTheme="minorEastAsia" w:eastAsiaTheme="minorEastAsia" w:hAnsiTheme="minorEastAsia"/>
          <w:b/>
          <w:sz w:val="44"/>
        </w:rPr>
      </w:pPr>
    </w:p>
    <w:p w:rsidR="0023144C" w:rsidRPr="003307CA" w:rsidRDefault="0023144C" w:rsidP="00CE3F81">
      <w:pPr>
        <w:snapToGrid w:val="0"/>
        <w:spacing w:line="360" w:lineRule="auto"/>
        <w:ind w:firstLineChars="200" w:firstLine="883"/>
        <w:jc w:val="center"/>
        <w:rPr>
          <w:rFonts w:asciiTheme="minorEastAsia" w:eastAsiaTheme="minorEastAsia" w:hAnsiTheme="minorEastAsia"/>
          <w:b/>
          <w:sz w:val="44"/>
        </w:rPr>
      </w:pPr>
    </w:p>
    <w:p w:rsidR="0064594E" w:rsidRPr="003307CA" w:rsidRDefault="0064594E" w:rsidP="00CE3F81">
      <w:pPr>
        <w:snapToGrid w:val="0"/>
        <w:spacing w:line="360" w:lineRule="auto"/>
        <w:ind w:firstLineChars="200" w:firstLine="480"/>
        <w:jc w:val="center"/>
        <w:rPr>
          <w:rFonts w:asciiTheme="minorEastAsia" w:eastAsiaTheme="minorEastAsia" w:hAnsiTheme="minorEastAsia"/>
          <w:sz w:val="24"/>
        </w:rPr>
      </w:pPr>
    </w:p>
    <w:p w:rsidR="0064594E" w:rsidRPr="003307CA" w:rsidRDefault="0064594E" w:rsidP="00CE3F81">
      <w:pPr>
        <w:snapToGrid w:val="0"/>
        <w:spacing w:line="360" w:lineRule="auto"/>
        <w:ind w:firstLineChars="200" w:firstLine="600"/>
        <w:rPr>
          <w:rFonts w:asciiTheme="minorEastAsia" w:eastAsiaTheme="minorEastAsia" w:hAnsiTheme="minorEastAsia"/>
          <w:sz w:val="30"/>
          <w:szCs w:val="30"/>
        </w:rPr>
      </w:pPr>
    </w:p>
    <w:p w:rsidR="0064594E" w:rsidRPr="003307CA" w:rsidRDefault="0064594E" w:rsidP="00CE3F81">
      <w:pPr>
        <w:snapToGrid w:val="0"/>
        <w:spacing w:line="360" w:lineRule="auto"/>
        <w:ind w:firstLineChars="200" w:firstLine="600"/>
        <w:rPr>
          <w:rFonts w:asciiTheme="minorEastAsia" w:eastAsiaTheme="minorEastAsia" w:hAnsiTheme="minorEastAsia"/>
          <w:sz w:val="30"/>
          <w:szCs w:val="30"/>
        </w:rPr>
      </w:pPr>
    </w:p>
    <w:p w:rsidR="0011576F" w:rsidRPr="003307CA" w:rsidRDefault="0011576F" w:rsidP="00CE3F81">
      <w:pPr>
        <w:snapToGrid w:val="0"/>
        <w:spacing w:line="360" w:lineRule="auto"/>
        <w:ind w:firstLineChars="200" w:firstLine="600"/>
        <w:rPr>
          <w:rFonts w:asciiTheme="minorEastAsia" w:eastAsiaTheme="minorEastAsia" w:hAnsiTheme="minorEastAsia"/>
          <w:sz w:val="30"/>
          <w:szCs w:val="30"/>
        </w:rPr>
      </w:pPr>
    </w:p>
    <w:p w:rsidR="0011576F" w:rsidRPr="003307CA" w:rsidRDefault="0011576F" w:rsidP="00CE3F81">
      <w:pPr>
        <w:snapToGrid w:val="0"/>
        <w:spacing w:line="360" w:lineRule="auto"/>
        <w:ind w:firstLineChars="200" w:firstLine="600"/>
        <w:rPr>
          <w:rFonts w:asciiTheme="minorEastAsia" w:eastAsiaTheme="minorEastAsia" w:hAnsiTheme="minorEastAsia"/>
          <w:sz w:val="30"/>
          <w:szCs w:val="30"/>
        </w:rPr>
      </w:pPr>
    </w:p>
    <w:p w:rsidR="0064594E" w:rsidRPr="003307CA" w:rsidRDefault="0064594E" w:rsidP="00CE3F81">
      <w:pPr>
        <w:snapToGrid w:val="0"/>
        <w:spacing w:line="360" w:lineRule="auto"/>
        <w:ind w:firstLineChars="200" w:firstLine="600"/>
        <w:jc w:val="center"/>
        <w:rPr>
          <w:rFonts w:asciiTheme="minorEastAsia" w:eastAsiaTheme="minorEastAsia" w:hAnsiTheme="minorEastAsia"/>
          <w:sz w:val="30"/>
          <w:szCs w:val="30"/>
        </w:rPr>
      </w:pPr>
      <w:r w:rsidRPr="003307CA">
        <w:rPr>
          <w:rFonts w:asciiTheme="minorEastAsia" w:eastAsiaTheme="minorEastAsia" w:hAnsiTheme="minorEastAsia" w:hint="eastAsia"/>
          <w:sz w:val="30"/>
          <w:szCs w:val="30"/>
        </w:rPr>
        <w:t>基金管理人：易方达基金管理有限公司</w:t>
      </w:r>
    </w:p>
    <w:p w:rsidR="0064594E" w:rsidRPr="003307CA" w:rsidRDefault="0064594E" w:rsidP="00CE3F81">
      <w:pPr>
        <w:snapToGrid w:val="0"/>
        <w:spacing w:line="360" w:lineRule="auto"/>
        <w:ind w:firstLineChars="200" w:firstLine="600"/>
        <w:jc w:val="center"/>
        <w:rPr>
          <w:rFonts w:asciiTheme="minorEastAsia" w:eastAsiaTheme="minorEastAsia" w:hAnsiTheme="minorEastAsia"/>
          <w:sz w:val="30"/>
          <w:szCs w:val="30"/>
        </w:rPr>
      </w:pPr>
      <w:r w:rsidRPr="003307CA">
        <w:rPr>
          <w:rFonts w:asciiTheme="minorEastAsia" w:eastAsiaTheme="minorEastAsia" w:hAnsiTheme="minorEastAsia" w:hint="eastAsia"/>
          <w:sz w:val="30"/>
          <w:szCs w:val="30"/>
        </w:rPr>
        <w:t>基金托管人：中国工商银行股份有限公司</w:t>
      </w:r>
    </w:p>
    <w:p w:rsidR="00492685" w:rsidRPr="003307CA"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3307CA"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3307CA"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3307CA"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2465F1" w:rsidRPr="003307CA" w:rsidRDefault="002465F1" w:rsidP="00CE3F81">
      <w:pPr>
        <w:snapToGrid w:val="0"/>
        <w:spacing w:line="360" w:lineRule="auto"/>
        <w:ind w:firstLineChars="200" w:firstLine="600"/>
        <w:jc w:val="center"/>
        <w:rPr>
          <w:rFonts w:asciiTheme="minorEastAsia" w:eastAsiaTheme="minorEastAsia" w:hAnsiTheme="minorEastAsia"/>
          <w:sz w:val="30"/>
          <w:szCs w:val="30"/>
        </w:rPr>
      </w:pPr>
      <w:r w:rsidRPr="003307CA">
        <w:rPr>
          <w:rFonts w:asciiTheme="minorEastAsia" w:eastAsiaTheme="minorEastAsia" w:hAnsiTheme="minorEastAsia" w:hint="eastAsia"/>
          <w:sz w:val="30"/>
          <w:szCs w:val="30"/>
        </w:rPr>
        <w:t>二○二○年</w:t>
      </w:r>
      <w:r w:rsidR="00B77E83" w:rsidRPr="003307CA">
        <w:rPr>
          <w:rFonts w:asciiTheme="minorEastAsia" w:eastAsiaTheme="minorEastAsia" w:hAnsiTheme="minorEastAsia" w:hint="eastAsia"/>
          <w:sz w:val="30"/>
          <w:szCs w:val="30"/>
        </w:rPr>
        <w:t>七</w:t>
      </w:r>
      <w:r w:rsidRPr="003307CA">
        <w:rPr>
          <w:rFonts w:asciiTheme="minorEastAsia" w:eastAsiaTheme="minorEastAsia" w:hAnsiTheme="minorEastAsia" w:hint="eastAsia"/>
          <w:sz w:val="30"/>
          <w:szCs w:val="30"/>
        </w:rPr>
        <w:t>月</w:t>
      </w:r>
    </w:p>
    <w:p w:rsidR="00492685" w:rsidRPr="003307CA"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3307CA"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3307CA"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64594E" w:rsidRPr="003307CA" w:rsidRDefault="0064594E" w:rsidP="00CE3F81">
      <w:pPr>
        <w:snapToGrid w:val="0"/>
        <w:spacing w:line="360" w:lineRule="auto"/>
        <w:ind w:firstLineChars="200" w:firstLine="562"/>
        <w:jc w:val="center"/>
        <w:rPr>
          <w:rFonts w:asciiTheme="minorEastAsia" w:eastAsiaTheme="minorEastAsia" w:hAnsiTheme="minorEastAsia"/>
          <w:b/>
          <w:sz w:val="28"/>
          <w:szCs w:val="28"/>
        </w:rPr>
      </w:pPr>
      <w:r w:rsidRPr="003307CA">
        <w:rPr>
          <w:rFonts w:asciiTheme="minorEastAsia" w:eastAsiaTheme="minorEastAsia" w:hAnsiTheme="minorEastAsia" w:hint="eastAsia"/>
          <w:b/>
          <w:sz w:val="28"/>
          <w:szCs w:val="28"/>
        </w:rPr>
        <w:lastRenderedPageBreak/>
        <w:t>重要提示</w:t>
      </w:r>
    </w:p>
    <w:p w:rsidR="0064594E" w:rsidRPr="003307CA" w:rsidRDefault="0064594E" w:rsidP="00CE3F81">
      <w:pPr>
        <w:snapToGrid w:val="0"/>
        <w:spacing w:line="360" w:lineRule="auto"/>
        <w:ind w:firstLineChars="200" w:firstLine="420"/>
        <w:rPr>
          <w:rFonts w:asciiTheme="minorEastAsia" w:eastAsiaTheme="minorEastAsia" w:hAnsiTheme="minorEastAsia"/>
          <w:b/>
          <w:szCs w:val="21"/>
        </w:rPr>
      </w:pPr>
      <w:r w:rsidRPr="003307CA">
        <w:rPr>
          <w:rFonts w:asciiTheme="minorEastAsia" w:eastAsiaTheme="minorEastAsia" w:hAnsiTheme="minorEastAsia" w:hint="eastAsia"/>
        </w:rPr>
        <w:t>本基金根据200</w:t>
      </w:r>
      <w:r w:rsidR="00B96018" w:rsidRPr="003307CA">
        <w:rPr>
          <w:rFonts w:asciiTheme="minorEastAsia" w:eastAsiaTheme="minorEastAsia" w:hAnsiTheme="minorEastAsia" w:hint="eastAsia"/>
        </w:rPr>
        <w:t>8</w:t>
      </w:r>
      <w:r w:rsidRPr="003307CA">
        <w:rPr>
          <w:rFonts w:asciiTheme="minorEastAsia" w:eastAsiaTheme="minorEastAsia" w:hAnsiTheme="minorEastAsia" w:hint="eastAsia"/>
        </w:rPr>
        <w:t>年</w:t>
      </w:r>
      <w:r w:rsidR="00A8330D" w:rsidRPr="003307CA">
        <w:rPr>
          <w:rFonts w:asciiTheme="minorEastAsia" w:eastAsiaTheme="minorEastAsia" w:hAnsiTheme="minorEastAsia" w:hint="eastAsia"/>
        </w:rPr>
        <w:t>8</w:t>
      </w:r>
      <w:r w:rsidRPr="003307CA">
        <w:rPr>
          <w:rFonts w:asciiTheme="minorEastAsia" w:eastAsiaTheme="minorEastAsia" w:hAnsiTheme="minorEastAsia" w:hint="eastAsia"/>
        </w:rPr>
        <w:t>月</w:t>
      </w:r>
      <w:r w:rsidR="00A8330D" w:rsidRPr="003307CA">
        <w:rPr>
          <w:rFonts w:asciiTheme="minorEastAsia" w:eastAsiaTheme="minorEastAsia" w:hAnsiTheme="minorEastAsia" w:hint="eastAsia"/>
        </w:rPr>
        <w:t>2</w:t>
      </w:r>
      <w:r w:rsidR="002E3038" w:rsidRPr="003307CA">
        <w:rPr>
          <w:rFonts w:asciiTheme="minorEastAsia" w:eastAsiaTheme="minorEastAsia" w:hAnsiTheme="minorEastAsia" w:hint="eastAsia"/>
        </w:rPr>
        <w:t>7</w:t>
      </w:r>
      <w:r w:rsidRPr="003307CA">
        <w:rPr>
          <w:rFonts w:asciiTheme="minorEastAsia" w:eastAsiaTheme="minorEastAsia" w:hAnsiTheme="minorEastAsia" w:hint="eastAsia"/>
        </w:rPr>
        <w:t>日中国证券监督管理委员会《关于</w:t>
      </w:r>
      <w:r w:rsidR="00A8330D" w:rsidRPr="003307CA">
        <w:rPr>
          <w:rFonts w:asciiTheme="minorEastAsia" w:eastAsiaTheme="minorEastAsia" w:hAnsiTheme="minorEastAsia" w:hint="eastAsia"/>
        </w:rPr>
        <w:t>核准</w:t>
      </w:r>
      <w:r w:rsidRPr="003307CA">
        <w:rPr>
          <w:rFonts w:asciiTheme="minorEastAsia" w:eastAsiaTheme="minorEastAsia" w:hAnsiTheme="minorEastAsia" w:hint="eastAsia"/>
        </w:rPr>
        <w:t>易方达</w:t>
      </w:r>
      <w:r w:rsidR="00416014" w:rsidRPr="003307CA">
        <w:rPr>
          <w:rFonts w:asciiTheme="minorEastAsia" w:eastAsiaTheme="minorEastAsia" w:hAnsiTheme="minorEastAsia" w:hint="eastAsia"/>
        </w:rPr>
        <w:t>亚洲精选</w:t>
      </w:r>
      <w:r w:rsidRPr="003307CA">
        <w:rPr>
          <w:rFonts w:asciiTheme="minorEastAsia" w:eastAsiaTheme="minorEastAsia" w:hAnsiTheme="minorEastAsia" w:hint="eastAsia"/>
        </w:rPr>
        <w:t>股票型证券投资基金募集的批复》（证监</w:t>
      </w:r>
      <w:r w:rsidR="00A8330D" w:rsidRPr="003307CA">
        <w:rPr>
          <w:rFonts w:asciiTheme="minorEastAsia" w:eastAsiaTheme="minorEastAsia" w:hAnsiTheme="minorEastAsia" w:hint="eastAsia"/>
        </w:rPr>
        <w:t>许可</w:t>
      </w:r>
      <w:r w:rsidRPr="003307CA">
        <w:rPr>
          <w:rFonts w:asciiTheme="minorEastAsia" w:eastAsiaTheme="minorEastAsia" w:hAnsiTheme="minorEastAsia"/>
        </w:rPr>
        <w:t>【</w:t>
      </w:r>
      <w:r w:rsidRPr="003307CA">
        <w:rPr>
          <w:rFonts w:asciiTheme="minorEastAsia" w:eastAsiaTheme="minorEastAsia" w:hAnsiTheme="minorEastAsia" w:hint="eastAsia"/>
        </w:rPr>
        <w:t>200</w:t>
      </w:r>
      <w:r w:rsidR="00C248D4" w:rsidRPr="003307CA">
        <w:rPr>
          <w:rFonts w:asciiTheme="minorEastAsia" w:eastAsiaTheme="minorEastAsia" w:hAnsiTheme="minorEastAsia" w:hint="eastAsia"/>
        </w:rPr>
        <w:t>8</w:t>
      </w:r>
      <w:r w:rsidRPr="003307CA">
        <w:rPr>
          <w:rFonts w:asciiTheme="minorEastAsia" w:eastAsiaTheme="minorEastAsia" w:hAnsiTheme="minorEastAsia"/>
        </w:rPr>
        <w:t>】</w:t>
      </w:r>
      <w:r w:rsidR="00A8330D" w:rsidRPr="003307CA">
        <w:rPr>
          <w:rFonts w:asciiTheme="minorEastAsia" w:eastAsiaTheme="minorEastAsia" w:hAnsiTheme="minorEastAsia" w:hint="eastAsia"/>
        </w:rPr>
        <w:t>1064</w:t>
      </w:r>
      <w:r w:rsidRPr="003307CA">
        <w:rPr>
          <w:rFonts w:asciiTheme="minorEastAsia" w:eastAsiaTheme="minorEastAsia" w:hAnsiTheme="minorEastAsia" w:hint="eastAsia"/>
        </w:rPr>
        <w:t>号）</w:t>
      </w:r>
      <w:r w:rsidR="00DC48F6" w:rsidRPr="003307CA">
        <w:rPr>
          <w:rFonts w:asciiTheme="minorEastAsia" w:eastAsiaTheme="minorEastAsia" w:hAnsiTheme="minorEastAsia" w:hint="eastAsia"/>
        </w:rPr>
        <w:t>、2009年5月</w:t>
      </w:r>
      <w:r w:rsidR="002E3038" w:rsidRPr="003307CA">
        <w:rPr>
          <w:rFonts w:asciiTheme="minorEastAsia" w:eastAsiaTheme="minorEastAsia" w:hAnsiTheme="minorEastAsia" w:hint="eastAsia"/>
        </w:rPr>
        <w:t>8</w:t>
      </w:r>
      <w:r w:rsidR="00DC48F6" w:rsidRPr="003307CA">
        <w:rPr>
          <w:rFonts w:asciiTheme="minorEastAsia" w:eastAsiaTheme="minorEastAsia" w:hAnsiTheme="minorEastAsia" w:hint="eastAsia"/>
        </w:rPr>
        <w:t>日《关于核准易方达亚洲精选股票型证券投资基金备案的批复》（证监许可</w:t>
      </w:r>
      <w:r w:rsidR="00DC48F6" w:rsidRPr="003307CA">
        <w:rPr>
          <w:rFonts w:asciiTheme="minorEastAsia" w:eastAsiaTheme="minorEastAsia" w:hAnsiTheme="minorEastAsia"/>
        </w:rPr>
        <w:t>【</w:t>
      </w:r>
      <w:r w:rsidR="00DC48F6" w:rsidRPr="003307CA">
        <w:rPr>
          <w:rFonts w:asciiTheme="minorEastAsia" w:eastAsiaTheme="minorEastAsia" w:hAnsiTheme="minorEastAsia" w:hint="eastAsia"/>
        </w:rPr>
        <w:t>2009</w:t>
      </w:r>
      <w:r w:rsidR="00DC48F6" w:rsidRPr="003307CA">
        <w:rPr>
          <w:rFonts w:asciiTheme="minorEastAsia" w:eastAsiaTheme="minorEastAsia" w:hAnsiTheme="minorEastAsia"/>
        </w:rPr>
        <w:t>】</w:t>
      </w:r>
      <w:r w:rsidR="00DC48F6" w:rsidRPr="003307CA">
        <w:rPr>
          <w:rFonts w:asciiTheme="minorEastAsia" w:eastAsiaTheme="minorEastAsia" w:hAnsiTheme="minorEastAsia" w:hint="eastAsia"/>
        </w:rPr>
        <w:t>367号）</w:t>
      </w:r>
      <w:r w:rsidRPr="003307CA">
        <w:rPr>
          <w:rFonts w:asciiTheme="minorEastAsia" w:eastAsiaTheme="minorEastAsia" w:hAnsiTheme="minorEastAsia" w:hint="eastAsia"/>
        </w:rPr>
        <w:t>和</w:t>
      </w:r>
      <w:r w:rsidR="00A8330D" w:rsidRPr="003307CA">
        <w:rPr>
          <w:rFonts w:asciiTheme="minorEastAsia" w:eastAsiaTheme="minorEastAsia" w:hAnsiTheme="minorEastAsia" w:hint="eastAsia"/>
        </w:rPr>
        <w:t>2009</w:t>
      </w:r>
      <w:r w:rsidR="002E3038" w:rsidRPr="003307CA">
        <w:rPr>
          <w:rFonts w:asciiTheme="minorEastAsia" w:eastAsiaTheme="minorEastAsia" w:hAnsiTheme="minorEastAsia" w:hint="eastAsia"/>
        </w:rPr>
        <w:t>年11月12日《关于易方达亚洲精选股票型证券投资基金募集时间安排的确认函》（基金部函[2009]711号）</w:t>
      </w:r>
      <w:r w:rsidRPr="003307CA">
        <w:rPr>
          <w:rFonts w:asciiTheme="minorEastAsia" w:eastAsiaTheme="minorEastAsia" w:hAnsiTheme="minorEastAsia" w:hint="eastAsia"/>
        </w:rPr>
        <w:t>，进行募集。</w:t>
      </w:r>
      <w:r w:rsidR="00CD116B" w:rsidRPr="003307CA">
        <w:rPr>
          <w:rFonts w:asciiTheme="minorEastAsia" w:eastAsiaTheme="minorEastAsia" w:hAnsiTheme="minorEastAsia" w:hint="eastAsia"/>
        </w:rPr>
        <w:t>本基金的基金合同于2010年1月21日正式生效。</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基金管理人保证《招募说明书》的内容真实、准确、完整。</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基金管理人依照恪尽职守、诚实信用、谨慎勤勉的原则管理和运用基金</w:t>
      </w:r>
      <w:r w:rsidRPr="003307CA">
        <w:rPr>
          <w:rFonts w:asciiTheme="minorEastAsia" w:eastAsiaTheme="minorEastAsia" w:hAnsiTheme="minorEastAsia" w:hint="eastAsia"/>
          <w:szCs w:val="21"/>
        </w:rPr>
        <w:t>财产</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但</w:t>
      </w:r>
      <w:r w:rsidRPr="003307CA">
        <w:rPr>
          <w:rFonts w:asciiTheme="minorEastAsia" w:eastAsiaTheme="minorEastAsia" w:hAnsiTheme="minorEastAsia"/>
          <w:szCs w:val="21"/>
        </w:rPr>
        <w:t>不保证基金一定盈利，也不保证最低收益</w:t>
      </w:r>
      <w:r w:rsidRPr="003307CA">
        <w:rPr>
          <w:rFonts w:asciiTheme="minorEastAsia" w:eastAsiaTheme="minorEastAsia" w:hAnsiTheme="minorEastAsia" w:hint="eastAsia"/>
          <w:szCs w:val="21"/>
        </w:rPr>
        <w:t>。</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64594E" w:rsidRPr="003307CA" w:rsidRDefault="000635A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本基金主要投资于在亚洲地区（日本除外）证券市场交易的企业以及在其他证券市场交易的亚洲企业（日本除外），对以上两类企业的投资合计不低于股票资产的80%。</w:t>
      </w:r>
      <w:r w:rsidR="0064594E" w:rsidRPr="003307CA">
        <w:rPr>
          <w:rFonts w:asciiTheme="minorEastAsia" w:eastAsiaTheme="minorEastAsia" w:hAnsiTheme="minorEastAsia" w:hint="eastAsia"/>
          <w:szCs w:val="21"/>
        </w:rPr>
        <w:t>基金净值会因为证券市场波动等因素产生波动，投资者在投资本基金前，请认真阅读本招募说明书</w:t>
      </w:r>
      <w:r w:rsidR="001E7C29" w:rsidRPr="003307CA">
        <w:rPr>
          <w:rFonts w:asciiTheme="minorEastAsia" w:eastAsiaTheme="minorEastAsia" w:hAnsiTheme="minorEastAsia" w:hint="eastAsia"/>
          <w:szCs w:val="21"/>
        </w:rPr>
        <w:t>和基金产品资料概要</w:t>
      </w:r>
      <w:r w:rsidR="0064594E" w:rsidRPr="003307CA">
        <w:rPr>
          <w:rFonts w:asciiTheme="minorEastAsia" w:eastAsiaTheme="minorEastAsia" w:hAnsiTheme="minorEastAsia" w:hint="eastAsia"/>
          <w:szCs w:val="21"/>
        </w:rPr>
        <w:t>，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海外投资面临的汇率风险、国别风险、新兴市场风险等特别投资风险；基金所投资的股票、债券、衍生品等各种投资工具的相关风险；流动性风险；基金投资过程中产生的操作风险；因交收违约和投资债券引发的信用风险</w:t>
      </w:r>
      <w:r w:rsidR="00001E34" w:rsidRPr="003307CA">
        <w:rPr>
          <w:rFonts w:asciiTheme="minorEastAsia" w:eastAsiaTheme="minorEastAsia" w:hAnsiTheme="minorEastAsia" w:hint="eastAsia"/>
          <w:szCs w:val="21"/>
        </w:rPr>
        <w:t>；</w:t>
      </w:r>
      <w:r w:rsidR="0064594E" w:rsidRPr="003307CA">
        <w:rPr>
          <w:rFonts w:asciiTheme="minorEastAsia" w:eastAsiaTheme="minorEastAsia" w:hAnsiTheme="minorEastAsia" w:hint="eastAsia"/>
          <w:szCs w:val="21"/>
        </w:rPr>
        <w:t>基金投资对象与投资策略引致的特有风险</w:t>
      </w:r>
      <w:r w:rsidR="00135317" w:rsidRPr="003307CA">
        <w:rPr>
          <w:rFonts w:asciiTheme="minorEastAsia" w:eastAsiaTheme="minorEastAsia" w:hAnsiTheme="minorEastAsia" w:hint="eastAsia"/>
          <w:szCs w:val="21"/>
        </w:rPr>
        <w:t>；</w:t>
      </w:r>
      <w:r w:rsidR="001E7C29" w:rsidRPr="003307CA">
        <w:rPr>
          <w:rFonts w:asciiTheme="minorEastAsia" w:eastAsiaTheme="minorEastAsia" w:hAnsiTheme="minorEastAsia" w:hint="eastAsia"/>
          <w:szCs w:val="21"/>
        </w:rPr>
        <w:t>本基金法律文件中涉及基金风险特征的表述与销售机构对基金的风险评级可能不一致的风险；</w:t>
      </w:r>
      <w:r w:rsidR="00001E34" w:rsidRPr="003307CA">
        <w:rPr>
          <w:rFonts w:asciiTheme="minorEastAsia" w:eastAsiaTheme="minorEastAsia" w:hAnsiTheme="minorEastAsia" w:hint="eastAsia"/>
          <w:szCs w:val="21"/>
        </w:rPr>
        <w:t>不可抗力风险</w:t>
      </w:r>
      <w:r w:rsidR="00135317" w:rsidRPr="003307CA">
        <w:rPr>
          <w:rFonts w:asciiTheme="minorEastAsia" w:eastAsiaTheme="minorEastAsia" w:hAnsiTheme="minorEastAsia" w:hint="eastAsia"/>
          <w:szCs w:val="21"/>
        </w:rPr>
        <w:t>；</w:t>
      </w:r>
      <w:r w:rsidR="0064594E" w:rsidRPr="003307CA">
        <w:rPr>
          <w:rFonts w:asciiTheme="minorEastAsia" w:eastAsiaTheme="minorEastAsia" w:hAnsiTheme="minorEastAsia" w:hint="eastAsia"/>
          <w:szCs w:val="21"/>
        </w:rPr>
        <w:t>等等。基金管理人提醒投资者基金投资的“买者自负”原则，在投资者作出投资决策后，基金运营状况与基金净值变化引致的投资风险，由投资者自行负责。</w:t>
      </w:r>
    </w:p>
    <w:p w:rsidR="00B50644" w:rsidRPr="003307CA" w:rsidRDefault="00B5064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本基金由易方达基金管理有限公司独立管理，未聘请境外投资顾问。</w:t>
      </w:r>
    </w:p>
    <w:p w:rsidR="0064594E" w:rsidRPr="003307CA" w:rsidRDefault="0053041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投资有风险</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投资者</w:t>
      </w:r>
      <w:r w:rsidRPr="003307CA">
        <w:rPr>
          <w:rFonts w:asciiTheme="minorEastAsia" w:eastAsiaTheme="minorEastAsia" w:hAnsiTheme="minorEastAsia" w:hint="eastAsia"/>
          <w:szCs w:val="21"/>
        </w:rPr>
        <w:t>投资本</w:t>
      </w:r>
      <w:r w:rsidRPr="003307CA">
        <w:rPr>
          <w:rFonts w:asciiTheme="minorEastAsia" w:eastAsiaTheme="minorEastAsia" w:hAnsiTheme="minorEastAsia"/>
          <w:szCs w:val="21"/>
        </w:rPr>
        <w:t>基金时应认真阅读本</w:t>
      </w:r>
      <w:r w:rsidR="001A71C0" w:rsidRPr="003307CA">
        <w:rPr>
          <w:rFonts w:asciiTheme="minorEastAsia" w:eastAsiaTheme="minorEastAsia" w:hAnsiTheme="minorEastAsia" w:hint="eastAsia"/>
          <w:szCs w:val="21"/>
        </w:rPr>
        <w:t>招募说明书、基金合同和基金产品资料概要等信息披露文件</w:t>
      </w:r>
      <w:r w:rsidRPr="003307CA">
        <w:rPr>
          <w:rFonts w:asciiTheme="minorEastAsia" w:eastAsiaTheme="minorEastAsia" w:hAnsiTheme="minorEastAsia" w:hint="eastAsia"/>
          <w:szCs w:val="21"/>
        </w:rPr>
        <w:t>；</w:t>
      </w:r>
      <w:r w:rsidR="0064594E" w:rsidRPr="003307CA">
        <w:rPr>
          <w:rFonts w:asciiTheme="minorEastAsia" w:eastAsiaTheme="minorEastAsia" w:hAnsiTheme="minorEastAsia" w:hint="eastAsia"/>
          <w:szCs w:val="21"/>
        </w:rPr>
        <w:t>基金的过往业绩并不预示其未来表现。</w:t>
      </w:r>
    </w:p>
    <w:p w:rsidR="00B03607" w:rsidRPr="003307CA" w:rsidRDefault="00B03607" w:rsidP="006D35EC">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基金合同约定的基金产品资料概要编制、披露与更新要求，自《信息披露办法》实施之日起一年后开始执行。</w:t>
      </w:r>
    </w:p>
    <w:p w:rsidR="00AB3A0C" w:rsidRPr="003307CA" w:rsidRDefault="00E26DB5" w:rsidP="00AB3A0C">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本基金本次更新招募说明书</w:t>
      </w:r>
      <w:r w:rsidR="00873651" w:rsidRPr="003307CA">
        <w:rPr>
          <w:rFonts w:asciiTheme="minorEastAsia" w:eastAsiaTheme="minorEastAsia" w:hAnsiTheme="minorEastAsia" w:hint="eastAsia"/>
          <w:szCs w:val="21"/>
        </w:rPr>
        <w:t>对基金合同修订和董事、监事、高级管理人员相关信息进行更新，相关信息更新截止日为</w:t>
      </w:r>
      <w:r w:rsidR="00873651" w:rsidRPr="003307CA">
        <w:rPr>
          <w:rFonts w:asciiTheme="minorEastAsia" w:eastAsiaTheme="minorEastAsia" w:hAnsiTheme="minorEastAsia"/>
          <w:szCs w:val="21"/>
        </w:rPr>
        <w:t>2020年7月11日。</w:t>
      </w:r>
      <w:r w:rsidR="00AB3A0C" w:rsidRPr="003307CA">
        <w:rPr>
          <w:rFonts w:asciiTheme="minorEastAsia" w:eastAsiaTheme="minorEastAsia" w:hAnsiTheme="minorEastAsia"/>
          <w:szCs w:val="21"/>
        </w:rPr>
        <w:t>除非另有说明，</w:t>
      </w:r>
      <w:r w:rsidR="008C50DB" w:rsidRPr="003307CA">
        <w:rPr>
          <w:rFonts w:asciiTheme="minorEastAsia" w:eastAsiaTheme="minorEastAsia" w:hAnsiTheme="minorEastAsia"/>
          <w:szCs w:val="21"/>
        </w:rPr>
        <w:t>本招募说明书</w:t>
      </w:r>
      <w:r w:rsidR="00873651" w:rsidRPr="003307CA">
        <w:rPr>
          <w:rFonts w:asciiTheme="minorEastAsia" w:eastAsiaTheme="minorEastAsia" w:hAnsiTheme="minorEastAsia"/>
          <w:szCs w:val="21"/>
        </w:rPr>
        <w:t>其他</w:t>
      </w:r>
      <w:r w:rsidR="002465F1" w:rsidRPr="003307CA">
        <w:rPr>
          <w:rFonts w:asciiTheme="minorEastAsia" w:eastAsiaTheme="minorEastAsia" w:hAnsiTheme="minorEastAsia"/>
          <w:szCs w:val="21"/>
        </w:rPr>
        <w:t>所载内容截止日为2020年5月16日</w:t>
      </w:r>
      <w:r w:rsidR="00AB3A0C" w:rsidRPr="003307CA">
        <w:rPr>
          <w:rFonts w:asciiTheme="minorEastAsia" w:eastAsiaTheme="minorEastAsia" w:hAnsiTheme="minorEastAsia"/>
          <w:szCs w:val="21"/>
        </w:rPr>
        <w:t>，</w:t>
      </w:r>
      <w:r w:rsidR="002465F1" w:rsidRPr="003307CA">
        <w:rPr>
          <w:rFonts w:asciiTheme="minorEastAsia" w:eastAsiaTheme="minorEastAsia" w:hAnsiTheme="minorEastAsia"/>
          <w:szCs w:val="21"/>
        </w:rPr>
        <w:t>有关财务数据截止日为2020年3月31日</w:t>
      </w:r>
      <w:r w:rsidR="00AB3A0C" w:rsidRPr="003307CA">
        <w:rPr>
          <w:rFonts w:asciiTheme="minorEastAsia" w:eastAsiaTheme="minorEastAsia" w:hAnsiTheme="minorEastAsia"/>
          <w:szCs w:val="21"/>
        </w:rPr>
        <w:t>，</w:t>
      </w:r>
      <w:r w:rsidR="002465F1" w:rsidRPr="003307CA">
        <w:rPr>
          <w:rFonts w:asciiTheme="minorEastAsia" w:eastAsiaTheme="minorEastAsia" w:hAnsiTheme="minorEastAsia"/>
          <w:szCs w:val="21"/>
        </w:rPr>
        <w:t>净值表现</w:t>
      </w:r>
      <w:r w:rsidR="002465F1" w:rsidRPr="003307CA">
        <w:rPr>
          <w:rFonts w:asciiTheme="minorEastAsia" w:eastAsiaTheme="minorEastAsia" w:hAnsiTheme="minorEastAsia"/>
          <w:szCs w:val="21"/>
        </w:rPr>
        <w:lastRenderedPageBreak/>
        <w:t>截止日为2019年12月31日</w:t>
      </w:r>
      <w:r w:rsidR="00AB3A0C" w:rsidRPr="003307CA">
        <w:rPr>
          <w:rFonts w:asciiTheme="minorEastAsia" w:eastAsiaTheme="minorEastAsia" w:hAnsiTheme="minorEastAsia"/>
          <w:szCs w:val="21"/>
        </w:rPr>
        <w:t>。（本报告中财务数据未经审计）</w:t>
      </w:r>
    </w:p>
    <w:p w:rsidR="00BD0B00" w:rsidRPr="003307CA" w:rsidRDefault="00BD0B00" w:rsidP="00CE3F81">
      <w:pPr>
        <w:snapToGrid w:val="0"/>
        <w:spacing w:line="360" w:lineRule="auto"/>
        <w:ind w:firstLineChars="200" w:firstLine="420"/>
        <w:rPr>
          <w:rFonts w:asciiTheme="minorEastAsia" w:eastAsiaTheme="minorEastAsia" w:hAnsiTheme="minorEastAsia"/>
          <w:szCs w:val="21"/>
        </w:rPr>
        <w:sectPr w:rsidR="00BD0B00" w:rsidRPr="003307CA" w:rsidSect="0011576F">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425"/>
          <w:titlePg/>
          <w:docGrid w:type="lines" w:linePitch="447"/>
        </w:sectPr>
      </w:pPr>
    </w:p>
    <w:p w:rsidR="0064594E" w:rsidRPr="003307CA" w:rsidRDefault="0064594E" w:rsidP="00CE3F81">
      <w:pPr>
        <w:snapToGrid w:val="0"/>
        <w:spacing w:line="360" w:lineRule="auto"/>
        <w:ind w:firstLineChars="200" w:firstLine="562"/>
        <w:jc w:val="center"/>
        <w:rPr>
          <w:rFonts w:asciiTheme="minorEastAsia" w:eastAsiaTheme="minorEastAsia" w:hAnsiTheme="minorEastAsia"/>
          <w:b/>
          <w:sz w:val="28"/>
          <w:szCs w:val="28"/>
        </w:rPr>
      </w:pPr>
      <w:r w:rsidRPr="003307CA">
        <w:rPr>
          <w:rFonts w:asciiTheme="minorEastAsia" w:eastAsiaTheme="minorEastAsia" w:hAnsiTheme="minorEastAsia" w:hint="eastAsia"/>
          <w:b/>
          <w:sz w:val="28"/>
          <w:szCs w:val="28"/>
        </w:rPr>
        <w:lastRenderedPageBreak/>
        <w:t>目录</w:t>
      </w:r>
    </w:p>
    <w:p w:rsidR="00EC79FF" w:rsidRPr="003307CA" w:rsidRDefault="000E5F6B">
      <w:pPr>
        <w:pStyle w:val="10"/>
        <w:tabs>
          <w:tab w:val="left" w:pos="1260"/>
        </w:tabs>
        <w:rPr>
          <w:rFonts w:asciiTheme="minorEastAsia" w:eastAsiaTheme="minorEastAsia" w:hAnsiTheme="minorEastAsia" w:cstheme="minorBidi"/>
          <w:caps w:val="0"/>
          <w:sz w:val="21"/>
          <w:szCs w:val="22"/>
        </w:rPr>
      </w:pPr>
      <w:r w:rsidRPr="003307CA">
        <w:rPr>
          <w:rFonts w:asciiTheme="minorEastAsia" w:eastAsiaTheme="minorEastAsia" w:hAnsiTheme="minorEastAsia"/>
          <w:b/>
          <w:caps w:val="0"/>
          <w:szCs w:val="21"/>
        </w:rPr>
        <w:fldChar w:fldCharType="begin"/>
      </w:r>
      <w:r w:rsidR="0064594E" w:rsidRPr="003307CA">
        <w:rPr>
          <w:rFonts w:asciiTheme="minorEastAsia" w:eastAsiaTheme="minorEastAsia" w:hAnsiTheme="minorEastAsia"/>
          <w:b/>
          <w:caps w:val="0"/>
          <w:szCs w:val="21"/>
        </w:rPr>
        <w:instrText xml:space="preserve"> TOC \o "1-3" \h \z \u </w:instrText>
      </w:r>
      <w:r w:rsidRPr="003307CA">
        <w:rPr>
          <w:rFonts w:asciiTheme="minorEastAsia" w:eastAsiaTheme="minorEastAsia" w:hAnsiTheme="minorEastAsia"/>
          <w:b/>
          <w:caps w:val="0"/>
          <w:szCs w:val="21"/>
        </w:rPr>
        <w:fldChar w:fldCharType="separate"/>
      </w:r>
      <w:hyperlink w:anchor="_Toc44351058" w:history="1">
        <w:r w:rsidR="00EC79FF" w:rsidRPr="003307CA">
          <w:rPr>
            <w:rStyle w:val="af2"/>
            <w:rFonts w:asciiTheme="minorEastAsia" w:eastAsiaTheme="minorEastAsia" w:hAnsiTheme="minorEastAsia" w:hint="eastAsia"/>
            <w:color w:val="auto"/>
            <w:u w:val="none"/>
          </w:rPr>
          <w:t>第一节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绪言</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_Toc44351058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59" w:history="1">
        <w:r w:rsidR="00EC79FF" w:rsidRPr="003307CA">
          <w:rPr>
            <w:rStyle w:val="af2"/>
            <w:rFonts w:asciiTheme="minorEastAsia" w:eastAsiaTheme="minorEastAsia" w:hAnsiTheme="minorEastAsia" w:hint="eastAsia"/>
            <w:color w:val="auto"/>
            <w:u w:val="none"/>
          </w:rPr>
          <w:t>第二节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释义</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_Toc44351059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60" w:history="1">
        <w:r w:rsidR="00EC79FF" w:rsidRPr="003307CA">
          <w:rPr>
            <w:rStyle w:val="af2"/>
            <w:rFonts w:asciiTheme="minorEastAsia" w:eastAsiaTheme="minorEastAsia" w:hAnsiTheme="minorEastAsia" w:hint="eastAsia"/>
            <w:color w:val="auto"/>
            <w:u w:val="none"/>
          </w:rPr>
          <w:t>第三节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风险揭示</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61" w:history="1">
        <w:r w:rsidR="00EC79FF" w:rsidRPr="003307CA">
          <w:rPr>
            <w:rStyle w:val="af2"/>
            <w:rFonts w:asciiTheme="minorEastAsia" w:eastAsiaTheme="minorEastAsia" w:hAnsiTheme="minorEastAsia" w:hint="eastAsia"/>
            <w:color w:val="auto"/>
            <w:u w:val="none"/>
          </w:rPr>
          <w:t>第四节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基金的投资</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2" w:history="1">
        <w:r w:rsidR="00EC79FF" w:rsidRPr="003307CA">
          <w:rPr>
            <w:rStyle w:val="af2"/>
            <w:rFonts w:asciiTheme="minorEastAsia" w:eastAsiaTheme="minorEastAsia" w:hAnsiTheme="minorEastAsia" w:hint="eastAsia"/>
            <w:color w:val="auto"/>
            <w:u w:val="none"/>
          </w:rPr>
          <w:t>一、投资目标</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3" w:history="1">
        <w:r w:rsidR="00EC79FF" w:rsidRPr="003307CA">
          <w:rPr>
            <w:rStyle w:val="af2"/>
            <w:rFonts w:asciiTheme="minorEastAsia" w:eastAsiaTheme="minorEastAsia" w:hAnsiTheme="minorEastAsia" w:hint="eastAsia"/>
            <w:color w:val="auto"/>
            <w:u w:val="none"/>
          </w:rPr>
          <w:t>二、</w:t>
        </w:r>
        <w:r w:rsidR="00EC79FF" w:rsidRPr="003307CA">
          <w:rPr>
            <w:rStyle w:val="af2"/>
            <w:rFonts w:asciiTheme="minorEastAsia" w:eastAsiaTheme="minorEastAsia" w:hAnsiTheme="minorEastAsia" w:hint="eastAsia"/>
            <w:bCs/>
            <w:color w:val="auto"/>
            <w:u w:val="none"/>
          </w:rPr>
          <w:t>投资范围</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4" w:history="1">
        <w:r w:rsidR="00EC79FF" w:rsidRPr="003307CA">
          <w:rPr>
            <w:rStyle w:val="af2"/>
            <w:rFonts w:asciiTheme="minorEastAsia" w:eastAsiaTheme="minorEastAsia" w:hAnsiTheme="minorEastAsia" w:hint="eastAsia"/>
            <w:bCs/>
            <w:color w:val="auto"/>
            <w:u w:val="none"/>
          </w:rPr>
          <w:t>三、投资理念</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5" w:history="1">
        <w:r w:rsidR="00EC79FF" w:rsidRPr="003307CA">
          <w:rPr>
            <w:rStyle w:val="af2"/>
            <w:rFonts w:asciiTheme="minorEastAsia" w:eastAsiaTheme="minorEastAsia" w:hAnsiTheme="minorEastAsia" w:hint="eastAsia"/>
            <w:bCs/>
            <w:color w:val="auto"/>
            <w:u w:val="none"/>
          </w:rPr>
          <w:t>四、投资策略</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6" w:history="1">
        <w:r w:rsidR="00EC79FF" w:rsidRPr="003307CA">
          <w:rPr>
            <w:rStyle w:val="af2"/>
            <w:rFonts w:asciiTheme="minorEastAsia" w:eastAsiaTheme="minorEastAsia" w:hAnsiTheme="minorEastAsia" w:hint="eastAsia"/>
            <w:bCs/>
            <w:color w:val="auto"/>
            <w:u w:val="none"/>
          </w:rPr>
          <w:t>五、业绩比较基准</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7" w:history="1">
        <w:r w:rsidR="00EC79FF" w:rsidRPr="003307CA">
          <w:rPr>
            <w:rStyle w:val="af2"/>
            <w:rFonts w:asciiTheme="minorEastAsia" w:eastAsiaTheme="minorEastAsia" w:hAnsiTheme="minorEastAsia" w:hint="eastAsia"/>
            <w:bCs/>
            <w:color w:val="auto"/>
            <w:u w:val="none"/>
          </w:rPr>
          <w:t>六、风险收益特征</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8" w:history="1">
        <w:r w:rsidR="00EC79FF" w:rsidRPr="003307CA">
          <w:rPr>
            <w:rStyle w:val="af2"/>
            <w:rFonts w:asciiTheme="minorEastAsia" w:eastAsiaTheme="minorEastAsia" w:hAnsiTheme="minorEastAsia" w:hint="eastAsia"/>
            <w:bCs/>
            <w:color w:val="auto"/>
            <w:u w:val="none"/>
          </w:rPr>
          <w:t>七、投资决策依据与决策程序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69" w:history="1">
        <w:r w:rsidR="00EC79FF" w:rsidRPr="003307CA">
          <w:rPr>
            <w:rStyle w:val="af2"/>
            <w:rFonts w:asciiTheme="minorEastAsia" w:eastAsiaTheme="minorEastAsia" w:hAnsiTheme="minorEastAsia" w:hint="eastAsia"/>
            <w:bCs/>
            <w:color w:val="auto"/>
            <w:u w:val="none"/>
          </w:rPr>
          <w:t>八、投资禁止与限制</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_Toc44351069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16</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0" w:history="1">
        <w:r w:rsidR="00EC79FF" w:rsidRPr="003307CA">
          <w:rPr>
            <w:rStyle w:val="af2"/>
            <w:rFonts w:asciiTheme="minorEastAsia" w:eastAsiaTheme="minorEastAsia" w:hAnsiTheme="minorEastAsia" w:hint="eastAsia"/>
            <w:bCs/>
            <w:color w:val="auto"/>
            <w:u w:val="none"/>
          </w:rPr>
          <w:t>九、衍生品投资的风险管理与决策流程</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19</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1" w:history="1">
        <w:r w:rsidR="00EC79FF" w:rsidRPr="003307CA">
          <w:rPr>
            <w:rStyle w:val="af2"/>
            <w:rFonts w:asciiTheme="minorEastAsia" w:eastAsiaTheme="minorEastAsia" w:hAnsiTheme="minorEastAsia" w:hint="eastAsia"/>
            <w:bCs/>
            <w:color w:val="auto"/>
            <w:u w:val="none"/>
          </w:rPr>
          <w:t>十、代理投票</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2" w:history="1">
        <w:r w:rsidR="00EC79FF" w:rsidRPr="003307CA">
          <w:rPr>
            <w:rStyle w:val="af2"/>
            <w:rFonts w:asciiTheme="minorEastAsia" w:eastAsiaTheme="minorEastAsia" w:hAnsiTheme="minorEastAsia" w:hint="eastAsia"/>
            <w:bCs/>
            <w:color w:val="auto"/>
            <w:u w:val="none"/>
          </w:rPr>
          <w:t>十一、证券交易管理</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3" w:history="1">
        <w:r w:rsidR="00EC79FF" w:rsidRPr="003307CA">
          <w:rPr>
            <w:rStyle w:val="af2"/>
            <w:rFonts w:asciiTheme="minorEastAsia" w:eastAsiaTheme="minorEastAsia" w:hAnsiTheme="minorEastAsia" w:hint="eastAsia"/>
            <w:bCs/>
            <w:color w:val="auto"/>
            <w:u w:val="none"/>
          </w:rPr>
          <w:t>十二、</w:t>
        </w:r>
        <w:r w:rsidR="00EC79FF" w:rsidRPr="003307CA">
          <w:rPr>
            <w:rStyle w:val="af2"/>
            <w:rFonts w:asciiTheme="minorEastAsia" w:eastAsiaTheme="minorEastAsia" w:hAnsiTheme="minorEastAsia" w:hint="eastAsia"/>
            <w:bCs/>
            <w:color w:val="auto"/>
            <w:spacing w:val="-6"/>
            <w:u w:val="none"/>
          </w:rPr>
          <w:t>基金管理人代表基金行使所投资证券产生权利的处理原则及方法</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21</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4" w:history="1">
        <w:r w:rsidR="00EC79FF" w:rsidRPr="003307CA">
          <w:rPr>
            <w:rStyle w:val="af2"/>
            <w:rFonts w:asciiTheme="minorEastAsia" w:eastAsiaTheme="minorEastAsia" w:hAnsiTheme="minorEastAsia" w:hint="eastAsia"/>
            <w:bCs/>
            <w:color w:val="auto"/>
            <w:spacing w:val="-6"/>
            <w:u w:val="none"/>
          </w:rPr>
          <w:t>十三、基金投资组合报告</w:t>
        </w:r>
        <w:r w:rsidR="00EC79FF" w:rsidRPr="003307CA">
          <w:rPr>
            <w:rStyle w:val="af2"/>
            <w:rFonts w:asciiTheme="minorEastAsia" w:eastAsiaTheme="minorEastAsia" w:hAnsiTheme="minorEastAsia"/>
            <w:bCs/>
            <w:color w:val="auto"/>
            <w:spacing w:val="-6"/>
            <w:u w:val="none"/>
          </w:rPr>
          <w:t>(</w:t>
        </w:r>
        <w:r w:rsidR="00EC79FF" w:rsidRPr="003307CA">
          <w:rPr>
            <w:rStyle w:val="af2"/>
            <w:rFonts w:asciiTheme="minorEastAsia" w:eastAsiaTheme="minorEastAsia" w:hAnsiTheme="minorEastAsia" w:hint="eastAsia"/>
            <w:bCs/>
            <w:color w:val="auto"/>
            <w:spacing w:val="-6"/>
            <w:u w:val="none"/>
          </w:rPr>
          <w:t>未经审计</w:t>
        </w:r>
        <w:r w:rsidR="00EC79FF" w:rsidRPr="003307CA">
          <w:rPr>
            <w:rStyle w:val="af2"/>
            <w:rFonts w:asciiTheme="minorEastAsia" w:eastAsiaTheme="minorEastAsia" w:hAnsiTheme="minorEastAsia"/>
            <w:bCs/>
            <w:color w:val="auto"/>
            <w:spacing w:val="-6"/>
            <w:u w:val="none"/>
          </w:rPr>
          <w:t>)</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21</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75" w:history="1">
        <w:r w:rsidR="00EC79FF" w:rsidRPr="003307CA">
          <w:rPr>
            <w:rStyle w:val="af2"/>
            <w:rFonts w:asciiTheme="minorEastAsia" w:eastAsiaTheme="minorEastAsia" w:hAnsiTheme="minorEastAsia" w:hint="eastAsia"/>
            <w:color w:val="auto"/>
            <w:u w:val="none"/>
          </w:rPr>
          <w:t>第五节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基金的业绩</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26</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76" w:history="1">
        <w:r w:rsidR="00EC79FF" w:rsidRPr="003307CA">
          <w:rPr>
            <w:rStyle w:val="af2"/>
            <w:rFonts w:asciiTheme="minorEastAsia" w:eastAsiaTheme="minorEastAsia" w:hAnsiTheme="minorEastAsia" w:hint="eastAsia"/>
            <w:color w:val="auto"/>
            <w:u w:val="none"/>
          </w:rPr>
          <w:t>第六节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基金管理人</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28</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7" w:history="1">
        <w:r w:rsidR="00EC79FF" w:rsidRPr="003307CA">
          <w:rPr>
            <w:rStyle w:val="af2"/>
            <w:rFonts w:asciiTheme="minorEastAsia" w:eastAsiaTheme="minorEastAsia" w:hAnsiTheme="minorEastAsia" w:cs="仿宋_GB2312" w:hint="eastAsia"/>
            <w:bCs/>
            <w:color w:val="auto"/>
            <w:kern w:val="0"/>
            <w:u w:val="none"/>
          </w:rPr>
          <w:t>一、基金管理人基本情况</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28</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8" w:history="1">
        <w:r w:rsidR="00EC79FF" w:rsidRPr="003307CA">
          <w:rPr>
            <w:rStyle w:val="af2"/>
            <w:rFonts w:asciiTheme="minorEastAsia" w:eastAsiaTheme="minorEastAsia" w:hAnsiTheme="minorEastAsia" w:hint="eastAsia"/>
            <w:bCs/>
            <w:color w:val="auto"/>
            <w:u w:val="none"/>
          </w:rPr>
          <w:t>二、主要人员情况</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28</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79" w:history="1">
        <w:r w:rsidR="00EC79FF" w:rsidRPr="003307CA">
          <w:rPr>
            <w:rStyle w:val="af2"/>
            <w:rFonts w:asciiTheme="minorEastAsia" w:eastAsiaTheme="minorEastAsia" w:hAnsiTheme="minorEastAsia" w:hint="eastAsia"/>
            <w:bCs/>
            <w:color w:val="auto"/>
            <w:u w:val="none"/>
          </w:rPr>
          <w:t>三、基金管理人的职责</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_Toc44351079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33</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80" w:history="1">
        <w:r w:rsidR="00EC79FF" w:rsidRPr="003307CA">
          <w:rPr>
            <w:rStyle w:val="af2"/>
            <w:rFonts w:asciiTheme="minorEastAsia" w:eastAsiaTheme="minorEastAsia" w:hAnsiTheme="minorEastAsia" w:hint="eastAsia"/>
            <w:bCs/>
            <w:color w:val="auto"/>
            <w:u w:val="none"/>
          </w:rPr>
          <w:t>四、基金管理人的承诺</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34</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81" w:history="1">
        <w:r w:rsidR="00EC79FF" w:rsidRPr="003307CA">
          <w:rPr>
            <w:rStyle w:val="af2"/>
            <w:rFonts w:asciiTheme="minorEastAsia" w:eastAsiaTheme="minorEastAsia" w:hAnsiTheme="minorEastAsia" w:hint="eastAsia"/>
            <w:bCs/>
            <w:color w:val="auto"/>
            <w:u w:val="none"/>
          </w:rPr>
          <w:t>五、基金管理人的内部控制制度</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35</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82" w:history="1">
        <w:r w:rsidR="00EC79FF" w:rsidRPr="003307CA">
          <w:rPr>
            <w:rStyle w:val="af2"/>
            <w:rFonts w:asciiTheme="minorEastAsia" w:eastAsiaTheme="minorEastAsia" w:hAnsiTheme="minorEastAsia" w:hint="eastAsia"/>
            <w:color w:val="auto"/>
            <w:u w:val="none"/>
          </w:rPr>
          <w:t>第七节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基金的募集</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38</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83" w:history="1">
        <w:r w:rsidR="00EC79FF" w:rsidRPr="003307CA">
          <w:rPr>
            <w:rStyle w:val="af2"/>
            <w:rFonts w:asciiTheme="minorEastAsia" w:eastAsiaTheme="minorEastAsia" w:hAnsiTheme="minorEastAsia" w:hint="eastAsia"/>
            <w:color w:val="auto"/>
            <w:u w:val="none"/>
          </w:rPr>
          <w:t>第八节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基金合同的生效</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39</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84" w:history="1">
        <w:r w:rsidR="00EC79FF" w:rsidRPr="003307CA">
          <w:rPr>
            <w:rStyle w:val="af2"/>
            <w:rFonts w:asciiTheme="minorEastAsia" w:eastAsiaTheme="minorEastAsia" w:hAnsiTheme="minorEastAsia" w:hint="eastAsia"/>
            <w:color w:val="auto"/>
            <w:u w:val="none"/>
          </w:rPr>
          <w:t>一、基金合同生效</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39</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85" w:history="1">
        <w:r w:rsidR="00EC79FF" w:rsidRPr="003307CA">
          <w:rPr>
            <w:rStyle w:val="af2"/>
            <w:rFonts w:asciiTheme="minorEastAsia" w:eastAsiaTheme="minorEastAsia" w:hAnsiTheme="minorEastAsia" w:hint="eastAsia"/>
            <w:color w:val="auto"/>
            <w:u w:val="none"/>
          </w:rPr>
          <w:t>二、基金存续期内的基金份额持有人数量和资产规模</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39</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086" w:history="1">
        <w:r w:rsidR="00EC79FF" w:rsidRPr="003307CA">
          <w:rPr>
            <w:rStyle w:val="af2"/>
            <w:rFonts w:asciiTheme="minorEastAsia" w:eastAsiaTheme="minorEastAsia" w:hAnsiTheme="minorEastAsia" w:hint="eastAsia"/>
            <w:color w:val="auto"/>
            <w:u w:val="none"/>
          </w:rPr>
          <w:t>第九节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基金份额的申购、赎回</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87" w:history="1">
        <w:r w:rsidR="00EC79FF" w:rsidRPr="003307CA">
          <w:rPr>
            <w:rStyle w:val="af2"/>
            <w:rFonts w:asciiTheme="minorEastAsia" w:eastAsiaTheme="minorEastAsia" w:hAnsiTheme="minorEastAsia" w:hint="eastAsia"/>
            <w:color w:val="auto"/>
            <w:u w:val="none"/>
          </w:rPr>
          <w:t>一、基金投资者范围</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88" w:history="1">
        <w:r w:rsidR="00EC79FF" w:rsidRPr="003307CA">
          <w:rPr>
            <w:rStyle w:val="af2"/>
            <w:rFonts w:asciiTheme="minorEastAsia" w:eastAsiaTheme="minorEastAsia" w:hAnsiTheme="minorEastAsia" w:hint="eastAsia"/>
            <w:color w:val="auto"/>
            <w:u w:val="none"/>
          </w:rPr>
          <w:t>二、申购与赎回的场所</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89" w:history="1">
        <w:r w:rsidR="00EC79FF" w:rsidRPr="003307CA">
          <w:rPr>
            <w:rStyle w:val="af2"/>
            <w:rFonts w:asciiTheme="minorEastAsia" w:eastAsiaTheme="minorEastAsia" w:hAnsiTheme="minorEastAsia" w:hint="eastAsia"/>
            <w:color w:val="auto"/>
            <w:u w:val="none"/>
          </w:rPr>
          <w:t>三、申购和赎回的开放日及时间</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_Toc44351089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0" w:history="1">
        <w:r w:rsidR="00EC79FF" w:rsidRPr="003307CA">
          <w:rPr>
            <w:rStyle w:val="af2"/>
            <w:rFonts w:asciiTheme="minorEastAsia" w:eastAsiaTheme="minorEastAsia" w:hAnsiTheme="minorEastAsia" w:hint="eastAsia"/>
            <w:color w:val="auto"/>
            <w:u w:val="none"/>
          </w:rPr>
          <w:t>四、申购与赎回的原则</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1" w:history="1">
        <w:r w:rsidR="00EC79FF" w:rsidRPr="003307CA">
          <w:rPr>
            <w:rStyle w:val="af2"/>
            <w:rFonts w:asciiTheme="minorEastAsia" w:eastAsiaTheme="minorEastAsia" w:hAnsiTheme="minorEastAsia" w:hint="eastAsia"/>
            <w:color w:val="auto"/>
            <w:u w:val="none"/>
          </w:rPr>
          <w:t>五、申购和赎回的程序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41</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2" w:history="1">
        <w:r w:rsidR="00EC79FF" w:rsidRPr="003307CA">
          <w:rPr>
            <w:rStyle w:val="af2"/>
            <w:rFonts w:asciiTheme="minorEastAsia" w:eastAsiaTheme="minorEastAsia" w:hAnsiTheme="minorEastAsia" w:hint="eastAsia"/>
            <w:color w:val="auto"/>
            <w:u w:val="none"/>
          </w:rPr>
          <w:t>六、申购和赎回的数额限制</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41</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3" w:history="1">
        <w:r w:rsidR="00EC79FF" w:rsidRPr="003307CA">
          <w:rPr>
            <w:rStyle w:val="af2"/>
            <w:rFonts w:asciiTheme="minorEastAsia" w:eastAsiaTheme="minorEastAsia" w:hAnsiTheme="minorEastAsia" w:hint="eastAsia"/>
            <w:color w:val="auto"/>
            <w:u w:val="none"/>
          </w:rPr>
          <w:t>七、申购与赎回的费率</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4" w:history="1">
        <w:r w:rsidR="00EC79FF" w:rsidRPr="003307CA">
          <w:rPr>
            <w:rStyle w:val="af2"/>
            <w:rFonts w:asciiTheme="minorEastAsia" w:eastAsiaTheme="minorEastAsia" w:hAnsiTheme="minorEastAsia" w:hint="eastAsia"/>
            <w:color w:val="auto"/>
            <w:u w:val="none"/>
          </w:rPr>
          <w:t>八、申购份额与赎回金额的计算</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43</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5" w:history="1">
        <w:r w:rsidR="00EC79FF" w:rsidRPr="003307CA">
          <w:rPr>
            <w:rStyle w:val="af2"/>
            <w:rFonts w:asciiTheme="minorEastAsia" w:eastAsiaTheme="minorEastAsia" w:hAnsiTheme="minorEastAsia" w:hint="eastAsia"/>
            <w:color w:val="auto"/>
            <w:u w:val="none"/>
          </w:rPr>
          <w:t>九、申购和赎回的注册登记</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44</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6" w:history="1">
        <w:r w:rsidR="00EC79FF" w:rsidRPr="003307CA">
          <w:rPr>
            <w:rStyle w:val="af2"/>
            <w:rFonts w:asciiTheme="minorEastAsia" w:eastAsiaTheme="minorEastAsia" w:hAnsiTheme="minorEastAsia" w:hint="eastAsia"/>
            <w:color w:val="auto"/>
            <w:u w:val="none"/>
          </w:rPr>
          <w:t>十、拒绝或暂停申购的情形及处理方式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44</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7" w:history="1">
        <w:r w:rsidR="00EC79FF" w:rsidRPr="003307CA">
          <w:rPr>
            <w:rStyle w:val="af2"/>
            <w:rFonts w:asciiTheme="minorEastAsia" w:eastAsiaTheme="minorEastAsia" w:hAnsiTheme="minorEastAsia" w:hint="eastAsia"/>
            <w:color w:val="auto"/>
            <w:u w:val="none"/>
          </w:rPr>
          <w:t>十一、暂停赎回或者延缓支付赎回款项的情形及处理方式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8" w:history="1">
        <w:r w:rsidR="00EC79FF" w:rsidRPr="003307CA">
          <w:rPr>
            <w:rStyle w:val="af2"/>
            <w:rFonts w:asciiTheme="minorEastAsia" w:eastAsiaTheme="minorEastAsia" w:hAnsiTheme="minorEastAsia" w:hint="eastAsia"/>
            <w:color w:val="auto"/>
            <w:u w:val="none"/>
          </w:rPr>
          <w:t>十二、其他暂停申购和赎回的情形及处理方式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46</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099" w:history="1">
        <w:r w:rsidR="00EC79FF" w:rsidRPr="003307CA">
          <w:rPr>
            <w:rStyle w:val="af2"/>
            <w:rFonts w:asciiTheme="minorEastAsia" w:eastAsiaTheme="minorEastAsia" w:hAnsiTheme="minorEastAsia" w:hint="eastAsia"/>
            <w:color w:val="auto"/>
            <w:u w:val="none"/>
          </w:rPr>
          <w:t>十三、重新开放申购或赎回的公告</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_Toc44351099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46</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0" w:history="1">
        <w:r w:rsidR="00EC79FF" w:rsidRPr="003307CA">
          <w:rPr>
            <w:rStyle w:val="af2"/>
            <w:rFonts w:asciiTheme="minorEastAsia" w:eastAsiaTheme="minorEastAsia" w:hAnsiTheme="minorEastAsia" w:hint="eastAsia"/>
            <w:color w:val="auto"/>
            <w:u w:val="none"/>
          </w:rPr>
          <w:t>十四、巨额赎回的认定及处理方式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1" w:history="1">
        <w:r w:rsidR="00EC79FF" w:rsidRPr="003307CA">
          <w:rPr>
            <w:rStyle w:val="af2"/>
            <w:rFonts w:asciiTheme="minorEastAsia" w:eastAsiaTheme="minorEastAsia" w:hAnsiTheme="minorEastAsia" w:hint="eastAsia"/>
            <w:color w:val="auto"/>
            <w:u w:val="none"/>
          </w:rPr>
          <w:t>十五、基金的转换</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47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2" w:history="1">
        <w:r w:rsidR="00EC79FF" w:rsidRPr="003307CA">
          <w:rPr>
            <w:rStyle w:val="af2"/>
            <w:rFonts w:asciiTheme="minorEastAsia" w:eastAsiaTheme="minorEastAsia" w:hAnsiTheme="minorEastAsia" w:hint="eastAsia"/>
            <w:color w:val="auto"/>
            <w:u w:val="none"/>
          </w:rPr>
          <w:t>十六、转托管</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3" w:history="1">
        <w:r w:rsidR="00EC79FF" w:rsidRPr="003307CA">
          <w:rPr>
            <w:rStyle w:val="af2"/>
            <w:rFonts w:asciiTheme="minorEastAsia" w:eastAsiaTheme="minorEastAsia" w:hAnsiTheme="minorEastAsia" w:hint="eastAsia"/>
            <w:color w:val="auto"/>
            <w:u w:val="none"/>
          </w:rPr>
          <w:t>十七、基金的非交易过户</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4" w:history="1">
        <w:r w:rsidR="00EC79FF" w:rsidRPr="003307CA">
          <w:rPr>
            <w:rStyle w:val="af2"/>
            <w:rFonts w:asciiTheme="minorEastAsia" w:eastAsiaTheme="minorEastAsia" w:hAnsiTheme="minorEastAsia" w:hint="eastAsia"/>
            <w:color w:val="auto"/>
            <w:u w:val="none"/>
          </w:rPr>
          <w:t>十八、基金的冻结与解冻</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53</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05" w:history="1">
        <w:r w:rsidR="00EC79FF" w:rsidRPr="003307CA">
          <w:rPr>
            <w:rStyle w:val="af2"/>
            <w:rFonts w:asciiTheme="minorEastAsia" w:eastAsiaTheme="minorEastAsia" w:hAnsiTheme="minorEastAsia" w:hint="eastAsia"/>
            <w:color w:val="auto"/>
            <w:u w:val="none"/>
          </w:rPr>
          <w:t>第十节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基金的费用与税收</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54</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6" w:history="1">
        <w:r w:rsidR="00EC79FF" w:rsidRPr="003307CA">
          <w:rPr>
            <w:rStyle w:val="af2"/>
            <w:rFonts w:asciiTheme="minorEastAsia" w:eastAsiaTheme="minorEastAsia" w:hAnsiTheme="minorEastAsia" w:hint="eastAsia"/>
            <w:color w:val="auto"/>
            <w:u w:val="none"/>
          </w:rPr>
          <w:t>一、与基金运作相关的费用</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54</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7" w:history="1">
        <w:r w:rsidR="00EC79FF" w:rsidRPr="003307CA">
          <w:rPr>
            <w:rStyle w:val="af2"/>
            <w:rFonts w:asciiTheme="minorEastAsia" w:eastAsiaTheme="minorEastAsia" w:hAnsiTheme="minorEastAsia" w:hint="eastAsia"/>
            <w:color w:val="auto"/>
            <w:u w:val="none"/>
          </w:rPr>
          <w:t>二、与基金销售有关的费用</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08" w:history="1">
        <w:r w:rsidR="00EC79FF" w:rsidRPr="003307CA">
          <w:rPr>
            <w:rStyle w:val="af2"/>
            <w:rFonts w:asciiTheme="minorEastAsia" w:eastAsiaTheme="minorEastAsia" w:hAnsiTheme="minorEastAsia" w:hint="eastAsia"/>
            <w:color w:val="auto"/>
            <w:u w:val="none"/>
          </w:rPr>
          <w:t>三、基金税收</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57</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09" w:history="1">
        <w:r w:rsidR="00EC79FF" w:rsidRPr="003307CA">
          <w:rPr>
            <w:rStyle w:val="af2"/>
            <w:rFonts w:asciiTheme="minorEastAsia" w:eastAsiaTheme="minorEastAsia" w:hAnsiTheme="minorEastAsia" w:hint="eastAsia"/>
            <w:color w:val="auto"/>
            <w:u w:val="none"/>
          </w:rPr>
          <w:t>第十一节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基金的财产</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_Toc44351109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58</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0" w:history="1">
        <w:r w:rsidR="00EC79FF" w:rsidRPr="003307CA">
          <w:rPr>
            <w:rStyle w:val="af2"/>
            <w:rFonts w:asciiTheme="minorEastAsia" w:eastAsiaTheme="minorEastAsia" w:hAnsiTheme="minorEastAsia" w:hint="eastAsia"/>
            <w:color w:val="auto"/>
            <w:u w:val="none"/>
          </w:rPr>
          <w:t>一、基金资产总值</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58</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1" w:history="1">
        <w:r w:rsidR="00EC79FF" w:rsidRPr="003307CA">
          <w:rPr>
            <w:rStyle w:val="af2"/>
            <w:rFonts w:asciiTheme="minorEastAsia" w:eastAsiaTheme="minorEastAsia" w:hAnsiTheme="minorEastAsia" w:hint="eastAsia"/>
            <w:color w:val="auto"/>
            <w:u w:val="none"/>
          </w:rPr>
          <w:t>二、基金资产净值</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58</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2" w:history="1">
        <w:r w:rsidR="00EC79FF" w:rsidRPr="003307CA">
          <w:rPr>
            <w:rStyle w:val="af2"/>
            <w:rFonts w:asciiTheme="minorEastAsia" w:eastAsiaTheme="minorEastAsia" w:hAnsiTheme="minorEastAsia" w:hint="eastAsia"/>
            <w:color w:val="auto"/>
            <w:u w:val="none"/>
          </w:rPr>
          <w:t>三、基金财产的账户</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58</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3" w:history="1">
        <w:r w:rsidR="00EC79FF" w:rsidRPr="003307CA">
          <w:rPr>
            <w:rStyle w:val="af2"/>
            <w:rFonts w:asciiTheme="minorEastAsia" w:eastAsiaTheme="minorEastAsia" w:hAnsiTheme="minorEastAsia" w:hint="eastAsia"/>
            <w:color w:val="auto"/>
            <w:u w:val="none"/>
          </w:rPr>
          <w:t>四、基金财产的保管和处分</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58</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14" w:history="1">
        <w:r w:rsidR="00EC79FF" w:rsidRPr="003307CA">
          <w:rPr>
            <w:rStyle w:val="af2"/>
            <w:rFonts w:asciiTheme="minorEastAsia" w:eastAsiaTheme="minorEastAsia" w:hAnsiTheme="minorEastAsia" w:hint="eastAsia"/>
            <w:color w:val="auto"/>
            <w:u w:val="none"/>
          </w:rPr>
          <w:t>第十二节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基金资产估值</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5" w:history="1">
        <w:r w:rsidR="00EC79FF" w:rsidRPr="003307CA">
          <w:rPr>
            <w:rStyle w:val="af2"/>
            <w:rFonts w:asciiTheme="minorEastAsia" w:eastAsiaTheme="minorEastAsia" w:hAnsiTheme="minorEastAsia" w:hint="eastAsia"/>
            <w:color w:val="auto"/>
            <w:u w:val="none"/>
          </w:rPr>
          <w:t>一、估值目的</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6" w:history="1">
        <w:r w:rsidR="00EC79FF" w:rsidRPr="003307CA">
          <w:rPr>
            <w:rStyle w:val="af2"/>
            <w:rFonts w:asciiTheme="minorEastAsia" w:eastAsiaTheme="minorEastAsia" w:hAnsiTheme="minorEastAsia" w:hint="eastAsia"/>
            <w:color w:val="auto"/>
            <w:u w:val="none"/>
          </w:rPr>
          <w:t>二、估值日</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7" w:history="1">
        <w:r w:rsidR="00EC79FF" w:rsidRPr="003307CA">
          <w:rPr>
            <w:rStyle w:val="af2"/>
            <w:rFonts w:asciiTheme="minorEastAsia" w:eastAsiaTheme="minorEastAsia" w:hAnsiTheme="minorEastAsia" w:hint="eastAsia"/>
            <w:color w:val="auto"/>
            <w:u w:val="none"/>
          </w:rPr>
          <w:t>三、估值对象</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8" w:history="1">
        <w:r w:rsidR="00EC79FF" w:rsidRPr="003307CA">
          <w:rPr>
            <w:rStyle w:val="af2"/>
            <w:rFonts w:asciiTheme="minorEastAsia" w:eastAsiaTheme="minorEastAsia" w:hAnsiTheme="minorEastAsia" w:hint="eastAsia"/>
            <w:color w:val="auto"/>
            <w:u w:val="none"/>
          </w:rPr>
          <w:t>四、估值方法</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19" w:history="1">
        <w:r w:rsidR="00EC79FF" w:rsidRPr="003307CA">
          <w:rPr>
            <w:rStyle w:val="af2"/>
            <w:rFonts w:asciiTheme="minorEastAsia" w:eastAsiaTheme="minorEastAsia" w:hAnsiTheme="minorEastAsia" w:hint="eastAsia"/>
            <w:color w:val="auto"/>
            <w:u w:val="none"/>
          </w:rPr>
          <w:t>五、估值程序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_Toc44351119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61</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0" w:history="1">
        <w:r w:rsidR="00EC79FF" w:rsidRPr="003307CA">
          <w:rPr>
            <w:rStyle w:val="af2"/>
            <w:rFonts w:asciiTheme="minorEastAsia" w:eastAsiaTheme="minorEastAsia" w:hAnsiTheme="minorEastAsia" w:hint="eastAsia"/>
            <w:color w:val="auto"/>
            <w:u w:val="none"/>
          </w:rPr>
          <w:t>六、可暂停估值的情形</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61</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1" w:history="1">
        <w:r w:rsidR="00EC79FF" w:rsidRPr="003307CA">
          <w:rPr>
            <w:rStyle w:val="af2"/>
            <w:rFonts w:asciiTheme="minorEastAsia" w:eastAsiaTheme="minorEastAsia" w:hAnsiTheme="minorEastAsia" w:hint="eastAsia"/>
            <w:color w:val="auto"/>
            <w:u w:val="none"/>
          </w:rPr>
          <w:t>七、基金份额净值的确认和估值错误的处理</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2" w:history="1">
        <w:r w:rsidR="00EC79FF" w:rsidRPr="003307CA">
          <w:rPr>
            <w:rStyle w:val="af2"/>
            <w:rFonts w:asciiTheme="minorEastAsia" w:eastAsiaTheme="minorEastAsia" w:hAnsiTheme="minorEastAsia" w:hint="eastAsia"/>
            <w:color w:val="auto"/>
            <w:u w:val="none"/>
          </w:rPr>
          <w:t>八、特殊情形的处理</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64</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23" w:history="1">
        <w:r w:rsidR="00EC79FF" w:rsidRPr="003307CA">
          <w:rPr>
            <w:rStyle w:val="af2"/>
            <w:rFonts w:asciiTheme="minorEastAsia" w:eastAsiaTheme="minorEastAsia" w:hAnsiTheme="minorEastAsia" w:hint="eastAsia"/>
            <w:color w:val="auto"/>
            <w:u w:val="none"/>
          </w:rPr>
          <w:t>第十三节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基金的收益与分配</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4" w:history="1">
        <w:r w:rsidR="00EC79FF" w:rsidRPr="003307CA">
          <w:rPr>
            <w:rStyle w:val="af2"/>
            <w:rFonts w:asciiTheme="minorEastAsia" w:eastAsiaTheme="minorEastAsia" w:hAnsiTheme="minorEastAsia" w:hint="eastAsia"/>
            <w:color w:val="auto"/>
            <w:u w:val="none"/>
          </w:rPr>
          <w:t>一、基金利润的构成</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5" w:history="1">
        <w:r w:rsidR="00EC79FF" w:rsidRPr="003307CA">
          <w:rPr>
            <w:rStyle w:val="af2"/>
            <w:rFonts w:asciiTheme="minorEastAsia" w:eastAsiaTheme="minorEastAsia" w:hAnsiTheme="minorEastAsia" w:hint="eastAsia"/>
            <w:color w:val="auto"/>
            <w:u w:val="none"/>
          </w:rPr>
          <w:t>二、基金可供分配利润</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6" w:history="1">
        <w:r w:rsidR="00EC79FF" w:rsidRPr="003307CA">
          <w:rPr>
            <w:rStyle w:val="af2"/>
            <w:rFonts w:asciiTheme="minorEastAsia" w:eastAsiaTheme="minorEastAsia" w:hAnsiTheme="minorEastAsia" w:hint="eastAsia"/>
            <w:color w:val="auto"/>
            <w:u w:val="none"/>
          </w:rPr>
          <w:t>三、基金收益分配原则</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7" w:history="1">
        <w:r w:rsidR="00EC79FF" w:rsidRPr="003307CA">
          <w:rPr>
            <w:rStyle w:val="af2"/>
            <w:rFonts w:asciiTheme="minorEastAsia" w:eastAsiaTheme="minorEastAsia" w:hAnsiTheme="minorEastAsia" w:hint="eastAsia"/>
            <w:color w:val="auto"/>
            <w:u w:val="none"/>
          </w:rPr>
          <w:t>四、收益分配方案</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8" w:history="1">
        <w:r w:rsidR="00EC79FF" w:rsidRPr="003307CA">
          <w:rPr>
            <w:rStyle w:val="af2"/>
            <w:rFonts w:asciiTheme="minorEastAsia" w:eastAsiaTheme="minorEastAsia" w:hAnsiTheme="minorEastAsia" w:hint="eastAsia"/>
            <w:color w:val="auto"/>
            <w:u w:val="none"/>
          </w:rPr>
          <w:t>五、收益分配方案的确定、公告与实施</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65</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29" w:history="1">
        <w:r w:rsidR="00EC79FF" w:rsidRPr="003307CA">
          <w:rPr>
            <w:rStyle w:val="af2"/>
            <w:rFonts w:asciiTheme="minorEastAsia" w:eastAsiaTheme="minorEastAsia" w:hAnsiTheme="minorEastAsia" w:hint="eastAsia"/>
            <w:color w:val="auto"/>
            <w:u w:val="none"/>
          </w:rPr>
          <w:t>六、基金收益分配中发生的费用</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_Toc44351129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65</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30" w:history="1">
        <w:r w:rsidR="00EC79FF" w:rsidRPr="003307CA">
          <w:rPr>
            <w:rStyle w:val="af2"/>
            <w:rFonts w:asciiTheme="minorEastAsia" w:eastAsiaTheme="minorEastAsia" w:hAnsiTheme="minorEastAsia" w:hint="eastAsia"/>
            <w:color w:val="auto"/>
            <w:u w:val="none"/>
          </w:rPr>
          <w:t>第十四节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基金的会计与审计</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66</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1" w:history="1">
        <w:r w:rsidR="00EC79FF" w:rsidRPr="003307CA">
          <w:rPr>
            <w:rStyle w:val="af2"/>
            <w:rFonts w:asciiTheme="minorEastAsia" w:eastAsiaTheme="minorEastAsia" w:hAnsiTheme="minorEastAsia" w:hint="eastAsia"/>
            <w:color w:val="auto"/>
            <w:u w:val="none"/>
          </w:rPr>
          <w:t>一、基金会计政策</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66</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2" w:history="1">
        <w:r w:rsidR="00EC79FF" w:rsidRPr="003307CA">
          <w:rPr>
            <w:rStyle w:val="af2"/>
            <w:rFonts w:asciiTheme="minorEastAsia" w:eastAsiaTheme="minorEastAsia" w:hAnsiTheme="minorEastAsia" w:hint="eastAsia"/>
            <w:color w:val="auto"/>
            <w:u w:val="none"/>
          </w:rPr>
          <w:t>二、基金年度审计</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66</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33" w:history="1">
        <w:r w:rsidR="00EC79FF" w:rsidRPr="003307CA">
          <w:rPr>
            <w:rStyle w:val="af2"/>
            <w:rFonts w:asciiTheme="minorEastAsia" w:eastAsiaTheme="minorEastAsia" w:hAnsiTheme="minorEastAsia" w:hint="eastAsia"/>
            <w:color w:val="auto"/>
            <w:u w:val="none"/>
          </w:rPr>
          <w:t>第十五节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基金的信息披露</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4" w:history="1">
        <w:r w:rsidR="00EC79FF" w:rsidRPr="003307CA">
          <w:rPr>
            <w:rStyle w:val="af2"/>
            <w:rFonts w:asciiTheme="minorEastAsia" w:eastAsiaTheme="minorEastAsia" w:hAnsiTheme="minorEastAsia" w:hint="eastAsia"/>
            <w:color w:val="auto"/>
            <w:u w:val="none"/>
          </w:rPr>
          <w:t>一、本基金的信息披露应符合《基金法》、《运作办法》、《信息披露办法》、《基金合同》及其他有关规定。</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5" w:history="1">
        <w:r w:rsidR="00EC79FF" w:rsidRPr="003307CA">
          <w:rPr>
            <w:rStyle w:val="af2"/>
            <w:rFonts w:asciiTheme="minorEastAsia" w:eastAsiaTheme="minorEastAsia" w:hAnsiTheme="minorEastAsia" w:hint="eastAsia"/>
            <w:color w:val="auto"/>
            <w:u w:val="none"/>
          </w:rPr>
          <w:t>二、信息披露义务人</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6" w:history="1">
        <w:r w:rsidR="00EC79FF" w:rsidRPr="003307CA">
          <w:rPr>
            <w:rStyle w:val="af2"/>
            <w:rFonts w:asciiTheme="minorEastAsia" w:eastAsiaTheme="minorEastAsia" w:hAnsiTheme="minorEastAsia" w:hint="eastAsia"/>
            <w:color w:val="auto"/>
            <w:u w:val="none"/>
          </w:rPr>
          <w:t>三、本基金信息披露义务人承诺公开披露的基金信息，不得有下列行为：</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7" w:history="1">
        <w:r w:rsidR="00EC79FF" w:rsidRPr="003307CA">
          <w:rPr>
            <w:rStyle w:val="af2"/>
            <w:rFonts w:asciiTheme="minorEastAsia" w:eastAsiaTheme="minorEastAsia" w:hAnsiTheme="minorEastAsia" w:hint="eastAsia"/>
            <w:color w:val="auto"/>
            <w:u w:val="none"/>
          </w:rPr>
          <w:t>四、本基金公开披露的信息应采用中文文本。</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8" w:history="1">
        <w:r w:rsidR="00EC79FF" w:rsidRPr="003307CA">
          <w:rPr>
            <w:rStyle w:val="af2"/>
            <w:rFonts w:asciiTheme="minorEastAsia" w:eastAsiaTheme="minorEastAsia" w:hAnsiTheme="minorEastAsia" w:hint="eastAsia"/>
            <w:color w:val="auto"/>
            <w:u w:val="none"/>
          </w:rPr>
          <w:t>五、公开披露的基金信息</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67</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39" w:history="1">
        <w:r w:rsidR="00EC79FF" w:rsidRPr="003307CA">
          <w:rPr>
            <w:rStyle w:val="af2"/>
            <w:rFonts w:asciiTheme="minorEastAsia" w:eastAsiaTheme="minorEastAsia" w:hAnsiTheme="minorEastAsia" w:hint="eastAsia"/>
            <w:color w:val="auto"/>
            <w:u w:val="none"/>
          </w:rPr>
          <w:t>六、信息披露事务管理</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_Toc44351139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71</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40" w:history="1">
        <w:r w:rsidR="00EC79FF" w:rsidRPr="003307CA">
          <w:rPr>
            <w:rStyle w:val="af2"/>
            <w:rFonts w:asciiTheme="minorEastAsia" w:eastAsiaTheme="minorEastAsia" w:hAnsiTheme="minorEastAsia" w:hint="eastAsia"/>
            <w:color w:val="auto"/>
            <w:u w:val="none"/>
          </w:rPr>
          <w:t>七、信息披露文件的存放与查阅</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71</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41" w:history="1">
        <w:r w:rsidR="00EC79FF" w:rsidRPr="003307CA">
          <w:rPr>
            <w:rStyle w:val="af2"/>
            <w:rFonts w:asciiTheme="minorEastAsia" w:eastAsiaTheme="minorEastAsia" w:hAnsiTheme="minorEastAsia" w:hint="eastAsia"/>
            <w:color w:val="auto"/>
            <w:u w:val="none"/>
          </w:rPr>
          <w:t>第十六节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基金合同的终止与基金财产的清算</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72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42" w:history="1">
        <w:r w:rsidR="00EC79FF" w:rsidRPr="003307CA">
          <w:rPr>
            <w:rStyle w:val="af2"/>
            <w:rFonts w:asciiTheme="minorEastAsia" w:eastAsiaTheme="minorEastAsia" w:hAnsiTheme="minorEastAsia" w:hint="eastAsia"/>
            <w:color w:val="auto"/>
            <w:u w:val="none"/>
          </w:rPr>
          <w:t>一、基金合同的终止</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72</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43" w:history="1">
        <w:r w:rsidR="00EC79FF" w:rsidRPr="003307CA">
          <w:rPr>
            <w:rStyle w:val="af2"/>
            <w:rFonts w:asciiTheme="minorEastAsia" w:eastAsiaTheme="minorEastAsia" w:hAnsiTheme="minorEastAsia" w:hint="eastAsia"/>
            <w:color w:val="auto"/>
            <w:u w:val="none"/>
          </w:rPr>
          <w:t>二、基金财产的清算</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72</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44" w:history="1">
        <w:r w:rsidR="00EC79FF" w:rsidRPr="003307CA">
          <w:rPr>
            <w:rStyle w:val="af2"/>
            <w:rFonts w:asciiTheme="minorEastAsia" w:eastAsiaTheme="minorEastAsia" w:hAnsiTheme="minorEastAsia" w:hint="eastAsia"/>
            <w:color w:val="auto"/>
            <w:u w:val="none"/>
          </w:rPr>
          <w:t>第十七节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基金托管人</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73</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45" w:history="1">
        <w:r w:rsidR="00EC79FF" w:rsidRPr="003307CA">
          <w:rPr>
            <w:rStyle w:val="af2"/>
            <w:rFonts w:asciiTheme="minorEastAsia" w:eastAsiaTheme="minorEastAsia" w:hAnsiTheme="minorEastAsia" w:hint="eastAsia"/>
            <w:color w:val="auto"/>
            <w:u w:val="none"/>
          </w:rPr>
          <w:t>第十八节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境外资产托管人</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77</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46" w:history="1">
        <w:r w:rsidR="00EC79FF" w:rsidRPr="003307CA">
          <w:rPr>
            <w:rStyle w:val="af2"/>
            <w:rFonts w:asciiTheme="minorEastAsia" w:eastAsiaTheme="minorEastAsia" w:hAnsiTheme="minorEastAsia" w:hint="eastAsia"/>
            <w:color w:val="auto"/>
            <w:u w:val="none"/>
          </w:rPr>
          <w:t>第十九节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相关服务机构</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80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47" w:history="1">
        <w:r w:rsidR="00EC79FF" w:rsidRPr="003307CA">
          <w:rPr>
            <w:rStyle w:val="af2"/>
            <w:rFonts w:asciiTheme="minorEastAsia" w:eastAsiaTheme="minorEastAsia" w:hAnsiTheme="minorEastAsia" w:hint="eastAsia"/>
            <w:color w:val="auto"/>
            <w:u w:val="none"/>
          </w:rPr>
          <w:t>一、基金份额销售机构</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_Toc44351147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80</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48" w:history="1">
        <w:r w:rsidR="00EC79FF" w:rsidRPr="003307CA">
          <w:rPr>
            <w:rStyle w:val="af2"/>
            <w:rFonts w:asciiTheme="minorEastAsia" w:eastAsiaTheme="minorEastAsia" w:hAnsiTheme="minorEastAsia" w:hint="eastAsia"/>
            <w:color w:val="auto"/>
            <w:u w:val="none"/>
          </w:rPr>
          <w:t>二、基金注册登记机构</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_Toc44351148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134</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49" w:history="1">
        <w:r w:rsidR="00EC79FF" w:rsidRPr="003307CA">
          <w:rPr>
            <w:rStyle w:val="af2"/>
            <w:rFonts w:asciiTheme="minorEastAsia" w:eastAsiaTheme="minorEastAsia" w:hAnsiTheme="minorEastAsia" w:hint="eastAsia"/>
            <w:color w:val="auto"/>
            <w:u w:val="none"/>
          </w:rPr>
          <w:t>三、律师事务所和经办律师</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_Toc44351149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134</w:t>
        </w:r>
        <w:r w:rsidR="00EC79FF" w:rsidRPr="003307CA">
          <w:rPr>
            <w:rFonts w:asciiTheme="minorEastAsia" w:eastAsiaTheme="minorEastAsia" w:hAnsiTheme="minorEastAsia"/>
            <w:webHidden/>
          </w:rPr>
          <w:fldChar w:fldCharType="end"/>
        </w:r>
      </w:hyperlink>
    </w:p>
    <w:p w:rsidR="00EC79FF" w:rsidRPr="003307CA" w:rsidRDefault="00506788">
      <w:pPr>
        <w:pStyle w:val="20"/>
        <w:rPr>
          <w:rFonts w:asciiTheme="minorEastAsia" w:eastAsiaTheme="minorEastAsia" w:hAnsiTheme="minorEastAsia" w:cstheme="minorBidi"/>
          <w:smallCaps w:val="0"/>
          <w:szCs w:val="22"/>
        </w:rPr>
      </w:pPr>
      <w:hyperlink w:anchor="_Toc44351150" w:history="1">
        <w:r w:rsidR="00EC79FF" w:rsidRPr="003307CA">
          <w:rPr>
            <w:rStyle w:val="af2"/>
            <w:rFonts w:asciiTheme="minorEastAsia" w:eastAsiaTheme="minorEastAsia" w:hAnsiTheme="minorEastAsia" w:hint="eastAsia"/>
            <w:color w:val="auto"/>
            <w:u w:val="none"/>
          </w:rPr>
          <w:t>四、会计师事务所和经办注册会计师</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_Toc44351150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134</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260"/>
        </w:tabs>
        <w:rPr>
          <w:rFonts w:asciiTheme="minorEastAsia" w:eastAsiaTheme="minorEastAsia" w:hAnsiTheme="minorEastAsia" w:cstheme="minorBidi"/>
          <w:caps w:val="0"/>
          <w:sz w:val="21"/>
          <w:szCs w:val="22"/>
        </w:rPr>
      </w:pPr>
      <w:hyperlink w:anchor="_Toc44351151" w:history="1">
        <w:r w:rsidR="00EC79FF" w:rsidRPr="003307CA">
          <w:rPr>
            <w:rStyle w:val="af2"/>
            <w:rFonts w:asciiTheme="minorEastAsia" w:eastAsiaTheme="minorEastAsia" w:hAnsiTheme="minorEastAsia" w:hint="eastAsia"/>
            <w:color w:val="auto"/>
            <w:u w:val="none"/>
          </w:rPr>
          <w:t>第二十节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基金合同内容摘要</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_Toc44351151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135</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680"/>
        </w:tabs>
        <w:rPr>
          <w:rFonts w:asciiTheme="minorEastAsia" w:eastAsiaTheme="minorEastAsia" w:hAnsiTheme="minorEastAsia" w:cstheme="minorBidi"/>
          <w:caps w:val="0"/>
          <w:sz w:val="21"/>
          <w:szCs w:val="22"/>
        </w:rPr>
      </w:pPr>
      <w:hyperlink w:anchor="_Toc44351152" w:history="1">
        <w:r w:rsidR="00EC79FF" w:rsidRPr="003307CA">
          <w:rPr>
            <w:rStyle w:val="af2"/>
            <w:rFonts w:asciiTheme="minorEastAsia" w:eastAsiaTheme="minorEastAsia" w:hAnsiTheme="minorEastAsia" w:hint="eastAsia"/>
            <w:color w:val="auto"/>
            <w:u w:val="none"/>
          </w:rPr>
          <w:t>第二十一节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基金托管协议的内容摘要</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_Toc44351152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148</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680"/>
        </w:tabs>
        <w:rPr>
          <w:rFonts w:asciiTheme="minorEastAsia" w:eastAsiaTheme="minorEastAsia" w:hAnsiTheme="minorEastAsia" w:cstheme="minorBidi"/>
          <w:caps w:val="0"/>
          <w:sz w:val="21"/>
          <w:szCs w:val="22"/>
        </w:rPr>
      </w:pPr>
      <w:hyperlink w:anchor="_Toc44351153" w:history="1">
        <w:r w:rsidR="00EC79FF" w:rsidRPr="003307CA">
          <w:rPr>
            <w:rStyle w:val="af2"/>
            <w:rFonts w:asciiTheme="minorEastAsia" w:eastAsiaTheme="minorEastAsia" w:hAnsiTheme="minorEastAsia" w:hint="eastAsia"/>
            <w:color w:val="auto"/>
            <w:u w:val="none"/>
          </w:rPr>
          <w:t>第二十二节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对基金份额持有人的服务</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_Toc44351153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164</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680"/>
        </w:tabs>
        <w:rPr>
          <w:rFonts w:asciiTheme="minorEastAsia" w:eastAsiaTheme="minorEastAsia" w:hAnsiTheme="minorEastAsia" w:cstheme="minorBidi"/>
          <w:caps w:val="0"/>
          <w:sz w:val="21"/>
          <w:szCs w:val="22"/>
        </w:rPr>
      </w:pPr>
      <w:hyperlink w:anchor="_Toc44351154" w:history="1">
        <w:r w:rsidR="00EC79FF" w:rsidRPr="003307CA">
          <w:rPr>
            <w:rStyle w:val="af2"/>
            <w:rFonts w:asciiTheme="minorEastAsia" w:eastAsiaTheme="minorEastAsia" w:hAnsiTheme="minorEastAsia" w:hint="eastAsia"/>
            <w:color w:val="auto"/>
            <w:u w:val="none"/>
          </w:rPr>
          <w:t>第二十三节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其他应披露事项</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_Toc44351154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165</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680"/>
        </w:tabs>
        <w:rPr>
          <w:rFonts w:asciiTheme="minorEastAsia" w:eastAsiaTheme="minorEastAsia" w:hAnsiTheme="minorEastAsia" w:cstheme="minorBidi"/>
          <w:caps w:val="0"/>
          <w:sz w:val="21"/>
          <w:szCs w:val="22"/>
        </w:rPr>
      </w:pPr>
      <w:hyperlink w:anchor="_Toc44351155" w:history="1">
        <w:r w:rsidR="00EC79FF" w:rsidRPr="003307CA">
          <w:rPr>
            <w:rStyle w:val="af2"/>
            <w:rFonts w:asciiTheme="minorEastAsia" w:eastAsiaTheme="minorEastAsia" w:hAnsiTheme="minorEastAsia" w:hint="eastAsia"/>
            <w:color w:val="auto"/>
            <w:u w:val="none"/>
          </w:rPr>
          <w:t>第二十四节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招募说明书存放及查阅方式</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_Toc44351155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168</w:t>
        </w:r>
        <w:r w:rsidR="00EC79FF" w:rsidRPr="003307CA">
          <w:rPr>
            <w:rFonts w:asciiTheme="minorEastAsia" w:eastAsiaTheme="minorEastAsia" w:hAnsiTheme="minorEastAsia"/>
            <w:webHidden/>
          </w:rPr>
          <w:fldChar w:fldCharType="end"/>
        </w:r>
      </w:hyperlink>
    </w:p>
    <w:p w:rsidR="00EC79FF" w:rsidRPr="003307CA" w:rsidRDefault="00506788">
      <w:pPr>
        <w:pStyle w:val="10"/>
        <w:tabs>
          <w:tab w:val="left" w:pos="1680"/>
        </w:tabs>
        <w:rPr>
          <w:rFonts w:asciiTheme="minorEastAsia" w:eastAsiaTheme="minorEastAsia" w:hAnsiTheme="minorEastAsia" w:cstheme="minorBidi"/>
          <w:caps w:val="0"/>
          <w:sz w:val="21"/>
          <w:szCs w:val="22"/>
        </w:rPr>
      </w:pPr>
      <w:hyperlink w:anchor="_Toc44351156" w:history="1">
        <w:r w:rsidR="00EC79FF" w:rsidRPr="003307CA">
          <w:rPr>
            <w:rStyle w:val="af2"/>
            <w:rFonts w:asciiTheme="minorEastAsia" w:eastAsiaTheme="minorEastAsia" w:hAnsiTheme="minorEastAsia" w:hint="eastAsia"/>
            <w:color w:val="auto"/>
            <w:u w:val="none"/>
          </w:rPr>
          <w:t>第二十五节</w:t>
        </w:r>
        <w:r w:rsidR="00EC79FF" w:rsidRPr="003307CA">
          <w:rPr>
            <w:rFonts w:asciiTheme="minorEastAsia" w:eastAsiaTheme="minorEastAsia" w:hAnsiTheme="minorEastAsia" w:cstheme="minorBidi"/>
            <w:caps w:val="0"/>
            <w:sz w:val="21"/>
            <w:szCs w:val="22"/>
          </w:rPr>
          <w:tab/>
        </w:r>
        <w:r w:rsidR="00EC79FF" w:rsidRPr="003307CA">
          <w:rPr>
            <w:rStyle w:val="af2"/>
            <w:rFonts w:asciiTheme="minorEastAsia" w:eastAsiaTheme="minorEastAsia" w:hAnsiTheme="minorEastAsia" w:hint="eastAsia"/>
            <w:color w:val="auto"/>
            <w:u w:val="none"/>
          </w:rPr>
          <w:t>备查文</w:t>
        </w:r>
        <w:r w:rsidR="00EC79FF" w:rsidRPr="003307CA">
          <w:rPr>
            <w:rStyle w:val="af2"/>
            <w:rFonts w:asciiTheme="minorEastAsia" w:eastAsiaTheme="minorEastAsia" w:hAnsiTheme="minorEastAsia" w:hint="eastAsia"/>
            <w:color w:val="auto"/>
            <w:u w:val="none"/>
          </w:rPr>
          <w:t>件</w:t>
        </w:r>
        <w:r w:rsidR="00EC79FF" w:rsidRPr="003307CA">
          <w:rPr>
            <w:rFonts w:asciiTheme="minorEastAsia" w:eastAsiaTheme="minorEastAsia" w:hAnsiTheme="minorEastAsia"/>
            <w:webHidden/>
          </w:rPr>
          <w:tab/>
        </w:r>
        <w:r w:rsidR="00EC79FF" w:rsidRPr="003307CA">
          <w:rPr>
            <w:rFonts w:asciiTheme="minorEastAsia" w:eastAsiaTheme="minorEastAsia" w:hAnsiTheme="minorEastAsia"/>
            <w:webHidden/>
          </w:rPr>
          <w:fldChar w:fldCharType="begin"/>
        </w:r>
        <w:r w:rsidR="00EC79FF" w:rsidRPr="003307CA">
          <w:rPr>
            <w:rFonts w:asciiTheme="minorEastAsia" w:eastAsiaTheme="minorEastAsia" w:hAnsiTheme="minorEastAsia"/>
            <w:webHidden/>
          </w:rPr>
          <w:instrText xml:space="preserve"> PAGEREF _Toc44351156 \h </w:instrText>
        </w:r>
        <w:r w:rsidR="00EC79FF" w:rsidRPr="003307CA">
          <w:rPr>
            <w:rFonts w:asciiTheme="minorEastAsia" w:eastAsiaTheme="minorEastAsia" w:hAnsiTheme="minorEastAsia"/>
            <w:webHidden/>
          </w:rPr>
        </w:r>
        <w:r w:rsidR="00EC79FF" w:rsidRPr="003307CA">
          <w:rPr>
            <w:rFonts w:asciiTheme="minorEastAsia" w:eastAsiaTheme="minorEastAsia" w:hAnsiTheme="minorEastAsia"/>
            <w:webHidden/>
          </w:rPr>
          <w:fldChar w:fldCharType="separate"/>
        </w:r>
        <w:r w:rsidR="003553DB">
          <w:rPr>
            <w:rFonts w:asciiTheme="minorEastAsia" w:eastAsiaTheme="minorEastAsia" w:hAnsiTheme="minorEastAsia"/>
            <w:webHidden/>
          </w:rPr>
          <w:t>169</w:t>
        </w:r>
        <w:r w:rsidR="00EC79FF" w:rsidRPr="003307CA">
          <w:rPr>
            <w:rFonts w:asciiTheme="minorEastAsia" w:eastAsiaTheme="minorEastAsia" w:hAnsiTheme="minorEastAsia"/>
            <w:webHidden/>
          </w:rPr>
          <w:fldChar w:fldCharType="end"/>
        </w:r>
      </w:hyperlink>
    </w:p>
    <w:p w:rsidR="0064594E" w:rsidRPr="003307CA" w:rsidRDefault="000E5F6B" w:rsidP="00CE3F81">
      <w:pPr>
        <w:snapToGrid w:val="0"/>
        <w:spacing w:line="360" w:lineRule="auto"/>
        <w:ind w:firstLineChars="200" w:firstLine="482"/>
        <w:jc w:val="center"/>
        <w:rPr>
          <w:rFonts w:asciiTheme="minorEastAsia" w:eastAsiaTheme="minorEastAsia" w:hAnsiTheme="minorEastAsia"/>
          <w:szCs w:val="21"/>
        </w:rPr>
        <w:sectPr w:rsidR="0064594E" w:rsidRPr="003307CA" w:rsidSect="00DA31A9">
          <w:footerReference w:type="default" r:id="rId15"/>
          <w:pgSz w:w="11906" w:h="16838" w:code="9"/>
          <w:pgMar w:top="1701" w:right="1814" w:bottom="1701" w:left="1814" w:header="1134" w:footer="1247" w:gutter="0"/>
          <w:pgNumType w:fmt="upperRoman" w:start="1"/>
          <w:cols w:space="425"/>
          <w:docGrid w:type="lines" w:linePitch="447"/>
        </w:sectPr>
      </w:pPr>
      <w:r w:rsidRPr="003307CA">
        <w:rPr>
          <w:rFonts w:asciiTheme="minorEastAsia" w:eastAsiaTheme="minorEastAsia" w:hAnsiTheme="minorEastAsia"/>
          <w:b/>
          <w:caps/>
          <w:noProof/>
          <w:sz w:val="24"/>
          <w:szCs w:val="21"/>
        </w:rPr>
        <w:fldChar w:fldCharType="end"/>
      </w:r>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0" w:name="_Toc38432421"/>
      <w:bookmarkStart w:id="1" w:name="_Toc44351058"/>
      <w:r w:rsidRPr="003307CA">
        <w:rPr>
          <w:rFonts w:asciiTheme="minorEastAsia" w:eastAsiaTheme="minorEastAsia" w:hAnsiTheme="minorEastAsia" w:hint="eastAsia"/>
        </w:rPr>
        <w:lastRenderedPageBreak/>
        <w:t>绪言</w:t>
      </w:r>
      <w:bookmarkEnd w:id="0"/>
      <w:bookmarkEnd w:id="1"/>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w:t>
      </w:r>
      <w:r w:rsidR="006638C9" w:rsidRPr="003307CA">
        <w:rPr>
          <w:rFonts w:asciiTheme="minorEastAsia" w:eastAsiaTheme="minorEastAsia" w:hAnsiTheme="minorEastAsia" w:hint="eastAsia"/>
          <w:szCs w:val="21"/>
        </w:rPr>
        <w:t>公开募集</w:t>
      </w:r>
      <w:r w:rsidRPr="003307CA">
        <w:rPr>
          <w:rFonts w:asciiTheme="minorEastAsia" w:eastAsiaTheme="minorEastAsia" w:hAnsiTheme="minorEastAsia" w:hint="eastAsia"/>
          <w:szCs w:val="21"/>
        </w:rPr>
        <w:t>证券投资基金信息披露管理办法》（以下简称《信息披露办法》）、</w:t>
      </w:r>
      <w:r w:rsidRPr="003307CA">
        <w:rPr>
          <w:rFonts w:asciiTheme="minorEastAsia" w:eastAsiaTheme="minorEastAsia" w:hAnsiTheme="minorEastAsia" w:hint="eastAsia"/>
        </w:rPr>
        <w:t>《证券投资基金信息披露内容与格式准则第</w:t>
      </w:r>
      <w:r w:rsidRPr="003307CA">
        <w:rPr>
          <w:rFonts w:asciiTheme="minorEastAsia" w:eastAsiaTheme="minorEastAsia" w:hAnsiTheme="minorEastAsia"/>
        </w:rPr>
        <w:t>5</w:t>
      </w:r>
      <w:r w:rsidRPr="003307CA">
        <w:rPr>
          <w:rFonts w:asciiTheme="minorEastAsia" w:eastAsiaTheme="minorEastAsia" w:hAnsiTheme="minorEastAsia" w:hint="eastAsia"/>
        </w:rPr>
        <w:t>号</w:t>
      </w:r>
      <w:r w:rsidRPr="003307CA">
        <w:rPr>
          <w:rFonts w:asciiTheme="minorEastAsia" w:eastAsiaTheme="minorEastAsia" w:hAnsiTheme="minorEastAsia"/>
        </w:rPr>
        <w:t>&lt;</w:t>
      </w:r>
      <w:r w:rsidRPr="003307CA">
        <w:rPr>
          <w:rFonts w:asciiTheme="minorEastAsia" w:eastAsiaTheme="minorEastAsia" w:hAnsiTheme="minorEastAsia" w:hint="eastAsia"/>
        </w:rPr>
        <w:t>招募说明书的内容与格式</w:t>
      </w:r>
      <w:r w:rsidRPr="003307CA">
        <w:rPr>
          <w:rFonts w:asciiTheme="minorEastAsia" w:eastAsiaTheme="minorEastAsia" w:hAnsiTheme="minorEastAsia"/>
        </w:rPr>
        <w:t>&gt;</w:t>
      </w:r>
      <w:r w:rsidRPr="003307CA">
        <w:rPr>
          <w:rFonts w:asciiTheme="minorEastAsia" w:eastAsiaTheme="minorEastAsia" w:hAnsiTheme="minorEastAsia" w:hint="eastAsia"/>
        </w:rPr>
        <w:t>》、《合格境内机构投资者境外证券投资管理试行办法》（以下简称“《试行办法》”）</w:t>
      </w:r>
      <w:r w:rsidR="00CA5178" w:rsidRPr="003307CA">
        <w:rPr>
          <w:rFonts w:asciiTheme="minorEastAsia" w:eastAsiaTheme="minorEastAsia" w:hAnsiTheme="minorEastAsia" w:hint="eastAsia"/>
        </w:rPr>
        <w:t>、《</w:t>
      </w:r>
      <w:r w:rsidR="00CA5178" w:rsidRPr="003307CA">
        <w:rPr>
          <w:rFonts w:asciiTheme="minorEastAsia" w:eastAsiaTheme="minorEastAsia" w:hAnsiTheme="minorEastAsia" w:cs="Arial"/>
          <w:bCs/>
          <w:szCs w:val="21"/>
        </w:rPr>
        <w:t>关于实施</w:t>
      </w:r>
      <w:r w:rsidR="00CA5178" w:rsidRPr="003307CA">
        <w:rPr>
          <w:rFonts w:asciiTheme="minorEastAsia" w:eastAsiaTheme="minorEastAsia" w:hAnsiTheme="minorEastAsia" w:cs="Arial" w:hint="eastAsia"/>
          <w:bCs/>
          <w:szCs w:val="21"/>
        </w:rPr>
        <w:t>&lt;</w:t>
      </w:r>
      <w:r w:rsidR="00CA5178" w:rsidRPr="003307CA">
        <w:rPr>
          <w:rFonts w:asciiTheme="minorEastAsia" w:eastAsiaTheme="minorEastAsia" w:hAnsiTheme="minorEastAsia" w:cs="Arial"/>
          <w:bCs/>
          <w:szCs w:val="21"/>
        </w:rPr>
        <w:t>合格境内机构投资者境外证券投资管理试行办法</w:t>
      </w:r>
      <w:r w:rsidR="00CA5178" w:rsidRPr="003307CA">
        <w:rPr>
          <w:rFonts w:asciiTheme="minorEastAsia" w:eastAsiaTheme="minorEastAsia" w:hAnsiTheme="minorEastAsia" w:cs="Arial" w:hint="eastAsia"/>
          <w:bCs/>
          <w:szCs w:val="21"/>
        </w:rPr>
        <w:t>&gt;</w:t>
      </w:r>
      <w:r w:rsidR="00CA5178" w:rsidRPr="003307CA">
        <w:rPr>
          <w:rFonts w:asciiTheme="minorEastAsia" w:eastAsiaTheme="minorEastAsia" w:hAnsiTheme="minorEastAsia" w:cs="Arial"/>
          <w:bCs/>
          <w:szCs w:val="21"/>
        </w:rPr>
        <w:t>有关问题的通知</w:t>
      </w:r>
      <w:r w:rsidR="00CA5178" w:rsidRPr="003307CA">
        <w:rPr>
          <w:rFonts w:asciiTheme="minorEastAsia" w:eastAsiaTheme="minorEastAsia" w:hAnsiTheme="minorEastAsia" w:cs="Arial" w:hint="eastAsia"/>
          <w:bCs/>
          <w:szCs w:val="21"/>
        </w:rPr>
        <w:t>》（以下简称《通知》</w:t>
      </w:r>
      <w:r w:rsidR="00175D5A" w:rsidRPr="003307CA">
        <w:rPr>
          <w:rFonts w:asciiTheme="minorEastAsia" w:eastAsiaTheme="minorEastAsia" w:hAnsiTheme="minorEastAsia" w:cs="Arial" w:hint="eastAsia"/>
          <w:bCs/>
          <w:szCs w:val="21"/>
        </w:rPr>
        <w:t>、</w:t>
      </w:r>
      <w:r w:rsidR="00175D5A" w:rsidRPr="003307CA">
        <w:rPr>
          <w:rFonts w:asciiTheme="minorEastAsia" w:eastAsiaTheme="minorEastAsia" w:hAnsiTheme="minorEastAsia" w:cs="Arial"/>
          <w:bCs/>
          <w:szCs w:val="21"/>
        </w:rPr>
        <w:t>《</w:t>
      </w:r>
      <w:r w:rsidR="00175D5A" w:rsidRPr="003307CA">
        <w:rPr>
          <w:rFonts w:asciiTheme="minorEastAsia" w:eastAsiaTheme="minorEastAsia" w:hAnsiTheme="minorEastAsia" w:cs="Arial" w:hint="eastAsia"/>
          <w:bCs/>
          <w:szCs w:val="21"/>
        </w:rPr>
        <w:t>公开募集开放式证券投资基金流动性风险管理规定</w:t>
      </w:r>
      <w:r w:rsidR="00175D5A" w:rsidRPr="003307CA">
        <w:rPr>
          <w:rFonts w:asciiTheme="minorEastAsia" w:eastAsiaTheme="minorEastAsia" w:hAnsiTheme="minorEastAsia" w:cs="Arial"/>
          <w:bCs/>
          <w:szCs w:val="21"/>
        </w:rPr>
        <w:t>》</w:t>
      </w:r>
      <w:r w:rsidR="00175D5A" w:rsidRPr="003307CA">
        <w:rPr>
          <w:rFonts w:asciiTheme="minorEastAsia" w:eastAsiaTheme="minorEastAsia" w:hAnsiTheme="minorEastAsia" w:cs="Arial" w:hint="eastAsia"/>
          <w:bCs/>
          <w:szCs w:val="21"/>
        </w:rPr>
        <w:t>（</w:t>
      </w:r>
      <w:r w:rsidR="00175D5A" w:rsidRPr="003307CA">
        <w:rPr>
          <w:rFonts w:asciiTheme="minorEastAsia" w:eastAsiaTheme="minorEastAsia" w:hAnsiTheme="minorEastAsia" w:cs="Arial"/>
          <w:bCs/>
          <w:szCs w:val="21"/>
        </w:rPr>
        <w:t>以下简称</w:t>
      </w:r>
      <w:r w:rsidR="00175D5A" w:rsidRPr="003307CA">
        <w:rPr>
          <w:rFonts w:asciiTheme="minorEastAsia" w:eastAsiaTheme="minorEastAsia" w:hAnsiTheme="minorEastAsia" w:cs="Arial" w:hint="eastAsia"/>
          <w:bCs/>
          <w:szCs w:val="21"/>
        </w:rPr>
        <w:t>《管理</w:t>
      </w:r>
      <w:r w:rsidR="00175D5A" w:rsidRPr="003307CA">
        <w:rPr>
          <w:rFonts w:asciiTheme="minorEastAsia" w:eastAsiaTheme="minorEastAsia" w:hAnsiTheme="minorEastAsia" w:cs="Arial"/>
          <w:bCs/>
          <w:szCs w:val="21"/>
        </w:rPr>
        <w:t>规定》</w:t>
      </w:r>
      <w:r w:rsidR="00175D5A" w:rsidRPr="003307CA">
        <w:rPr>
          <w:rFonts w:asciiTheme="minorEastAsia" w:eastAsiaTheme="minorEastAsia" w:hAnsiTheme="minorEastAsia" w:cs="Arial" w:hint="eastAsia"/>
          <w:bCs/>
          <w:szCs w:val="21"/>
        </w:rPr>
        <w:t>）</w:t>
      </w:r>
      <w:r w:rsidRPr="003307CA">
        <w:rPr>
          <w:rFonts w:asciiTheme="minorEastAsia" w:eastAsiaTheme="minorEastAsia" w:hAnsiTheme="minorEastAsia" w:hint="eastAsia"/>
          <w:szCs w:val="21"/>
        </w:rPr>
        <w:t>等有关法律法规以及《易方达</w:t>
      </w:r>
      <w:r w:rsidR="00416014" w:rsidRPr="003307CA">
        <w:rPr>
          <w:rFonts w:asciiTheme="minorEastAsia" w:eastAsiaTheme="minorEastAsia" w:hAnsiTheme="minorEastAsia" w:hint="eastAsia"/>
          <w:szCs w:val="21"/>
        </w:rPr>
        <w:t>亚洲精选</w:t>
      </w:r>
      <w:r w:rsidRPr="003307CA">
        <w:rPr>
          <w:rFonts w:asciiTheme="minorEastAsia" w:eastAsiaTheme="minorEastAsia" w:hAnsiTheme="minorEastAsia" w:hint="eastAsia"/>
          <w:szCs w:val="21"/>
        </w:rPr>
        <w:t>股票型证券投资基金基金合同》编写。</w:t>
      </w:r>
    </w:p>
    <w:p w:rsidR="0064594E" w:rsidRPr="003307CA" w:rsidRDefault="0064594E" w:rsidP="00CE3F81">
      <w:pPr>
        <w:snapToGrid w:val="0"/>
        <w:spacing w:line="360" w:lineRule="auto"/>
        <w:ind w:firstLineChars="200" w:firstLine="420"/>
        <w:rPr>
          <w:rStyle w:val="da"/>
          <w:rFonts w:asciiTheme="minorEastAsia" w:eastAsiaTheme="minorEastAsia" w:hAnsiTheme="minorEastAsia"/>
        </w:rPr>
      </w:pPr>
      <w:r w:rsidRPr="003307CA">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3307CA">
        <w:rPr>
          <w:rStyle w:val="da"/>
          <w:rFonts w:asciiTheme="minorEastAsia" w:eastAsiaTheme="minorEastAsia" w:hAnsiTheme="minorEastAsia" w:hint="eastAsia"/>
        </w:rPr>
        <w:t>，</w:t>
      </w:r>
      <w:r w:rsidRPr="003307CA">
        <w:rPr>
          <w:rStyle w:val="da"/>
          <w:rFonts w:asciiTheme="minorEastAsia" w:eastAsiaTheme="minorEastAsia" w:hAnsiTheme="minorEastAsia"/>
        </w:rPr>
        <w:t>或对本招募说明书作任何解释或者说明。</w:t>
      </w:r>
    </w:p>
    <w:p w:rsidR="0064594E" w:rsidRPr="003307CA" w:rsidRDefault="0064594E" w:rsidP="00CE3F81">
      <w:pPr>
        <w:snapToGrid w:val="0"/>
        <w:spacing w:line="360" w:lineRule="auto"/>
        <w:ind w:firstLineChars="200" w:firstLine="420"/>
        <w:rPr>
          <w:rStyle w:val="da"/>
          <w:rFonts w:asciiTheme="minorEastAsia" w:eastAsiaTheme="minorEastAsia" w:hAnsiTheme="minorEastAsia"/>
        </w:rPr>
      </w:pPr>
      <w:r w:rsidRPr="003307CA">
        <w:rPr>
          <w:rStyle w:val="da"/>
          <w:rFonts w:asciiTheme="minorEastAsia" w:eastAsiaTheme="minorEastAsia" w:hAnsiTheme="minorEastAsia"/>
        </w:rPr>
        <w:t>本招募说明书根据本基金的基金合同编写</w:t>
      </w:r>
      <w:r w:rsidRPr="003307CA">
        <w:rPr>
          <w:rStyle w:val="da"/>
          <w:rFonts w:asciiTheme="minorEastAsia" w:eastAsiaTheme="minorEastAsia" w:hAnsiTheme="minorEastAsia" w:hint="eastAsia"/>
        </w:rPr>
        <w:t>，</w:t>
      </w:r>
      <w:r w:rsidRPr="003307CA">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3307CA">
        <w:rPr>
          <w:rStyle w:val="da"/>
          <w:rFonts w:asciiTheme="minorEastAsia" w:eastAsiaTheme="minorEastAsia" w:hAnsiTheme="minorEastAsia" w:hint="eastAsia"/>
        </w:rPr>
        <w:t>，</w:t>
      </w:r>
      <w:r w:rsidRPr="003307CA">
        <w:rPr>
          <w:rStyle w:val="da"/>
          <w:rFonts w:asciiTheme="minorEastAsia" w:eastAsiaTheme="minorEastAsia" w:hAnsiTheme="minorEastAsia"/>
        </w:rPr>
        <w:t>即成为基金份额持有人和本基金合同的当事人</w:t>
      </w:r>
      <w:r w:rsidRPr="003307CA">
        <w:rPr>
          <w:rStyle w:val="da"/>
          <w:rFonts w:asciiTheme="minorEastAsia" w:eastAsiaTheme="minorEastAsia" w:hAnsiTheme="minorEastAsia" w:hint="eastAsia"/>
        </w:rPr>
        <w:t>，</w:t>
      </w:r>
      <w:r w:rsidRPr="003307CA">
        <w:rPr>
          <w:rStyle w:val="da"/>
          <w:rFonts w:asciiTheme="minorEastAsia" w:eastAsiaTheme="minorEastAsia" w:hAnsiTheme="minorEastAsia"/>
        </w:rPr>
        <w:t>其持有基金份额的行为本身即表明其对基金合同的承认和接受</w:t>
      </w:r>
      <w:r w:rsidRPr="003307CA">
        <w:rPr>
          <w:rStyle w:val="da"/>
          <w:rFonts w:asciiTheme="minorEastAsia" w:eastAsiaTheme="minorEastAsia" w:hAnsiTheme="minorEastAsia" w:hint="eastAsia"/>
        </w:rPr>
        <w:t>，</w:t>
      </w:r>
      <w:r w:rsidRPr="003307CA">
        <w:rPr>
          <w:rStyle w:val="da"/>
          <w:rFonts w:asciiTheme="minorEastAsia" w:eastAsiaTheme="minorEastAsia" w:hAnsiTheme="minorEastAsia"/>
        </w:rPr>
        <w:t>并按照《基金法》、基金合同及其他有关规定享有权利、承担义务。基金投资者欲了解基金份额持有人的权利和义务</w:t>
      </w:r>
      <w:r w:rsidRPr="003307CA">
        <w:rPr>
          <w:rStyle w:val="da"/>
          <w:rFonts w:asciiTheme="minorEastAsia" w:eastAsiaTheme="minorEastAsia" w:hAnsiTheme="minorEastAsia" w:hint="eastAsia"/>
        </w:rPr>
        <w:t>，</w:t>
      </w:r>
      <w:r w:rsidRPr="003307CA">
        <w:rPr>
          <w:rStyle w:val="da"/>
          <w:rFonts w:asciiTheme="minorEastAsia" w:eastAsiaTheme="minorEastAsia" w:hAnsiTheme="minorEastAsia"/>
        </w:rPr>
        <w:t>应详细查阅基金合同</w:t>
      </w:r>
      <w:r w:rsidRPr="003307CA">
        <w:rPr>
          <w:rStyle w:val="da"/>
          <w:rFonts w:asciiTheme="minorEastAsia" w:eastAsiaTheme="minorEastAsia" w:hAnsiTheme="minorEastAsia" w:hint="eastAsia"/>
        </w:rPr>
        <w:t>。</w:t>
      </w:r>
    </w:p>
    <w:p w:rsidR="0064594E" w:rsidRPr="003307CA" w:rsidRDefault="0064594E" w:rsidP="00CE3F81">
      <w:pPr>
        <w:snapToGrid w:val="0"/>
        <w:spacing w:line="360" w:lineRule="auto"/>
        <w:ind w:firstLineChars="200" w:firstLine="422"/>
        <w:rPr>
          <w:rFonts w:asciiTheme="minorEastAsia" w:eastAsiaTheme="minorEastAsia" w:hAnsiTheme="minorEastAsia"/>
          <w:b/>
          <w:szCs w:val="21"/>
        </w:rPr>
      </w:pPr>
    </w:p>
    <w:p w:rsidR="0064594E" w:rsidRPr="003307CA" w:rsidRDefault="0064594E" w:rsidP="00CE3F81">
      <w:pPr>
        <w:snapToGrid w:val="0"/>
        <w:spacing w:line="360" w:lineRule="auto"/>
        <w:ind w:firstLineChars="200" w:firstLine="422"/>
        <w:rPr>
          <w:rFonts w:asciiTheme="minorEastAsia" w:eastAsiaTheme="minorEastAsia" w:hAnsiTheme="minorEastAsia"/>
          <w:b/>
          <w:szCs w:val="21"/>
        </w:rPr>
      </w:pPr>
    </w:p>
    <w:p w:rsidR="000B0139" w:rsidRPr="003307CA" w:rsidRDefault="000B0139"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0B0139" w:rsidRPr="003307CA">
          <w:footerReference w:type="default" r:id="rId16"/>
          <w:pgSz w:w="11906" w:h="16838" w:code="9"/>
          <w:pgMar w:top="1440" w:right="1800" w:bottom="1440" w:left="1800" w:header="851" w:footer="992" w:gutter="0"/>
          <w:pgNumType w:start="1"/>
          <w:cols w:space="425"/>
          <w:docGrid w:type="lines" w:linePitch="312"/>
        </w:sectPr>
      </w:pPr>
      <w:bookmarkStart w:id="2" w:name="_Toc38432422"/>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3" w:name="_Toc44351059"/>
      <w:r w:rsidRPr="003307CA">
        <w:rPr>
          <w:rFonts w:asciiTheme="minorEastAsia" w:eastAsiaTheme="minorEastAsia" w:hAnsiTheme="minorEastAsia" w:hint="eastAsia"/>
        </w:rPr>
        <w:lastRenderedPageBreak/>
        <w:t>释义</w:t>
      </w:r>
      <w:bookmarkEnd w:id="2"/>
      <w:bookmarkEnd w:id="3"/>
    </w:p>
    <w:p w:rsidR="00BD70FA" w:rsidRPr="003307CA" w:rsidRDefault="00BD70FA" w:rsidP="00CE3F81">
      <w:pPr>
        <w:snapToGrid w:val="0"/>
        <w:spacing w:line="360" w:lineRule="auto"/>
        <w:ind w:firstLine="480"/>
        <w:rPr>
          <w:rFonts w:asciiTheme="minorEastAsia" w:eastAsiaTheme="minorEastAsia" w:hAnsiTheme="minorEastAsia"/>
          <w:szCs w:val="21"/>
        </w:rPr>
      </w:pPr>
      <w:r w:rsidRPr="003307CA">
        <w:rPr>
          <w:rFonts w:asciiTheme="minorEastAsia" w:eastAsiaTheme="minorEastAsia" w:hAnsiTheme="minorEastAsia" w:hint="eastAsia"/>
          <w:szCs w:val="21"/>
        </w:rPr>
        <w:t>本《招募说明书》中除非文意另有所指</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下列词语有如下含义：</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《基金合同》</w:t>
      </w:r>
      <w:r w:rsidRPr="003307CA">
        <w:rPr>
          <w:rFonts w:asciiTheme="minorEastAsia" w:eastAsiaTheme="minorEastAsia" w:hAnsiTheme="minorEastAsia" w:hint="eastAsia"/>
        </w:rPr>
        <w:tab/>
        <w:t>指《易方达亚洲精选股票型证券投资基金基金合同》及对合同的任何有效的修订和补充</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中国</w:t>
      </w:r>
      <w:r w:rsidRPr="003307CA">
        <w:rPr>
          <w:rFonts w:asciiTheme="minorEastAsia" w:eastAsiaTheme="minorEastAsia" w:hAnsiTheme="minorEastAsia" w:hint="eastAsia"/>
        </w:rPr>
        <w:tab/>
        <w:t>指中华人民共和国</w:t>
      </w:r>
      <w:r w:rsidRPr="003307CA">
        <w:rPr>
          <w:rFonts w:asciiTheme="minorEastAsia" w:eastAsiaTheme="minorEastAsia" w:hAnsiTheme="minorEastAsia"/>
        </w:rPr>
        <w:t>(</w:t>
      </w:r>
      <w:r w:rsidRPr="003307CA">
        <w:rPr>
          <w:rFonts w:asciiTheme="minorEastAsia" w:eastAsiaTheme="minorEastAsia" w:hAnsiTheme="minorEastAsia" w:hint="eastAsia"/>
        </w:rPr>
        <w:t>仅为《基金合同》目的不包括香港特别行政区、澳门特别行政区及台湾地区</w:t>
      </w:r>
      <w:r w:rsidRPr="003307CA">
        <w:rPr>
          <w:rFonts w:asciiTheme="minorEastAsia" w:eastAsiaTheme="minorEastAsia" w:hAnsiTheme="minorEastAsia"/>
        </w:rPr>
        <w:t>)</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kern w:val="0"/>
          <w:szCs w:val="21"/>
        </w:rPr>
      </w:pPr>
      <w:r w:rsidRPr="003307CA">
        <w:rPr>
          <w:rFonts w:asciiTheme="minorEastAsia" w:eastAsiaTheme="minorEastAsia" w:hAnsiTheme="minorEastAsia" w:hint="eastAsia"/>
        </w:rPr>
        <w:t>法律法规</w:t>
      </w:r>
      <w:r w:rsidRPr="003307CA">
        <w:rPr>
          <w:rFonts w:asciiTheme="minorEastAsia" w:eastAsiaTheme="minorEastAsia" w:hAnsiTheme="minorEastAsia" w:hint="eastAsia"/>
        </w:rPr>
        <w:tab/>
        <w:t>指中国现时有效并公布实施的法律、行政法规、部门规章及规范性文件</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《基金法》</w:t>
      </w:r>
      <w:r w:rsidRPr="003307CA">
        <w:rPr>
          <w:rFonts w:asciiTheme="minorEastAsia" w:eastAsiaTheme="minorEastAsia" w:hAnsiTheme="minorEastAsia" w:hint="eastAsia"/>
        </w:rPr>
        <w:tab/>
        <w:t>指《中华人民共和国证券投资基金法》</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《销售办法》</w:t>
      </w:r>
      <w:r w:rsidRPr="003307CA">
        <w:rPr>
          <w:rFonts w:asciiTheme="minorEastAsia" w:eastAsiaTheme="minorEastAsia" w:hAnsiTheme="minorEastAsia" w:hint="eastAsia"/>
        </w:rPr>
        <w:tab/>
        <w:t>指《证券投资基金销售管理办法》</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《运作办法》</w:t>
      </w:r>
      <w:r w:rsidRPr="003307CA">
        <w:rPr>
          <w:rFonts w:asciiTheme="minorEastAsia" w:eastAsiaTheme="minorEastAsia" w:hAnsiTheme="minorEastAsia" w:hint="eastAsia"/>
        </w:rPr>
        <w:tab/>
        <w:t>指《证券投资基金运作管理办法》</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《信息披露办法》</w:t>
      </w:r>
      <w:r w:rsidRPr="003307CA">
        <w:rPr>
          <w:rFonts w:asciiTheme="minorEastAsia" w:eastAsiaTheme="minorEastAsia" w:hAnsiTheme="minorEastAsia" w:hint="eastAsia"/>
        </w:rPr>
        <w:tab/>
        <w:t>指《</w:t>
      </w:r>
      <w:r w:rsidR="00394A08" w:rsidRPr="003307CA">
        <w:rPr>
          <w:rFonts w:asciiTheme="minorEastAsia" w:eastAsiaTheme="minorEastAsia" w:hAnsiTheme="minorEastAsia" w:hint="eastAsia"/>
        </w:rPr>
        <w:t>公开募集</w:t>
      </w:r>
      <w:r w:rsidRPr="003307CA">
        <w:rPr>
          <w:rFonts w:asciiTheme="minorEastAsia" w:eastAsiaTheme="minorEastAsia" w:hAnsiTheme="minorEastAsia" w:hint="eastAsia"/>
        </w:rPr>
        <w:t>证券投资基金信息披露管理办法》</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《试行办法》</w:t>
      </w:r>
      <w:r w:rsidRPr="003307CA">
        <w:rPr>
          <w:rFonts w:asciiTheme="minorEastAsia" w:eastAsiaTheme="minorEastAsia" w:hAnsiTheme="minorEastAsia" w:hint="eastAsia"/>
        </w:rPr>
        <w:tab/>
        <w:t>指《合格境内机构投资者境外证券投资管理试行办法》</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cs="Arial" w:hint="eastAsia"/>
          <w:bCs/>
          <w:szCs w:val="21"/>
        </w:rPr>
        <w:t>《通知》</w:t>
      </w:r>
      <w:r w:rsidRPr="003307CA">
        <w:rPr>
          <w:rFonts w:asciiTheme="minorEastAsia" w:eastAsiaTheme="minorEastAsia" w:hAnsiTheme="minorEastAsia" w:cs="Arial" w:hint="eastAsia"/>
          <w:bCs/>
          <w:szCs w:val="21"/>
        </w:rPr>
        <w:tab/>
        <w:t>指</w:t>
      </w:r>
      <w:r w:rsidRPr="003307CA">
        <w:rPr>
          <w:rFonts w:asciiTheme="minorEastAsia" w:eastAsiaTheme="minorEastAsia" w:hAnsiTheme="minorEastAsia" w:hint="eastAsia"/>
        </w:rPr>
        <w:t>《</w:t>
      </w:r>
      <w:r w:rsidRPr="003307CA">
        <w:rPr>
          <w:rFonts w:asciiTheme="minorEastAsia" w:eastAsiaTheme="minorEastAsia" w:hAnsiTheme="minorEastAsia" w:cs="Arial"/>
          <w:bCs/>
          <w:szCs w:val="21"/>
        </w:rPr>
        <w:t>关于实施</w:t>
      </w:r>
      <w:r w:rsidRPr="003307CA">
        <w:rPr>
          <w:rFonts w:asciiTheme="minorEastAsia" w:eastAsiaTheme="minorEastAsia" w:hAnsiTheme="minorEastAsia" w:cs="Arial" w:hint="eastAsia"/>
          <w:bCs/>
          <w:szCs w:val="21"/>
        </w:rPr>
        <w:t>&lt;</w:t>
      </w:r>
      <w:r w:rsidRPr="003307CA">
        <w:rPr>
          <w:rFonts w:asciiTheme="minorEastAsia" w:eastAsiaTheme="minorEastAsia" w:hAnsiTheme="minorEastAsia" w:cs="Arial"/>
          <w:bCs/>
          <w:szCs w:val="21"/>
        </w:rPr>
        <w:t>合格境内机构投资者境外证券投资管理试行办法</w:t>
      </w:r>
      <w:r w:rsidRPr="003307CA">
        <w:rPr>
          <w:rFonts w:asciiTheme="minorEastAsia" w:eastAsiaTheme="minorEastAsia" w:hAnsiTheme="minorEastAsia" w:cs="Arial" w:hint="eastAsia"/>
          <w:bCs/>
          <w:szCs w:val="21"/>
        </w:rPr>
        <w:t>&gt;</w:t>
      </w:r>
      <w:r w:rsidRPr="003307CA">
        <w:rPr>
          <w:rFonts w:asciiTheme="minorEastAsia" w:eastAsiaTheme="minorEastAsia" w:hAnsiTheme="minorEastAsia" w:cs="Arial"/>
          <w:bCs/>
          <w:szCs w:val="21"/>
        </w:rPr>
        <w:t>有关问题的通知</w:t>
      </w:r>
      <w:r w:rsidRPr="003307CA">
        <w:rPr>
          <w:rFonts w:asciiTheme="minorEastAsia" w:eastAsiaTheme="minorEastAsia" w:hAnsiTheme="minorEastAsia" w:cs="Arial" w:hint="eastAsia"/>
          <w:bCs/>
          <w:szCs w:val="21"/>
        </w:rPr>
        <w:t>》</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元</w:t>
      </w:r>
      <w:r w:rsidRPr="003307CA">
        <w:rPr>
          <w:rFonts w:asciiTheme="minorEastAsia" w:eastAsiaTheme="minorEastAsia" w:hAnsiTheme="minorEastAsia" w:hint="eastAsia"/>
        </w:rPr>
        <w:tab/>
        <w:t>指中国法定货币人民币元</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基金或本基金</w:t>
      </w:r>
      <w:r w:rsidRPr="003307CA">
        <w:rPr>
          <w:rFonts w:asciiTheme="minorEastAsia" w:eastAsiaTheme="minorEastAsia" w:hAnsiTheme="minorEastAsia" w:hint="eastAsia"/>
        </w:rPr>
        <w:tab/>
        <w:t>指依据《基金合同》所募集的易方达亚洲精选股票型证券投资基金</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《招募说明书》指《易方达亚洲精选股票型证券投资基金招募说明书》，即供基金投资者选择并决定是否提出基金认购或申购申请的要约邀请文件，及其更新</w:t>
      </w:r>
    </w:p>
    <w:p w:rsidR="00102893" w:rsidRPr="003307CA" w:rsidRDefault="00102893" w:rsidP="00102893">
      <w:pPr>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基金产品资料概要</w:t>
      </w:r>
      <w:r w:rsidR="008307FE" w:rsidRPr="003307CA">
        <w:rPr>
          <w:rFonts w:asciiTheme="minorEastAsia" w:eastAsiaTheme="minorEastAsia" w:hAnsiTheme="minorEastAsia" w:hint="eastAsia"/>
        </w:rPr>
        <w:t>指</w:t>
      </w:r>
      <w:r w:rsidRPr="003307CA">
        <w:rPr>
          <w:rFonts w:asciiTheme="minorEastAsia" w:eastAsiaTheme="minorEastAsia" w:hAnsiTheme="minorEastAsia" w:hint="eastAsia"/>
        </w:rPr>
        <w:t>《易方达亚洲精选股票型证券投资基金基金产品资料概要》及其更新</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托管协议</w:t>
      </w:r>
      <w:r w:rsidRPr="003307CA">
        <w:rPr>
          <w:rFonts w:asciiTheme="minorEastAsia" w:eastAsiaTheme="minorEastAsia" w:hAnsiTheme="minorEastAsia" w:hint="eastAsia"/>
        </w:rPr>
        <w:tab/>
        <w:t>指基金管理人与基金托管人签订的《易方达亚洲精选股票型证券投资基金托管协议》及其任何有效修订和补充</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《发售公告》</w:t>
      </w:r>
      <w:r w:rsidRPr="003307CA">
        <w:rPr>
          <w:rFonts w:asciiTheme="minorEastAsia" w:eastAsiaTheme="minorEastAsia" w:hAnsiTheme="minorEastAsia" w:hint="eastAsia"/>
        </w:rPr>
        <w:tab/>
        <w:t>指《易方达亚洲精选股票型证券投资基金基金份额发售公告》</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《业务规则》</w:t>
      </w:r>
      <w:r w:rsidRPr="003307CA">
        <w:rPr>
          <w:rFonts w:asciiTheme="minorEastAsia" w:eastAsiaTheme="minorEastAsia" w:hAnsiTheme="minorEastAsia" w:hint="eastAsia"/>
        </w:rPr>
        <w:tab/>
        <w:t>指</w:t>
      </w:r>
      <w:r w:rsidRPr="003307CA">
        <w:rPr>
          <w:rFonts w:asciiTheme="minorEastAsia" w:eastAsiaTheme="minorEastAsia" w:hAnsiTheme="minorEastAsia"/>
        </w:rPr>
        <w:t>《</w:t>
      </w:r>
      <w:r w:rsidRPr="003307CA">
        <w:rPr>
          <w:rFonts w:asciiTheme="minorEastAsia" w:eastAsiaTheme="minorEastAsia" w:hAnsiTheme="minorEastAsia" w:hint="eastAsia"/>
        </w:rPr>
        <w:t>易方达基金管理有限公司开放式基金业务规则</w:t>
      </w:r>
      <w:r w:rsidRPr="003307CA">
        <w:rPr>
          <w:rFonts w:asciiTheme="minorEastAsia" w:eastAsiaTheme="minorEastAsia" w:hAnsiTheme="minorEastAsia"/>
        </w:rPr>
        <w:t>》</w:t>
      </w:r>
    </w:p>
    <w:p w:rsidR="00D97F4C" w:rsidRPr="003307CA" w:rsidRDefault="00D97F4C"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《管理</w:t>
      </w:r>
      <w:r w:rsidRPr="003307CA">
        <w:rPr>
          <w:rFonts w:asciiTheme="minorEastAsia" w:eastAsiaTheme="minorEastAsia" w:hAnsiTheme="minorEastAsia"/>
        </w:rPr>
        <w:t>规定》指中国证监会2017年8月31日颁布</w:t>
      </w:r>
      <w:r w:rsidRPr="003307CA">
        <w:rPr>
          <w:rFonts w:asciiTheme="minorEastAsia" w:eastAsiaTheme="minorEastAsia" w:hAnsiTheme="minorEastAsia" w:hint="eastAsia"/>
        </w:rPr>
        <w:t>、</w:t>
      </w:r>
      <w:r w:rsidRPr="003307CA">
        <w:rPr>
          <w:rFonts w:asciiTheme="minorEastAsia" w:eastAsiaTheme="minorEastAsia" w:hAnsiTheme="minorEastAsia"/>
        </w:rPr>
        <w:t>同年10月1日实施的《公开募集开放式证券投资基金流动性风险管理规定》</w:t>
      </w:r>
      <w:r w:rsidRPr="003307CA">
        <w:rPr>
          <w:rFonts w:asciiTheme="minorEastAsia" w:eastAsiaTheme="minorEastAsia" w:hAnsiTheme="minorEastAsia" w:hint="eastAsia"/>
        </w:rPr>
        <w:t>及颁布机关对其不时做出的修订</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中国证监会</w:t>
      </w:r>
      <w:r w:rsidRPr="003307CA">
        <w:rPr>
          <w:rFonts w:asciiTheme="minorEastAsia" w:eastAsiaTheme="minorEastAsia" w:hAnsiTheme="minorEastAsia" w:hint="eastAsia"/>
        </w:rPr>
        <w:tab/>
        <w:t>指中国证券监督管理委员会</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银行监管机构</w:t>
      </w:r>
      <w:r w:rsidRPr="003307CA">
        <w:rPr>
          <w:rFonts w:asciiTheme="minorEastAsia" w:eastAsiaTheme="minorEastAsia" w:hAnsiTheme="minorEastAsia" w:hint="eastAsia"/>
        </w:rPr>
        <w:tab/>
        <w:t>指</w:t>
      </w:r>
      <w:r w:rsidR="00A63323" w:rsidRPr="003307CA">
        <w:rPr>
          <w:rFonts w:asciiTheme="minorEastAsia" w:eastAsiaTheme="minorEastAsia" w:hAnsiTheme="minorEastAsia" w:hint="eastAsia"/>
        </w:rPr>
        <w:t>中国银行保险监督管理委员会</w:t>
      </w:r>
      <w:r w:rsidRPr="003307CA">
        <w:rPr>
          <w:rFonts w:asciiTheme="minorEastAsia" w:eastAsiaTheme="minorEastAsia" w:hAnsiTheme="minorEastAsia" w:hint="eastAsia"/>
        </w:rPr>
        <w:t>或其他经国务院授权的机构</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lastRenderedPageBreak/>
        <w:t>外管局</w:t>
      </w:r>
      <w:r w:rsidRPr="003307CA">
        <w:rPr>
          <w:rFonts w:asciiTheme="minorEastAsia" w:eastAsiaTheme="minorEastAsia" w:hAnsiTheme="minorEastAsia" w:hint="eastAsia"/>
        </w:rPr>
        <w:tab/>
      </w:r>
      <w:r w:rsidRPr="003307CA">
        <w:rPr>
          <w:rFonts w:asciiTheme="minorEastAsia" w:eastAsiaTheme="minorEastAsia" w:hAnsiTheme="minorEastAsia"/>
        </w:rPr>
        <w:t>指国家外汇管理局</w:t>
      </w:r>
      <w:r w:rsidRPr="003307CA">
        <w:rPr>
          <w:rFonts w:asciiTheme="minorEastAsia" w:eastAsiaTheme="minorEastAsia" w:hAnsiTheme="minorEastAsia" w:hint="eastAsia"/>
        </w:rPr>
        <w:t>或其授权的代表机构</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基金管理人</w:t>
      </w:r>
      <w:r w:rsidRPr="003307CA">
        <w:rPr>
          <w:rFonts w:asciiTheme="minorEastAsia" w:eastAsiaTheme="minorEastAsia" w:hAnsiTheme="minorEastAsia" w:hint="eastAsia"/>
        </w:rPr>
        <w:tab/>
        <w:t>指易方达基金管理有限公司</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基金托管人</w:t>
      </w:r>
      <w:r w:rsidRPr="003307CA">
        <w:rPr>
          <w:rFonts w:asciiTheme="minorEastAsia" w:eastAsiaTheme="minorEastAsia" w:hAnsiTheme="minorEastAsia" w:hint="eastAsia"/>
        </w:rPr>
        <w:tab/>
        <w:t>指中国工商银行股份有限公司</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境外托管人</w:t>
      </w:r>
      <w:r w:rsidRPr="003307CA">
        <w:rPr>
          <w:rFonts w:asciiTheme="minorEastAsia" w:eastAsiaTheme="minorEastAsia" w:hAnsiTheme="minorEastAsia" w:hint="eastAsia"/>
        </w:rPr>
        <w:tab/>
        <w:t>指符合法律法规规定的条件，根据基金托管人与其签订的合同，为本基金提供境外资产托管服务的境外金融机构</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境外投资顾问</w:t>
      </w:r>
      <w:r w:rsidRPr="003307CA">
        <w:rPr>
          <w:rFonts w:asciiTheme="minorEastAsia" w:eastAsiaTheme="minorEastAsia" w:hAnsiTheme="minorEastAsia" w:hint="eastAsia"/>
        </w:rPr>
        <w:tab/>
        <w:t>指符合法律法规规定的条件，根据基金管理人与其签订的合同，为本基金境外证券投资提供证券买卖建议或投资组合管理等服务的境外金融机构</w:t>
      </w:r>
      <w:r w:rsidRPr="003307CA">
        <w:rPr>
          <w:rFonts w:asciiTheme="minorEastAsia" w:eastAsiaTheme="minorEastAsia" w:hAnsiTheme="minorEastAsia" w:hint="eastAsia"/>
          <w:szCs w:val="21"/>
        </w:rPr>
        <w:t>。基金管理人有权根据基金运作情况</w:t>
      </w:r>
      <w:r w:rsidRPr="003307CA">
        <w:rPr>
          <w:rFonts w:asciiTheme="minorEastAsia" w:eastAsiaTheme="minorEastAsia" w:hAnsiTheme="minorEastAsia"/>
          <w:szCs w:val="21"/>
        </w:rPr>
        <w:t>选择</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更换</w:t>
      </w:r>
      <w:r w:rsidRPr="003307CA">
        <w:rPr>
          <w:rFonts w:asciiTheme="minorEastAsia" w:eastAsiaTheme="minorEastAsia" w:hAnsiTheme="minorEastAsia" w:hint="eastAsia"/>
          <w:szCs w:val="21"/>
        </w:rPr>
        <w:t>或撤销</w:t>
      </w:r>
      <w:r w:rsidRPr="003307CA">
        <w:rPr>
          <w:rFonts w:asciiTheme="minorEastAsia" w:eastAsiaTheme="minorEastAsia" w:hAnsiTheme="minorEastAsia"/>
          <w:szCs w:val="21"/>
        </w:rPr>
        <w:t>境外投资顾问</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基金份额持有人</w:t>
      </w:r>
      <w:r w:rsidRPr="003307CA">
        <w:rPr>
          <w:rFonts w:asciiTheme="minorEastAsia" w:eastAsiaTheme="minorEastAsia" w:hAnsiTheme="minorEastAsia" w:hint="eastAsia"/>
        </w:rPr>
        <w:tab/>
        <w:t>指根据《招募说明书》和《基金合同》及相关文件合法取得本基金基金份额的投资者</w:t>
      </w:r>
    </w:p>
    <w:p w:rsidR="0035376D" w:rsidRPr="003307CA" w:rsidRDefault="0035376D" w:rsidP="00CE3F81">
      <w:pPr>
        <w:snapToGrid w:val="0"/>
        <w:spacing w:line="360" w:lineRule="auto"/>
        <w:ind w:leftChars="200" w:left="2730" w:hangingChars="1100" w:hanging="2310"/>
        <w:rPr>
          <w:rStyle w:val="da"/>
          <w:rFonts w:asciiTheme="minorEastAsia" w:eastAsiaTheme="minorEastAsia" w:hAnsiTheme="minorEastAsia"/>
        </w:rPr>
      </w:pPr>
      <w:r w:rsidRPr="003307CA">
        <w:rPr>
          <w:rFonts w:asciiTheme="minorEastAsia" w:eastAsiaTheme="minorEastAsia" w:hAnsiTheme="minorEastAsia" w:hint="eastAsia"/>
          <w:bCs/>
          <w:kern w:val="0"/>
          <w:szCs w:val="21"/>
        </w:rPr>
        <w:t>非直销销售机构：</w:t>
      </w:r>
      <w:r w:rsidR="00BD70FA" w:rsidRPr="003307CA">
        <w:rPr>
          <w:rFonts w:asciiTheme="minorEastAsia" w:eastAsiaTheme="minorEastAsia" w:hAnsiTheme="minorEastAsia" w:hint="eastAsia"/>
        </w:rPr>
        <w:tab/>
      </w:r>
      <w:r w:rsidRPr="003307CA">
        <w:rPr>
          <w:rStyle w:val="da"/>
          <w:rFonts w:asciiTheme="minorEastAsia" w:eastAsiaTheme="minorEastAsia" w:hAnsiTheme="minorEastAsia" w:hint="eastAsia"/>
        </w:rPr>
        <w:t>指符合《销售办法》和中国证监会规定的其他条件，取得基金销售业务资格并</w:t>
      </w:r>
      <w:r w:rsidR="002758F6" w:rsidRPr="003307CA">
        <w:rPr>
          <w:rStyle w:val="da"/>
          <w:rFonts w:asciiTheme="minorEastAsia" w:eastAsiaTheme="minorEastAsia" w:hAnsiTheme="minorEastAsia" w:hint="eastAsia"/>
        </w:rPr>
        <w:t>与基金管理人签订了基金销售服务协议</w:t>
      </w:r>
      <w:r w:rsidRPr="003307CA">
        <w:rPr>
          <w:rStyle w:val="da"/>
          <w:rFonts w:asciiTheme="minorEastAsia" w:eastAsiaTheme="minorEastAsia" w:hAnsiTheme="minorEastAsia" w:hint="eastAsia"/>
        </w:rPr>
        <w:t>，办理基金销售业务的机构</w:t>
      </w:r>
    </w:p>
    <w:p w:rsidR="00BD70FA" w:rsidRPr="003307CA" w:rsidRDefault="0035376D"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直销机构：</w:t>
      </w:r>
      <w:r w:rsidRPr="003307CA">
        <w:rPr>
          <w:rFonts w:asciiTheme="minorEastAsia" w:eastAsiaTheme="minorEastAsia" w:hAnsiTheme="minorEastAsia" w:hint="eastAsia"/>
        </w:rPr>
        <w:tab/>
        <w:t>指易方达基金管理有限公司</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销售机构</w:t>
      </w:r>
      <w:r w:rsidRPr="003307CA">
        <w:rPr>
          <w:rFonts w:asciiTheme="minorEastAsia" w:eastAsiaTheme="minorEastAsia" w:hAnsiTheme="minorEastAsia" w:hint="eastAsia"/>
        </w:rPr>
        <w:tab/>
      </w:r>
      <w:r w:rsidR="0035376D" w:rsidRPr="003307CA">
        <w:rPr>
          <w:rFonts w:asciiTheme="minorEastAsia" w:eastAsiaTheme="minorEastAsia" w:hAnsiTheme="minorEastAsia" w:hint="eastAsia"/>
          <w:kern w:val="0"/>
          <w:szCs w:val="21"/>
        </w:rPr>
        <w:t>指直销机构和非直销销售机构</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基金销售网点</w:t>
      </w:r>
      <w:r w:rsidRPr="003307CA">
        <w:rPr>
          <w:rFonts w:asciiTheme="minorEastAsia" w:eastAsiaTheme="minorEastAsia" w:hAnsiTheme="minorEastAsia" w:hint="eastAsia"/>
        </w:rPr>
        <w:tab/>
        <w:t>指基金管理人的直销网点及</w:t>
      </w:r>
      <w:r w:rsidR="0035376D" w:rsidRPr="003307CA">
        <w:rPr>
          <w:rStyle w:val="da"/>
          <w:rFonts w:asciiTheme="minorEastAsia" w:eastAsiaTheme="minorEastAsia" w:hAnsiTheme="minorEastAsia" w:hint="eastAsia"/>
        </w:rPr>
        <w:t>非直销销售机构</w:t>
      </w:r>
      <w:r w:rsidR="0035376D" w:rsidRPr="003307CA">
        <w:rPr>
          <w:rFonts w:asciiTheme="minorEastAsia" w:eastAsiaTheme="minorEastAsia" w:hAnsiTheme="minorEastAsia" w:hint="eastAsia"/>
          <w:szCs w:val="21"/>
        </w:rPr>
        <w:t>的销售网点</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注册登记业务</w:t>
      </w:r>
      <w:r w:rsidRPr="003307CA">
        <w:rPr>
          <w:rFonts w:asciiTheme="minorEastAsia" w:eastAsiaTheme="minorEastAsia" w:hAnsiTheme="minorEastAsia" w:hint="eastAsia"/>
        </w:rPr>
        <w:tab/>
        <w:t>指基金登记、存管、清算和交收业务，具体内容包括投资者基金账户管理、基金份额注册登记、清算及基金交易确认、发放红利、建立并保管基金份额持有人名册等</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基金注册登记机构</w:t>
      </w:r>
      <w:r w:rsidRPr="003307CA">
        <w:rPr>
          <w:rFonts w:asciiTheme="minorEastAsia" w:eastAsiaTheme="minorEastAsia" w:hAnsiTheme="minorEastAsia" w:hint="eastAsia"/>
        </w:rPr>
        <w:tab/>
        <w:t>指易方达基金管理有限公司或其委托的其他符合条件的办理基金注册登记业务的机构</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《基金合同》当事人</w:t>
      </w:r>
      <w:r w:rsidRPr="003307CA">
        <w:rPr>
          <w:rFonts w:asciiTheme="minorEastAsia" w:eastAsiaTheme="minorEastAsia" w:hAnsiTheme="minorEastAsia" w:hint="eastAsia"/>
        </w:rPr>
        <w:tab/>
        <w:t>指受《基金合同》约束，根据《基金合同》享受权利并承担义务的法律主体，包括基金管理人、基金托管人和基金份额持有人</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个人投资者</w:t>
      </w:r>
      <w:r w:rsidRPr="003307CA">
        <w:rPr>
          <w:rFonts w:asciiTheme="minorEastAsia" w:eastAsiaTheme="minorEastAsia" w:hAnsiTheme="minorEastAsia" w:hint="eastAsia"/>
        </w:rPr>
        <w:tab/>
        <w:t>指符合法律法规规定的条件可以投资开放式证券投资基金的自然人</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机构投资者</w:t>
      </w:r>
      <w:r w:rsidRPr="003307CA">
        <w:rPr>
          <w:rFonts w:asciiTheme="minorEastAsia" w:eastAsiaTheme="minorEastAsia" w:hAnsiTheme="minorEastAsia" w:hint="eastAsia"/>
        </w:rPr>
        <w:tab/>
        <w:t>指符合法律法规规定可以投资开放式证券投资基金的在中国合法注册登记并存续或经政府有关部门批准设立并存续的企业法人、事业法人、社会团体和其他组织</w:t>
      </w:r>
    </w:p>
    <w:p w:rsidR="00BD70FA" w:rsidRPr="003307CA" w:rsidRDefault="00BD70FA" w:rsidP="00CE3F81">
      <w:pPr>
        <w:snapToGrid w:val="0"/>
        <w:spacing w:line="360" w:lineRule="auto"/>
        <w:ind w:leftChars="172" w:left="2671" w:hangingChars="1100" w:hanging="2310"/>
        <w:rPr>
          <w:rFonts w:asciiTheme="minorEastAsia" w:eastAsiaTheme="minorEastAsia" w:hAnsiTheme="minorEastAsia"/>
        </w:rPr>
      </w:pPr>
      <w:r w:rsidRPr="003307CA">
        <w:rPr>
          <w:rFonts w:asciiTheme="minorEastAsia" w:eastAsiaTheme="minorEastAsia" w:hAnsiTheme="minorEastAsia" w:hint="eastAsia"/>
        </w:rPr>
        <w:t>投资者</w:t>
      </w:r>
      <w:r w:rsidRPr="003307CA">
        <w:rPr>
          <w:rFonts w:asciiTheme="minorEastAsia" w:eastAsiaTheme="minorEastAsia" w:hAnsiTheme="minorEastAsia" w:hint="eastAsia"/>
        </w:rPr>
        <w:tab/>
        <w:t>指个人投资者、机构投资者和法律法规或中国证监会允许购买开放式证券投资基金的其他投资者的总称</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基金合同生效日</w:t>
      </w:r>
      <w:r w:rsidRPr="003307CA">
        <w:rPr>
          <w:rFonts w:asciiTheme="minorEastAsia" w:eastAsiaTheme="minorEastAsia" w:hAnsiTheme="minorEastAsia" w:hint="eastAsia"/>
        </w:rPr>
        <w:tab/>
        <w:t>指</w:t>
      </w:r>
      <w:r w:rsidRPr="003307CA">
        <w:rPr>
          <w:rFonts w:asciiTheme="minorEastAsia" w:eastAsiaTheme="minorEastAsia" w:hAnsiTheme="minorEastAsia"/>
        </w:rPr>
        <w:t>基金</w:t>
      </w:r>
      <w:r w:rsidRPr="003307CA">
        <w:rPr>
          <w:rFonts w:asciiTheme="minorEastAsia" w:eastAsiaTheme="minorEastAsia" w:hAnsiTheme="minorEastAsia" w:hint="eastAsia"/>
        </w:rPr>
        <w:t>募集</w:t>
      </w:r>
      <w:r w:rsidRPr="003307CA">
        <w:rPr>
          <w:rFonts w:asciiTheme="minorEastAsia" w:eastAsiaTheme="minorEastAsia" w:hAnsiTheme="minorEastAsia"/>
        </w:rPr>
        <w:t>达到法律规定及</w:t>
      </w:r>
      <w:r w:rsidRPr="003307CA">
        <w:rPr>
          <w:rFonts w:asciiTheme="minorEastAsia" w:eastAsiaTheme="minorEastAsia" w:hAnsiTheme="minorEastAsia" w:hint="eastAsia"/>
        </w:rPr>
        <w:t>《</w:t>
      </w:r>
      <w:r w:rsidRPr="003307CA">
        <w:rPr>
          <w:rFonts w:asciiTheme="minorEastAsia" w:eastAsiaTheme="minorEastAsia" w:hAnsiTheme="minorEastAsia"/>
        </w:rPr>
        <w:t>基金合同</w:t>
      </w:r>
      <w:r w:rsidRPr="003307CA">
        <w:rPr>
          <w:rFonts w:asciiTheme="minorEastAsia" w:eastAsiaTheme="minorEastAsia" w:hAnsiTheme="minorEastAsia" w:hint="eastAsia"/>
        </w:rPr>
        <w:t>》约定</w:t>
      </w:r>
      <w:r w:rsidRPr="003307CA">
        <w:rPr>
          <w:rFonts w:asciiTheme="minorEastAsia" w:eastAsiaTheme="minorEastAsia" w:hAnsiTheme="minorEastAsia"/>
        </w:rPr>
        <w:t>的条件，</w:t>
      </w:r>
      <w:r w:rsidRPr="003307CA">
        <w:rPr>
          <w:rFonts w:asciiTheme="minorEastAsia" w:eastAsiaTheme="minorEastAsia" w:hAnsiTheme="minorEastAsia" w:hint="eastAsia"/>
        </w:rPr>
        <w:t>基金管理人聘请法定机构验资并办理完毕基金备案手续，获得中国证</w:t>
      </w:r>
      <w:r w:rsidRPr="003307CA">
        <w:rPr>
          <w:rFonts w:asciiTheme="minorEastAsia" w:eastAsiaTheme="minorEastAsia" w:hAnsiTheme="minorEastAsia" w:hint="eastAsia"/>
        </w:rPr>
        <w:lastRenderedPageBreak/>
        <w:t>监会书面确认之日</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募集期</w:t>
      </w:r>
      <w:r w:rsidRPr="003307CA">
        <w:rPr>
          <w:rFonts w:asciiTheme="minorEastAsia" w:eastAsiaTheme="minorEastAsia" w:hAnsiTheme="minorEastAsia" w:hint="eastAsia"/>
        </w:rPr>
        <w:tab/>
        <w:t>指自基金份额发售之日起不超过3个月的期限</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基金存续期</w:t>
      </w:r>
      <w:r w:rsidRPr="003307CA">
        <w:rPr>
          <w:rFonts w:asciiTheme="minorEastAsia" w:eastAsiaTheme="minorEastAsia" w:hAnsiTheme="minorEastAsia" w:hint="eastAsia"/>
        </w:rPr>
        <w:tab/>
        <w:t>指《基金合同》生效后合法存续的不定期之期间</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日/天</w:t>
      </w:r>
      <w:r w:rsidRPr="003307CA">
        <w:rPr>
          <w:rFonts w:asciiTheme="minorEastAsia" w:eastAsiaTheme="minorEastAsia" w:hAnsiTheme="minorEastAsia" w:hint="eastAsia"/>
        </w:rPr>
        <w:tab/>
        <w:t>指公历日</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月</w:t>
      </w:r>
      <w:r w:rsidRPr="003307CA">
        <w:rPr>
          <w:rFonts w:asciiTheme="minorEastAsia" w:eastAsiaTheme="minorEastAsia" w:hAnsiTheme="minorEastAsia" w:hint="eastAsia"/>
        </w:rPr>
        <w:tab/>
        <w:t>指公历月</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工作日</w:t>
      </w:r>
      <w:r w:rsidRPr="003307CA">
        <w:rPr>
          <w:rFonts w:asciiTheme="minorEastAsia" w:eastAsiaTheme="minorEastAsia" w:hAnsiTheme="minorEastAsia" w:hint="eastAsia"/>
        </w:rPr>
        <w:tab/>
        <w:t>指上海证券交易所和深圳证券交易所的正常交易日</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开放日</w:t>
      </w:r>
      <w:r w:rsidRPr="003307CA">
        <w:rPr>
          <w:rFonts w:asciiTheme="minorEastAsia" w:eastAsiaTheme="minorEastAsia" w:hAnsiTheme="minorEastAsia" w:hint="eastAsia"/>
        </w:rPr>
        <w:tab/>
        <w:t>指销售机构办理本基金份额申购、赎回等业务的工作日</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T日</w:t>
      </w:r>
      <w:r w:rsidRPr="003307CA">
        <w:rPr>
          <w:rFonts w:asciiTheme="minorEastAsia" w:eastAsiaTheme="minorEastAsia" w:hAnsiTheme="minorEastAsia" w:hint="eastAsia"/>
        </w:rPr>
        <w:tab/>
        <w:t>指申购、赎回或办理其他基金业务的申请日</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T+</w:t>
      </w:r>
      <w:r w:rsidRPr="003307CA">
        <w:rPr>
          <w:rFonts w:asciiTheme="minorEastAsia" w:eastAsiaTheme="minorEastAsia" w:hAnsiTheme="minorEastAsia"/>
        </w:rPr>
        <w:t>n</w:t>
      </w:r>
      <w:r w:rsidRPr="003307CA">
        <w:rPr>
          <w:rFonts w:asciiTheme="minorEastAsia" w:eastAsiaTheme="minorEastAsia" w:hAnsiTheme="minorEastAsia" w:hint="eastAsia"/>
        </w:rPr>
        <w:t>日</w:t>
      </w:r>
      <w:r w:rsidRPr="003307CA">
        <w:rPr>
          <w:rFonts w:asciiTheme="minorEastAsia" w:eastAsiaTheme="minorEastAsia" w:hAnsiTheme="minorEastAsia" w:hint="eastAsia"/>
        </w:rPr>
        <w:tab/>
        <w:t>指自T日起第</w:t>
      </w:r>
      <w:r w:rsidRPr="003307CA">
        <w:rPr>
          <w:rFonts w:asciiTheme="minorEastAsia" w:eastAsiaTheme="minorEastAsia" w:hAnsiTheme="minorEastAsia"/>
        </w:rPr>
        <w:t>n</w:t>
      </w:r>
      <w:r w:rsidRPr="003307CA">
        <w:rPr>
          <w:rFonts w:asciiTheme="minorEastAsia" w:eastAsiaTheme="minorEastAsia" w:hAnsiTheme="minorEastAsia" w:hint="eastAsia"/>
        </w:rPr>
        <w:t>个工作日（不包含T日）</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认购</w:t>
      </w:r>
      <w:r w:rsidRPr="003307CA">
        <w:rPr>
          <w:rFonts w:asciiTheme="minorEastAsia" w:eastAsiaTheme="minorEastAsia" w:hAnsiTheme="minorEastAsia" w:hint="eastAsia"/>
        </w:rPr>
        <w:tab/>
        <w:t>指在本基金募集期内投资者购买本基金基金份额的行为</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发售</w:t>
      </w:r>
      <w:r w:rsidRPr="003307CA">
        <w:rPr>
          <w:rFonts w:asciiTheme="minorEastAsia" w:eastAsiaTheme="minorEastAsia" w:hAnsiTheme="minorEastAsia" w:hint="eastAsia"/>
        </w:rPr>
        <w:tab/>
        <w:t>指在本基金募集期内，销售机构向投资者销售本基金份额的行为</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申购</w:t>
      </w:r>
      <w:r w:rsidRPr="003307CA">
        <w:rPr>
          <w:rFonts w:asciiTheme="minorEastAsia" w:eastAsiaTheme="minorEastAsia" w:hAnsiTheme="minorEastAsia" w:hint="eastAsia"/>
        </w:rPr>
        <w:tab/>
        <w:t>指《基金合同》生效后，投资者根据基金销售网点规定的手续，向基金管理人购买基金份额的行为。本基金的日常申购自《基金合同》生效后不超过3个月的时间开始办理</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赎回</w:t>
      </w:r>
      <w:r w:rsidRPr="003307CA">
        <w:rPr>
          <w:rFonts w:asciiTheme="minorEastAsia" w:eastAsiaTheme="minorEastAsia" w:hAnsiTheme="minorEastAsia" w:hint="eastAsia"/>
        </w:rPr>
        <w:tab/>
        <w:t>指《基金合同》生效后，基金份额持有人根据基金销售网点规定的手续，向基金管理人卖出基金份额的行为。本基金的日常赎回自《基金合同》生效后不超过3个月的时间开始办理</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szCs w:val="21"/>
        </w:rPr>
        <w:t>巨额赎回</w:t>
      </w:r>
      <w:r w:rsidRPr="003307CA">
        <w:rPr>
          <w:rFonts w:asciiTheme="minorEastAsia" w:eastAsiaTheme="minorEastAsia" w:hAnsiTheme="minorEastAsia" w:hint="eastAsia"/>
          <w:szCs w:val="21"/>
        </w:rPr>
        <w:tab/>
        <w:t>指在单个开放日，本基金的基金份额净赎回申请（赎回申请总数加上基金转换中转出申请份额总数后扣除申购申请总数及基金转换中转入申请份额总数后的余额）超过上一日本基金总份额的</w:t>
      </w:r>
      <w:r w:rsidRPr="003307CA">
        <w:rPr>
          <w:rFonts w:asciiTheme="minorEastAsia" w:eastAsiaTheme="minorEastAsia" w:hAnsiTheme="minorEastAsia"/>
          <w:szCs w:val="21"/>
        </w:rPr>
        <w:t>10%</w:t>
      </w:r>
      <w:r w:rsidRPr="003307CA">
        <w:rPr>
          <w:rFonts w:asciiTheme="minorEastAsia" w:eastAsiaTheme="minorEastAsia" w:hAnsiTheme="minorEastAsia" w:hint="eastAsia"/>
          <w:szCs w:val="21"/>
        </w:rPr>
        <w:t>时的情形</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基金账户</w:t>
      </w:r>
      <w:r w:rsidRPr="003307CA">
        <w:rPr>
          <w:rFonts w:asciiTheme="minorEastAsia" w:eastAsiaTheme="minorEastAsia" w:hAnsiTheme="minorEastAsia" w:hint="eastAsia"/>
        </w:rPr>
        <w:tab/>
        <w:t>指基金注册登记机构给投资者开立的用于记录投资者持有基金管理人管理的开放式基金份额情况的账户</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交易账户</w:t>
      </w:r>
      <w:r w:rsidRPr="003307CA">
        <w:rPr>
          <w:rFonts w:asciiTheme="minorEastAsia" w:eastAsiaTheme="minorEastAsia" w:hAnsiTheme="minorEastAsia" w:hint="eastAsia"/>
        </w:rPr>
        <w:tab/>
        <w:t>指各销售机构为投资者开立的记录投资者通过该销售机构办理</w:t>
      </w:r>
      <w:r w:rsidRPr="003307CA">
        <w:rPr>
          <w:rFonts w:asciiTheme="minorEastAsia" w:eastAsiaTheme="minorEastAsia" w:hAnsiTheme="minorEastAsia" w:hint="eastAsia"/>
          <w:kern w:val="0"/>
        </w:rPr>
        <w:t>认购、申购、赎回、转换及转托管等业务而</w:t>
      </w:r>
      <w:r w:rsidRPr="003307CA">
        <w:rPr>
          <w:rFonts w:asciiTheme="minorEastAsia" w:eastAsiaTheme="minorEastAsia" w:hAnsiTheme="minorEastAsia" w:hint="eastAsia"/>
        </w:rPr>
        <w:t>引起的基金份额的变动及结余情况的账户</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rPr>
        <w:t>转托管</w:t>
      </w:r>
      <w:r w:rsidRPr="003307CA">
        <w:rPr>
          <w:rFonts w:asciiTheme="minorEastAsia" w:eastAsiaTheme="minorEastAsia" w:hAnsiTheme="minorEastAsia" w:hint="eastAsia"/>
        </w:rPr>
        <w:tab/>
      </w:r>
      <w:r w:rsidRPr="003307CA">
        <w:rPr>
          <w:rFonts w:asciiTheme="minorEastAsia" w:eastAsiaTheme="minorEastAsia" w:hAnsiTheme="minorEastAsia"/>
        </w:rPr>
        <w:t>指投资者将其持有的同一基金账户下的基金份额从某一交易账户转入另一交易账户的业务</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基金转换</w:t>
      </w:r>
      <w:r w:rsidRPr="003307CA">
        <w:rPr>
          <w:rFonts w:asciiTheme="minorEastAsia" w:eastAsiaTheme="minorEastAsia" w:hAnsiTheme="minorEastAsia" w:hint="eastAsia"/>
        </w:rPr>
        <w:tab/>
        <w:t>指投资者向基金管理人提出申请将其所持有的基金管理人管理的任一开放式基金（转出基金）的全部或部分基金份额转换为基金管理人管理的任何其他开放式基金（转入基金）的基金份额的行为</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cs="宋体"/>
          <w:kern w:val="0"/>
        </w:rPr>
      </w:pPr>
      <w:r w:rsidRPr="003307CA">
        <w:rPr>
          <w:rFonts w:asciiTheme="minorEastAsia" w:eastAsiaTheme="minorEastAsia" w:hAnsiTheme="minorEastAsia" w:hint="eastAsia"/>
        </w:rPr>
        <w:t>定期定额投资计划</w:t>
      </w:r>
      <w:r w:rsidRPr="003307CA">
        <w:rPr>
          <w:rFonts w:asciiTheme="minorEastAsia" w:eastAsiaTheme="minorEastAsia" w:hAnsiTheme="minorEastAsia" w:hint="eastAsia"/>
        </w:rPr>
        <w:tab/>
        <w:t>指投资者通过有关销售机构提出申请，约定每期扣款日、扣款</w:t>
      </w:r>
      <w:r w:rsidRPr="003307CA">
        <w:rPr>
          <w:rFonts w:asciiTheme="minorEastAsia" w:eastAsiaTheme="minorEastAsia" w:hAnsiTheme="minorEastAsia" w:hint="eastAsia"/>
        </w:rPr>
        <w:lastRenderedPageBreak/>
        <w:t>金额及扣款方式，由销售机构于每期约定扣款日在投资者指定银行账户内自动完成扣款及基金申购申请的一种投资方式</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基金利润</w:t>
      </w:r>
      <w:r w:rsidRPr="003307CA">
        <w:rPr>
          <w:rFonts w:asciiTheme="minorEastAsia" w:eastAsiaTheme="minorEastAsia" w:hAnsiTheme="minorEastAsia" w:hint="eastAsia"/>
        </w:rPr>
        <w:tab/>
        <w:t>指基金利息收入、投资收益、公允价值变动收益和其他收入扣除相关费用后的余额</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基金资产总值</w:t>
      </w:r>
      <w:r w:rsidRPr="003307CA">
        <w:rPr>
          <w:rFonts w:asciiTheme="minorEastAsia" w:eastAsiaTheme="minorEastAsia" w:hAnsiTheme="minorEastAsia" w:hint="eastAsia"/>
        </w:rPr>
        <w:tab/>
        <w:t>指基金所拥有的各类证券及票据价值、银行存款本息和本基金应收的申购基金款以及其他投资所形成的价值总和</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基金资产净值</w:t>
      </w:r>
      <w:r w:rsidRPr="003307CA">
        <w:rPr>
          <w:rFonts w:asciiTheme="minorEastAsia" w:eastAsiaTheme="minorEastAsia" w:hAnsiTheme="minorEastAsia" w:hint="eastAsia"/>
        </w:rPr>
        <w:tab/>
        <w:t>指基金资产总值扣除负债后的净资产值</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基金资产估值</w:t>
      </w:r>
      <w:r w:rsidRPr="003307CA">
        <w:rPr>
          <w:rFonts w:asciiTheme="minorEastAsia" w:eastAsiaTheme="minorEastAsia" w:hAnsiTheme="minorEastAsia" w:hint="eastAsia"/>
        </w:rPr>
        <w:tab/>
        <w:t>指计算评估基金资产和负债的价值，以确定基金资产净值的过程</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货币市场工具</w:t>
      </w:r>
      <w:r w:rsidRPr="003307CA">
        <w:rPr>
          <w:rFonts w:asciiTheme="minorEastAsia" w:eastAsiaTheme="minorEastAsia" w:hAnsiTheme="minorEastAsia" w:hint="eastAsia"/>
        </w:rPr>
        <w:tab/>
        <w:t>指银行存款、可转让存单、银行承兑汇票、银行票据、商业票据、回购协</w:t>
      </w:r>
      <w:r w:rsidRPr="003307CA">
        <w:rPr>
          <w:rFonts w:asciiTheme="minorEastAsia" w:eastAsiaTheme="minorEastAsia" w:hAnsiTheme="minorEastAsia"/>
        </w:rPr>
        <w:t>议、短期政府债券等中国证监会、中国人民银行认可的具有良好流动性</w:t>
      </w:r>
      <w:r w:rsidRPr="003307CA">
        <w:rPr>
          <w:rFonts w:asciiTheme="minorEastAsia" w:eastAsiaTheme="minorEastAsia" w:hAnsiTheme="minorEastAsia" w:hint="eastAsia"/>
        </w:rPr>
        <w:t>的金融</w:t>
      </w:r>
      <w:r w:rsidRPr="003307CA">
        <w:rPr>
          <w:rFonts w:asciiTheme="minorEastAsia" w:eastAsiaTheme="minorEastAsia" w:hAnsiTheme="minorEastAsia"/>
        </w:rPr>
        <w:t>工具</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公司行为信息</w:t>
      </w:r>
      <w:r w:rsidRPr="003307CA">
        <w:rPr>
          <w:rFonts w:asciiTheme="minorEastAsia" w:eastAsiaTheme="minorEastAsia" w:hAnsiTheme="minorEastAsia" w:hint="eastAsia"/>
        </w:rPr>
        <w:tab/>
        <w:t>指证券发行人所公告的会或将会影响到基金资产的价值及权益的任何未完成或已完成的行动，及其他与本基金所投资的证券发行公司有关的重大信息，包括但不限于权益派发、配股、提前赎回等信息</w:t>
      </w:r>
    </w:p>
    <w:p w:rsidR="004552B6" w:rsidRPr="003307CA" w:rsidRDefault="00BD70FA" w:rsidP="004552B6">
      <w:pPr>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指定媒</w:t>
      </w:r>
      <w:r w:rsidR="004552B6" w:rsidRPr="003307CA">
        <w:rPr>
          <w:rFonts w:asciiTheme="minorEastAsia" w:eastAsiaTheme="minorEastAsia" w:hAnsiTheme="minorEastAsia" w:hint="eastAsia"/>
        </w:rPr>
        <w:t>介</w:t>
      </w:r>
      <w:r w:rsidRPr="003307CA">
        <w:rPr>
          <w:rFonts w:asciiTheme="minorEastAsia" w:eastAsiaTheme="minorEastAsia" w:hAnsiTheme="minorEastAsia" w:hint="eastAsia"/>
        </w:rPr>
        <w:tab/>
      </w:r>
      <w:r w:rsidR="004552B6" w:rsidRPr="003307CA">
        <w:rPr>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szCs w:val="21"/>
        </w:rPr>
        <w:t>基金份额持有人服务</w:t>
      </w:r>
      <w:r w:rsidRPr="003307CA">
        <w:rPr>
          <w:rFonts w:asciiTheme="minorEastAsia" w:eastAsiaTheme="minorEastAsia" w:hAnsiTheme="minorEastAsia" w:hint="eastAsia"/>
          <w:szCs w:val="21"/>
        </w:rPr>
        <w:tab/>
        <w:t>指基金管理人承诺为基金份额持有人提供的一系列服务</w:t>
      </w:r>
    </w:p>
    <w:p w:rsidR="00BD70FA" w:rsidRPr="003307CA" w:rsidRDefault="00BD70FA"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不可抗力指基金合同当事人不能预见、不能避免且不能克服的客观事件或因素，包括但不限于洪水、地震及其他自然灾害、战争、疫情、骚乱、火灾、政府征用、没收、恐怖袭击、传染病传播、法律法规变化、突发停电或其他突发事件、证券交易场所非正常暂停或停止交易等</w:t>
      </w:r>
    </w:p>
    <w:p w:rsidR="00CE3F81" w:rsidRPr="003307CA" w:rsidRDefault="00FE2C8B" w:rsidP="00CE3F81">
      <w:pPr>
        <w:snapToGrid w:val="0"/>
        <w:spacing w:line="360" w:lineRule="auto"/>
        <w:ind w:leftChars="200" w:left="2730" w:hangingChars="1100" w:hanging="2310"/>
        <w:rPr>
          <w:rFonts w:asciiTheme="minorEastAsia" w:eastAsiaTheme="minorEastAsia" w:hAnsiTheme="minorEastAsia"/>
        </w:rPr>
      </w:pPr>
      <w:r w:rsidRPr="003307CA">
        <w:rPr>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CE3F81" w:rsidRPr="003307CA" w:rsidRDefault="00CE3F81" w:rsidP="00CE3F81">
      <w:pPr>
        <w:snapToGrid w:val="0"/>
        <w:spacing w:line="360" w:lineRule="auto"/>
        <w:ind w:leftChars="200" w:left="2730" w:hangingChars="1100" w:hanging="2310"/>
        <w:rPr>
          <w:rFonts w:asciiTheme="minorEastAsia" w:eastAsiaTheme="minorEastAsia" w:hAnsiTheme="minorEastAsia"/>
        </w:rPr>
      </w:pPr>
    </w:p>
    <w:p w:rsidR="00D668E6" w:rsidRPr="003307CA" w:rsidRDefault="00D668E6" w:rsidP="000D1356">
      <w:pPr>
        <w:snapToGrid w:val="0"/>
        <w:spacing w:line="360" w:lineRule="auto"/>
        <w:rPr>
          <w:rFonts w:asciiTheme="minorEastAsia" w:eastAsiaTheme="minorEastAsia" w:hAnsiTheme="minorEastAsia"/>
        </w:rPr>
        <w:sectPr w:rsidR="00D668E6" w:rsidRPr="003307CA">
          <w:pgSz w:w="11906" w:h="16838" w:code="9"/>
          <w:pgMar w:top="1440" w:right="1800" w:bottom="1440" w:left="1800" w:header="851" w:footer="992" w:gutter="0"/>
          <w:cols w:space="425"/>
          <w:docGrid w:type="lines" w:linePitch="312"/>
        </w:sectPr>
      </w:pPr>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4" w:name="_Toc44351060"/>
      <w:r w:rsidRPr="003307CA">
        <w:rPr>
          <w:rFonts w:asciiTheme="minorEastAsia" w:eastAsiaTheme="minorEastAsia" w:hAnsiTheme="minorEastAsia" w:hint="eastAsia"/>
        </w:rPr>
        <w:lastRenderedPageBreak/>
        <w:t>风险揭示</w:t>
      </w:r>
      <w:bookmarkEnd w:id="4"/>
    </w:p>
    <w:p w:rsidR="0064594E" w:rsidRPr="003307CA" w:rsidRDefault="00FA0A50" w:rsidP="002843F6">
      <w:pPr>
        <w:spacing w:line="360" w:lineRule="auto"/>
        <w:ind w:firstLineChars="200" w:firstLine="420"/>
        <w:rPr>
          <w:rFonts w:asciiTheme="minorEastAsia" w:eastAsiaTheme="minorEastAsia" w:hAnsiTheme="minorEastAsia" w:cs="Arial"/>
          <w:szCs w:val="21"/>
        </w:rPr>
      </w:pPr>
      <w:bookmarkStart w:id="5" w:name="_Toc296440057"/>
      <w:bookmarkStart w:id="6" w:name="_Toc296526871"/>
      <w:bookmarkStart w:id="7" w:name="_Toc306614138"/>
      <w:r w:rsidRPr="003307CA">
        <w:rPr>
          <w:rFonts w:asciiTheme="minorEastAsia" w:eastAsiaTheme="minorEastAsia" w:hAnsiTheme="minorEastAsia"/>
          <w:szCs w:val="21"/>
        </w:rPr>
        <w:t>本基金的投资运作中可能出现的风险包括</w:t>
      </w: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基金特有</w:t>
      </w:r>
      <w:r w:rsidRPr="003307CA">
        <w:rPr>
          <w:rFonts w:asciiTheme="minorEastAsia" w:eastAsiaTheme="minorEastAsia" w:hAnsiTheme="minorEastAsia" w:hint="eastAsia"/>
          <w:szCs w:val="21"/>
        </w:rPr>
        <w:t>的</w:t>
      </w:r>
      <w:r w:rsidRPr="003307CA">
        <w:rPr>
          <w:rFonts w:asciiTheme="minorEastAsia" w:eastAsiaTheme="minorEastAsia" w:hAnsiTheme="minorEastAsia"/>
          <w:szCs w:val="21"/>
        </w:rPr>
        <w:t>风险、投资风险、运作风险</w:t>
      </w:r>
      <w:r w:rsidR="00B03607" w:rsidRPr="003307CA">
        <w:rPr>
          <w:rFonts w:asciiTheme="minorEastAsia" w:eastAsiaTheme="minorEastAsia" w:hAnsiTheme="minorEastAsia" w:hint="eastAsia"/>
          <w:szCs w:val="21"/>
        </w:rPr>
        <w:t>、本基金法律文件中涉及基金风险特征的表述与销售机构对基金的风险评级可能不一致的风险、</w:t>
      </w:r>
      <w:r w:rsidRPr="003307CA">
        <w:rPr>
          <w:rFonts w:asciiTheme="minorEastAsia" w:eastAsiaTheme="minorEastAsia" w:hAnsiTheme="minorEastAsia" w:hint="eastAsia"/>
          <w:szCs w:val="21"/>
        </w:rPr>
        <w:t>其他风险</w:t>
      </w:r>
      <w:r w:rsidR="005250FF" w:rsidRPr="003307CA">
        <w:rPr>
          <w:rFonts w:asciiTheme="minorEastAsia" w:eastAsiaTheme="minorEastAsia" w:hAnsiTheme="minorEastAsia" w:hint="eastAsia"/>
          <w:szCs w:val="21"/>
        </w:rPr>
        <w:t>五</w:t>
      </w:r>
      <w:r w:rsidRPr="003307CA">
        <w:rPr>
          <w:rFonts w:asciiTheme="minorEastAsia" w:eastAsiaTheme="minorEastAsia" w:hAnsiTheme="minorEastAsia"/>
          <w:szCs w:val="21"/>
        </w:rPr>
        <w:t>类</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其中</w:t>
      </w: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基金特</w:t>
      </w:r>
      <w:r w:rsidRPr="003307CA">
        <w:rPr>
          <w:rFonts w:asciiTheme="minorEastAsia" w:eastAsiaTheme="minorEastAsia" w:hAnsiTheme="minorEastAsia" w:hint="eastAsia"/>
          <w:szCs w:val="21"/>
        </w:rPr>
        <w:t>有的风险包括境外市场风险、投资</w:t>
      </w:r>
      <w:r w:rsidRPr="003307CA">
        <w:rPr>
          <w:rFonts w:asciiTheme="minorEastAsia" w:eastAsiaTheme="minorEastAsia" w:hAnsiTheme="minorEastAsia"/>
          <w:szCs w:val="21"/>
        </w:rPr>
        <w:t>策略的实施风险、</w:t>
      </w:r>
      <w:r w:rsidRPr="003307CA">
        <w:rPr>
          <w:rFonts w:asciiTheme="minorEastAsia" w:eastAsiaTheme="minorEastAsia" w:hAnsiTheme="minorEastAsia" w:hint="eastAsia"/>
          <w:szCs w:val="21"/>
        </w:rPr>
        <w:t>第三方机构服务的风险、管理风险、关于引入境外托管人的相关风险等</w:t>
      </w:r>
      <w:r w:rsidRPr="003307CA">
        <w:rPr>
          <w:rFonts w:asciiTheme="minorEastAsia" w:eastAsiaTheme="minorEastAsia" w:hAnsiTheme="minorEastAsia"/>
          <w:szCs w:val="21"/>
        </w:rPr>
        <w:t>；投资风险主要包括</w:t>
      </w:r>
      <w:r w:rsidRPr="003307CA">
        <w:rPr>
          <w:rFonts w:asciiTheme="minorEastAsia" w:eastAsiaTheme="minorEastAsia" w:hAnsiTheme="minorEastAsia" w:hint="eastAsia"/>
          <w:szCs w:val="21"/>
        </w:rPr>
        <w:t>市场风险</w:t>
      </w:r>
      <w:r w:rsidRPr="003307CA">
        <w:rPr>
          <w:rFonts w:asciiTheme="minorEastAsia" w:eastAsiaTheme="minorEastAsia" w:hAnsiTheme="minorEastAsia"/>
          <w:szCs w:val="21"/>
        </w:rPr>
        <w:t>、政府管制风险、监管风险、政治风险、流动性风险、汇率风险、利率风险、衍生品风险、金融模型风险、信用风险等；运作风险主要包括操作风险、会计核算风险、</w:t>
      </w:r>
      <w:r w:rsidRPr="003307CA">
        <w:rPr>
          <w:rFonts w:asciiTheme="minorEastAsia" w:eastAsiaTheme="minorEastAsia" w:hAnsiTheme="minorEastAsia" w:hint="eastAsia"/>
          <w:szCs w:val="21"/>
        </w:rPr>
        <w:t>法律</w:t>
      </w:r>
      <w:r w:rsidRPr="003307CA">
        <w:rPr>
          <w:rFonts w:asciiTheme="minorEastAsia" w:eastAsiaTheme="minorEastAsia" w:hAnsiTheme="minorEastAsia"/>
          <w:szCs w:val="21"/>
        </w:rPr>
        <w:t>及税务风险、交易结算风险、证券借贷/正回购/逆回购风险等。</w:t>
      </w:r>
      <w:bookmarkEnd w:id="5"/>
      <w:bookmarkEnd w:id="6"/>
      <w:bookmarkEnd w:id="7"/>
    </w:p>
    <w:p w:rsidR="00BF65A5" w:rsidRPr="003307CA" w:rsidRDefault="00BF65A5" w:rsidP="002843F6">
      <w:pPr>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一</w:t>
      </w:r>
      <w:r w:rsidRPr="003307CA">
        <w:rPr>
          <w:rFonts w:asciiTheme="minorEastAsia" w:eastAsiaTheme="minorEastAsia" w:hAnsiTheme="minorEastAsia" w:cs="Arial"/>
          <w:szCs w:val="21"/>
        </w:rPr>
        <w:t>、本基金特有风险</w:t>
      </w:r>
    </w:p>
    <w:p w:rsidR="00FA0A50" w:rsidRPr="003307CA" w:rsidRDefault="00FA0A50" w:rsidP="00FA0A50">
      <w:pPr>
        <w:spacing w:line="360" w:lineRule="auto"/>
        <w:ind w:firstLineChars="225" w:firstLine="473"/>
        <w:rPr>
          <w:rFonts w:asciiTheme="minorEastAsia" w:eastAsiaTheme="minorEastAsia" w:hAnsiTheme="minorEastAsia"/>
          <w:szCs w:val="21"/>
        </w:rPr>
      </w:pPr>
      <w:bookmarkStart w:id="8" w:name="_Toc296440060"/>
      <w:bookmarkStart w:id="9" w:name="_Toc296526874"/>
      <w:bookmarkStart w:id="10" w:name="_Toc306614141"/>
      <w:bookmarkStart w:id="11" w:name="_Toc308079776"/>
      <w:bookmarkStart w:id="12" w:name="_Toc308190018"/>
      <w:bookmarkStart w:id="13" w:name="_Toc309285748"/>
      <w:bookmarkStart w:id="14" w:name="_Toc310510726"/>
      <w:r w:rsidRPr="003307CA">
        <w:rPr>
          <w:rFonts w:asciiTheme="minorEastAsia" w:eastAsiaTheme="minorEastAsia" w:hAnsiTheme="minorEastAsia" w:hint="eastAsia"/>
          <w:szCs w:val="21"/>
        </w:rPr>
        <w:t>1、</w:t>
      </w:r>
      <w:bookmarkEnd w:id="8"/>
      <w:bookmarkEnd w:id="9"/>
      <w:bookmarkEnd w:id="10"/>
      <w:bookmarkEnd w:id="11"/>
      <w:bookmarkEnd w:id="12"/>
      <w:bookmarkEnd w:id="13"/>
      <w:bookmarkEnd w:id="14"/>
      <w:r w:rsidRPr="003307CA">
        <w:rPr>
          <w:rFonts w:asciiTheme="minorEastAsia" w:eastAsiaTheme="minorEastAsia" w:hAnsiTheme="minorEastAsia" w:hint="eastAsia"/>
          <w:szCs w:val="21"/>
        </w:rPr>
        <w:t>境外市场风险</w:t>
      </w:r>
    </w:p>
    <w:p w:rsidR="00FA0A50" w:rsidRPr="003307CA" w:rsidRDefault="00FA0A50" w:rsidP="00147F41">
      <w:pPr>
        <w:spacing w:line="360" w:lineRule="auto"/>
        <w:ind w:firstLineChars="225" w:firstLine="473"/>
        <w:rPr>
          <w:rFonts w:asciiTheme="minorEastAsia" w:eastAsiaTheme="minorEastAsia" w:hAnsiTheme="minorEastAsia"/>
          <w:szCs w:val="21"/>
        </w:rPr>
      </w:pPr>
      <w:r w:rsidRPr="003307CA">
        <w:rPr>
          <w:rFonts w:asciiTheme="minorEastAsia" w:eastAsiaTheme="minorEastAsia" w:hAnsiTheme="minorEastAsia" w:hint="eastAsia"/>
          <w:szCs w:val="21"/>
        </w:rPr>
        <w:t>由于本基金主要投资于境外证券</w:t>
      </w:r>
      <w:r w:rsidRPr="003307CA">
        <w:rPr>
          <w:rFonts w:asciiTheme="minorEastAsia" w:eastAsiaTheme="minorEastAsia" w:hAnsiTheme="minorEastAsia"/>
          <w:szCs w:val="21"/>
        </w:rPr>
        <w:t>市场</w:t>
      </w:r>
      <w:r w:rsidRPr="003307CA">
        <w:rPr>
          <w:rFonts w:asciiTheme="minorEastAsia" w:eastAsiaTheme="minorEastAsia" w:hAnsiTheme="minorEastAsia" w:hint="eastAsia"/>
          <w:szCs w:val="21"/>
        </w:rPr>
        <w:t>，境外证券市场可能对于负面的特定事件、该国或地区特有的政治因素、法律法规、市场状况、经济发展趋势的反映较境内证券市场有诸多不同。此外，由于亚洲</w:t>
      </w:r>
      <w:r w:rsidRPr="003307CA">
        <w:rPr>
          <w:rFonts w:asciiTheme="minorEastAsia" w:eastAsiaTheme="minorEastAsia" w:hAnsiTheme="minorEastAsia"/>
          <w:szCs w:val="21"/>
        </w:rPr>
        <w:t>各个国家或地区之间宏观经济与证券市场等发展水平的不均衡程度较高，本基金在区域配置上可能会较大比例地投资于</w:t>
      </w:r>
      <w:r w:rsidRPr="003307CA">
        <w:rPr>
          <w:rFonts w:asciiTheme="minorEastAsia" w:eastAsiaTheme="minorEastAsia" w:hAnsiTheme="minorEastAsia" w:hint="eastAsia"/>
          <w:szCs w:val="21"/>
        </w:rPr>
        <w:t>少数</w:t>
      </w:r>
      <w:r w:rsidRPr="003307CA">
        <w:rPr>
          <w:rFonts w:asciiTheme="minorEastAsia" w:eastAsiaTheme="minorEastAsia" w:hAnsiTheme="minorEastAsia"/>
          <w:szCs w:val="21"/>
        </w:rPr>
        <w:t>几个国家或地区，从而</w:t>
      </w:r>
      <w:r w:rsidRPr="003307CA">
        <w:rPr>
          <w:rFonts w:asciiTheme="minorEastAsia" w:eastAsiaTheme="minorEastAsia" w:hAnsiTheme="minorEastAsia" w:hint="eastAsia"/>
          <w:szCs w:val="21"/>
        </w:rPr>
        <w:t>这些</w:t>
      </w:r>
      <w:r w:rsidRPr="003307CA">
        <w:rPr>
          <w:rFonts w:asciiTheme="minorEastAsia" w:eastAsiaTheme="minorEastAsia" w:hAnsiTheme="minorEastAsia"/>
          <w:szCs w:val="21"/>
        </w:rPr>
        <w:t>国家或地区的证券市场的投资风险将对本基金的投资业绩产生重要影响。由于</w:t>
      </w:r>
      <w:r w:rsidRPr="003307CA">
        <w:rPr>
          <w:rFonts w:asciiTheme="minorEastAsia" w:eastAsiaTheme="minorEastAsia" w:hAnsiTheme="minorEastAsia" w:hint="eastAsia"/>
          <w:szCs w:val="21"/>
        </w:rPr>
        <w:t>部分国家</w:t>
      </w:r>
      <w:r w:rsidRPr="003307CA">
        <w:rPr>
          <w:rFonts w:asciiTheme="minorEastAsia" w:eastAsiaTheme="minorEastAsia" w:hAnsiTheme="minorEastAsia"/>
          <w:szCs w:val="21"/>
        </w:rPr>
        <w:t>或者地区具有特殊的产业结构，偏重于某些特定行业的发展，因此可能会导致本基金在</w:t>
      </w:r>
      <w:r w:rsidRPr="003307CA">
        <w:rPr>
          <w:rFonts w:asciiTheme="minorEastAsia" w:eastAsiaTheme="minorEastAsia" w:hAnsiTheme="minorEastAsia" w:hint="eastAsia"/>
          <w:szCs w:val="21"/>
        </w:rPr>
        <w:t>行业</w:t>
      </w:r>
      <w:r w:rsidRPr="003307CA">
        <w:rPr>
          <w:rFonts w:asciiTheme="minorEastAsia" w:eastAsiaTheme="minorEastAsia" w:hAnsiTheme="minorEastAsia"/>
          <w:szCs w:val="21"/>
        </w:rPr>
        <w:t>配置上的不均衡，这些特定行业所处的</w:t>
      </w:r>
      <w:r w:rsidRPr="003307CA">
        <w:rPr>
          <w:rFonts w:asciiTheme="minorEastAsia" w:eastAsiaTheme="minorEastAsia" w:hAnsiTheme="minorEastAsia" w:hint="eastAsia"/>
          <w:szCs w:val="21"/>
        </w:rPr>
        <w:t>景气</w:t>
      </w:r>
      <w:r w:rsidRPr="003307CA">
        <w:rPr>
          <w:rFonts w:asciiTheme="minorEastAsia" w:eastAsiaTheme="minorEastAsia" w:hAnsiTheme="minorEastAsia"/>
          <w:szCs w:val="21"/>
        </w:rPr>
        <w:t>周期将对本基金的投资业绩产生一定的影响。</w:t>
      </w:r>
    </w:p>
    <w:p w:rsidR="00394FBC" w:rsidRPr="003307CA" w:rsidRDefault="00394FBC" w:rsidP="00394FBC">
      <w:pPr>
        <w:spacing w:line="360" w:lineRule="auto"/>
        <w:ind w:firstLineChars="225" w:firstLine="473"/>
        <w:rPr>
          <w:rFonts w:asciiTheme="minorEastAsia" w:eastAsiaTheme="minorEastAsia" w:hAnsiTheme="minorEastAsia"/>
        </w:rPr>
      </w:pPr>
      <w:r w:rsidRPr="003307CA">
        <w:rPr>
          <w:rFonts w:asciiTheme="minorEastAsia" w:eastAsiaTheme="minorEastAsia" w:hAnsiTheme="minorEastAsia" w:hint="eastAsia"/>
          <w:szCs w:val="21"/>
        </w:rPr>
        <w:t>2、</w:t>
      </w:r>
      <w:r w:rsidRPr="003307CA">
        <w:rPr>
          <w:rFonts w:asciiTheme="minorEastAsia" w:eastAsiaTheme="minorEastAsia" w:hAnsiTheme="minorEastAsia" w:hint="eastAsia"/>
        </w:rPr>
        <w:t>通过内地与香港股票市场交易互联互通机制投资于香港市场股票的风险</w:t>
      </w:r>
    </w:p>
    <w:p w:rsidR="00394FBC" w:rsidRPr="003307CA" w:rsidRDefault="00394FBC" w:rsidP="00394FBC">
      <w:pPr>
        <w:spacing w:line="360" w:lineRule="auto"/>
        <w:ind w:firstLineChars="225" w:firstLine="473"/>
        <w:rPr>
          <w:rFonts w:asciiTheme="minorEastAsia" w:eastAsiaTheme="minorEastAsia" w:hAnsiTheme="minorEastAsia"/>
        </w:rPr>
      </w:pPr>
      <w:r w:rsidRPr="003307CA">
        <w:rPr>
          <w:rFonts w:asciiTheme="minorEastAsia" w:eastAsiaTheme="minorEastAsia" w:hAnsiTheme="minorEastAsia" w:hint="eastAsia"/>
        </w:rPr>
        <w:t>若本基金通过内地与香港股票市场交易互联互通机制投资于香港市场股票，本基金还将面临以下特有风险，包括但不限于：</w:t>
      </w:r>
    </w:p>
    <w:p w:rsidR="00394FBC" w:rsidRPr="003307CA" w:rsidRDefault="00394FBC" w:rsidP="00394FBC">
      <w:pPr>
        <w:spacing w:line="336" w:lineRule="auto"/>
        <w:ind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rPr>
        <w:t>（1）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rsidR="00394FBC" w:rsidRPr="003307CA" w:rsidRDefault="00394FBC" w:rsidP="00394FBC">
      <w:pPr>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（2）交易失败及交易中断的风险。在内地与香港股票市场交易互联互通机制下，港股通交易存在每日额度限制，本基金可能面临每日额度不足而交易失败的风险。若香港联交所</w:t>
      </w:r>
      <w:r w:rsidRPr="003307CA">
        <w:rPr>
          <w:rFonts w:asciiTheme="minorEastAsia" w:eastAsiaTheme="minorEastAsia" w:hAnsiTheme="minorEastAsia" w:hint="eastAsia"/>
        </w:rPr>
        <w:lastRenderedPageBreak/>
        <w:t>与内地交易所的证券交易服务公司之间的报盘系统或者通信链路出现故障，可能导致15分钟以上不能申报和撤销申报的交易中断风险。</w:t>
      </w:r>
    </w:p>
    <w:p w:rsidR="00394FBC" w:rsidRPr="003307CA" w:rsidRDefault="00394FBC" w:rsidP="00394FBC">
      <w:pPr>
        <w:spacing w:line="360" w:lineRule="auto"/>
        <w:ind w:firstLineChars="225" w:firstLine="473"/>
        <w:rPr>
          <w:rFonts w:asciiTheme="minorEastAsia" w:eastAsiaTheme="minorEastAsia" w:hAnsiTheme="minorEastAsia"/>
          <w:szCs w:val="21"/>
        </w:rPr>
      </w:pPr>
      <w:r w:rsidRPr="003307CA">
        <w:rPr>
          <w:rFonts w:asciiTheme="minorEastAsia" w:eastAsiaTheme="minorEastAsia" w:hAnsiTheme="minorEastAsia" w:hint="eastAsia"/>
        </w:rPr>
        <w:t>（3）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rsidR="00FA0A50" w:rsidRPr="003307CA" w:rsidRDefault="00394FBC" w:rsidP="0054364B">
      <w:pPr>
        <w:spacing w:line="360" w:lineRule="auto"/>
        <w:ind w:firstLineChars="225" w:firstLine="473"/>
        <w:rPr>
          <w:rFonts w:asciiTheme="minorEastAsia" w:eastAsiaTheme="minorEastAsia" w:hAnsiTheme="minorEastAsia"/>
          <w:szCs w:val="21"/>
        </w:rPr>
      </w:pPr>
      <w:r w:rsidRPr="003307CA">
        <w:rPr>
          <w:rFonts w:asciiTheme="minorEastAsia" w:eastAsiaTheme="minorEastAsia" w:hAnsiTheme="minorEastAsia"/>
          <w:szCs w:val="21"/>
        </w:rPr>
        <w:t>3</w:t>
      </w:r>
      <w:r w:rsidR="00FA0A50" w:rsidRPr="003307CA">
        <w:rPr>
          <w:rFonts w:asciiTheme="minorEastAsia" w:eastAsiaTheme="minorEastAsia" w:hAnsiTheme="minorEastAsia"/>
          <w:szCs w:val="21"/>
        </w:rPr>
        <w:t>、投资策略</w:t>
      </w:r>
      <w:r w:rsidR="00FA0A50" w:rsidRPr="003307CA">
        <w:rPr>
          <w:rFonts w:asciiTheme="minorEastAsia" w:eastAsiaTheme="minorEastAsia" w:hAnsiTheme="minorEastAsia" w:hint="eastAsia"/>
          <w:szCs w:val="21"/>
        </w:rPr>
        <w:t>的</w:t>
      </w:r>
      <w:r w:rsidR="00FA0A50" w:rsidRPr="003307CA">
        <w:rPr>
          <w:rFonts w:asciiTheme="minorEastAsia" w:eastAsiaTheme="minorEastAsia" w:hAnsiTheme="minorEastAsia"/>
          <w:szCs w:val="21"/>
        </w:rPr>
        <w:t>实施风险</w:t>
      </w:r>
    </w:p>
    <w:p w:rsidR="00FA0A50" w:rsidRPr="003307CA" w:rsidRDefault="00FA0A50" w:rsidP="0054364B">
      <w:pPr>
        <w:spacing w:line="360" w:lineRule="auto"/>
        <w:ind w:firstLineChars="225" w:firstLine="473"/>
        <w:rPr>
          <w:rFonts w:asciiTheme="minorEastAsia" w:eastAsiaTheme="minorEastAsia" w:hAnsiTheme="minorEastAsia"/>
          <w:szCs w:val="21"/>
        </w:rPr>
      </w:pP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基金的投资策略中包含</w:t>
      </w:r>
      <w:r w:rsidRPr="003307CA">
        <w:rPr>
          <w:rFonts w:asciiTheme="minorEastAsia" w:eastAsiaTheme="minorEastAsia" w:hAnsiTheme="minorEastAsia" w:hint="eastAsia"/>
          <w:szCs w:val="21"/>
        </w:rPr>
        <w:t>了</w:t>
      </w:r>
      <w:r w:rsidRPr="003307CA">
        <w:rPr>
          <w:rFonts w:asciiTheme="minorEastAsia" w:eastAsiaTheme="minorEastAsia" w:hAnsiTheme="minorEastAsia"/>
          <w:szCs w:val="21"/>
        </w:rPr>
        <w:t>投资境外市场股票、债券、货币市场工具、证券投资基金、全球存托凭证、美国存托凭证、</w:t>
      </w:r>
      <w:r w:rsidRPr="003307CA">
        <w:rPr>
          <w:rFonts w:asciiTheme="minorEastAsia" w:eastAsiaTheme="minorEastAsia" w:hAnsiTheme="minorEastAsia" w:hint="eastAsia"/>
          <w:szCs w:val="21"/>
        </w:rPr>
        <w:t>金融衍生</w:t>
      </w:r>
      <w:r w:rsidRPr="003307CA">
        <w:rPr>
          <w:rFonts w:asciiTheme="minorEastAsia" w:eastAsiaTheme="minorEastAsia" w:hAnsiTheme="minorEastAsia"/>
          <w:szCs w:val="21"/>
        </w:rPr>
        <w:t>品的策略，相比于</w:t>
      </w:r>
      <w:r w:rsidRPr="003307CA">
        <w:rPr>
          <w:rFonts w:asciiTheme="minorEastAsia" w:eastAsiaTheme="minorEastAsia" w:hAnsiTheme="minorEastAsia" w:hint="eastAsia"/>
          <w:szCs w:val="21"/>
        </w:rPr>
        <w:t>投资</w:t>
      </w:r>
      <w:r w:rsidRPr="003307CA">
        <w:rPr>
          <w:rFonts w:asciiTheme="minorEastAsia" w:eastAsiaTheme="minorEastAsia" w:hAnsiTheme="minorEastAsia"/>
          <w:szCs w:val="21"/>
        </w:rPr>
        <w:t>境内的</w:t>
      </w:r>
      <w:r w:rsidRPr="003307CA">
        <w:rPr>
          <w:rFonts w:asciiTheme="minorEastAsia" w:eastAsiaTheme="minorEastAsia" w:hAnsiTheme="minorEastAsia" w:hint="eastAsia"/>
          <w:szCs w:val="21"/>
        </w:rPr>
        <w:t>金融</w:t>
      </w:r>
      <w:r w:rsidRPr="003307CA">
        <w:rPr>
          <w:rFonts w:asciiTheme="minorEastAsia" w:eastAsiaTheme="minorEastAsia" w:hAnsiTheme="minorEastAsia"/>
          <w:szCs w:val="21"/>
        </w:rPr>
        <w:t>工具，投资以上境外</w:t>
      </w:r>
      <w:r w:rsidRPr="003307CA">
        <w:rPr>
          <w:rFonts w:asciiTheme="minorEastAsia" w:eastAsiaTheme="minorEastAsia" w:hAnsiTheme="minorEastAsia" w:hint="eastAsia"/>
          <w:szCs w:val="21"/>
        </w:rPr>
        <w:t>金融</w:t>
      </w:r>
      <w:r w:rsidRPr="003307CA">
        <w:rPr>
          <w:rFonts w:asciiTheme="minorEastAsia" w:eastAsiaTheme="minorEastAsia" w:hAnsiTheme="minorEastAsia"/>
          <w:szCs w:val="21"/>
        </w:rPr>
        <w:t>工具</w:t>
      </w:r>
      <w:r w:rsidRPr="003307CA">
        <w:rPr>
          <w:rFonts w:asciiTheme="minorEastAsia" w:eastAsiaTheme="minorEastAsia" w:hAnsiTheme="minorEastAsia" w:hint="eastAsia"/>
          <w:szCs w:val="21"/>
        </w:rPr>
        <w:t>涉及</w:t>
      </w:r>
      <w:r w:rsidRPr="003307CA">
        <w:rPr>
          <w:rFonts w:asciiTheme="minorEastAsia" w:eastAsiaTheme="minorEastAsia" w:hAnsiTheme="minorEastAsia"/>
          <w:szCs w:val="21"/>
        </w:rPr>
        <w:t>更为复杂的交易流程</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对交易参与各方的技术系统、</w:t>
      </w:r>
      <w:r w:rsidRPr="003307CA">
        <w:rPr>
          <w:rFonts w:asciiTheme="minorEastAsia" w:eastAsiaTheme="minorEastAsia" w:hAnsiTheme="minorEastAsia" w:hint="eastAsia"/>
          <w:szCs w:val="21"/>
        </w:rPr>
        <w:t>人员</w:t>
      </w:r>
      <w:r w:rsidRPr="003307CA">
        <w:rPr>
          <w:rFonts w:asciiTheme="minorEastAsia" w:eastAsiaTheme="minorEastAsia" w:hAnsiTheme="minorEastAsia"/>
          <w:szCs w:val="21"/>
        </w:rPr>
        <w:t>支持、</w:t>
      </w:r>
      <w:r w:rsidRPr="003307CA">
        <w:rPr>
          <w:rFonts w:asciiTheme="minorEastAsia" w:eastAsiaTheme="minorEastAsia" w:hAnsiTheme="minorEastAsia" w:hint="eastAsia"/>
          <w:szCs w:val="21"/>
        </w:rPr>
        <w:t>操作</w:t>
      </w:r>
      <w:r w:rsidRPr="003307CA">
        <w:rPr>
          <w:rFonts w:asciiTheme="minorEastAsia" w:eastAsiaTheme="minorEastAsia" w:hAnsiTheme="minorEastAsia"/>
          <w:szCs w:val="21"/>
        </w:rPr>
        <w:t>效率等具有更高的要求，基金管理人在执行以上投资品种的投资策略</w:t>
      </w:r>
      <w:r w:rsidRPr="003307CA">
        <w:rPr>
          <w:rFonts w:asciiTheme="minorEastAsia" w:eastAsiaTheme="minorEastAsia" w:hAnsiTheme="minorEastAsia" w:hint="eastAsia"/>
          <w:szCs w:val="21"/>
        </w:rPr>
        <w:t>时</w:t>
      </w:r>
      <w:r w:rsidRPr="003307CA">
        <w:rPr>
          <w:rFonts w:asciiTheme="minorEastAsia" w:eastAsiaTheme="minorEastAsia" w:hAnsiTheme="minorEastAsia"/>
          <w:szCs w:val="21"/>
        </w:rPr>
        <w:t>，有可能面临因</w:t>
      </w:r>
      <w:r w:rsidRPr="003307CA">
        <w:rPr>
          <w:rFonts w:asciiTheme="minorEastAsia" w:eastAsiaTheme="minorEastAsia" w:hAnsiTheme="minorEastAsia" w:hint="eastAsia"/>
          <w:szCs w:val="21"/>
        </w:rPr>
        <w:t>境内</w:t>
      </w:r>
      <w:r w:rsidRPr="003307CA">
        <w:rPr>
          <w:rFonts w:asciiTheme="minorEastAsia" w:eastAsiaTheme="minorEastAsia" w:hAnsiTheme="minorEastAsia"/>
          <w:szCs w:val="21"/>
        </w:rPr>
        <w:t>基金托管人、</w:t>
      </w:r>
      <w:r w:rsidRPr="003307CA">
        <w:rPr>
          <w:rFonts w:asciiTheme="minorEastAsia" w:eastAsiaTheme="minorEastAsia" w:hAnsiTheme="minorEastAsia" w:hint="eastAsia"/>
          <w:szCs w:val="21"/>
        </w:rPr>
        <w:t>境外</w:t>
      </w:r>
      <w:r w:rsidRPr="003307CA">
        <w:rPr>
          <w:rFonts w:asciiTheme="minorEastAsia" w:eastAsiaTheme="minorEastAsia" w:hAnsiTheme="minorEastAsia"/>
          <w:szCs w:val="21"/>
        </w:rPr>
        <w:t>基金托管人、境外证券交易所、境外期货交易所、境外证券与期货登记结算机构</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第三方服务机构的</w:t>
      </w:r>
      <w:r w:rsidRPr="003307CA">
        <w:rPr>
          <w:rFonts w:asciiTheme="minorEastAsia" w:eastAsiaTheme="minorEastAsia" w:hAnsiTheme="minorEastAsia" w:hint="eastAsia"/>
          <w:szCs w:val="21"/>
        </w:rPr>
        <w:t>技术</w:t>
      </w:r>
      <w:r w:rsidRPr="003307CA">
        <w:rPr>
          <w:rFonts w:asciiTheme="minorEastAsia" w:eastAsiaTheme="minorEastAsia" w:hAnsiTheme="minorEastAsia"/>
          <w:szCs w:val="21"/>
        </w:rPr>
        <w:t>系统问题、</w:t>
      </w:r>
      <w:r w:rsidRPr="003307CA">
        <w:rPr>
          <w:rFonts w:asciiTheme="minorEastAsia" w:eastAsiaTheme="minorEastAsia" w:hAnsiTheme="minorEastAsia" w:hint="eastAsia"/>
          <w:szCs w:val="21"/>
        </w:rPr>
        <w:t>指令</w:t>
      </w:r>
      <w:r w:rsidRPr="003307CA">
        <w:rPr>
          <w:rFonts w:asciiTheme="minorEastAsia" w:eastAsiaTheme="minorEastAsia" w:hAnsiTheme="minorEastAsia"/>
          <w:szCs w:val="21"/>
        </w:rPr>
        <w:t>执行流程正确性、</w:t>
      </w:r>
      <w:r w:rsidRPr="003307CA">
        <w:rPr>
          <w:rFonts w:asciiTheme="minorEastAsia" w:eastAsiaTheme="minorEastAsia" w:hAnsiTheme="minorEastAsia" w:hint="eastAsia"/>
          <w:szCs w:val="21"/>
        </w:rPr>
        <w:t>指令</w:t>
      </w:r>
      <w:r w:rsidRPr="003307CA">
        <w:rPr>
          <w:rFonts w:asciiTheme="minorEastAsia" w:eastAsiaTheme="minorEastAsia" w:hAnsiTheme="minorEastAsia"/>
          <w:szCs w:val="21"/>
        </w:rPr>
        <w:t>执行效率</w:t>
      </w:r>
      <w:r w:rsidRPr="003307CA">
        <w:rPr>
          <w:rFonts w:asciiTheme="minorEastAsia" w:eastAsiaTheme="minorEastAsia" w:hAnsiTheme="minorEastAsia" w:hint="eastAsia"/>
          <w:szCs w:val="21"/>
        </w:rPr>
        <w:t>等问题</w:t>
      </w:r>
      <w:r w:rsidRPr="003307CA">
        <w:rPr>
          <w:rFonts w:asciiTheme="minorEastAsia" w:eastAsiaTheme="minorEastAsia" w:hAnsiTheme="minorEastAsia"/>
          <w:szCs w:val="21"/>
        </w:rPr>
        <w:t>而导致的不能够及时、有效地实施或实现基金管理人投资策略的风险。</w:t>
      </w:r>
    </w:p>
    <w:p w:rsidR="00FA0A50" w:rsidRPr="003307CA" w:rsidRDefault="00394FBC" w:rsidP="0054364B">
      <w:pPr>
        <w:spacing w:line="360" w:lineRule="auto"/>
        <w:ind w:firstLineChars="225" w:firstLine="473"/>
        <w:rPr>
          <w:rFonts w:asciiTheme="minorEastAsia" w:eastAsiaTheme="minorEastAsia" w:hAnsiTheme="minorEastAsia"/>
          <w:szCs w:val="21"/>
        </w:rPr>
      </w:pPr>
      <w:r w:rsidRPr="003307CA">
        <w:rPr>
          <w:rFonts w:asciiTheme="minorEastAsia" w:eastAsiaTheme="minorEastAsia" w:hAnsiTheme="minorEastAsia"/>
          <w:szCs w:val="21"/>
        </w:rPr>
        <w:t>4</w:t>
      </w:r>
      <w:r w:rsidR="00FA0A50" w:rsidRPr="003307CA">
        <w:rPr>
          <w:rFonts w:asciiTheme="minorEastAsia" w:eastAsiaTheme="minorEastAsia" w:hAnsiTheme="minorEastAsia"/>
          <w:szCs w:val="21"/>
        </w:rPr>
        <w:t>、</w:t>
      </w:r>
      <w:bookmarkStart w:id="15" w:name="_Toc299547541"/>
      <w:bookmarkStart w:id="16" w:name="_Toc299616127"/>
      <w:bookmarkStart w:id="17" w:name="_Toc308079789"/>
      <w:bookmarkStart w:id="18" w:name="_Toc308190032"/>
      <w:bookmarkStart w:id="19" w:name="_Toc309285761"/>
      <w:bookmarkStart w:id="20" w:name="_Toc310510736"/>
      <w:r w:rsidR="00FA0A50" w:rsidRPr="003307CA">
        <w:rPr>
          <w:rFonts w:asciiTheme="minorEastAsia" w:eastAsiaTheme="minorEastAsia" w:hAnsiTheme="minorEastAsia" w:hint="eastAsia"/>
          <w:szCs w:val="21"/>
        </w:rPr>
        <w:t>第三方机构服务的风险</w:t>
      </w:r>
      <w:bookmarkEnd w:id="15"/>
      <w:bookmarkEnd w:id="16"/>
      <w:bookmarkEnd w:id="17"/>
      <w:bookmarkEnd w:id="18"/>
      <w:bookmarkEnd w:id="19"/>
      <w:bookmarkEnd w:id="20"/>
    </w:p>
    <w:p w:rsidR="00FA0A50" w:rsidRPr="003307CA" w:rsidRDefault="00FA0A50" w:rsidP="0054364B">
      <w:pPr>
        <w:widowControl/>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本基金的部分服务委托第三方机构办理，存在以下风险：</w:t>
      </w:r>
    </w:p>
    <w:p w:rsidR="00FA0A50" w:rsidRPr="003307CA" w:rsidRDefault="00FA0A50" w:rsidP="0054364B">
      <w:pPr>
        <w:spacing w:line="360" w:lineRule="auto"/>
        <w:ind w:firstLineChars="225" w:firstLine="473"/>
        <w:rPr>
          <w:rFonts w:asciiTheme="minorEastAsia" w:eastAsiaTheme="minorEastAsia" w:hAnsiTheme="minorEastAsia"/>
          <w:szCs w:val="21"/>
        </w:rPr>
      </w:pPr>
      <w:r w:rsidRPr="003307CA">
        <w:rPr>
          <w:rFonts w:asciiTheme="minorEastAsia" w:eastAsiaTheme="minorEastAsia" w:hAnsiTheme="minorEastAsia" w:hint="eastAsia"/>
          <w:szCs w:val="21"/>
        </w:rPr>
        <w:t>证券交易所、期货交易所、证券与期货登记结算机构、基金托管人及其他代理机构可能违约，导致基金或投资者利益受损的风险。</w:t>
      </w:r>
    </w:p>
    <w:p w:rsidR="00FA0A50" w:rsidRPr="003307CA" w:rsidRDefault="00394FBC" w:rsidP="0054364B">
      <w:pPr>
        <w:spacing w:line="360" w:lineRule="auto"/>
        <w:ind w:firstLineChars="225" w:firstLine="473"/>
        <w:rPr>
          <w:rFonts w:asciiTheme="minorEastAsia" w:eastAsiaTheme="minorEastAsia" w:hAnsiTheme="minorEastAsia"/>
          <w:szCs w:val="21"/>
        </w:rPr>
      </w:pPr>
      <w:r w:rsidRPr="003307CA">
        <w:rPr>
          <w:rFonts w:asciiTheme="minorEastAsia" w:eastAsiaTheme="minorEastAsia" w:hAnsiTheme="minorEastAsia"/>
          <w:szCs w:val="21"/>
        </w:rPr>
        <w:t>5</w:t>
      </w:r>
      <w:r w:rsidR="00FA0A50" w:rsidRPr="003307CA">
        <w:rPr>
          <w:rFonts w:asciiTheme="minorEastAsia" w:eastAsiaTheme="minorEastAsia" w:hAnsiTheme="minorEastAsia"/>
          <w:szCs w:val="21"/>
        </w:rPr>
        <w:t>、</w:t>
      </w:r>
      <w:bookmarkStart w:id="21" w:name="_Toc299616128"/>
      <w:bookmarkStart w:id="22" w:name="_Toc308079790"/>
      <w:bookmarkStart w:id="23" w:name="_Toc308190033"/>
      <w:bookmarkStart w:id="24" w:name="_Toc309285762"/>
      <w:bookmarkStart w:id="25" w:name="_Toc310510737"/>
      <w:r w:rsidR="00FA0A50" w:rsidRPr="003307CA">
        <w:rPr>
          <w:rFonts w:asciiTheme="minorEastAsia" w:eastAsiaTheme="minorEastAsia" w:hAnsiTheme="minorEastAsia" w:hint="eastAsia"/>
          <w:szCs w:val="21"/>
        </w:rPr>
        <w:t>管理风险</w:t>
      </w:r>
      <w:bookmarkEnd w:id="21"/>
      <w:bookmarkEnd w:id="22"/>
      <w:bookmarkEnd w:id="23"/>
      <w:bookmarkEnd w:id="24"/>
      <w:bookmarkEnd w:id="25"/>
    </w:p>
    <w:p w:rsidR="00FA0A50" w:rsidRPr="003307CA" w:rsidRDefault="00FA0A50" w:rsidP="008C40A3">
      <w:pPr>
        <w:widowControl/>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FA0A50" w:rsidRPr="003307CA" w:rsidRDefault="00FA0A50" w:rsidP="00FA0A50">
      <w:pPr>
        <w:widowControl/>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相关当事人在业务各环节操作过程中，可能因内部控制存在缺陷或者人为因素造成操作失误或违反操作规程等引致风险，例如，越权违规交易、欺诈行为及交易错误等风险。</w:t>
      </w:r>
    </w:p>
    <w:p w:rsidR="00FA0A50" w:rsidRPr="003307CA" w:rsidRDefault="00394FBC" w:rsidP="00FA0A50">
      <w:pPr>
        <w:widowControl/>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szCs w:val="21"/>
        </w:rPr>
        <w:t>6</w:t>
      </w:r>
      <w:r w:rsidR="00FA0A50" w:rsidRPr="003307CA">
        <w:rPr>
          <w:rFonts w:asciiTheme="minorEastAsia" w:eastAsiaTheme="minorEastAsia" w:hAnsiTheme="minorEastAsia"/>
          <w:szCs w:val="21"/>
        </w:rPr>
        <w:t>、</w:t>
      </w:r>
      <w:r w:rsidR="00FA0A50" w:rsidRPr="003307CA">
        <w:rPr>
          <w:rFonts w:asciiTheme="minorEastAsia" w:eastAsiaTheme="minorEastAsia" w:hAnsiTheme="minorEastAsia" w:hint="eastAsia"/>
          <w:szCs w:val="21"/>
        </w:rPr>
        <w:t>关于引入</w:t>
      </w:r>
      <w:r w:rsidR="00FA0A50" w:rsidRPr="003307CA">
        <w:rPr>
          <w:rFonts w:asciiTheme="minorEastAsia" w:eastAsiaTheme="minorEastAsia" w:hAnsiTheme="minorEastAsia"/>
          <w:szCs w:val="21"/>
        </w:rPr>
        <w:t>境外托管人的相关风险</w:t>
      </w:r>
    </w:p>
    <w:p w:rsidR="00FA0A50" w:rsidRPr="003307CA" w:rsidRDefault="00FA0A50" w:rsidP="00FA0A50">
      <w:pPr>
        <w:widowControl/>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1）</w:t>
      </w:r>
      <w:r w:rsidRPr="003307CA">
        <w:rPr>
          <w:rFonts w:asciiTheme="minorEastAsia" w:eastAsiaTheme="minorEastAsia" w:hAnsiTheme="minorEastAsia" w:hint="eastAsia"/>
          <w:szCs w:val="21"/>
        </w:rPr>
        <w:t>境外第三方机构</w:t>
      </w:r>
      <w:r w:rsidRPr="003307CA">
        <w:rPr>
          <w:rFonts w:asciiTheme="minorEastAsia" w:eastAsiaTheme="minorEastAsia" w:hAnsiTheme="minorEastAsia"/>
          <w:szCs w:val="21"/>
        </w:rPr>
        <w:t>服务的风险</w:t>
      </w:r>
    </w:p>
    <w:p w:rsidR="00FA0A50" w:rsidRPr="003307CA" w:rsidRDefault="00FA0A50" w:rsidP="00FA0A50">
      <w:pPr>
        <w:widowControl/>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基金投资</w:t>
      </w:r>
      <w:r w:rsidRPr="003307CA">
        <w:rPr>
          <w:rFonts w:asciiTheme="minorEastAsia" w:eastAsiaTheme="minorEastAsia" w:hAnsiTheme="minorEastAsia" w:hint="eastAsia"/>
          <w:szCs w:val="21"/>
        </w:rPr>
        <w:t>于境外市场，部分</w:t>
      </w:r>
      <w:r w:rsidRPr="003307CA">
        <w:rPr>
          <w:rFonts w:asciiTheme="minorEastAsia" w:eastAsiaTheme="minorEastAsia" w:hAnsiTheme="minorEastAsia"/>
          <w:szCs w:val="21"/>
        </w:rPr>
        <w:t>服务需委托投资所在国家或地区的证券登记、清算机构、第三方数据和信息来源机构</w:t>
      </w:r>
      <w:r w:rsidRPr="003307CA">
        <w:rPr>
          <w:rFonts w:asciiTheme="minorEastAsia" w:eastAsiaTheme="minorEastAsia" w:hAnsiTheme="minorEastAsia" w:hint="eastAsia"/>
          <w:szCs w:val="21"/>
        </w:rPr>
        <w:t>等</w:t>
      </w:r>
      <w:r w:rsidRPr="003307CA">
        <w:rPr>
          <w:rFonts w:asciiTheme="minorEastAsia" w:eastAsiaTheme="minorEastAsia" w:hAnsiTheme="minorEastAsia"/>
          <w:szCs w:val="21"/>
        </w:rPr>
        <w:t>其他机构</w:t>
      </w:r>
      <w:r w:rsidRPr="003307CA">
        <w:rPr>
          <w:rFonts w:asciiTheme="minorEastAsia" w:eastAsiaTheme="minorEastAsia" w:hAnsiTheme="minorEastAsia" w:hint="eastAsia"/>
          <w:szCs w:val="21"/>
        </w:rPr>
        <w:t>来办理，</w:t>
      </w:r>
      <w:r w:rsidRPr="003307CA">
        <w:rPr>
          <w:rFonts w:asciiTheme="minorEastAsia" w:eastAsiaTheme="minorEastAsia" w:hAnsiTheme="minorEastAsia"/>
          <w:szCs w:val="21"/>
        </w:rPr>
        <w:t>这些机构</w:t>
      </w:r>
      <w:r w:rsidRPr="003307CA">
        <w:rPr>
          <w:rFonts w:asciiTheme="minorEastAsia" w:eastAsiaTheme="minorEastAsia" w:hAnsiTheme="minorEastAsia" w:hint="eastAsia"/>
          <w:szCs w:val="21"/>
        </w:rPr>
        <w:t>根据</w:t>
      </w:r>
      <w:r w:rsidRPr="003307CA">
        <w:rPr>
          <w:rFonts w:asciiTheme="minorEastAsia" w:eastAsiaTheme="minorEastAsia" w:hAnsiTheme="minorEastAsia"/>
          <w:szCs w:val="21"/>
        </w:rPr>
        <w:t>基金托管人与境外托管人所</w:t>
      </w:r>
      <w:r w:rsidRPr="003307CA">
        <w:rPr>
          <w:rFonts w:asciiTheme="minorEastAsia" w:eastAsiaTheme="minorEastAsia" w:hAnsiTheme="minorEastAsia" w:hint="eastAsia"/>
          <w:szCs w:val="21"/>
        </w:rPr>
        <w:t>签</w:t>
      </w:r>
      <w:r w:rsidRPr="003307CA">
        <w:rPr>
          <w:rFonts w:asciiTheme="minorEastAsia" w:eastAsiaTheme="minorEastAsia" w:hAnsiTheme="minorEastAsia" w:hint="eastAsia"/>
          <w:szCs w:val="21"/>
        </w:rPr>
        <w:lastRenderedPageBreak/>
        <w:t>署</w:t>
      </w:r>
      <w:r w:rsidRPr="003307CA">
        <w:rPr>
          <w:rFonts w:asciiTheme="minorEastAsia" w:eastAsiaTheme="minorEastAsia" w:hAnsiTheme="minorEastAsia"/>
          <w:szCs w:val="21"/>
        </w:rPr>
        <w:t>的次托管协议</w:t>
      </w:r>
      <w:r w:rsidRPr="003307CA">
        <w:rPr>
          <w:rFonts w:asciiTheme="minorEastAsia" w:eastAsiaTheme="minorEastAsia" w:hAnsiTheme="minorEastAsia" w:hint="eastAsia"/>
          <w:szCs w:val="21"/>
        </w:rPr>
        <w:t>由</w:t>
      </w:r>
      <w:r w:rsidRPr="003307CA">
        <w:rPr>
          <w:rFonts w:asciiTheme="minorEastAsia" w:eastAsiaTheme="minorEastAsia" w:hAnsiTheme="minorEastAsia"/>
          <w:szCs w:val="21"/>
        </w:rPr>
        <w:t>境外托管人委任</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但</w:t>
      </w:r>
      <w:r w:rsidRPr="003307CA">
        <w:rPr>
          <w:rFonts w:asciiTheme="minorEastAsia" w:eastAsiaTheme="minorEastAsia" w:hAnsiTheme="minorEastAsia" w:hint="eastAsia"/>
          <w:szCs w:val="21"/>
        </w:rPr>
        <w:t>基金</w:t>
      </w:r>
      <w:r w:rsidRPr="003307CA">
        <w:rPr>
          <w:rFonts w:asciiTheme="minorEastAsia" w:eastAsiaTheme="minorEastAsia" w:hAnsiTheme="minorEastAsia"/>
          <w:szCs w:val="21"/>
        </w:rPr>
        <w:t>托管人对相关司法管辖区域内的证券登记、清算机构、第三方数据和信息来源机构、根据当地法律法规及市场惯例无法向该服务提供方追偿的其他机构所引起的损失不负责任。</w:t>
      </w:r>
      <w:r w:rsidRPr="003307CA">
        <w:rPr>
          <w:rFonts w:asciiTheme="minorEastAsia" w:eastAsiaTheme="minorEastAsia" w:hAnsiTheme="minorEastAsia" w:hint="eastAsia"/>
          <w:szCs w:val="21"/>
        </w:rPr>
        <w:t>因此</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当出现上述</w:t>
      </w:r>
      <w:r w:rsidRPr="003307CA">
        <w:rPr>
          <w:rFonts w:asciiTheme="minorEastAsia" w:eastAsiaTheme="minorEastAsia" w:hAnsiTheme="minorEastAsia"/>
          <w:szCs w:val="21"/>
        </w:rPr>
        <w:t>第三方机构</w:t>
      </w:r>
      <w:r w:rsidRPr="003307CA">
        <w:rPr>
          <w:rFonts w:asciiTheme="minorEastAsia" w:eastAsiaTheme="minorEastAsia" w:hAnsiTheme="minorEastAsia" w:hint="eastAsia"/>
          <w:szCs w:val="21"/>
        </w:rPr>
        <w:t>提供</w:t>
      </w:r>
      <w:r w:rsidRPr="003307CA">
        <w:rPr>
          <w:rFonts w:asciiTheme="minorEastAsia" w:eastAsiaTheme="minorEastAsia" w:hAnsiTheme="minorEastAsia"/>
          <w:szCs w:val="21"/>
        </w:rPr>
        <w:t>服务</w:t>
      </w:r>
      <w:r w:rsidRPr="003307CA">
        <w:rPr>
          <w:rFonts w:asciiTheme="minorEastAsia" w:eastAsiaTheme="minorEastAsia" w:hAnsiTheme="minorEastAsia" w:hint="eastAsia"/>
          <w:szCs w:val="21"/>
        </w:rPr>
        <w:t>出现</w:t>
      </w:r>
      <w:r w:rsidRPr="003307CA">
        <w:rPr>
          <w:rFonts w:asciiTheme="minorEastAsia" w:eastAsiaTheme="minorEastAsia" w:hAnsiTheme="minorEastAsia"/>
          <w:szCs w:val="21"/>
        </w:rPr>
        <w:t>差错时，将造成基金资产损失的风险。</w:t>
      </w:r>
    </w:p>
    <w:p w:rsidR="00FA0A50" w:rsidRPr="003307CA" w:rsidRDefault="00FA0A50" w:rsidP="00FA0A50">
      <w:pPr>
        <w:widowControl/>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2）</w:t>
      </w:r>
      <w:r w:rsidRPr="003307CA">
        <w:rPr>
          <w:rFonts w:asciiTheme="minorEastAsia" w:eastAsiaTheme="minorEastAsia" w:hAnsiTheme="minorEastAsia" w:hint="eastAsia"/>
          <w:szCs w:val="21"/>
        </w:rPr>
        <w:t>法律</w:t>
      </w:r>
      <w:r w:rsidRPr="003307CA">
        <w:rPr>
          <w:rFonts w:asciiTheme="minorEastAsia" w:eastAsiaTheme="minorEastAsia" w:hAnsiTheme="minorEastAsia"/>
          <w:szCs w:val="21"/>
        </w:rPr>
        <w:t>风险</w:t>
      </w:r>
    </w:p>
    <w:p w:rsidR="00FA0A50" w:rsidRPr="003307CA" w:rsidRDefault="00FA0A50" w:rsidP="002843F6">
      <w:pPr>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hint="eastAsia"/>
          <w:szCs w:val="21"/>
        </w:rPr>
        <w:t>由于境外所适用法律法规与中国法律法规有所不同的原因，可能导致本基金的某些投资及运作行为在境外受到限制或合同不能正常执行，从而使得基金资产面临损失风险。包括但不限于：本基金涉及境外托管人，托管资产中的现金可能依据境外托管人注册地的法律法规，归入其清算财产，由此可能造成基金资产的损失。</w:t>
      </w:r>
    </w:p>
    <w:p w:rsidR="0064594E" w:rsidRPr="003307CA" w:rsidRDefault="00BF65A5"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二</w:t>
      </w:r>
      <w:r w:rsidRPr="003307CA">
        <w:rPr>
          <w:rFonts w:asciiTheme="minorEastAsia" w:eastAsiaTheme="minorEastAsia" w:hAnsiTheme="minorEastAsia" w:cs="Arial"/>
          <w:szCs w:val="21"/>
        </w:rPr>
        <w:t>、</w:t>
      </w:r>
      <w:r w:rsidR="0064594E" w:rsidRPr="003307CA">
        <w:rPr>
          <w:rFonts w:asciiTheme="minorEastAsia" w:eastAsiaTheme="minorEastAsia" w:hAnsiTheme="minorEastAsia" w:cs="Arial" w:hint="eastAsia"/>
          <w:szCs w:val="21"/>
        </w:rPr>
        <w:t>投资风险</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w:t>
      </w:r>
      <w:r w:rsidR="0064594E" w:rsidRPr="003307CA">
        <w:rPr>
          <w:rFonts w:asciiTheme="minorEastAsia" w:eastAsiaTheme="minorEastAsia" w:hAnsiTheme="minorEastAsia" w:cs="Arial"/>
          <w:szCs w:val="21"/>
        </w:rPr>
        <w:t>市场风险</w:t>
      </w:r>
      <w:r w:rsidR="0064594E" w:rsidRPr="003307CA">
        <w:rPr>
          <w:rFonts w:asciiTheme="minorEastAsia" w:eastAsiaTheme="minorEastAsia" w:hAnsiTheme="minorEastAsia" w:cs="Arial" w:hint="eastAsia"/>
          <w:szCs w:val="21"/>
        </w:rPr>
        <w:t>：本基金投资于海外市场，面临市场波动带来的风险。影响金融市场波动的因素比较复杂，包括经济发展、政策变化、资金供求、公司盈利的变化、利率汇率波动等，都将影响基金净值的升跌。</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2、</w:t>
      </w:r>
      <w:r w:rsidR="0064594E" w:rsidRPr="003307CA">
        <w:rPr>
          <w:rFonts w:asciiTheme="minorEastAsia" w:eastAsiaTheme="minorEastAsia" w:hAnsiTheme="minorEastAsia" w:cs="Arial" w:hint="eastAsia"/>
          <w:szCs w:val="21"/>
        </w:rPr>
        <w:t>政府管制风险：在特殊情况下，部分发展中国家有可能采取政府管制措施，包括没收公司财产、对货币兑换进行限制、限制资本外流、征收高额税收、取消经营资格等，会对基金投资造成影响。</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3、</w:t>
      </w:r>
      <w:r w:rsidR="0064594E" w:rsidRPr="003307CA">
        <w:rPr>
          <w:rFonts w:asciiTheme="minorEastAsia" w:eastAsiaTheme="minorEastAsia" w:hAnsiTheme="minorEastAsia" w:cs="Arial" w:hint="eastAsia"/>
          <w:szCs w:val="21"/>
        </w:rPr>
        <w:t>政治风险：基金投资的国家</w:t>
      </w:r>
      <w:r w:rsidR="008467E3" w:rsidRPr="003307CA">
        <w:rPr>
          <w:rFonts w:asciiTheme="minorEastAsia" w:eastAsiaTheme="minorEastAsia" w:hAnsiTheme="minorEastAsia" w:cs="Arial" w:hint="eastAsia"/>
          <w:szCs w:val="21"/>
        </w:rPr>
        <w:t>/地区</w:t>
      </w:r>
      <w:r w:rsidR="0064594E" w:rsidRPr="003307CA">
        <w:rPr>
          <w:rFonts w:asciiTheme="minorEastAsia" w:eastAsiaTheme="minorEastAsia" w:hAnsiTheme="minorEastAsia" w:cs="Arial" w:hint="eastAsia"/>
          <w:szCs w:val="21"/>
        </w:rPr>
        <w:t>政治、经济、社会结构不稳定，可能发生政府的快速更替、政策变化、地区冲突、发生恐怖袭击、战争、暴动等，从而影响经济增长、行业发展，导致证券和货币市场大幅波动，最终对基金净值产生不利影响。</w:t>
      </w:r>
    </w:p>
    <w:p w:rsidR="003D1651"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4、</w:t>
      </w:r>
      <w:r w:rsidR="0064594E" w:rsidRPr="003307CA">
        <w:rPr>
          <w:rFonts w:asciiTheme="minorEastAsia" w:eastAsiaTheme="minorEastAsia" w:hAnsiTheme="minorEastAsia" w:cs="Arial" w:hint="eastAsia"/>
          <w:szCs w:val="21"/>
        </w:rPr>
        <w:t>流动性风险：</w:t>
      </w:r>
    </w:p>
    <w:p w:rsidR="00CD3B3A" w:rsidRPr="003307CA" w:rsidRDefault="000E5F6B" w:rsidP="001223DA">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1）流动性风险评估</w:t>
      </w:r>
    </w:p>
    <w:p w:rsidR="0064594E" w:rsidRPr="003307CA" w:rsidRDefault="0064594E"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流动性风险指基金在短时间内购买以及售出金融工具，成交价格较远地偏离了真实价值。</w:t>
      </w:r>
      <w:r w:rsidR="003D1651" w:rsidRPr="003307CA">
        <w:rPr>
          <w:rFonts w:asciiTheme="minorEastAsia" w:eastAsiaTheme="minorEastAsia" w:hAnsiTheme="minorEastAsia" w:hint="eastAsia"/>
          <w:szCs w:val="21"/>
        </w:rPr>
        <w:t>本基金可</w:t>
      </w:r>
      <w:r w:rsidR="003D1651" w:rsidRPr="003307CA">
        <w:rPr>
          <w:rFonts w:asciiTheme="minorEastAsia" w:eastAsiaTheme="minorEastAsia" w:hAnsiTheme="minorEastAsia"/>
          <w:szCs w:val="21"/>
        </w:rPr>
        <w:t>投资</w:t>
      </w:r>
      <w:r w:rsidR="005938E7" w:rsidRPr="003307CA">
        <w:rPr>
          <w:rFonts w:asciiTheme="minorEastAsia" w:eastAsiaTheme="minorEastAsia" w:hAnsiTheme="minorEastAsia" w:cs="Arial" w:hint="eastAsia"/>
          <w:szCs w:val="21"/>
        </w:rPr>
        <w:t>权益类品种</w:t>
      </w:r>
      <w:r w:rsidR="003D1651" w:rsidRPr="003307CA">
        <w:rPr>
          <w:rFonts w:asciiTheme="minorEastAsia" w:eastAsiaTheme="minorEastAsia" w:hAnsiTheme="minorEastAsia" w:hint="eastAsia"/>
          <w:szCs w:val="21"/>
        </w:rPr>
        <w:t>、</w:t>
      </w:r>
      <w:r w:rsidR="005938E7" w:rsidRPr="003307CA">
        <w:rPr>
          <w:rFonts w:asciiTheme="minorEastAsia" w:eastAsiaTheme="minorEastAsia" w:hAnsiTheme="minorEastAsia" w:cs="Arial" w:hint="eastAsia"/>
          <w:szCs w:val="21"/>
        </w:rPr>
        <w:t>固定收益类品种</w:t>
      </w:r>
      <w:r w:rsidR="003D1651" w:rsidRPr="003307CA">
        <w:rPr>
          <w:rFonts w:asciiTheme="minorEastAsia" w:eastAsiaTheme="minorEastAsia" w:hAnsiTheme="minorEastAsia" w:hint="eastAsia"/>
          <w:szCs w:val="21"/>
        </w:rPr>
        <w:t>、货币市场工具等，一般情况下，这些资产市场流动性较好。</w:t>
      </w:r>
      <w:r w:rsidR="003D1651" w:rsidRPr="003307CA">
        <w:rPr>
          <w:rFonts w:asciiTheme="minorEastAsia" w:eastAsiaTheme="minorEastAsia" w:hAnsiTheme="minorEastAsia" w:hint="eastAsia"/>
        </w:rPr>
        <w:t>但本基金投资于上述资产时，仍存在以下流动性风险</w:t>
      </w:r>
      <w:r w:rsidR="003D1651" w:rsidRPr="003307CA">
        <w:rPr>
          <w:rFonts w:asciiTheme="minorEastAsia" w:eastAsiaTheme="minorEastAsia" w:hAnsiTheme="minorEastAsia"/>
        </w:rPr>
        <w:t>：</w:t>
      </w:r>
      <w:r w:rsidRPr="003307CA">
        <w:rPr>
          <w:rFonts w:asciiTheme="minorEastAsia" w:eastAsiaTheme="minorEastAsia" w:hAnsiTheme="minorEastAsia" w:cs="Arial" w:hint="eastAsia"/>
          <w:szCs w:val="21"/>
        </w:rPr>
        <w:t>当某国</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cs="Arial" w:hint="eastAsia"/>
          <w:szCs w:val="21"/>
        </w:rPr>
        <w:t>的资本市场规模较小，金融市场不发达，某金融品种流通市值较低，参与机构数量较少，成交不活跃，以及基金需要在短时间内进行大量交易时，有可能发生流动性风险，导致基金难以快速建仓，或在出现大额赎回时，被迫在不利价格大量抛售证券，使基金净值遭受不利影响。</w:t>
      </w:r>
    </w:p>
    <w:p w:rsidR="003D1651" w:rsidRPr="003307CA" w:rsidRDefault="003D1651" w:rsidP="003D1651">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（2）巨额赎回情形下的流动性风险管理措施</w:t>
      </w:r>
    </w:p>
    <w:p w:rsidR="003D1651" w:rsidRPr="003307CA" w:rsidRDefault="003D1651" w:rsidP="003D1651">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w:t>
      </w:r>
      <w:r w:rsidRPr="003307CA">
        <w:rPr>
          <w:rFonts w:asciiTheme="minorEastAsia" w:eastAsiaTheme="minorEastAsia" w:hAnsiTheme="minorEastAsia" w:hint="eastAsia"/>
        </w:rPr>
        <w:lastRenderedPageBreak/>
        <w:t>的赎回申请实施延期办理。具体情形、程序见招募说明书“第</w:t>
      </w:r>
      <w:r w:rsidR="004E5A69" w:rsidRPr="003307CA">
        <w:rPr>
          <w:rFonts w:asciiTheme="minorEastAsia" w:eastAsiaTheme="minorEastAsia" w:hAnsiTheme="minorEastAsia" w:hint="eastAsia"/>
        </w:rPr>
        <w:t>九</w:t>
      </w:r>
      <w:r w:rsidRPr="003307CA">
        <w:rPr>
          <w:rFonts w:asciiTheme="minorEastAsia" w:eastAsiaTheme="minorEastAsia" w:hAnsiTheme="minorEastAsia" w:hint="eastAsia"/>
        </w:rPr>
        <w:t>节基金份额的申购、赎回”之“十</w:t>
      </w:r>
      <w:r w:rsidR="004E5A69" w:rsidRPr="003307CA">
        <w:rPr>
          <w:rFonts w:asciiTheme="minorEastAsia" w:eastAsiaTheme="minorEastAsia" w:hAnsiTheme="minorEastAsia" w:hint="eastAsia"/>
        </w:rPr>
        <w:t>四</w:t>
      </w:r>
      <w:r w:rsidRPr="003307CA">
        <w:rPr>
          <w:rFonts w:asciiTheme="minorEastAsia" w:eastAsiaTheme="minorEastAsia" w:hAnsiTheme="minorEastAsia"/>
        </w:rPr>
        <w:t>、</w:t>
      </w:r>
      <w:r w:rsidRPr="003307CA">
        <w:rPr>
          <w:rFonts w:asciiTheme="minorEastAsia" w:eastAsiaTheme="minorEastAsia" w:hAnsiTheme="minorEastAsia" w:hint="eastAsia"/>
        </w:rPr>
        <w:t>巨额赎回的认定及处理方式”。</w:t>
      </w:r>
    </w:p>
    <w:p w:rsidR="003D1651" w:rsidRPr="003307CA" w:rsidRDefault="003D1651" w:rsidP="003D1651">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3D1651" w:rsidRPr="003307CA" w:rsidRDefault="003D1651" w:rsidP="003D1651">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（3）除巨额赎回情形外实施备用的流动性风险管理工具的情形、程序及对投资者的潜在影响</w:t>
      </w:r>
    </w:p>
    <w:p w:rsidR="003D1651" w:rsidRPr="003307CA" w:rsidRDefault="003D1651" w:rsidP="003D1651">
      <w:pPr>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3D1651" w:rsidRPr="003307CA" w:rsidRDefault="003D1651" w:rsidP="003D1651">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暂停接受赎回申请、延缓支付赎回款项等工具的情形、程序见招募说明书“</w:t>
      </w:r>
      <w:r w:rsidRPr="003307CA">
        <w:rPr>
          <w:rFonts w:asciiTheme="minorEastAsia" w:eastAsiaTheme="minorEastAsia" w:hAnsiTheme="minorEastAsia" w:hint="eastAsia"/>
        </w:rPr>
        <w:t>第</w:t>
      </w:r>
      <w:r w:rsidR="0044387D" w:rsidRPr="003307CA">
        <w:rPr>
          <w:rFonts w:asciiTheme="minorEastAsia" w:eastAsiaTheme="minorEastAsia" w:hAnsiTheme="minorEastAsia" w:hint="eastAsia"/>
        </w:rPr>
        <w:t>九</w:t>
      </w:r>
      <w:r w:rsidRPr="003307CA">
        <w:rPr>
          <w:rFonts w:asciiTheme="minorEastAsia" w:eastAsiaTheme="minorEastAsia" w:hAnsiTheme="minorEastAsia" w:hint="eastAsia"/>
        </w:rPr>
        <w:t>节</w:t>
      </w:r>
      <w:r w:rsidRPr="003307CA">
        <w:rPr>
          <w:rFonts w:asciiTheme="minorEastAsia" w:eastAsiaTheme="minorEastAsia" w:hAnsiTheme="minorEastAsia" w:hint="eastAsia"/>
          <w:szCs w:val="21"/>
        </w:rPr>
        <w:t>基金份额的申购、赎回”之“</w:t>
      </w:r>
      <w:r w:rsidR="0044387D" w:rsidRPr="003307CA">
        <w:rPr>
          <w:rFonts w:asciiTheme="minorEastAsia" w:eastAsiaTheme="minorEastAsia" w:hAnsiTheme="minorEastAsia" w:hint="eastAsia"/>
          <w:szCs w:val="21"/>
        </w:rPr>
        <w:t>十一</w:t>
      </w:r>
      <w:r w:rsidRPr="003307CA">
        <w:rPr>
          <w:rFonts w:asciiTheme="minorEastAsia" w:eastAsiaTheme="minorEastAsia" w:hAnsiTheme="minorEastAsia" w:hint="eastAsia"/>
          <w:szCs w:val="21"/>
        </w:rPr>
        <w:t>、暂停赎回或者延缓支付赎回款项的情形及处理方式”的相关规定。若本基金暂停赎回申请，投</w:t>
      </w:r>
      <w:r w:rsidRPr="003307CA">
        <w:rPr>
          <w:rFonts w:asciiTheme="minorEastAsia" w:eastAsiaTheme="minorEastAsia" w:hAnsiTheme="minorEastAsia" w:hint="eastAsia"/>
        </w:rPr>
        <w:t>资者在暂停赎回期间将无法赎回其持有的基金份额。若</w:t>
      </w:r>
      <w:r w:rsidRPr="003307CA">
        <w:rPr>
          <w:rFonts w:asciiTheme="minorEastAsia" w:eastAsiaTheme="minorEastAsia" w:hAnsiTheme="minorEastAsia" w:hint="eastAsia"/>
          <w:szCs w:val="21"/>
        </w:rPr>
        <w:t>本基金延缓支付赎回款项，赎回款支付时间将后延，可能对投资者的资金安排带来不利影响。</w:t>
      </w:r>
    </w:p>
    <w:p w:rsidR="003D1651" w:rsidRPr="003307CA" w:rsidRDefault="003D1651" w:rsidP="003D1651">
      <w:pPr>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3D1651" w:rsidRPr="003307CA" w:rsidRDefault="003D1651" w:rsidP="003D1651">
      <w:pPr>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暂停基金估值的情形、程序见招募说明书“</w:t>
      </w:r>
      <w:r w:rsidR="00D11E29" w:rsidRPr="003307CA">
        <w:rPr>
          <w:rFonts w:asciiTheme="minorEastAsia" w:eastAsiaTheme="minorEastAsia" w:hAnsiTheme="minorEastAsia" w:hint="eastAsia"/>
          <w:szCs w:val="21"/>
        </w:rPr>
        <w:t>第十二</w:t>
      </w:r>
      <w:r w:rsidRPr="003307CA">
        <w:rPr>
          <w:rFonts w:asciiTheme="minorEastAsia" w:eastAsiaTheme="minorEastAsia" w:hAnsiTheme="minorEastAsia" w:hint="eastAsia"/>
          <w:szCs w:val="21"/>
        </w:rPr>
        <w:t>节基金资产估值”之“</w:t>
      </w:r>
      <w:r w:rsidR="00D11E29" w:rsidRPr="003307CA">
        <w:rPr>
          <w:rFonts w:asciiTheme="minorEastAsia" w:eastAsiaTheme="minorEastAsia" w:hAnsiTheme="minorEastAsia" w:hint="eastAsia"/>
          <w:szCs w:val="21"/>
        </w:rPr>
        <w:t>六</w:t>
      </w:r>
      <w:r w:rsidRPr="003307CA">
        <w:rPr>
          <w:rFonts w:asciiTheme="minorEastAsia" w:eastAsiaTheme="minorEastAsia" w:hAnsiTheme="minorEastAsia" w:hint="eastAsia"/>
          <w:szCs w:val="21"/>
        </w:rPr>
        <w:t>、</w:t>
      </w:r>
      <w:r w:rsidR="00D11E29" w:rsidRPr="003307CA">
        <w:rPr>
          <w:rFonts w:asciiTheme="minorEastAsia" w:eastAsiaTheme="minorEastAsia" w:hAnsiTheme="minorEastAsia" w:hint="eastAsia"/>
          <w:szCs w:val="21"/>
        </w:rPr>
        <w:t>可</w:t>
      </w:r>
      <w:r w:rsidRPr="003307CA">
        <w:rPr>
          <w:rFonts w:asciiTheme="minorEastAsia" w:eastAsiaTheme="minorEastAsia" w:hAnsiTheme="minorEastAsia" w:hint="eastAsia"/>
          <w:szCs w:val="21"/>
        </w:rPr>
        <w:t>暂停估值的情形”的相关规定。若本基金暂停基金估值，一方面投资者将无法知晓本基金的基金份额净值，</w:t>
      </w:r>
      <w:r w:rsidR="00371105" w:rsidRPr="003307CA">
        <w:rPr>
          <w:rFonts w:asciiTheme="minorEastAsia" w:eastAsiaTheme="minorEastAsia" w:hAnsiTheme="minorEastAsia" w:hint="eastAsia"/>
          <w:szCs w:val="21"/>
        </w:rPr>
        <w:t>另一方面基金将</w:t>
      </w:r>
      <w:r w:rsidR="00371105" w:rsidRPr="003307CA">
        <w:rPr>
          <w:rFonts w:asciiTheme="minorEastAsia" w:eastAsiaTheme="minorEastAsia" w:hAnsiTheme="minorEastAsia" w:hint="eastAsia"/>
        </w:rPr>
        <w:t>延缓支付赎回款项或</w:t>
      </w:r>
      <w:r w:rsidR="00371105" w:rsidRPr="003307CA">
        <w:rPr>
          <w:rFonts w:asciiTheme="minorEastAsia" w:eastAsiaTheme="minorEastAsia" w:hAnsiTheme="minorEastAsia" w:hint="eastAsia"/>
          <w:szCs w:val="21"/>
        </w:rPr>
        <w:t>暂停接受申购赎回申请，</w:t>
      </w:r>
      <w:r w:rsidR="00371105" w:rsidRPr="003307CA">
        <w:rPr>
          <w:rFonts w:asciiTheme="minorEastAsia" w:eastAsiaTheme="minorEastAsia" w:hAnsiTheme="minorEastAsia" w:hint="eastAsia"/>
        </w:rPr>
        <w:t>延缓支付赎回款项可能影响投资者的资金安排，</w:t>
      </w:r>
      <w:r w:rsidR="00371105" w:rsidRPr="003307CA">
        <w:rPr>
          <w:rFonts w:asciiTheme="minorEastAsia" w:eastAsiaTheme="minorEastAsia" w:hAnsiTheme="minorEastAsia" w:hint="eastAsia"/>
          <w:szCs w:val="21"/>
        </w:rPr>
        <w:t>暂停接受申购赎回申请将导致投资者无法申购或赎回本基金</w:t>
      </w:r>
      <w:r w:rsidRPr="003307CA">
        <w:rPr>
          <w:rFonts w:asciiTheme="minorEastAsia" w:eastAsiaTheme="minorEastAsia" w:hAnsiTheme="minorEastAsia" w:hint="eastAsia"/>
          <w:szCs w:val="21"/>
        </w:rPr>
        <w:t>。</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5、</w:t>
      </w:r>
      <w:r w:rsidR="0064594E" w:rsidRPr="003307CA">
        <w:rPr>
          <w:rFonts w:asciiTheme="minorEastAsia" w:eastAsiaTheme="minorEastAsia" w:hAnsiTheme="minorEastAsia" w:cs="Arial" w:hint="eastAsia"/>
          <w:szCs w:val="21"/>
        </w:rPr>
        <w:t>汇率风险：本基金投资于海外市场，海外市场金融品种以外币计价，如果所投资市场的货币相对于人民币贬值，将对基金收益产生不利影响；外币对人民币的汇率大幅波动也将加大基金净值波动的幅度。</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6、</w:t>
      </w:r>
      <w:r w:rsidR="0064594E" w:rsidRPr="003307CA">
        <w:rPr>
          <w:rFonts w:asciiTheme="minorEastAsia" w:eastAsiaTheme="minorEastAsia" w:hAnsiTheme="minorEastAsia" w:cs="Arial" w:hint="eastAsia"/>
          <w:szCs w:val="21"/>
        </w:rPr>
        <w:t>利率风险：</w:t>
      </w:r>
      <w:r w:rsidR="0064594E" w:rsidRPr="003307CA">
        <w:rPr>
          <w:rFonts w:asciiTheme="minorEastAsia" w:eastAsiaTheme="minorEastAsia" w:hAnsiTheme="minorEastAsia" w:cs="Arial"/>
          <w:szCs w:val="21"/>
        </w:rPr>
        <w:t>金融市场利率的波动会导致证券市场价格和收益率的变动。利率直接影响着债券的价格和收益率，影响着企业的融资成本和利润。基金投资于债券和股票，其收益水平可能会受到利率变化的影响。</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7、</w:t>
      </w:r>
      <w:r w:rsidR="0064594E" w:rsidRPr="003307CA">
        <w:rPr>
          <w:rFonts w:asciiTheme="minorEastAsia" w:eastAsiaTheme="minorEastAsia" w:hAnsiTheme="minorEastAsia" w:cs="Arial" w:hint="eastAsia"/>
          <w:szCs w:val="21"/>
        </w:rPr>
        <w:t>衍生品风险：尽管本基金将谨慎地使用衍生品进行投资，衍生品仍可能给基金带来额外风险，包括交易对手的信用风险、衍生品价格与其基础品种的相关度降低带来的风险、基金净值的波动幅度加大等。在本基金中，衍生品将仅用于避险和进行组合的有效管理。</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8、</w:t>
      </w:r>
      <w:r w:rsidR="0064594E" w:rsidRPr="003307CA">
        <w:rPr>
          <w:rFonts w:asciiTheme="minorEastAsia" w:eastAsiaTheme="minorEastAsia" w:hAnsiTheme="minorEastAsia" w:cs="Arial" w:hint="eastAsia"/>
          <w:szCs w:val="21"/>
        </w:rPr>
        <w:t>新兴市场风险：本基金有可能投资于新兴市场。新兴市场国家</w:t>
      </w:r>
      <w:r w:rsidR="008467E3" w:rsidRPr="003307CA">
        <w:rPr>
          <w:rFonts w:asciiTheme="minorEastAsia" w:eastAsiaTheme="minorEastAsia" w:hAnsiTheme="minorEastAsia" w:cs="Arial" w:hint="eastAsia"/>
          <w:szCs w:val="21"/>
        </w:rPr>
        <w:t>/地区</w:t>
      </w:r>
      <w:r w:rsidR="0064594E" w:rsidRPr="003307CA">
        <w:rPr>
          <w:rFonts w:asciiTheme="minorEastAsia" w:eastAsiaTheme="minorEastAsia" w:hAnsiTheme="minorEastAsia" w:cs="Arial" w:hint="eastAsia"/>
          <w:szCs w:val="21"/>
        </w:rPr>
        <w:t>仍处于现代化发展的初</w:t>
      </w:r>
      <w:r w:rsidR="009B0E2F" w:rsidRPr="003307CA">
        <w:rPr>
          <w:rFonts w:asciiTheme="minorEastAsia" w:eastAsiaTheme="minorEastAsia" w:hAnsiTheme="minorEastAsia" w:cs="Arial" w:hint="eastAsia"/>
          <w:szCs w:val="21"/>
        </w:rPr>
        <w:t>级</w:t>
      </w:r>
      <w:r w:rsidR="0064594E" w:rsidRPr="003307CA">
        <w:rPr>
          <w:rFonts w:asciiTheme="minorEastAsia" w:eastAsiaTheme="minorEastAsia" w:hAnsiTheme="minorEastAsia" w:cs="Arial" w:hint="eastAsia"/>
          <w:szCs w:val="21"/>
        </w:rPr>
        <w:t>阶段，难以预计的改变有可能影响基金净值。新兴市场政府会维持高度而直接的经</w:t>
      </w:r>
      <w:r w:rsidR="0064594E" w:rsidRPr="003307CA">
        <w:rPr>
          <w:rFonts w:asciiTheme="minorEastAsia" w:eastAsiaTheme="minorEastAsia" w:hAnsiTheme="minorEastAsia" w:cs="Arial" w:hint="eastAsia"/>
          <w:szCs w:val="21"/>
        </w:rPr>
        <w:lastRenderedPageBreak/>
        <w:t>济控制权，可能采取一些突然而且影响深远的行动。国有化、征用私人财产、提高税收、外汇管制、政治变动、政府规定</w:t>
      </w:r>
      <w:r w:rsidR="009B0E2F" w:rsidRPr="003307CA">
        <w:rPr>
          <w:rFonts w:asciiTheme="minorEastAsia" w:eastAsiaTheme="minorEastAsia" w:hAnsiTheme="minorEastAsia" w:cs="Arial" w:hint="eastAsia"/>
          <w:szCs w:val="21"/>
        </w:rPr>
        <w:t>的变化</w:t>
      </w:r>
      <w:r w:rsidR="0064594E" w:rsidRPr="003307CA">
        <w:rPr>
          <w:rFonts w:asciiTheme="minorEastAsia" w:eastAsiaTheme="minorEastAsia" w:hAnsiTheme="minorEastAsia" w:cs="Arial" w:hint="eastAsia"/>
          <w:szCs w:val="21"/>
        </w:rPr>
        <w:t>、社会不稳定或外交事件，均有可能对新兴市场经济以及基金所投资的金融工具构成不良影响。此外，投资新兴市场还面临市场流动性不足、价格波动大、对外国投资及本金汇出有管制、高通胀、高利率的风险。</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9、</w:t>
      </w:r>
      <w:r w:rsidR="0064594E" w:rsidRPr="003307CA">
        <w:rPr>
          <w:rFonts w:asciiTheme="minorEastAsia" w:eastAsiaTheme="minorEastAsia" w:hAnsiTheme="minorEastAsia" w:cs="Arial" w:hint="eastAsia"/>
          <w:szCs w:val="21"/>
        </w:rPr>
        <w:t>金融模型风险：</w:t>
      </w:r>
      <w:r w:rsidR="009B0E2F" w:rsidRPr="003307CA">
        <w:rPr>
          <w:rFonts w:asciiTheme="minorEastAsia" w:eastAsiaTheme="minorEastAsia" w:hAnsiTheme="minorEastAsia" w:cs="Arial" w:hint="eastAsia"/>
          <w:szCs w:val="21"/>
        </w:rPr>
        <w:t>基金</w:t>
      </w:r>
      <w:r w:rsidR="0064594E" w:rsidRPr="003307CA">
        <w:rPr>
          <w:rFonts w:asciiTheme="minorEastAsia" w:eastAsiaTheme="minorEastAsia" w:hAnsiTheme="minorEastAsia" w:cs="Arial" w:hint="eastAsia"/>
          <w:szCs w:val="21"/>
        </w:rPr>
        <w:t>管理人有时会使用金融模型来进行资产定价、趋势判断、风险评估等，辅助其做出投资决策。但是金融模型通常是建立在一系列的学术假设之上的，投资实践和学术假设之间存在一定的差距；而且金融模型结论的准确性往往受制于模型使用的数据的精确性。因此，</w:t>
      </w:r>
      <w:r w:rsidR="009B0E2F" w:rsidRPr="003307CA">
        <w:rPr>
          <w:rFonts w:asciiTheme="minorEastAsia" w:eastAsiaTheme="minorEastAsia" w:hAnsiTheme="minorEastAsia" w:cs="Arial" w:hint="eastAsia"/>
          <w:szCs w:val="21"/>
        </w:rPr>
        <w:t>基金管理人</w:t>
      </w:r>
      <w:r w:rsidR="0064594E" w:rsidRPr="003307CA">
        <w:rPr>
          <w:rFonts w:asciiTheme="minorEastAsia" w:eastAsiaTheme="minorEastAsia" w:hAnsiTheme="minorEastAsia" w:cs="Arial" w:hint="eastAsia"/>
          <w:szCs w:val="21"/>
        </w:rPr>
        <w:t>在使用金融模型时，面临出现错误结论的可能性，</w:t>
      </w:r>
      <w:r w:rsidR="009B0E2F" w:rsidRPr="003307CA">
        <w:rPr>
          <w:rFonts w:asciiTheme="minorEastAsia" w:eastAsiaTheme="minorEastAsia" w:hAnsiTheme="minorEastAsia" w:cs="Arial" w:hint="eastAsia"/>
          <w:szCs w:val="21"/>
        </w:rPr>
        <w:t>形成投资</w:t>
      </w:r>
      <w:r w:rsidR="0064594E" w:rsidRPr="003307CA">
        <w:rPr>
          <w:rFonts w:asciiTheme="minorEastAsia" w:eastAsiaTheme="minorEastAsia" w:hAnsiTheme="minorEastAsia" w:cs="Arial" w:hint="eastAsia"/>
          <w:szCs w:val="21"/>
        </w:rPr>
        <w:t>风险。</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10、</w:t>
      </w:r>
      <w:r w:rsidR="0064594E" w:rsidRPr="003307CA">
        <w:rPr>
          <w:rFonts w:asciiTheme="minorEastAsia" w:eastAsiaTheme="minorEastAsia" w:hAnsiTheme="minorEastAsia" w:cs="Arial" w:hint="eastAsia"/>
          <w:szCs w:val="21"/>
        </w:rPr>
        <w:t>信用风险：信用风险是指基金在交易过程发生交收违约，或者基金所投资债券之发行人出现违约、拒绝支付到期本息，都可能导致基金资产损失和收益变化。</w:t>
      </w:r>
    </w:p>
    <w:p w:rsidR="0064594E" w:rsidRPr="003307CA" w:rsidRDefault="00BF65A5"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三</w:t>
      </w:r>
      <w:r w:rsidRPr="003307CA">
        <w:rPr>
          <w:rFonts w:asciiTheme="minorEastAsia" w:eastAsiaTheme="minorEastAsia" w:hAnsiTheme="minorEastAsia" w:cs="Arial"/>
          <w:szCs w:val="21"/>
        </w:rPr>
        <w:t>、</w:t>
      </w:r>
      <w:r w:rsidR="0064594E" w:rsidRPr="003307CA">
        <w:rPr>
          <w:rFonts w:asciiTheme="minorEastAsia" w:eastAsiaTheme="minorEastAsia" w:hAnsiTheme="minorEastAsia" w:cs="Arial" w:hint="eastAsia"/>
          <w:szCs w:val="21"/>
        </w:rPr>
        <w:t>基金运作风险</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w:t>
      </w:r>
      <w:r w:rsidR="0064594E" w:rsidRPr="003307CA">
        <w:rPr>
          <w:rFonts w:asciiTheme="minorEastAsia" w:eastAsiaTheme="minorEastAsia" w:hAnsiTheme="minorEastAsia" w:cs="Arial" w:hint="eastAsia"/>
          <w:szCs w:val="21"/>
        </w:rPr>
        <w:t>操作风险：在开放式基金的各种交易行为或者后台运作中，可能因为技术系统的故障或者差错而影响交易的正常进行或者导致投资者的利益受到影响。这种操作风险可能来自基金管理公司、注册登记机构、销售机构、交易对手、托管行、证券交易所、证券登记结算机构等。</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2、</w:t>
      </w:r>
      <w:r w:rsidR="0064594E" w:rsidRPr="003307CA">
        <w:rPr>
          <w:rFonts w:asciiTheme="minorEastAsia" w:eastAsiaTheme="minorEastAsia" w:hAnsiTheme="minorEastAsia" w:cs="Arial" w:hint="eastAsia"/>
          <w:szCs w:val="21"/>
        </w:rPr>
        <w:t>会计核算风险：会计核算风险主要是指由于会计核算及会计管理上违规操作形成的风险或错误,通常是指基金管理人在计算、整理、制证、填单、登账、编表、保管及其相关业务处理中,由于客观原因与非主观故意所造成的行为过失，从而对基金收益造成影响的风险。</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3、</w:t>
      </w:r>
      <w:r w:rsidR="0064594E" w:rsidRPr="003307CA">
        <w:rPr>
          <w:rFonts w:asciiTheme="minorEastAsia" w:eastAsiaTheme="minorEastAsia" w:hAnsiTheme="minorEastAsia" w:cs="Arial" w:hint="eastAsia"/>
          <w:szCs w:val="21"/>
        </w:rPr>
        <w:t>法律及税务风险：基金所投资的国家</w:t>
      </w:r>
      <w:r w:rsidR="008467E3" w:rsidRPr="003307CA">
        <w:rPr>
          <w:rFonts w:asciiTheme="minorEastAsia" w:eastAsiaTheme="minorEastAsia" w:hAnsiTheme="minorEastAsia" w:cs="Arial" w:hint="eastAsia"/>
          <w:szCs w:val="21"/>
        </w:rPr>
        <w:t>/地区</w:t>
      </w:r>
      <w:r w:rsidR="0064594E" w:rsidRPr="003307CA">
        <w:rPr>
          <w:rFonts w:asciiTheme="minorEastAsia" w:eastAsiaTheme="minorEastAsia" w:hAnsiTheme="minorEastAsia" w:cs="Arial" w:hint="eastAsia"/>
          <w:szCs w:val="21"/>
        </w:rPr>
        <w:t>在法律法规、税务政策可能与国内不同，海外市场可能要求基金就股息、利息、资本利得等收益向当地税务机构缴纳税金，使基金收益受到一定影响。此外，各国</w:t>
      </w:r>
      <w:r w:rsidR="008467E3" w:rsidRPr="003307CA">
        <w:rPr>
          <w:rFonts w:asciiTheme="minorEastAsia" w:eastAsiaTheme="minorEastAsia" w:hAnsiTheme="minorEastAsia" w:cs="Arial" w:hint="eastAsia"/>
          <w:szCs w:val="21"/>
        </w:rPr>
        <w:t>/地区</w:t>
      </w:r>
      <w:r w:rsidR="0064594E" w:rsidRPr="003307CA">
        <w:rPr>
          <w:rFonts w:asciiTheme="minorEastAsia" w:eastAsiaTheme="minorEastAsia" w:hAnsiTheme="minorEastAsia" w:cs="Arial" w:hint="eastAsia"/>
          <w:szCs w:val="21"/>
        </w:rPr>
        <w:t>的法律及税收规定可能发生变化，有可能对基金造成不利影响</w:t>
      </w:r>
      <w:r w:rsidR="001B3D1F" w:rsidRPr="003307CA">
        <w:rPr>
          <w:rFonts w:asciiTheme="minorEastAsia" w:eastAsiaTheme="minorEastAsia" w:hAnsiTheme="minorEastAsia" w:cs="Arial" w:hint="eastAsia"/>
          <w:szCs w:val="21"/>
        </w:rPr>
        <w:t>。</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4、</w:t>
      </w:r>
      <w:r w:rsidR="0064594E" w:rsidRPr="003307CA">
        <w:rPr>
          <w:rFonts w:asciiTheme="minorEastAsia" w:eastAsiaTheme="minorEastAsia" w:hAnsiTheme="minorEastAsia" w:cs="Arial" w:hint="eastAsia"/>
          <w:szCs w:val="21"/>
        </w:rPr>
        <w:t>交易结算风险：海外的证券交易佣金可能比国内高。海外股票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rsidR="0064594E"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5、</w:t>
      </w:r>
      <w:r w:rsidR="0064594E" w:rsidRPr="003307CA">
        <w:rPr>
          <w:rFonts w:asciiTheme="minorEastAsia" w:eastAsiaTheme="minorEastAsia" w:hAnsiTheme="minorEastAsia" w:cs="Arial" w:hint="eastAsia"/>
          <w:szCs w:val="21"/>
        </w:rPr>
        <w:t>证券借贷/正回购/逆回购风险：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p>
    <w:p w:rsidR="00286242" w:rsidRPr="003307CA" w:rsidRDefault="00286242" w:rsidP="006D35EC">
      <w:pPr>
        <w:snapToGrid w:val="0"/>
        <w:spacing w:line="360" w:lineRule="auto"/>
        <w:ind w:firstLineChars="200" w:firstLine="420"/>
        <w:rPr>
          <w:rFonts w:asciiTheme="minorEastAsia" w:eastAsiaTheme="minorEastAsia" w:hAnsiTheme="minorEastAsia" w:cs="Arial"/>
          <w:szCs w:val="21"/>
        </w:rPr>
      </w:pPr>
      <w:bookmarkStart w:id="26" w:name="_Toc323050962"/>
      <w:r w:rsidRPr="003307CA">
        <w:rPr>
          <w:rFonts w:asciiTheme="minorEastAsia" w:eastAsiaTheme="minorEastAsia" w:hAnsiTheme="minorEastAsia" w:cs="Arial" w:hint="eastAsia"/>
          <w:szCs w:val="21"/>
        </w:rPr>
        <w:t>四</w:t>
      </w:r>
      <w:r w:rsidRPr="003307CA">
        <w:rPr>
          <w:rFonts w:asciiTheme="minorEastAsia" w:eastAsiaTheme="minorEastAsia" w:hAnsiTheme="minorEastAsia" w:cs="Arial"/>
          <w:szCs w:val="21"/>
        </w:rPr>
        <w:t>、</w:t>
      </w:r>
      <w:r w:rsidRPr="003307CA">
        <w:rPr>
          <w:rFonts w:asciiTheme="minorEastAsia" w:eastAsiaTheme="minorEastAsia" w:hAnsiTheme="minorEastAsia" w:cs="Arial" w:hint="eastAsia"/>
          <w:szCs w:val="21"/>
        </w:rPr>
        <w:t>本基金法律文件中涉及基金风险特征的表述与销售机构对基金的风险评级可能不一</w:t>
      </w:r>
      <w:r w:rsidRPr="003307CA">
        <w:rPr>
          <w:rFonts w:asciiTheme="minorEastAsia" w:eastAsiaTheme="minorEastAsia" w:hAnsiTheme="minorEastAsia" w:cs="Arial" w:hint="eastAsia"/>
          <w:szCs w:val="21"/>
        </w:rPr>
        <w:lastRenderedPageBreak/>
        <w:t>致的风险</w:t>
      </w:r>
    </w:p>
    <w:p w:rsidR="00286242" w:rsidRPr="003307CA" w:rsidRDefault="00286242" w:rsidP="00286242">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001E34" w:rsidRPr="003307CA" w:rsidRDefault="00286242"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五</w:t>
      </w:r>
      <w:r w:rsidR="00001E34" w:rsidRPr="003307CA">
        <w:rPr>
          <w:rFonts w:asciiTheme="minorEastAsia" w:eastAsiaTheme="minorEastAsia" w:hAnsiTheme="minorEastAsia" w:cs="Arial" w:hint="eastAsia"/>
          <w:szCs w:val="21"/>
        </w:rPr>
        <w:t>、</w:t>
      </w:r>
      <w:r w:rsidR="00BF65A5" w:rsidRPr="003307CA">
        <w:rPr>
          <w:rFonts w:asciiTheme="minorEastAsia" w:eastAsiaTheme="minorEastAsia" w:hAnsiTheme="minorEastAsia" w:cs="Arial" w:hint="eastAsia"/>
          <w:szCs w:val="21"/>
        </w:rPr>
        <w:t>其他风险</w:t>
      </w:r>
      <w:bookmarkEnd w:id="26"/>
    </w:p>
    <w:p w:rsidR="00001E34" w:rsidRPr="003307CA" w:rsidRDefault="00BF65A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rPr>
        <w:t>、不可抗力风险：</w:t>
      </w:r>
      <w:r w:rsidR="00001E34" w:rsidRPr="003307CA">
        <w:rPr>
          <w:rFonts w:asciiTheme="minorEastAsia" w:eastAsiaTheme="minorEastAsia" w:hAnsiTheme="minorEastAsia" w:hint="eastAsia"/>
        </w:rPr>
        <w:t>战争、自然灾害等不可抗力可能导致基金资产遭受损失。基金管理人、基金托管人、证券交易所、登记结算机构和</w:t>
      </w:r>
      <w:r w:rsidR="0035376D" w:rsidRPr="003307CA">
        <w:rPr>
          <w:rFonts w:asciiTheme="minorEastAsia" w:eastAsiaTheme="minorEastAsia" w:hAnsiTheme="minorEastAsia" w:hint="eastAsia"/>
        </w:rPr>
        <w:t>销售</w:t>
      </w:r>
      <w:r w:rsidR="00001E34" w:rsidRPr="003307CA">
        <w:rPr>
          <w:rFonts w:asciiTheme="minorEastAsia" w:eastAsiaTheme="minorEastAsia" w:hAnsiTheme="minorEastAsia" w:hint="eastAsia"/>
        </w:rPr>
        <w:t>机构等可能因不可抗力无法正常工作,从而影响基金的各项业务按正常时限完成、使投资者和持有人无法及时查询权益、进行日常交易以致利益受损。</w:t>
      </w:r>
    </w:p>
    <w:p w:rsidR="00BF65A5" w:rsidRPr="003307CA" w:rsidRDefault="00BF65A5" w:rsidP="00CE3F81">
      <w:pPr>
        <w:snapToGrid w:val="0"/>
        <w:spacing w:line="360" w:lineRule="auto"/>
        <w:ind w:firstLineChars="200" w:firstLine="420"/>
        <w:rPr>
          <w:rFonts w:asciiTheme="minorEastAsia" w:eastAsiaTheme="minorEastAsia" w:hAnsiTheme="minorEastAsia"/>
          <w:sz w:val="24"/>
        </w:rPr>
      </w:pPr>
      <w:r w:rsidRPr="003307CA">
        <w:rPr>
          <w:rFonts w:asciiTheme="minorEastAsia" w:eastAsiaTheme="minorEastAsia" w:hAnsiTheme="minorEastAsia" w:hint="eastAsia"/>
        </w:rPr>
        <w:t>2</w:t>
      </w:r>
      <w:r w:rsidRPr="003307CA">
        <w:rPr>
          <w:rFonts w:asciiTheme="minorEastAsia" w:eastAsiaTheme="minorEastAsia" w:hAnsiTheme="minorEastAsia"/>
        </w:rPr>
        <w:t>、</w:t>
      </w:r>
      <w:r w:rsidRPr="003307CA">
        <w:rPr>
          <w:rFonts w:asciiTheme="minorEastAsia" w:eastAsiaTheme="minorEastAsia" w:hAnsiTheme="minorEastAsia"/>
          <w:szCs w:val="21"/>
        </w:rPr>
        <w:t>第三方风险：本基金运作的当事人，如：管理人、境内/境外托管行和券商等，在合作中自身没有过错，但是当事人委托的或无任何关系的第三方的作为可能影响到当事人，并且进一步影响到基金的收益。</w:t>
      </w:r>
    </w:p>
    <w:p w:rsidR="0064594E" w:rsidRPr="003307CA" w:rsidRDefault="0064594E" w:rsidP="00CE3F81">
      <w:pPr>
        <w:snapToGrid w:val="0"/>
        <w:spacing w:line="360" w:lineRule="auto"/>
        <w:ind w:firstLineChars="200" w:firstLine="422"/>
        <w:rPr>
          <w:rFonts w:asciiTheme="minorEastAsia" w:eastAsiaTheme="minorEastAsia" w:hAnsiTheme="minorEastAsia"/>
          <w:b/>
        </w:rPr>
      </w:pPr>
    </w:p>
    <w:p w:rsidR="0064594E" w:rsidRPr="003307CA" w:rsidRDefault="0064594E" w:rsidP="00CE3F81">
      <w:pPr>
        <w:pStyle w:val="CharCharCharCharCharCharChar"/>
        <w:tabs>
          <w:tab w:val="clear" w:pos="780"/>
        </w:tabs>
        <w:snapToGrid w:val="0"/>
        <w:spacing w:after="0" w:line="360" w:lineRule="auto"/>
        <w:ind w:left="0" w:firstLineChars="200" w:firstLine="422"/>
        <w:textAlignment w:val="baseline"/>
        <w:rPr>
          <w:rFonts w:asciiTheme="minorEastAsia" w:eastAsiaTheme="minorEastAsia" w:hAnsiTheme="minorEastAsia"/>
          <w:b/>
          <w:sz w:val="21"/>
        </w:rPr>
      </w:pPr>
    </w:p>
    <w:p w:rsidR="00885D50" w:rsidRPr="003307CA" w:rsidRDefault="00885D50" w:rsidP="00885D50">
      <w:pPr>
        <w:pStyle w:val="30"/>
        <w:rPr>
          <w:rFonts w:asciiTheme="minorEastAsia" w:eastAsiaTheme="minorEastAsia" w:hAnsiTheme="minorEastAsia"/>
        </w:rPr>
      </w:pPr>
    </w:p>
    <w:p w:rsidR="00885D50" w:rsidRPr="003307CA" w:rsidRDefault="00885D50" w:rsidP="00885D50">
      <w:pPr>
        <w:pStyle w:val="30"/>
        <w:rPr>
          <w:rFonts w:asciiTheme="minorEastAsia" w:eastAsiaTheme="minorEastAsia" w:hAnsiTheme="minorEastAsia"/>
        </w:rPr>
      </w:pPr>
    </w:p>
    <w:p w:rsidR="00885D50" w:rsidRPr="003307CA" w:rsidRDefault="00885D50" w:rsidP="00885D50">
      <w:pPr>
        <w:pStyle w:val="30"/>
        <w:rPr>
          <w:rFonts w:asciiTheme="minorEastAsia" w:eastAsiaTheme="minorEastAsia" w:hAnsiTheme="minorEastAsia"/>
        </w:rPr>
      </w:pPr>
    </w:p>
    <w:p w:rsidR="00885D50" w:rsidRPr="003307CA" w:rsidRDefault="00885D50" w:rsidP="00885D50">
      <w:pPr>
        <w:pStyle w:val="30"/>
        <w:rPr>
          <w:rFonts w:asciiTheme="minorEastAsia" w:eastAsiaTheme="minorEastAsia" w:hAnsiTheme="minorEastAsia"/>
        </w:rPr>
      </w:pPr>
    </w:p>
    <w:p w:rsidR="00885D50" w:rsidRPr="003307CA" w:rsidRDefault="00885D50" w:rsidP="00885D50">
      <w:pPr>
        <w:pStyle w:val="30"/>
        <w:rPr>
          <w:rFonts w:asciiTheme="minorEastAsia" w:eastAsiaTheme="minorEastAsia" w:hAnsiTheme="minorEastAsia"/>
        </w:rPr>
      </w:pPr>
    </w:p>
    <w:p w:rsidR="00885D50" w:rsidRPr="003307CA" w:rsidRDefault="00885D50" w:rsidP="00885D50">
      <w:pPr>
        <w:pStyle w:val="30"/>
        <w:rPr>
          <w:rFonts w:asciiTheme="minorEastAsia" w:eastAsiaTheme="minorEastAsia" w:hAnsiTheme="minorEastAsia"/>
        </w:rPr>
      </w:pPr>
    </w:p>
    <w:p w:rsidR="00885D50" w:rsidRPr="003307CA" w:rsidRDefault="00885D50" w:rsidP="00885D50">
      <w:pPr>
        <w:pStyle w:val="30"/>
        <w:rPr>
          <w:rFonts w:asciiTheme="minorEastAsia" w:eastAsiaTheme="minorEastAsia" w:hAnsiTheme="minorEastAsia"/>
        </w:rPr>
      </w:pPr>
    </w:p>
    <w:p w:rsidR="00885D50" w:rsidRPr="003307CA" w:rsidRDefault="00885D50" w:rsidP="00885D50">
      <w:pPr>
        <w:pStyle w:val="30"/>
        <w:rPr>
          <w:rFonts w:asciiTheme="minorEastAsia" w:eastAsiaTheme="minorEastAsia" w:hAnsiTheme="minorEastAsia"/>
        </w:rPr>
      </w:pPr>
    </w:p>
    <w:p w:rsidR="00BD0B00" w:rsidRPr="003307CA" w:rsidRDefault="00BD0B00" w:rsidP="00885D50">
      <w:pPr>
        <w:pStyle w:val="30"/>
        <w:rPr>
          <w:rFonts w:asciiTheme="minorEastAsia" w:eastAsiaTheme="minorEastAsia" w:hAnsiTheme="minorEastAsia"/>
        </w:rPr>
        <w:sectPr w:rsidR="00BD0B00" w:rsidRPr="003307CA">
          <w:pgSz w:w="11906" w:h="16838" w:code="9"/>
          <w:pgMar w:top="1440" w:right="1800" w:bottom="1440" w:left="1800" w:header="851" w:footer="992" w:gutter="0"/>
          <w:cols w:space="425"/>
          <w:docGrid w:type="lines" w:linePitch="312"/>
        </w:sectPr>
      </w:pPr>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27" w:name="_Toc44351061"/>
      <w:r w:rsidRPr="003307CA">
        <w:rPr>
          <w:rFonts w:asciiTheme="minorEastAsia" w:eastAsiaTheme="minorEastAsia" w:hAnsiTheme="minorEastAsia" w:hint="eastAsia"/>
        </w:rPr>
        <w:lastRenderedPageBreak/>
        <w:t>基金的投资</w:t>
      </w:r>
      <w:bookmarkEnd w:id="27"/>
    </w:p>
    <w:p w:rsidR="0064594E" w:rsidRPr="003307CA" w:rsidRDefault="00EF128F" w:rsidP="00CE3F81">
      <w:pPr>
        <w:pStyle w:val="2"/>
        <w:snapToGrid w:val="0"/>
        <w:spacing w:beforeLines="0" w:afterLines="0" w:line="360" w:lineRule="auto"/>
        <w:ind w:firstLine="560"/>
        <w:rPr>
          <w:rFonts w:asciiTheme="minorEastAsia" w:eastAsiaTheme="minorEastAsia" w:hAnsiTheme="minorEastAsia"/>
          <w:b w:val="0"/>
        </w:rPr>
      </w:pPr>
      <w:bookmarkStart w:id="28" w:name="_Toc52310848"/>
      <w:bookmarkStart w:id="29" w:name="_Toc64861723"/>
      <w:bookmarkStart w:id="30" w:name="_Toc44351062"/>
      <w:r w:rsidRPr="003307CA">
        <w:rPr>
          <w:rFonts w:asciiTheme="minorEastAsia" w:eastAsiaTheme="minorEastAsia" w:hAnsiTheme="minorEastAsia" w:hint="eastAsia"/>
          <w:b w:val="0"/>
        </w:rPr>
        <w:t>一、</w:t>
      </w:r>
      <w:r w:rsidR="0064594E" w:rsidRPr="003307CA">
        <w:rPr>
          <w:rFonts w:asciiTheme="minorEastAsia" w:eastAsiaTheme="minorEastAsia" w:hAnsiTheme="minorEastAsia" w:hint="eastAsia"/>
          <w:b w:val="0"/>
        </w:rPr>
        <w:t>投资目标</w:t>
      </w:r>
      <w:bookmarkEnd w:id="28"/>
      <w:bookmarkEnd w:id="29"/>
      <w:bookmarkEnd w:id="30"/>
    </w:p>
    <w:p w:rsidR="0064594E" w:rsidRPr="003307CA" w:rsidRDefault="0064594E" w:rsidP="00CE3F81">
      <w:pPr>
        <w:snapToGrid w:val="0"/>
        <w:spacing w:line="360" w:lineRule="auto"/>
        <w:ind w:firstLineChars="200" w:firstLine="420"/>
        <w:rPr>
          <w:rFonts w:asciiTheme="minorEastAsia" w:eastAsiaTheme="minorEastAsia" w:hAnsiTheme="minorEastAsia" w:cs="Arial"/>
          <w:szCs w:val="21"/>
        </w:rPr>
      </w:pPr>
      <w:bookmarkStart w:id="31" w:name="_Toc52310849"/>
      <w:bookmarkStart w:id="32" w:name="_Toc64861724"/>
      <w:r w:rsidRPr="003307CA">
        <w:rPr>
          <w:rFonts w:asciiTheme="minorEastAsia" w:eastAsiaTheme="minorEastAsia" w:hAnsiTheme="minorEastAsia" w:cs="Arial" w:hint="eastAsia"/>
          <w:szCs w:val="21"/>
        </w:rPr>
        <w:t>本基金主要投资于亚洲</w:t>
      </w:r>
      <w:r w:rsidR="00A22382" w:rsidRPr="003307CA">
        <w:rPr>
          <w:rFonts w:asciiTheme="minorEastAsia" w:eastAsiaTheme="minorEastAsia" w:hAnsiTheme="minorEastAsia" w:cs="Arial" w:hint="eastAsia"/>
          <w:szCs w:val="21"/>
        </w:rPr>
        <w:t>企业</w:t>
      </w:r>
      <w:r w:rsidRPr="003307CA">
        <w:rPr>
          <w:rFonts w:asciiTheme="minorEastAsia" w:eastAsiaTheme="minorEastAsia" w:hAnsiTheme="minorEastAsia" w:cs="Arial" w:hint="eastAsia"/>
          <w:szCs w:val="21"/>
        </w:rPr>
        <w:t>，追求在有效控制风险的前提下，实现基金资产的持续、稳健增值。</w:t>
      </w:r>
    </w:p>
    <w:p w:rsidR="0064594E" w:rsidRPr="003307CA"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33" w:name="_Toc44351063"/>
      <w:r w:rsidRPr="003307CA">
        <w:rPr>
          <w:rFonts w:asciiTheme="minorEastAsia" w:eastAsiaTheme="minorEastAsia" w:hAnsiTheme="minorEastAsia" w:hint="eastAsia"/>
          <w:b w:val="0"/>
        </w:rPr>
        <w:t>二、</w:t>
      </w:r>
      <w:r w:rsidR="0064594E" w:rsidRPr="003307CA">
        <w:rPr>
          <w:rFonts w:asciiTheme="minorEastAsia" w:eastAsiaTheme="minorEastAsia" w:hAnsiTheme="minorEastAsia" w:hint="eastAsia"/>
          <w:b w:val="0"/>
          <w:bCs/>
        </w:rPr>
        <w:t>投资范围</w:t>
      </w:r>
      <w:bookmarkEnd w:id="31"/>
      <w:bookmarkEnd w:id="32"/>
      <w:bookmarkEnd w:id="33"/>
    </w:p>
    <w:p w:rsidR="0027469F" w:rsidRPr="003307CA" w:rsidRDefault="0027469F" w:rsidP="00CE3F81">
      <w:pPr>
        <w:snapToGrid w:val="0"/>
        <w:spacing w:line="360" w:lineRule="auto"/>
        <w:ind w:firstLineChars="200" w:firstLine="420"/>
        <w:rPr>
          <w:rFonts w:asciiTheme="minorEastAsia" w:eastAsiaTheme="minorEastAsia" w:hAnsiTheme="minorEastAsia" w:cs="Arial"/>
          <w:szCs w:val="21"/>
        </w:rPr>
      </w:pPr>
      <w:bookmarkStart w:id="34" w:name="_Toc52310850"/>
      <w:bookmarkStart w:id="35" w:name="_Toc64861725"/>
      <w:r w:rsidRPr="003307CA">
        <w:rPr>
          <w:rFonts w:asciiTheme="minorEastAsia" w:eastAsiaTheme="minorEastAsia" w:hAnsiTheme="minorEastAsia" w:cs="Arial" w:hint="eastAsia"/>
          <w:szCs w:val="21"/>
        </w:rPr>
        <w:t>本基金可投资于下列金融产品或工具：权益类品种，包括</w:t>
      </w:r>
      <w:r w:rsidRPr="003307CA">
        <w:rPr>
          <w:rFonts w:asciiTheme="minorEastAsia" w:eastAsiaTheme="minorEastAsia" w:hAnsiTheme="minorEastAsia" w:cs="Arial"/>
          <w:szCs w:val="21"/>
        </w:rPr>
        <w:t>普通股、</w:t>
      </w:r>
      <w:r w:rsidRPr="003307CA">
        <w:rPr>
          <w:rFonts w:asciiTheme="minorEastAsia" w:eastAsiaTheme="minorEastAsia" w:hAnsiTheme="minorEastAsia" w:cs="Arial" w:hint="eastAsia"/>
          <w:szCs w:val="21"/>
        </w:rPr>
        <w:t>优先股、</w:t>
      </w:r>
      <w:r w:rsidRPr="003307CA">
        <w:rPr>
          <w:rFonts w:asciiTheme="minorEastAsia" w:eastAsiaTheme="minorEastAsia" w:hAnsiTheme="minorEastAsia" w:cs="Arial"/>
          <w:szCs w:val="21"/>
        </w:rPr>
        <w:t>全球</w:t>
      </w:r>
      <w:r w:rsidRPr="003307CA">
        <w:rPr>
          <w:rFonts w:asciiTheme="minorEastAsia" w:eastAsiaTheme="minorEastAsia" w:hAnsiTheme="minorEastAsia" w:cs="Arial" w:hint="eastAsia"/>
          <w:szCs w:val="21"/>
        </w:rPr>
        <w:t>及美国</w:t>
      </w:r>
      <w:r w:rsidRPr="003307CA">
        <w:rPr>
          <w:rFonts w:asciiTheme="minorEastAsia" w:eastAsiaTheme="minorEastAsia" w:hAnsiTheme="minorEastAsia" w:cs="Arial"/>
          <w:szCs w:val="21"/>
        </w:rPr>
        <w:t>存托凭证</w:t>
      </w:r>
      <w:r w:rsidRPr="003307CA">
        <w:rPr>
          <w:rFonts w:asciiTheme="minorEastAsia" w:eastAsiaTheme="minorEastAsia" w:hAnsiTheme="minorEastAsia" w:cs="Arial" w:hint="eastAsia"/>
          <w:szCs w:val="21"/>
        </w:rPr>
        <w:t>、股票型基金等；固定收益类品种，包括</w:t>
      </w:r>
      <w:r w:rsidRPr="003307CA">
        <w:rPr>
          <w:rFonts w:asciiTheme="minorEastAsia" w:eastAsiaTheme="minorEastAsia" w:hAnsiTheme="minorEastAsia" w:cs="Arial"/>
          <w:szCs w:val="21"/>
        </w:rPr>
        <w:t>政府债券、公司债券、可转换债券及经中国证监会认可的国际金融组织发行的</w:t>
      </w:r>
      <w:r w:rsidRPr="003307CA">
        <w:rPr>
          <w:rFonts w:asciiTheme="minorEastAsia" w:eastAsiaTheme="minorEastAsia" w:hAnsiTheme="minorEastAsia" w:cs="Arial" w:hint="eastAsia"/>
          <w:szCs w:val="21"/>
        </w:rPr>
        <w:t>固定收益类</w:t>
      </w:r>
      <w:r w:rsidRPr="003307CA">
        <w:rPr>
          <w:rFonts w:asciiTheme="minorEastAsia" w:eastAsiaTheme="minorEastAsia" w:hAnsiTheme="minorEastAsia" w:cs="Arial"/>
          <w:szCs w:val="21"/>
        </w:rPr>
        <w:t>证券；</w:t>
      </w:r>
      <w:r w:rsidR="00126382" w:rsidRPr="003307CA">
        <w:rPr>
          <w:rFonts w:asciiTheme="minorEastAsia" w:eastAsiaTheme="minorEastAsia" w:hAnsiTheme="minorEastAsia" w:cs="Arial" w:hint="eastAsia"/>
          <w:szCs w:val="21"/>
        </w:rPr>
        <w:t>银行存款</w:t>
      </w:r>
      <w:r w:rsidRPr="003307CA">
        <w:rPr>
          <w:rFonts w:asciiTheme="minorEastAsia" w:eastAsiaTheme="minorEastAsia" w:hAnsiTheme="minorEastAsia" w:cs="Arial" w:hint="eastAsia"/>
          <w:szCs w:val="21"/>
        </w:rPr>
        <w:t>、回购、短期政府债券与货币市场基金等</w:t>
      </w:r>
      <w:r w:rsidRPr="003307CA">
        <w:rPr>
          <w:rFonts w:asciiTheme="minorEastAsia" w:eastAsiaTheme="minorEastAsia" w:hAnsiTheme="minorEastAsia" w:cs="Arial"/>
          <w:szCs w:val="21"/>
        </w:rPr>
        <w:t>货币市场工具</w:t>
      </w:r>
      <w:r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经中国证监会认可的境外交易所上市交易的金融衍生产品</w:t>
      </w:r>
      <w:r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以及法律、法规或中国证监会允许基金投资的其</w:t>
      </w:r>
      <w:r w:rsidR="00126382" w:rsidRPr="003307CA">
        <w:rPr>
          <w:rFonts w:asciiTheme="minorEastAsia" w:eastAsiaTheme="minorEastAsia" w:hAnsiTheme="minorEastAsia" w:cs="Arial" w:hint="eastAsia"/>
          <w:szCs w:val="21"/>
        </w:rPr>
        <w:t>他</w:t>
      </w:r>
      <w:r w:rsidRPr="003307CA">
        <w:rPr>
          <w:rFonts w:asciiTheme="minorEastAsia" w:eastAsiaTheme="minorEastAsia" w:hAnsiTheme="minorEastAsia" w:cs="Arial"/>
          <w:szCs w:val="21"/>
        </w:rPr>
        <w:t>金融工具。</w:t>
      </w:r>
    </w:p>
    <w:p w:rsidR="00503B1D" w:rsidRPr="003307CA" w:rsidRDefault="00A22382"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本基金主要投资于在亚洲地区（日本除外）证券市场交易的企业以及在其他证券市场交易的亚洲企业（日本除外），对以上两类企业的投资合计不低于股票资产的80%</w:t>
      </w:r>
      <w:r w:rsidR="00ED7534" w:rsidRPr="003307CA">
        <w:rPr>
          <w:rFonts w:asciiTheme="minorEastAsia" w:eastAsiaTheme="minorEastAsia" w:hAnsiTheme="minorEastAsia" w:cs="Arial" w:hint="eastAsia"/>
          <w:szCs w:val="21"/>
        </w:rPr>
        <w:t>；其他不高于20%的股票资产可以根据投资策略投资于超出前述投资范围的其他市场的企业</w:t>
      </w:r>
      <w:r w:rsidRPr="003307CA">
        <w:rPr>
          <w:rFonts w:asciiTheme="minorEastAsia" w:eastAsiaTheme="minorEastAsia" w:hAnsiTheme="minorEastAsia" w:cs="Arial" w:hint="eastAsia"/>
          <w:szCs w:val="21"/>
        </w:rPr>
        <w:t>。上述亚洲企业指注册登记或者总部在亚洲的企业。</w:t>
      </w:r>
    </w:p>
    <w:p w:rsidR="0027469F" w:rsidRPr="003307CA" w:rsidRDefault="00A22382"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cs="Arial" w:hint="eastAsia"/>
          <w:szCs w:val="21"/>
        </w:rPr>
        <w:t>本基金投资于股票及其他权益类证券占基金资产的比例不低于60%，</w:t>
      </w:r>
      <w:r w:rsidR="003E0224" w:rsidRPr="003307CA">
        <w:rPr>
          <w:rFonts w:asciiTheme="minorEastAsia" w:eastAsiaTheme="minorEastAsia" w:hAnsiTheme="minorEastAsia" w:cs="Arial" w:hint="eastAsia"/>
          <w:szCs w:val="21"/>
        </w:rPr>
        <w:t>现金、债券及中国证监会允许投资的其它金融工具市值占基金资产的比例不高于</w:t>
      </w:r>
      <w:r w:rsidR="003E0224" w:rsidRPr="003307CA">
        <w:rPr>
          <w:rFonts w:asciiTheme="minorEastAsia" w:eastAsiaTheme="minorEastAsia" w:hAnsiTheme="minorEastAsia" w:cs="Arial"/>
          <w:szCs w:val="21"/>
        </w:rPr>
        <w:t>40%</w:t>
      </w:r>
      <w:r w:rsidR="0027469F" w:rsidRPr="003307CA">
        <w:rPr>
          <w:rFonts w:asciiTheme="minorEastAsia" w:eastAsiaTheme="minorEastAsia" w:hAnsiTheme="minorEastAsia" w:cs="Arial" w:hint="eastAsia"/>
          <w:szCs w:val="21"/>
        </w:rPr>
        <w:t>。</w:t>
      </w:r>
    </w:p>
    <w:p w:rsidR="00BD717F" w:rsidRPr="003307CA" w:rsidRDefault="0027469F" w:rsidP="00CE3F81">
      <w:pPr>
        <w:widowControl/>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rPr>
        <w:t>如与中国证监会签订</w:t>
      </w:r>
      <w:r w:rsidRPr="003307CA">
        <w:rPr>
          <w:rFonts w:asciiTheme="minorEastAsia" w:eastAsiaTheme="minorEastAsia" w:hAnsiTheme="minorEastAsia"/>
        </w:rPr>
        <w:t>双边监管合作谅解备忘录</w:t>
      </w:r>
      <w:r w:rsidRPr="003307CA">
        <w:rPr>
          <w:rFonts w:asciiTheme="minorEastAsia" w:eastAsiaTheme="minorEastAsia" w:hAnsiTheme="minorEastAsia" w:hint="eastAsia"/>
        </w:rPr>
        <w:t>的国家</w:t>
      </w:r>
      <w:r w:rsidR="0041348F" w:rsidRPr="003307CA">
        <w:rPr>
          <w:rFonts w:asciiTheme="minorEastAsia" w:eastAsiaTheme="minorEastAsia" w:hAnsiTheme="minorEastAsia" w:hint="eastAsia"/>
        </w:rPr>
        <w:t>/地区</w:t>
      </w:r>
      <w:r w:rsidRPr="003307CA">
        <w:rPr>
          <w:rFonts w:asciiTheme="minorEastAsia" w:eastAsiaTheme="minorEastAsia" w:hAnsiTheme="minorEastAsia" w:hint="eastAsia"/>
        </w:rPr>
        <w:t>增加、减少或变更，本基金投资的主要证券市场将相应调整。</w:t>
      </w:r>
    </w:p>
    <w:p w:rsidR="0064594E" w:rsidRPr="003307CA" w:rsidRDefault="0027469F" w:rsidP="00CE3F81">
      <w:pPr>
        <w:widowControl/>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rPr>
        <w:t>如法律法规或监管机构以后允许本基金投资其他品种，基金管理人在履行适当程序后，可以将其纳入投资范围。</w:t>
      </w:r>
    </w:p>
    <w:p w:rsidR="0064594E" w:rsidRPr="003307CA"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36" w:name="_Toc44351064"/>
      <w:r w:rsidRPr="003307CA">
        <w:rPr>
          <w:rFonts w:asciiTheme="minorEastAsia" w:eastAsiaTheme="minorEastAsia" w:hAnsiTheme="minorEastAsia" w:hint="eastAsia"/>
          <w:b w:val="0"/>
          <w:bCs/>
        </w:rPr>
        <w:t>三、</w:t>
      </w:r>
      <w:r w:rsidR="0064594E" w:rsidRPr="003307CA">
        <w:rPr>
          <w:rFonts w:asciiTheme="minorEastAsia" w:eastAsiaTheme="minorEastAsia" w:hAnsiTheme="minorEastAsia" w:hint="eastAsia"/>
          <w:b w:val="0"/>
          <w:bCs/>
        </w:rPr>
        <w:t>投资理念</w:t>
      </w:r>
      <w:bookmarkEnd w:id="34"/>
      <w:bookmarkEnd w:id="35"/>
      <w:bookmarkEnd w:id="36"/>
    </w:p>
    <w:p w:rsidR="0064594E" w:rsidRPr="003307CA" w:rsidRDefault="0064594E" w:rsidP="00CE3F81">
      <w:pPr>
        <w:snapToGrid w:val="0"/>
        <w:spacing w:line="360" w:lineRule="auto"/>
        <w:ind w:firstLineChars="200" w:firstLine="420"/>
        <w:rPr>
          <w:rFonts w:asciiTheme="minorEastAsia" w:eastAsiaTheme="minorEastAsia" w:hAnsiTheme="minorEastAsia" w:cs="Arial"/>
          <w:szCs w:val="21"/>
        </w:rPr>
      </w:pPr>
      <w:bookmarkStart w:id="37" w:name="_Toc52310851"/>
      <w:bookmarkStart w:id="38" w:name="_Toc64861726"/>
      <w:r w:rsidRPr="003307CA">
        <w:rPr>
          <w:rFonts w:asciiTheme="minorEastAsia" w:eastAsiaTheme="minorEastAsia" w:hAnsiTheme="minorEastAsia" w:cs="Arial" w:hint="eastAsia"/>
          <w:szCs w:val="21"/>
        </w:rPr>
        <w:t>对亚洲市场进行分散投资，既可分享区域经济高速增长带来的收益，又可更好地分散单一国家风险，为持有人带来稳健回报；以全球视野、基于公司基本面进行选股，坚持价值投资，争取超额回报。</w:t>
      </w:r>
    </w:p>
    <w:p w:rsidR="0064594E" w:rsidRPr="003307CA"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39" w:name="_Toc44351065"/>
      <w:r w:rsidRPr="003307CA">
        <w:rPr>
          <w:rFonts w:asciiTheme="minorEastAsia" w:eastAsiaTheme="minorEastAsia" w:hAnsiTheme="minorEastAsia" w:hint="eastAsia"/>
          <w:b w:val="0"/>
          <w:bCs/>
        </w:rPr>
        <w:t>四、</w:t>
      </w:r>
      <w:r w:rsidR="0064594E" w:rsidRPr="003307CA">
        <w:rPr>
          <w:rFonts w:asciiTheme="minorEastAsia" w:eastAsiaTheme="minorEastAsia" w:hAnsiTheme="minorEastAsia" w:hint="eastAsia"/>
          <w:b w:val="0"/>
          <w:bCs/>
        </w:rPr>
        <w:t>投资策略</w:t>
      </w:r>
      <w:bookmarkEnd w:id="39"/>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bookmarkStart w:id="40" w:name="_Toc44900772"/>
      <w:bookmarkStart w:id="41" w:name="_Toc52616499"/>
      <w:r w:rsidRPr="003307CA">
        <w:rPr>
          <w:rFonts w:asciiTheme="minorEastAsia" w:eastAsiaTheme="minorEastAsia" w:hAnsiTheme="minorEastAsia" w:cs="Arial" w:hint="eastAsia"/>
          <w:szCs w:val="21"/>
        </w:rPr>
        <w:t>1、</w:t>
      </w:r>
      <w:r w:rsidR="0027469F" w:rsidRPr="003307CA">
        <w:rPr>
          <w:rFonts w:asciiTheme="minorEastAsia" w:eastAsiaTheme="minorEastAsia" w:hAnsiTheme="minorEastAsia" w:cs="Arial" w:hint="eastAsia"/>
          <w:szCs w:val="21"/>
        </w:rPr>
        <w:t>资产配置策略</w:t>
      </w:r>
    </w:p>
    <w:p w:rsidR="0027469F" w:rsidRPr="003307CA" w:rsidRDefault="0027469F"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本基金将基于对以下因素的分析与判断，进行权益类资产、固定收益类资产和货币市场工具的配置：</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w:t>
      </w:r>
      <w:r w:rsidR="0027469F" w:rsidRPr="003307CA">
        <w:rPr>
          <w:rFonts w:asciiTheme="minorEastAsia" w:eastAsiaTheme="minorEastAsia" w:hAnsiTheme="minorEastAsia" w:cs="Arial" w:hint="eastAsia"/>
          <w:szCs w:val="21"/>
        </w:rPr>
        <w:t>宏观经济因素：包括</w:t>
      </w:r>
      <w:r w:rsidR="004A1A1D" w:rsidRPr="003307CA">
        <w:rPr>
          <w:rFonts w:asciiTheme="minorEastAsia" w:eastAsiaTheme="minorEastAsia" w:hAnsiTheme="minorEastAsia" w:cs="Arial" w:hint="eastAsia"/>
          <w:szCs w:val="21"/>
        </w:rPr>
        <w:t>亚洲</w:t>
      </w:r>
      <w:r w:rsidR="0027469F" w:rsidRPr="003307CA">
        <w:rPr>
          <w:rFonts w:asciiTheme="minorEastAsia" w:eastAsiaTheme="minorEastAsia" w:hAnsiTheme="minorEastAsia" w:cs="Arial" w:hint="eastAsia"/>
          <w:szCs w:val="21"/>
        </w:rPr>
        <w:t>各国</w:t>
      </w:r>
      <w:r w:rsidR="008467E3" w:rsidRPr="003307CA">
        <w:rPr>
          <w:rFonts w:asciiTheme="minorEastAsia" w:eastAsiaTheme="minorEastAsia" w:hAnsiTheme="minorEastAsia" w:cs="Arial" w:hint="eastAsia"/>
          <w:szCs w:val="21"/>
        </w:rPr>
        <w:t>/地区</w:t>
      </w:r>
      <w:r w:rsidR="0027469F" w:rsidRPr="003307CA">
        <w:rPr>
          <w:rFonts w:asciiTheme="minorEastAsia" w:eastAsiaTheme="minorEastAsia" w:hAnsiTheme="minorEastAsia" w:cs="Arial" w:hint="eastAsia"/>
          <w:szCs w:val="21"/>
        </w:rPr>
        <w:t>经济金融政策、各国</w:t>
      </w:r>
      <w:r w:rsidR="008467E3" w:rsidRPr="003307CA">
        <w:rPr>
          <w:rFonts w:asciiTheme="minorEastAsia" w:eastAsiaTheme="minorEastAsia" w:hAnsiTheme="minorEastAsia" w:cs="Arial" w:hint="eastAsia"/>
          <w:szCs w:val="21"/>
        </w:rPr>
        <w:t>/地区</w:t>
      </w:r>
      <w:r w:rsidR="0027469F" w:rsidRPr="003307CA">
        <w:rPr>
          <w:rFonts w:asciiTheme="minorEastAsia" w:eastAsiaTheme="minorEastAsia" w:hAnsiTheme="minorEastAsia" w:cs="Arial" w:hint="eastAsia"/>
          <w:szCs w:val="21"/>
        </w:rPr>
        <w:t>的经济增长趋势、物价水平变化、利率走势、各国</w:t>
      </w:r>
      <w:r w:rsidR="008467E3" w:rsidRPr="003307CA">
        <w:rPr>
          <w:rFonts w:asciiTheme="minorEastAsia" w:eastAsiaTheme="minorEastAsia" w:hAnsiTheme="minorEastAsia" w:cs="Arial" w:hint="eastAsia"/>
          <w:szCs w:val="21"/>
        </w:rPr>
        <w:t>/地区</w:t>
      </w:r>
      <w:r w:rsidR="0027469F" w:rsidRPr="003307CA">
        <w:rPr>
          <w:rFonts w:asciiTheme="minorEastAsia" w:eastAsiaTheme="minorEastAsia" w:hAnsiTheme="minorEastAsia" w:cs="Arial" w:hint="eastAsia"/>
          <w:szCs w:val="21"/>
        </w:rPr>
        <w:t>汇率走势等；</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（2）</w:t>
      </w:r>
      <w:r w:rsidR="0027469F" w:rsidRPr="003307CA">
        <w:rPr>
          <w:rFonts w:asciiTheme="minorEastAsia" w:eastAsiaTheme="minorEastAsia" w:hAnsiTheme="minorEastAsia" w:cs="Arial" w:hint="eastAsia"/>
          <w:szCs w:val="21"/>
        </w:rPr>
        <w:t>权益类资产的风险与收益水平：亚洲区股票市场的预期收益率与风险情况、</w:t>
      </w:r>
      <w:r w:rsidR="004A1A1D" w:rsidRPr="003307CA">
        <w:rPr>
          <w:rFonts w:asciiTheme="minorEastAsia" w:eastAsiaTheme="minorEastAsia" w:hAnsiTheme="minorEastAsia" w:cs="Arial" w:hint="eastAsia"/>
          <w:szCs w:val="21"/>
        </w:rPr>
        <w:t>亚洲地区</w:t>
      </w:r>
      <w:r w:rsidR="0027469F" w:rsidRPr="003307CA">
        <w:rPr>
          <w:rFonts w:asciiTheme="minorEastAsia" w:eastAsiaTheme="minorEastAsia" w:hAnsiTheme="minorEastAsia" w:cs="Arial" w:hint="eastAsia"/>
          <w:szCs w:val="21"/>
        </w:rPr>
        <w:t>股票市场的整体估值水平、</w:t>
      </w:r>
      <w:r w:rsidR="004A1A1D" w:rsidRPr="003307CA">
        <w:rPr>
          <w:rFonts w:asciiTheme="minorEastAsia" w:eastAsiaTheme="minorEastAsia" w:hAnsiTheme="minorEastAsia" w:cs="Arial" w:hint="eastAsia"/>
          <w:szCs w:val="21"/>
        </w:rPr>
        <w:t>亚洲地区</w:t>
      </w:r>
      <w:r w:rsidR="0027469F" w:rsidRPr="003307CA">
        <w:rPr>
          <w:rFonts w:asciiTheme="minorEastAsia" w:eastAsiaTheme="minorEastAsia" w:hAnsiTheme="minorEastAsia" w:cs="Arial" w:hint="eastAsia"/>
          <w:szCs w:val="21"/>
        </w:rPr>
        <w:t>股票市场的走势等；</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lastRenderedPageBreak/>
        <w:t>（3）</w:t>
      </w:r>
      <w:r w:rsidR="0027469F" w:rsidRPr="003307CA">
        <w:rPr>
          <w:rFonts w:asciiTheme="minorEastAsia" w:eastAsiaTheme="minorEastAsia" w:hAnsiTheme="minorEastAsia" w:cs="Arial" w:hint="eastAsia"/>
          <w:szCs w:val="21"/>
        </w:rPr>
        <w:t>固定收益类资产的风险与收益水平：</w:t>
      </w:r>
      <w:r w:rsidR="004A1A1D" w:rsidRPr="003307CA">
        <w:rPr>
          <w:rFonts w:asciiTheme="minorEastAsia" w:eastAsiaTheme="minorEastAsia" w:hAnsiTheme="minorEastAsia" w:cs="Arial" w:hint="eastAsia"/>
          <w:szCs w:val="21"/>
        </w:rPr>
        <w:t>亚洲地区</w:t>
      </w:r>
      <w:r w:rsidR="0027469F" w:rsidRPr="003307CA">
        <w:rPr>
          <w:rFonts w:asciiTheme="minorEastAsia" w:eastAsiaTheme="minorEastAsia" w:hAnsiTheme="minorEastAsia" w:cs="Arial" w:hint="eastAsia"/>
          <w:szCs w:val="21"/>
        </w:rPr>
        <w:t>市场固定收益类资产的利率期限结构以及汇率对其实际收益率的影响、</w:t>
      </w:r>
      <w:r w:rsidR="004A1A1D" w:rsidRPr="003307CA">
        <w:rPr>
          <w:rFonts w:asciiTheme="minorEastAsia" w:eastAsiaTheme="minorEastAsia" w:hAnsiTheme="minorEastAsia" w:cs="Arial" w:hint="eastAsia"/>
          <w:szCs w:val="21"/>
        </w:rPr>
        <w:t>亚洲地区</w:t>
      </w:r>
      <w:r w:rsidR="0027469F" w:rsidRPr="003307CA">
        <w:rPr>
          <w:rFonts w:asciiTheme="minorEastAsia" w:eastAsiaTheme="minorEastAsia" w:hAnsiTheme="minorEastAsia" w:cs="Arial" w:hint="eastAsia"/>
          <w:szCs w:val="21"/>
        </w:rPr>
        <w:t>利率的走势等；</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（4）</w:t>
      </w:r>
      <w:r w:rsidR="0027469F" w:rsidRPr="003307CA">
        <w:rPr>
          <w:rFonts w:asciiTheme="minorEastAsia" w:eastAsiaTheme="minorEastAsia" w:hAnsiTheme="minorEastAsia" w:cs="Arial" w:hint="eastAsia"/>
          <w:szCs w:val="21"/>
        </w:rPr>
        <w:t>货币市场工具的风险与收益水平：货币市场工具的收益率以及汇率对其实际收益率的影响。</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2、</w:t>
      </w:r>
      <w:r w:rsidR="000735A5" w:rsidRPr="003307CA">
        <w:rPr>
          <w:rFonts w:asciiTheme="minorEastAsia" w:eastAsiaTheme="minorEastAsia" w:hAnsiTheme="minorEastAsia" w:cs="Arial" w:hint="eastAsia"/>
          <w:szCs w:val="21"/>
        </w:rPr>
        <w:t>股票</w:t>
      </w:r>
      <w:r w:rsidR="0027469F" w:rsidRPr="003307CA">
        <w:rPr>
          <w:rFonts w:asciiTheme="minorEastAsia" w:eastAsiaTheme="minorEastAsia" w:hAnsiTheme="minorEastAsia" w:cs="Arial" w:hint="eastAsia"/>
          <w:szCs w:val="21"/>
        </w:rPr>
        <w:t>投资策略</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本基金坚持价值投资的理念，以自下而上的基本面分析、深入的公司研究、对股票价值的评估作为股票投资的根本依据，辅以自上而下的宏观经济分析、国别</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因素分析、行业分析，争取获得超越比较基准的回报。</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w:t>
      </w:r>
      <w:r w:rsidR="0027469F" w:rsidRPr="003307CA">
        <w:rPr>
          <w:rFonts w:asciiTheme="minorEastAsia" w:eastAsiaTheme="minorEastAsia" w:hAnsiTheme="minorEastAsia" w:cs="Arial" w:hint="eastAsia"/>
          <w:szCs w:val="21"/>
        </w:rPr>
        <w:t>股票初选范围的确定</w:t>
      </w:r>
    </w:p>
    <w:p w:rsidR="0062403A" w:rsidRPr="003307CA" w:rsidRDefault="0027469F"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在可投资的股票中，本基金将采取定性与定量相结合的方法，主要根据下列因素，排除不满足基本投资要求的公司，</w:t>
      </w:r>
      <w:r w:rsidR="0062403A" w:rsidRPr="003307CA">
        <w:rPr>
          <w:rFonts w:asciiTheme="minorEastAsia" w:eastAsiaTheme="minorEastAsia" w:hAnsiTheme="minorEastAsia" w:cs="Arial" w:hint="eastAsia"/>
          <w:szCs w:val="21"/>
        </w:rPr>
        <w:t>衡量标准包括公司治理结构是否健全、是否有明显的财务风险</w:t>
      </w:r>
      <w:r w:rsidR="003F5DAB" w:rsidRPr="003307CA">
        <w:rPr>
          <w:rFonts w:asciiTheme="minorEastAsia" w:eastAsiaTheme="minorEastAsia" w:hAnsiTheme="minorEastAsia" w:cs="Arial" w:hint="eastAsia"/>
          <w:szCs w:val="21"/>
        </w:rPr>
        <w:t>、股票流动性是否足够</w:t>
      </w:r>
      <w:r w:rsidR="0062403A" w:rsidRPr="003307CA">
        <w:rPr>
          <w:rFonts w:asciiTheme="minorEastAsia" w:eastAsiaTheme="minorEastAsia" w:hAnsiTheme="minorEastAsia" w:cs="Arial" w:hint="eastAsia"/>
          <w:szCs w:val="21"/>
        </w:rPr>
        <w:t>等，确定出股票的初选范围。</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（2）</w:t>
      </w:r>
      <w:r w:rsidR="0027469F" w:rsidRPr="003307CA">
        <w:rPr>
          <w:rFonts w:asciiTheme="minorEastAsia" w:eastAsiaTheme="minorEastAsia" w:hAnsiTheme="minorEastAsia" w:cs="Arial" w:hint="eastAsia"/>
          <w:szCs w:val="21"/>
        </w:rPr>
        <w:t>股票的选择标准</w:t>
      </w:r>
    </w:p>
    <w:p w:rsidR="0027469F" w:rsidRPr="003307CA" w:rsidRDefault="0027469F"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在初选股票范围内，本基金将在参考</w:t>
      </w:r>
      <w:r w:rsidR="003F5DAB" w:rsidRPr="003307CA">
        <w:rPr>
          <w:rFonts w:asciiTheme="minorEastAsia" w:eastAsiaTheme="minorEastAsia" w:hAnsiTheme="minorEastAsia" w:cs="Arial" w:hint="eastAsia"/>
          <w:szCs w:val="21"/>
        </w:rPr>
        <w:t>内外部</w:t>
      </w:r>
      <w:r w:rsidRPr="003307CA">
        <w:rPr>
          <w:rFonts w:asciiTheme="minorEastAsia" w:eastAsiaTheme="minorEastAsia" w:hAnsiTheme="minorEastAsia" w:cs="Arial" w:hint="eastAsia"/>
          <w:szCs w:val="21"/>
        </w:rPr>
        <w:t>研究报告的基础上，对上市公司的盈利模式、公司所在行业的发展前景、行业竞争优势、盈利能力、成长性、公司管理水平、股票估值水平等因素进行深入分析，对上市公司的投资价值进行综合评估。具体而言，选择股票的标准主要包括：</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w:t>
      </w:r>
      <w:r w:rsidR="0027469F" w:rsidRPr="003307CA">
        <w:rPr>
          <w:rFonts w:asciiTheme="minorEastAsia" w:eastAsiaTheme="minorEastAsia" w:hAnsiTheme="minorEastAsia" w:cs="Arial" w:hint="eastAsia"/>
          <w:szCs w:val="21"/>
        </w:rPr>
        <w:t>良好的盈利模式：通过综合分析公司所在行业的进入壁垒、行业内竞争状况、上下游企业的议价能力、替代品及进口产品对企业产品与服务的竞争等，判断企业从事的业务是否具有相对稳定或不断提高的盈利水平，是否有良好的盈利模式；</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2）</w:t>
      </w:r>
      <w:r w:rsidR="0027469F" w:rsidRPr="003307CA">
        <w:rPr>
          <w:rFonts w:asciiTheme="minorEastAsia" w:eastAsiaTheme="minorEastAsia" w:hAnsiTheme="minorEastAsia" w:cs="Arial" w:hint="eastAsia"/>
          <w:szCs w:val="21"/>
        </w:rPr>
        <w:t>所在行业具有较好的发展前景：行业处于成长期或正从低谷中恢复，行业具有较大的发展空间，行业利润率保持稳定或处于增长期；</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3）</w:t>
      </w:r>
      <w:r w:rsidR="0027469F" w:rsidRPr="003307CA">
        <w:rPr>
          <w:rFonts w:asciiTheme="minorEastAsia" w:eastAsiaTheme="minorEastAsia" w:hAnsiTheme="minorEastAsia" w:cs="Arial" w:hint="eastAsia"/>
          <w:szCs w:val="21"/>
        </w:rPr>
        <w:t>具有较强的行业竞争优势：企业的行业竞争优势最终体现为具有相对较高的营业利润率和资产利润率、较高的或不断增长的市场占有率、较强的抗行业周期风险的能力。企业可通过保持较低的生产成本、差异化产品策略、创新与技术的改进、高效的管理等，维持并不断强化行业竞争优势；</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4）</w:t>
      </w:r>
      <w:r w:rsidR="0027469F" w:rsidRPr="003307CA">
        <w:rPr>
          <w:rFonts w:asciiTheme="minorEastAsia" w:eastAsiaTheme="minorEastAsia" w:hAnsiTheme="minorEastAsia" w:cs="Arial" w:hint="eastAsia"/>
          <w:szCs w:val="21"/>
        </w:rPr>
        <w:t>较强的盈利能力：主要体现为营业利润率、资产利润率以及净资产利润率高于行业平均水平；</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5）</w:t>
      </w:r>
      <w:r w:rsidR="0027469F" w:rsidRPr="003307CA">
        <w:rPr>
          <w:rFonts w:asciiTheme="minorEastAsia" w:eastAsiaTheme="minorEastAsia" w:hAnsiTheme="minorEastAsia" w:cs="Arial" w:hint="eastAsia"/>
          <w:szCs w:val="21"/>
        </w:rPr>
        <w:t>较高的成长性：预期企业中长期净利润增长率高于行业平均水平；</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6）</w:t>
      </w:r>
      <w:r w:rsidR="0027469F" w:rsidRPr="003307CA">
        <w:rPr>
          <w:rFonts w:asciiTheme="minorEastAsia" w:eastAsiaTheme="minorEastAsia" w:hAnsiTheme="minorEastAsia" w:cs="Arial" w:hint="eastAsia"/>
          <w:szCs w:val="21"/>
        </w:rPr>
        <w:t>管理水平较高并重视股东利益：公司的管理层能有效地控制成本、开发新产品或新业务，不断提升股东价值；而且管理层的收入与公司效益紧密挂钩，员工激励体系完善，公司管理层关心股东利益；</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7）</w:t>
      </w:r>
      <w:r w:rsidR="0027469F" w:rsidRPr="003307CA">
        <w:rPr>
          <w:rFonts w:asciiTheme="minorEastAsia" w:eastAsiaTheme="minorEastAsia" w:hAnsiTheme="minorEastAsia" w:cs="Arial" w:hint="eastAsia"/>
          <w:szCs w:val="21"/>
        </w:rPr>
        <w:t>股票估值水平合理或被市场低估：根据企业的行业特点、预期中长期净利润的成长性、所在国家</w:t>
      </w:r>
      <w:r w:rsidR="008467E3" w:rsidRPr="003307CA">
        <w:rPr>
          <w:rFonts w:asciiTheme="minorEastAsia" w:eastAsiaTheme="minorEastAsia" w:hAnsiTheme="minorEastAsia" w:cs="Arial" w:hint="eastAsia"/>
          <w:szCs w:val="21"/>
        </w:rPr>
        <w:t>/地区</w:t>
      </w:r>
      <w:r w:rsidR="0027469F" w:rsidRPr="003307CA">
        <w:rPr>
          <w:rFonts w:asciiTheme="minorEastAsia" w:eastAsiaTheme="minorEastAsia" w:hAnsiTheme="minorEastAsia" w:cs="Arial" w:hint="eastAsia"/>
          <w:szCs w:val="21"/>
        </w:rPr>
        <w:t>与行业的平均股票估值水平，采取市盈率、市净率、现金流贴现法等估</w:t>
      </w:r>
      <w:r w:rsidR="0027469F" w:rsidRPr="003307CA">
        <w:rPr>
          <w:rFonts w:asciiTheme="minorEastAsia" w:eastAsiaTheme="minorEastAsia" w:hAnsiTheme="minorEastAsia" w:cs="Arial" w:hint="eastAsia"/>
          <w:szCs w:val="21"/>
        </w:rPr>
        <w:lastRenderedPageBreak/>
        <w:t>值方法，对股票价值进行评估，选择股票估值水平合理或被市场低估的股票。</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在对股票进行以上综合评估的基础上，本基金可初步构造股票组合。</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（3）</w:t>
      </w:r>
      <w:r w:rsidR="0027469F" w:rsidRPr="003307CA">
        <w:rPr>
          <w:rFonts w:asciiTheme="minorEastAsia" w:eastAsiaTheme="minorEastAsia" w:hAnsiTheme="minorEastAsia" w:cs="Arial" w:hint="eastAsia"/>
          <w:szCs w:val="21"/>
        </w:rPr>
        <w:t>国别</w:t>
      </w:r>
      <w:r w:rsidR="008467E3" w:rsidRPr="003307CA">
        <w:rPr>
          <w:rFonts w:asciiTheme="minorEastAsia" w:eastAsiaTheme="minorEastAsia" w:hAnsiTheme="minorEastAsia" w:cs="Arial" w:hint="eastAsia"/>
          <w:szCs w:val="21"/>
        </w:rPr>
        <w:t>/地区</w:t>
      </w:r>
      <w:r w:rsidR="0027469F" w:rsidRPr="003307CA">
        <w:rPr>
          <w:rFonts w:asciiTheme="minorEastAsia" w:eastAsiaTheme="minorEastAsia" w:hAnsiTheme="minorEastAsia" w:cs="Arial" w:hint="eastAsia"/>
          <w:szCs w:val="21"/>
        </w:rPr>
        <w:t>与行业配置的调整</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本基金将对</w:t>
      </w:r>
      <w:r w:rsidR="004A1A1D" w:rsidRPr="003307CA">
        <w:rPr>
          <w:rFonts w:asciiTheme="minorEastAsia" w:eastAsiaTheme="minorEastAsia" w:hAnsiTheme="minorEastAsia" w:hint="eastAsia"/>
          <w:szCs w:val="21"/>
        </w:rPr>
        <w:t>亚洲地区</w:t>
      </w:r>
      <w:r w:rsidRPr="003307CA">
        <w:rPr>
          <w:rFonts w:asciiTheme="minorEastAsia" w:eastAsiaTheme="minorEastAsia" w:hAnsiTheme="minorEastAsia" w:hint="eastAsia"/>
          <w:szCs w:val="21"/>
        </w:rPr>
        <w:t>可投资国家</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进行自上而下的研究，主要通过对政治局势、财政金融政策、GDP增长率、贸易与资本项下的盈余状况、物价水平、利率走势、所在国家</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汇率的走势、证券市场相对估值水平、市场成熟度等方面的分析，对</w:t>
      </w:r>
      <w:r w:rsidR="004A1A1D" w:rsidRPr="003307CA">
        <w:rPr>
          <w:rFonts w:asciiTheme="minorEastAsia" w:eastAsiaTheme="minorEastAsia" w:hAnsiTheme="minorEastAsia" w:hint="eastAsia"/>
          <w:szCs w:val="21"/>
        </w:rPr>
        <w:t>亚洲地区</w:t>
      </w:r>
      <w:r w:rsidRPr="003307CA">
        <w:rPr>
          <w:rFonts w:asciiTheme="minorEastAsia" w:eastAsiaTheme="minorEastAsia" w:hAnsiTheme="minorEastAsia" w:hint="eastAsia"/>
          <w:szCs w:val="21"/>
        </w:rPr>
        <w:t>各国</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的投资潜力进行综合评价，作为进行国别</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配置的依据。</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本基金还将根据对各行业发展空间、所处的行业周期及景气度的高低等因素的分析，对各行业的投资潜力进行综合评价，作为行业配置的依据。</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在初步构造的股票组合中，本基金将国别</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配置、行业配置比例与业绩比较基准的标准配置比例进行比较，结合国别</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评价和行业评价，进行股票组合配置的相应调整，以避免国别</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和行业配置与基准相差过大带来的风险，提高组合的收益。</w:t>
      </w:r>
    </w:p>
    <w:p w:rsidR="0027469F" w:rsidRPr="003307CA" w:rsidRDefault="00885D50" w:rsidP="00885D50">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（4）</w:t>
      </w:r>
      <w:r w:rsidR="0027469F" w:rsidRPr="003307CA">
        <w:rPr>
          <w:rFonts w:asciiTheme="minorEastAsia" w:eastAsiaTheme="minorEastAsia" w:hAnsiTheme="minorEastAsia" w:cs="Arial" w:hint="eastAsia"/>
          <w:szCs w:val="21"/>
        </w:rPr>
        <w:t>股票投资组合的构造</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在个股选择、国别</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与行业配置调整的基础上，本基金将构造股票组合，并持续地进行跟踪研究。当国家</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、行业及公司的基本面发生实质性变化、公司股价已达到预期水平、公司的业绩前景已为市场充分预期、有更好的投资机会时，本基金将相应进行组合的调整。</w:t>
      </w:r>
    </w:p>
    <w:p w:rsidR="0027469F" w:rsidRPr="003307CA" w:rsidRDefault="00885D50" w:rsidP="00885D50">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27469F" w:rsidRPr="003307CA">
        <w:rPr>
          <w:rFonts w:asciiTheme="minorEastAsia" w:eastAsiaTheme="minorEastAsia" w:hAnsiTheme="minorEastAsia" w:hint="eastAsia"/>
          <w:szCs w:val="21"/>
        </w:rPr>
        <w:t>固定收益品种与货币市场工具的投资策略</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本基金投资固定收益品种与货币市场工具的主要目的在于：在权益类品种存在较高风险时，作为回避投资风险、取得稳定回报的手段，以及保持必要的灵活性，及时把握重大的投资机会。</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在构造固定收益和货币市场工具投资组合的过程中，本基金主要考虑：基金的申购赎回需求；基金的国别</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资产配置要求；所在国家</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的通胀率、财政及金融政策、利率水平与走势、贸易及经常项目下余额等；各国</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固定收益品种的期限、收益率、信用风险、利率走势、相对人民币的汇率走势等，以追求稳健的回报。</w:t>
      </w:r>
    </w:p>
    <w:p w:rsidR="0027469F" w:rsidRPr="003307CA" w:rsidRDefault="00885D50" w:rsidP="00885D50">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27469F" w:rsidRPr="003307CA">
        <w:rPr>
          <w:rFonts w:asciiTheme="minorEastAsia" w:eastAsiaTheme="minorEastAsia" w:hAnsiTheme="minorEastAsia" w:hint="eastAsia"/>
          <w:szCs w:val="21"/>
        </w:rPr>
        <w:t>衍生品的投资</w:t>
      </w:r>
    </w:p>
    <w:p w:rsidR="0027469F"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本基金将本着谨慎的原则，在风险可控的前提下，以避险和有效地进行组合管理为主要目的，适度参与衍生品的投资。衍生品投资的主要策略包括:</w:t>
      </w:r>
    </w:p>
    <w:p w:rsidR="0027469F"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27469F" w:rsidRPr="003307CA">
        <w:rPr>
          <w:rFonts w:asciiTheme="minorEastAsia" w:eastAsiaTheme="minorEastAsia" w:hAnsiTheme="minorEastAsia" w:hint="eastAsia"/>
          <w:szCs w:val="21"/>
        </w:rPr>
        <w:t>避险。本基金可利用货币远期、期货、期权或掉期等衍生品种，以规避外币资产对人民币的汇率风险，避免汇率剧烈波动对基金的业绩产生不良影响；可利用股票市场指数相关的衍生产品，以规避市场的系统性风险；可利用证券相关的衍生产品，以规避单个证券在短时期内剧烈波动的风险等。</w:t>
      </w:r>
    </w:p>
    <w:p w:rsidR="0027469F"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27469F" w:rsidRPr="003307CA">
        <w:rPr>
          <w:rFonts w:asciiTheme="minorEastAsia" w:eastAsiaTheme="minorEastAsia" w:hAnsiTheme="minorEastAsia" w:hint="eastAsia"/>
          <w:szCs w:val="21"/>
        </w:rPr>
        <w:t>有效管理。主要包括对现金流量的有效管理、降低冲击成本等。在短期的申购规模较大时，基金净值会因仓位的大幅摊薄而受到影响，利用金融衍生品可有效管理现金仓位，</w:t>
      </w:r>
      <w:r w:rsidR="0027469F" w:rsidRPr="003307CA">
        <w:rPr>
          <w:rFonts w:asciiTheme="minorEastAsia" w:eastAsiaTheme="minorEastAsia" w:hAnsiTheme="minorEastAsia" w:hint="eastAsia"/>
          <w:szCs w:val="21"/>
        </w:rPr>
        <w:lastRenderedPageBreak/>
        <w:t>减少不利影响。在基金对某个组合进行建仓时，大量买入会造成股价的短期波动，抬高建仓成本，可考虑利用金融衍生品的杠杆和流动性进行阶段性替代，以降低冲击成本等。</w:t>
      </w:r>
    </w:p>
    <w:p w:rsidR="0027469F" w:rsidRPr="003307CA" w:rsidRDefault="0027469F"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未来，随着全球证券市场投资工具的发展和丰富，基金可相应调整和更新相关投资策略，并在招募说明书更新中公告。</w:t>
      </w:r>
    </w:p>
    <w:p w:rsidR="0064594E" w:rsidRPr="003307CA" w:rsidRDefault="0027469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此外，在符合有关法律法规的前提下，本基金还可进行证券借贷交易、回购交易等投资，以提高收益。</w:t>
      </w:r>
    </w:p>
    <w:p w:rsidR="0064594E" w:rsidRPr="003307CA"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42" w:name="_Toc44351066"/>
      <w:bookmarkEnd w:id="40"/>
      <w:bookmarkEnd w:id="41"/>
      <w:r w:rsidRPr="003307CA">
        <w:rPr>
          <w:rFonts w:asciiTheme="minorEastAsia" w:eastAsiaTheme="minorEastAsia" w:hAnsiTheme="minorEastAsia" w:hint="eastAsia"/>
          <w:b w:val="0"/>
          <w:bCs/>
        </w:rPr>
        <w:t>五、</w:t>
      </w:r>
      <w:r w:rsidR="0064594E" w:rsidRPr="003307CA">
        <w:rPr>
          <w:rFonts w:asciiTheme="minorEastAsia" w:eastAsiaTheme="minorEastAsia" w:hAnsiTheme="minorEastAsia" w:hint="eastAsia"/>
          <w:b w:val="0"/>
          <w:bCs/>
        </w:rPr>
        <w:t>业绩</w:t>
      </w:r>
      <w:r w:rsidR="0064594E" w:rsidRPr="003307CA">
        <w:rPr>
          <w:rFonts w:asciiTheme="minorEastAsia" w:eastAsiaTheme="minorEastAsia" w:hAnsiTheme="minorEastAsia"/>
          <w:b w:val="0"/>
          <w:bCs/>
        </w:rPr>
        <w:t>比较基准</w:t>
      </w:r>
      <w:bookmarkEnd w:id="37"/>
      <w:bookmarkEnd w:id="38"/>
      <w:bookmarkEnd w:id="42"/>
    </w:p>
    <w:p w:rsidR="00E40655" w:rsidRPr="003307CA" w:rsidRDefault="00E40655"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MSCIAC亚洲除日本指数</w:t>
      </w:r>
    </w:p>
    <w:p w:rsidR="00543023" w:rsidRPr="003307CA" w:rsidRDefault="00F67470"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本基金主要投资于在亚洲地区（日本除外）证券市场交易的企业以及在其他证券市场交易的亚洲企业（日本除外）。</w:t>
      </w:r>
      <w:r w:rsidR="00520DEC" w:rsidRPr="003307CA">
        <w:rPr>
          <w:rFonts w:asciiTheme="minorEastAsia" w:eastAsiaTheme="minorEastAsia" w:hAnsiTheme="minorEastAsia" w:cs="Arial" w:hint="eastAsia"/>
          <w:szCs w:val="21"/>
        </w:rPr>
        <w:t>MSCIAC亚洲除日本指数是可代表亚洲地区</w:t>
      </w:r>
      <w:r w:rsidR="009002FF" w:rsidRPr="003307CA">
        <w:rPr>
          <w:rFonts w:asciiTheme="minorEastAsia" w:eastAsiaTheme="minorEastAsia" w:hAnsiTheme="minorEastAsia" w:cs="Arial" w:hint="eastAsia"/>
          <w:szCs w:val="21"/>
        </w:rPr>
        <w:t>（日本除外）</w:t>
      </w:r>
      <w:r w:rsidR="00520DEC" w:rsidRPr="003307CA">
        <w:rPr>
          <w:rFonts w:asciiTheme="minorEastAsia" w:eastAsiaTheme="minorEastAsia" w:hAnsiTheme="minorEastAsia" w:cs="Arial" w:hint="eastAsia"/>
          <w:szCs w:val="21"/>
        </w:rPr>
        <w:t>海外股票市场而且受到全球机构投资者广泛认可的指数</w:t>
      </w:r>
      <w:r w:rsidR="00543023" w:rsidRPr="003307CA">
        <w:rPr>
          <w:rFonts w:asciiTheme="minorEastAsia" w:eastAsiaTheme="minorEastAsia" w:hAnsiTheme="minorEastAsia" w:cs="Arial" w:hint="eastAsia"/>
          <w:szCs w:val="21"/>
        </w:rPr>
        <w:t>。</w:t>
      </w:r>
    </w:p>
    <w:p w:rsidR="00E40655" w:rsidRPr="003307CA" w:rsidRDefault="00E40655" w:rsidP="006D35EC">
      <w:pPr>
        <w:spacing w:line="360" w:lineRule="auto"/>
        <w:ind w:firstLine="540"/>
        <w:rPr>
          <w:rFonts w:asciiTheme="minorEastAsia" w:eastAsiaTheme="minorEastAsia" w:hAnsiTheme="minorEastAsia" w:cs="Arial"/>
          <w:szCs w:val="21"/>
        </w:rPr>
      </w:pPr>
      <w:r w:rsidRPr="003307CA">
        <w:rPr>
          <w:rFonts w:asciiTheme="minorEastAsia" w:eastAsiaTheme="minorEastAsia" w:hAnsiTheme="minorEastAsia" w:cs="Arial" w:hint="eastAsia"/>
          <w:szCs w:val="21"/>
        </w:rPr>
        <w:t>未来，如基金变更投资范围、或市场中出现其它代表性更强、投资者认同度更高的指数、或原指数供应商变更或停止原指数的编制及发布，本基金管理人可依据维护基金份额持有人合法权益的原则，对业绩比较基准进行相应调整。</w:t>
      </w:r>
      <w:r w:rsidRPr="003307CA">
        <w:rPr>
          <w:rFonts w:asciiTheme="minorEastAsia" w:eastAsiaTheme="minorEastAsia" w:hAnsiTheme="minorEastAsia" w:cs="Arial"/>
          <w:szCs w:val="21"/>
        </w:rPr>
        <w:t>业绩比较基准的变更需经基金管理人与基金托管人协商一致</w:t>
      </w:r>
      <w:r w:rsidRPr="003307CA">
        <w:rPr>
          <w:rFonts w:asciiTheme="minorEastAsia" w:eastAsiaTheme="minorEastAsia" w:hAnsiTheme="minorEastAsia" w:cs="Arial" w:hint="eastAsia"/>
          <w:szCs w:val="21"/>
        </w:rPr>
        <w:t>。基金管理人最迟应于新的业绩比较基准实施前2日</w:t>
      </w:r>
      <w:r w:rsidR="008C48AA" w:rsidRPr="003307CA">
        <w:rPr>
          <w:rFonts w:asciiTheme="minorEastAsia" w:eastAsiaTheme="minorEastAsia" w:hAnsiTheme="minorEastAsia" w:cs="Arial" w:hint="eastAsia"/>
          <w:szCs w:val="21"/>
        </w:rPr>
        <w:t>在</w:t>
      </w:r>
      <w:r w:rsidR="008C48AA" w:rsidRPr="003307CA">
        <w:rPr>
          <w:rFonts w:asciiTheme="minorEastAsia" w:eastAsiaTheme="minorEastAsia" w:hAnsiTheme="minorEastAsia" w:hint="eastAsia"/>
        </w:rPr>
        <w:t>指定媒介</w:t>
      </w:r>
      <w:r w:rsidR="008C48AA" w:rsidRPr="003307CA">
        <w:rPr>
          <w:rFonts w:asciiTheme="minorEastAsia" w:eastAsiaTheme="minorEastAsia" w:hAnsiTheme="minorEastAsia" w:cs="Arial" w:hint="eastAsia"/>
          <w:szCs w:val="21"/>
        </w:rPr>
        <w:t>上进行公告，并按</w:t>
      </w:r>
      <w:r w:rsidR="008C48AA" w:rsidRPr="003307CA">
        <w:rPr>
          <w:rFonts w:asciiTheme="minorEastAsia" w:eastAsiaTheme="minorEastAsia" w:hAnsiTheme="minorEastAsia" w:cs="Arial"/>
          <w:szCs w:val="21"/>
        </w:rPr>
        <w:t>规定</w:t>
      </w:r>
      <w:r w:rsidR="008C48AA" w:rsidRPr="003307CA">
        <w:rPr>
          <w:rFonts w:asciiTheme="minorEastAsia" w:eastAsiaTheme="minorEastAsia" w:hAnsiTheme="minorEastAsia" w:cs="Arial" w:hint="eastAsia"/>
          <w:szCs w:val="21"/>
        </w:rPr>
        <w:t>报中国证监会备案。</w:t>
      </w:r>
    </w:p>
    <w:p w:rsidR="0064594E" w:rsidRPr="003307CA"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43" w:name="_Toc87269125"/>
      <w:bookmarkStart w:id="44" w:name="_Toc44351067"/>
      <w:bookmarkStart w:id="45" w:name="_Toc84149642"/>
      <w:r w:rsidRPr="003307CA">
        <w:rPr>
          <w:rFonts w:asciiTheme="minorEastAsia" w:eastAsiaTheme="minorEastAsia" w:hAnsiTheme="minorEastAsia" w:hint="eastAsia"/>
          <w:b w:val="0"/>
          <w:bCs/>
        </w:rPr>
        <w:t>六、</w:t>
      </w:r>
      <w:r w:rsidR="0064594E" w:rsidRPr="003307CA">
        <w:rPr>
          <w:rFonts w:asciiTheme="minorEastAsia" w:eastAsiaTheme="minorEastAsia" w:hAnsiTheme="minorEastAsia" w:hint="eastAsia"/>
          <w:b w:val="0"/>
          <w:bCs/>
        </w:rPr>
        <w:t>风险收益特征</w:t>
      </w:r>
      <w:bookmarkEnd w:id="43"/>
      <w:bookmarkEnd w:id="44"/>
    </w:p>
    <w:bookmarkEnd w:id="45"/>
    <w:p w:rsidR="00E40655" w:rsidRPr="003307CA" w:rsidRDefault="00E40655"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为股票型基金，理论上其风险和收益高于货币市场基金、债券基金和混合型基金。一方面，本基金投资于境外市场，承担了汇率风险、国家风险、新兴市场风险等境外投资面临的特殊风险；另一方面，本基金对亚洲主要国家</w:t>
      </w:r>
      <w:r w:rsidR="008467E3" w:rsidRPr="003307CA">
        <w:rPr>
          <w:rFonts w:asciiTheme="minorEastAsia" w:eastAsiaTheme="minorEastAsia" w:hAnsiTheme="minorEastAsia" w:cs="Arial" w:hint="eastAsia"/>
          <w:szCs w:val="21"/>
        </w:rPr>
        <w:t>/地区</w:t>
      </w:r>
      <w:r w:rsidRPr="003307CA">
        <w:rPr>
          <w:rFonts w:asciiTheme="minorEastAsia" w:eastAsiaTheme="minorEastAsia" w:hAnsiTheme="minorEastAsia" w:hint="eastAsia"/>
          <w:szCs w:val="21"/>
        </w:rPr>
        <w:t>进行分散投资，基金整体风险低于对单一国家</w:t>
      </w:r>
      <w:r w:rsidR="005223A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地区投资的风险。</w:t>
      </w:r>
    </w:p>
    <w:p w:rsidR="0064594E" w:rsidRPr="003307CA" w:rsidRDefault="00EF128F" w:rsidP="00CE3F81">
      <w:pPr>
        <w:pStyle w:val="2"/>
        <w:snapToGrid w:val="0"/>
        <w:spacing w:beforeLines="0" w:afterLines="0" w:line="360" w:lineRule="auto"/>
        <w:ind w:firstLine="560"/>
        <w:rPr>
          <w:rFonts w:asciiTheme="minorEastAsia" w:eastAsiaTheme="minorEastAsia" w:hAnsiTheme="minorEastAsia"/>
        </w:rPr>
      </w:pPr>
      <w:bookmarkStart w:id="46" w:name="_Toc52310852"/>
      <w:bookmarkStart w:id="47" w:name="_Toc64861727"/>
      <w:bookmarkStart w:id="48" w:name="_Toc44351068"/>
      <w:r w:rsidRPr="003307CA">
        <w:rPr>
          <w:rFonts w:asciiTheme="minorEastAsia" w:eastAsiaTheme="minorEastAsia" w:hAnsiTheme="minorEastAsia" w:hint="eastAsia"/>
          <w:b w:val="0"/>
          <w:bCs/>
        </w:rPr>
        <w:t>七、</w:t>
      </w:r>
      <w:r w:rsidR="0064594E" w:rsidRPr="003307CA">
        <w:rPr>
          <w:rFonts w:asciiTheme="minorEastAsia" w:eastAsiaTheme="minorEastAsia" w:hAnsiTheme="minorEastAsia" w:hint="eastAsia"/>
          <w:b w:val="0"/>
          <w:bCs/>
        </w:rPr>
        <w:t>投资决策</w:t>
      </w:r>
      <w:bookmarkEnd w:id="46"/>
      <w:bookmarkEnd w:id="47"/>
      <w:r w:rsidR="0064594E" w:rsidRPr="003307CA">
        <w:rPr>
          <w:rFonts w:asciiTheme="minorEastAsia" w:eastAsiaTheme="minorEastAsia" w:hAnsiTheme="minorEastAsia" w:hint="eastAsia"/>
          <w:b w:val="0"/>
          <w:bCs/>
        </w:rPr>
        <w:t>依据与决策程序</w:t>
      </w:r>
      <w:bookmarkEnd w:id="48"/>
    </w:p>
    <w:p w:rsidR="0064594E" w:rsidRPr="003307CA" w:rsidRDefault="00885D50" w:rsidP="00CE3F81">
      <w:pPr>
        <w:widowControl/>
        <w:snapToGrid w:val="0"/>
        <w:spacing w:line="360" w:lineRule="auto"/>
        <w:ind w:firstLineChars="200" w:firstLine="422"/>
        <w:jc w:val="left"/>
        <w:rPr>
          <w:rFonts w:asciiTheme="minorEastAsia" w:eastAsiaTheme="minorEastAsia" w:hAnsiTheme="minorEastAsia"/>
          <w:b/>
        </w:rPr>
      </w:pPr>
      <w:r w:rsidRPr="003307CA">
        <w:rPr>
          <w:rFonts w:asciiTheme="minorEastAsia" w:eastAsiaTheme="minorEastAsia" w:hAnsiTheme="minorEastAsia" w:hint="eastAsia"/>
          <w:b/>
        </w:rPr>
        <w:t>1、</w:t>
      </w:r>
      <w:r w:rsidR="0064594E" w:rsidRPr="003307CA">
        <w:rPr>
          <w:rFonts w:asciiTheme="minorEastAsia" w:eastAsiaTheme="minorEastAsia" w:hAnsiTheme="minorEastAsia" w:hint="eastAsia"/>
          <w:b/>
        </w:rPr>
        <w:t>决策依据</w:t>
      </w:r>
    </w:p>
    <w:p w:rsidR="0064594E" w:rsidRPr="003307CA" w:rsidRDefault="0064594E" w:rsidP="00CE3F81">
      <w:pPr>
        <w:widowControl/>
        <w:numPr>
          <w:ilvl w:val="0"/>
          <w:numId w:val="10"/>
        </w:numPr>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rPr>
        <w:t>国家有关法律法规和基金合同的有关规定。</w:t>
      </w:r>
    </w:p>
    <w:p w:rsidR="0064594E" w:rsidRPr="003307CA" w:rsidRDefault="0064594E" w:rsidP="00CE3F81">
      <w:pPr>
        <w:widowControl/>
        <w:numPr>
          <w:ilvl w:val="0"/>
          <w:numId w:val="10"/>
        </w:numPr>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rPr>
        <w:t>宏观研究、行业研究、公司研究、固定收益研究、衍生品研究、投资策略研究等方面的报告。</w:t>
      </w:r>
    </w:p>
    <w:p w:rsidR="00825DDA" w:rsidRPr="003307CA" w:rsidRDefault="00825DDA" w:rsidP="00CE3F81">
      <w:pPr>
        <w:widowControl/>
        <w:numPr>
          <w:ilvl w:val="0"/>
          <w:numId w:val="10"/>
        </w:numPr>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rPr>
        <w:t>按照</w:t>
      </w:r>
      <w:r w:rsidRPr="003307CA">
        <w:rPr>
          <w:rFonts w:asciiTheme="minorEastAsia" w:eastAsiaTheme="minorEastAsia" w:hAnsiTheme="minorEastAsia"/>
        </w:rPr>
        <w:t>公司制度规定的投资决策流程进行决策。</w:t>
      </w:r>
    </w:p>
    <w:p w:rsidR="0064594E" w:rsidRPr="003307CA" w:rsidRDefault="0064594E" w:rsidP="00CE3F81">
      <w:pPr>
        <w:widowControl/>
        <w:snapToGrid w:val="0"/>
        <w:spacing w:line="360" w:lineRule="auto"/>
        <w:ind w:firstLineChars="200" w:firstLine="422"/>
        <w:jc w:val="left"/>
        <w:rPr>
          <w:rFonts w:asciiTheme="minorEastAsia" w:eastAsiaTheme="minorEastAsia" w:hAnsiTheme="minorEastAsia"/>
          <w:b/>
        </w:rPr>
      </w:pPr>
      <w:r w:rsidRPr="003307CA">
        <w:rPr>
          <w:rFonts w:asciiTheme="minorEastAsia" w:eastAsiaTheme="minorEastAsia" w:hAnsiTheme="minorEastAsia" w:hint="eastAsia"/>
          <w:b/>
        </w:rPr>
        <w:t>2</w:t>
      </w:r>
      <w:r w:rsidR="00885D50" w:rsidRPr="003307CA">
        <w:rPr>
          <w:rFonts w:asciiTheme="minorEastAsia" w:eastAsiaTheme="minorEastAsia" w:hAnsiTheme="minorEastAsia" w:hint="eastAsia"/>
          <w:b/>
        </w:rPr>
        <w:t>、</w:t>
      </w:r>
      <w:r w:rsidRPr="003307CA">
        <w:rPr>
          <w:rFonts w:asciiTheme="minorEastAsia" w:eastAsiaTheme="minorEastAsia" w:hAnsiTheme="minorEastAsia" w:hint="eastAsia"/>
          <w:b/>
        </w:rPr>
        <w:t>决策程序</w:t>
      </w:r>
    </w:p>
    <w:p w:rsidR="0064594E"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64594E" w:rsidRPr="003307CA">
        <w:rPr>
          <w:rFonts w:asciiTheme="minorEastAsia" w:eastAsiaTheme="minorEastAsia" w:hAnsiTheme="minorEastAsia" w:hint="eastAsia"/>
          <w:szCs w:val="21"/>
        </w:rPr>
        <w:t>投资研究</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研究员充分利用外部研究成果、市场信息和公司资源展开宏观研究、策略研究、行业研究、公司基本面研究、固定收益证券研究和金融衍生品研究，强调自上而下和自下而上相结合的研究过程，注重研究的前瞻性和准确性，为各层次的投资决策提供支持。</w:t>
      </w:r>
    </w:p>
    <w:p w:rsidR="0064594E"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（2）</w:t>
      </w:r>
      <w:r w:rsidR="0064594E" w:rsidRPr="003307CA">
        <w:rPr>
          <w:rFonts w:asciiTheme="minorEastAsia" w:eastAsiaTheme="minorEastAsia" w:hAnsiTheme="minorEastAsia" w:hint="eastAsia"/>
          <w:szCs w:val="21"/>
        </w:rPr>
        <w:t>资产配置</w:t>
      </w:r>
    </w:p>
    <w:p w:rsidR="0064594E" w:rsidRPr="003307CA" w:rsidRDefault="00A96209"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基金经理根据基金合同的要求以及投资决策委员会的指导性意见，确定基金资产的配置比例</w:t>
      </w:r>
      <w:r w:rsidR="009A4551" w:rsidRPr="003307CA">
        <w:rPr>
          <w:rFonts w:asciiTheme="minorEastAsia" w:eastAsiaTheme="minorEastAsia" w:hAnsiTheme="minorEastAsia" w:hint="eastAsia"/>
          <w:szCs w:val="21"/>
        </w:rPr>
        <w:t>。</w:t>
      </w:r>
    </w:p>
    <w:p w:rsidR="0064594E"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64594E" w:rsidRPr="003307CA">
        <w:rPr>
          <w:rFonts w:asciiTheme="minorEastAsia" w:eastAsiaTheme="minorEastAsia" w:hAnsiTheme="minorEastAsia" w:hint="eastAsia"/>
          <w:szCs w:val="21"/>
        </w:rPr>
        <w:t>国家/地区配置</w:t>
      </w:r>
    </w:p>
    <w:p w:rsidR="0064594E" w:rsidRPr="003307CA" w:rsidRDefault="00145BBD"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基金经理根据基金合同的要求以及投资决策委员会的指导性意见，确定在各国家/地区间的配置比例</w:t>
      </w:r>
      <w:r w:rsidR="009A4551" w:rsidRPr="003307CA">
        <w:rPr>
          <w:rFonts w:asciiTheme="minorEastAsia" w:eastAsiaTheme="minorEastAsia" w:hAnsiTheme="minorEastAsia" w:hint="eastAsia"/>
          <w:szCs w:val="21"/>
        </w:rPr>
        <w:t>。</w:t>
      </w:r>
    </w:p>
    <w:p w:rsidR="0064594E"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64594E" w:rsidRPr="003307CA">
        <w:rPr>
          <w:rFonts w:asciiTheme="minorEastAsia" w:eastAsiaTheme="minorEastAsia" w:hAnsiTheme="minorEastAsia" w:hint="eastAsia"/>
          <w:szCs w:val="21"/>
        </w:rPr>
        <w:t>股票投资组合的构建</w:t>
      </w:r>
    </w:p>
    <w:p w:rsidR="0064594E" w:rsidRPr="003307CA" w:rsidRDefault="009A4551"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基金经理在参考内外部研究报告的基础上，</w:t>
      </w:r>
      <w:r w:rsidR="00CF504A" w:rsidRPr="003307CA">
        <w:rPr>
          <w:rFonts w:asciiTheme="minorEastAsia" w:eastAsiaTheme="minorEastAsia" w:hAnsiTheme="minorEastAsia" w:hint="eastAsia"/>
          <w:szCs w:val="21"/>
        </w:rPr>
        <w:t>参考研究员的投资建议，</w:t>
      </w:r>
      <w:r w:rsidRPr="003307CA">
        <w:rPr>
          <w:rFonts w:asciiTheme="minorEastAsia" w:eastAsiaTheme="minorEastAsia" w:hAnsiTheme="minorEastAsia" w:hint="eastAsia"/>
          <w:szCs w:val="21"/>
        </w:rPr>
        <w:t>形成行业配置比例的决策，构建股票组合。</w:t>
      </w:r>
    </w:p>
    <w:p w:rsidR="0064594E"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64594E" w:rsidRPr="003307CA">
        <w:rPr>
          <w:rFonts w:asciiTheme="minorEastAsia" w:eastAsiaTheme="minorEastAsia" w:hAnsiTheme="minorEastAsia" w:hint="eastAsia"/>
          <w:szCs w:val="21"/>
        </w:rPr>
        <w:t>债券投资组合的构建</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基金经理基于投资需求及对各国</w:t>
      </w:r>
      <w:r w:rsidR="008467E3" w:rsidRPr="003307CA">
        <w:rPr>
          <w:rFonts w:asciiTheme="minorEastAsia" w:eastAsiaTheme="minorEastAsia" w:hAnsiTheme="minorEastAsia" w:hint="eastAsia"/>
          <w:szCs w:val="21"/>
        </w:rPr>
        <w:t>/地区</w:t>
      </w:r>
      <w:r w:rsidRPr="003307CA">
        <w:rPr>
          <w:rFonts w:asciiTheme="minorEastAsia" w:eastAsiaTheme="minorEastAsia" w:hAnsiTheme="minorEastAsia" w:hint="eastAsia"/>
          <w:szCs w:val="21"/>
        </w:rPr>
        <w:t>债券市场的研究，决定债券组合的期限结构、债券类别配置并选择具体债券，构建债券组合。</w:t>
      </w:r>
    </w:p>
    <w:p w:rsidR="0064594E"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w:t>
      </w:r>
      <w:r w:rsidR="0064594E" w:rsidRPr="003307CA">
        <w:rPr>
          <w:rFonts w:asciiTheme="minorEastAsia" w:eastAsiaTheme="minorEastAsia" w:hAnsiTheme="minorEastAsia" w:hint="eastAsia"/>
          <w:szCs w:val="21"/>
        </w:rPr>
        <w:t>交易执行</w:t>
      </w:r>
    </w:p>
    <w:p w:rsidR="0064594E" w:rsidRPr="003307CA" w:rsidRDefault="00CF504A"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rsidR="0064594E"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CF504A" w:rsidRPr="003307CA">
        <w:rPr>
          <w:rFonts w:asciiTheme="minorEastAsia" w:eastAsiaTheme="minorEastAsia" w:hAnsiTheme="minorEastAsia" w:hint="eastAsia"/>
          <w:szCs w:val="21"/>
        </w:rPr>
        <w:t>投资风险的监控和管理</w:t>
      </w:r>
    </w:p>
    <w:p w:rsidR="00CF504A"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CF504A" w:rsidRPr="003307CA">
        <w:rPr>
          <w:rFonts w:asciiTheme="minorEastAsia" w:eastAsiaTheme="minorEastAsia" w:hAnsiTheme="minorEastAsia" w:hint="eastAsia"/>
          <w:szCs w:val="21"/>
        </w:rPr>
        <w:t>投资风险管理部定期出具基金绩效评估和风险管理报告，供基金经理调整投资组合时参考；</w:t>
      </w:r>
    </w:p>
    <w:p w:rsidR="00BB3736" w:rsidRPr="003307CA" w:rsidRDefault="00885D50" w:rsidP="00885D50">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5E2802" w:rsidRPr="003307CA">
        <w:rPr>
          <w:rFonts w:asciiTheme="minorEastAsia" w:eastAsiaTheme="minorEastAsia" w:hAnsiTheme="minorEastAsia" w:hint="eastAsia"/>
          <w:szCs w:val="21"/>
        </w:rPr>
        <w:t>监察合规管理部门</w:t>
      </w:r>
      <w:r w:rsidR="00CF504A" w:rsidRPr="003307CA">
        <w:rPr>
          <w:rFonts w:asciiTheme="minorEastAsia" w:eastAsiaTheme="minorEastAsia" w:hAnsiTheme="minorEastAsia" w:hint="eastAsia"/>
          <w:szCs w:val="21"/>
        </w:rPr>
        <w:t>对基金的日常投资和交易是否遵守法律法规、基金合同进行独立监督检查。</w:t>
      </w:r>
    </w:p>
    <w:p w:rsidR="00BA046C" w:rsidRPr="003307CA"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49" w:name="_Toc44351069"/>
      <w:r w:rsidRPr="003307CA">
        <w:rPr>
          <w:rFonts w:asciiTheme="minorEastAsia" w:eastAsiaTheme="minorEastAsia" w:hAnsiTheme="minorEastAsia" w:hint="eastAsia"/>
          <w:b w:val="0"/>
          <w:bCs/>
        </w:rPr>
        <w:t>八、投资</w:t>
      </w:r>
      <w:r w:rsidR="00BA046C" w:rsidRPr="003307CA">
        <w:rPr>
          <w:rFonts w:asciiTheme="minorEastAsia" w:eastAsiaTheme="minorEastAsia" w:hAnsiTheme="minorEastAsia" w:hint="eastAsia"/>
          <w:b w:val="0"/>
          <w:bCs/>
        </w:rPr>
        <w:t>禁止</w:t>
      </w:r>
      <w:r w:rsidRPr="003307CA">
        <w:rPr>
          <w:rFonts w:asciiTheme="minorEastAsia" w:eastAsiaTheme="minorEastAsia" w:hAnsiTheme="minorEastAsia" w:hint="eastAsia"/>
          <w:b w:val="0"/>
          <w:bCs/>
        </w:rPr>
        <w:t>与限制</w:t>
      </w:r>
      <w:bookmarkEnd w:id="49"/>
    </w:p>
    <w:p w:rsidR="00EF128F" w:rsidRPr="003307CA" w:rsidRDefault="001B53FB"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（一）</w:t>
      </w:r>
      <w:r w:rsidR="00EF128F" w:rsidRPr="003307CA">
        <w:rPr>
          <w:rFonts w:asciiTheme="minorEastAsia" w:eastAsiaTheme="minorEastAsia" w:hAnsiTheme="minorEastAsia" w:hint="eastAsia"/>
          <w:szCs w:val="21"/>
        </w:rPr>
        <w:t>投资禁止</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为维护基金份额持有人的合法权益，</w:t>
      </w:r>
      <w:r w:rsidR="00EC7A4E" w:rsidRPr="003307CA">
        <w:rPr>
          <w:rFonts w:asciiTheme="minorEastAsia" w:eastAsiaTheme="minorEastAsia" w:hAnsiTheme="minorEastAsia" w:hint="eastAsia"/>
          <w:szCs w:val="21"/>
        </w:rPr>
        <w:t>除中国证监会另有规定外，</w:t>
      </w:r>
      <w:r w:rsidRPr="003307CA">
        <w:rPr>
          <w:rFonts w:asciiTheme="minorEastAsia" w:eastAsiaTheme="minorEastAsia" w:hAnsiTheme="minorEastAsia" w:hint="eastAsia"/>
          <w:szCs w:val="21"/>
        </w:rPr>
        <w:t>本基金禁止从事下列行为：</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承销证券；</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向他人贷款或提供担保；</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从事承担无限责任的投资；</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购买不动产</w:t>
      </w:r>
      <w:r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购买房地产抵押按揭</w:t>
      </w:r>
      <w:r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购买贵重金属或代表贵重金属的凭证</w:t>
      </w:r>
      <w:r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购买实物商品</w:t>
      </w:r>
      <w:r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8</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除应付赎回、交易清算等临时用途以外，借入现金</w:t>
      </w:r>
      <w:r w:rsidRPr="003307CA">
        <w:rPr>
          <w:rFonts w:asciiTheme="minorEastAsia" w:eastAsiaTheme="minorEastAsia" w:hAnsiTheme="minorEastAsia" w:hint="eastAsia"/>
          <w:szCs w:val="21"/>
        </w:rPr>
        <w:t>；该临时用途借入现金的比例不得超过基金资产净值的10%；</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9</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利用融资购买证券，但投资金融衍生品除外</w:t>
      </w:r>
      <w:r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10</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参与未持有基础资产的卖空交易</w:t>
      </w:r>
      <w:r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11</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购买证券用于控制或影响发行该证券的机构或其管理层；</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12</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直接投资与实物商品相关的衍生品；</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13</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向基金管理人、基金托管人出资或者买卖其基金管理人、基金托管人发行的股票或债券；</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14</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15</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从事内幕交易、操纵证券价格及其他不正当的证券交易活动；</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16</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当时有效的法律法规、中国证监会及《基金合同》规定禁止从事的其他行为。</w:t>
      </w:r>
    </w:p>
    <w:p w:rsidR="00BA046C" w:rsidRPr="003307CA" w:rsidRDefault="00BA046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如法律法规或监管部门取消上述禁止性规定，本基金管理人可不受上述规定的限制。</w:t>
      </w:r>
    </w:p>
    <w:p w:rsidR="0064594E" w:rsidRPr="003307CA" w:rsidRDefault="001B53FB" w:rsidP="00CE3F81">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（二）</w:t>
      </w:r>
      <w:r w:rsidR="0064594E" w:rsidRPr="003307CA">
        <w:rPr>
          <w:rFonts w:asciiTheme="minorEastAsia" w:eastAsiaTheme="minorEastAsia" w:hAnsiTheme="minorEastAsia" w:hint="eastAsia"/>
          <w:szCs w:val="21"/>
        </w:rPr>
        <w:t>投资限制</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本基金的投资组合将遵循以下限制：</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hint="eastAsia"/>
          <w:szCs w:val="21"/>
        </w:rPr>
        <w:t>1</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cs="Arial"/>
          <w:szCs w:val="21"/>
        </w:rPr>
        <w:t>基金持有同一家银行的存款不得超过基金净值的20%。在基金托管账户的存款可以不受上述限制。</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hint="eastAsia"/>
          <w:szCs w:val="21"/>
        </w:rPr>
        <w:t>2</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cs="Arial"/>
          <w:szCs w:val="21"/>
        </w:rPr>
        <w:t>基金持有同一机构（政府、国际金融组织除外）发行的证券市值不得超过基金净值的10%。</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hint="eastAsia"/>
          <w:szCs w:val="21"/>
        </w:rPr>
        <w:t>3</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cs="Arial"/>
          <w:szCs w:val="21"/>
        </w:rPr>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hint="eastAsia"/>
          <w:szCs w:val="21"/>
        </w:rPr>
        <w:t>4</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cs="Arial" w:hint="eastAsia"/>
          <w:szCs w:val="21"/>
        </w:rPr>
        <w:t>同一基金管理人</w:t>
      </w:r>
      <w:r w:rsidRPr="003307CA">
        <w:rPr>
          <w:rFonts w:asciiTheme="minorEastAsia" w:eastAsiaTheme="minorEastAsia" w:hAnsiTheme="minorEastAsia" w:cs="Arial"/>
          <w:szCs w:val="21"/>
        </w:rPr>
        <w:t>管理的全部基金不得持有同一机构10%以上具有投票权的证券发行总量。前项投资比例限制应当合并计算同一机构境内外上市的总股本，同时应当一并计算全球存托凭证和美国存托凭证所代表的基础证券，并假设对持有的股本权证行使转换。</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hint="eastAsia"/>
          <w:szCs w:val="21"/>
        </w:rPr>
        <w:t>5</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cs="Arial"/>
          <w:szCs w:val="21"/>
        </w:rPr>
        <w:t>基金持有非流动性资产市值不得超过基金净值的10%。前项非流动性资产是指法律或基金合同规定的流通受限证券以及中国证监会认定的其他资产。</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3307CA">
        <w:rPr>
          <w:rFonts w:asciiTheme="minorEastAsia" w:eastAsiaTheme="minorEastAsia" w:hAnsiTheme="minorEastAsia" w:hint="eastAsia"/>
          <w:szCs w:val="21"/>
        </w:rPr>
        <w:t>6</w:t>
      </w:r>
      <w:r w:rsidR="00885D50" w:rsidRPr="003307CA">
        <w:rPr>
          <w:rFonts w:asciiTheme="minorEastAsia" w:eastAsiaTheme="minorEastAsia" w:hAnsiTheme="minorEastAsia" w:hint="eastAsia"/>
          <w:szCs w:val="21"/>
        </w:rPr>
        <w:t>、</w:t>
      </w:r>
      <w:r w:rsidRPr="003307CA">
        <w:rPr>
          <w:rFonts w:asciiTheme="minorEastAsia" w:eastAsiaTheme="minorEastAsia" w:hAnsiTheme="minorEastAsia" w:cs="Arial"/>
          <w:szCs w:val="21"/>
        </w:rPr>
        <w:t>基金持有境外基金的市值合计不得超过基金</w:t>
      </w:r>
      <w:r w:rsidRPr="003307CA">
        <w:rPr>
          <w:rFonts w:asciiTheme="minorEastAsia" w:eastAsiaTheme="minorEastAsia" w:hAnsiTheme="minorEastAsia" w:cs="Arial" w:hint="eastAsia"/>
          <w:szCs w:val="21"/>
        </w:rPr>
        <w:t>资产</w:t>
      </w:r>
      <w:r w:rsidRPr="003307CA">
        <w:rPr>
          <w:rFonts w:asciiTheme="minorEastAsia" w:eastAsiaTheme="minorEastAsia" w:hAnsiTheme="minorEastAsia" w:cs="Arial"/>
          <w:szCs w:val="21"/>
        </w:rPr>
        <w:t>净值的10%。</w:t>
      </w:r>
      <w:r w:rsidRPr="003307CA">
        <w:rPr>
          <w:rFonts w:asciiTheme="minorEastAsia" w:eastAsiaTheme="minorEastAsia" w:hAnsiTheme="minorEastAsia" w:cs="Arial" w:hint="eastAsia"/>
          <w:szCs w:val="21"/>
        </w:rPr>
        <w:t>但</w:t>
      </w:r>
      <w:r w:rsidRPr="003307CA">
        <w:rPr>
          <w:rFonts w:asciiTheme="minorEastAsia" w:eastAsiaTheme="minorEastAsia" w:hAnsiTheme="minorEastAsia" w:cs="Arial"/>
          <w:szCs w:val="21"/>
        </w:rPr>
        <w:t>持有货币市场基金可以不受上述限制。</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t>7</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同一</w:t>
      </w:r>
      <w:r w:rsidRPr="003307CA">
        <w:rPr>
          <w:rFonts w:asciiTheme="minorEastAsia" w:eastAsiaTheme="minorEastAsia" w:hAnsiTheme="minorEastAsia" w:cs="Arial" w:hint="eastAsia"/>
          <w:szCs w:val="21"/>
        </w:rPr>
        <w:t>基金管理人</w:t>
      </w:r>
      <w:r w:rsidRPr="003307CA">
        <w:rPr>
          <w:rFonts w:asciiTheme="minorEastAsia" w:eastAsiaTheme="minorEastAsia" w:hAnsiTheme="minorEastAsia" w:cs="Arial"/>
          <w:szCs w:val="21"/>
        </w:rPr>
        <w:t>管理的全部基金持有任何一只境外基金，不得超过该境外基金总份额的20％。</w:t>
      </w:r>
    </w:p>
    <w:p w:rsidR="001E6F1F" w:rsidRPr="003307CA"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t>8、本基金管理人管理的全部开放式基金持有一家上市公司发行的可流通股票，不得超过该上市公司可流通股票的</w:t>
      </w:r>
      <w:r w:rsidRPr="003307CA">
        <w:rPr>
          <w:rFonts w:asciiTheme="minorEastAsia" w:eastAsiaTheme="minorEastAsia" w:hAnsiTheme="minorEastAsia" w:cs="Arial"/>
          <w:szCs w:val="21"/>
        </w:rPr>
        <w:t>15%</w:t>
      </w:r>
      <w:r w:rsidRPr="003307CA">
        <w:rPr>
          <w:rFonts w:asciiTheme="minorEastAsia" w:eastAsiaTheme="minorEastAsia" w:hAnsiTheme="minorEastAsia" w:cs="Arial" w:hint="eastAsia"/>
          <w:szCs w:val="21"/>
        </w:rPr>
        <w:t>；本基金管理人管理的全部投资组合持有一家上市公司发行的可流通股票，不得超过该上市公司可流通股票的</w:t>
      </w:r>
      <w:r w:rsidRPr="003307CA">
        <w:rPr>
          <w:rFonts w:asciiTheme="minorEastAsia" w:eastAsiaTheme="minorEastAsia" w:hAnsiTheme="minorEastAsia" w:cs="Arial"/>
          <w:szCs w:val="21"/>
        </w:rPr>
        <w:t>30%</w:t>
      </w:r>
      <w:r w:rsidRPr="003307CA">
        <w:rPr>
          <w:rFonts w:asciiTheme="minorEastAsia" w:eastAsiaTheme="minorEastAsia" w:hAnsiTheme="minorEastAsia" w:cs="Arial" w:hint="eastAsia"/>
          <w:szCs w:val="21"/>
        </w:rPr>
        <w:t>。</w:t>
      </w:r>
    </w:p>
    <w:p w:rsidR="001E6F1F" w:rsidRPr="003307CA"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t>9、本基金主动投资于流动性受限资产的市值合计不得超过该基金资产净值的</w:t>
      </w:r>
      <w:r w:rsidRPr="003307CA">
        <w:rPr>
          <w:rFonts w:asciiTheme="minorEastAsia" w:eastAsiaTheme="minorEastAsia" w:hAnsiTheme="minorEastAsia" w:cs="Arial"/>
          <w:szCs w:val="21"/>
        </w:rPr>
        <w:t>15%</w:t>
      </w:r>
      <w:r w:rsidRPr="003307CA">
        <w:rPr>
          <w:rFonts w:asciiTheme="minorEastAsia" w:eastAsiaTheme="minorEastAsia" w:hAnsiTheme="minorEastAsia" w:cs="Arial" w:hint="eastAsia"/>
          <w:szCs w:val="21"/>
        </w:rPr>
        <w:t>。</w:t>
      </w:r>
    </w:p>
    <w:p w:rsidR="001E6F1F" w:rsidRPr="003307CA"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lastRenderedPageBreak/>
        <w:t>因证券市场波动、上市公司股票停牌、基金规模变动等基金管理人之外的因素致使基金不符合前款所规定比例限制的，基金管理人不得主动新增流动性受限资产的投资。</w:t>
      </w:r>
    </w:p>
    <w:p w:rsidR="001E6F1F" w:rsidRPr="003307CA"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t>1</w:t>
      </w:r>
      <w:r w:rsidRPr="003307CA">
        <w:rPr>
          <w:rFonts w:asciiTheme="minorEastAsia" w:eastAsiaTheme="minorEastAsia" w:hAnsiTheme="minorEastAsia" w:cs="Arial"/>
          <w:szCs w:val="21"/>
        </w:rPr>
        <w:t>0、</w:t>
      </w:r>
      <w:r w:rsidRPr="003307CA">
        <w:rPr>
          <w:rFonts w:asciiTheme="minorEastAsia" w:eastAsiaTheme="minorEastAsia" w:hAnsiTheme="minorEastAsia" w:cs="Arial" w:hint="eastAsia"/>
          <w:szCs w:val="21"/>
        </w:rPr>
        <w:t>本基金与私募类证券资管产品及中国证监会认定的其他主体为交易对手开展逆回购交易的，可接受质押品的资质要求应当与基金合同约定的投资范围保持一致。</w:t>
      </w:r>
    </w:p>
    <w:p w:rsidR="00CD3B3A" w:rsidRPr="003307CA" w:rsidRDefault="0064594E" w:rsidP="001223DA">
      <w:pPr>
        <w:spacing w:line="360" w:lineRule="auto"/>
        <w:ind w:firstLineChars="171" w:firstLine="359"/>
        <w:rPr>
          <w:rFonts w:asciiTheme="minorEastAsia" w:eastAsiaTheme="minorEastAsia" w:hAnsiTheme="minorEastAsia"/>
        </w:rPr>
      </w:pPr>
      <w:r w:rsidRPr="003307CA">
        <w:rPr>
          <w:rFonts w:asciiTheme="minorEastAsia" w:eastAsiaTheme="minorEastAsia" w:hAnsiTheme="minorEastAsia" w:hint="eastAsia"/>
          <w:szCs w:val="21"/>
        </w:rPr>
        <w:t>基金管理人应当在基金合同生效后6个月内使基金的投资组合比例符合基金合同的有关约定。在基金合同生效6个月后，</w:t>
      </w:r>
      <w:r w:rsidRPr="003307CA">
        <w:rPr>
          <w:rFonts w:asciiTheme="minorEastAsia" w:eastAsiaTheme="minorEastAsia" w:hAnsiTheme="minorEastAsia" w:cs="Arial"/>
          <w:szCs w:val="21"/>
        </w:rPr>
        <w:t>若基金超过上述</w:t>
      </w:r>
      <w:r w:rsidRPr="003307CA">
        <w:rPr>
          <w:rFonts w:asciiTheme="minorEastAsia" w:eastAsiaTheme="minorEastAsia" w:hAnsiTheme="minorEastAsia" w:cs="Arial" w:hint="eastAsia"/>
          <w:szCs w:val="21"/>
        </w:rPr>
        <w:t>1-</w:t>
      </w:r>
      <w:r w:rsidR="00E9473A" w:rsidRPr="003307CA">
        <w:rPr>
          <w:rFonts w:asciiTheme="minorEastAsia" w:eastAsiaTheme="minorEastAsia" w:hAnsiTheme="minorEastAsia" w:cs="Arial" w:hint="eastAsia"/>
          <w:szCs w:val="21"/>
        </w:rPr>
        <w:t>7</w:t>
      </w:r>
      <w:r w:rsidRPr="003307CA">
        <w:rPr>
          <w:rFonts w:asciiTheme="minorEastAsia" w:eastAsiaTheme="minorEastAsia" w:hAnsiTheme="minorEastAsia" w:cs="Arial" w:hint="eastAsia"/>
          <w:szCs w:val="21"/>
        </w:rPr>
        <w:t>项</w:t>
      </w:r>
      <w:r w:rsidRPr="003307CA">
        <w:rPr>
          <w:rFonts w:asciiTheme="minorEastAsia" w:eastAsiaTheme="minorEastAsia" w:hAnsiTheme="minorEastAsia" w:cs="Arial"/>
          <w:szCs w:val="21"/>
        </w:rPr>
        <w:t>投资比例限制，应当在超过比例后30个工作日内采用合理的商业措施</w:t>
      </w:r>
      <w:r w:rsidRPr="003307CA">
        <w:rPr>
          <w:rFonts w:asciiTheme="minorEastAsia" w:eastAsiaTheme="minorEastAsia" w:hAnsiTheme="minorEastAsia" w:cs="Arial" w:hint="eastAsia"/>
          <w:szCs w:val="21"/>
        </w:rPr>
        <w:t>减仓，</w:t>
      </w:r>
      <w:r w:rsidRPr="003307CA">
        <w:rPr>
          <w:rFonts w:asciiTheme="minorEastAsia" w:eastAsiaTheme="minorEastAsia" w:hAnsiTheme="minorEastAsia"/>
          <w:szCs w:val="21"/>
        </w:rPr>
        <w:t>以符合投资比例限制要求。</w:t>
      </w:r>
      <w:r w:rsidR="001E6F1F" w:rsidRPr="003307CA">
        <w:rPr>
          <w:rFonts w:asciiTheme="minorEastAsia" w:eastAsiaTheme="minorEastAsia" w:hAnsiTheme="minorEastAsia" w:hint="eastAsia"/>
        </w:rPr>
        <w:t>因证券市场波动、证券发行人合并、基金规模变动等基金管理人之外的因素致使基金投资比例不符合上述第8项</w:t>
      </w:r>
      <w:r w:rsidR="001E6F1F" w:rsidRPr="003307CA">
        <w:rPr>
          <w:rFonts w:asciiTheme="minorEastAsia" w:eastAsiaTheme="minorEastAsia" w:hAnsiTheme="minorEastAsia"/>
        </w:rPr>
        <w:t>规定投资比例</w:t>
      </w:r>
      <w:r w:rsidR="001E6F1F" w:rsidRPr="003307CA">
        <w:rPr>
          <w:rFonts w:asciiTheme="minorEastAsia" w:eastAsiaTheme="minorEastAsia" w:hAnsiTheme="minorEastAsia" w:hint="eastAsia"/>
        </w:rPr>
        <w:t>的，基金管理人应当在</w:t>
      </w:r>
      <w:r w:rsidR="001E6F1F" w:rsidRPr="003307CA">
        <w:rPr>
          <w:rFonts w:asciiTheme="minorEastAsia" w:eastAsiaTheme="minorEastAsia" w:hAnsiTheme="minorEastAsia"/>
        </w:rPr>
        <w:t>10</w:t>
      </w:r>
      <w:r w:rsidR="001E6F1F" w:rsidRPr="003307CA">
        <w:rPr>
          <w:rFonts w:asciiTheme="minorEastAsia" w:eastAsiaTheme="minorEastAsia" w:hAnsiTheme="minorEastAsia" w:hint="eastAsia"/>
        </w:rPr>
        <w:t>个交易日内进行调整，但中国证监会规定的特殊情形除外。</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对于因基金份额拆分、大比例分红等集中持续营销活动引起的基金净资产规模在10个</w:t>
      </w:r>
      <w:r w:rsidRPr="003307CA">
        <w:rPr>
          <w:rFonts w:asciiTheme="minorEastAsia" w:eastAsiaTheme="minorEastAsia" w:hAnsiTheme="minorEastAsia" w:hint="eastAsia"/>
          <w:szCs w:val="21"/>
        </w:rPr>
        <w:t>工作</w:t>
      </w:r>
      <w:r w:rsidRPr="003307CA">
        <w:rPr>
          <w:rFonts w:asciiTheme="minorEastAsia" w:eastAsiaTheme="minorEastAsia" w:hAnsiTheme="minorEastAsia"/>
          <w:szCs w:val="21"/>
        </w:rPr>
        <w:t>日内增加10亿元以上的情形，而导致证券投资比例低于基金合同约定的，基金管理人同基金托管人协商一致并及时书面报告中国证监会后，可将调整时限从</w:t>
      </w:r>
      <w:r w:rsidRPr="003307CA">
        <w:rPr>
          <w:rFonts w:asciiTheme="minorEastAsia" w:eastAsiaTheme="minorEastAsia" w:hAnsiTheme="minorEastAsia" w:hint="eastAsia"/>
          <w:szCs w:val="21"/>
        </w:rPr>
        <w:t>3</w:t>
      </w:r>
      <w:r w:rsidRPr="003307CA">
        <w:rPr>
          <w:rFonts w:asciiTheme="minorEastAsia" w:eastAsiaTheme="minorEastAsia" w:hAnsiTheme="minorEastAsia"/>
          <w:szCs w:val="21"/>
        </w:rPr>
        <w:t>0个</w:t>
      </w:r>
      <w:r w:rsidRPr="003307CA">
        <w:rPr>
          <w:rFonts w:asciiTheme="minorEastAsia" w:eastAsiaTheme="minorEastAsia" w:hAnsiTheme="minorEastAsia" w:hint="eastAsia"/>
          <w:szCs w:val="21"/>
        </w:rPr>
        <w:t>工作</w:t>
      </w:r>
      <w:r w:rsidRPr="003307CA">
        <w:rPr>
          <w:rFonts w:asciiTheme="minorEastAsia" w:eastAsiaTheme="minorEastAsia" w:hAnsiTheme="minorEastAsia"/>
          <w:szCs w:val="21"/>
        </w:rPr>
        <w:t>日延长到3个月。</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法律法规或中国有关监管部门取消上述限制，本基金不受上述限制。《基金法》及其他有关法律法规或监管部门调整上述限制的，履行适当程序后，基金可依据届时有效的法律法规适时合理地调整上述限制。</w:t>
      </w:r>
    </w:p>
    <w:p w:rsidR="00BA046C" w:rsidRPr="003307CA" w:rsidRDefault="001B53FB" w:rsidP="00885D50">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（三）</w:t>
      </w:r>
      <w:r w:rsidR="00BA046C" w:rsidRPr="003307CA">
        <w:rPr>
          <w:rFonts w:asciiTheme="minorEastAsia" w:eastAsiaTheme="minorEastAsia" w:hAnsiTheme="minorEastAsia" w:hint="eastAsia"/>
          <w:szCs w:val="21"/>
        </w:rPr>
        <w:t>金融衍生品投资</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基金投资衍生品应当仅限于投资组合避险或有效管理，不得用于投机或放大交易，同时应当严格遵守下列规定：</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1</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基金的金融衍生品全部敞口不得高于基金资产净值的100％。</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2</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基金投资期货支付的初始保证金、投资期权支付或收取的期权费、投资柜台交易衍生品支付的初始费用的总额不得高于基金资产净值的10％。</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3</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基金投资于远期合约、互换等柜台交易金融衍生品，应当符合以下要求：</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1）所有参与交易的对手方（中资商业银行除外）应当具有不低于中国证监会认可的信用评级机构评级。</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（2）交易对手方应当至少每个工作日对交易进行估值，并且基金可在任何时候以公允价值终止交易。</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（3）任一交易对手方的市值计价敞口不得超过基金资产净值的20％。</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4</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基金管理人</w:t>
      </w:r>
      <w:r w:rsidRPr="003307CA">
        <w:rPr>
          <w:rFonts w:asciiTheme="minorEastAsia" w:eastAsiaTheme="minorEastAsia" w:hAnsiTheme="minorEastAsia" w:cs="Arial"/>
          <w:szCs w:val="21"/>
        </w:rPr>
        <w:t>应当在</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基金会计年度结束后60个工作日内向中国证监会提交包括衍生品头寸及风险分析年度报告。</w:t>
      </w:r>
    </w:p>
    <w:p w:rsidR="00BA046C" w:rsidRPr="003307CA" w:rsidRDefault="001B53FB" w:rsidP="00885D50">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（四）</w:t>
      </w:r>
      <w:r w:rsidR="00BA046C" w:rsidRPr="003307CA">
        <w:rPr>
          <w:rFonts w:asciiTheme="minorEastAsia" w:eastAsiaTheme="minorEastAsia" w:hAnsiTheme="minorEastAsia" w:hint="eastAsia"/>
          <w:szCs w:val="21"/>
        </w:rPr>
        <w:t>本基金可以参与证券借贷交易，并且应当遵守下列规定</w:t>
      </w:r>
      <w:r w:rsidR="006B6817"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1</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所有参与交易的对手方（中资商业银行除外）应当具有中国证监会认可的信用评级</w:t>
      </w:r>
      <w:r w:rsidRPr="003307CA">
        <w:rPr>
          <w:rFonts w:asciiTheme="minorEastAsia" w:eastAsiaTheme="minorEastAsia" w:hAnsiTheme="minorEastAsia" w:cs="Arial"/>
          <w:szCs w:val="21"/>
        </w:rPr>
        <w:lastRenderedPageBreak/>
        <w:t>机构评级。</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2</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应当采取市值计价制度进行调整以确保担保物市值不低于已借出证券市值的102％。</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3</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借方应当在交易期内及时向</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基金支付已借出证券产生的所有股息、利息和分红。一旦借方违约，</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基金根据协议和有关法律有权保留和处置担保物以满足索赔需要。</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4</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除中国证监会另有规定外，担保物可以是以下金融工具或品种：</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（1）现金；</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（2）存款证明；</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3）商业票据；</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（4）政府债券；</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（5）中资商业银行或由不低于中国证监会认可的信用评级机构评级的境外金融机构（作为交易对手方或其关联方的除外）出具的不可撤销信用证。</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5</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基金有权在任何时候终止证券借贷交易并在正常市场惯例的合理期限内要求归还任一或所有已借出的证券。</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6</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基金管理人</w:t>
      </w:r>
      <w:r w:rsidRPr="003307CA">
        <w:rPr>
          <w:rFonts w:asciiTheme="minorEastAsia" w:eastAsiaTheme="minorEastAsia" w:hAnsiTheme="minorEastAsia" w:cs="Arial"/>
          <w:szCs w:val="21"/>
        </w:rPr>
        <w:t>应当对基金参与证券借贷交易中发生的任何损失负相应责任。</w:t>
      </w:r>
    </w:p>
    <w:p w:rsidR="00BA046C" w:rsidRPr="003307CA" w:rsidRDefault="001B53FB"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（五）</w:t>
      </w:r>
      <w:r w:rsidR="00BA046C" w:rsidRPr="003307CA">
        <w:rPr>
          <w:rFonts w:asciiTheme="minorEastAsia" w:eastAsiaTheme="minorEastAsia" w:hAnsiTheme="minorEastAsia"/>
          <w:szCs w:val="21"/>
        </w:rPr>
        <w:t>基金可以根据正常市场惯例参与正回购交易、逆回购交易，并且应当遵守下列规定</w:t>
      </w:r>
      <w:r w:rsidR="003D7E6A" w:rsidRPr="003307CA">
        <w:rPr>
          <w:rFonts w:asciiTheme="minorEastAsia" w:eastAsiaTheme="minorEastAsia" w:hAnsiTheme="minorEastAsia" w:hint="eastAsia"/>
          <w:szCs w:val="21"/>
        </w:rPr>
        <w:t>：</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所有参与正回购交易的对手方（中资商业银行除外）应当具有中国证监会认可的信用评级机构信用评级。</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2</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参与正回购交易，应当采取市值计价制度对卖出收益进行调整以确保现金不低于已售出证券市值的102％。一旦买方违约，</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基金根据协议和有关法律有权保留或处置卖出收益以满足索赔需要。</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3</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买方应当在正回购交易期内及时向</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基金支付售出证券产生的所有股息、利息和分红。</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4</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参与逆回购交易，应当对购入证券采取市值计价制度进行调整以确保已购入证券市值不低于支付现金的102％。一旦卖方违约，</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基金根据协议和有关法律有权保留或处置已购入证券以满足索赔需要。</w:t>
      </w:r>
    </w:p>
    <w:p w:rsidR="00BA046C" w:rsidRPr="003307CA" w:rsidRDefault="00BA046C"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5</w:t>
      </w:r>
      <w:r w:rsidR="00885D50"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基金管理人</w:t>
      </w:r>
      <w:r w:rsidRPr="003307CA">
        <w:rPr>
          <w:rFonts w:asciiTheme="minorEastAsia" w:eastAsiaTheme="minorEastAsia" w:hAnsiTheme="minorEastAsia" w:cs="Arial"/>
          <w:szCs w:val="21"/>
        </w:rPr>
        <w:t>应当对基金参与证券正回购交易、逆回购交易中发生的任何损失负相应责任。</w:t>
      </w:r>
    </w:p>
    <w:p w:rsidR="00D303F5" w:rsidRPr="003307CA" w:rsidRDefault="00D578EB"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（六）</w:t>
      </w:r>
      <w:r w:rsidR="00D303F5" w:rsidRPr="003307CA">
        <w:rPr>
          <w:rFonts w:asciiTheme="minorEastAsia" w:eastAsiaTheme="minorEastAsia" w:hAnsiTheme="minorEastAsia" w:cs="Arial"/>
          <w:szCs w:val="21"/>
        </w:rPr>
        <w:t>基金参与</w:t>
      </w:r>
      <w:r w:rsidR="00D303F5" w:rsidRPr="003307CA">
        <w:rPr>
          <w:rFonts w:asciiTheme="minorEastAsia" w:eastAsiaTheme="minorEastAsia" w:hAnsiTheme="minorEastAsia" w:cs="Arial" w:hint="eastAsia"/>
          <w:szCs w:val="21"/>
        </w:rPr>
        <w:t>证券借贷交易、</w:t>
      </w:r>
      <w:r w:rsidR="00D303F5" w:rsidRPr="003307CA">
        <w:rPr>
          <w:rFonts w:asciiTheme="minorEastAsia" w:eastAsiaTheme="minorEastAsia" w:hAnsiTheme="minorEastAsia" w:cs="Arial"/>
          <w:szCs w:val="21"/>
        </w:rPr>
        <w:t>正回购交易，所有</w:t>
      </w:r>
      <w:r w:rsidR="00106BAE" w:rsidRPr="003307CA">
        <w:rPr>
          <w:rFonts w:asciiTheme="minorEastAsia" w:eastAsiaTheme="minorEastAsia" w:hAnsiTheme="minorEastAsia" w:cs="Arial" w:hint="eastAsia"/>
          <w:szCs w:val="21"/>
        </w:rPr>
        <w:t>已借出而未归还证券总市值或所有</w:t>
      </w:r>
      <w:r w:rsidR="00D303F5" w:rsidRPr="003307CA">
        <w:rPr>
          <w:rFonts w:asciiTheme="minorEastAsia" w:eastAsiaTheme="minorEastAsia" w:hAnsiTheme="minorEastAsia" w:cs="Arial"/>
          <w:szCs w:val="21"/>
        </w:rPr>
        <w:t>已售出而未回购证券总市值均不得超过基金总资产的50％。</w:t>
      </w:r>
    </w:p>
    <w:p w:rsidR="00D303F5" w:rsidRPr="003307CA" w:rsidRDefault="00637D1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前项比例限制计算，基金因参与证券借贷交易、正回购交易而持有的担保物、现金不得计入基金总资产</w:t>
      </w:r>
      <w:r w:rsidR="00D303F5" w:rsidRPr="003307CA">
        <w:rPr>
          <w:rFonts w:asciiTheme="minorEastAsia" w:eastAsiaTheme="minorEastAsia" w:hAnsiTheme="minorEastAsia"/>
          <w:szCs w:val="21"/>
        </w:rPr>
        <w:t>。</w:t>
      </w:r>
    </w:p>
    <w:p w:rsidR="0064594E" w:rsidRPr="003307CA" w:rsidRDefault="00133DDB" w:rsidP="00CE3F81">
      <w:pPr>
        <w:pStyle w:val="2"/>
        <w:snapToGrid w:val="0"/>
        <w:spacing w:beforeLines="0" w:afterLines="0" w:line="360" w:lineRule="auto"/>
        <w:ind w:firstLine="560"/>
        <w:rPr>
          <w:rFonts w:asciiTheme="minorEastAsia" w:eastAsiaTheme="minorEastAsia" w:hAnsiTheme="minorEastAsia"/>
          <w:b w:val="0"/>
          <w:bCs/>
        </w:rPr>
      </w:pPr>
      <w:bookmarkStart w:id="50" w:name="_Toc44351070"/>
      <w:r w:rsidRPr="003307CA">
        <w:rPr>
          <w:rFonts w:asciiTheme="minorEastAsia" w:eastAsiaTheme="minorEastAsia" w:hAnsiTheme="minorEastAsia" w:hint="eastAsia"/>
          <w:b w:val="0"/>
          <w:bCs/>
        </w:rPr>
        <w:t>九、</w:t>
      </w:r>
      <w:r w:rsidR="0064594E" w:rsidRPr="003307CA">
        <w:rPr>
          <w:rFonts w:asciiTheme="minorEastAsia" w:eastAsiaTheme="minorEastAsia" w:hAnsiTheme="minorEastAsia" w:hint="eastAsia"/>
          <w:b w:val="0"/>
          <w:bCs/>
        </w:rPr>
        <w:t>衍生品投资的风险管理与决策流程</w:t>
      </w:r>
      <w:bookmarkEnd w:id="50"/>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885D50" w:rsidRPr="003307CA">
        <w:rPr>
          <w:rFonts w:asciiTheme="minorEastAsia" w:eastAsiaTheme="minorEastAsia" w:hAnsiTheme="minorEastAsia" w:hint="eastAsia"/>
        </w:rPr>
        <w:t>、</w:t>
      </w:r>
      <w:r w:rsidRPr="003307CA">
        <w:rPr>
          <w:rFonts w:asciiTheme="minorEastAsia" w:eastAsiaTheme="minorEastAsia" w:hAnsiTheme="minorEastAsia" w:hint="eastAsia"/>
        </w:rPr>
        <w:t>投资衍生品的风险管理</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金融衍生品的投资过程，同时也是风险管理的过程。在金融衍生品的投资业务中，包括了“事前的风险定位、事中的风险管理和事后的风险评估”的全过程、多角度、全方位的风险监控体系。</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事前风险控制：投资决策前，投资研究人员必须对所运用的金融衍生工具的特性、机理、风险有深入的研究和分析。对拟投资方案可能蕴含的风险进行充分评估和量化，进行必要的情形分析和压力测试。</w:t>
      </w:r>
      <w:r w:rsidR="00671AC8" w:rsidRPr="003307CA">
        <w:rPr>
          <w:rFonts w:asciiTheme="minorEastAsia" w:eastAsiaTheme="minorEastAsia" w:hAnsiTheme="minorEastAsia" w:hint="eastAsia"/>
        </w:rPr>
        <w:t>金融衍生品的投资在投资方案经审批通过后，方可实施</w:t>
      </w:r>
      <w:r w:rsidRPr="003307CA">
        <w:rPr>
          <w:rFonts w:asciiTheme="minorEastAsia" w:eastAsiaTheme="minorEastAsia" w:hAnsiTheme="minorEastAsia" w:hint="eastAsia"/>
        </w:rPr>
        <w:t>。</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事中风险控制：衍生品</w:t>
      </w:r>
      <w:r w:rsidR="0063753E" w:rsidRPr="003307CA">
        <w:rPr>
          <w:rFonts w:asciiTheme="minorEastAsia" w:eastAsiaTheme="minorEastAsia" w:hAnsiTheme="minorEastAsia" w:hint="eastAsia"/>
        </w:rPr>
        <w:t>研究</w:t>
      </w:r>
      <w:r w:rsidRPr="003307CA">
        <w:rPr>
          <w:rFonts w:asciiTheme="minorEastAsia" w:eastAsiaTheme="minorEastAsia" w:hAnsiTheme="minorEastAsia" w:hint="eastAsia"/>
        </w:rPr>
        <w:t>组对交易对手的信用评级进行跟踪，防范信用风险的发生</w:t>
      </w:r>
      <w:r w:rsidR="00341234" w:rsidRPr="003307CA">
        <w:rPr>
          <w:rFonts w:asciiTheme="minorEastAsia" w:eastAsiaTheme="minorEastAsia" w:hAnsiTheme="minorEastAsia" w:hint="eastAsia"/>
        </w:rPr>
        <w:t>，</w:t>
      </w:r>
      <w:r w:rsidRPr="003307CA">
        <w:rPr>
          <w:rFonts w:asciiTheme="minorEastAsia" w:eastAsiaTheme="minorEastAsia" w:hAnsiTheme="minorEastAsia" w:hint="eastAsia"/>
        </w:rPr>
        <w:t>并利用现代金融工程的手段对对组合进行风险评估。基金经理或衍生品</w:t>
      </w:r>
      <w:r w:rsidR="0063753E" w:rsidRPr="003307CA">
        <w:rPr>
          <w:rFonts w:asciiTheme="minorEastAsia" w:eastAsiaTheme="minorEastAsia" w:hAnsiTheme="minorEastAsia" w:hint="eastAsia"/>
        </w:rPr>
        <w:t>研究</w:t>
      </w:r>
      <w:r w:rsidRPr="003307CA">
        <w:rPr>
          <w:rFonts w:asciiTheme="minorEastAsia" w:eastAsiaTheme="minorEastAsia" w:hAnsiTheme="minorEastAsia" w:hint="eastAsia"/>
        </w:rPr>
        <w:t>组对衍生品头寸以及风险敞口进行监控，一旦衍生品的亏损超过投资方案防范的目标，</w:t>
      </w:r>
      <w:r w:rsidR="004B6555" w:rsidRPr="003307CA">
        <w:rPr>
          <w:rFonts w:asciiTheme="minorEastAsia" w:eastAsiaTheme="minorEastAsia" w:hAnsiTheme="minorEastAsia" w:hint="eastAsia"/>
        </w:rPr>
        <w:t>应按制度进行汇报，并</w:t>
      </w:r>
      <w:r w:rsidRPr="003307CA">
        <w:rPr>
          <w:rFonts w:asciiTheme="minorEastAsia" w:eastAsiaTheme="minorEastAsia" w:hAnsiTheme="minorEastAsia" w:hint="eastAsia"/>
        </w:rPr>
        <w:t>考虑采取强制平仓等措施以避免出现严重的风险事件。</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事后风险控制：基金经理或衍生品</w:t>
      </w:r>
      <w:r w:rsidR="0063753E" w:rsidRPr="003307CA">
        <w:rPr>
          <w:rFonts w:asciiTheme="minorEastAsia" w:eastAsiaTheme="minorEastAsia" w:hAnsiTheme="minorEastAsia" w:hint="eastAsia"/>
        </w:rPr>
        <w:t>研究</w:t>
      </w:r>
      <w:r w:rsidRPr="003307CA">
        <w:rPr>
          <w:rFonts w:asciiTheme="minorEastAsia" w:eastAsiaTheme="minorEastAsia" w:hAnsiTheme="minorEastAsia" w:hint="eastAsia"/>
        </w:rPr>
        <w:t>组定期对基金的衍生品交易策略、运作情况做投资回顾分析和风险评估，识别内部控制中的弱点和系统中的不足，提供改进的建议；定期评估、审定和改进风险管理政策。</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885D50" w:rsidRPr="003307CA">
        <w:rPr>
          <w:rFonts w:asciiTheme="minorEastAsia" w:eastAsiaTheme="minorEastAsia" w:hAnsiTheme="minorEastAsia" w:hint="eastAsia"/>
        </w:rPr>
        <w:t>、</w:t>
      </w:r>
      <w:r w:rsidRPr="003307CA">
        <w:rPr>
          <w:rFonts w:asciiTheme="minorEastAsia" w:eastAsiaTheme="minorEastAsia" w:hAnsiTheme="minorEastAsia" w:hint="eastAsia"/>
        </w:rPr>
        <w:t>投资衍生品的决策流程</w:t>
      </w:r>
    </w:p>
    <w:p w:rsidR="004B6555" w:rsidRPr="003307CA" w:rsidRDefault="004B655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（1）基金经理在内外部研究的支持下，本着组合避险和有效管理的策略原则，提出衍生品投资需求及相关报告，并按照公司制度提交审议。审批通过后，基金经理将投资指令提交集中交易室执行。</w:t>
      </w:r>
    </w:p>
    <w:p w:rsidR="0064594E" w:rsidRPr="003307CA" w:rsidRDefault="004B655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（2）基金经理对衍生品的投资运作情况进行回顾和评估检讨。</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bCs/>
        </w:rPr>
      </w:pPr>
      <w:bookmarkStart w:id="51" w:name="_Toc44351071"/>
      <w:r w:rsidRPr="003307CA">
        <w:rPr>
          <w:rFonts w:asciiTheme="minorEastAsia" w:eastAsiaTheme="minorEastAsia" w:hAnsiTheme="minorEastAsia" w:hint="eastAsia"/>
          <w:b w:val="0"/>
          <w:bCs/>
        </w:rPr>
        <w:t>十</w:t>
      </w:r>
      <w:r w:rsidR="00803F98" w:rsidRPr="003307CA">
        <w:rPr>
          <w:rFonts w:asciiTheme="minorEastAsia" w:eastAsiaTheme="minorEastAsia" w:hAnsiTheme="minorEastAsia" w:hint="eastAsia"/>
          <w:b w:val="0"/>
          <w:bCs/>
        </w:rPr>
        <w:t>、</w:t>
      </w:r>
      <w:r w:rsidRPr="003307CA">
        <w:rPr>
          <w:rFonts w:asciiTheme="minorEastAsia" w:eastAsiaTheme="minorEastAsia" w:hAnsiTheme="minorEastAsia" w:hint="eastAsia"/>
          <w:b w:val="0"/>
          <w:bCs/>
        </w:rPr>
        <w:t>代理投票</w:t>
      </w:r>
      <w:bookmarkEnd w:id="51"/>
    </w:p>
    <w:p w:rsidR="007D677F" w:rsidRPr="003307CA" w:rsidRDefault="00885D50" w:rsidP="00885D50">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7D677F" w:rsidRPr="003307CA">
        <w:rPr>
          <w:rFonts w:asciiTheme="minorEastAsia" w:eastAsiaTheme="minorEastAsia" w:hAnsiTheme="minorEastAsia" w:hint="eastAsia"/>
        </w:rPr>
        <w:t>基金管理人行使代理投票权应遵循基金</w:t>
      </w:r>
      <w:r w:rsidR="001B3D1F" w:rsidRPr="003307CA">
        <w:rPr>
          <w:rFonts w:asciiTheme="minorEastAsia" w:eastAsiaTheme="minorEastAsia" w:hAnsiTheme="minorEastAsia" w:hint="eastAsia"/>
        </w:rPr>
        <w:t>份额</w:t>
      </w:r>
      <w:r w:rsidR="007D677F" w:rsidRPr="003307CA">
        <w:rPr>
          <w:rFonts w:asciiTheme="minorEastAsia" w:eastAsiaTheme="minorEastAsia" w:hAnsiTheme="minorEastAsia" w:hint="eastAsia"/>
        </w:rPr>
        <w:t>持有人利益最大化的原则。</w:t>
      </w:r>
    </w:p>
    <w:p w:rsidR="007D677F" w:rsidRPr="003307CA" w:rsidRDefault="00885D50" w:rsidP="00885D50">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7D677F" w:rsidRPr="003307CA">
        <w:rPr>
          <w:rFonts w:asciiTheme="minorEastAsia" w:eastAsiaTheme="minorEastAsia" w:hAnsiTheme="minorEastAsia" w:hint="eastAsia"/>
        </w:rPr>
        <w:t>行使代理投票权应考虑不同地区市场上适用的法律或监管要求、公司治理标准、披露实务操作等存在的差异，充分研究提案的合理性，并综合考虑投资顾问、独立第三方研究机构等的意见后，选择合适的方式行使投票权。本着基金投资者利益最大化的原则，对持股比例较小或审议非重要事项、支付较高费用等情况时，基金管理人可以选择不参与上市公司的投票。</w:t>
      </w:r>
    </w:p>
    <w:p w:rsidR="007D677F" w:rsidRPr="003307CA" w:rsidRDefault="00885D50" w:rsidP="00885D50">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7D677F" w:rsidRPr="003307CA">
        <w:rPr>
          <w:rFonts w:asciiTheme="minorEastAsia" w:eastAsiaTheme="minorEastAsia" w:hAnsiTheme="minorEastAsia" w:hint="eastAsia"/>
        </w:rPr>
        <w:t>代理投票权的执行，可选择实地投票、通过交易经纪商系统投票、委托境外投资顾问、托管人或第三方代理投票机构投票等方式。</w:t>
      </w:r>
    </w:p>
    <w:p w:rsidR="0064594E" w:rsidRPr="003307CA" w:rsidRDefault="00885D50" w:rsidP="00885D50">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7D677F" w:rsidRPr="003307CA">
        <w:rPr>
          <w:rFonts w:asciiTheme="minorEastAsia" w:eastAsiaTheme="minorEastAsia" w:hAnsiTheme="minorEastAsia" w:hint="eastAsia"/>
        </w:rPr>
        <w:t>基金管理人应保留投票记录。</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bCs/>
        </w:rPr>
      </w:pPr>
      <w:bookmarkStart w:id="52" w:name="_Toc44351072"/>
      <w:bookmarkStart w:id="53" w:name="OLE_LINK3"/>
      <w:r w:rsidRPr="003307CA">
        <w:rPr>
          <w:rFonts w:asciiTheme="minorEastAsia" w:eastAsiaTheme="minorEastAsia" w:hAnsiTheme="minorEastAsia" w:hint="eastAsia"/>
          <w:b w:val="0"/>
          <w:bCs/>
        </w:rPr>
        <w:t>十</w:t>
      </w:r>
      <w:r w:rsidR="00803F98" w:rsidRPr="003307CA">
        <w:rPr>
          <w:rFonts w:asciiTheme="minorEastAsia" w:eastAsiaTheme="minorEastAsia" w:hAnsiTheme="minorEastAsia" w:hint="eastAsia"/>
          <w:b w:val="0"/>
          <w:bCs/>
        </w:rPr>
        <w:t>一、</w:t>
      </w:r>
      <w:r w:rsidRPr="003307CA">
        <w:rPr>
          <w:rFonts w:asciiTheme="minorEastAsia" w:eastAsiaTheme="minorEastAsia" w:hAnsiTheme="minorEastAsia" w:hint="eastAsia"/>
          <w:b w:val="0"/>
          <w:bCs/>
        </w:rPr>
        <w:t>证券交易管理</w:t>
      </w:r>
      <w:bookmarkEnd w:id="52"/>
    </w:p>
    <w:p w:rsidR="007D677F" w:rsidRPr="003307CA" w:rsidRDefault="00885D50" w:rsidP="00885D50">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7D677F" w:rsidRPr="003307CA">
        <w:rPr>
          <w:rFonts w:asciiTheme="minorEastAsia" w:eastAsiaTheme="minorEastAsia" w:hAnsiTheme="minorEastAsia" w:hint="eastAsia"/>
        </w:rPr>
        <w:t>基金管理人挑选证券经纪商主要考虑的因素包括：交易执行能力、研究报告质量、提供研究服务质量、法规监管资讯服务以及价值贡献等方面。</w:t>
      </w:r>
    </w:p>
    <w:p w:rsidR="007D677F" w:rsidRPr="003307CA"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交易执行能力。主要指券商是否能够对投资指令进行有效的执行，以及能否取得较高质量的成交结果。衡量交易执行能力的指标主要有：是否完成交易、成交的及时性、成交</w:t>
      </w:r>
      <w:r w:rsidRPr="003307CA">
        <w:rPr>
          <w:rFonts w:asciiTheme="minorEastAsia" w:eastAsiaTheme="minorEastAsia" w:hAnsiTheme="minorEastAsia" w:hint="eastAsia"/>
          <w:szCs w:val="21"/>
        </w:rPr>
        <w:lastRenderedPageBreak/>
        <w:t>价格、对市场的影响等；</w:t>
      </w:r>
    </w:p>
    <w:p w:rsidR="007D677F" w:rsidRPr="003307CA"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研究报告的质量。主要是指券商能否提供</w:t>
      </w:r>
      <w:r w:rsidRPr="003307CA">
        <w:rPr>
          <w:rFonts w:asciiTheme="minorEastAsia" w:eastAsiaTheme="minorEastAsia" w:hAnsiTheme="minorEastAsia"/>
          <w:szCs w:val="21"/>
        </w:rPr>
        <w:t>高质量的宏观经济研究、行业研究及市场走向、个股分析报告和</w:t>
      </w:r>
      <w:r w:rsidRPr="003307CA">
        <w:rPr>
          <w:rFonts w:asciiTheme="minorEastAsia" w:eastAsiaTheme="minorEastAsia" w:hAnsiTheme="minorEastAsia" w:hint="eastAsia"/>
          <w:szCs w:val="21"/>
        </w:rPr>
        <w:t>专题</w:t>
      </w:r>
      <w:r w:rsidRPr="003307CA">
        <w:rPr>
          <w:rFonts w:asciiTheme="minorEastAsia" w:eastAsiaTheme="minorEastAsia" w:hAnsiTheme="minorEastAsia"/>
          <w:szCs w:val="21"/>
        </w:rPr>
        <w:t>研究</w:t>
      </w:r>
      <w:r w:rsidRPr="003307CA">
        <w:rPr>
          <w:rFonts w:asciiTheme="minorEastAsia" w:eastAsiaTheme="minorEastAsia" w:hAnsiTheme="minorEastAsia" w:hint="eastAsia"/>
          <w:szCs w:val="21"/>
        </w:rPr>
        <w:t>报告，报告内容是否详实，投资建议是否准确等；</w:t>
      </w:r>
    </w:p>
    <w:p w:rsidR="007D677F" w:rsidRPr="003307CA"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提供研究服务的质量。主要包括协助安排上市公司调研、研究资料共享、路演服务、日常沟通交流、接受委托研究的服务质量等方面；</w:t>
      </w:r>
    </w:p>
    <w:p w:rsidR="007D677F" w:rsidRPr="003307CA"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法规监管资讯服务。主要包括境外投资法律规定、交易监管规则、信息披露、个人利益冲突、税收等资讯的提供与培训；</w:t>
      </w:r>
    </w:p>
    <w:p w:rsidR="007D677F" w:rsidRPr="003307CA"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价值贡献。主要是指证券经纪商对公司研究团队、投资团队在业务能力提升上所做的培训服务、对公司投资提升所作出的贡献；</w:t>
      </w:r>
    </w:p>
    <w:p w:rsidR="007D677F" w:rsidRPr="003307CA"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其他因素。主要是证券经纪商的财务状况、经营行为规范、风险管理机制、近年内有无重大违规行为等。</w:t>
      </w:r>
    </w:p>
    <w:p w:rsidR="007D677F" w:rsidRPr="003307CA" w:rsidRDefault="00885D50" w:rsidP="00885D50">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7D677F" w:rsidRPr="003307CA">
        <w:rPr>
          <w:rFonts w:asciiTheme="minorEastAsia" w:eastAsiaTheme="minorEastAsia" w:hAnsiTheme="minorEastAsia" w:hint="eastAsia"/>
        </w:rPr>
        <w:t>席位交易量的分配依据</w:t>
      </w:r>
    </w:p>
    <w:p w:rsidR="007D677F" w:rsidRPr="003307CA" w:rsidRDefault="007D677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主要根据对证券经纪商的评价结果进行交易量分配。评价证券经纪商将重点依据其交易执行能力、研究报告质量、提供研究服务质量、法规监管资讯服务和价值贡献等方面的指标，并采用十分制进行评分。</w:t>
      </w:r>
    </w:p>
    <w:p w:rsidR="007D677F" w:rsidRPr="003307CA" w:rsidRDefault="007D677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评分的计算公式是：∑i(第i项评价项目×项目权重)，其中各项目权重由基金管理人根据相关法规要求和内部制度进行确定。</w:t>
      </w:r>
    </w:p>
    <w:p w:rsidR="007D677F" w:rsidRPr="003307CA" w:rsidRDefault="00885D50" w:rsidP="00885D50">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7D677F" w:rsidRPr="003307CA">
        <w:rPr>
          <w:rFonts w:asciiTheme="minorEastAsia" w:eastAsiaTheme="minorEastAsia" w:hAnsiTheme="minorEastAsia" w:hint="eastAsia"/>
        </w:rPr>
        <w:t>其他事项</w:t>
      </w:r>
    </w:p>
    <w:p w:rsidR="0064594E" w:rsidRPr="003307CA" w:rsidRDefault="007D677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管理人将根据有关规定，在基金定期报告中对所选择的证券经纪商、基金通过该证券经纪商买卖证券的成交量以及所支付的佣金等进行披露。对于在证券经纪商选择和交易量分配中存在或潜在的利益冲突，管理人应该本着尽可能维护持有人的利益进行妥善处理，并按规定进行报告。</w:t>
      </w:r>
      <w:bookmarkEnd w:id="53"/>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bCs/>
        </w:rPr>
      </w:pPr>
      <w:bookmarkStart w:id="54" w:name="_Toc44351073"/>
      <w:r w:rsidRPr="003307CA">
        <w:rPr>
          <w:rFonts w:asciiTheme="minorEastAsia" w:eastAsiaTheme="minorEastAsia" w:hAnsiTheme="minorEastAsia" w:hint="eastAsia"/>
          <w:b w:val="0"/>
          <w:bCs/>
        </w:rPr>
        <w:t>十</w:t>
      </w:r>
      <w:r w:rsidR="00803F98" w:rsidRPr="003307CA">
        <w:rPr>
          <w:rFonts w:asciiTheme="minorEastAsia" w:eastAsiaTheme="minorEastAsia" w:hAnsiTheme="minorEastAsia" w:hint="eastAsia"/>
          <w:b w:val="0"/>
          <w:bCs/>
        </w:rPr>
        <w:t>二、</w:t>
      </w:r>
      <w:r w:rsidRPr="003307CA">
        <w:rPr>
          <w:rFonts w:asciiTheme="minorEastAsia" w:eastAsiaTheme="minorEastAsia" w:hAnsiTheme="minorEastAsia" w:hint="eastAsia"/>
          <w:b w:val="0"/>
          <w:bCs/>
          <w:spacing w:val="-6"/>
        </w:rPr>
        <w:t>基金管理人代表基金行使所投资证券产生权利的处理原则及方法</w:t>
      </w:r>
      <w:bookmarkEnd w:id="54"/>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885D50" w:rsidRPr="003307CA">
        <w:rPr>
          <w:rFonts w:asciiTheme="minorEastAsia" w:eastAsiaTheme="minorEastAsia" w:hAnsiTheme="minorEastAsia" w:hint="eastAsia"/>
        </w:rPr>
        <w:t>、</w:t>
      </w:r>
      <w:r w:rsidRPr="003307CA">
        <w:rPr>
          <w:rFonts w:asciiTheme="minorEastAsia" w:eastAsiaTheme="minorEastAsia" w:hAnsiTheme="minorEastAsia" w:hint="eastAsia"/>
        </w:rPr>
        <w:t>不谋求对上市公司的控股，不参与所投资上市公司的经营管理；</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885D50" w:rsidRPr="003307CA">
        <w:rPr>
          <w:rFonts w:asciiTheme="minorEastAsia" w:eastAsiaTheme="minorEastAsia" w:hAnsiTheme="minorEastAsia" w:hint="eastAsia"/>
        </w:rPr>
        <w:t>、</w:t>
      </w:r>
      <w:r w:rsidRPr="003307CA">
        <w:rPr>
          <w:rFonts w:asciiTheme="minorEastAsia" w:eastAsiaTheme="minorEastAsia" w:hAnsiTheme="minorEastAsia" w:hint="eastAsia"/>
        </w:rPr>
        <w:t>有利于基金资产的安全与增值；</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885D50" w:rsidRPr="003307CA">
        <w:rPr>
          <w:rFonts w:asciiTheme="minorEastAsia" w:eastAsiaTheme="minorEastAsia" w:hAnsiTheme="minorEastAsia" w:hint="eastAsia"/>
        </w:rPr>
        <w:t>、</w:t>
      </w:r>
      <w:r w:rsidRPr="003307CA">
        <w:rPr>
          <w:rFonts w:asciiTheme="minorEastAsia" w:eastAsiaTheme="minorEastAsia" w:hAnsiTheme="minorEastAsia" w:hint="eastAsia"/>
        </w:rPr>
        <w:t>基金管理人按照国家有关规定代表基金独立行使所投资证券权利，保护基金份额持有人的利益。</w:t>
      </w:r>
    </w:p>
    <w:p w:rsidR="0076422A" w:rsidRPr="003307CA" w:rsidRDefault="0076422A" w:rsidP="00CE3F81">
      <w:pPr>
        <w:pStyle w:val="2"/>
        <w:snapToGrid w:val="0"/>
        <w:spacing w:beforeLines="0" w:afterLines="0" w:line="360" w:lineRule="auto"/>
        <w:ind w:firstLine="536"/>
        <w:rPr>
          <w:rFonts w:asciiTheme="minorEastAsia" w:eastAsiaTheme="minorEastAsia" w:hAnsiTheme="minorEastAsia"/>
          <w:b w:val="0"/>
          <w:bCs/>
          <w:spacing w:val="-6"/>
        </w:rPr>
      </w:pPr>
      <w:bookmarkStart w:id="55" w:name="_Toc44351074"/>
      <w:r w:rsidRPr="003307CA">
        <w:rPr>
          <w:rFonts w:asciiTheme="minorEastAsia" w:eastAsiaTheme="minorEastAsia" w:hAnsiTheme="minorEastAsia" w:hint="eastAsia"/>
          <w:b w:val="0"/>
          <w:bCs/>
          <w:spacing w:val="-6"/>
        </w:rPr>
        <w:t>十三、基金投资组合报告(未经审计)</w:t>
      </w:r>
      <w:bookmarkEnd w:id="55"/>
    </w:p>
    <w:p w:rsidR="0076422A" w:rsidRPr="003307CA" w:rsidRDefault="0076422A"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76422A" w:rsidRPr="003307CA" w:rsidRDefault="0076422A"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本基金的托管人中国工商银行股份有限公司根据本基金合同的规定，复核了</w:t>
      </w:r>
      <w:r w:rsidR="00406B14" w:rsidRPr="003307CA">
        <w:rPr>
          <w:rFonts w:asciiTheme="minorEastAsia" w:eastAsiaTheme="minorEastAsia" w:hAnsiTheme="minorEastAsia" w:hint="eastAsia"/>
          <w:szCs w:val="21"/>
        </w:rPr>
        <w:t>本报告的内容，保证复核内容不存在虚假记载、误导性陈述或者重大遗漏</w:t>
      </w:r>
      <w:r w:rsidRPr="003307CA">
        <w:rPr>
          <w:rFonts w:asciiTheme="minorEastAsia" w:eastAsiaTheme="minorEastAsia" w:hAnsiTheme="minorEastAsia" w:hint="eastAsia"/>
          <w:szCs w:val="21"/>
        </w:rPr>
        <w:t>。</w:t>
      </w:r>
    </w:p>
    <w:p w:rsidR="000B1CA0" w:rsidRPr="003307CA" w:rsidRDefault="002465F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lastRenderedPageBreak/>
        <w:t>本投资组合报告有关数据的期间为2020年1月1日至2020年3月31日</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1</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 xml:space="preserve"> 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53"/>
        <w:gridCol w:w="2835"/>
        <w:gridCol w:w="1559"/>
      </w:tblGrid>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序号</w:t>
            </w:r>
          </w:p>
        </w:tc>
        <w:tc>
          <w:tcPr>
            <w:tcW w:w="4253"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项目</w:t>
            </w:r>
          </w:p>
        </w:tc>
        <w:tc>
          <w:tcPr>
            <w:tcW w:w="2835"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金额(人民币元)</w:t>
            </w:r>
          </w:p>
        </w:tc>
        <w:tc>
          <w:tcPr>
            <w:tcW w:w="1559"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占基金总资产的比例(%)</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1</w:t>
            </w: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权益投资</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429,673,038.43</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92.83</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其中：普通股</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216,293,832.53</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46.73</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vAlign w:val="center"/>
          </w:tcPr>
          <w:p w:rsidR="002F595F" w:rsidRPr="003307CA" w:rsidRDefault="002F595F" w:rsidP="00A242D0">
            <w:pPr>
              <w:spacing w:before="29" w:line="360" w:lineRule="auto"/>
              <w:ind w:left="17" w:firstLineChars="300" w:firstLine="630"/>
              <w:jc w:val="left"/>
              <w:rPr>
                <w:rFonts w:asciiTheme="minorEastAsia" w:eastAsiaTheme="minorEastAsia" w:hAnsiTheme="minorEastAsia"/>
                <w:szCs w:val="21"/>
              </w:rPr>
            </w:pPr>
            <w:r w:rsidRPr="003307CA">
              <w:rPr>
                <w:rFonts w:asciiTheme="minorEastAsia" w:eastAsiaTheme="minorEastAsia" w:hAnsiTheme="minorEastAsia"/>
                <w:szCs w:val="21"/>
              </w:rPr>
              <w:t>存托凭证</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213,379,205.90</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46.10</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vAlign w:val="center"/>
          </w:tcPr>
          <w:p w:rsidR="002F595F" w:rsidRPr="003307CA" w:rsidRDefault="002F595F" w:rsidP="00A242D0">
            <w:pPr>
              <w:spacing w:before="29" w:line="360" w:lineRule="auto"/>
              <w:ind w:left="17" w:firstLineChars="300" w:firstLine="630"/>
              <w:jc w:val="left"/>
              <w:rPr>
                <w:rFonts w:asciiTheme="minorEastAsia" w:eastAsiaTheme="minorEastAsia" w:hAnsiTheme="minorEastAsia"/>
                <w:szCs w:val="21"/>
              </w:rPr>
            </w:pPr>
            <w:r w:rsidRPr="003307CA">
              <w:rPr>
                <w:rFonts w:asciiTheme="minorEastAsia" w:eastAsiaTheme="minorEastAsia" w:hAnsiTheme="minorEastAsia"/>
                <w:szCs w:val="21"/>
              </w:rPr>
              <w:t>优先股</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vAlign w:val="center"/>
          </w:tcPr>
          <w:p w:rsidR="002F595F" w:rsidRPr="003307CA" w:rsidRDefault="002F595F" w:rsidP="00A242D0">
            <w:pPr>
              <w:spacing w:before="29" w:line="360" w:lineRule="auto"/>
              <w:ind w:left="17" w:firstLineChars="300" w:firstLine="630"/>
              <w:jc w:val="left"/>
              <w:rPr>
                <w:rFonts w:asciiTheme="minorEastAsia" w:eastAsiaTheme="minorEastAsia" w:hAnsiTheme="minorEastAsia"/>
                <w:szCs w:val="21"/>
              </w:rPr>
            </w:pPr>
            <w:r w:rsidRPr="003307CA">
              <w:rPr>
                <w:rFonts w:asciiTheme="minorEastAsia" w:eastAsiaTheme="minorEastAsia" w:hAnsiTheme="minorEastAsia"/>
                <w:szCs w:val="21"/>
              </w:rPr>
              <w:t>房地产信托</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tcPr>
          <w:p w:rsidR="002F595F" w:rsidRPr="003307CA" w:rsidRDefault="002F595F" w:rsidP="00A242D0">
            <w:pPr>
              <w:adjustRightInd w:val="0"/>
              <w:snapToGrid w:val="0"/>
              <w:spacing w:line="400" w:lineRule="exact"/>
              <w:jc w:val="center"/>
              <w:rPr>
                <w:rFonts w:asciiTheme="minorEastAsia" w:eastAsiaTheme="minorEastAsia" w:hAnsiTheme="minorEastAsia"/>
                <w:szCs w:val="21"/>
              </w:rPr>
            </w:pPr>
            <w:r w:rsidRPr="003307CA">
              <w:rPr>
                <w:rFonts w:asciiTheme="minorEastAsia" w:eastAsiaTheme="minorEastAsia" w:hAnsiTheme="minorEastAsia"/>
                <w:szCs w:val="21"/>
              </w:rPr>
              <w:t>2</w:t>
            </w:r>
          </w:p>
        </w:tc>
        <w:tc>
          <w:tcPr>
            <w:tcW w:w="4253" w:type="dxa"/>
          </w:tcPr>
          <w:p w:rsidR="002F595F" w:rsidRPr="003307CA" w:rsidRDefault="002F595F" w:rsidP="00A242D0">
            <w:pPr>
              <w:adjustRightInd w:val="0"/>
              <w:snapToGrid w:val="0"/>
              <w:spacing w:line="400" w:lineRule="exact"/>
              <w:rPr>
                <w:rFonts w:asciiTheme="minorEastAsia" w:eastAsiaTheme="minorEastAsia" w:hAnsiTheme="minorEastAsia"/>
                <w:szCs w:val="21"/>
              </w:rPr>
            </w:pPr>
            <w:r w:rsidRPr="003307CA">
              <w:rPr>
                <w:rFonts w:asciiTheme="minorEastAsia" w:eastAsiaTheme="minorEastAsia" w:hAnsiTheme="minorEastAsia"/>
                <w:szCs w:val="21"/>
              </w:rPr>
              <w:t>基金投资</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3</w:t>
            </w: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固定收益投资</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其中：债券</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vAlign w:val="center"/>
          </w:tcPr>
          <w:p w:rsidR="002F595F" w:rsidRPr="003307CA" w:rsidRDefault="002F595F" w:rsidP="00A242D0">
            <w:pPr>
              <w:autoSpaceDE w:val="0"/>
              <w:autoSpaceDN w:val="0"/>
              <w:adjustRightInd w:val="0"/>
              <w:spacing w:before="29" w:line="360" w:lineRule="auto"/>
              <w:ind w:left="17" w:firstLineChars="300" w:firstLine="630"/>
              <w:jc w:val="left"/>
              <w:rPr>
                <w:rFonts w:asciiTheme="minorEastAsia" w:eastAsiaTheme="minorEastAsia" w:hAnsiTheme="minorEastAsia"/>
                <w:szCs w:val="21"/>
              </w:rPr>
            </w:pPr>
            <w:r w:rsidRPr="003307CA">
              <w:rPr>
                <w:rFonts w:asciiTheme="minorEastAsia" w:eastAsiaTheme="minorEastAsia" w:hAnsiTheme="minorEastAsia"/>
                <w:szCs w:val="21"/>
              </w:rPr>
              <w:t>资产支持证券</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4</w:t>
            </w: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金融衍生品投资</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tcPr>
          <w:p w:rsidR="002F595F" w:rsidRPr="003307CA" w:rsidRDefault="002F595F" w:rsidP="00A242D0">
            <w:pPr>
              <w:adjustRightInd w:val="0"/>
              <w:snapToGrid w:val="0"/>
              <w:spacing w:line="400" w:lineRule="exact"/>
              <w:rPr>
                <w:rFonts w:asciiTheme="minorEastAsia" w:eastAsiaTheme="minorEastAsia" w:hAnsiTheme="minorEastAsia"/>
                <w:szCs w:val="21"/>
              </w:rPr>
            </w:pPr>
            <w:r w:rsidRPr="003307CA">
              <w:rPr>
                <w:rFonts w:asciiTheme="minorEastAsia" w:eastAsiaTheme="minorEastAsia" w:hAnsiTheme="minorEastAsia"/>
                <w:szCs w:val="21"/>
              </w:rPr>
              <w:t>其中：远期</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tcPr>
          <w:p w:rsidR="002F595F" w:rsidRPr="003307CA" w:rsidDel="00455464" w:rsidRDefault="002F595F" w:rsidP="00A242D0">
            <w:pPr>
              <w:adjustRightInd w:val="0"/>
              <w:snapToGrid w:val="0"/>
              <w:spacing w:line="400" w:lineRule="exact"/>
              <w:ind w:firstLineChars="300" w:firstLine="630"/>
              <w:rPr>
                <w:rFonts w:asciiTheme="minorEastAsia" w:eastAsiaTheme="minorEastAsia" w:hAnsiTheme="minorEastAsia"/>
                <w:szCs w:val="21"/>
              </w:rPr>
            </w:pPr>
            <w:r w:rsidRPr="003307CA">
              <w:rPr>
                <w:rFonts w:asciiTheme="minorEastAsia" w:eastAsiaTheme="minorEastAsia" w:hAnsiTheme="minorEastAsia"/>
                <w:szCs w:val="21"/>
              </w:rPr>
              <w:t>期货</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tcPr>
          <w:p w:rsidR="002F595F" w:rsidRPr="003307CA" w:rsidRDefault="002F595F" w:rsidP="00A242D0">
            <w:pPr>
              <w:adjustRightInd w:val="0"/>
              <w:snapToGrid w:val="0"/>
              <w:spacing w:line="400" w:lineRule="exact"/>
              <w:ind w:firstLineChars="300" w:firstLine="630"/>
              <w:rPr>
                <w:rFonts w:asciiTheme="minorEastAsia" w:eastAsiaTheme="minorEastAsia" w:hAnsiTheme="minorEastAsia"/>
                <w:szCs w:val="21"/>
              </w:rPr>
            </w:pPr>
            <w:r w:rsidRPr="003307CA">
              <w:rPr>
                <w:rFonts w:asciiTheme="minorEastAsia" w:eastAsiaTheme="minorEastAsia" w:hAnsiTheme="minorEastAsia"/>
                <w:szCs w:val="21"/>
              </w:rPr>
              <w:t>期权</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tcPr>
          <w:p w:rsidR="002F595F" w:rsidRPr="003307CA" w:rsidRDefault="002F595F" w:rsidP="00A242D0">
            <w:pPr>
              <w:adjustRightInd w:val="0"/>
              <w:snapToGrid w:val="0"/>
              <w:spacing w:line="400" w:lineRule="exact"/>
              <w:ind w:firstLineChars="298" w:firstLine="626"/>
              <w:rPr>
                <w:rFonts w:asciiTheme="minorEastAsia" w:eastAsiaTheme="minorEastAsia" w:hAnsiTheme="minorEastAsia"/>
                <w:szCs w:val="21"/>
              </w:rPr>
            </w:pPr>
            <w:r w:rsidRPr="003307CA">
              <w:rPr>
                <w:rFonts w:asciiTheme="minorEastAsia" w:eastAsiaTheme="minorEastAsia" w:hAnsiTheme="minorEastAsia"/>
                <w:szCs w:val="21"/>
              </w:rPr>
              <w:t>权证</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5</w:t>
            </w: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买入返售金融资产</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其中：买断式回购的买入返售金融资产</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tcPr>
          <w:p w:rsidR="002F595F" w:rsidRPr="003307CA" w:rsidRDefault="002F595F" w:rsidP="00A242D0">
            <w:pPr>
              <w:adjustRightInd w:val="0"/>
              <w:snapToGrid w:val="0"/>
              <w:spacing w:line="400" w:lineRule="exact"/>
              <w:jc w:val="center"/>
              <w:rPr>
                <w:rFonts w:asciiTheme="minorEastAsia" w:eastAsiaTheme="minorEastAsia" w:hAnsiTheme="minorEastAsia"/>
                <w:szCs w:val="21"/>
              </w:rPr>
            </w:pPr>
            <w:r w:rsidRPr="003307CA">
              <w:rPr>
                <w:rFonts w:asciiTheme="minorEastAsia" w:eastAsiaTheme="minorEastAsia" w:hAnsiTheme="minorEastAsia"/>
                <w:szCs w:val="21"/>
              </w:rPr>
              <w:t>6</w:t>
            </w:r>
          </w:p>
        </w:tc>
        <w:tc>
          <w:tcPr>
            <w:tcW w:w="4253" w:type="dxa"/>
          </w:tcPr>
          <w:p w:rsidR="002F595F" w:rsidRPr="003307CA" w:rsidRDefault="002F595F" w:rsidP="00A242D0">
            <w:pPr>
              <w:adjustRightInd w:val="0"/>
              <w:snapToGrid w:val="0"/>
              <w:spacing w:line="400" w:lineRule="exact"/>
              <w:rPr>
                <w:rFonts w:asciiTheme="minorEastAsia" w:eastAsiaTheme="minorEastAsia" w:hAnsiTheme="minorEastAsia"/>
                <w:szCs w:val="21"/>
              </w:rPr>
            </w:pPr>
            <w:r w:rsidRPr="003307CA">
              <w:rPr>
                <w:rFonts w:asciiTheme="minorEastAsia" w:eastAsiaTheme="minorEastAsia" w:hAnsiTheme="minorEastAsia"/>
                <w:szCs w:val="21"/>
              </w:rPr>
              <w:t>货币市场工具</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7</w:t>
            </w:r>
          </w:p>
        </w:tc>
        <w:tc>
          <w:tcPr>
            <w:tcW w:w="4253" w:type="dxa"/>
            <w:vAlign w:val="center"/>
          </w:tcPr>
          <w:p w:rsidR="002F595F" w:rsidRPr="003307CA" w:rsidRDefault="002F595F" w:rsidP="00A242D0">
            <w:pPr>
              <w:spacing w:before="29" w:line="360" w:lineRule="auto"/>
              <w:ind w:left="17"/>
              <w:jc w:val="left"/>
              <w:rPr>
                <w:rFonts w:asciiTheme="minorEastAsia" w:eastAsiaTheme="minorEastAsia" w:hAnsiTheme="minorEastAsia"/>
                <w:szCs w:val="21"/>
              </w:rPr>
            </w:pPr>
            <w:r w:rsidRPr="003307CA">
              <w:rPr>
                <w:rFonts w:asciiTheme="minorEastAsia" w:eastAsiaTheme="minorEastAsia" w:hAnsiTheme="minorEastAsia"/>
                <w:szCs w:val="21"/>
              </w:rPr>
              <w:t>银行存款和结算备付金合计</w:t>
            </w:r>
          </w:p>
        </w:tc>
        <w:tc>
          <w:tcPr>
            <w:tcW w:w="2835"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31,696,228.57</w:t>
            </w:r>
          </w:p>
        </w:tc>
        <w:tc>
          <w:tcPr>
            <w:tcW w:w="1559" w:type="dxa"/>
            <w:vAlign w:val="center"/>
          </w:tcPr>
          <w:p w:rsidR="002F595F" w:rsidRPr="003307CA" w:rsidRDefault="002F595F" w:rsidP="00A242D0">
            <w:pPr>
              <w:spacing w:before="29" w:line="360" w:lineRule="auto"/>
              <w:ind w:left="17"/>
              <w:jc w:val="right"/>
              <w:rPr>
                <w:rFonts w:asciiTheme="minorEastAsia" w:eastAsiaTheme="minorEastAsia" w:hAnsiTheme="minorEastAsia"/>
                <w:szCs w:val="21"/>
              </w:rPr>
            </w:pPr>
            <w:r w:rsidRPr="003307CA">
              <w:rPr>
                <w:rFonts w:asciiTheme="minorEastAsia" w:eastAsiaTheme="minorEastAsia" w:hAnsiTheme="minorEastAsia"/>
                <w:szCs w:val="21"/>
              </w:rPr>
              <w:t>6.85</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8</w:t>
            </w:r>
          </w:p>
        </w:tc>
        <w:tc>
          <w:tcPr>
            <w:tcW w:w="4253"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其他资产</w:t>
            </w:r>
          </w:p>
        </w:tc>
        <w:tc>
          <w:tcPr>
            <w:tcW w:w="283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1,515,677.94</w:t>
            </w:r>
          </w:p>
        </w:tc>
        <w:tc>
          <w:tcPr>
            <w:tcW w:w="1559"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0.33</w:t>
            </w:r>
          </w:p>
        </w:tc>
      </w:tr>
      <w:tr w:rsidR="002F595F" w:rsidRPr="003307CA" w:rsidTr="00A242D0">
        <w:tc>
          <w:tcPr>
            <w:tcW w:w="851" w:type="dxa"/>
            <w:vAlign w:val="center"/>
          </w:tcPr>
          <w:p w:rsidR="002F595F" w:rsidRPr="003307CA" w:rsidRDefault="002F595F" w:rsidP="00A242D0">
            <w:pPr>
              <w:spacing w:before="29" w:line="360" w:lineRule="auto"/>
              <w:ind w:left="17"/>
              <w:jc w:val="center"/>
              <w:rPr>
                <w:rFonts w:asciiTheme="minorEastAsia" w:eastAsiaTheme="minorEastAsia" w:hAnsiTheme="minorEastAsia"/>
                <w:szCs w:val="21"/>
              </w:rPr>
            </w:pPr>
            <w:r w:rsidRPr="003307CA">
              <w:rPr>
                <w:rFonts w:asciiTheme="minorEastAsia" w:eastAsiaTheme="minorEastAsia" w:hAnsiTheme="minorEastAsia"/>
                <w:szCs w:val="21"/>
              </w:rPr>
              <w:t>9</w:t>
            </w:r>
          </w:p>
        </w:tc>
        <w:tc>
          <w:tcPr>
            <w:tcW w:w="4253"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合计</w:t>
            </w:r>
          </w:p>
        </w:tc>
        <w:tc>
          <w:tcPr>
            <w:tcW w:w="283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462,884,944.94</w:t>
            </w:r>
          </w:p>
        </w:tc>
        <w:tc>
          <w:tcPr>
            <w:tcW w:w="1559"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100.00</w:t>
            </w:r>
          </w:p>
        </w:tc>
      </w:tr>
    </w:tbl>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注：本基金本报告期末通过港股通交易机制投资的港股市值为11,198,965.07元,占净值比例2.44%。</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2</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 xml:space="preserve"> 报告期末在各个国家（地区）证券市场的股票及存托凭证投资分布</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8"/>
        <w:gridCol w:w="3076"/>
      </w:tblGrid>
      <w:tr w:rsidR="002F595F" w:rsidRPr="003307CA" w:rsidTr="00A242D0">
        <w:trPr>
          <w:jc w:val="center"/>
        </w:trPr>
        <w:tc>
          <w:tcPr>
            <w:tcW w:w="2410"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国家（地区）</w:t>
            </w:r>
          </w:p>
        </w:tc>
        <w:tc>
          <w:tcPr>
            <w:tcW w:w="3118"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公允价值(人民币元)</w:t>
            </w:r>
          </w:p>
        </w:tc>
        <w:tc>
          <w:tcPr>
            <w:tcW w:w="3076"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占基金资产净值比例（％）</w:t>
            </w:r>
          </w:p>
        </w:tc>
      </w:tr>
      <w:tr w:rsidR="002F595F" w:rsidRPr="003307CA" w:rsidTr="00A242D0">
        <w:trPr>
          <w:jc w:val="center"/>
        </w:trPr>
        <w:tc>
          <w:tcPr>
            <w:tcW w:w="2410"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lastRenderedPageBreak/>
              <w:t>中国香港</w:t>
            </w:r>
          </w:p>
        </w:tc>
        <w:tc>
          <w:tcPr>
            <w:tcW w:w="3118"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216,293,832.53</w:t>
            </w:r>
          </w:p>
        </w:tc>
        <w:tc>
          <w:tcPr>
            <w:tcW w:w="3076"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47.11</w:t>
            </w:r>
          </w:p>
        </w:tc>
      </w:tr>
      <w:tr w:rsidR="002F595F" w:rsidRPr="003307CA" w:rsidTr="00A242D0">
        <w:trPr>
          <w:jc w:val="center"/>
        </w:trPr>
        <w:tc>
          <w:tcPr>
            <w:tcW w:w="2410"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美国</w:t>
            </w:r>
          </w:p>
        </w:tc>
        <w:tc>
          <w:tcPr>
            <w:tcW w:w="3118"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213,379,205.90</w:t>
            </w:r>
          </w:p>
        </w:tc>
        <w:tc>
          <w:tcPr>
            <w:tcW w:w="3076"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46.47</w:t>
            </w:r>
          </w:p>
        </w:tc>
      </w:tr>
      <w:tr w:rsidR="002F595F" w:rsidRPr="003307CA" w:rsidTr="00A242D0">
        <w:trPr>
          <w:jc w:val="center"/>
        </w:trPr>
        <w:tc>
          <w:tcPr>
            <w:tcW w:w="2410" w:type="dxa"/>
          </w:tcPr>
          <w:p w:rsidR="002F595F" w:rsidRPr="003307CA" w:rsidRDefault="002F595F" w:rsidP="00A242D0">
            <w:pPr>
              <w:autoSpaceDE w:val="0"/>
              <w:autoSpaceDN w:val="0"/>
              <w:adjustRightInd w:val="0"/>
              <w:spacing w:before="29" w:line="360" w:lineRule="auto"/>
              <w:jc w:val="center"/>
              <w:rPr>
                <w:rFonts w:asciiTheme="minorEastAsia" w:eastAsiaTheme="minorEastAsia" w:hAnsiTheme="minorEastAsia"/>
                <w:szCs w:val="21"/>
              </w:rPr>
            </w:pPr>
            <w:r w:rsidRPr="003307CA">
              <w:rPr>
                <w:rFonts w:asciiTheme="minorEastAsia" w:eastAsiaTheme="minorEastAsia" w:hAnsiTheme="minorEastAsia"/>
                <w:szCs w:val="21"/>
              </w:rPr>
              <w:t>合计</w:t>
            </w:r>
          </w:p>
        </w:tc>
        <w:tc>
          <w:tcPr>
            <w:tcW w:w="3118" w:type="dxa"/>
          </w:tcPr>
          <w:p w:rsidR="002F595F" w:rsidRPr="003307CA" w:rsidRDefault="002F595F" w:rsidP="00A242D0">
            <w:pPr>
              <w:autoSpaceDE w:val="0"/>
              <w:autoSpaceDN w:val="0"/>
              <w:adjustRightInd w:val="0"/>
              <w:spacing w:before="29"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429,673,038.43</w:t>
            </w:r>
          </w:p>
        </w:tc>
        <w:tc>
          <w:tcPr>
            <w:tcW w:w="3076" w:type="dxa"/>
          </w:tcPr>
          <w:p w:rsidR="002F595F" w:rsidRPr="003307CA" w:rsidRDefault="002F595F" w:rsidP="00A242D0">
            <w:pPr>
              <w:autoSpaceDE w:val="0"/>
              <w:autoSpaceDN w:val="0"/>
              <w:adjustRightInd w:val="0"/>
              <w:spacing w:before="29"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93.58</w:t>
            </w:r>
          </w:p>
        </w:tc>
      </w:tr>
    </w:tbl>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注：</w:t>
      </w:r>
      <w:r w:rsidRPr="003307CA">
        <w:rPr>
          <w:rFonts w:asciiTheme="minorEastAsia" w:eastAsiaTheme="minorEastAsia" w:hAnsiTheme="minorEastAsia" w:hint="eastAsia"/>
          <w:szCs w:val="21"/>
        </w:rPr>
        <w:t>（1）</w:t>
      </w:r>
      <w:r w:rsidRPr="003307CA">
        <w:rPr>
          <w:rFonts w:asciiTheme="minorEastAsia" w:eastAsiaTheme="minorEastAsia" w:hAnsiTheme="minorEastAsia"/>
          <w:szCs w:val="21"/>
        </w:rPr>
        <w:t>国家（地区）类别根据其所在的证券交易所确定。</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Pr="003307CA">
        <w:rPr>
          <w:rFonts w:asciiTheme="minorEastAsia" w:eastAsiaTheme="minorEastAsia" w:hAnsiTheme="minorEastAsia"/>
          <w:szCs w:val="21"/>
        </w:rPr>
        <w:t>ADR、GDR按照存托凭证本身挂牌的证券交易所确定。</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3</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报告期末按行业分类的股票及存托凭证投资组合</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2551"/>
        <w:gridCol w:w="3175"/>
      </w:tblGrid>
      <w:tr w:rsidR="002F595F" w:rsidRPr="003307CA" w:rsidTr="00A242D0">
        <w:tc>
          <w:tcPr>
            <w:tcW w:w="2787"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行业类别</w:t>
            </w:r>
          </w:p>
        </w:tc>
        <w:tc>
          <w:tcPr>
            <w:tcW w:w="2551"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公允价值（人民币元）</w:t>
            </w:r>
          </w:p>
        </w:tc>
        <w:tc>
          <w:tcPr>
            <w:tcW w:w="3175"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占基金资产净值比例（％）</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能源</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材料</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工业</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非必需消费品</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213,379,205.90</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46.47</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必需消费品</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保健</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124,223,371.83</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27.06</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金融</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44,390,871.87</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9.67</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信息技术</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电信服务</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46,862,741.03</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10.21</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公用事业</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816,847.80</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0.18</w:t>
            </w:r>
          </w:p>
        </w:tc>
      </w:tr>
      <w:tr w:rsidR="002F595F" w:rsidRPr="003307CA" w:rsidTr="00A242D0">
        <w:tc>
          <w:tcPr>
            <w:tcW w:w="2787" w:type="dxa"/>
            <w:vAlign w:val="center"/>
          </w:tcPr>
          <w:p w:rsidR="002F595F" w:rsidRPr="003307CA" w:rsidRDefault="002F595F" w:rsidP="00A242D0">
            <w:pPr>
              <w:jc w:val="left"/>
              <w:rPr>
                <w:rFonts w:asciiTheme="minorEastAsia" w:eastAsiaTheme="minorEastAsia" w:hAnsiTheme="minorEastAsia"/>
                <w:szCs w:val="21"/>
              </w:rPr>
            </w:pPr>
            <w:r w:rsidRPr="003307CA">
              <w:rPr>
                <w:rFonts w:asciiTheme="minorEastAsia" w:eastAsiaTheme="minorEastAsia" w:hAnsiTheme="minorEastAsia"/>
                <w:szCs w:val="21"/>
              </w:rPr>
              <w:t>房地产</w:t>
            </w:r>
          </w:p>
        </w:tc>
        <w:tc>
          <w:tcPr>
            <w:tcW w:w="255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c>
          <w:tcPr>
            <w:tcW w:w="3175"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2787"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合计</w:t>
            </w:r>
          </w:p>
        </w:tc>
        <w:tc>
          <w:tcPr>
            <w:tcW w:w="2551"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szCs w:val="21"/>
              </w:rPr>
            </w:pPr>
            <w:r w:rsidRPr="003307CA">
              <w:rPr>
                <w:rFonts w:asciiTheme="minorEastAsia" w:eastAsiaTheme="minorEastAsia" w:hAnsiTheme="minorEastAsia"/>
                <w:szCs w:val="21"/>
              </w:rPr>
              <w:t>429,673,038.43</w:t>
            </w:r>
          </w:p>
        </w:tc>
        <w:tc>
          <w:tcPr>
            <w:tcW w:w="3175"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szCs w:val="21"/>
              </w:rPr>
            </w:pPr>
            <w:r w:rsidRPr="003307CA">
              <w:rPr>
                <w:rFonts w:asciiTheme="minorEastAsia" w:eastAsiaTheme="minorEastAsia" w:hAnsiTheme="minorEastAsia"/>
                <w:szCs w:val="21"/>
              </w:rPr>
              <w:t>93.58</w:t>
            </w:r>
          </w:p>
        </w:tc>
      </w:tr>
    </w:tbl>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注：以上分类采用全球行业分类标准（GICS）。</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4</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报告期末按公允价值占基金资产净值比例大小排序的前十名股票及存托凭证投资明细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1208"/>
        <w:gridCol w:w="992"/>
        <w:gridCol w:w="709"/>
        <w:gridCol w:w="891"/>
        <w:gridCol w:w="656"/>
        <w:gridCol w:w="1161"/>
        <w:gridCol w:w="1581"/>
        <w:gridCol w:w="864"/>
      </w:tblGrid>
      <w:tr w:rsidR="002F595F" w:rsidRPr="003307CA" w:rsidTr="00A242D0">
        <w:tc>
          <w:tcPr>
            <w:tcW w:w="445"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序号</w:t>
            </w:r>
          </w:p>
        </w:tc>
        <w:tc>
          <w:tcPr>
            <w:tcW w:w="1208" w:type="dxa"/>
            <w:vAlign w:val="center"/>
          </w:tcPr>
          <w:p w:rsidR="002F595F" w:rsidRPr="003307CA" w:rsidRDefault="002F595F" w:rsidP="00A242D0">
            <w:pPr>
              <w:adjustRightInd w:val="0"/>
              <w:snapToGrid w:val="0"/>
              <w:spacing w:line="400" w:lineRule="exact"/>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公司名称（英文）</w:t>
            </w:r>
          </w:p>
        </w:tc>
        <w:tc>
          <w:tcPr>
            <w:tcW w:w="992" w:type="dxa"/>
            <w:vAlign w:val="center"/>
          </w:tcPr>
          <w:p w:rsidR="002F595F" w:rsidRPr="003307CA" w:rsidRDefault="002F595F" w:rsidP="00A242D0">
            <w:pPr>
              <w:adjustRightInd w:val="0"/>
              <w:snapToGrid w:val="0"/>
              <w:spacing w:line="400" w:lineRule="exact"/>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公司名称（中文）</w:t>
            </w:r>
          </w:p>
        </w:tc>
        <w:tc>
          <w:tcPr>
            <w:tcW w:w="709" w:type="dxa"/>
            <w:vAlign w:val="center"/>
          </w:tcPr>
          <w:p w:rsidR="002F595F" w:rsidRPr="003307CA" w:rsidRDefault="002F595F" w:rsidP="00A242D0">
            <w:pPr>
              <w:adjustRightInd w:val="0"/>
              <w:snapToGrid w:val="0"/>
              <w:spacing w:line="400" w:lineRule="exact"/>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证券代码</w:t>
            </w:r>
          </w:p>
        </w:tc>
        <w:tc>
          <w:tcPr>
            <w:tcW w:w="891"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所在证</w:t>
            </w:r>
          </w:p>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券市场</w:t>
            </w:r>
          </w:p>
        </w:tc>
        <w:tc>
          <w:tcPr>
            <w:tcW w:w="656"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所属国家</w:t>
            </w:r>
          </w:p>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（地区)</w:t>
            </w:r>
          </w:p>
        </w:tc>
        <w:tc>
          <w:tcPr>
            <w:tcW w:w="1161"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数量</w:t>
            </w:r>
          </w:p>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（股）</w:t>
            </w:r>
          </w:p>
        </w:tc>
        <w:tc>
          <w:tcPr>
            <w:tcW w:w="1581"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公允价值（人民币元）</w:t>
            </w:r>
          </w:p>
        </w:tc>
        <w:tc>
          <w:tcPr>
            <w:tcW w:w="864"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占基金资产净值比例（％）</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1</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Tencent Holdings Ltd</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腾讯控股有限公司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700 HK</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香港证券交易所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中国香港</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134,900</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46,862,741.03</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10.21</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2</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Alibaba Group Holding Ltd</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阿里巴巴集团控股有限公司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BABA US</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纽约证券交易所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美国</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33,718</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46,460,377.74</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10.12</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3</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JD.com Inc</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京东商城电子商务有限公司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JD US</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纳斯达克证券交易所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美国</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156,804</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44,994,366.83</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9.80</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4</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 xml:space="preserve">Hong Kong </w:t>
            </w:r>
            <w:r w:rsidRPr="003307CA">
              <w:rPr>
                <w:rFonts w:asciiTheme="minorEastAsia" w:eastAsiaTheme="minorEastAsia" w:hAnsiTheme="minorEastAsia"/>
                <w:szCs w:val="21"/>
              </w:rPr>
              <w:lastRenderedPageBreak/>
              <w:t>Exchanges and Clearing Ltd.</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lastRenderedPageBreak/>
              <w:t>香港交</w:t>
            </w:r>
            <w:r w:rsidRPr="003307CA">
              <w:rPr>
                <w:rFonts w:asciiTheme="minorEastAsia" w:eastAsiaTheme="minorEastAsia" w:hAnsiTheme="minorEastAsia"/>
                <w:szCs w:val="21"/>
              </w:rPr>
              <w:lastRenderedPageBreak/>
              <w:t>易及结算所有限公司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lastRenderedPageBreak/>
              <w:t xml:space="preserve">388 </w:t>
            </w:r>
            <w:r w:rsidRPr="003307CA">
              <w:rPr>
                <w:rFonts w:asciiTheme="minorEastAsia" w:eastAsiaTheme="minorEastAsia" w:hAnsiTheme="minorEastAsia"/>
                <w:szCs w:val="21"/>
              </w:rPr>
              <w:lastRenderedPageBreak/>
              <w:t>HK</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lastRenderedPageBreak/>
              <w:t>香港证</w:t>
            </w:r>
            <w:r w:rsidRPr="003307CA">
              <w:rPr>
                <w:rFonts w:asciiTheme="minorEastAsia" w:eastAsiaTheme="minorEastAsia" w:hAnsiTheme="minorEastAsia"/>
                <w:szCs w:val="21"/>
              </w:rPr>
              <w:lastRenderedPageBreak/>
              <w:t>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lastRenderedPageBreak/>
              <w:t>中国</w:t>
            </w:r>
            <w:r w:rsidRPr="003307CA">
              <w:rPr>
                <w:rFonts w:asciiTheme="minorEastAsia" w:eastAsiaTheme="minorEastAsia" w:hAnsiTheme="minorEastAsia"/>
                <w:szCs w:val="21"/>
              </w:rPr>
              <w:lastRenderedPageBreak/>
              <w:t>香港</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lastRenderedPageBreak/>
              <w:t>207,800</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44,390,871.87</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9.67</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5</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Trip.com Group Ltd</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携程国际有限公司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TCOM US</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纳斯达克证券交易所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美国</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266,571</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44,289,597.40</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9.65</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6</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Sino Biopharmaceutical Limited</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中国生物制药有限公司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1177 HK</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香港证券交易所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中国香港</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4,624,000</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43,178,976.74</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9.40</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7</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CSPC Pharmaceutical Group Limited</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石药集团有限公司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1093 HK</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香港证券交易所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中国香港</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3,044,000</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43,165,819.46</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9.40</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8</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TAL Education Group</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好未来教育集团</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TAL US</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纽约证券交易所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美国</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109,094</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41,166,885.56</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8.97</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9</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Wuxi Biologics (Cayman) Inc</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药明生物技术有限公司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2269 HK</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香港证券交易所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中国香港</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412,500</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37,878,575.63</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8.25</w:t>
            </w:r>
          </w:p>
        </w:tc>
      </w:tr>
      <w:tr w:rsidR="002F595F" w:rsidRPr="003307CA" w:rsidTr="00A242D0">
        <w:tc>
          <w:tcPr>
            <w:tcW w:w="445"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10</w:t>
            </w:r>
          </w:p>
        </w:tc>
        <w:tc>
          <w:tcPr>
            <w:tcW w:w="1208"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NEW Oriental Education &amp; Technology Group Inc</w:t>
            </w:r>
          </w:p>
        </w:tc>
        <w:tc>
          <w:tcPr>
            <w:tcW w:w="992"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新东方教育科技集团有限公司</w:t>
            </w:r>
          </w:p>
        </w:tc>
        <w:tc>
          <w:tcPr>
            <w:tcW w:w="709"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EDU US</w:t>
            </w:r>
          </w:p>
        </w:tc>
        <w:tc>
          <w:tcPr>
            <w:tcW w:w="891"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纽约证券交易所</w:t>
            </w:r>
          </w:p>
        </w:tc>
        <w:tc>
          <w:tcPr>
            <w:tcW w:w="656" w:type="dxa"/>
            <w:vAlign w:val="center"/>
          </w:tcPr>
          <w:p w:rsidR="002F595F" w:rsidRPr="003307CA" w:rsidRDefault="002F595F" w:rsidP="00A242D0">
            <w:pPr>
              <w:jc w:val="center"/>
              <w:rPr>
                <w:rFonts w:asciiTheme="minorEastAsia" w:eastAsiaTheme="minorEastAsia" w:hAnsiTheme="minorEastAsia"/>
                <w:szCs w:val="21"/>
              </w:rPr>
            </w:pPr>
            <w:r w:rsidRPr="003307CA">
              <w:rPr>
                <w:rFonts w:asciiTheme="minorEastAsia" w:eastAsiaTheme="minorEastAsia" w:hAnsiTheme="minorEastAsia"/>
                <w:szCs w:val="21"/>
              </w:rPr>
              <w:t>美国</w:t>
            </w:r>
          </w:p>
        </w:tc>
        <w:tc>
          <w:tcPr>
            <w:tcW w:w="116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47,553</w:t>
            </w:r>
          </w:p>
        </w:tc>
        <w:tc>
          <w:tcPr>
            <w:tcW w:w="1581"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36,467,978.37</w:t>
            </w:r>
          </w:p>
        </w:tc>
        <w:tc>
          <w:tcPr>
            <w:tcW w:w="864" w:type="dxa"/>
            <w:vAlign w:val="center"/>
          </w:tcPr>
          <w:p w:rsidR="002F595F" w:rsidRPr="003307CA" w:rsidRDefault="002F595F" w:rsidP="00A242D0">
            <w:pPr>
              <w:jc w:val="right"/>
              <w:rPr>
                <w:rFonts w:asciiTheme="minorEastAsia" w:eastAsiaTheme="minorEastAsia" w:hAnsiTheme="minorEastAsia"/>
                <w:szCs w:val="21"/>
              </w:rPr>
            </w:pPr>
            <w:r w:rsidRPr="003307CA">
              <w:rPr>
                <w:rFonts w:asciiTheme="minorEastAsia" w:eastAsiaTheme="minorEastAsia" w:hAnsiTheme="minorEastAsia"/>
                <w:szCs w:val="21"/>
              </w:rPr>
              <w:t>7.94</w:t>
            </w:r>
          </w:p>
        </w:tc>
      </w:tr>
    </w:tbl>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注：</w:t>
      </w:r>
      <w:r w:rsidRPr="003307CA">
        <w:rPr>
          <w:rFonts w:asciiTheme="minorEastAsia" w:eastAsiaTheme="minorEastAsia" w:hAnsiTheme="minorEastAsia" w:hint="eastAsia"/>
          <w:szCs w:val="21"/>
        </w:rPr>
        <w:t>（1）</w:t>
      </w:r>
      <w:r w:rsidRPr="003307CA">
        <w:rPr>
          <w:rFonts w:asciiTheme="minorEastAsia" w:eastAsiaTheme="minorEastAsia" w:hAnsiTheme="minorEastAsia"/>
          <w:szCs w:val="21"/>
        </w:rPr>
        <w:t>此处所用证券代码的类别是当地市场代码。</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Pr="003307CA">
        <w:rPr>
          <w:rFonts w:asciiTheme="minorEastAsia" w:eastAsiaTheme="minorEastAsia" w:hAnsiTheme="minorEastAsia"/>
          <w:szCs w:val="21"/>
        </w:rPr>
        <w:t>本报告期末本基金投资腾讯、阿里巴巴占基金资产净值比例超过10%，属于被动超标。</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5</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报告期末按债券信用等级分类的债券投资组合</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本基金本报告期末未持有债券。</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6</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报告期末按公允价值占基金资产净值比例大小排序的前五名债券投资明细</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本基金本报告期末未持有债券。</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7</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报告期末按公允价值占基金资产净值比例大小排序的前十名资产支持证券投资明细</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本基金本报告期末未持有资产支持证券。</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8</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报告期末按公允价值占基金资产净值比例大小排序的前五名金融衍生品投资明细</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本基金本报告期末未持有金融衍生品。</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lastRenderedPageBreak/>
        <w:t>9</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报告期末按公允价值占基金资产净值比例大小排序的前十名基金投资明细</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本基金本报告期末未持有基金。</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10</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投资组合报告附注</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Pr="003307CA">
        <w:rPr>
          <w:rFonts w:asciiTheme="minorEastAsia" w:eastAsiaTheme="minorEastAsia" w:hAnsiTheme="minorEastAsia"/>
          <w:szCs w:val="21"/>
        </w:rPr>
        <w:t>本基金投资的前十名证券的发行主体本期没有出现被监管部门立案调查，或在报告编制日前一年内受到公开谴责、处罚的情形。</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Pr="003307CA">
        <w:rPr>
          <w:rFonts w:asciiTheme="minorEastAsia" w:eastAsiaTheme="minorEastAsia" w:hAnsiTheme="minorEastAsia"/>
          <w:szCs w:val="21"/>
        </w:rPr>
        <w:t>本基金投资的前十名股票没有超出基金合同规定的备选股票库。</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Pr="003307CA">
        <w:rPr>
          <w:rFonts w:asciiTheme="minorEastAsia" w:eastAsiaTheme="minorEastAsia" w:hAnsiTheme="minorEastAsia"/>
          <w:szCs w:val="21"/>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2903"/>
        <w:gridCol w:w="4808"/>
      </w:tblGrid>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7"/>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序号</w:t>
            </w:r>
          </w:p>
        </w:tc>
        <w:tc>
          <w:tcPr>
            <w:tcW w:w="2903" w:type="dxa"/>
            <w:vAlign w:val="center"/>
          </w:tcPr>
          <w:p w:rsidR="002F595F" w:rsidRPr="003307CA" w:rsidRDefault="002F595F" w:rsidP="00A242D0">
            <w:pPr>
              <w:autoSpaceDE w:val="0"/>
              <w:autoSpaceDN w:val="0"/>
              <w:adjustRightInd w:val="0"/>
              <w:spacing w:before="29" w:line="360" w:lineRule="auto"/>
              <w:ind w:left="17"/>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名称</w:t>
            </w:r>
          </w:p>
        </w:tc>
        <w:tc>
          <w:tcPr>
            <w:tcW w:w="4808" w:type="dxa"/>
            <w:vAlign w:val="center"/>
          </w:tcPr>
          <w:p w:rsidR="002F595F" w:rsidRPr="003307CA" w:rsidRDefault="002F595F" w:rsidP="00A242D0">
            <w:pPr>
              <w:autoSpaceDE w:val="0"/>
              <w:autoSpaceDN w:val="0"/>
              <w:adjustRightInd w:val="0"/>
              <w:spacing w:before="29" w:line="360" w:lineRule="auto"/>
              <w:ind w:left="17"/>
              <w:jc w:val="center"/>
              <w:rPr>
                <w:rFonts w:asciiTheme="minorEastAsia" w:eastAsiaTheme="minorEastAsia" w:hAnsiTheme="minorEastAsia"/>
                <w:kern w:val="0"/>
                <w:szCs w:val="21"/>
              </w:rPr>
            </w:pPr>
            <w:r w:rsidRPr="003307CA">
              <w:rPr>
                <w:rFonts w:asciiTheme="minorEastAsia" w:eastAsiaTheme="minorEastAsia" w:hAnsiTheme="minorEastAsia"/>
                <w:kern w:val="0"/>
                <w:szCs w:val="21"/>
              </w:rPr>
              <w:t>金额(人民币元)</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kern w:val="0"/>
                <w:szCs w:val="21"/>
              </w:rPr>
            </w:pPr>
            <w:r w:rsidRPr="003307CA">
              <w:rPr>
                <w:rFonts w:asciiTheme="minorEastAsia" w:eastAsiaTheme="minorEastAsia" w:hAnsiTheme="minorEastAsia"/>
                <w:szCs w:val="21"/>
              </w:rPr>
              <w:t>1</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存出保证金</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2</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应收证券清算款</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3</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应收股利</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532,732.79</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4</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应收利息</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5,827.47</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5</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应收申购款</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977,117.68</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6</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其他应收款</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7</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szCs w:val="21"/>
              </w:rPr>
            </w:pPr>
            <w:r w:rsidRPr="003307CA">
              <w:rPr>
                <w:rFonts w:asciiTheme="minorEastAsia" w:eastAsiaTheme="minorEastAsia" w:hAnsiTheme="minorEastAsia"/>
                <w:szCs w:val="21"/>
              </w:rPr>
              <w:t>待摊费用</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szCs w:val="21"/>
              </w:rPr>
            </w:pPr>
            <w:r w:rsidRPr="003307CA">
              <w:rPr>
                <w:rFonts w:asciiTheme="minorEastAsia" w:eastAsiaTheme="minorEastAsia" w:hAnsiTheme="minorEastAsia"/>
                <w:szCs w:val="21"/>
              </w:rPr>
              <w:t>-</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8</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其他</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w:t>
            </w:r>
          </w:p>
        </w:tc>
      </w:tr>
      <w:tr w:rsidR="002F595F" w:rsidRPr="003307CA" w:rsidTr="00A242D0">
        <w:tc>
          <w:tcPr>
            <w:tcW w:w="802" w:type="dxa"/>
            <w:vAlign w:val="center"/>
          </w:tcPr>
          <w:p w:rsidR="002F595F" w:rsidRPr="003307CA" w:rsidRDefault="002F595F" w:rsidP="00A242D0">
            <w:pPr>
              <w:autoSpaceDE w:val="0"/>
              <w:autoSpaceDN w:val="0"/>
              <w:adjustRightInd w:val="0"/>
              <w:spacing w:before="29" w:line="360" w:lineRule="auto"/>
              <w:ind w:left="15"/>
              <w:jc w:val="center"/>
              <w:rPr>
                <w:rFonts w:asciiTheme="minorEastAsia" w:eastAsiaTheme="minorEastAsia" w:hAnsiTheme="minorEastAsia"/>
                <w:szCs w:val="21"/>
              </w:rPr>
            </w:pPr>
            <w:r w:rsidRPr="003307CA">
              <w:rPr>
                <w:rFonts w:asciiTheme="minorEastAsia" w:eastAsiaTheme="minorEastAsia" w:hAnsiTheme="minorEastAsia"/>
                <w:szCs w:val="21"/>
              </w:rPr>
              <w:t>9</w:t>
            </w:r>
          </w:p>
        </w:tc>
        <w:tc>
          <w:tcPr>
            <w:tcW w:w="2903" w:type="dxa"/>
            <w:vAlign w:val="center"/>
          </w:tcPr>
          <w:p w:rsidR="002F595F" w:rsidRPr="003307CA" w:rsidRDefault="002F595F" w:rsidP="00A242D0">
            <w:pPr>
              <w:autoSpaceDE w:val="0"/>
              <w:autoSpaceDN w:val="0"/>
              <w:adjustRightInd w:val="0"/>
              <w:spacing w:before="29" w:line="360" w:lineRule="auto"/>
              <w:ind w:left="15"/>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合计</w:t>
            </w:r>
          </w:p>
        </w:tc>
        <w:tc>
          <w:tcPr>
            <w:tcW w:w="4808" w:type="dxa"/>
            <w:vAlign w:val="center"/>
          </w:tcPr>
          <w:p w:rsidR="002F595F" w:rsidRPr="003307CA" w:rsidRDefault="002F595F" w:rsidP="00A242D0">
            <w:pPr>
              <w:autoSpaceDE w:val="0"/>
              <w:autoSpaceDN w:val="0"/>
              <w:adjustRightInd w:val="0"/>
              <w:spacing w:before="29" w:line="360" w:lineRule="auto"/>
              <w:ind w:left="15"/>
              <w:jc w:val="right"/>
              <w:rPr>
                <w:rFonts w:asciiTheme="minorEastAsia" w:eastAsiaTheme="minorEastAsia" w:hAnsiTheme="minorEastAsia"/>
                <w:kern w:val="0"/>
                <w:szCs w:val="21"/>
              </w:rPr>
            </w:pPr>
            <w:r w:rsidRPr="003307CA">
              <w:rPr>
                <w:rFonts w:asciiTheme="minorEastAsia" w:eastAsiaTheme="minorEastAsia" w:hAnsiTheme="minorEastAsia"/>
                <w:kern w:val="0"/>
                <w:szCs w:val="21"/>
              </w:rPr>
              <w:t>1,515,677.94</w:t>
            </w:r>
          </w:p>
        </w:tc>
      </w:tr>
    </w:tbl>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Pr="003307CA">
        <w:rPr>
          <w:rFonts w:asciiTheme="minorEastAsia" w:eastAsiaTheme="minorEastAsia" w:hAnsiTheme="minorEastAsia"/>
          <w:szCs w:val="21"/>
        </w:rPr>
        <w:t>报告期末持有的处于转股期的可转换债券明细</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本基金本报告期末未持有处于转股期的可转换债券。</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Pr="003307CA">
        <w:rPr>
          <w:rFonts w:asciiTheme="minorEastAsia" w:eastAsiaTheme="minorEastAsia" w:hAnsiTheme="minorEastAsia"/>
          <w:szCs w:val="21"/>
        </w:rPr>
        <w:t>报告期末前十名股票中存在流通受限情况的说明</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本基金本报告期末前十名股票中不存在流通受限情况。</w:t>
      </w:r>
    </w:p>
    <w:p w:rsidR="002F595F"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w:t>
      </w:r>
      <w:r w:rsidRPr="003307CA">
        <w:rPr>
          <w:rFonts w:asciiTheme="minorEastAsia" w:eastAsiaTheme="minorEastAsia" w:hAnsiTheme="minorEastAsia"/>
          <w:szCs w:val="21"/>
        </w:rPr>
        <w:t>投资组合报告附注的其他文字描述部分</w:t>
      </w:r>
    </w:p>
    <w:p w:rsidR="002465F1" w:rsidRPr="003307CA" w:rsidRDefault="002F595F" w:rsidP="002F595F">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本基金可以将不高于20%的股票资产投资于除在亚洲地区（日本除外）证券市场交易的企业以及在其他证券市场交易的亚洲企业（日本除外）之外的其他企业，本报告期末该部分股票的投资比例为0。</w:t>
      </w:r>
    </w:p>
    <w:p w:rsidR="002465F1" w:rsidRPr="003307CA" w:rsidRDefault="002465F1" w:rsidP="002465F1">
      <w:pPr>
        <w:spacing w:line="300" w:lineRule="auto"/>
        <w:rPr>
          <w:rFonts w:asciiTheme="minorEastAsia" w:eastAsiaTheme="minorEastAsia" w:hAnsiTheme="minorEastAsia"/>
        </w:rPr>
      </w:pPr>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56" w:name="_Toc40457639"/>
      <w:bookmarkStart w:id="57" w:name="_Toc40457650"/>
      <w:bookmarkStart w:id="58" w:name="_Toc40457655"/>
      <w:bookmarkStart w:id="59" w:name="_Toc40457660"/>
      <w:bookmarkStart w:id="60" w:name="_Toc40457665"/>
      <w:bookmarkStart w:id="61" w:name="_Toc40457680"/>
      <w:bookmarkStart w:id="62" w:name="_Toc40457685"/>
      <w:bookmarkStart w:id="63" w:name="_Toc40457695"/>
      <w:bookmarkStart w:id="64" w:name="_Toc40457700"/>
      <w:bookmarkStart w:id="65" w:name="_Toc40457705"/>
      <w:bookmarkStart w:id="66" w:name="_Toc40457710"/>
      <w:bookmarkStart w:id="67" w:name="_Toc40457720"/>
      <w:bookmarkStart w:id="68" w:name="_Toc40457745"/>
      <w:bookmarkStart w:id="69" w:name="_Toc40457762"/>
      <w:bookmarkStart w:id="70" w:name="_Toc40457763"/>
      <w:bookmarkStart w:id="71" w:name="_Toc40457764"/>
      <w:bookmarkStart w:id="72" w:name="_Toc40457817"/>
      <w:bookmarkStart w:id="73" w:name="_Toc40457818"/>
      <w:bookmarkStart w:id="74" w:name="_Toc40457932"/>
      <w:bookmarkStart w:id="75" w:name="_Toc40457933"/>
      <w:bookmarkStart w:id="76" w:name="_Toc40457934"/>
      <w:bookmarkStart w:id="77" w:name="_Toc40457935"/>
      <w:bookmarkStart w:id="78" w:name="_Toc40457936"/>
      <w:bookmarkStart w:id="79" w:name="_Toc40457937"/>
      <w:bookmarkStart w:id="80" w:name="_Toc40457938"/>
      <w:bookmarkStart w:id="81" w:name="_Toc40457939"/>
      <w:bookmarkStart w:id="82" w:name="_Toc40457940"/>
      <w:bookmarkStart w:id="83" w:name="_Toc40457941"/>
      <w:bookmarkStart w:id="84" w:name="_Toc40457942"/>
      <w:bookmarkStart w:id="85" w:name="_Toc40457943"/>
      <w:bookmarkStart w:id="86" w:name="_Toc40457944"/>
      <w:bookmarkStart w:id="87" w:name="_Toc40457945"/>
      <w:bookmarkStart w:id="88" w:name="_Toc40457946"/>
      <w:bookmarkStart w:id="89" w:name="_Toc40457947"/>
      <w:bookmarkStart w:id="90" w:name="_Toc40457988"/>
      <w:bookmarkStart w:id="91" w:name="_Toc40457989"/>
      <w:bookmarkStart w:id="92" w:name="_Toc40457990"/>
      <w:bookmarkStart w:id="93" w:name="_Toc40457991"/>
      <w:bookmarkStart w:id="94" w:name="_Toc40457992"/>
      <w:bookmarkStart w:id="95" w:name="_Toc40457993"/>
      <w:bookmarkStart w:id="96" w:name="_Toc40457994"/>
      <w:bookmarkStart w:id="97" w:name="_Toc268078559"/>
      <w:bookmarkStart w:id="98" w:name="_Toc4435107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307CA">
        <w:rPr>
          <w:rFonts w:asciiTheme="minorEastAsia" w:eastAsiaTheme="minorEastAsia" w:hAnsiTheme="minorEastAsia" w:hint="eastAsia"/>
        </w:rPr>
        <w:lastRenderedPageBreak/>
        <w:t>基金的业绩</w:t>
      </w:r>
      <w:bookmarkEnd w:id="98"/>
    </w:p>
    <w:p w:rsidR="000B2832" w:rsidRPr="003307CA" w:rsidRDefault="000B2832"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3307CA">
        <w:rPr>
          <w:rFonts w:asciiTheme="minorEastAsia" w:eastAsiaTheme="minorEastAsia" w:hAnsiTheme="minorEastAsia" w:hint="eastAsia"/>
          <w:szCs w:val="21"/>
        </w:rPr>
        <w:t>作出</w:t>
      </w:r>
      <w:r w:rsidRPr="003307CA">
        <w:rPr>
          <w:rFonts w:asciiTheme="minorEastAsia" w:eastAsiaTheme="minorEastAsia" w:hAnsiTheme="minorEastAsia"/>
          <w:szCs w:val="21"/>
        </w:rPr>
        <w:t>投资决策前应仔细阅读本基金的招募说明书。</w:t>
      </w:r>
    </w:p>
    <w:p w:rsidR="000B2832" w:rsidRPr="003307CA" w:rsidRDefault="000B2832"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本基金合同生效日为</w:t>
      </w:r>
      <w:r w:rsidR="003247F4" w:rsidRPr="003307CA">
        <w:rPr>
          <w:rFonts w:asciiTheme="minorEastAsia" w:eastAsiaTheme="minorEastAsia" w:hAnsiTheme="minorEastAsia" w:hint="eastAsia"/>
          <w:szCs w:val="21"/>
        </w:rPr>
        <w:t>2010年1月21日</w:t>
      </w:r>
      <w:r w:rsidRPr="003307CA">
        <w:rPr>
          <w:rFonts w:asciiTheme="minorEastAsia" w:eastAsiaTheme="minorEastAsia" w:hAnsiTheme="minorEastAsia" w:hint="eastAsia"/>
          <w:szCs w:val="21"/>
        </w:rPr>
        <w:t>，</w:t>
      </w:r>
      <w:r w:rsidR="002465F1" w:rsidRPr="003307CA">
        <w:rPr>
          <w:rFonts w:asciiTheme="minorEastAsia" w:eastAsiaTheme="minorEastAsia" w:hAnsiTheme="minorEastAsia" w:hint="eastAsia"/>
          <w:szCs w:val="21"/>
        </w:rPr>
        <w:t>基金合同生效以来（截至2019年12月31日）的投资业绩及与同期基准的比较如下表所示</w:t>
      </w:r>
      <w:r w:rsidRPr="003307CA">
        <w:rPr>
          <w:rFonts w:asciiTheme="minorEastAsia" w:eastAsiaTheme="minorEastAsia" w:hAnsiTheme="minorEastAsia" w:hint="eastAsia"/>
          <w:szCs w:val="21"/>
        </w:rPr>
        <w:t>：</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993"/>
        <w:gridCol w:w="1134"/>
        <w:gridCol w:w="1149"/>
        <w:gridCol w:w="1400"/>
        <w:gridCol w:w="1080"/>
        <w:gridCol w:w="1080"/>
      </w:tblGrid>
      <w:tr w:rsidR="006D35EC" w:rsidRPr="003307CA" w:rsidTr="005833DA">
        <w:trPr>
          <w:trHeight w:val="315"/>
          <w:jc w:val="center"/>
        </w:trPr>
        <w:tc>
          <w:tcPr>
            <w:tcW w:w="1932" w:type="dxa"/>
            <w:vAlign w:val="center"/>
          </w:tcPr>
          <w:p w:rsidR="000B2832" w:rsidRPr="003307CA" w:rsidRDefault="000B2832"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阶段</w:t>
            </w:r>
          </w:p>
        </w:tc>
        <w:tc>
          <w:tcPr>
            <w:tcW w:w="993" w:type="dxa"/>
            <w:vAlign w:val="center"/>
          </w:tcPr>
          <w:p w:rsidR="000B2832" w:rsidRPr="003307CA" w:rsidRDefault="000B2832"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净值增长率①</w:t>
            </w:r>
          </w:p>
        </w:tc>
        <w:tc>
          <w:tcPr>
            <w:tcW w:w="1134" w:type="dxa"/>
            <w:vAlign w:val="center"/>
          </w:tcPr>
          <w:p w:rsidR="000B2832" w:rsidRPr="003307CA" w:rsidRDefault="000B2832"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净值增长率标准差②</w:t>
            </w:r>
          </w:p>
        </w:tc>
        <w:tc>
          <w:tcPr>
            <w:tcW w:w="1149" w:type="dxa"/>
            <w:vAlign w:val="center"/>
          </w:tcPr>
          <w:p w:rsidR="000B2832" w:rsidRPr="003307CA" w:rsidRDefault="000B2832"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业绩比较基准收益率③</w:t>
            </w:r>
          </w:p>
        </w:tc>
        <w:tc>
          <w:tcPr>
            <w:tcW w:w="1400" w:type="dxa"/>
            <w:vAlign w:val="center"/>
          </w:tcPr>
          <w:p w:rsidR="000B2832" w:rsidRPr="003307CA" w:rsidRDefault="000B2832"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业绩比较基准收益率标准差④</w:t>
            </w:r>
          </w:p>
        </w:tc>
        <w:tc>
          <w:tcPr>
            <w:tcW w:w="1080" w:type="dxa"/>
            <w:vAlign w:val="center"/>
          </w:tcPr>
          <w:p w:rsidR="000B2832" w:rsidRPr="003307CA" w:rsidRDefault="000B2832"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①-③</w:t>
            </w:r>
          </w:p>
        </w:tc>
        <w:tc>
          <w:tcPr>
            <w:tcW w:w="1080" w:type="dxa"/>
            <w:vAlign w:val="center"/>
          </w:tcPr>
          <w:p w:rsidR="000B2832" w:rsidRPr="003307CA" w:rsidRDefault="000B2832"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②-④</w:t>
            </w:r>
          </w:p>
        </w:tc>
      </w:tr>
      <w:tr w:rsidR="006D35EC" w:rsidRPr="003307CA" w:rsidTr="005833DA">
        <w:trPr>
          <w:trHeight w:val="495"/>
          <w:jc w:val="center"/>
        </w:trPr>
        <w:tc>
          <w:tcPr>
            <w:tcW w:w="1932" w:type="dxa"/>
          </w:tcPr>
          <w:p w:rsidR="00FC29B7" w:rsidRPr="003307CA" w:rsidRDefault="00285275"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自</w:t>
            </w:r>
            <w:r w:rsidR="00FC29B7" w:rsidRPr="003307CA">
              <w:rPr>
                <w:rFonts w:asciiTheme="minorEastAsia" w:eastAsiaTheme="minorEastAsia" w:hAnsiTheme="minorEastAsia" w:hint="eastAsia"/>
                <w:szCs w:val="21"/>
              </w:rPr>
              <w:t>基金合同生效</w:t>
            </w:r>
            <w:r w:rsidRPr="003307CA">
              <w:rPr>
                <w:rFonts w:asciiTheme="minorEastAsia" w:eastAsiaTheme="minorEastAsia" w:hAnsiTheme="minorEastAsia" w:hint="eastAsia"/>
                <w:szCs w:val="21"/>
              </w:rPr>
              <w:t>日</w:t>
            </w:r>
            <w:r w:rsidR="00FC29B7" w:rsidRPr="003307CA">
              <w:rPr>
                <w:rFonts w:asciiTheme="minorEastAsia" w:eastAsiaTheme="minorEastAsia" w:hAnsiTheme="minorEastAsia" w:hint="eastAsia"/>
                <w:szCs w:val="21"/>
              </w:rPr>
              <w:t>至2010年12月31日</w:t>
            </w:r>
          </w:p>
        </w:tc>
        <w:tc>
          <w:tcPr>
            <w:tcW w:w="993" w:type="dxa"/>
            <w:vAlign w:val="center"/>
          </w:tcPr>
          <w:p w:rsidR="00FC29B7" w:rsidRPr="003307CA" w:rsidRDefault="00FC29B7"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5.70%</w:t>
            </w:r>
          </w:p>
        </w:tc>
        <w:tc>
          <w:tcPr>
            <w:tcW w:w="1134" w:type="dxa"/>
            <w:vAlign w:val="center"/>
          </w:tcPr>
          <w:p w:rsidR="00FC29B7" w:rsidRPr="003307CA" w:rsidRDefault="00FC29B7"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0.93%</w:t>
            </w:r>
          </w:p>
        </w:tc>
        <w:tc>
          <w:tcPr>
            <w:tcW w:w="1149" w:type="dxa"/>
            <w:vAlign w:val="center"/>
          </w:tcPr>
          <w:p w:rsidR="00FC29B7" w:rsidRPr="003307CA" w:rsidRDefault="00FC29B7"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12.09%</w:t>
            </w:r>
          </w:p>
        </w:tc>
        <w:tc>
          <w:tcPr>
            <w:tcW w:w="1400" w:type="dxa"/>
            <w:vAlign w:val="center"/>
          </w:tcPr>
          <w:p w:rsidR="00FC29B7" w:rsidRPr="003307CA" w:rsidRDefault="00FC29B7"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1.17%</w:t>
            </w:r>
          </w:p>
        </w:tc>
        <w:tc>
          <w:tcPr>
            <w:tcW w:w="1080" w:type="dxa"/>
            <w:vAlign w:val="center"/>
          </w:tcPr>
          <w:p w:rsidR="00FC29B7" w:rsidRPr="003307CA" w:rsidRDefault="00FC29B7"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-6.3</w:t>
            </w:r>
            <w:r w:rsidR="00347BEE" w:rsidRPr="003307CA">
              <w:rPr>
                <w:rFonts w:asciiTheme="minorEastAsia" w:eastAsiaTheme="minorEastAsia" w:hAnsiTheme="minorEastAsia" w:hint="eastAsia"/>
                <w:szCs w:val="21"/>
              </w:rPr>
              <w:t>9</w:t>
            </w:r>
            <w:r w:rsidRPr="003307CA">
              <w:rPr>
                <w:rFonts w:asciiTheme="minorEastAsia" w:eastAsiaTheme="minorEastAsia" w:hAnsiTheme="minorEastAsia" w:hint="eastAsia"/>
                <w:szCs w:val="21"/>
              </w:rPr>
              <w:t>%</w:t>
            </w:r>
          </w:p>
        </w:tc>
        <w:tc>
          <w:tcPr>
            <w:tcW w:w="1080" w:type="dxa"/>
            <w:vAlign w:val="center"/>
          </w:tcPr>
          <w:p w:rsidR="00FC29B7" w:rsidRPr="003307CA" w:rsidRDefault="00FC29B7"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-0.24%</w:t>
            </w:r>
          </w:p>
        </w:tc>
      </w:tr>
      <w:tr w:rsidR="006D35EC" w:rsidRPr="003307CA" w:rsidTr="005833DA">
        <w:trPr>
          <w:trHeight w:val="495"/>
          <w:jc w:val="center"/>
        </w:trPr>
        <w:tc>
          <w:tcPr>
            <w:tcW w:w="1932" w:type="dxa"/>
          </w:tcPr>
          <w:p w:rsidR="00B82F51" w:rsidRPr="003307CA" w:rsidRDefault="00B82F51"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2011年1月1日至2011年12月31日</w:t>
            </w:r>
          </w:p>
        </w:tc>
        <w:tc>
          <w:tcPr>
            <w:tcW w:w="993" w:type="dxa"/>
            <w:vAlign w:val="center"/>
          </w:tcPr>
          <w:p w:rsidR="00B82F51" w:rsidRPr="003307CA" w:rsidRDefault="00B82F51"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-26.96%</w:t>
            </w:r>
          </w:p>
        </w:tc>
        <w:tc>
          <w:tcPr>
            <w:tcW w:w="1134" w:type="dxa"/>
            <w:vAlign w:val="center"/>
          </w:tcPr>
          <w:p w:rsidR="00B82F51" w:rsidRPr="003307CA" w:rsidRDefault="00B82F51"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1.78%</w:t>
            </w:r>
          </w:p>
        </w:tc>
        <w:tc>
          <w:tcPr>
            <w:tcW w:w="1149" w:type="dxa"/>
            <w:vAlign w:val="center"/>
          </w:tcPr>
          <w:p w:rsidR="00B82F51" w:rsidRPr="003307CA" w:rsidRDefault="00B82F51"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-22.72%</w:t>
            </w:r>
          </w:p>
        </w:tc>
        <w:tc>
          <w:tcPr>
            <w:tcW w:w="1400" w:type="dxa"/>
            <w:vAlign w:val="center"/>
          </w:tcPr>
          <w:p w:rsidR="00B82F51" w:rsidRPr="003307CA" w:rsidRDefault="00B82F51"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1.50%</w:t>
            </w:r>
          </w:p>
        </w:tc>
        <w:tc>
          <w:tcPr>
            <w:tcW w:w="1080" w:type="dxa"/>
            <w:vAlign w:val="center"/>
          </w:tcPr>
          <w:p w:rsidR="00B82F51" w:rsidRPr="003307CA" w:rsidRDefault="00B82F51"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-4.24%</w:t>
            </w:r>
          </w:p>
        </w:tc>
        <w:tc>
          <w:tcPr>
            <w:tcW w:w="1080" w:type="dxa"/>
            <w:vAlign w:val="center"/>
          </w:tcPr>
          <w:p w:rsidR="00B82F51" w:rsidRPr="003307CA" w:rsidRDefault="00B82F51"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0.28%</w:t>
            </w:r>
          </w:p>
        </w:tc>
      </w:tr>
      <w:tr w:rsidR="006D35EC" w:rsidRPr="003307CA" w:rsidTr="005833DA">
        <w:trPr>
          <w:trHeight w:val="495"/>
          <w:jc w:val="center"/>
        </w:trPr>
        <w:tc>
          <w:tcPr>
            <w:tcW w:w="1932" w:type="dxa"/>
          </w:tcPr>
          <w:p w:rsidR="0084006F" w:rsidRPr="003307CA" w:rsidRDefault="0084006F"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2012年1月1日至</w:t>
            </w:r>
            <w:r w:rsidR="00E3553C" w:rsidRPr="003307CA">
              <w:rPr>
                <w:rFonts w:asciiTheme="minorEastAsia" w:eastAsiaTheme="minorEastAsia" w:hAnsiTheme="minorEastAsia" w:hint="eastAsia"/>
                <w:szCs w:val="21"/>
              </w:rPr>
              <w:t>2012年12</w:t>
            </w:r>
            <w:r w:rsidRPr="003307CA">
              <w:rPr>
                <w:rFonts w:asciiTheme="minorEastAsia" w:eastAsiaTheme="minorEastAsia" w:hAnsiTheme="minorEastAsia" w:hint="eastAsia"/>
                <w:szCs w:val="21"/>
              </w:rPr>
              <w:t>月</w:t>
            </w:r>
            <w:r w:rsidR="00E3553C" w:rsidRPr="003307CA">
              <w:rPr>
                <w:rFonts w:asciiTheme="minorEastAsia" w:eastAsiaTheme="minorEastAsia" w:hAnsiTheme="minorEastAsia" w:hint="eastAsia"/>
                <w:szCs w:val="21"/>
              </w:rPr>
              <w:t>31</w:t>
            </w:r>
            <w:r w:rsidRPr="003307CA">
              <w:rPr>
                <w:rFonts w:asciiTheme="minorEastAsia" w:eastAsiaTheme="minorEastAsia" w:hAnsiTheme="minorEastAsia" w:hint="eastAsia"/>
                <w:szCs w:val="21"/>
              </w:rPr>
              <w:t>日</w:t>
            </w:r>
          </w:p>
        </w:tc>
        <w:tc>
          <w:tcPr>
            <w:tcW w:w="993" w:type="dxa"/>
            <w:vAlign w:val="center"/>
          </w:tcPr>
          <w:p w:rsidR="0084006F" w:rsidRPr="003307CA" w:rsidRDefault="00E3553C"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14.90%</w:t>
            </w:r>
          </w:p>
        </w:tc>
        <w:tc>
          <w:tcPr>
            <w:tcW w:w="1134" w:type="dxa"/>
            <w:vAlign w:val="center"/>
          </w:tcPr>
          <w:p w:rsidR="0084006F" w:rsidRPr="003307CA" w:rsidRDefault="00E3553C"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1.0</w:t>
            </w:r>
            <w:r w:rsidR="00EB184C" w:rsidRPr="003307CA">
              <w:rPr>
                <w:rFonts w:asciiTheme="minorEastAsia" w:eastAsiaTheme="minorEastAsia" w:hAnsiTheme="minorEastAsia" w:hint="eastAsia"/>
                <w:szCs w:val="21"/>
              </w:rPr>
              <w:t>2</w:t>
            </w:r>
            <w:r w:rsidRPr="003307CA">
              <w:rPr>
                <w:rFonts w:asciiTheme="minorEastAsia" w:eastAsiaTheme="minorEastAsia" w:hAnsiTheme="minorEastAsia" w:hint="eastAsia"/>
                <w:szCs w:val="21"/>
              </w:rPr>
              <w:t>%</w:t>
            </w:r>
          </w:p>
        </w:tc>
        <w:tc>
          <w:tcPr>
            <w:tcW w:w="1149" w:type="dxa"/>
            <w:vAlign w:val="center"/>
          </w:tcPr>
          <w:p w:rsidR="0084006F" w:rsidRPr="003307CA" w:rsidRDefault="00E3553C"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18.20%</w:t>
            </w:r>
          </w:p>
        </w:tc>
        <w:tc>
          <w:tcPr>
            <w:tcW w:w="1400" w:type="dxa"/>
            <w:vAlign w:val="center"/>
          </w:tcPr>
          <w:p w:rsidR="0084006F" w:rsidRPr="003307CA" w:rsidRDefault="00E3553C"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0.9</w:t>
            </w:r>
            <w:r w:rsidR="00EB184C" w:rsidRPr="003307CA">
              <w:rPr>
                <w:rFonts w:asciiTheme="minorEastAsia" w:eastAsiaTheme="minorEastAsia" w:hAnsiTheme="minorEastAsia" w:hint="eastAsia"/>
                <w:szCs w:val="21"/>
              </w:rPr>
              <w:t>8</w:t>
            </w:r>
            <w:r w:rsidRPr="003307CA">
              <w:rPr>
                <w:rFonts w:asciiTheme="minorEastAsia" w:eastAsiaTheme="minorEastAsia" w:hAnsiTheme="minorEastAsia" w:hint="eastAsia"/>
                <w:szCs w:val="21"/>
              </w:rPr>
              <w:t>%</w:t>
            </w:r>
          </w:p>
        </w:tc>
        <w:tc>
          <w:tcPr>
            <w:tcW w:w="1080" w:type="dxa"/>
            <w:vAlign w:val="center"/>
          </w:tcPr>
          <w:p w:rsidR="0084006F" w:rsidRPr="003307CA" w:rsidRDefault="00E3553C"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-3.30%</w:t>
            </w:r>
          </w:p>
        </w:tc>
        <w:tc>
          <w:tcPr>
            <w:tcW w:w="1080" w:type="dxa"/>
            <w:vAlign w:val="center"/>
          </w:tcPr>
          <w:p w:rsidR="0084006F" w:rsidRPr="003307CA" w:rsidRDefault="00E3553C"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0.04%</w:t>
            </w:r>
          </w:p>
        </w:tc>
      </w:tr>
      <w:tr w:rsidR="006D35EC" w:rsidRPr="003307CA" w:rsidTr="005833DA">
        <w:trPr>
          <w:trHeight w:val="495"/>
          <w:jc w:val="center"/>
        </w:trPr>
        <w:tc>
          <w:tcPr>
            <w:tcW w:w="1932" w:type="dxa"/>
          </w:tcPr>
          <w:p w:rsidR="002D7A44" w:rsidRPr="003307CA" w:rsidRDefault="002D7A44"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2013年1月1日至2013年12月31日</w:t>
            </w:r>
          </w:p>
        </w:tc>
        <w:tc>
          <w:tcPr>
            <w:tcW w:w="993" w:type="dxa"/>
            <w:vAlign w:val="center"/>
          </w:tcPr>
          <w:p w:rsidR="002D7A44" w:rsidRPr="003307CA" w:rsidRDefault="002D7A44"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-10.26%</w:t>
            </w:r>
          </w:p>
        </w:tc>
        <w:tc>
          <w:tcPr>
            <w:tcW w:w="1134" w:type="dxa"/>
            <w:vAlign w:val="center"/>
          </w:tcPr>
          <w:p w:rsidR="002D7A44" w:rsidRPr="003307CA" w:rsidRDefault="002D7A44"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0.97%</w:t>
            </w:r>
          </w:p>
        </w:tc>
        <w:tc>
          <w:tcPr>
            <w:tcW w:w="1149" w:type="dxa"/>
            <w:vAlign w:val="center"/>
          </w:tcPr>
          <w:p w:rsidR="002D7A44" w:rsidRPr="003307CA" w:rsidRDefault="002D7A44"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-2.27%</w:t>
            </w:r>
          </w:p>
        </w:tc>
        <w:tc>
          <w:tcPr>
            <w:tcW w:w="1400" w:type="dxa"/>
            <w:vAlign w:val="center"/>
          </w:tcPr>
          <w:p w:rsidR="002D7A44" w:rsidRPr="003307CA" w:rsidRDefault="002D7A44"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0.92%</w:t>
            </w:r>
          </w:p>
        </w:tc>
        <w:tc>
          <w:tcPr>
            <w:tcW w:w="1080" w:type="dxa"/>
            <w:vAlign w:val="center"/>
          </w:tcPr>
          <w:p w:rsidR="002D7A44" w:rsidRPr="003307CA" w:rsidRDefault="002D7A44"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-7.99%</w:t>
            </w:r>
          </w:p>
        </w:tc>
        <w:tc>
          <w:tcPr>
            <w:tcW w:w="1080" w:type="dxa"/>
            <w:vAlign w:val="center"/>
          </w:tcPr>
          <w:p w:rsidR="002D7A44" w:rsidRPr="003307CA" w:rsidRDefault="002D7A44"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0.05%</w:t>
            </w:r>
          </w:p>
        </w:tc>
      </w:tr>
      <w:tr w:rsidR="006D35EC" w:rsidRPr="003307CA" w:rsidTr="005833DA">
        <w:trPr>
          <w:trHeight w:val="495"/>
          <w:jc w:val="center"/>
        </w:trPr>
        <w:tc>
          <w:tcPr>
            <w:tcW w:w="1932" w:type="dxa"/>
          </w:tcPr>
          <w:p w:rsidR="00133BB5" w:rsidRPr="003307CA" w:rsidRDefault="00133BB5"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2014年1月1日至</w:t>
            </w:r>
            <w:r w:rsidR="00F7512F" w:rsidRPr="003307CA">
              <w:rPr>
                <w:rFonts w:asciiTheme="minorEastAsia" w:eastAsiaTheme="minorEastAsia" w:hAnsiTheme="minorEastAsia" w:hint="eastAsia"/>
                <w:szCs w:val="21"/>
              </w:rPr>
              <w:t>2014年12</w:t>
            </w:r>
            <w:r w:rsidRPr="003307CA">
              <w:rPr>
                <w:rFonts w:asciiTheme="minorEastAsia" w:eastAsiaTheme="minorEastAsia" w:hAnsiTheme="minorEastAsia" w:hint="eastAsia"/>
                <w:szCs w:val="21"/>
              </w:rPr>
              <w:t>月3</w:t>
            </w:r>
            <w:r w:rsidR="00F7512F" w:rsidRPr="003307CA">
              <w:rPr>
                <w:rFonts w:asciiTheme="minorEastAsia" w:eastAsiaTheme="minorEastAsia" w:hAnsiTheme="minorEastAsia" w:hint="eastAsia"/>
                <w:szCs w:val="21"/>
              </w:rPr>
              <w:t>1</w:t>
            </w:r>
            <w:r w:rsidRPr="003307CA">
              <w:rPr>
                <w:rFonts w:asciiTheme="minorEastAsia" w:eastAsiaTheme="minorEastAsia" w:hAnsiTheme="minorEastAsia" w:hint="eastAsia"/>
                <w:szCs w:val="21"/>
              </w:rPr>
              <w:t>日</w:t>
            </w:r>
          </w:p>
        </w:tc>
        <w:tc>
          <w:tcPr>
            <w:tcW w:w="993" w:type="dxa"/>
            <w:vAlign w:val="center"/>
          </w:tcPr>
          <w:p w:rsidR="00133BB5" w:rsidRPr="003307CA" w:rsidRDefault="00F7512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-0.63%</w:t>
            </w:r>
          </w:p>
        </w:tc>
        <w:tc>
          <w:tcPr>
            <w:tcW w:w="1134" w:type="dxa"/>
            <w:vAlign w:val="center"/>
          </w:tcPr>
          <w:p w:rsidR="00133BB5" w:rsidRPr="003307CA" w:rsidRDefault="00F7512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0.90</w:t>
            </w:r>
            <w:r w:rsidR="00133BB5" w:rsidRPr="003307CA">
              <w:rPr>
                <w:rFonts w:asciiTheme="minorEastAsia" w:eastAsiaTheme="minorEastAsia" w:hAnsiTheme="minorEastAsia"/>
                <w:szCs w:val="21"/>
              </w:rPr>
              <w:t>%</w:t>
            </w:r>
          </w:p>
        </w:tc>
        <w:tc>
          <w:tcPr>
            <w:tcW w:w="1149" w:type="dxa"/>
            <w:vAlign w:val="center"/>
          </w:tcPr>
          <w:p w:rsidR="00133BB5" w:rsidRPr="003307CA" w:rsidRDefault="00F7512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4.84</w:t>
            </w:r>
            <w:r w:rsidR="00133BB5" w:rsidRPr="003307CA">
              <w:rPr>
                <w:rFonts w:asciiTheme="minorEastAsia" w:eastAsiaTheme="minorEastAsia" w:hAnsiTheme="minorEastAsia"/>
                <w:szCs w:val="21"/>
              </w:rPr>
              <w:t>%</w:t>
            </w:r>
          </w:p>
        </w:tc>
        <w:tc>
          <w:tcPr>
            <w:tcW w:w="1400" w:type="dxa"/>
            <w:vAlign w:val="center"/>
          </w:tcPr>
          <w:p w:rsidR="00133BB5" w:rsidRPr="003307CA" w:rsidRDefault="00133BB5"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w:t>
            </w:r>
            <w:r w:rsidR="00F7512F" w:rsidRPr="003307CA">
              <w:rPr>
                <w:rFonts w:asciiTheme="minorEastAsia" w:eastAsiaTheme="minorEastAsia" w:hAnsiTheme="minorEastAsia"/>
                <w:szCs w:val="21"/>
              </w:rPr>
              <w:t>6</w:t>
            </w:r>
            <w:r w:rsidR="00F7512F" w:rsidRPr="003307CA">
              <w:rPr>
                <w:rFonts w:asciiTheme="minorEastAsia" w:eastAsiaTheme="minorEastAsia" w:hAnsiTheme="minorEastAsia" w:hint="eastAsia"/>
                <w:szCs w:val="21"/>
              </w:rPr>
              <w:t>5</w:t>
            </w:r>
            <w:r w:rsidRPr="003307CA">
              <w:rPr>
                <w:rFonts w:asciiTheme="minorEastAsia" w:eastAsiaTheme="minorEastAsia" w:hAnsiTheme="minorEastAsia"/>
                <w:szCs w:val="21"/>
              </w:rPr>
              <w:t>%</w:t>
            </w:r>
          </w:p>
        </w:tc>
        <w:tc>
          <w:tcPr>
            <w:tcW w:w="1080" w:type="dxa"/>
            <w:vAlign w:val="center"/>
          </w:tcPr>
          <w:p w:rsidR="00133BB5" w:rsidRPr="003307CA" w:rsidRDefault="00133BB5"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w:t>
            </w:r>
            <w:r w:rsidR="00F7512F" w:rsidRPr="003307CA">
              <w:rPr>
                <w:rFonts w:asciiTheme="minorEastAsia" w:eastAsiaTheme="minorEastAsia" w:hAnsiTheme="minorEastAsia" w:hint="eastAsia"/>
                <w:szCs w:val="21"/>
              </w:rPr>
              <w:t>5.47</w:t>
            </w:r>
            <w:r w:rsidRPr="003307CA">
              <w:rPr>
                <w:rFonts w:asciiTheme="minorEastAsia" w:eastAsiaTheme="minorEastAsia" w:hAnsiTheme="minorEastAsia"/>
                <w:szCs w:val="21"/>
              </w:rPr>
              <w:t>%</w:t>
            </w:r>
          </w:p>
        </w:tc>
        <w:tc>
          <w:tcPr>
            <w:tcW w:w="1080" w:type="dxa"/>
            <w:vAlign w:val="center"/>
          </w:tcPr>
          <w:p w:rsidR="00133BB5" w:rsidRPr="003307CA" w:rsidRDefault="00F7512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0.25</w:t>
            </w:r>
            <w:r w:rsidR="00133BB5" w:rsidRPr="003307CA">
              <w:rPr>
                <w:rFonts w:asciiTheme="minorEastAsia" w:eastAsiaTheme="minorEastAsia" w:hAnsiTheme="minorEastAsia"/>
                <w:szCs w:val="21"/>
              </w:rPr>
              <w:t>%</w:t>
            </w:r>
          </w:p>
        </w:tc>
      </w:tr>
      <w:tr w:rsidR="006D35EC" w:rsidRPr="003307CA" w:rsidTr="005833DA">
        <w:trPr>
          <w:trHeight w:val="495"/>
          <w:jc w:val="center"/>
        </w:trPr>
        <w:tc>
          <w:tcPr>
            <w:tcW w:w="1932" w:type="dxa"/>
          </w:tcPr>
          <w:p w:rsidR="00E36519" w:rsidRPr="003307CA" w:rsidRDefault="00E36519"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2015年1月1日至2015年12月31日</w:t>
            </w:r>
          </w:p>
        </w:tc>
        <w:tc>
          <w:tcPr>
            <w:tcW w:w="993" w:type="dxa"/>
            <w:vAlign w:val="center"/>
          </w:tcPr>
          <w:p w:rsidR="00E36519" w:rsidRPr="003307CA" w:rsidRDefault="00E36519"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0.13%</w:t>
            </w:r>
          </w:p>
        </w:tc>
        <w:tc>
          <w:tcPr>
            <w:tcW w:w="1134" w:type="dxa"/>
            <w:vAlign w:val="center"/>
          </w:tcPr>
          <w:p w:rsidR="00E36519" w:rsidRPr="003307CA" w:rsidRDefault="00E36519"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3.07%</w:t>
            </w:r>
          </w:p>
        </w:tc>
        <w:tc>
          <w:tcPr>
            <w:tcW w:w="1149" w:type="dxa"/>
            <w:vAlign w:val="center"/>
          </w:tcPr>
          <w:p w:rsidR="00E36519" w:rsidRPr="003307CA" w:rsidRDefault="00E36519"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-7.31%</w:t>
            </w:r>
          </w:p>
        </w:tc>
        <w:tc>
          <w:tcPr>
            <w:tcW w:w="1400" w:type="dxa"/>
            <w:vAlign w:val="center"/>
          </w:tcPr>
          <w:p w:rsidR="00E36519" w:rsidRPr="003307CA" w:rsidRDefault="00E36519"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1.09%</w:t>
            </w:r>
          </w:p>
        </w:tc>
        <w:tc>
          <w:tcPr>
            <w:tcW w:w="1080" w:type="dxa"/>
            <w:vAlign w:val="center"/>
          </w:tcPr>
          <w:p w:rsidR="00E36519" w:rsidRPr="003307CA" w:rsidRDefault="00E36519"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7.44%</w:t>
            </w:r>
          </w:p>
        </w:tc>
        <w:tc>
          <w:tcPr>
            <w:tcW w:w="1080" w:type="dxa"/>
            <w:vAlign w:val="center"/>
          </w:tcPr>
          <w:p w:rsidR="00E36519" w:rsidRPr="003307CA" w:rsidRDefault="00E36519"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1.98%</w:t>
            </w:r>
          </w:p>
        </w:tc>
      </w:tr>
      <w:tr w:rsidR="006D35EC" w:rsidRPr="003307CA" w:rsidTr="005833DA">
        <w:trPr>
          <w:trHeight w:val="495"/>
          <w:jc w:val="center"/>
        </w:trPr>
        <w:tc>
          <w:tcPr>
            <w:tcW w:w="1932" w:type="dxa"/>
          </w:tcPr>
          <w:p w:rsidR="00955BCF" w:rsidRPr="003307CA" w:rsidRDefault="00955BCF" w:rsidP="00CE3F81">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2016年1月1日至2016年</w:t>
            </w:r>
            <w:r w:rsidR="00A617C0" w:rsidRPr="003307CA">
              <w:rPr>
                <w:rFonts w:asciiTheme="minorEastAsia" w:eastAsiaTheme="minorEastAsia" w:hAnsiTheme="minorEastAsia" w:hint="eastAsia"/>
                <w:szCs w:val="21"/>
              </w:rPr>
              <w:t>12</w:t>
            </w:r>
            <w:r w:rsidRPr="003307CA">
              <w:rPr>
                <w:rFonts w:asciiTheme="minorEastAsia" w:eastAsiaTheme="minorEastAsia" w:hAnsiTheme="minorEastAsia" w:hint="eastAsia"/>
                <w:szCs w:val="21"/>
              </w:rPr>
              <w:t>月3</w:t>
            </w:r>
            <w:r w:rsidR="00A617C0" w:rsidRPr="003307CA">
              <w:rPr>
                <w:rFonts w:asciiTheme="minorEastAsia" w:eastAsiaTheme="minorEastAsia" w:hAnsiTheme="minorEastAsia" w:hint="eastAsia"/>
                <w:szCs w:val="21"/>
              </w:rPr>
              <w:t>1</w:t>
            </w:r>
            <w:r w:rsidRPr="003307CA">
              <w:rPr>
                <w:rFonts w:asciiTheme="minorEastAsia" w:eastAsiaTheme="minorEastAsia" w:hAnsiTheme="minorEastAsia" w:hint="eastAsia"/>
                <w:szCs w:val="21"/>
              </w:rPr>
              <w:t>日</w:t>
            </w:r>
          </w:p>
        </w:tc>
        <w:tc>
          <w:tcPr>
            <w:tcW w:w="993" w:type="dxa"/>
            <w:vAlign w:val="center"/>
          </w:tcPr>
          <w:p w:rsidR="00955BCF" w:rsidRPr="003307CA" w:rsidRDefault="00955BC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w:t>
            </w:r>
            <w:r w:rsidR="00184AA0" w:rsidRPr="003307CA">
              <w:rPr>
                <w:rFonts w:asciiTheme="minorEastAsia" w:eastAsiaTheme="minorEastAsia" w:hAnsiTheme="minorEastAsia" w:hint="eastAsia"/>
                <w:szCs w:val="21"/>
              </w:rPr>
              <w:t>7</w:t>
            </w:r>
            <w:r w:rsidRPr="003307CA">
              <w:rPr>
                <w:rFonts w:asciiTheme="minorEastAsia" w:eastAsiaTheme="minorEastAsia" w:hAnsiTheme="minorEastAsia"/>
                <w:szCs w:val="21"/>
              </w:rPr>
              <w:t>.7</w:t>
            </w:r>
            <w:r w:rsidR="00184AA0" w:rsidRPr="003307CA">
              <w:rPr>
                <w:rFonts w:asciiTheme="minorEastAsia" w:eastAsiaTheme="minorEastAsia" w:hAnsiTheme="minorEastAsia" w:hint="eastAsia"/>
                <w:szCs w:val="21"/>
              </w:rPr>
              <w:t>0</w:t>
            </w:r>
            <w:r w:rsidRPr="003307CA">
              <w:rPr>
                <w:rFonts w:asciiTheme="minorEastAsia" w:eastAsiaTheme="minorEastAsia" w:hAnsiTheme="minorEastAsia"/>
                <w:szCs w:val="21"/>
              </w:rPr>
              <w:t>%</w:t>
            </w:r>
          </w:p>
        </w:tc>
        <w:tc>
          <w:tcPr>
            <w:tcW w:w="1134" w:type="dxa"/>
            <w:vAlign w:val="center"/>
          </w:tcPr>
          <w:p w:rsidR="00955BCF" w:rsidRPr="003307CA" w:rsidRDefault="00955BC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1.</w:t>
            </w:r>
            <w:r w:rsidR="00184AA0" w:rsidRPr="003307CA">
              <w:rPr>
                <w:rFonts w:asciiTheme="minorEastAsia" w:eastAsiaTheme="minorEastAsia" w:hAnsiTheme="minorEastAsia" w:hint="eastAsia"/>
                <w:szCs w:val="21"/>
              </w:rPr>
              <w:t>34</w:t>
            </w:r>
            <w:r w:rsidRPr="003307CA">
              <w:rPr>
                <w:rFonts w:asciiTheme="minorEastAsia" w:eastAsiaTheme="minorEastAsia" w:hAnsiTheme="minorEastAsia"/>
                <w:szCs w:val="21"/>
              </w:rPr>
              <w:t>%</w:t>
            </w:r>
          </w:p>
        </w:tc>
        <w:tc>
          <w:tcPr>
            <w:tcW w:w="1149" w:type="dxa"/>
            <w:vAlign w:val="center"/>
          </w:tcPr>
          <w:p w:rsidR="00955BCF" w:rsidRPr="003307CA" w:rsidRDefault="00184AA0"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10</w:t>
            </w:r>
            <w:r w:rsidR="00955BCF"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05</w:t>
            </w:r>
            <w:r w:rsidR="00955BCF" w:rsidRPr="003307CA">
              <w:rPr>
                <w:rFonts w:asciiTheme="minorEastAsia" w:eastAsiaTheme="minorEastAsia" w:hAnsiTheme="minorEastAsia"/>
                <w:szCs w:val="21"/>
              </w:rPr>
              <w:t>%</w:t>
            </w:r>
          </w:p>
        </w:tc>
        <w:tc>
          <w:tcPr>
            <w:tcW w:w="1400" w:type="dxa"/>
            <w:vAlign w:val="center"/>
          </w:tcPr>
          <w:p w:rsidR="00955BCF" w:rsidRPr="003307CA" w:rsidRDefault="001D495E"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szCs w:val="21"/>
              </w:rPr>
              <w:t>0</w:t>
            </w:r>
            <w:r w:rsidR="00955BCF"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97</w:t>
            </w:r>
            <w:r w:rsidR="00955BCF" w:rsidRPr="003307CA">
              <w:rPr>
                <w:rFonts w:asciiTheme="minorEastAsia" w:eastAsiaTheme="minorEastAsia" w:hAnsiTheme="minorEastAsia"/>
                <w:szCs w:val="21"/>
              </w:rPr>
              <w:t>%</w:t>
            </w:r>
          </w:p>
        </w:tc>
        <w:tc>
          <w:tcPr>
            <w:tcW w:w="1080" w:type="dxa"/>
            <w:vAlign w:val="center"/>
          </w:tcPr>
          <w:p w:rsidR="00955BCF" w:rsidRPr="003307CA" w:rsidRDefault="00955BC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-1</w:t>
            </w:r>
            <w:r w:rsidR="001D495E" w:rsidRPr="003307CA">
              <w:rPr>
                <w:rFonts w:asciiTheme="minorEastAsia" w:eastAsiaTheme="minorEastAsia" w:hAnsiTheme="minorEastAsia" w:hint="eastAsia"/>
                <w:szCs w:val="21"/>
              </w:rPr>
              <w:t>7</w:t>
            </w:r>
            <w:r w:rsidRPr="003307CA">
              <w:rPr>
                <w:rFonts w:asciiTheme="minorEastAsia" w:eastAsiaTheme="minorEastAsia" w:hAnsiTheme="minorEastAsia"/>
                <w:szCs w:val="21"/>
              </w:rPr>
              <w:t>.</w:t>
            </w:r>
            <w:r w:rsidR="001D495E" w:rsidRPr="003307CA">
              <w:rPr>
                <w:rFonts w:asciiTheme="minorEastAsia" w:eastAsiaTheme="minorEastAsia" w:hAnsiTheme="minorEastAsia" w:hint="eastAsia"/>
                <w:szCs w:val="21"/>
              </w:rPr>
              <w:t>75</w:t>
            </w:r>
            <w:r w:rsidRPr="003307CA">
              <w:rPr>
                <w:rFonts w:asciiTheme="minorEastAsia" w:eastAsiaTheme="minorEastAsia" w:hAnsiTheme="minorEastAsia"/>
                <w:szCs w:val="21"/>
              </w:rPr>
              <w:t>%</w:t>
            </w:r>
          </w:p>
        </w:tc>
        <w:tc>
          <w:tcPr>
            <w:tcW w:w="1080" w:type="dxa"/>
            <w:vAlign w:val="center"/>
          </w:tcPr>
          <w:p w:rsidR="00955BCF" w:rsidRPr="003307CA" w:rsidRDefault="00955BCF" w:rsidP="00CE3F81">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w:t>
            </w:r>
            <w:r w:rsidR="001D495E" w:rsidRPr="003307CA">
              <w:rPr>
                <w:rFonts w:asciiTheme="minorEastAsia" w:eastAsiaTheme="minorEastAsia" w:hAnsiTheme="minorEastAsia" w:hint="eastAsia"/>
                <w:szCs w:val="21"/>
              </w:rPr>
              <w:t>37</w:t>
            </w:r>
            <w:r w:rsidRPr="003307CA">
              <w:rPr>
                <w:rFonts w:asciiTheme="minorEastAsia" w:eastAsiaTheme="minorEastAsia" w:hAnsiTheme="minorEastAsia"/>
                <w:szCs w:val="21"/>
              </w:rPr>
              <w:t>%</w:t>
            </w:r>
          </w:p>
        </w:tc>
      </w:tr>
      <w:tr w:rsidR="006D35EC" w:rsidRPr="003307CA" w:rsidTr="005833DA">
        <w:trPr>
          <w:trHeight w:val="495"/>
          <w:jc w:val="center"/>
        </w:trPr>
        <w:tc>
          <w:tcPr>
            <w:tcW w:w="1932" w:type="dxa"/>
          </w:tcPr>
          <w:p w:rsidR="007B03BD" w:rsidRPr="003307CA" w:rsidRDefault="007B03BD" w:rsidP="007B03BD">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2017年1月1日至2017年</w:t>
            </w:r>
            <w:r w:rsidRPr="003307CA">
              <w:rPr>
                <w:rFonts w:asciiTheme="minorEastAsia" w:eastAsiaTheme="minorEastAsia" w:hAnsiTheme="minorEastAsia"/>
                <w:szCs w:val="21"/>
              </w:rPr>
              <w:t>12</w:t>
            </w:r>
            <w:r w:rsidRPr="003307CA">
              <w:rPr>
                <w:rFonts w:asciiTheme="minorEastAsia" w:eastAsiaTheme="minorEastAsia" w:hAnsiTheme="minorEastAsia" w:hint="eastAsia"/>
                <w:szCs w:val="21"/>
              </w:rPr>
              <w:t>月</w:t>
            </w:r>
            <w:r w:rsidRPr="003307CA">
              <w:rPr>
                <w:rFonts w:asciiTheme="minorEastAsia" w:eastAsiaTheme="minorEastAsia" w:hAnsiTheme="minorEastAsia"/>
                <w:szCs w:val="21"/>
              </w:rPr>
              <w:t>31</w:t>
            </w:r>
            <w:r w:rsidRPr="003307CA">
              <w:rPr>
                <w:rFonts w:asciiTheme="minorEastAsia" w:eastAsiaTheme="minorEastAsia" w:hAnsiTheme="minorEastAsia" w:hint="eastAsia"/>
                <w:szCs w:val="21"/>
              </w:rPr>
              <w:t>日</w:t>
            </w:r>
          </w:p>
        </w:tc>
        <w:tc>
          <w:tcPr>
            <w:tcW w:w="993" w:type="dxa"/>
            <w:vAlign w:val="center"/>
          </w:tcPr>
          <w:p w:rsidR="007B03BD" w:rsidRPr="003307CA" w:rsidRDefault="007B03BD" w:rsidP="007B03BD">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38.30%</w:t>
            </w:r>
          </w:p>
        </w:tc>
        <w:tc>
          <w:tcPr>
            <w:tcW w:w="1134" w:type="dxa"/>
            <w:vAlign w:val="center"/>
          </w:tcPr>
          <w:p w:rsidR="007B03BD" w:rsidRPr="003307CA" w:rsidRDefault="007B03BD" w:rsidP="007B03BD">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0.87%</w:t>
            </w:r>
          </w:p>
        </w:tc>
        <w:tc>
          <w:tcPr>
            <w:tcW w:w="1149" w:type="dxa"/>
            <w:vAlign w:val="center"/>
          </w:tcPr>
          <w:p w:rsidR="007B03BD" w:rsidRPr="003307CA" w:rsidRDefault="007B03BD" w:rsidP="007B03BD">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30.06%</w:t>
            </w:r>
          </w:p>
        </w:tc>
        <w:tc>
          <w:tcPr>
            <w:tcW w:w="1400" w:type="dxa"/>
            <w:vAlign w:val="center"/>
          </w:tcPr>
          <w:p w:rsidR="007B03BD" w:rsidRPr="003307CA" w:rsidRDefault="007B03BD" w:rsidP="007B03BD">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0.61%</w:t>
            </w:r>
          </w:p>
        </w:tc>
        <w:tc>
          <w:tcPr>
            <w:tcW w:w="1080" w:type="dxa"/>
            <w:vAlign w:val="center"/>
          </w:tcPr>
          <w:p w:rsidR="007B03BD" w:rsidRPr="003307CA" w:rsidRDefault="007B03BD" w:rsidP="007B03BD">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8.24%</w:t>
            </w:r>
          </w:p>
        </w:tc>
        <w:tc>
          <w:tcPr>
            <w:tcW w:w="1080" w:type="dxa"/>
            <w:vAlign w:val="center"/>
          </w:tcPr>
          <w:p w:rsidR="007B03BD" w:rsidRPr="003307CA" w:rsidRDefault="007B03BD" w:rsidP="007B03BD">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szCs w:val="21"/>
              </w:rPr>
              <w:t>0.26%</w:t>
            </w:r>
          </w:p>
        </w:tc>
      </w:tr>
      <w:tr w:rsidR="006D35EC" w:rsidRPr="003307CA" w:rsidTr="005200A0">
        <w:trPr>
          <w:trHeight w:val="495"/>
          <w:jc w:val="center"/>
        </w:trPr>
        <w:tc>
          <w:tcPr>
            <w:tcW w:w="1932" w:type="dxa"/>
          </w:tcPr>
          <w:p w:rsidR="0028729B" w:rsidRPr="003307CA" w:rsidRDefault="0028729B" w:rsidP="0028729B">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201</w:t>
            </w:r>
            <w:r w:rsidRPr="003307CA">
              <w:rPr>
                <w:rFonts w:asciiTheme="minorEastAsia" w:eastAsiaTheme="minorEastAsia" w:hAnsiTheme="minorEastAsia"/>
                <w:szCs w:val="21"/>
              </w:rPr>
              <w:t>8</w:t>
            </w:r>
            <w:r w:rsidRPr="003307CA">
              <w:rPr>
                <w:rFonts w:asciiTheme="minorEastAsia" w:eastAsiaTheme="minorEastAsia" w:hAnsiTheme="minorEastAsia" w:hint="eastAsia"/>
                <w:szCs w:val="21"/>
              </w:rPr>
              <w:t>年1月1日至201</w:t>
            </w:r>
            <w:r w:rsidRPr="003307CA">
              <w:rPr>
                <w:rFonts w:asciiTheme="minorEastAsia" w:eastAsiaTheme="minorEastAsia" w:hAnsiTheme="minorEastAsia"/>
                <w:szCs w:val="21"/>
              </w:rPr>
              <w:t>8</w:t>
            </w:r>
            <w:r w:rsidRPr="003307CA">
              <w:rPr>
                <w:rFonts w:asciiTheme="minorEastAsia" w:eastAsiaTheme="minorEastAsia" w:hAnsiTheme="minorEastAsia" w:hint="eastAsia"/>
                <w:szCs w:val="21"/>
              </w:rPr>
              <w:t>年</w:t>
            </w:r>
            <w:r w:rsidRPr="003307CA">
              <w:rPr>
                <w:rFonts w:asciiTheme="minorEastAsia" w:eastAsiaTheme="minorEastAsia" w:hAnsiTheme="minorEastAsia"/>
                <w:szCs w:val="21"/>
              </w:rPr>
              <w:t>12</w:t>
            </w:r>
            <w:r w:rsidRPr="003307CA">
              <w:rPr>
                <w:rFonts w:asciiTheme="minorEastAsia" w:eastAsiaTheme="minorEastAsia" w:hAnsiTheme="minorEastAsia" w:hint="eastAsia"/>
                <w:szCs w:val="21"/>
              </w:rPr>
              <w:t>月</w:t>
            </w:r>
            <w:r w:rsidRPr="003307CA">
              <w:rPr>
                <w:rFonts w:asciiTheme="minorEastAsia" w:eastAsiaTheme="minorEastAsia" w:hAnsiTheme="minorEastAsia"/>
                <w:szCs w:val="21"/>
              </w:rPr>
              <w:t>31</w:t>
            </w:r>
            <w:r w:rsidRPr="003307CA">
              <w:rPr>
                <w:rFonts w:asciiTheme="minorEastAsia" w:eastAsiaTheme="minorEastAsia" w:hAnsiTheme="minorEastAsia" w:hint="eastAsia"/>
                <w:szCs w:val="21"/>
              </w:rPr>
              <w:t>日</w:t>
            </w:r>
          </w:p>
        </w:tc>
        <w:tc>
          <w:tcPr>
            <w:tcW w:w="993" w:type="dxa"/>
            <w:vAlign w:val="center"/>
          </w:tcPr>
          <w:p w:rsidR="0028729B" w:rsidRPr="003307CA" w:rsidRDefault="0028729B" w:rsidP="0028729B">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rPr>
              <w:t>-19.19%</w:t>
            </w:r>
          </w:p>
        </w:tc>
        <w:tc>
          <w:tcPr>
            <w:tcW w:w="1134" w:type="dxa"/>
            <w:vAlign w:val="center"/>
          </w:tcPr>
          <w:p w:rsidR="0028729B" w:rsidRPr="003307CA" w:rsidRDefault="0028729B" w:rsidP="0028729B">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rPr>
              <w:t>1.45%</w:t>
            </w:r>
          </w:p>
        </w:tc>
        <w:tc>
          <w:tcPr>
            <w:tcW w:w="1149" w:type="dxa"/>
            <w:vAlign w:val="center"/>
          </w:tcPr>
          <w:p w:rsidR="0028729B" w:rsidRPr="003307CA" w:rsidRDefault="0028729B" w:rsidP="0028729B">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rPr>
              <w:t>-11.60%</w:t>
            </w:r>
          </w:p>
        </w:tc>
        <w:tc>
          <w:tcPr>
            <w:tcW w:w="1400" w:type="dxa"/>
            <w:vAlign w:val="center"/>
          </w:tcPr>
          <w:p w:rsidR="0028729B" w:rsidRPr="003307CA" w:rsidRDefault="0028729B" w:rsidP="0028729B">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rPr>
              <w:t>1.09%</w:t>
            </w:r>
          </w:p>
        </w:tc>
        <w:tc>
          <w:tcPr>
            <w:tcW w:w="1080" w:type="dxa"/>
            <w:vAlign w:val="center"/>
          </w:tcPr>
          <w:p w:rsidR="0028729B" w:rsidRPr="003307CA" w:rsidRDefault="0028729B" w:rsidP="0028729B">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rPr>
              <w:t>-7.59%</w:t>
            </w:r>
          </w:p>
        </w:tc>
        <w:tc>
          <w:tcPr>
            <w:tcW w:w="1080" w:type="dxa"/>
            <w:vAlign w:val="center"/>
          </w:tcPr>
          <w:p w:rsidR="0028729B" w:rsidRPr="003307CA" w:rsidRDefault="0028729B" w:rsidP="0028729B">
            <w:pPr>
              <w:tabs>
                <w:tab w:val="left" w:pos="5400"/>
              </w:tabs>
              <w:snapToGrid w:val="0"/>
              <w:spacing w:line="360" w:lineRule="auto"/>
              <w:jc w:val="right"/>
              <w:rPr>
                <w:rFonts w:asciiTheme="minorEastAsia" w:eastAsiaTheme="minorEastAsia" w:hAnsiTheme="minorEastAsia"/>
                <w:szCs w:val="21"/>
              </w:rPr>
            </w:pPr>
            <w:r w:rsidRPr="003307CA">
              <w:rPr>
                <w:rFonts w:asciiTheme="minorEastAsia" w:eastAsiaTheme="minorEastAsia" w:hAnsiTheme="minorEastAsia" w:hint="eastAsia"/>
              </w:rPr>
              <w:t>0.36%</w:t>
            </w:r>
          </w:p>
        </w:tc>
      </w:tr>
      <w:tr w:rsidR="006D35EC" w:rsidRPr="003307CA" w:rsidTr="005200A0">
        <w:trPr>
          <w:trHeight w:val="495"/>
          <w:jc w:val="center"/>
        </w:trPr>
        <w:tc>
          <w:tcPr>
            <w:tcW w:w="1932" w:type="dxa"/>
          </w:tcPr>
          <w:p w:rsidR="00A90789" w:rsidRPr="003307CA" w:rsidRDefault="002465F1" w:rsidP="00A90789">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szCs w:val="21"/>
              </w:rPr>
              <w:t>2019年1月1日至2019年12月31日</w:t>
            </w:r>
          </w:p>
        </w:tc>
        <w:tc>
          <w:tcPr>
            <w:tcW w:w="993" w:type="dxa"/>
            <w:vAlign w:val="center"/>
          </w:tcPr>
          <w:p w:rsidR="00A90789" w:rsidRPr="003307CA" w:rsidRDefault="002465F1" w:rsidP="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23.87%</w:t>
            </w:r>
          </w:p>
        </w:tc>
        <w:tc>
          <w:tcPr>
            <w:tcW w:w="1134" w:type="dxa"/>
            <w:vAlign w:val="center"/>
          </w:tcPr>
          <w:p w:rsidR="00A90789" w:rsidRPr="003307CA" w:rsidRDefault="002465F1" w:rsidP="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1.18%</w:t>
            </w:r>
          </w:p>
        </w:tc>
        <w:tc>
          <w:tcPr>
            <w:tcW w:w="1149" w:type="dxa"/>
            <w:vAlign w:val="center"/>
          </w:tcPr>
          <w:p w:rsidR="00A90789"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16.79%</w:t>
            </w:r>
          </w:p>
        </w:tc>
        <w:tc>
          <w:tcPr>
            <w:tcW w:w="1400" w:type="dxa"/>
            <w:vAlign w:val="center"/>
          </w:tcPr>
          <w:p w:rsidR="00A90789"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0.72%</w:t>
            </w:r>
          </w:p>
        </w:tc>
        <w:tc>
          <w:tcPr>
            <w:tcW w:w="1080" w:type="dxa"/>
            <w:vAlign w:val="center"/>
          </w:tcPr>
          <w:p w:rsidR="00A90789"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7.08%</w:t>
            </w:r>
          </w:p>
        </w:tc>
        <w:tc>
          <w:tcPr>
            <w:tcW w:w="1080" w:type="dxa"/>
            <w:vAlign w:val="center"/>
          </w:tcPr>
          <w:p w:rsidR="00A90789"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0.46%</w:t>
            </w:r>
          </w:p>
        </w:tc>
      </w:tr>
      <w:tr w:rsidR="002465F1" w:rsidRPr="003307CA" w:rsidTr="005200A0">
        <w:trPr>
          <w:trHeight w:val="495"/>
          <w:jc w:val="center"/>
        </w:trPr>
        <w:tc>
          <w:tcPr>
            <w:tcW w:w="1932" w:type="dxa"/>
          </w:tcPr>
          <w:p w:rsidR="002465F1" w:rsidRPr="003307CA" w:rsidRDefault="002465F1" w:rsidP="00A90789">
            <w:pPr>
              <w:tabs>
                <w:tab w:val="left" w:pos="5400"/>
              </w:tabs>
              <w:snapToGrid w:val="0"/>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自基金合同生效日至</w:t>
            </w:r>
            <w:r w:rsidRPr="003307CA">
              <w:rPr>
                <w:rFonts w:asciiTheme="minorEastAsia" w:eastAsiaTheme="minorEastAsia" w:hAnsiTheme="minorEastAsia"/>
                <w:szCs w:val="21"/>
              </w:rPr>
              <w:t>2019年12月31</w:t>
            </w:r>
            <w:r w:rsidRPr="003307CA">
              <w:rPr>
                <w:rFonts w:asciiTheme="minorEastAsia" w:eastAsiaTheme="minorEastAsia" w:hAnsiTheme="minorEastAsia"/>
                <w:szCs w:val="21"/>
              </w:rPr>
              <w:lastRenderedPageBreak/>
              <w:t>日</w:t>
            </w:r>
          </w:p>
        </w:tc>
        <w:tc>
          <w:tcPr>
            <w:tcW w:w="993" w:type="dxa"/>
            <w:vAlign w:val="center"/>
          </w:tcPr>
          <w:p w:rsidR="002465F1"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lastRenderedPageBreak/>
              <w:t>1.20%</w:t>
            </w:r>
          </w:p>
        </w:tc>
        <w:tc>
          <w:tcPr>
            <w:tcW w:w="1134" w:type="dxa"/>
            <w:vAlign w:val="center"/>
          </w:tcPr>
          <w:p w:rsidR="002465F1"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1.49%</w:t>
            </w:r>
          </w:p>
        </w:tc>
        <w:tc>
          <w:tcPr>
            <w:tcW w:w="1149" w:type="dxa"/>
            <w:vAlign w:val="center"/>
          </w:tcPr>
          <w:p w:rsidR="002465F1"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43.70%</w:t>
            </w:r>
          </w:p>
        </w:tc>
        <w:tc>
          <w:tcPr>
            <w:tcW w:w="1400" w:type="dxa"/>
            <w:vAlign w:val="center"/>
          </w:tcPr>
          <w:p w:rsidR="002465F1"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1.00%</w:t>
            </w:r>
          </w:p>
        </w:tc>
        <w:tc>
          <w:tcPr>
            <w:tcW w:w="1080" w:type="dxa"/>
            <w:vAlign w:val="center"/>
          </w:tcPr>
          <w:p w:rsidR="002465F1"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-42.50%</w:t>
            </w:r>
          </w:p>
        </w:tc>
        <w:tc>
          <w:tcPr>
            <w:tcW w:w="1080" w:type="dxa"/>
            <w:vAlign w:val="center"/>
          </w:tcPr>
          <w:p w:rsidR="002465F1" w:rsidRPr="003307CA" w:rsidRDefault="002465F1">
            <w:pPr>
              <w:tabs>
                <w:tab w:val="left" w:pos="5400"/>
              </w:tabs>
              <w:snapToGrid w:val="0"/>
              <w:spacing w:line="360" w:lineRule="auto"/>
              <w:jc w:val="right"/>
              <w:rPr>
                <w:rFonts w:asciiTheme="minorEastAsia" w:eastAsiaTheme="minorEastAsia" w:hAnsiTheme="minorEastAsia"/>
              </w:rPr>
            </w:pPr>
            <w:r w:rsidRPr="003307CA">
              <w:rPr>
                <w:rFonts w:asciiTheme="minorEastAsia" w:eastAsiaTheme="minorEastAsia" w:hAnsiTheme="minorEastAsia"/>
              </w:rPr>
              <w:t>0.49%</w:t>
            </w:r>
          </w:p>
        </w:tc>
      </w:tr>
    </w:tbl>
    <w:p w:rsidR="000B2832" w:rsidRPr="003307CA" w:rsidRDefault="000B2832"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注：</w:t>
      </w:r>
      <w:r w:rsidR="00D972A4" w:rsidRPr="003307CA">
        <w:rPr>
          <w:rFonts w:asciiTheme="minorEastAsia" w:eastAsiaTheme="minorEastAsia" w:hAnsiTheme="minorEastAsia" w:hint="eastAsia"/>
          <w:szCs w:val="21"/>
        </w:rPr>
        <w:t>1、</w:t>
      </w:r>
      <w:r w:rsidRPr="003307CA">
        <w:rPr>
          <w:rFonts w:asciiTheme="minorEastAsia" w:eastAsiaTheme="minorEastAsia" w:hAnsiTheme="minorEastAsia" w:hint="eastAsia"/>
          <w:szCs w:val="21"/>
        </w:rPr>
        <w:t>同期业绩比较基准</w:t>
      </w:r>
      <w:r w:rsidR="00B85E09" w:rsidRPr="003307CA">
        <w:rPr>
          <w:rFonts w:asciiTheme="minorEastAsia" w:eastAsiaTheme="minorEastAsia" w:hAnsiTheme="minorEastAsia"/>
          <w:szCs w:val="21"/>
        </w:rPr>
        <w:t>已经转换为以人民币计价</w:t>
      </w:r>
      <w:r w:rsidRPr="003307CA">
        <w:rPr>
          <w:rFonts w:asciiTheme="minorEastAsia" w:eastAsiaTheme="minorEastAsia" w:hAnsiTheme="minorEastAsia" w:hint="eastAsia"/>
          <w:szCs w:val="21"/>
        </w:rPr>
        <w:t>。</w:t>
      </w:r>
    </w:p>
    <w:p w:rsidR="005E01E6" w:rsidRPr="003307CA" w:rsidRDefault="00D972A4"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pPr>
      <w:r w:rsidRPr="003307CA">
        <w:rPr>
          <w:rFonts w:asciiTheme="minorEastAsia" w:eastAsiaTheme="minorEastAsia" w:hAnsiTheme="minorEastAsia" w:hint="eastAsia"/>
          <w:szCs w:val="21"/>
        </w:rPr>
        <w:t>2、</w:t>
      </w:r>
      <w:r w:rsidR="005E01E6" w:rsidRPr="003307CA">
        <w:rPr>
          <w:rFonts w:asciiTheme="minorEastAsia" w:eastAsiaTheme="minorEastAsia" w:hAnsiTheme="minorEastAsia" w:hint="eastAsia"/>
          <w:szCs w:val="21"/>
        </w:rPr>
        <w:t>上述净值表现数据按照《证券投资基金信息披露编报规则第2号&lt;基金净值表现的编制及披露&gt;》的相关规定编制</w:t>
      </w:r>
      <w:r w:rsidR="005E01E6" w:rsidRPr="003307CA">
        <w:rPr>
          <w:rFonts w:asciiTheme="minorEastAsia" w:eastAsiaTheme="minorEastAsia" w:hAnsiTheme="minorEastAsia" w:cs="宋体" w:hint="eastAsia"/>
          <w:szCs w:val="21"/>
        </w:rPr>
        <w:t>。</w:t>
      </w:r>
    </w:p>
    <w:p w:rsidR="00D972A4" w:rsidRPr="003307CA" w:rsidRDefault="00D972A4"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pPr>
    </w:p>
    <w:p w:rsidR="00D972A4" w:rsidRPr="003307CA" w:rsidRDefault="00D972A4"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pPr>
    </w:p>
    <w:p w:rsidR="00285275" w:rsidRPr="003307CA" w:rsidRDefault="00285275"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sectPr w:rsidR="00285275" w:rsidRPr="003307CA">
          <w:pgSz w:w="11906" w:h="16838" w:code="9"/>
          <w:pgMar w:top="1440" w:right="1800" w:bottom="1440" w:left="1800" w:header="851" w:footer="992" w:gutter="0"/>
          <w:cols w:space="425"/>
          <w:docGrid w:type="lines" w:linePitch="312"/>
        </w:sectPr>
      </w:pPr>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99" w:name="_Toc44351076"/>
      <w:r w:rsidRPr="003307CA">
        <w:rPr>
          <w:rFonts w:asciiTheme="minorEastAsia" w:eastAsiaTheme="minorEastAsia" w:hAnsiTheme="minorEastAsia" w:hint="eastAsia"/>
        </w:rPr>
        <w:lastRenderedPageBreak/>
        <w:t>基金管理人</w:t>
      </w:r>
      <w:bookmarkEnd w:id="99"/>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sz w:val="21"/>
        </w:rPr>
      </w:pPr>
      <w:bookmarkStart w:id="100" w:name="_Toc133292563"/>
      <w:bookmarkStart w:id="101" w:name="_Toc163189520"/>
      <w:bookmarkStart w:id="102" w:name="_Toc44351077"/>
      <w:r w:rsidRPr="003307CA">
        <w:rPr>
          <w:rFonts w:asciiTheme="minorEastAsia" w:eastAsiaTheme="minorEastAsia" w:hAnsiTheme="minorEastAsia" w:cs="仿宋_GB2312" w:hint="eastAsia"/>
          <w:b w:val="0"/>
          <w:bCs/>
          <w:kern w:val="0"/>
          <w:szCs w:val="24"/>
        </w:rPr>
        <w:t>一</w:t>
      </w:r>
      <w:r w:rsidR="00581D5A" w:rsidRPr="003307CA">
        <w:rPr>
          <w:rFonts w:asciiTheme="minorEastAsia" w:eastAsiaTheme="minorEastAsia" w:hAnsiTheme="minorEastAsia" w:cs="仿宋_GB2312" w:hint="eastAsia"/>
          <w:b w:val="0"/>
          <w:bCs/>
          <w:kern w:val="0"/>
          <w:szCs w:val="24"/>
        </w:rPr>
        <w:t>、</w:t>
      </w:r>
      <w:r w:rsidRPr="003307CA">
        <w:rPr>
          <w:rFonts w:asciiTheme="minorEastAsia" w:eastAsiaTheme="minorEastAsia" w:hAnsiTheme="minorEastAsia" w:cs="仿宋_GB2312"/>
          <w:b w:val="0"/>
          <w:bCs/>
          <w:kern w:val="0"/>
          <w:szCs w:val="24"/>
        </w:rPr>
        <w:t>基金管理人</w:t>
      </w:r>
      <w:r w:rsidRPr="003307CA">
        <w:rPr>
          <w:rFonts w:asciiTheme="minorEastAsia" w:eastAsiaTheme="minorEastAsia" w:hAnsiTheme="minorEastAsia" w:cs="仿宋_GB2312" w:hint="eastAsia"/>
          <w:b w:val="0"/>
          <w:bCs/>
          <w:kern w:val="0"/>
          <w:szCs w:val="24"/>
        </w:rPr>
        <w:t>基本情况</w:t>
      </w:r>
      <w:bookmarkEnd w:id="100"/>
      <w:bookmarkEnd w:id="101"/>
      <w:bookmarkEnd w:id="102"/>
    </w:p>
    <w:p w:rsidR="001B2837" w:rsidRPr="003307CA" w:rsidRDefault="00D972A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1B2837" w:rsidRPr="003307CA">
        <w:rPr>
          <w:rFonts w:asciiTheme="minorEastAsia" w:eastAsiaTheme="minorEastAsia" w:hAnsiTheme="minorEastAsia" w:hint="eastAsia"/>
          <w:szCs w:val="21"/>
        </w:rPr>
        <w:t>基金管理人：易方达基金管理有限公司</w:t>
      </w:r>
    </w:p>
    <w:p w:rsidR="001B2837" w:rsidRPr="003307CA" w:rsidRDefault="001B2837"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注册地址：</w:t>
      </w:r>
      <w:r w:rsidR="00855F9E" w:rsidRPr="003307CA">
        <w:rPr>
          <w:rFonts w:asciiTheme="minorEastAsia" w:eastAsiaTheme="minorEastAsia" w:hAnsiTheme="minorEastAsia"/>
          <w:szCs w:val="21"/>
        </w:rPr>
        <w:t>广东省珠海市横琴新区宝华路6号105室－42891（集中办公区）</w:t>
      </w:r>
    </w:p>
    <w:p w:rsidR="001B2837" w:rsidRPr="003307CA" w:rsidRDefault="001B2837"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办公地址：广州市天河区珠江新城珠江东路30号广州银行大厦40-43楼</w:t>
      </w:r>
    </w:p>
    <w:p w:rsidR="001B2837" w:rsidRPr="003307CA" w:rsidRDefault="001B2837"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设立日期：2001年4月17日</w:t>
      </w:r>
    </w:p>
    <w:p w:rsidR="001B2837" w:rsidRPr="003307CA" w:rsidRDefault="001B2837"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法定代表人：</w:t>
      </w:r>
      <w:r w:rsidR="007C6714" w:rsidRPr="003307CA">
        <w:rPr>
          <w:rFonts w:asciiTheme="minorEastAsia" w:eastAsiaTheme="minorEastAsia" w:hAnsiTheme="minorEastAsia" w:hint="eastAsia"/>
          <w:szCs w:val="21"/>
        </w:rPr>
        <w:t>刘晓艳</w:t>
      </w:r>
    </w:p>
    <w:p w:rsidR="001B2837" w:rsidRPr="003307CA" w:rsidRDefault="001B2837"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联系电话：4008818088</w:t>
      </w:r>
    </w:p>
    <w:p w:rsidR="001B2837" w:rsidRPr="003307CA" w:rsidRDefault="001B2837"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联系人：</w:t>
      </w:r>
      <w:r w:rsidR="009654E2" w:rsidRPr="003307CA">
        <w:rPr>
          <w:rFonts w:asciiTheme="minorEastAsia" w:eastAsiaTheme="minorEastAsia" w:hAnsiTheme="minorEastAsia" w:hint="eastAsia"/>
          <w:szCs w:val="21"/>
        </w:rPr>
        <w:t>李红枫</w:t>
      </w:r>
    </w:p>
    <w:p w:rsidR="005E2CA4" w:rsidRPr="003307CA" w:rsidRDefault="000E205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注册资本：13,244.2万元人民币</w:t>
      </w:r>
    </w:p>
    <w:p w:rsidR="005E2CA4" w:rsidRPr="003307CA" w:rsidRDefault="00D972A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2、</w:t>
      </w:r>
      <w:r w:rsidR="005E2CA4" w:rsidRPr="003307CA">
        <w:rPr>
          <w:rFonts w:asciiTheme="minorEastAsia" w:eastAsiaTheme="minorEastAsia" w:hAnsiTheme="minorEastAsia" w:hint="eastAsia"/>
        </w:rPr>
        <w:t>股权结构：</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1837"/>
      </w:tblGrid>
      <w:tr w:rsidR="006D35EC" w:rsidRPr="003307CA" w:rsidTr="00E01F7D">
        <w:trPr>
          <w:jc w:val="center"/>
        </w:trPr>
        <w:tc>
          <w:tcPr>
            <w:tcW w:w="4643" w:type="dxa"/>
          </w:tcPr>
          <w:p w:rsidR="005E2CA4" w:rsidRPr="003307CA" w:rsidRDefault="005E2CA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股东名称</w:t>
            </w:r>
          </w:p>
        </w:tc>
        <w:tc>
          <w:tcPr>
            <w:tcW w:w="1837" w:type="dxa"/>
          </w:tcPr>
          <w:p w:rsidR="005E2CA4" w:rsidRPr="003307CA" w:rsidRDefault="005E2CA4"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rPr>
              <w:t>出资比例</w:t>
            </w:r>
          </w:p>
        </w:tc>
      </w:tr>
      <w:tr w:rsidR="006D35EC" w:rsidRPr="003307CA" w:rsidTr="00E01F7D">
        <w:trPr>
          <w:jc w:val="center"/>
        </w:trPr>
        <w:tc>
          <w:tcPr>
            <w:tcW w:w="4643" w:type="dxa"/>
          </w:tcPr>
          <w:p w:rsidR="005E2CA4"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广东粤财信托有限公司</w:t>
            </w:r>
          </w:p>
        </w:tc>
        <w:tc>
          <w:tcPr>
            <w:tcW w:w="1837" w:type="dxa"/>
          </w:tcPr>
          <w:p w:rsidR="005E2CA4"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22.6514％</w:t>
            </w:r>
          </w:p>
        </w:tc>
      </w:tr>
      <w:tr w:rsidR="006D35EC" w:rsidRPr="003307CA" w:rsidTr="00E01F7D">
        <w:trPr>
          <w:jc w:val="center"/>
        </w:trPr>
        <w:tc>
          <w:tcPr>
            <w:tcW w:w="4643" w:type="dxa"/>
          </w:tcPr>
          <w:p w:rsidR="005E2CA4" w:rsidRPr="003307CA" w:rsidRDefault="000E205E" w:rsidP="00CE3F81">
            <w:pPr>
              <w:pStyle w:val="ab"/>
              <w:snapToGrid w:val="0"/>
              <w:spacing w:after="0"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广发证券股份有限公司</w:t>
            </w:r>
          </w:p>
        </w:tc>
        <w:tc>
          <w:tcPr>
            <w:tcW w:w="1837" w:type="dxa"/>
          </w:tcPr>
          <w:p w:rsidR="005E2CA4"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22.6514％</w:t>
            </w:r>
          </w:p>
        </w:tc>
      </w:tr>
      <w:tr w:rsidR="006D35EC" w:rsidRPr="003307CA" w:rsidTr="00E01F7D">
        <w:trPr>
          <w:jc w:val="center"/>
        </w:trPr>
        <w:tc>
          <w:tcPr>
            <w:tcW w:w="4643" w:type="dxa"/>
          </w:tcPr>
          <w:p w:rsidR="005E2CA4" w:rsidRPr="003307CA" w:rsidRDefault="000E205E" w:rsidP="00CE3F81">
            <w:pPr>
              <w:pStyle w:val="ab"/>
              <w:snapToGrid w:val="0"/>
              <w:spacing w:after="0"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盈峰控股集团有限公司</w:t>
            </w:r>
          </w:p>
        </w:tc>
        <w:tc>
          <w:tcPr>
            <w:tcW w:w="1837" w:type="dxa"/>
          </w:tcPr>
          <w:p w:rsidR="005E2CA4"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22.6514％</w:t>
            </w:r>
          </w:p>
        </w:tc>
      </w:tr>
      <w:tr w:rsidR="006D35EC" w:rsidRPr="003307CA" w:rsidTr="00E01F7D">
        <w:trPr>
          <w:jc w:val="center"/>
        </w:trPr>
        <w:tc>
          <w:tcPr>
            <w:tcW w:w="4643" w:type="dxa"/>
          </w:tcPr>
          <w:p w:rsidR="005E2CA4"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广东省广晟资产经营有限公司</w:t>
            </w:r>
          </w:p>
        </w:tc>
        <w:tc>
          <w:tcPr>
            <w:tcW w:w="1837" w:type="dxa"/>
          </w:tcPr>
          <w:p w:rsidR="005E2CA4"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15.1010％</w:t>
            </w:r>
          </w:p>
        </w:tc>
      </w:tr>
      <w:tr w:rsidR="006D35EC" w:rsidRPr="003307CA" w:rsidTr="00E01F7D">
        <w:trPr>
          <w:jc w:val="center"/>
        </w:trPr>
        <w:tc>
          <w:tcPr>
            <w:tcW w:w="4643" w:type="dxa"/>
          </w:tcPr>
          <w:p w:rsidR="005E2CA4"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广州市广永国有资产经营有限公司</w:t>
            </w:r>
          </w:p>
        </w:tc>
        <w:tc>
          <w:tcPr>
            <w:tcW w:w="1837" w:type="dxa"/>
            <w:vAlign w:val="center"/>
          </w:tcPr>
          <w:p w:rsidR="005E2CA4"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7.5505％</w:t>
            </w:r>
          </w:p>
        </w:tc>
      </w:tr>
      <w:tr w:rsidR="006D35EC" w:rsidRPr="003307CA" w:rsidTr="00E01F7D">
        <w:trPr>
          <w:jc w:val="center"/>
        </w:trPr>
        <w:tc>
          <w:tcPr>
            <w:tcW w:w="4643" w:type="dxa"/>
          </w:tcPr>
          <w:p w:rsidR="005E2CA4"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珠海祺荣宝股权投资合伙企业（有限合伙）</w:t>
            </w:r>
          </w:p>
        </w:tc>
        <w:tc>
          <w:tcPr>
            <w:tcW w:w="1837" w:type="dxa"/>
          </w:tcPr>
          <w:p w:rsidR="005E2CA4"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1.5087％</w:t>
            </w:r>
          </w:p>
        </w:tc>
      </w:tr>
      <w:tr w:rsidR="000E205E" w:rsidRPr="003307CA" w:rsidTr="00E01F7D">
        <w:trPr>
          <w:jc w:val="center"/>
        </w:trPr>
        <w:tc>
          <w:tcPr>
            <w:tcW w:w="4643" w:type="dxa"/>
          </w:tcPr>
          <w:p w:rsidR="000E205E"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珠海祺泰宝股权投资合伙企业（有限合伙）</w:t>
            </w:r>
          </w:p>
        </w:tc>
        <w:tc>
          <w:tcPr>
            <w:tcW w:w="1837" w:type="dxa"/>
          </w:tcPr>
          <w:p w:rsidR="000E205E"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1.6205％</w:t>
            </w:r>
          </w:p>
        </w:tc>
      </w:tr>
      <w:tr w:rsidR="000E205E" w:rsidRPr="003307CA" w:rsidTr="00E01F7D">
        <w:trPr>
          <w:jc w:val="center"/>
        </w:trPr>
        <w:tc>
          <w:tcPr>
            <w:tcW w:w="4643" w:type="dxa"/>
          </w:tcPr>
          <w:p w:rsidR="000E205E"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珠海祺丰宝股权投资合伙企业（有限合伙）</w:t>
            </w:r>
          </w:p>
        </w:tc>
        <w:tc>
          <w:tcPr>
            <w:tcW w:w="1837" w:type="dxa"/>
          </w:tcPr>
          <w:p w:rsidR="000E205E"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1.5309％</w:t>
            </w:r>
          </w:p>
        </w:tc>
      </w:tr>
      <w:tr w:rsidR="000E205E" w:rsidRPr="003307CA" w:rsidTr="00E01F7D">
        <w:trPr>
          <w:jc w:val="center"/>
        </w:trPr>
        <w:tc>
          <w:tcPr>
            <w:tcW w:w="4643" w:type="dxa"/>
          </w:tcPr>
          <w:p w:rsidR="000E205E"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珠海聚莱康股权投资合伙企业（有限合伙）</w:t>
            </w:r>
          </w:p>
        </w:tc>
        <w:tc>
          <w:tcPr>
            <w:tcW w:w="1837" w:type="dxa"/>
          </w:tcPr>
          <w:p w:rsidR="000E205E"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1.7558％</w:t>
            </w:r>
          </w:p>
        </w:tc>
      </w:tr>
      <w:tr w:rsidR="000E205E" w:rsidRPr="003307CA" w:rsidTr="00E01F7D">
        <w:trPr>
          <w:jc w:val="center"/>
        </w:trPr>
        <w:tc>
          <w:tcPr>
            <w:tcW w:w="4643" w:type="dxa"/>
          </w:tcPr>
          <w:p w:rsidR="000E205E"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珠海聚宁康股权投资合伙企业（有限合伙）</w:t>
            </w:r>
          </w:p>
        </w:tc>
        <w:tc>
          <w:tcPr>
            <w:tcW w:w="1837" w:type="dxa"/>
          </w:tcPr>
          <w:p w:rsidR="000E205E"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1.4396％</w:t>
            </w:r>
          </w:p>
        </w:tc>
      </w:tr>
      <w:tr w:rsidR="000E205E" w:rsidRPr="003307CA" w:rsidTr="00E01F7D">
        <w:trPr>
          <w:jc w:val="center"/>
        </w:trPr>
        <w:tc>
          <w:tcPr>
            <w:tcW w:w="4643" w:type="dxa"/>
          </w:tcPr>
          <w:p w:rsidR="000E205E"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珠海聚弘康股权投资合伙企业（有限合伙）</w:t>
            </w:r>
          </w:p>
        </w:tc>
        <w:tc>
          <w:tcPr>
            <w:tcW w:w="1837" w:type="dxa"/>
          </w:tcPr>
          <w:p w:rsidR="000E205E"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1.5388％</w:t>
            </w:r>
          </w:p>
        </w:tc>
      </w:tr>
      <w:tr w:rsidR="000E205E" w:rsidRPr="003307CA" w:rsidTr="00E01F7D">
        <w:trPr>
          <w:jc w:val="center"/>
        </w:trPr>
        <w:tc>
          <w:tcPr>
            <w:tcW w:w="4643" w:type="dxa"/>
          </w:tcPr>
          <w:p w:rsidR="000E205E" w:rsidRPr="003307CA" w:rsidRDefault="000E205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总</w:t>
            </w:r>
            <w:r w:rsidRPr="003307CA">
              <w:rPr>
                <w:rFonts w:asciiTheme="minorEastAsia" w:eastAsiaTheme="minorEastAsia" w:hAnsiTheme="minorEastAsia"/>
              </w:rPr>
              <w:t>计</w:t>
            </w:r>
          </w:p>
        </w:tc>
        <w:tc>
          <w:tcPr>
            <w:tcW w:w="1837" w:type="dxa"/>
          </w:tcPr>
          <w:p w:rsidR="000E205E" w:rsidRPr="003307CA" w:rsidRDefault="000E205E"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100％</w:t>
            </w:r>
          </w:p>
        </w:tc>
      </w:tr>
    </w:tbl>
    <w:p w:rsidR="005E2CA4" w:rsidRPr="003307CA" w:rsidRDefault="00DB485F" w:rsidP="00CE3F81">
      <w:pPr>
        <w:pStyle w:val="2"/>
        <w:snapToGrid w:val="0"/>
        <w:spacing w:beforeLines="0" w:afterLines="0" w:line="360" w:lineRule="auto"/>
        <w:ind w:firstLine="560"/>
        <w:rPr>
          <w:rFonts w:asciiTheme="minorEastAsia" w:eastAsiaTheme="minorEastAsia" w:hAnsiTheme="minorEastAsia" w:cs="仿宋_GB2312"/>
          <w:b w:val="0"/>
          <w:bCs/>
          <w:kern w:val="0"/>
          <w:szCs w:val="24"/>
        </w:rPr>
      </w:pPr>
      <w:bookmarkStart w:id="103" w:name="_Toc209424036"/>
      <w:bookmarkStart w:id="104" w:name="_Toc44351078"/>
      <w:r w:rsidRPr="003307CA">
        <w:rPr>
          <w:rFonts w:asciiTheme="minorEastAsia" w:eastAsiaTheme="minorEastAsia" w:hAnsiTheme="minorEastAsia" w:hint="eastAsia"/>
          <w:b w:val="0"/>
          <w:bCs/>
          <w:szCs w:val="21"/>
        </w:rPr>
        <w:t>二、</w:t>
      </w:r>
      <w:r w:rsidR="005E2CA4" w:rsidRPr="003307CA">
        <w:rPr>
          <w:rFonts w:asciiTheme="minorEastAsia" w:eastAsiaTheme="minorEastAsia" w:hAnsiTheme="minorEastAsia"/>
          <w:b w:val="0"/>
          <w:bCs/>
          <w:szCs w:val="21"/>
        </w:rPr>
        <w:t>主要人员情况</w:t>
      </w:r>
      <w:bookmarkEnd w:id="103"/>
      <w:bookmarkEnd w:id="104"/>
    </w:p>
    <w:p w:rsidR="005E2CA4" w:rsidRPr="003307CA" w:rsidRDefault="005E2CA4" w:rsidP="0038273C">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3307CA">
        <w:rPr>
          <w:rFonts w:asciiTheme="minorEastAsia" w:eastAsiaTheme="minorEastAsia" w:hAnsiTheme="minorEastAsia" w:hint="eastAsia"/>
          <w:kern w:val="0"/>
          <w:szCs w:val="20"/>
        </w:rPr>
        <w:t>1</w:t>
      </w:r>
      <w:r w:rsidR="00D972A4" w:rsidRPr="003307CA">
        <w:rPr>
          <w:rFonts w:asciiTheme="minorEastAsia" w:eastAsiaTheme="minorEastAsia" w:hAnsiTheme="minorEastAsia" w:hint="eastAsia"/>
          <w:kern w:val="0"/>
          <w:szCs w:val="20"/>
        </w:rPr>
        <w:t>、</w:t>
      </w:r>
      <w:r w:rsidRPr="003307CA">
        <w:rPr>
          <w:rFonts w:asciiTheme="minorEastAsia" w:eastAsiaTheme="minorEastAsia" w:hAnsiTheme="minorEastAsia" w:hint="eastAsia"/>
          <w:kern w:val="0"/>
          <w:szCs w:val="20"/>
        </w:rPr>
        <w:t>董事、监事及高级管理人员</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lastRenderedPageBreak/>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7" w:tgtFrame="_blank" w:history="1">
        <w:r w:rsidRPr="003307CA">
          <w:rPr>
            <w:rFonts w:asciiTheme="minorEastAsia" w:eastAsiaTheme="minorEastAsia" w:hAnsiTheme="minorEastAsia" w:cs="Times New Roman" w:hint="eastAsia"/>
            <w:szCs w:val="24"/>
          </w:rPr>
          <w:t>上海汇招信息技术有限公司</w:t>
        </w:r>
      </w:hyperlink>
      <w:r w:rsidRPr="003307CA">
        <w:rPr>
          <w:rFonts w:asciiTheme="minorEastAsia" w:eastAsiaTheme="minorEastAsia" w:hAnsiTheme="minorEastAsia" w:cs="Times New Roman" w:hint="eastAsia"/>
          <w:szCs w:val="24"/>
        </w:rPr>
        <w:t>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w:t>
      </w:r>
      <w:r w:rsidRPr="003307CA">
        <w:rPr>
          <w:rFonts w:asciiTheme="minorEastAsia" w:eastAsiaTheme="minorEastAsia" w:hAnsiTheme="minorEastAsia" w:cs="Times New Roman" w:hint="eastAsia"/>
          <w:szCs w:val="24"/>
        </w:rPr>
        <w:lastRenderedPageBreak/>
        <w:t>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w:t>
      </w:r>
      <w:r w:rsidRPr="003307CA">
        <w:rPr>
          <w:rFonts w:asciiTheme="minorEastAsia" w:eastAsiaTheme="minorEastAsia" w:hAnsiTheme="minorEastAsia" w:cs="Times New Roman" w:hint="eastAsia"/>
          <w:szCs w:val="24"/>
        </w:rPr>
        <w:lastRenderedPageBreak/>
        <w:t>事。现任易方达基金管理有限公司常务副总裁，易方达国际控股有限公司董事。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马骏先生，工商管理硕士（</w:t>
      </w:r>
      <w:r w:rsidRPr="003307CA">
        <w:rPr>
          <w:rFonts w:asciiTheme="minorEastAsia" w:eastAsiaTheme="minorEastAsia" w:hAnsiTheme="minorEastAsia" w:cs="Times New Roman"/>
          <w:szCs w:val="24"/>
        </w:rPr>
        <w:t>EMBA</w:t>
      </w:r>
      <w:r w:rsidRPr="003307CA">
        <w:rPr>
          <w:rFonts w:asciiTheme="minorEastAsia" w:eastAsiaTheme="minorEastAsia" w:hAnsiTheme="minorEastAsia" w:cs="Times New Roman" w:hint="eastAsia"/>
          <w:szCs w:val="24"/>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3307CA">
        <w:rPr>
          <w:rFonts w:asciiTheme="minorEastAsia" w:eastAsiaTheme="minorEastAsia" w:hAnsiTheme="minorEastAsia" w:cs="Times New Roman"/>
          <w:szCs w:val="24"/>
        </w:rPr>
        <w:t>RQFII</w:t>
      </w:r>
      <w:r w:rsidRPr="003307CA">
        <w:rPr>
          <w:rFonts w:asciiTheme="minorEastAsia" w:eastAsiaTheme="minorEastAsia" w:hAnsiTheme="minorEastAsia" w:cs="Times New Roman" w:hint="eastAsia"/>
          <w:szCs w:val="24"/>
        </w:rPr>
        <w:t>）业务负责人、证券交易负责人员（</w:t>
      </w:r>
      <w:r w:rsidRPr="003307CA">
        <w:rPr>
          <w:rFonts w:asciiTheme="minorEastAsia" w:eastAsiaTheme="minorEastAsia" w:hAnsiTheme="minorEastAsia" w:cs="Times New Roman"/>
          <w:szCs w:val="24"/>
        </w:rPr>
        <w:t>RO</w:t>
      </w:r>
      <w:r w:rsidRPr="003307CA">
        <w:rPr>
          <w:rFonts w:asciiTheme="minorEastAsia" w:eastAsiaTheme="minorEastAsia" w:hAnsiTheme="minorEastAsia" w:cs="Times New Roman" w:hint="eastAsia"/>
          <w:szCs w:val="24"/>
        </w:rPr>
        <w:t>）、就证券提供意见负责人员（</w:t>
      </w:r>
      <w:r w:rsidRPr="003307CA">
        <w:rPr>
          <w:rFonts w:asciiTheme="minorEastAsia" w:eastAsiaTheme="minorEastAsia" w:hAnsiTheme="minorEastAsia" w:cs="Times New Roman"/>
          <w:szCs w:val="24"/>
        </w:rPr>
        <w:t>RO</w:t>
      </w:r>
      <w:r w:rsidRPr="003307CA">
        <w:rPr>
          <w:rFonts w:asciiTheme="minorEastAsia" w:eastAsiaTheme="minorEastAsia" w:hAnsiTheme="minorEastAsia" w:cs="Times New Roman" w:hint="eastAsia"/>
          <w:szCs w:val="24"/>
        </w:rPr>
        <w:t>）、提供资产管理负责人员（</w:t>
      </w:r>
      <w:r w:rsidRPr="003307CA">
        <w:rPr>
          <w:rFonts w:asciiTheme="minorEastAsia" w:eastAsiaTheme="minorEastAsia" w:hAnsiTheme="minorEastAsia" w:cs="Times New Roman"/>
          <w:szCs w:val="24"/>
        </w:rPr>
        <w:t>RO</w:t>
      </w:r>
      <w:r w:rsidRPr="003307CA">
        <w:rPr>
          <w:rFonts w:asciiTheme="minorEastAsia" w:eastAsiaTheme="minorEastAsia" w:hAnsiTheme="minorEastAsia" w:cs="Times New Roman" w:hint="eastAsia"/>
          <w:szCs w:val="24"/>
        </w:rPr>
        <w:t>）、固定收益投资决策委员会委员、产品审批委员会委员。</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张南女士，经济学博士，督察长。曾任广东省经济贸易委员会主任科员、副处长，易方达基金管理有限公司市场拓展部副总经理、监察部总经理。现任易方达基金管理有限公司督察长。</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高松凡先生，工商管理硕士（</w:t>
      </w:r>
      <w:r w:rsidRPr="003307CA">
        <w:rPr>
          <w:rFonts w:asciiTheme="minorEastAsia" w:eastAsiaTheme="minorEastAsia" w:hAnsiTheme="minorEastAsia" w:cs="Times New Roman"/>
          <w:szCs w:val="24"/>
        </w:rPr>
        <w:t>EMBA</w:t>
      </w:r>
      <w:r w:rsidRPr="003307CA">
        <w:rPr>
          <w:rFonts w:asciiTheme="minorEastAsia" w:eastAsiaTheme="minorEastAsia" w:hAnsiTheme="minorEastAsia" w:cs="Times New Roman" w:hint="eastAsia"/>
          <w:szCs w:val="24"/>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关秀霞女士，工商管理硕士、金融学硕士，副总经理级高级管理人员。曾任中国银行（香港）有限公司分析员，</w:t>
      </w:r>
      <w:r w:rsidRPr="003307CA">
        <w:rPr>
          <w:rFonts w:asciiTheme="minorEastAsia" w:eastAsiaTheme="minorEastAsia" w:hAnsiTheme="minorEastAsia" w:cs="Times New Roman"/>
          <w:szCs w:val="24"/>
        </w:rPr>
        <w:t>Daniel Dennis高级审计师，美国道富银行公司内部审计部高级审计师、美国共同基金业务风险经理、亚洲区（除日本外）机构服务主管、亚洲区（除日本外）副总裁、大中华地区</w:t>
      </w:r>
      <w:r w:rsidRPr="003307CA">
        <w:rPr>
          <w:rFonts w:asciiTheme="minorEastAsia" w:eastAsiaTheme="minorEastAsia" w:hAnsiTheme="minorEastAsia" w:cs="Times New Roman" w:hint="eastAsia"/>
          <w:szCs w:val="24"/>
        </w:rPr>
        <w:t>董事总经理、大中华地区高级副总裁、中国区行长。现任易方达基金管</w:t>
      </w:r>
      <w:r w:rsidRPr="003307CA">
        <w:rPr>
          <w:rFonts w:asciiTheme="minorEastAsia" w:eastAsiaTheme="minorEastAsia" w:hAnsiTheme="minorEastAsia" w:cs="Times New Roman" w:hint="eastAsia"/>
          <w:szCs w:val="24"/>
        </w:rPr>
        <w:lastRenderedPageBreak/>
        <w:t>理有限公司副总经理级高级管理人员。</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873651" w:rsidRPr="003307CA" w:rsidRDefault="00873651" w:rsidP="003307CA">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2465F1" w:rsidRPr="003307CA" w:rsidRDefault="002465F1" w:rsidP="00D87C43">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szCs w:val="24"/>
        </w:rPr>
        <w:t>2、基金经理</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张坤先生，理学硕士。曾任易方达基金管理有限公司行业研究员、基金经理助理、研究部总经理助理。现任易方达基金管理有限公司副总经理级高级管理人员、权益投资决策委员会委员、易方达中小盘混合型证券投资基金基金经理（自2012年9月28日起任职）、易方达亚洲精选股票型证券投资基金基金经理（自2014年4月8日起任职）、易方达新丝路灵活配置混合型证券投资基金基金经理（自2015年11月7日起任职）、易方达蓝筹精选混合型证券投资基金基金经理（自2018年9月5日起任职）、易方达优质企业三年持有期混合型证券投资基金基金经理（自2020年6月17日起任职）。</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本基金历任基金经理情况：李弋</w:t>
      </w:r>
      <w:r w:rsidR="00974FCA" w:rsidRPr="003307CA">
        <w:rPr>
          <w:rFonts w:asciiTheme="minorEastAsia" w:eastAsiaTheme="minorEastAsia" w:hAnsiTheme="minorEastAsia" w:cs="Times New Roman" w:hint="eastAsia"/>
          <w:szCs w:val="24"/>
        </w:rPr>
        <w:t>女士</w:t>
      </w:r>
      <w:r w:rsidRPr="003307CA">
        <w:rPr>
          <w:rFonts w:asciiTheme="minorEastAsia" w:eastAsiaTheme="minorEastAsia" w:hAnsiTheme="minorEastAsia" w:cs="Times New Roman" w:hint="eastAsia"/>
          <w:szCs w:val="24"/>
        </w:rPr>
        <w:t>，管理时间为2010年1月21日至2012年1月12日；张小刚先生，管理时间为2010年1月21日至2012年5月17日；GuanYu(管宇)先生，管理时间为2012年1月1日至2014年4月7日。</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3、权益投资决策委员会成员</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本公司权益投资决策委员会成员包括：吴欣荣先生、冯波先生、陈皓先生、张坤先生、孙松先生、付浩先生。</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吴欣荣先生，同上。</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lastRenderedPageBreak/>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张坤先生，同上。</w:t>
      </w:r>
    </w:p>
    <w:p w:rsidR="00BE2826" w:rsidRPr="003307CA"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5E2802" w:rsidRPr="003307CA" w:rsidRDefault="00BE2826" w:rsidP="00D87C43">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3307CA">
        <w:rPr>
          <w:rFonts w:asciiTheme="minorEastAsia" w:eastAsiaTheme="minorEastAsia" w:hAnsiTheme="minorEastAsia" w:cs="Times New Roman" w:hint="eastAsia"/>
          <w:szCs w:val="24"/>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3年封闭运作战略配售灵活配置混合型证券投资基金（LOF）基金经理</w:t>
      </w:r>
      <w:r w:rsidR="002465F1" w:rsidRPr="003307CA">
        <w:rPr>
          <w:rFonts w:asciiTheme="minorEastAsia" w:eastAsiaTheme="minorEastAsia" w:hAnsiTheme="minorEastAsia" w:cs="Times New Roman"/>
          <w:szCs w:val="24"/>
        </w:rPr>
        <w:t>。</w:t>
      </w:r>
    </w:p>
    <w:p w:rsidR="0064594E" w:rsidRPr="003307CA" w:rsidRDefault="0064594E" w:rsidP="00D87C43">
      <w:pPr>
        <w:pStyle w:val="af1"/>
        <w:adjustRightInd w:val="0"/>
        <w:snapToGrid w:val="0"/>
        <w:spacing w:line="360" w:lineRule="auto"/>
        <w:ind w:firstLine="420"/>
        <w:textAlignment w:val="baseline"/>
        <w:rPr>
          <w:rFonts w:asciiTheme="minorEastAsia" w:eastAsiaTheme="minorEastAsia" w:hAnsiTheme="minorEastAsia"/>
        </w:rPr>
      </w:pPr>
      <w:r w:rsidRPr="003307CA">
        <w:rPr>
          <w:rFonts w:asciiTheme="minorEastAsia" w:eastAsiaTheme="minorEastAsia" w:hAnsiTheme="minorEastAsia" w:cs="Times New Roman"/>
          <w:szCs w:val="24"/>
        </w:rPr>
        <w:t>4</w:t>
      </w:r>
      <w:r w:rsidR="00D972A4" w:rsidRPr="003307CA">
        <w:rPr>
          <w:rFonts w:asciiTheme="minorEastAsia" w:eastAsiaTheme="minorEastAsia" w:hAnsiTheme="minorEastAsia" w:cs="Times New Roman" w:hint="eastAsia"/>
          <w:szCs w:val="24"/>
        </w:rPr>
        <w:t>、</w:t>
      </w:r>
      <w:r w:rsidRPr="003307CA">
        <w:rPr>
          <w:rFonts w:asciiTheme="minorEastAsia" w:eastAsiaTheme="minorEastAsia" w:hAnsiTheme="minorEastAsia" w:cs="Times New Roman" w:hint="eastAsia"/>
          <w:szCs w:val="24"/>
        </w:rPr>
        <w:t>上述人员之间均不存在近亲属关系。</w:t>
      </w:r>
    </w:p>
    <w:p w:rsidR="0064594E" w:rsidRPr="003307CA" w:rsidRDefault="0064594E" w:rsidP="00CE3F81">
      <w:pPr>
        <w:pStyle w:val="2"/>
        <w:snapToGrid w:val="0"/>
        <w:spacing w:beforeLines="0" w:afterLines="0" w:line="360" w:lineRule="auto"/>
        <w:ind w:firstLine="420"/>
        <w:rPr>
          <w:rFonts w:asciiTheme="minorEastAsia" w:eastAsiaTheme="minorEastAsia" w:hAnsiTheme="minorEastAsia" w:cs="仿宋_GB2312"/>
          <w:b w:val="0"/>
          <w:bCs/>
          <w:sz w:val="21"/>
          <w:szCs w:val="21"/>
        </w:rPr>
      </w:pPr>
      <w:bookmarkStart w:id="105" w:name="_Toc133292565"/>
      <w:bookmarkStart w:id="106" w:name="_Toc163189522"/>
      <w:bookmarkStart w:id="107" w:name="_Toc44351079"/>
      <w:r w:rsidRPr="003307CA">
        <w:rPr>
          <w:rFonts w:asciiTheme="minorEastAsia" w:eastAsiaTheme="minorEastAsia" w:hAnsiTheme="minorEastAsia" w:hint="eastAsia"/>
          <w:b w:val="0"/>
          <w:bCs/>
          <w:sz w:val="21"/>
          <w:szCs w:val="21"/>
        </w:rPr>
        <w:t>三</w:t>
      </w:r>
      <w:r w:rsidR="00581D5A" w:rsidRPr="003307CA">
        <w:rPr>
          <w:rFonts w:asciiTheme="minorEastAsia" w:eastAsiaTheme="minorEastAsia" w:hAnsiTheme="minorEastAsia" w:hint="eastAsia"/>
          <w:b w:val="0"/>
          <w:bCs/>
          <w:sz w:val="21"/>
          <w:szCs w:val="21"/>
        </w:rPr>
        <w:t>、</w:t>
      </w:r>
      <w:r w:rsidRPr="003307CA">
        <w:rPr>
          <w:rFonts w:asciiTheme="minorEastAsia" w:eastAsiaTheme="minorEastAsia" w:hAnsiTheme="minorEastAsia"/>
          <w:b w:val="0"/>
          <w:bCs/>
          <w:sz w:val="21"/>
          <w:szCs w:val="21"/>
        </w:rPr>
        <w:t>基金管理人的职责</w:t>
      </w:r>
      <w:bookmarkEnd w:id="105"/>
      <w:bookmarkEnd w:id="106"/>
      <w:bookmarkEnd w:id="107"/>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1、</w:t>
      </w:r>
      <w:r w:rsidR="00EF7582" w:rsidRPr="003307CA">
        <w:rPr>
          <w:rFonts w:asciiTheme="minorEastAsia" w:eastAsiaTheme="minorEastAsia" w:hAnsiTheme="minorEastAsia" w:hint="eastAsia"/>
          <w:szCs w:val="21"/>
        </w:rPr>
        <w:t>依法募集资金，办理基金份额的发售和登记事宜；</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2、</w:t>
      </w:r>
      <w:r w:rsidR="0064594E" w:rsidRPr="003307CA">
        <w:rPr>
          <w:rFonts w:asciiTheme="minorEastAsia" w:eastAsiaTheme="minorEastAsia" w:hAnsiTheme="minorEastAsia"/>
          <w:szCs w:val="21"/>
        </w:rPr>
        <w:t>办理基金备案手续；</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3、</w:t>
      </w:r>
      <w:r w:rsidR="0064594E" w:rsidRPr="003307CA">
        <w:rPr>
          <w:rFonts w:asciiTheme="minorEastAsia" w:eastAsiaTheme="minorEastAsia" w:hAnsiTheme="minorEastAsia"/>
          <w:szCs w:val="21"/>
        </w:rPr>
        <w:t>对所管理的不同基金财产分别管理、分别记账，进行证券投资；</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4、</w:t>
      </w:r>
      <w:r w:rsidR="0064594E" w:rsidRPr="003307CA">
        <w:rPr>
          <w:rFonts w:asciiTheme="minorEastAsia" w:eastAsiaTheme="minorEastAsia" w:hAnsiTheme="minorEastAsia"/>
          <w:szCs w:val="21"/>
        </w:rPr>
        <w:t>按照基金合同的约定确定基金收益分配方案，及时向基金份额持有人分配收益；</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5、</w:t>
      </w:r>
      <w:r w:rsidR="0064594E" w:rsidRPr="003307CA">
        <w:rPr>
          <w:rFonts w:asciiTheme="minorEastAsia" w:eastAsiaTheme="minorEastAsia" w:hAnsiTheme="minorEastAsia"/>
          <w:szCs w:val="21"/>
        </w:rPr>
        <w:t>进行基金会计核算并编制基金财务会计报告；</w:t>
      </w:r>
    </w:p>
    <w:p w:rsidR="00CD0A27" w:rsidRPr="003307CA" w:rsidRDefault="00CD0A27" w:rsidP="00CD0A27">
      <w:pPr>
        <w:snapToGrid w:val="0"/>
        <w:spacing w:line="360" w:lineRule="auto"/>
        <w:ind w:firstLineChars="200" w:firstLine="420"/>
        <w:rPr>
          <w:rStyle w:val="da"/>
          <w:rFonts w:asciiTheme="minorEastAsia" w:eastAsiaTheme="minorEastAsia" w:hAnsiTheme="minorEastAsia"/>
        </w:rPr>
      </w:pPr>
      <w:r w:rsidRPr="003307CA">
        <w:rPr>
          <w:rStyle w:val="da"/>
          <w:rFonts w:asciiTheme="minorEastAsia" w:eastAsiaTheme="minorEastAsia" w:hAnsiTheme="minorEastAsia" w:hint="eastAsia"/>
        </w:rPr>
        <w:lastRenderedPageBreak/>
        <w:t>6、编制季度报告、中期报告和年度报告；</w:t>
      </w:r>
    </w:p>
    <w:p w:rsidR="00CD0A27" w:rsidRPr="003307CA" w:rsidRDefault="00CD0A27" w:rsidP="00CD0A27">
      <w:pPr>
        <w:snapToGrid w:val="0"/>
        <w:spacing w:line="360" w:lineRule="auto"/>
        <w:ind w:firstLineChars="200" w:firstLine="420"/>
        <w:rPr>
          <w:rStyle w:val="da"/>
          <w:rFonts w:asciiTheme="minorEastAsia" w:eastAsiaTheme="minorEastAsia" w:hAnsiTheme="minorEastAsia"/>
        </w:rPr>
      </w:pPr>
      <w:r w:rsidRPr="003307CA">
        <w:rPr>
          <w:rStyle w:val="da"/>
          <w:rFonts w:asciiTheme="minorEastAsia" w:eastAsiaTheme="minorEastAsia" w:hAnsiTheme="minorEastAsia" w:hint="eastAsia"/>
        </w:rPr>
        <w:t>7、计算并公告基金净值信息，确定基金份额申购、赎回价格；</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8、</w:t>
      </w:r>
      <w:r w:rsidR="0064594E" w:rsidRPr="003307CA">
        <w:rPr>
          <w:rFonts w:asciiTheme="minorEastAsia" w:eastAsiaTheme="minorEastAsia" w:hAnsiTheme="minorEastAsia"/>
          <w:szCs w:val="21"/>
        </w:rPr>
        <w:t>办理与基金财产管理业务活动有关的信息披露事项；</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9、</w:t>
      </w:r>
      <w:r w:rsidR="00EF7582" w:rsidRPr="003307CA">
        <w:rPr>
          <w:rFonts w:asciiTheme="minorEastAsia" w:eastAsiaTheme="minorEastAsia" w:hAnsiTheme="minorEastAsia" w:hint="eastAsia"/>
          <w:szCs w:val="21"/>
        </w:rPr>
        <w:t>按照规定</w:t>
      </w:r>
      <w:r w:rsidR="0064594E" w:rsidRPr="003307CA">
        <w:rPr>
          <w:rFonts w:asciiTheme="minorEastAsia" w:eastAsiaTheme="minorEastAsia" w:hAnsiTheme="minorEastAsia"/>
          <w:szCs w:val="21"/>
        </w:rPr>
        <w:t>召集基金份额持有人大会；</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10、</w:t>
      </w:r>
      <w:r w:rsidR="003E5AE2" w:rsidRPr="003307CA">
        <w:rPr>
          <w:rFonts w:asciiTheme="minorEastAsia" w:eastAsiaTheme="minorEastAsia" w:hAnsiTheme="minorEastAsia" w:hint="eastAsia"/>
          <w:szCs w:val="21"/>
        </w:rPr>
        <w:t>保存</w:t>
      </w:r>
      <w:r w:rsidR="0064594E" w:rsidRPr="003307CA">
        <w:rPr>
          <w:rFonts w:asciiTheme="minorEastAsia" w:eastAsiaTheme="minorEastAsia" w:hAnsiTheme="minorEastAsia" w:hint="eastAsia"/>
          <w:szCs w:val="21"/>
        </w:rPr>
        <w:t>基</w:t>
      </w:r>
      <w:r w:rsidR="0064594E" w:rsidRPr="003307CA">
        <w:rPr>
          <w:rFonts w:asciiTheme="minorEastAsia" w:eastAsiaTheme="minorEastAsia" w:hAnsiTheme="minorEastAsia"/>
          <w:szCs w:val="21"/>
        </w:rPr>
        <w:t>金财产管理业务活动的记录、账册、报表和其他相关资料；</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11、</w:t>
      </w:r>
      <w:r w:rsidR="0064594E" w:rsidRPr="003307CA">
        <w:rPr>
          <w:rFonts w:asciiTheme="minorEastAsia" w:eastAsiaTheme="minorEastAsia" w:hAnsiTheme="minorEastAsia"/>
          <w:szCs w:val="21"/>
        </w:rPr>
        <w:t>以基金管理人名义，代表基金份额持有人利益行使诉讼权利或者实施其他法律行为；</w:t>
      </w:r>
    </w:p>
    <w:p w:rsidR="00BD556F"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12、</w:t>
      </w:r>
      <w:r w:rsidR="003E66A8" w:rsidRPr="003307CA">
        <w:rPr>
          <w:rFonts w:asciiTheme="minorEastAsia" w:eastAsiaTheme="minorEastAsia" w:hAnsiTheme="minorEastAsia"/>
          <w:szCs w:val="21"/>
        </w:rPr>
        <w:t>选择、更换</w:t>
      </w:r>
      <w:r w:rsidR="003E66A8" w:rsidRPr="003307CA">
        <w:rPr>
          <w:rFonts w:asciiTheme="minorEastAsia" w:eastAsiaTheme="minorEastAsia" w:hAnsiTheme="minorEastAsia" w:hint="eastAsia"/>
          <w:szCs w:val="21"/>
        </w:rPr>
        <w:t>或撤销</w:t>
      </w:r>
      <w:r w:rsidR="003E66A8" w:rsidRPr="003307CA">
        <w:rPr>
          <w:rFonts w:asciiTheme="minorEastAsia" w:eastAsiaTheme="minorEastAsia" w:hAnsiTheme="minorEastAsia"/>
          <w:szCs w:val="21"/>
        </w:rPr>
        <w:t>境外投资顾问</w:t>
      </w:r>
      <w:r w:rsidR="00BD556F" w:rsidRPr="003307CA">
        <w:rPr>
          <w:rFonts w:asciiTheme="minorEastAsia" w:eastAsiaTheme="minorEastAsia" w:hAnsiTheme="minorEastAsia" w:hint="eastAsia"/>
          <w:szCs w:val="21"/>
        </w:rPr>
        <w:t>；</w:t>
      </w:r>
    </w:p>
    <w:p w:rsidR="0064594E" w:rsidRPr="003307CA"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13、</w:t>
      </w:r>
      <w:r w:rsidR="0064594E" w:rsidRPr="003307CA">
        <w:rPr>
          <w:rFonts w:asciiTheme="minorEastAsia" w:eastAsiaTheme="minorEastAsia" w:hAnsiTheme="minorEastAsia"/>
          <w:szCs w:val="21"/>
        </w:rPr>
        <w:t>国务院证券监督管理机构规定的其他职责。</w:t>
      </w:r>
    </w:p>
    <w:p w:rsidR="0064594E" w:rsidRPr="003307CA" w:rsidRDefault="0064594E" w:rsidP="00CE3F81">
      <w:pPr>
        <w:pStyle w:val="2"/>
        <w:snapToGrid w:val="0"/>
        <w:spacing w:beforeLines="0" w:afterLines="0" w:line="360" w:lineRule="auto"/>
        <w:ind w:firstLine="420"/>
        <w:rPr>
          <w:rFonts w:asciiTheme="minorEastAsia" w:eastAsiaTheme="minorEastAsia" w:hAnsiTheme="minorEastAsia"/>
          <w:b w:val="0"/>
          <w:sz w:val="21"/>
          <w:szCs w:val="21"/>
        </w:rPr>
      </w:pPr>
      <w:bookmarkStart w:id="108" w:name="_Toc133292566"/>
      <w:bookmarkStart w:id="109" w:name="_Toc163189523"/>
      <w:bookmarkStart w:id="110" w:name="_Toc44351080"/>
      <w:r w:rsidRPr="003307CA">
        <w:rPr>
          <w:rFonts w:asciiTheme="minorEastAsia" w:eastAsiaTheme="minorEastAsia" w:hAnsiTheme="minorEastAsia" w:hint="eastAsia"/>
          <w:b w:val="0"/>
          <w:bCs/>
          <w:sz w:val="21"/>
          <w:szCs w:val="21"/>
        </w:rPr>
        <w:t>四</w:t>
      </w:r>
      <w:r w:rsidR="00581D5A" w:rsidRPr="003307CA">
        <w:rPr>
          <w:rFonts w:asciiTheme="minorEastAsia" w:eastAsiaTheme="minorEastAsia" w:hAnsiTheme="minorEastAsia" w:hint="eastAsia"/>
          <w:b w:val="0"/>
          <w:bCs/>
          <w:sz w:val="21"/>
          <w:szCs w:val="21"/>
        </w:rPr>
        <w:t>、</w:t>
      </w:r>
      <w:r w:rsidRPr="003307CA">
        <w:rPr>
          <w:rFonts w:asciiTheme="minorEastAsia" w:eastAsiaTheme="minorEastAsia" w:hAnsiTheme="minorEastAsia"/>
          <w:b w:val="0"/>
          <w:bCs/>
          <w:sz w:val="21"/>
          <w:szCs w:val="21"/>
        </w:rPr>
        <w:t>基金管理人的承诺</w:t>
      </w:r>
      <w:bookmarkEnd w:id="108"/>
      <w:bookmarkEnd w:id="109"/>
      <w:bookmarkEnd w:id="110"/>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1</w:t>
      </w:r>
      <w:r w:rsidR="00D972A4" w:rsidRPr="003307CA">
        <w:rPr>
          <w:rFonts w:asciiTheme="minorEastAsia" w:eastAsiaTheme="minorEastAsia" w:hAnsiTheme="minorEastAsia" w:hint="eastAsia"/>
          <w:kern w:val="0"/>
          <w:szCs w:val="21"/>
        </w:rPr>
        <w:t>、</w:t>
      </w:r>
      <w:r w:rsidRPr="003307CA">
        <w:rPr>
          <w:rFonts w:asciiTheme="minorEastAsia" w:eastAsiaTheme="minorEastAsia" w:hAnsiTheme="minorEastAsia"/>
          <w:szCs w:val="2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kern w:val="0"/>
          <w:szCs w:val="21"/>
        </w:rPr>
        <w:t>2</w:t>
      </w:r>
      <w:r w:rsidR="00D972A4" w:rsidRPr="003307CA">
        <w:rPr>
          <w:rFonts w:asciiTheme="minorEastAsia" w:eastAsiaTheme="minorEastAsia" w:hAnsiTheme="minorEastAsia" w:hint="eastAsia"/>
          <w:kern w:val="0"/>
          <w:szCs w:val="21"/>
        </w:rPr>
        <w:t>、</w:t>
      </w:r>
      <w:r w:rsidRPr="003307CA">
        <w:rPr>
          <w:rFonts w:asciiTheme="minorEastAsia" w:eastAsiaTheme="minorEastAsia" w:hAnsiTheme="minorEastAsia"/>
          <w:szCs w:val="21"/>
        </w:rPr>
        <w:t>本</w:t>
      </w:r>
      <w:r w:rsidRPr="003307CA">
        <w:rPr>
          <w:rFonts w:asciiTheme="minorEastAsia" w:eastAsiaTheme="minorEastAsia" w:hAnsiTheme="minorEastAsia" w:hint="eastAsia"/>
          <w:szCs w:val="21"/>
        </w:rPr>
        <w:t>基金管理人承诺严格遵守《证券法》、《基金法》及有关法律法规，建立健全内部控</w:t>
      </w:r>
      <w:r w:rsidRPr="003307CA">
        <w:rPr>
          <w:rFonts w:asciiTheme="minorEastAsia" w:eastAsiaTheme="minorEastAsia" w:hAnsiTheme="minorEastAsia"/>
          <w:szCs w:val="21"/>
        </w:rPr>
        <w:t>制制度，采取有效措施，防止下列行为发生：</w:t>
      </w:r>
    </w:p>
    <w:p w:rsidR="00307EB1" w:rsidRPr="003307CA"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（1）</w:t>
      </w:r>
      <w:r w:rsidR="00307EB1" w:rsidRPr="003307CA">
        <w:rPr>
          <w:rFonts w:asciiTheme="minorEastAsia" w:eastAsiaTheme="minorEastAsia" w:hAnsiTheme="minorEastAsia" w:hint="eastAsia"/>
          <w:kern w:val="0"/>
          <w:szCs w:val="21"/>
        </w:rPr>
        <w:t>将其固有财产或者他人财产混同于基金财产从事证券投资；</w:t>
      </w:r>
    </w:p>
    <w:p w:rsidR="00307EB1" w:rsidRPr="003307CA"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（2）</w:t>
      </w:r>
      <w:r w:rsidR="00307EB1" w:rsidRPr="003307CA">
        <w:rPr>
          <w:rFonts w:asciiTheme="minorEastAsia" w:eastAsiaTheme="minorEastAsia" w:hAnsiTheme="minorEastAsia" w:hint="eastAsia"/>
          <w:kern w:val="0"/>
          <w:szCs w:val="21"/>
        </w:rPr>
        <w:t>不公平地对待其管理的不同基金财产；</w:t>
      </w:r>
    </w:p>
    <w:p w:rsidR="00307EB1" w:rsidRPr="003307CA"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（3）</w:t>
      </w:r>
      <w:r w:rsidR="00307EB1" w:rsidRPr="003307CA">
        <w:rPr>
          <w:rFonts w:asciiTheme="minorEastAsia" w:eastAsiaTheme="minorEastAsia" w:hAnsiTheme="minorEastAsia" w:hint="eastAsia"/>
          <w:kern w:val="0"/>
          <w:szCs w:val="21"/>
        </w:rPr>
        <w:t>利用基金财产</w:t>
      </w:r>
      <w:r w:rsidR="00EF7582" w:rsidRPr="003307CA">
        <w:rPr>
          <w:rFonts w:asciiTheme="minorEastAsia" w:eastAsiaTheme="minorEastAsia" w:hAnsiTheme="minorEastAsia" w:hint="eastAsia"/>
          <w:kern w:val="0"/>
          <w:szCs w:val="21"/>
        </w:rPr>
        <w:t>或者职务之便</w:t>
      </w:r>
      <w:r w:rsidR="00307EB1" w:rsidRPr="003307CA">
        <w:rPr>
          <w:rFonts w:asciiTheme="minorEastAsia" w:eastAsiaTheme="minorEastAsia" w:hAnsiTheme="minorEastAsia" w:hint="eastAsia"/>
          <w:kern w:val="0"/>
          <w:szCs w:val="21"/>
        </w:rPr>
        <w:t>为基金份额持有人以外的第三人谋取利益；</w:t>
      </w:r>
    </w:p>
    <w:p w:rsidR="00307EB1" w:rsidRPr="003307CA"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（4）</w:t>
      </w:r>
      <w:r w:rsidR="00307EB1" w:rsidRPr="003307CA">
        <w:rPr>
          <w:rFonts w:asciiTheme="minorEastAsia" w:eastAsiaTheme="minorEastAsia" w:hAnsiTheme="minorEastAsia" w:hint="eastAsia"/>
          <w:kern w:val="0"/>
          <w:szCs w:val="21"/>
        </w:rPr>
        <w:t>向基金份额持有人违规承诺收益或者承担损失；</w:t>
      </w:r>
    </w:p>
    <w:p w:rsidR="00EF7582" w:rsidRPr="003307CA"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（5）</w:t>
      </w:r>
      <w:r w:rsidR="00EF7582" w:rsidRPr="003307CA">
        <w:rPr>
          <w:rFonts w:asciiTheme="minorEastAsia" w:eastAsiaTheme="minorEastAsia" w:hAnsiTheme="minorEastAsia" w:hint="eastAsia"/>
          <w:kern w:val="0"/>
          <w:szCs w:val="21"/>
        </w:rPr>
        <w:t>侵占、挪用基金财产；</w:t>
      </w:r>
    </w:p>
    <w:p w:rsidR="00EF7582" w:rsidRPr="003307CA" w:rsidRDefault="00EF7582"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（6）泄露因职务便利获取的未公开信息、利用该信息从事或者明示、暗示他人从事相关的交易活动；</w:t>
      </w:r>
    </w:p>
    <w:p w:rsidR="00EF7582" w:rsidRPr="003307CA" w:rsidRDefault="00EF7582"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（7）玩忽职守，不按照规定履行职责；</w:t>
      </w:r>
    </w:p>
    <w:p w:rsidR="0064594E" w:rsidRPr="003307CA" w:rsidRDefault="00EF7582"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（8）法律、行政法规和中国证监会规定禁止的其他行为。</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3</w:t>
      </w:r>
      <w:r w:rsidR="00D972A4" w:rsidRPr="003307CA">
        <w:rPr>
          <w:rFonts w:asciiTheme="minorEastAsia" w:eastAsiaTheme="minorEastAsia" w:hAnsiTheme="minorEastAsia" w:hint="eastAsia"/>
          <w:kern w:val="0"/>
          <w:szCs w:val="21"/>
        </w:rPr>
        <w:t>、</w:t>
      </w:r>
      <w:r w:rsidRPr="003307CA">
        <w:rPr>
          <w:rFonts w:asciiTheme="minorEastAsia" w:eastAsiaTheme="minorEastAsia" w:hAnsiTheme="minorEastAsia"/>
          <w:kern w:val="0"/>
          <w:szCs w:val="21"/>
        </w:rPr>
        <w:t>本基金管理人承诺加强人员管理，强化职业操守，督促和约束员工遵守国家有关法律、法规及行业规范，诚实信用、勤勉尽责，不从事以下活动：</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（1）越权或违规经营；</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（2）违反基金合同或托管协议；</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（3）故意损害基金份额持有人或其他基金相关机构的合法利益；</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（4）在向中国证监会报送的资料中弄虚作假；</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（5）拒绝、干扰、阻挠或严重影响中国证监会依法监管；</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（6）玩忽职守、滥用职权；</w:t>
      </w:r>
    </w:p>
    <w:p w:rsidR="0064594E" w:rsidRPr="003307CA"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（7）违反现行有效的有关法律、法规、规章、基金合同和中国证监会的有关规定，泄漏在任职期间知悉的有关证券、基金的商业秘密，尚未依法公开的基金投资内容、基金投资计划等信息；</w:t>
      </w:r>
    </w:p>
    <w:p w:rsidR="0064594E" w:rsidRPr="003307CA"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lastRenderedPageBreak/>
        <w:t>（8）违反证券交易场所业务规则，利用对敲、倒仓等手段操纵市场价格，扰乱市场秩序；</w:t>
      </w:r>
    </w:p>
    <w:p w:rsidR="0064594E" w:rsidRPr="003307CA"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（9）贬损同行，以抬高自己；</w:t>
      </w:r>
    </w:p>
    <w:p w:rsidR="00A4329B" w:rsidRPr="003307CA"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（10）以不正当手段谋求业务发展；</w:t>
      </w:r>
    </w:p>
    <w:p w:rsidR="0064594E" w:rsidRPr="003307CA"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（11）有悖社会公德，损害证券投资基金人员形象；</w:t>
      </w:r>
    </w:p>
    <w:p w:rsidR="0064594E" w:rsidRPr="003307CA"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（12）在公开信息披露和广告中故意含有虚假、误导、欺诈成分；</w:t>
      </w:r>
    </w:p>
    <w:p w:rsidR="0064594E" w:rsidRPr="003307CA"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（13）其他法律、行政法规以及中国证监会禁止的行为。</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4</w:t>
      </w:r>
      <w:r w:rsidR="00D972A4" w:rsidRPr="003307CA">
        <w:rPr>
          <w:rFonts w:asciiTheme="minorEastAsia" w:eastAsiaTheme="minorEastAsia" w:hAnsiTheme="minorEastAsia" w:hint="eastAsia"/>
          <w:kern w:val="0"/>
          <w:szCs w:val="21"/>
        </w:rPr>
        <w:t>、</w:t>
      </w:r>
      <w:r w:rsidRPr="003307CA">
        <w:rPr>
          <w:rFonts w:asciiTheme="minorEastAsia" w:eastAsiaTheme="minorEastAsia" w:hAnsiTheme="minorEastAsia"/>
          <w:kern w:val="0"/>
          <w:szCs w:val="21"/>
        </w:rPr>
        <w:t>基金经理承诺</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（1）依照有关法律、法规和基金合同的规定，本着谨慎的原则为基金份额持有人谋取最大利益；</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（2）不利用职务之便为自己及其代理人、受雇人或任何第三人谋取利益；</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（3）不违反现行有效的有关法律、法规、规章、基金合同和中国证监会的有关规定，泄漏在任职期间知悉的有关证券、基金的商业秘密、尚未依法公开的基金投资内容、基金投资计划等信息；</w:t>
      </w: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3307CA">
        <w:rPr>
          <w:rFonts w:asciiTheme="minorEastAsia" w:eastAsiaTheme="minorEastAsia" w:hAnsiTheme="minorEastAsia"/>
          <w:kern w:val="0"/>
          <w:szCs w:val="21"/>
        </w:rPr>
        <w:t>（4）不从事损害基金财产和基金份额持有人利益的证券交易及其他活动。</w:t>
      </w:r>
    </w:p>
    <w:p w:rsidR="0064594E" w:rsidRPr="003307CA" w:rsidRDefault="0064594E" w:rsidP="00CE3F81">
      <w:pPr>
        <w:pStyle w:val="2"/>
        <w:snapToGrid w:val="0"/>
        <w:spacing w:beforeLines="0" w:afterLines="0" w:line="360" w:lineRule="auto"/>
        <w:ind w:firstLine="420"/>
        <w:rPr>
          <w:rStyle w:val="da"/>
          <w:rFonts w:asciiTheme="minorEastAsia" w:eastAsiaTheme="minorEastAsia" w:hAnsiTheme="minorEastAsia"/>
          <w:b w:val="0"/>
          <w:sz w:val="21"/>
          <w:szCs w:val="21"/>
        </w:rPr>
      </w:pPr>
      <w:bookmarkStart w:id="111" w:name="_Toc133292567"/>
      <w:bookmarkStart w:id="112" w:name="_Toc163189524"/>
      <w:bookmarkStart w:id="113" w:name="_Toc44351081"/>
      <w:r w:rsidRPr="003307CA">
        <w:rPr>
          <w:rFonts w:asciiTheme="minorEastAsia" w:eastAsiaTheme="minorEastAsia" w:hAnsiTheme="minorEastAsia" w:hint="eastAsia"/>
          <w:b w:val="0"/>
          <w:bCs/>
          <w:sz w:val="21"/>
          <w:szCs w:val="21"/>
        </w:rPr>
        <w:t>五</w:t>
      </w:r>
      <w:r w:rsidR="00581D5A" w:rsidRPr="003307CA">
        <w:rPr>
          <w:rFonts w:asciiTheme="minorEastAsia" w:eastAsiaTheme="minorEastAsia" w:hAnsiTheme="minorEastAsia" w:hint="eastAsia"/>
          <w:b w:val="0"/>
          <w:bCs/>
          <w:sz w:val="21"/>
          <w:szCs w:val="21"/>
        </w:rPr>
        <w:t>、</w:t>
      </w:r>
      <w:r w:rsidRPr="003307CA">
        <w:rPr>
          <w:rFonts w:asciiTheme="minorEastAsia" w:eastAsiaTheme="minorEastAsia" w:hAnsiTheme="minorEastAsia"/>
          <w:b w:val="0"/>
          <w:bCs/>
          <w:sz w:val="21"/>
          <w:szCs w:val="21"/>
        </w:rPr>
        <w:t>基金管理人的内部控制制度</w:t>
      </w:r>
      <w:bookmarkEnd w:id="111"/>
      <w:bookmarkEnd w:id="112"/>
      <w:bookmarkEnd w:id="113"/>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64594E" w:rsidRPr="003307CA" w:rsidRDefault="00D972A4" w:rsidP="00D972A4">
      <w:pPr>
        <w:snapToGrid w:val="0"/>
        <w:spacing w:line="360" w:lineRule="auto"/>
        <w:ind w:left="420"/>
        <w:rPr>
          <w:rFonts w:asciiTheme="minorEastAsia" w:eastAsiaTheme="minorEastAsia" w:hAnsiTheme="minorEastAsia"/>
          <w:bCs/>
          <w:szCs w:val="21"/>
        </w:rPr>
      </w:pPr>
      <w:r w:rsidRPr="003307CA">
        <w:rPr>
          <w:rFonts w:asciiTheme="minorEastAsia" w:eastAsiaTheme="minorEastAsia" w:hAnsiTheme="minorEastAsia" w:hint="eastAsia"/>
          <w:bCs/>
          <w:szCs w:val="21"/>
        </w:rPr>
        <w:t>1、</w:t>
      </w:r>
      <w:r w:rsidR="0064594E" w:rsidRPr="003307CA">
        <w:rPr>
          <w:rFonts w:asciiTheme="minorEastAsia" w:eastAsiaTheme="minorEastAsia" w:hAnsiTheme="minorEastAsia" w:hint="eastAsia"/>
          <w:bCs/>
          <w:szCs w:val="21"/>
        </w:rPr>
        <w:t>公司内部控制的总体目标</w:t>
      </w:r>
    </w:p>
    <w:p w:rsidR="0064594E" w:rsidRPr="003307CA"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保证公司经营管理活动的合法合规性；</w:t>
      </w:r>
    </w:p>
    <w:p w:rsidR="0064594E" w:rsidRPr="003307CA"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保证基金份额持有人的合法权益不受侵犯；</w:t>
      </w:r>
    </w:p>
    <w:p w:rsidR="0064594E" w:rsidRPr="003307CA"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实现公司稳健、持续发展，维护股东权益；</w:t>
      </w:r>
    </w:p>
    <w:p w:rsidR="0064594E" w:rsidRPr="003307CA"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促进公司全体员工恪守职业操守，正直诚信，廉洁自律，勤勉尽责；</w:t>
      </w:r>
    </w:p>
    <w:p w:rsidR="0064594E" w:rsidRPr="003307CA"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保护公司最重要的资本：公司声誉。</w:t>
      </w:r>
    </w:p>
    <w:p w:rsidR="0064594E" w:rsidRPr="003307CA" w:rsidRDefault="00D972A4" w:rsidP="00D972A4">
      <w:pPr>
        <w:snapToGrid w:val="0"/>
        <w:spacing w:line="360" w:lineRule="auto"/>
        <w:ind w:left="420"/>
        <w:rPr>
          <w:rFonts w:asciiTheme="minorEastAsia" w:eastAsiaTheme="minorEastAsia" w:hAnsiTheme="minorEastAsia"/>
          <w:bCs/>
          <w:szCs w:val="21"/>
        </w:rPr>
      </w:pPr>
      <w:r w:rsidRPr="003307CA">
        <w:rPr>
          <w:rFonts w:asciiTheme="minorEastAsia" w:eastAsiaTheme="minorEastAsia" w:hAnsiTheme="minorEastAsia" w:hint="eastAsia"/>
          <w:szCs w:val="21"/>
        </w:rPr>
        <w:t>2、</w:t>
      </w:r>
      <w:r w:rsidR="0064594E" w:rsidRPr="003307CA">
        <w:rPr>
          <w:rFonts w:asciiTheme="minorEastAsia" w:eastAsiaTheme="minorEastAsia" w:hAnsiTheme="minorEastAsia" w:hint="eastAsia"/>
          <w:bCs/>
          <w:szCs w:val="21"/>
        </w:rPr>
        <w:t>公司内部控制遵循的原则</w:t>
      </w:r>
    </w:p>
    <w:p w:rsidR="0064594E" w:rsidRPr="003307CA"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全面性原则：内部控制必须覆盖公司的所有部门和岗位，渗透各项业务过程和业务环节，并普遍适用于公司每一位职员；</w:t>
      </w:r>
    </w:p>
    <w:p w:rsidR="0064594E" w:rsidRPr="003307CA"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审慎性原则：内部控制的核心是有效防范各种风险，公司组织体系的构成、内部管理制度的建立都要以防范风险、审慎经营为出发点；</w:t>
      </w:r>
    </w:p>
    <w:p w:rsidR="0064594E" w:rsidRPr="003307CA"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相互制约原则：公司设置的各部门、各岗位权责分明、相互制衡。</w:t>
      </w:r>
    </w:p>
    <w:p w:rsidR="0064594E" w:rsidRPr="003307CA"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独立性原则：公司根据业务的需要设立相对独立的机构、部门和岗位；公司内部部门和岗位的设置必须权责分明；</w:t>
      </w:r>
    </w:p>
    <w:p w:rsidR="0064594E" w:rsidRPr="003307CA"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有效性原则：各种内部管理制度具有高度的权威性，应是所有员工严格遵守的行</w:t>
      </w:r>
      <w:r w:rsidRPr="003307CA">
        <w:rPr>
          <w:rFonts w:asciiTheme="minorEastAsia" w:eastAsiaTheme="minorEastAsia" w:hAnsiTheme="minorEastAsia"/>
          <w:szCs w:val="21"/>
        </w:rPr>
        <w:lastRenderedPageBreak/>
        <w:t>动指南；执行内部管理制度不能有任何例外，任何人不得拥有超越制度或违反规章的权力；</w:t>
      </w:r>
    </w:p>
    <w:p w:rsidR="0064594E" w:rsidRPr="003307CA"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适时性原则：内部控制应具有前瞻性，并且必须随着公司经营战略、经营方针、经营理念等内部环境的变化和国家法律、法规、政策制度等外部环境的改变及时进行相应的修改和完善；</w:t>
      </w:r>
    </w:p>
    <w:p w:rsidR="0064594E" w:rsidRPr="003307CA"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成本效益原则：公司运用科学化的经营管理方法降低运作成本，提高经济效益，力争以合理的控制成本达到最佳的内部控制效果。</w:t>
      </w:r>
    </w:p>
    <w:p w:rsidR="0064594E" w:rsidRPr="003307CA" w:rsidRDefault="00D972A4" w:rsidP="00D972A4">
      <w:pPr>
        <w:snapToGrid w:val="0"/>
        <w:spacing w:line="360" w:lineRule="auto"/>
        <w:ind w:left="420"/>
        <w:rPr>
          <w:rFonts w:asciiTheme="minorEastAsia" w:eastAsiaTheme="minorEastAsia" w:hAnsiTheme="minorEastAsia"/>
          <w:bCs/>
          <w:szCs w:val="21"/>
        </w:rPr>
      </w:pPr>
      <w:r w:rsidRPr="003307CA">
        <w:rPr>
          <w:rFonts w:asciiTheme="minorEastAsia" w:eastAsiaTheme="minorEastAsia" w:hAnsiTheme="minorEastAsia" w:hint="eastAsia"/>
          <w:szCs w:val="21"/>
        </w:rPr>
        <w:t>3、</w:t>
      </w:r>
      <w:r w:rsidR="0064594E" w:rsidRPr="003307CA">
        <w:rPr>
          <w:rFonts w:asciiTheme="minorEastAsia" w:eastAsiaTheme="minorEastAsia" w:hAnsiTheme="minorEastAsia" w:hint="eastAsia"/>
          <w:bCs/>
          <w:szCs w:val="21"/>
        </w:rPr>
        <w:t>内部控制的制度体系</w:t>
      </w:r>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64594E" w:rsidRPr="003307CA" w:rsidRDefault="00D972A4" w:rsidP="00D972A4">
      <w:pPr>
        <w:snapToGrid w:val="0"/>
        <w:spacing w:line="360" w:lineRule="auto"/>
        <w:ind w:left="420"/>
        <w:rPr>
          <w:rFonts w:asciiTheme="minorEastAsia" w:eastAsiaTheme="minorEastAsia" w:hAnsiTheme="minorEastAsia"/>
          <w:bCs/>
          <w:szCs w:val="21"/>
        </w:rPr>
      </w:pPr>
      <w:r w:rsidRPr="003307CA">
        <w:rPr>
          <w:rFonts w:asciiTheme="minorEastAsia" w:eastAsiaTheme="minorEastAsia" w:hAnsiTheme="minorEastAsia" w:hint="eastAsia"/>
          <w:szCs w:val="21"/>
        </w:rPr>
        <w:t>4、</w:t>
      </w:r>
      <w:r w:rsidR="0064594E" w:rsidRPr="003307CA">
        <w:rPr>
          <w:rFonts w:asciiTheme="minorEastAsia" w:eastAsiaTheme="minorEastAsia" w:hAnsiTheme="minorEastAsia" w:hint="eastAsia"/>
          <w:bCs/>
          <w:szCs w:val="21"/>
        </w:rPr>
        <w:t>关于授权、研究、投资、交易等方面的控制点</w:t>
      </w:r>
    </w:p>
    <w:p w:rsidR="0064594E" w:rsidRPr="003307CA" w:rsidRDefault="00D972A4" w:rsidP="00D972A4">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64594E" w:rsidRPr="003307CA">
        <w:rPr>
          <w:rFonts w:asciiTheme="minorEastAsia" w:eastAsiaTheme="minorEastAsia" w:hAnsiTheme="minorEastAsia" w:hint="eastAsia"/>
          <w:szCs w:val="21"/>
        </w:rPr>
        <w:t>授权制度</w:t>
      </w:r>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64594E" w:rsidRPr="003307CA" w:rsidRDefault="00D972A4" w:rsidP="00D972A4">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64594E" w:rsidRPr="003307CA">
        <w:rPr>
          <w:rFonts w:asciiTheme="minorEastAsia" w:eastAsiaTheme="minorEastAsia" w:hAnsiTheme="minorEastAsia" w:hint="eastAsia"/>
          <w:szCs w:val="21"/>
        </w:rPr>
        <w:t>公司研究业务</w:t>
      </w:r>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64594E" w:rsidRPr="003307CA" w:rsidRDefault="00D972A4" w:rsidP="00D972A4">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64594E" w:rsidRPr="003307CA">
        <w:rPr>
          <w:rFonts w:asciiTheme="minorEastAsia" w:eastAsiaTheme="minorEastAsia" w:hAnsiTheme="minorEastAsia" w:hint="eastAsia"/>
          <w:szCs w:val="21"/>
        </w:rPr>
        <w:t>基金投资业务</w:t>
      </w:r>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64594E" w:rsidRPr="003307CA" w:rsidRDefault="00D972A4" w:rsidP="00D972A4">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64594E" w:rsidRPr="003307CA">
        <w:rPr>
          <w:rFonts w:asciiTheme="minorEastAsia" w:eastAsiaTheme="minorEastAsia" w:hAnsiTheme="minorEastAsia" w:hint="eastAsia"/>
          <w:szCs w:val="21"/>
        </w:rPr>
        <w:t>交易业务</w:t>
      </w:r>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64594E" w:rsidRPr="003307CA" w:rsidRDefault="00D972A4" w:rsidP="00D972A4">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64594E" w:rsidRPr="003307CA">
        <w:rPr>
          <w:rFonts w:asciiTheme="minorEastAsia" w:eastAsiaTheme="minorEastAsia" w:hAnsiTheme="minorEastAsia" w:hint="eastAsia"/>
          <w:szCs w:val="21"/>
        </w:rPr>
        <w:t>基金会计核算</w:t>
      </w:r>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64594E" w:rsidRPr="003307CA" w:rsidRDefault="00D972A4" w:rsidP="00D972A4">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（6）</w:t>
      </w:r>
      <w:r w:rsidR="0064594E" w:rsidRPr="003307CA">
        <w:rPr>
          <w:rFonts w:asciiTheme="minorEastAsia" w:eastAsiaTheme="minorEastAsia" w:hAnsiTheme="minorEastAsia" w:hint="eastAsia"/>
          <w:szCs w:val="21"/>
        </w:rPr>
        <w:t>信息披露</w:t>
      </w:r>
    </w:p>
    <w:p w:rsidR="0064594E" w:rsidRPr="003307CA"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64594E" w:rsidRPr="003307CA" w:rsidRDefault="00D972A4" w:rsidP="00D972A4">
      <w:pPr>
        <w:snapToGrid w:val="0"/>
        <w:spacing w:line="360" w:lineRule="auto"/>
        <w:ind w:left="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285275" w:rsidRPr="003307CA">
        <w:rPr>
          <w:rFonts w:asciiTheme="minorEastAsia" w:eastAsiaTheme="minorEastAsia" w:hAnsiTheme="minorEastAsia" w:hint="eastAsia"/>
        </w:rPr>
        <w:t>监察与合规管理</w:t>
      </w:r>
    </w:p>
    <w:p w:rsidR="005E2802" w:rsidRPr="003307CA" w:rsidRDefault="005E2802" w:rsidP="005E2802">
      <w:pPr>
        <w:snapToGrid w:val="0"/>
        <w:spacing w:line="360" w:lineRule="auto"/>
        <w:ind w:firstLine="420"/>
        <w:rPr>
          <w:rFonts w:asciiTheme="minorEastAsia" w:eastAsiaTheme="minorEastAsia" w:hAnsiTheme="minorEastAsia"/>
          <w:kern w:val="0"/>
          <w:szCs w:val="21"/>
        </w:rPr>
      </w:pPr>
      <w:r w:rsidRPr="003307CA">
        <w:rPr>
          <w:rFonts w:asciiTheme="minorEastAsia" w:eastAsiaTheme="minorEastAsia" w:hAnsiTheme="minorEastAsia"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5E2802" w:rsidRPr="003307CA" w:rsidRDefault="005E2802" w:rsidP="005E2802">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5E2802" w:rsidRPr="003307CA" w:rsidRDefault="005E2802" w:rsidP="005E2802">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5E2802" w:rsidRPr="003307CA" w:rsidRDefault="005E2802" w:rsidP="005E2802">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64594E" w:rsidRPr="003307CA" w:rsidRDefault="005E2802" w:rsidP="00082864">
      <w:pPr>
        <w:pStyle w:val="af"/>
        <w:autoSpaceDE w:val="0"/>
        <w:autoSpaceDN w:val="0"/>
        <w:snapToGrid w:val="0"/>
        <w:spacing w:line="360" w:lineRule="auto"/>
        <w:ind w:firstLineChars="200"/>
        <w:rPr>
          <w:rFonts w:asciiTheme="minorEastAsia" w:eastAsiaTheme="minorEastAsia" w:hAnsiTheme="minorEastAsia"/>
          <w:szCs w:val="21"/>
        </w:rPr>
      </w:pPr>
      <w:r w:rsidRPr="003307CA" w:rsidDel="005E2802">
        <w:rPr>
          <w:rFonts w:asciiTheme="minorEastAsia" w:eastAsiaTheme="minorEastAsia" w:hAnsiTheme="minorEastAsia" w:hint="eastAsia"/>
          <w:szCs w:val="21"/>
        </w:rPr>
        <w:t xml:space="preserve"> </w:t>
      </w:r>
      <w:r w:rsidR="00D972A4" w:rsidRPr="003307CA">
        <w:rPr>
          <w:rFonts w:asciiTheme="minorEastAsia" w:eastAsiaTheme="minorEastAsia" w:hAnsiTheme="minorEastAsia" w:hint="eastAsia"/>
          <w:szCs w:val="21"/>
        </w:rPr>
        <w:t>5、</w:t>
      </w:r>
      <w:r w:rsidR="0064594E" w:rsidRPr="003307CA">
        <w:rPr>
          <w:rFonts w:asciiTheme="minorEastAsia" w:eastAsiaTheme="minorEastAsia" w:hAnsiTheme="minorEastAsia" w:hint="eastAsia"/>
          <w:szCs w:val="21"/>
        </w:rPr>
        <w:t>基金管理人关于内部控制制度声明书</w:t>
      </w:r>
    </w:p>
    <w:p w:rsidR="0064594E" w:rsidRPr="003307CA" w:rsidRDefault="00D972A4" w:rsidP="00082864">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（1）</w:t>
      </w:r>
      <w:r w:rsidR="0064594E" w:rsidRPr="003307CA">
        <w:rPr>
          <w:rFonts w:asciiTheme="minorEastAsia" w:eastAsiaTheme="minorEastAsia" w:hAnsiTheme="minorEastAsia" w:hint="eastAsia"/>
          <w:szCs w:val="21"/>
        </w:rPr>
        <w:t>本公司承诺以上关于内部控制制度的披露真实、准确；</w:t>
      </w:r>
    </w:p>
    <w:p w:rsidR="00407282" w:rsidRPr="003307CA" w:rsidRDefault="00D972A4" w:rsidP="00082864">
      <w:pPr>
        <w:pStyle w:val="af"/>
        <w:autoSpaceDE w:val="0"/>
        <w:autoSpaceDN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（2）</w:t>
      </w:r>
      <w:r w:rsidR="0064594E" w:rsidRPr="003307CA">
        <w:rPr>
          <w:rFonts w:asciiTheme="minorEastAsia" w:eastAsiaTheme="minorEastAsia" w:hAnsiTheme="minorEastAsia" w:hint="eastAsia"/>
          <w:szCs w:val="21"/>
        </w:rPr>
        <w:t>本公司承诺根据市场变化和公司业务发展不断完善内部控制制度。</w:t>
      </w:r>
    </w:p>
    <w:p w:rsidR="00AD7A36" w:rsidRPr="003307CA" w:rsidRDefault="00AD7A36" w:rsidP="00CE3F81">
      <w:pPr>
        <w:tabs>
          <w:tab w:val="left" w:pos="735"/>
        </w:tabs>
        <w:snapToGrid w:val="0"/>
        <w:spacing w:line="360" w:lineRule="auto"/>
        <w:ind w:firstLineChars="200" w:firstLine="420"/>
        <w:rPr>
          <w:rFonts w:asciiTheme="minorEastAsia" w:eastAsiaTheme="minorEastAsia" w:hAnsiTheme="minorEastAsia"/>
          <w:szCs w:val="21"/>
        </w:rPr>
      </w:pPr>
    </w:p>
    <w:p w:rsidR="00431525" w:rsidRPr="003307CA"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3307CA">
          <w:pgSz w:w="11906" w:h="16838" w:code="9"/>
          <w:pgMar w:top="1440" w:right="1800" w:bottom="1440" w:left="1800" w:header="851" w:footer="992" w:gutter="0"/>
          <w:cols w:space="425"/>
          <w:docGrid w:type="lines" w:linePitch="312"/>
        </w:sectPr>
      </w:pPr>
      <w:bookmarkStart w:id="114" w:name="_Toc38432432"/>
    </w:p>
    <w:p w:rsidR="00AD7A36"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15" w:name="_Toc44351082"/>
      <w:r w:rsidRPr="003307CA">
        <w:rPr>
          <w:rFonts w:asciiTheme="minorEastAsia" w:eastAsiaTheme="minorEastAsia" w:hAnsiTheme="minorEastAsia" w:hint="eastAsia"/>
        </w:rPr>
        <w:lastRenderedPageBreak/>
        <w:t>基金的募集</w:t>
      </w:r>
      <w:bookmarkEnd w:id="114"/>
      <w:bookmarkEnd w:id="115"/>
    </w:p>
    <w:p w:rsidR="00C91220" w:rsidRPr="003307CA" w:rsidRDefault="00C9122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本基金由基金管理人依照《基金法》、《运作办法》、《销售办法》、基金合同的相关规定、并经中国证券监督管理委员会</w:t>
      </w:r>
      <w:r w:rsidR="005E2802" w:rsidRPr="003307CA">
        <w:rPr>
          <w:rFonts w:asciiTheme="minorEastAsia" w:eastAsiaTheme="minorEastAsia" w:hAnsiTheme="minorEastAsia" w:hint="eastAsia"/>
        </w:rPr>
        <w:t>2008年8月27日</w:t>
      </w:r>
      <w:r w:rsidRPr="003307CA">
        <w:rPr>
          <w:rFonts w:asciiTheme="minorEastAsia" w:eastAsiaTheme="minorEastAsia" w:hAnsiTheme="minorEastAsia" w:hint="eastAsia"/>
        </w:rPr>
        <w:t>《关于核准易方达亚洲精选股票型证券投资基金募集的批复》（证监许可</w:t>
      </w:r>
      <w:r w:rsidRPr="003307CA">
        <w:rPr>
          <w:rFonts w:asciiTheme="minorEastAsia" w:eastAsiaTheme="minorEastAsia" w:hAnsiTheme="minorEastAsia"/>
        </w:rPr>
        <w:t>[</w:t>
      </w:r>
      <w:r w:rsidRPr="003307CA">
        <w:rPr>
          <w:rFonts w:asciiTheme="minorEastAsia" w:eastAsiaTheme="minorEastAsia" w:hAnsiTheme="minorEastAsia" w:hint="eastAsia"/>
        </w:rPr>
        <w:t>2008</w:t>
      </w:r>
      <w:r w:rsidRPr="003307CA">
        <w:rPr>
          <w:rFonts w:asciiTheme="minorEastAsia" w:eastAsiaTheme="minorEastAsia" w:hAnsiTheme="minorEastAsia"/>
        </w:rPr>
        <w:t>]</w:t>
      </w:r>
      <w:r w:rsidRPr="003307CA">
        <w:rPr>
          <w:rFonts w:asciiTheme="minorEastAsia" w:eastAsiaTheme="minorEastAsia" w:hAnsiTheme="minorEastAsia" w:hint="eastAsia"/>
        </w:rPr>
        <w:t>1064号）和</w:t>
      </w:r>
      <w:r w:rsidR="00721084" w:rsidRPr="003307CA">
        <w:rPr>
          <w:rFonts w:asciiTheme="minorEastAsia" w:eastAsiaTheme="minorEastAsia" w:hAnsiTheme="minorEastAsia" w:hint="eastAsia"/>
        </w:rPr>
        <w:t>2009年5月8日</w:t>
      </w:r>
      <w:r w:rsidRPr="003307CA">
        <w:rPr>
          <w:rFonts w:asciiTheme="minorEastAsia" w:eastAsiaTheme="minorEastAsia" w:hAnsiTheme="minorEastAsia" w:hint="eastAsia"/>
        </w:rPr>
        <w:t>《关于核准易方达亚洲精选股票型证券投资基金备案的批复》（证监许可</w:t>
      </w:r>
      <w:r w:rsidRPr="003307CA">
        <w:rPr>
          <w:rFonts w:asciiTheme="minorEastAsia" w:eastAsiaTheme="minorEastAsia" w:hAnsiTheme="minorEastAsia"/>
        </w:rPr>
        <w:t>[</w:t>
      </w:r>
      <w:r w:rsidRPr="003307CA">
        <w:rPr>
          <w:rFonts w:asciiTheme="minorEastAsia" w:eastAsiaTheme="minorEastAsia" w:hAnsiTheme="minorEastAsia" w:hint="eastAsia"/>
        </w:rPr>
        <w:t>2009</w:t>
      </w:r>
      <w:r w:rsidRPr="003307CA">
        <w:rPr>
          <w:rFonts w:asciiTheme="minorEastAsia" w:eastAsiaTheme="minorEastAsia" w:hAnsiTheme="minorEastAsia"/>
        </w:rPr>
        <w:t>]</w:t>
      </w:r>
      <w:r w:rsidRPr="003307CA">
        <w:rPr>
          <w:rFonts w:asciiTheme="minorEastAsia" w:eastAsiaTheme="minorEastAsia" w:hAnsiTheme="minorEastAsia" w:hint="eastAsia"/>
        </w:rPr>
        <w:t>367号）核准募集。</w:t>
      </w:r>
    </w:p>
    <w:p w:rsidR="00C91220" w:rsidRPr="003307CA" w:rsidRDefault="00C9122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本基金为</w:t>
      </w:r>
      <w:r w:rsidRPr="003307CA">
        <w:rPr>
          <w:rFonts w:asciiTheme="minorEastAsia" w:eastAsiaTheme="minorEastAsia" w:hAnsiTheme="minorEastAsia"/>
        </w:rPr>
        <w:t>契约型开放式</w:t>
      </w:r>
      <w:r w:rsidRPr="003307CA">
        <w:rPr>
          <w:rFonts w:asciiTheme="minorEastAsia" w:eastAsiaTheme="minorEastAsia" w:hAnsiTheme="minorEastAsia" w:hint="eastAsia"/>
        </w:rPr>
        <w:t>基金</w:t>
      </w:r>
      <w:r w:rsidRPr="003307CA">
        <w:rPr>
          <w:rFonts w:asciiTheme="minorEastAsia" w:eastAsiaTheme="minorEastAsia" w:hAnsiTheme="minorEastAsia"/>
        </w:rPr>
        <w:t>。基金</w:t>
      </w:r>
      <w:r w:rsidRPr="003307CA">
        <w:rPr>
          <w:rFonts w:asciiTheme="minorEastAsia" w:eastAsiaTheme="minorEastAsia" w:hAnsiTheme="minorEastAsia" w:hint="eastAsia"/>
        </w:rPr>
        <w:t>的</w:t>
      </w:r>
      <w:r w:rsidRPr="003307CA">
        <w:rPr>
          <w:rFonts w:asciiTheme="minorEastAsia" w:eastAsiaTheme="minorEastAsia" w:hAnsiTheme="minorEastAsia"/>
        </w:rPr>
        <w:t>存续期间</w:t>
      </w:r>
      <w:r w:rsidRPr="003307CA">
        <w:rPr>
          <w:rFonts w:asciiTheme="minorEastAsia" w:eastAsiaTheme="minorEastAsia" w:hAnsiTheme="minorEastAsia" w:hint="eastAsia"/>
        </w:rPr>
        <w:t>为</w:t>
      </w:r>
      <w:r w:rsidRPr="003307CA">
        <w:rPr>
          <w:rFonts w:asciiTheme="minorEastAsia" w:eastAsiaTheme="minorEastAsia" w:hAnsiTheme="minorEastAsia"/>
        </w:rPr>
        <w:t>不定期</w:t>
      </w:r>
      <w:r w:rsidRPr="003307CA">
        <w:rPr>
          <w:rFonts w:asciiTheme="minorEastAsia" w:eastAsiaTheme="minorEastAsia" w:hAnsiTheme="minorEastAsia" w:hint="eastAsia"/>
        </w:rPr>
        <w:t>。</w:t>
      </w:r>
    </w:p>
    <w:p w:rsidR="00C91220" w:rsidRPr="003307CA" w:rsidRDefault="00C9122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本基金</w:t>
      </w:r>
      <w:r w:rsidRPr="003307CA">
        <w:rPr>
          <w:rFonts w:asciiTheme="minorEastAsia" w:eastAsiaTheme="minorEastAsia" w:hAnsiTheme="minorEastAsia" w:hint="eastAsia"/>
        </w:rPr>
        <w:t>募集期间</w:t>
      </w:r>
      <w:r w:rsidRPr="003307CA">
        <w:rPr>
          <w:rFonts w:asciiTheme="minorEastAsia" w:eastAsiaTheme="minorEastAsia" w:hAnsiTheme="minorEastAsia"/>
        </w:rPr>
        <w:t>每份基金份额的</w:t>
      </w:r>
      <w:r w:rsidRPr="003307CA">
        <w:rPr>
          <w:rFonts w:asciiTheme="minorEastAsia" w:eastAsiaTheme="minorEastAsia" w:hAnsiTheme="minorEastAsia" w:hint="eastAsia"/>
        </w:rPr>
        <w:t>初始</w:t>
      </w:r>
      <w:r w:rsidRPr="003307CA">
        <w:rPr>
          <w:rFonts w:asciiTheme="minorEastAsia" w:eastAsiaTheme="minorEastAsia" w:hAnsiTheme="minorEastAsia"/>
        </w:rPr>
        <w:t>面值为人民币1.00元</w:t>
      </w:r>
      <w:r w:rsidRPr="003307CA">
        <w:rPr>
          <w:rFonts w:asciiTheme="minorEastAsia" w:eastAsiaTheme="minorEastAsia" w:hAnsiTheme="minorEastAsia" w:hint="eastAsia"/>
        </w:rPr>
        <w:t>。</w:t>
      </w:r>
    </w:p>
    <w:p w:rsidR="0064594E" w:rsidRPr="003307CA" w:rsidRDefault="00C9122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本基金募集期自2009年12月7日至2010年1月15日。募集对象为符合法律法规规定的个人投资者、机构投资者，以及法律法规或中国证监会允许购买开放式证券投资基金的其他投资者。</w:t>
      </w:r>
    </w:p>
    <w:p w:rsidR="00C91220" w:rsidRPr="003307CA" w:rsidRDefault="00C91220" w:rsidP="00CE3F81">
      <w:pPr>
        <w:snapToGrid w:val="0"/>
        <w:spacing w:line="360" w:lineRule="auto"/>
        <w:ind w:firstLineChars="200" w:firstLine="420"/>
        <w:rPr>
          <w:rFonts w:asciiTheme="minorEastAsia" w:eastAsiaTheme="minorEastAsia" w:hAnsiTheme="minorEastAsia"/>
        </w:rPr>
      </w:pPr>
    </w:p>
    <w:p w:rsidR="0064594E" w:rsidRPr="003307CA" w:rsidRDefault="0064594E" w:rsidP="00CE3F81">
      <w:pPr>
        <w:autoSpaceDE w:val="0"/>
        <w:autoSpaceDN w:val="0"/>
        <w:snapToGrid w:val="0"/>
        <w:spacing w:line="360" w:lineRule="auto"/>
        <w:ind w:firstLineChars="200" w:firstLine="400"/>
        <w:jc w:val="left"/>
        <w:rPr>
          <w:rFonts w:asciiTheme="minorEastAsia" w:eastAsiaTheme="minorEastAsia" w:hAnsiTheme="minorEastAsia"/>
          <w:kern w:val="0"/>
          <w:sz w:val="20"/>
          <w:szCs w:val="20"/>
        </w:rPr>
      </w:pPr>
    </w:p>
    <w:p w:rsidR="00431525" w:rsidRPr="003307CA"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3307CA">
          <w:pgSz w:w="11906" w:h="16838" w:code="9"/>
          <w:pgMar w:top="1440" w:right="1800" w:bottom="1440" w:left="1800" w:header="851" w:footer="992" w:gutter="0"/>
          <w:cols w:space="425"/>
          <w:docGrid w:type="lines" w:linePitch="312"/>
        </w:sectPr>
      </w:pPr>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16" w:name="_Toc44351083"/>
      <w:r w:rsidRPr="003307CA">
        <w:rPr>
          <w:rFonts w:asciiTheme="minorEastAsia" w:eastAsiaTheme="minorEastAsia" w:hAnsiTheme="minorEastAsia" w:hint="eastAsia"/>
        </w:rPr>
        <w:lastRenderedPageBreak/>
        <w:t>基金合同的生效</w:t>
      </w:r>
      <w:bookmarkEnd w:id="116"/>
    </w:p>
    <w:p w:rsidR="00056EBE" w:rsidRPr="003307CA" w:rsidRDefault="00056EBE" w:rsidP="00CE3F81">
      <w:pPr>
        <w:pStyle w:val="2"/>
        <w:snapToGrid w:val="0"/>
        <w:spacing w:beforeLines="0" w:afterLines="0" w:line="360" w:lineRule="auto"/>
        <w:ind w:firstLine="560"/>
        <w:rPr>
          <w:rFonts w:asciiTheme="minorEastAsia" w:eastAsiaTheme="minorEastAsia" w:hAnsiTheme="minorEastAsia"/>
          <w:b w:val="0"/>
        </w:rPr>
      </w:pPr>
      <w:bookmarkStart w:id="117" w:name="_Toc44351084"/>
      <w:bookmarkStart w:id="118" w:name="_Toc38432438"/>
      <w:bookmarkStart w:id="119" w:name="_Toc133292585"/>
      <w:r w:rsidRPr="003307CA">
        <w:rPr>
          <w:rFonts w:asciiTheme="minorEastAsia" w:eastAsiaTheme="minorEastAsia" w:hAnsiTheme="minorEastAsia" w:hint="eastAsia"/>
          <w:b w:val="0"/>
        </w:rPr>
        <w:t>一</w:t>
      </w:r>
      <w:r w:rsidR="00B036A1"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基金合同生效</w:t>
      </w:r>
      <w:bookmarkEnd w:id="117"/>
    </w:p>
    <w:p w:rsidR="0064594E" w:rsidRPr="003307CA" w:rsidRDefault="00E96608"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本基金</w:t>
      </w:r>
      <w:r w:rsidRPr="003307CA">
        <w:rPr>
          <w:rFonts w:asciiTheme="minorEastAsia" w:eastAsiaTheme="minorEastAsia" w:hAnsiTheme="minorEastAsia" w:hint="eastAsia"/>
        </w:rPr>
        <w:t>基金合同于</w:t>
      </w:r>
      <w:r w:rsidRPr="003307CA">
        <w:rPr>
          <w:rFonts w:asciiTheme="minorEastAsia" w:eastAsiaTheme="minorEastAsia" w:hAnsiTheme="minorEastAsia" w:hint="eastAsia"/>
          <w:szCs w:val="21"/>
        </w:rPr>
        <w:t>2010年1月21日</w:t>
      </w:r>
      <w:r w:rsidRPr="003307CA">
        <w:rPr>
          <w:rFonts w:asciiTheme="minorEastAsia" w:eastAsiaTheme="minorEastAsia" w:hAnsiTheme="minorEastAsia" w:hint="eastAsia"/>
        </w:rPr>
        <w:t>正式生效。自基金合同生效日起，本基金管理人正式开始管理本基金。</w:t>
      </w:r>
      <w:bookmarkEnd w:id="118"/>
      <w:bookmarkEnd w:id="119"/>
    </w:p>
    <w:p w:rsidR="00056EBE" w:rsidRPr="003307CA" w:rsidRDefault="00056EBE" w:rsidP="00CE3F81">
      <w:pPr>
        <w:pStyle w:val="2"/>
        <w:snapToGrid w:val="0"/>
        <w:spacing w:beforeLines="0" w:afterLines="0" w:line="360" w:lineRule="auto"/>
        <w:ind w:firstLine="560"/>
        <w:rPr>
          <w:rFonts w:asciiTheme="minorEastAsia" w:eastAsiaTheme="minorEastAsia" w:hAnsiTheme="minorEastAsia"/>
          <w:b w:val="0"/>
        </w:rPr>
      </w:pPr>
      <w:bookmarkStart w:id="120" w:name="_Toc44351085"/>
      <w:r w:rsidRPr="003307CA">
        <w:rPr>
          <w:rFonts w:asciiTheme="minorEastAsia" w:eastAsiaTheme="minorEastAsia" w:hAnsiTheme="minorEastAsia" w:hint="eastAsia"/>
          <w:b w:val="0"/>
        </w:rPr>
        <w:t>二</w:t>
      </w:r>
      <w:r w:rsidR="00B036A1"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基金存续期内的基金份额持有人数量和资产规模</w:t>
      </w:r>
      <w:bookmarkEnd w:id="120"/>
    </w:p>
    <w:p w:rsidR="00056EBE" w:rsidRPr="003307CA" w:rsidRDefault="00056EB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056EBE" w:rsidRPr="003307CA" w:rsidRDefault="00056EB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法律法规另有规定时，从其规定。</w:t>
      </w:r>
    </w:p>
    <w:p w:rsidR="00056EBE" w:rsidRPr="003307CA" w:rsidRDefault="00056EBE" w:rsidP="00CE3F81">
      <w:pPr>
        <w:snapToGrid w:val="0"/>
        <w:spacing w:line="360" w:lineRule="auto"/>
        <w:ind w:firstLineChars="200" w:firstLine="420"/>
        <w:rPr>
          <w:rFonts w:asciiTheme="minorEastAsia" w:eastAsiaTheme="minorEastAsia" w:hAnsiTheme="minorEastAsia"/>
        </w:rPr>
      </w:pP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szCs w:val="21"/>
        </w:rPr>
      </w:pPr>
    </w:p>
    <w:p w:rsidR="0064594E" w:rsidRPr="003307CA" w:rsidRDefault="0064594E" w:rsidP="00CE3F81">
      <w:pPr>
        <w:autoSpaceDE w:val="0"/>
        <w:autoSpaceDN w:val="0"/>
        <w:snapToGrid w:val="0"/>
        <w:spacing w:line="360" w:lineRule="auto"/>
        <w:ind w:firstLineChars="200" w:firstLine="420"/>
        <w:jc w:val="left"/>
        <w:rPr>
          <w:rFonts w:asciiTheme="minorEastAsia" w:eastAsiaTheme="minorEastAsia" w:hAnsiTheme="minorEastAsia"/>
          <w:szCs w:val="21"/>
        </w:rPr>
      </w:pPr>
    </w:p>
    <w:p w:rsidR="00431525" w:rsidRPr="003307CA"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3307CA">
          <w:pgSz w:w="11906" w:h="16838" w:code="9"/>
          <w:pgMar w:top="1440" w:right="1800" w:bottom="1440" w:left="1800" w:header="851" w:footer="992" w:gutter="0"/>
          <w:cols w:space="425"/>
          <w:docGrid w:type="lines" w:linePitch="312"/>
        </w:sectPr>
      </w:pPr>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21" w:name="_Toc44351086"/>
      <w:r w:rsidRPr="003307CA">
        <w:rPr>
          <w:rFonts w:asciiTheme="minorEastAsia" w:eastAsiaTheme="minorEastAsia" w:hAnsiTheme="minorEastAsia" w:hint="eastAsia"/>
        </w:rPr>
        <w:lastRenderedPageBreak/>
        <w:t>基金份额的申购、赎回</w:t>
      </w:r>
      <w:bookmarkEnd w:id="121"/>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2" w:name="_Toc44351087"/>
      <w:r w:rsidRPr="003307CA">
        <w:rPr>
          <w:rFonts w:asciiTheme="minorEastAsia" w:eastAsiaTheme="minorEastAsia" w:hAnsiTheme="minorEastAsia" w:hint="eastAsia"/>
          <w:b w:val="0"/>
        </w:rPr>
        <w:t>一</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基金投资者范围</w:t>
      </w:r>
      <w:bookmarkEnd w:id="122"/>
    </w:p>
    <w:p w:rsidR="0064594E" w:rsidRPr="003307CA" w:rsidRDefault="0082776A"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符合法律法规规定的个人投资者、机构投资者</w:t>
      </w:r>
      <w:r w:rsidRPr="003307CA">
        <w:rPr>
          <w:rFonts w:asciiTheme="minorEastAsia" w:eastAsiaTheme="minorEastAsia" w:hAnsiTheme="minorEastAsia" w:hint="eastAsia"/>
          <w:szCs w:val="21"/>
        </w:rPr>
        <w:t>，以及法律法规或中国证监会允许购买开放式证券投资基金的其他投资者</w:t>
      </w:r>
      <w:r w:rsidRPr="003307CA">
        <w:rPr>
          <w:rFonts w:asciiTheme="minorEastAsia" w:eastAsiaTheme="minorEastAsia" w:hAnsiTheme="minorEastAsia" w:hint="eastAsia"/>
        </w:rPr>
        <w:t>。</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rPr>
      </w:pPr>
      <w:bookmarkStart w:id="123" w:name="_Toc44351088"/>
      <w:r w:rsidRPr="003307CA">
        <w:rPr>
          <w:rFonts w:asciiTheme="minorEastAsia" w:eastAsiaTheme="minorEastAsia" w:hAnsiTheme="minorEastAsia" w:hint="eastAsia"/>
          <w:b w:val="0"/>
        </w:rPr>
        <w:t>二</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w:t>
      </w:r>
      <w:r w:rsidR="00B828C1" w:rsidRPr="003307CA">
        <w:rPr>
          <w:rFonts w:asciiTheme="minorEastAsia" w:eastAsiaTheme="minorEastAsia" w:hAnsiTheme="minorEastAsia" w:hint="eastAsia"/>
          <w:b w:val="0"/>
        </w:rPr>
        <w:t>与</w:t>
      </w:r>
      <w:r w:rsidRPr="003307CA">
        <w:rPr>
          <w:rFonts w:asciiTheme="minorEastAsia" w:eastAsiaTheme="minorEastAsia" w:hAnsiTheme="minorEastAsia" w:hint="eastAsia"/>
          <w:b w:val="0"/>
        </w:rPr>
        <w:t>赎回的场所</w:t>
      </w:r>
      <w:bookmarkEnd w:id="123"/>
    </w:p>
    <w:p w:rsidR="00B828C1" w:rsidRPr="003307CA" w:rsidRDefault="000E3083"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本基金的销售机构包括基金管理人和基金管理人委托的基金</w:t>
      </w:r>
      <w:r w:rsidR="003F76E7" w:rsidRPr="003307CA">
        <w:rPr>
          <w:rFonts w:asciiTheme="minorEastAsia" w:eastAsiaTheme="minorEastAsia" w:hAnsiTheme="minorEastAsia" w:hint="eastAsia"/>
        </w:rPr>
        <w:t>非直销销售</w:t>
      </w:r>
      <w:r w:rsidRPr="003307CA">
        <w:rPr>
          <w:rFonts w:asciiTheme="minorEastAsia" w:eastAsiaTheme="minorEastAsia" w:hAnsiTheme="minorEastAsia" w:hint="eastAsia"/>
        </w:rPr>
        <w:t>机构。具体的基金销售机构的名称、住所等内容详见</w:t>
      </w:r>
      <w:r w:rsidRPr="003307CA">
        <w:rPr>
          <w:rFonts w:asciiTheme="minorEastAsia" w:eastAsiaTheme="minorEastAsia" w:hAnsiTheme="minorEastAsia" w:hint="eastAsia"/>
          <w:szCs w:val="20"/>
        </w:rPr>
        <w:t>本招募说明书“</w:t>
      </w:r>
      <w:r w:rsidRPr="003307CA">
        <w:rPr>
          <w:rFonts w:asciiTheme="minorEastAsia" w:eastAsiaTheme="minorEastAsia" w:hAnsiTheme="minorEastAsia" w:hint="eastAsia"/>
        </w:rPr>
        <w:t>第十九节</w:t>
      </w:r>
      <w:r w:rsidRPr="003307CA">
        <w:rPr>
          <w:rFonts w:asciiTheme="minorEastAsia" w:eastAsiaTheme="minorEastAsia" w:hAnsiTheme="minorEastAsia" w:hint="eastAsia"/>
          <w:szCs w:val="20"/>
        </w:rPr>
        <w:t>相关服务机构”中“</w:t>
      </w:r>
      <w:r w:rsidRPr="003307CA">
        <w:rPr>
          <w:rFonts w:asciiTheme="minorEastAsia" w:eastAsiaTheme="minorEastAsia" w:hAnsiTheme="minorEastAsia" w:hint="eastAsia"/>
        </w:rPr>
        <w:t>一、</w:t>
      </w:r>
      <w:r w:rsidR="00DD17B6" w:rsidRPr="003307CA">
        <w:rPr>
          <w:rFonts w:asciiTheme="minorEastAsia" w:eastAsiaTheme="minorEastAsia" w:hAnsiTheme="minorEastAsia" w:hint="eastAsia"/>
        </w:rPr>
        <w:t>基金份额销售机构</w:t>
      </w:r>
      <w:r w:rsidRPr="003307CA">
        <w:rPr>
          <w:rFonts w:asciiTheme="minorEastAsia" w:eastAsiaTheme="minorEastAsia" w:hAnsiTheme="minorEastAsia" w:hint="eastAsia"/>
          <w:szCs w:val="20"/>
        </w:rPr>
        <w:t>”的相关</w:t>
      </w:r>
      <w:r w:rsidRPr="003307CA">
        <w:rPr>
          <w:rFonts w:asciiTheme="minorEastAsia" w:eastAsiaTheme="minorEastAsia" w:hAnsiTheme="minorEastAsia" w:hint="eastAsia"/>
        </w:rPr>
        <w:t>内容。</w:t>
      </w:r>
    </w:p>
    <w:p w:rsidR="000F6441" w:rsidRPr="003307CA" w:rsidRDefault="00B828C1" w:rsidP="00CE3F81">
      <w:pPr>
        <w:pStyle w:val="21"/>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3307CA">
        <w:rPr>
          <w:rFonts w:asciiTheme="minorEastAsia" w:eastAsiaTheme="minorEastAsia" w:hAnsiTheme="minorEastAsia" w:hint="eastAsia"/>
        </w:rPr>
        <w:t>基金投资者应当在销售机构办理基金销售业务的营业场所或按销售机构提供的其他方式办理基金份额的申购与赎回。基金管理人可根据情况变更基金</w:t>
      </w:r>
      <w:r w:rsidR="0035376D" w:rsidRPr="003307CA">
        <w:rPr>
          <w:rFonts w:asciiTheme="minorEastAsia" w:eastAsiaTheme="minorEastAsia" w:hAnsiTheme="minorEastAsia" w:hint="eastAsia"/>
        </w:rPr>
        <w:t>销售</w:t>
      </w:r>
      <w:r w:rsidRPr="003307CA">
        <w:rPr>
          <w:rFonts w:asciiTheme="minorEastAsia" w:eastAsiaTheme="minorEastAsia" w:hAnsiTheme="minorEastAsia" w:hint="eastAsia"/>
        </w:rPr>
        <w:t>机构，</w:t>
      </w:r>
      <w:r w:rsidR="00A2345B" w:rsidRPr="003307CA">
        <w:rPr>
          <w:rFonts w:asciiTheme="minorEastAsia" w:eastAsiaTheme="minorEastAsia" w:hAnsiTheme="minorEastAsia" w:hint="eastAsia"/>
        </w:rPr>
        <w:t>并在基金管理人网站公示</w:t>
      </w:r>
      <w:r w:rsidRPr="003307CA">
        <w:rPr>
          <w:rFonts w:asciiTheme="minorEastAsia" w:eastAsiaTheme="minorEastAsia" w:hAnsiTheme="minorEastAsia" w:hint="eastAsia"/>
        </w:rPr>
        <w:t>。</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4" w:name="_Toc44351089"/>
      <w:r w:rsidRPr="003307CA">
        <w:rPr>
          <w:rFonts w:asciiTheme="minorEastAsia" w:eastAsiaTheme="minorEastAsia" w:hAnsiTheme="minorEastAsia" w:hint="eastAsia"/>
          <w:b w:val="0"/>
        </w:rPr>
        <w:t>三</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w:t>
      </w:r>
      <w:r w:rsidR="006823CA" w:rsidRPr="003307CA">
        <w:rPr>
          <w:rFonts w:asciiTheme="minorEastAsia" w:eastAsiaTheme="minorEastAsia" w:hAnsiTheme="minorEastAsia" w:hint="eastAsia"/>
          <w:b w:val="0"/>
        </w:rPr>
        <w:t>和</w:t>
      </w:r>
      <w:r w:rsidRPr="003307CA">
        <w:rPr>
          <w:rFonts w:asciiTheme="minorEastAsia" w:eastAsiaTheme="minorEastAsia" w:hAnsiTheme="minorEastAsia" w:hint="eastAsia"/>
          <w:b w:val="0"/>
        </w:rPr>
        <w:t>赎回的</w:t>
      </w:r>
      <w:r w:rsidR="00F227F1" w:rsidRPr="003307CA">
        <w:rPr>
          <w:rFonts w:asciiTheme="minorEastAsia" w:eastAsiaTheme="minorEastAsia" w:hAnsiTheme="minorEastAsia" w:hint="eastAsia"/>
          <w:b w:val="0"/>
        </w:rPr>
        <w:t>开放日及</w:t>
      </w:r>
      <w:r w:rsidRPr="003307CA">
        <w:rPr>
          <w:rFonts w:asciiTheme="minorEastAsia" w:eastAsiaTheme="minorEastAsia" w:hAnsiTheme="minorEastAsia" w:hint="eastAsia"/>
          <w:b w:val="0"/>
        </w:rPr>
        <w:t>时间</w:t>
      </w:r>
      <w:bookmarkEnd w:id="124"/>
    </w:p>
    <w:p w:rsidR="002232FF" w:rsidRPr="003307CA" w:rsidRDefault="002232FF"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rPr>
        <w:t>本基金已于</w:t>
      </w:r>
      <w:r w:rsidRPr="003307CA">
        <w:rPr>
          <w:rFonts w:asciiTheme="minorEastAsia" w:eastAsiaTheme="minorEastAsia" w:hAnsiTheme="minorEastAsia"/>
          <w:kern w:val="0"/>
          <w:szCs w:val="21"/>
        </w:rPr>
        <w:t>20</w:t>
      </w:r>
      <w:r w:rsidRPr="003307CA">
        <w:rPr>
          <w:rFonts w:asciiTheme="minorEastAsia" w:eastAsiaTheme="minorEastAsia" w:hAnsiTheme="minorEastAsia" w:hint="eastAsia"/>
          <w:kern w:val="0"/>
          <w:szCs w:val="21"/>
        </w:rPr>
        <w:t>10</w:t>
      </w:r>
      <w:r w:rsidRPr="003307CA">
        <w:rPr>
          <w:rFonts w:asciiTheme="minorEastAsia" w:eastAsiaTheme="minorEastAsia" w:hAnsiTheme="minorEastAsia"/>
          <w:kern w:val="0"/>
          <w:szCs w:val="21"/>
        </w:rPr>
        <w:t>年</w:t>
      </w:r>
      <w:r w:rsidRPr="003307CA">
        <w:rPr>
          <w:rFonts w:asciiTheme="minorEastAsia" w:eastAsiaTheme="minorEastAsia" w:hAnsiTheme="minorEastAsia" w:hint="eastAsia"/>
          <w:kern w:val="0"/>
          <w:szCs w:val="21"/>
        </w:rPr>
        <w:t>4</w:t>
      </w:r>
      <w:r w:rsidRPr="003307CA">
        <w:rPr>
          <w:rFonts w:asciiTheme="minorEastAsia" w:eastAsiaTheme="minorEastAsia" w:hAnsiTheme="minorEastAsia"/>
          <w:kern w:val="0"/>
          <w:szCs w:val="21"/>
        </w:rPr>
        <w:t>月</w:t>
      </w:r>
      <w:r w:rsidRPr="003307CA">
        <w:rPr>
          <w:rFonts w:asciiTheme="minorEastAsia" w:eastAsiaTheme="minorEastAsia" w:hAnsiTheme="minorEastAsia" w:hint="eastAsia"/>
          <w:kern w:val="0"/>
          <w:szCs w:val="21"/>
        </w:rPr>
        <w:t>19</w:t>
      </w:r>
      <w:r w:rsidRPr="003307CA">
        <w:rPr>
          <w:rFonts w:asciiTheme="minorEastAsia" w:eastAsiaTheme="minorEastAsia" w:hAnsiTheme="minorEastAsia"/>
          <w:kern w:val="0"/>
          <w:szCs w:val="21"/>
        </w:rPr>
        <w:t>日起开始办理日常申购和赎回业务</w:t>
      </w:r>
      <w:r w:rsidR="000E3083" w:rsidRPr="003307CA">
        <w:rPr>
          <w:rFonts w:asciiTheme="minorEastAsia" w:eastAsiaTheme="minorEastAsia" w:hAnsiTheme="minorEastAsia" w:hint="eastAsia"/>
          <w:kern w:val="0"/>
          <w:szCs w:val="21"/>
        </w:rPr>
        <w:t>。</w:t>
      </w:r>
    </w:p>
    <w:p w:rsidR="00F227F1" w:rsidRPr="003307CA" w:rsidRDefault="00F227F1"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本基金申购和赎回的开放日为</w:t>
      </w:r>
      <w:r w:rsidR="000C71E2" w:rsidRPr="003307CA">
        <w:rPr>
          <w:rFonts w:asciiTheme="minorEastAsia" w:eastAsiaTheme="minorEastAsia" w:hAnsiTheme="minorEastAsia"/>
        </w:rPr>
        <w:t>上海证券交易所、深圳证券交易所</w:t>
      </w:r>
      <w:r w:rsidR="000C71E2" w:rsidRPr="003307CA">
        <w:rPr>
          <w:rFonts w:asciiTheme="minorEastAsia" w:eastAsiaTheme="minorEastAsia" w:hAnsiTheme="minorEastAsia" w:hint="eastAsia"/>
        </w:rPr>
        <w:t>以及境外主要投资场所</w:t>
      </w:r>
      <w:r w:rsidR="006E5AFB" w:rsidRPr="003307CA">
        <w:rPr>
          <w:rFonts w:asciiTheme="minorEastAsia" w:eastAsiaTheme="minorEastAsia" w:hAnsiTheme="minorEastAsia" w:hint="eastAsia"/>
        </w:rPr>
        <w:t>(香港证券交易所</w:t>
      </w:r>
      <w:r w:rsidR="003E5AE2" w:rsidRPr="003307CA">
        <w:rPr>
          <w:rFonts w:asciiTheme="minorEastAsia" w:eastAsiaTheme="minorEastAsia" w:hAnsiTheme="minorEastAsia" w:hint="eastAsia"/>
        </w:rPr>
        <w:t>、纽约证券交易所和纳斯达克证券交易所</w:t>
      </w:r>
      <w:r w:rsidR="00430B3A" w:rsidRPr="003307CA">
        <w:rPr>
          <w:rFonts w:asciiTheme="minorEastAsia" w:eastAsiaTheme="minorEastAsia" w:hAnsiTheme="minorEastAsia" w:hint="eastAsia"/>
        </w:rPr>
        <w:t>等</w:t>
      </w:r>
      <w:r w:rsidR="006E5AFB" w:rsidRPr="003307CA">
        <w:rPr>
          <w:rFonts w:asciiTheme="minorEastAsia" w:eastAsiaTheme="minorEastAsia" w:hAnsiTheme="minorEastAsia" w:hint="eastAsia"/>
        </w:rPr>
        <w:t>)</w:t>
      </w:r>
      <w:r w:rsidR="001B6E9A" w:rsidRPr="003307CA">
        <w:rPr>
          <w:rFonts w:asciiTheme="minorEastAsia" w:eastAsiaTheme="minorEastAsia" w:hAnsiTheme="minorEastAsia" w:hint="eastAsia"/>
        </w:rPr>
        <w:t>同时开放的每个工作日</w:t>
      </w:r>
      <w:r w:rsidR="00E9019D" w:rsidRPr="003307CA">
        <w:rPr>
          <w:rFonts w:asciiTheme="minorEastAsia" w:eastAsiaTheme="minorEastAsia" w:hAnsiTheme="minorEastAsia" w:hint="eastAsia"/>
        </w:rPr>
        <w:t>，</w:t>
      </w:r>
      <w:r w:rsidR="00B07886" w:rsidRPr="003307CA">
        <w:rPr>
          <w:rFonts w:asciiTheme="minorEastAsia" w:eastAsiaTheme="minorEastAsia" w:hAnsiTheme="minorEastAsia" w:hint="eastAsia"/>
        </w:rPr>
        <w:t>但基金管理人根据法律法规、中国证监会的要求或本基金合同的规定公告暂停申购、赎回时除外。</w:t>
      </w:r>
    </w:p>
    <w:p w:rsidR="00F227F1" w:rsidRPr="003307CA" w:rsidRDefault="00F227F1"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管理人可与销售机构约定，在开放日的其他时间受理投资者的申购、赎回申请，但是对于投资者在非开放时间提出的申购、赎回申请，其基金份额申购、赎回价格为下次办理基金份额申购、赎回时间所在开放日的价格。</w:t>
      </w:r>
    </w:p>
    <w:p w:rsidR="00F227F1" w:rsidRPr="003307CA" w:rsidRDefault="00F227F1"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若</w:t>
      </w:r>
      <w:r w:rsidR="00B07886" w:rsidRPr="003307CA">
        <w:rPr>
          <w:rFonts w:asciiTheme="minorEastAsia" w:eastAsiaTheme="minorEastAsia" w:hAnsiTheme="minorEastAsia" w:hint="eastAsia"/>
        </w:rPr>
        <w:t>本基金的主要交易市场发生变化</w:t>
      </w:r>
      <w:r w:rsidRPr="003307CA">
        <w:rPr>
          <w:rFonts w:asciiTheme="minorEastAsia" w:eastAsiaTheme="minorEastAsia" w:hAnsiTheme="minorEastAsia" w:hint="eastAsia"/>
        </w:rPr>
        <w:t>或交易所交易时间更改或实际情况需要，基金管理人可对申购、赎回</w:t>
      </w:r>
      <w:r w:rsidR="00B07886" w:rsidRPr="003307CA">
        <w:rPr>
          <w:rFonts w:asciiTheme="minorEastAsia" w:eastAsiaTheme="minorEastAsia" w:hAnsiTheme="minorEastAsia" w:hint="eastAsia"/>
        </w:rPr>
        <w:t>的开放日和</w:t>
      </w:r>
      <w:r w:rsidRPr="003307CA">
        <w:rPr>
          <w:rFonts w:asciiTheme="minorEastAsia" w:eastAsiaTheme="minorEastAsia" w:hAnsiTheme="minorEastAsia" w:hint="eastAsia"/>
        </w:rPr>
        <w:t>时间进行调整，但</w:t>
      </w:r>
      <w:r w:rsidR="00C248D4" w:rsidRPr="003307CA">
        <w:rPr>
          <w:rFonts w:asciiTheme="minorEastAsia" w:eastAsiaTheme="minorEastAsia" w:hAnsiTheme="minorEastAsia" w:hint="eastAsia"/>
          <w:szCs w:val="21"/>
        </w:rPr>
        <w:t>应在实施</w:t>
      </w:r>
      <w:r w:rsidR="00AD1BC0" w:rsidRPr="003307CA">
        <w:rPr>
          <w:rFonts w:asciiTheme="minorEastAsia" w:eastAsiaTheme="minorEastAsia" w:hAnsiTheme="minorEastAsia" w:hint="eastAsia"/>
          <w:szCs w:val="21"/>
        </w:rPr>
        <w:t>日</w:t>
      </w:r>
      <w:r w:rsidR="00C248D4" w:rsidRPr="003307CA">
        <w:rPr>
          <w:rFonts w:asciiTheme="minorEastAsia" w:eastAsiaTheme="minorEastAsia" w:hAnsiTheme="minorEastAsia" w:hint="eastAsia"/>
          <w:szCs w:val="21"/>
        </w:rPr>
        <w:t>前依照《信息披露办法》的有关规定在</w:t>
      </w:r>
      <w:r w:rsidR="000964B0" w:rsidRPr="003307CA">
        <w:rPr>
          <w:rFonts w:asciiTheme="minorEastAsia" w:eastAsiaTheme="minorEastAsia" w:hAnsiTheme="minorEastAsia" w:hint="eastAsia"/>
        </w:rPr>
        <w:t>指定媒介</w:t>
      </w:r>
      <w:r w:rsidR="00C248D4" w:rsidRPr="003307CA">
        <w:rPr>
          <w:rFonts w:asciiTheme="minorEastAsia" w:eastAsiaTheme="minorEastAsia" w:hAnsiTheme="minorEastAsia" w:hint="eastAsia"/>
          <w:szCs w:val="21"/>
        </w:rPr>
        <w:t>上公告。</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5" w:name="_Toc44351090"/>
      <w:r w:rsidRPr="003307CA">
        <w:rPr>
          <w:rFonts w:asciiTheme="minorEastAsia" w:eastAsiaTheme="minorEastAsia" w:hAnsiTheme="minorEastAsia" w:hint="eastAsia"/>
          <w:b w:val="0"/>
        </w:rPr>
        <w:t>四</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w:t>
      </w:r>
      <w:r w:rsidR="007A18CE" w:rsidRPr="003307CA">
        <w:rPr>
          <w:rFonts w:asciiTheme="minorEastAsia" w:eastAsiaTheme="minorEastAsia" w:hAnsiTheme="minorEastAsia" w:hint="eastAsia"/>
          <w:b w:val="0"/>
        </w:rPr>
        <w:t>与</w:t>
      </w:r>
      <w:r w:rsidRPr="003307CA">
        <w:rPr>
          <w:rFonts w:asciiTheme="minorEastAsia" w:eastAsiaTheme="minorEastAsia" w:hAnsiTheme="minorEastAsia" w:hint="eastAsia"/>
          <w:b w:val="0"/>
        </w:rPr>
        <w:t>赎回的原则</w:t>
      </w:r>
      <w:bookmarkEnd w:id="125"/>
    </w:p>
    <w:p w:rsidR="007A18CE" w:rsidRPr="003307CA" w:rsidRDefault="007A18C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1</w:t>
      </w:r>
      <w:r w:rsidR="00D972A4" w:rsidRPr="003307CA">
        <w:rPr>
          <w:rFonts w:asciiTheme="minorEastAsia" w:eastAsiaTheme="minorEastAsia" w:hAnsiTheme="minorEastAsia" w:hint="eastAsia"/>
        </w:rPr>
        <w:t>、</w:t>
      </w:r>
      <w:r w:rsidRPr="003307CA">
        <w:rPr>
          <w:rFonts w:asciiTheme="minorEastAsia" w:eastAsiaTheme="minorEastAsia" w:hAnsiTheme="minorEastAsia" w:hint="eastAsia"/>
        </w:rPr>
        <w:t>“未知价”原则，即申购、赎回价格以申请当日收市后计算的基金份额净值为基准进行计算；</w:t>
      </w:r>
    </w:p>
    <w:p w:rsidR="007A18CE" w:rsidRPr="003307CA" w:rsidRDefault="007A18C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2</w:t>
      </w:r>
      <w:r w:rsidR="00D972A4" w:rsidRPr="003307CA">
        <w:rPr>
          <w:rFonts w:asciiTheme="minorEastAsia" w:eastAsiaTheme="minorEastAsia" w:hAnsiTheme="minorEastAsia" w:hint="eastAsia"/>
        </w:rPr>
        <w:t>、</w:t>
      </w:r>
      <w:r w:rsidRPr="003307CA">
        <w:rPr>
          <w:rFonts w:asciiTheme="minorEastAsia" w:eastAsiaTheme="minorEastAsia" w:hAnsiTheme="minorEastAsia" w:hint="eastAsia"/>
        </w:rPr>
        <w:t>“金额申购、份额赎回”原则，即申购以金额申请，赎回以份额申请；</w:t>
      </w:r>
    </w:p>
    <w:p w:rsidR="007A18CE" w:rsidRPr="003307CA" w:rsidRDefault="007A18C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D972A4" w:rsidRPr="003307CA">
        <w:rPr>
          <w:rFonts w:asciiTheme="minorEastAsia" w:eastAsiaTheme="minorEastAsia" w:hAnsiTheme="minorEastAsia" w:hint="eastAsia"/>
        </w:rPr>
        <w:t>、</w:t>
      </w:r>
      <w:r w:rsidRPr="003307CA">
        <w:rPr>
          <w:rFonts w:asciiTheme="minorEastAsia" w:eastAsiaTheme="minorEastAsia" w:hAnsiTheme="minorEastAsia" w:hint="eastAsia"/>
        </w:rPr>
        <w:t>当日的申购与赎回申请可以在基金管理人规定的时间以内撤销；</w:t>
      </w:r>
    </w:p>
    <w:p w:rsidR="001B3D1F" w:rsidRPr="003307CA" w:rsidRDefault="001B3D1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D972A4" w:rsidRPr="003307CA">
        <w:rPr>
          <w:rFonts w:asciiTheme="minorEastAsia" w:eastAsiaTheme="minorEastAsia" w:hAnsiTheme="minorEastAsia" w:hint="eastAsia"/>
        </w:rPr>
        <w:t>、</w:t>
      </w:r>
      <w:r w:rsidRPr="003307CA">
        <w:rPr>
          <w:rFonts w:asciiTheme="minorEastAsia" w:eastAsiaTheme="minorEastAsia" w:hAnsiTheme="minorEastAsia" w:hint="eastAsia"/>
        </w:rPr>
        <w:t>基金份额持有人赎回时，基金管理人按先进先出的原则，对该持有人账户在该销售机构托管的基金份额进行处理，即先确认的份额先赎回，后确认的份额后赎回；</w:t>
      </w:r>
    </w:p>
    <w:p w:rsidR="0064594E" w:rsidRPr="003307CA" w:rsidRDefault="001B3D1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00D972A4" w:rsidRPr="003307CA">
        <w:rPr>
          <w:rFonts w:asciiTheme="minorEastAsia" w:eastAsiaTheme="minorEastAsia" w:hAnsiTheme="minorEastAsia" w:hint="eastAsia"/>
        </w:rPr>
        <w:t>、</w:t>
      </w:r>
      <w:r w:rsidR="007A18CE" w:rsidRPr="003307CA">
        <w:rPr>
          <w:rFonts w:asciiTheme="minorEastAsia" w:eastAsiaTheme="minorEastAsia" w:hAnsiTheme="minorEastAsia" w:hint="eastAsia"/>
        </w:rPr>
        <w:t>基金管理人可根据基金运作的实际情况并在不影响基金份额持有人实质利益的前提下调整上述原则。基金管理人必须在新规则开始实施前按照《信息披露办法》的有关规定在</w:t>
      </w:r>
      <w:r w:rsidR="000964B0" w:rsidRPr="003307CA">
        <w:rPr>
          <w:rFonts w:asciiTheme="minorEastAsia" w:eastAsiaTheme="minorEastAsia" w:hAnsiTheme="minorEastAsia" w:hint="eastAsia"/>
        </w:rPr>
        <w:lastRenderedPageBreak/>
        <w:t>指定媒介</w:t>
      </w:r>
      <w:r w:rsidR="007A18CE" w:rsidRPr="003307CA">
        <w:rPr>
          <w:rFonts w:asciiTheme="minorEastAsia" w:eastAsiaTheme="minorEastAsia" w:hAnsiTheme="minorEastAsia" w:hint="eastAsia"/>
        </w:rPr>
        <w:t>公告。</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6" w:name="_Toc44351091"/>
      <w:r w:rsidRPr="003307CA">
        <w:rPr>
          <w:rFonts w:asciiTheme="minorEastAsia" w:eastAsiaTheme="minorEastAsia" w:hAnsiTheme="minorEastAsia" w:hint="eastAsia"/>
          <w:b w:val="0"/>
        </w:rPr>
        <w:t>五</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w:t>
      </w:r>
      <w:r w:rsidR="006823CA" w:rsidRPr="003307CA">
        <w:rPr>
          <w:rFonts w:asciiTheme="minorEastAsia" w:eastAsiaTheme="minorEastAsia" w:hAnsiTheme="minorEastAsia" w:hint="eastAsia"/>
          <w:b w:val="0"/>
        </w:rPr>
        <w:t>和</w:t>
      </w:r>
      <w:r w:rsidRPr="003307CA">
        <w:rPr>
          <w:rFonts w:asciiTheme="minorEastAsia" w:eastAsiaTheme="minorEastAsia" w:hAnsiTheme="minorEastAsia" w:hint="eastAsia"/>
          <w:b w:val="0"/>
        </w:rPr>
        <w:t>赎回的程序</w:t>
      </w:r>
      <w:bookmarkEnd w:id="126"/>
    </w:p>
    <w:p w:rsidR="0064594E"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4594E" w:rsidRPr="003307CA">
        <w:rPr>
          <w:rFonts w:asciiTheme="minorEastAsia" w:eastAsiaTheme="minorEastAsia" w:hAnsiTheme="minorEastAsia" w:hint="eastAsia"/>
        </w:rPr>
        <w:t>申请方式</w:t>
      </w:r>
    </w:p>
    <w:p w:rsidR="00E50ECC" w:rsidRPr="003307CA" w:rsidRDefault="00E50EC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基金投资者必须根据基金销售机构规定的程序，在开放日的业务办理时间向基金销售机构提出申购或赎回的申请。</w:t>
      </w:r>
    </w:p>
    <w:p w:rsidR="0064594E" w:rsidRPr="003307CA" w:rsidRDefault="00E50EC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投资者在申购本基金时须按销售机构规定的方式备足申购资金,投资者在提交赎回申请时，必须有足够的基金份额余额，否则所提交的申购、赎回的申请将可能无效而不予成交。</w:t>
      </w:r>
    </w:p>
    <w:p w:rsidR="0064594E"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64594E" w:rsidRPr="003307CA">
        <w:rPr>
          <w:rFonts w:asciiTheme="minorEastAsia" w:eastAsiaTheme="minorEastAsia" w:hAnsiTheme="minorEastAsia" w:hint="eastAsia"/>
        </w:rPr>
        <w:t>申购</w:t>
      </w:r>
      <w:r w:rsidR="006823CA" w:rsidRPr="003307CA">
        <w:rPr>
          <w:rFonts w:asciiTheme="minorEastAsia" w:eastAsiaTheme="minorEastAsia" w:hAnsiTheme="minorEastAsia" w:hint="eastAsia"/>
        </w:rPr>
        <w:t>与</w:t>
      </w:r>
      <w:r w:rsidR="0064594E" w:rsidRPr="003307CA">
        <w:rPr>
          <w:rFonts w:asciiTheme="minorEastAsia" w:eastAsiaTheme="minorEastAsia" w:hAnsiTheme="minorEastAsia" w:hint="eastAsia"/>
        </w:rPr>
        <w:t>赎回申请的确认</w:t>
      </w:r>
    </w:p>
    <w:p w:rsidR="0064594E" w:rsidRPr="003307CA" w:rsidRDefault="00B0554E" w:rsidP="00CE3F8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3307CA">
        <w:rPr>
          <w:rFonts w:asciiTheme="minorEastAsia" w:eastAsiaTheme="minorEastAsia" w:hAnsiTheme="minorEastAsia"/>
          <w:kern w:val="0"/>
          <w:szCs w:val="21"/>
        </w:rPr>
        <w:t>正常情况下</w:t>
      </w:r>
      <w:r w:rsidRPr="003307CA">
        <w:rPr>
          <w:rFonts w:asciiTheme="minorEastAsia" w:eastAsiaTheme="minorEastAsia" w:hAnsiTheme="minorEastAsia" w:hint="eastAsia"/>
          <w:kern w:val="0"/>
          <w:szCs w:val="21"/>
        </w:rPr>
        <w:t>，</w:t>
      </w:r>
      <w:r w:rsidRPr="003307CA">
        <w:rPr>
          <w:rFonts w:asciiTheme="minorEastAsia" w:eastAsiaTheme="minorEastAsia" w:hAnsiTheme="minorEastAsia"/>
          <w:kern w:val="0"/>
          <w:szCs w:val="21"/>
        </w:rPr>
        <w:t>基金管理人应当自收到</w:t>
      </w:r>
      <w:r w:rsidR="0066417F" w:rsidRPr="003307CA">
        <w:rPr>
          <w:rFonts w:asciiTheme="minorEastAsia" w:eastAsiaTheme="minorEastAsia" w:hAnsiTheme="minorEastAsia"/>
          <w:kern w:val="0"/>
          <w:szCs w:val="21"/>
        </w:rPr>
        <w:t>投资</w:t>
      </w:r>
      <w:r w:rsidR="0066417F" w:rsidRPr="003307CA">
        <w:rPr>
          <w:rFonts w:asciiTheme="minorEastAsia" w:eastAsiaTheme="minorEastAsia" w:hAnsiTheme="minorEastAsia" w:hint="eastAsia"/>
          <w:kern w:val="0"/>
          <w:szCs w:val="21"/>
        </w:rPr>
        <w:t>者</w:t>
      </w:r>
      <w:r w:rsidRPr="003307CA">
        <w:rPr>
          <w:rFonts w:asciiTheme="minorEastAsia" w:eastAsiaTheme="minorEastAsia" w:hAnsiTheme="minorEastAsia"/>
          <w:kern w:val="0"/>
          <w:szCs w:val="21"/>
        </w:rPr>
        <w:t>申购、赎回申请的开放日起三个工作日内，对该申购、赎回的有效性进行确认</w:t>
      </w:r>
      <w:r w:rsidR="00E50ECC" w:rsidRPr="003307CA">
        <w:rPr>
          <w:rFonts w:asciiTheme="minorEastAsia" w:eastAsiaTheme="minorEastAsia" w:hAnsiTheme="minorEastAsia" w:hint="eastAsia"/>
        </w:rPr>
        <w:t>。</w:t>
      </w:r>
      <w:r w:rsidR="00E50ECC" w:rsidRPr="003307CA">
        <w:rPr>
          <w:rFonts w:asciiTheme="minorEastAsia" w:eastAsiaTheme="minorEastAsia" w:hAnsiTheme="minorEastAsia" w:hint="eastAsia"/>
          <w:kern w:val="0"/>
          <w:szCs w:val="21"/>
        </w:rPr>
        <w:t>投资者应在</w:t>
      </w:r>
      <w:r w:rsidR="00E50ECC" w:rsidRPr="003307CA">
        <w:rPr>
          <w:rFonts w:asciiTheme="minorEastAsia" w:eastAsiaTheme="minorEastAsia" w:hAnsiTheme="minorEastAsia" w:cs="Arial"/>
          <w:kern w:val="0"/>
          <w:szCs w:val="21"/>
        </w:rPr>
        <w:t>T+3</w:t>
      </w:r>
      <w:r w:rsidR="00E50ECC" w:rsidRPr="003307CA">
        <w:rPr>
          <w:rFonts w:asciiTheme="minorEastAsia" w:eastAsiaTheme="minorEastAsia" w:hAnsiTheme="minorEastAsia" w:hint="eastAsia"/>
          <w:kern w:val="0"/>
          <w:szCs w:val="21"/>
        </w:rPr>
        <w:t>日（包括该日）后及时到销售网点柜台或以销售机构规定的其他方式查询申请与赎回的确认情况。如因申请未得到注册登记机构的确认而造成的损失，由投资者自行承担。</w:t>
      </w:r>
    </w:p>
    <w:p w:rsidR="0064594E"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64594E" w:rsidRPr="003307CA">
        <w:rPr>
          <w:rFonts w:asciiTheme="minorEastAsia" w:eastAsiaTheme="minorEastAsia" w:hAnsiTheme="minorEastAsia" w:hint="eastAsia"/>
        </w:rPr>
        <w:t>申购和赎回的款项支付</w:t>
      </w:r>
    </w:p>
    <w:p w:rsidR="00E50ECC" w:rsidRPr="003307CA" w:rsidRDefault="00E50EC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申购采用全额缴款方式，若申购资金在规定时间内未全额到账则申购不成功，若申购不成功或无效，申购款项将退回投资者账户。</w:t>
      </w:r>
    </w:p>
    <w:p w:rsidR="0064594E" w:rsidRPr="003307CA" w:rsidRDefault="00E50EC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投资者</w:t>
      </w:r>
      <w:r w:rsidRPr="003307CA">
        <w:rPr>
          <w:rFonts w:asciiTheme="minorEastAsia" w:eastAsiaTheme="minorEastAsia" w:hAnsiTheme="minorEastAsia" w:hint="eastAsia"/>
          <w:szCs w:val="21"/>
        </w:rPr>
        <w:t>T日</w:t>
      </w:r>
      <w:r w:rsidRPr="003307CA">
        <w:rPr>
          <w:rFonts w:asciiTheme="minorEastAsia" w:eastAsiaTheme="minorEastAsia" w:hAnsiTheme="minorEastAsia" w:hint="eastAsia"/>
        </w:rPr>
        <w:t>赎回申请成功后，基金管理人将通过基金注册登记机构及其相关基金销售机构在</w:t>
      </w:r>
      <w:r w:rsidRPr="003307CA">
        <w:rPr>
          <w:rFonts w:asciiTheme="minorEastAsia" w:eastAsiaTheme="minorEastAsia" w:hAnsiTheme="minorEastAsia"/>
        </w:rPr>
        <w:t>T</w:t>
      </w:r>
      <w:r w:rsidRPr="003307CA">
        <w:rPr>
          <w:rFonts w:asciiTheme="minorEastAsia" w:eastAsiaTheme="minorEastAsia" w:hAnsiTheme="minorEastAsia" w:hint="eastAsia"/>
        </w:rPr>
        <w:t>＋10日</w:t>
      </w:r>
      <w:r w:rsidR="0066417F" w:rsidRPr="003307CA">
        <w:rPr>
          <w:rFonts w:asciiTheme="minorEastAsia" w:eastAsiaTheme="minorEastAsia" w:hAnsiTheme="minorEastAsia" w:hint="eastAsia"/>
        </w:rPr>
        <w:t>（包括该日）</w:t>
      </w:r>
      <w:r w:rsidRPr="003307CA">
        <w:rPr>
          <w:rFonts w:asciiTheme="minorEastAsia" w:eastAsiaTheme="minorEastAsia" w:hAnsiTheme="minorEastAsia" w:hint="eastAsia"/>
        </w:rPr>
        <w:t>内将赎回款项划往基金份额持有人账户</w:t>
      </w:r>
      <w:r w:rsidR="007E3748" w:rsidRPr="003307CA">
        <w:rPr>
          <w:rFonts w:asciiTheme="minorEastAsia" w:eastAsiaTheme="minorEastAsia" w:hAnsiTheme="minorEastAsia" w:hint="eastAsia"/>
        </w:rPr>
        <w:t>，当遇基金投资主要市场休市或暂停交易时顺延</w:t>
      </w:r>
      <w:r w:rsidRPr="003307CA">
        <w:rPr>
          <w:rFonts w:asciiTheme="minorEastAsia" w:eastAsiaTheme="minorEastAsia" w:hAnsiTheme="minorEastAsia" w:hint="eastAsia"/>
        </w:rPr>
        <w:t>。在发生巨额赎回的情形时，款项的支付办法参照《基金合同》的有关条款处理。</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7" w:name="_Toc44351092"/>
      <w:r w:rsidRPr="003307CA">
        <w:rPr>
          <w:rFonts w:asciiTheme="minorEastAsia" w:eastAsiaTheme="minorEastAsia" w:hAnsiTheme="minorEastAsia" w:hint="eastAsia"/>
          <w:b w:val="0"/>
        </w:rPr>
        <w:t>六</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w:t>
      </w:r>
      <w:r w:rsidR="006823CA" w:rsidRPr="003307CA">
        <w:rPr>
          <w:rFonts w:asciiTheme="minorEastAsia" w:eastAsiaTheme="minorEastAsia" w:hAnsiTheme="minorEastAsia" w:hint="eastAsia"/>
          <w:b w:val="0"/>
        </w:rPr>
        <w:t>和</w:t>
      </w:r>
      <w:r w:rsidRPr="003307CA">
        <w:rPr>
          <w:rFonts w:asciiTheme="minorEastAsia" w:eastAsiaTheme="minorEastAsia" w:hAnsiTheme="minorEastAsia" w:hint="eastAsia"/>
          <w:b w:val="0"/>
        </w:rPr>
        <w:t>赎回的数额限制</w:t>
      </w:r>
      <w:bookmarkEnd w:id="127"/>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申购基金的金额限制</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投资者通过</w:t>
      </w:r>
      <w:r w:rsidR="003F76E7" w:rsidRPr="003307CA">
        <w:rPr>
          <w:rStyle w:val="da"/>
          <w:rFonts w:asciiTheme="minorEastAsia" w:eastAsiaTheme="minorEastAsia" w:hAnsiTheme="minorEastAsia" w:hint="eastAsia"/>
        </w:rPr>
        <w:t>非直销销售机构</w:t>
      </w:r>
      <w:r w:rsidRPr="003307CA">
        <w:rPr>
          <w:rFonts w:asciiTheme="minorEastAsia" w:eastAsiaTheme="minorEastAsia" w:hAnsiTheme="minorEastAsia" w:hint="eastAsia"/>
        </w:rPr>
        <w:t>或本公司网上交易系统首次申购的单笔最低金额为1元人民币，</w:t>
      </w:r>
      <w:r w:rsidR="000D6E0C" w:rsidRPr="003307CA">
        <w:rPr>
          <w:rFonts w:asciiTheme="minorEastAsia" w:eastAsiaTheme="minorEastAsia" w:hAnsiTheme="minorEastAsia" w:hint="eastAsia"/>
        </w:rPr>
        <w:t>追加申购单笔最低限额为1元人民币；</w:t>
      </w:r>
      <w:r w:rsidRPr="003307CA">
        <w:rPr>
          <w:rFonts w:asciiTheme="minorEastAsia" w:eastAsiaTheme="minorEastAsia" w:hAnsiTheme="minorEastAsia" w:hint="eastAsia"/>
        </w:rPr>
        <w:t>通过</w:t>
      </w:r>
      <w:r w:rsidR="00806C0D" w:rsidRPr="003307CA">
        <w:rPr>
          <w:rFonts w:asciiTheme="minorEastAsia" w:eastAsiaTheme="minorEastAsia" w:hAnsiTheme="minorEastAsia" w:hint="eastAsia"/>
        </w:rPr>
        <w:t>直销</w:t>
      </w:r>
      <w:r w:rsidRPr="003307CA">
        <w:rPr>
          <w:rFonts w:asciiTheme="minorEastAsia" w:eastAsiaTheme="minorEastAsia" w:hAnsiTheme="minorEastAsia" w:hint="eastAsia"/>
        </w:rPr>
        <w:t>中心首次申购的单笔最低金额为50000元人民币，追加申购</w:t>
      </w:r>
      <w:r w:rsidR="00305955" w:rsidRPr="003307CA">
        <w:rPr>
          <w:rFonts w:asciiTheme="minorEastAsia" w:eastAsiaTheme="minorEastAsia" w:hAnsiTheme="minorEastAsia" w:hint="eastAsia"/>
        </w:rPr>
        <w:t>单笔</w:t>
      </w:r>
      <w:r w:rsidRPr="003307CA">
        <w:rPr>
          <w:rFonts w:asciiTheme="minorEastAsia" w:eastAsiaTheme="minorEastAsia" w:hAnsiTheme="minorEastAsia" w:hint="eastAsia"/>
        </w:rPr>
        <w:t>最低金额为1000元人民币。</w:t>
      </w:r>
      <w:r w:rsidR="00BF0E3C" w:rsidRPr="003307CA">
        <w:rPr>
          <w:rFonts w:asciiTheme="minorEastAsia" w:eastAsiaTheme="minorEastAsia" w:hAnsiTheme="minorEastAsia" w:hint="eastAsia"/>
        </w:rPr>
        <w:t>在法律法规规定的前提下，</w:t>
      </w:r>
      <w:r w:rsidRPr="003307CA">
        <w:rPr>
          <w:rFonts w:asciiTheme="minorEastAsia" w:eastAsiaTheme="minorEastAsia" w:hAnsiTheme="minorEastAsia" w:hint="eastAsia"/>
        </w:rPr>
        <w:t>各</w:t>
      </w:r>
      <w:r w:rsidR="000D6E0C" w:rsidRPr="003307CA">
        <w:rPr>
          <w:rFonts w:asciiTheme="minorEastAsia" w:eastAsiaTheme="minorEastAsia" w:hAnsiTheme="minorEastAsia" w:hint="eastAsia"/>
        </w:rPr>
        <w:t>销售</w:t>
      </w:r>
      <w:r w:rsidRPr="003307CA">
        <w:rPr>
          <w:rFonts w:asciiTheme="minorEastAsia" w:eastAsiaTheme="minorEastAsia" w:hAnsiTheme="minorEastAsia" w:hint="eastAsia"/>
        </w:rPr>
        <w:t>机构对最低申购限额及交易级差有其他规定的</w:t>
      </w:r>
      <w:r w:rsidR="00E452BC" w:rsidRPr="003307CA">
        <w:rPr>
          <w:rFonts w:asciiTheme="minorEastAsia" w:eastAsiaTheme="minorEastAsia" w:hAnsiTheme="minorEastAsia" w:hint="eastAsia"/>
        </w:rPr>
        <w:t>，</w:t>
      </w:r>
      <w:r w:rsidR="002758F6" w:rsidRPr="003307CA">
        <w:rPr>
          <w:rFonts w:asciiTheme="minorEastAsia" w:eastAsiaTheme="minorEastAsia" w:hAnsiTheme="minorEastAsia" w:hint="eastAsia"/>
        </w:rPr>
        <w:t>需同时遵循该销售机构的相关规定</w:t>
      </w:r>
      <w:r w:rsidRPr="003307CA">
        <w:rPr>
          <w:rFonts w:asciiTheme="minorEastAsia" w:eastAsiaTheme="minorEastAsia" w:hAnsiTheme="minorEastAsia" w:hint="eastAsia"/>
        </w:rPr>
        <w:t>。</w:t>
      </w:r>
      <w:r w:rsidR="000D6E0C" w:rsidRPr="003307CA">
        <w:rPr>
          <w:rFonts w:asciiTheme="minorEastAsia" w:eastAsiaTheme="minorEastAsia" w:hAnsiTheme="minorEastAsia" w:hint="eastAsia"/>
        </w:rPr>
        <w:t>（以上金额均含申购费）</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投资者将当期分配的基金收益转购基金份额或采用定期定额投资计划时，不受最低申购金额的限制。</w:t>
      </w:r>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投资者可多次申购，对单个投资者累计持有份额不设上限限制。</w:t>
      </w:r>
      <w:r w:rsidR="00FC27E4" w:rsidRPr="003307CA">
        <w:rPr>
          <w:rFonts w:asciiTheme="minorEastAsia" w:eastAsiaTheme="minorEastAsia" w:hAnsiTheme="minorEastAsia" w:hint="eastAsia"/>
          <w:szCs w:val="21"/>
        </w:rPr>
        <w:t>但对于可能导致单一投资者持有基金份额的比例达到或者超过</w:t>
      </w:r>
      <w:r w:rsidR="00FC27E4" w:rsidRPr="003307CA">
        <w:rPr>
          <w:rFonts w:asciiTheme="minorEastAsia" w:eastAsiaTheme="minorEastAsia" w:hAnsiTheme="minorEastAsia"/>
          <w:szCs w:val="21"/>
        </w:rPr>
        <w:t>50%，或者变相规避50%集中度的情形，基金管理人有权采取控制措施。</w:t>
      </w:r>
      <w:r w:rsidR="00FC27E4" w:rsidRPr="003307CA">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3307CA">
        <w:rPr>
          <w:rFonts w:asciiTheme="minorEastAsia" w:eastAsiaTheme="minorEastAsia" w:hAnsiTheme="minorEastAsia" w:hint="eastAsia"/>
        </w:rPr>
        <w:t>法</w:t>
      </w:r>
      <w:r w:rsidRPr="003307CA">
        <w:rPr>
          <w:rFonts w:asciiTheme="minorEastAsia" w:eastAsiaTheme="minorEastAsia" w:hAnsiTheme="minorEastAsia" w:hint="eastAsia"/>
        </w:rPr>
        <w:lastRenderedPageBreak/>
        <w:t>律法规、中国证监会另有规定的除外。</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bookmarkStart w:id="128" w:name="OLE_LINK2"/>
      <w:r w:rsidRPr="003307CA">
        <w:rPr>
          <w:rFonts w:asciiTheme="minorEastAsia" w:eastAsiaTheme="minorEastAsia" w:hAnsiTheme="minorEastAsia" w:hint="eastAsia"/>
          <w:szCs w:val="21"/>
        </w:rPr>
        <w:t>2</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赎回的份额限制</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投资者可将其全部或部分基金单位赎回。单笔赎回或转换不得少于</w:t>
      </w:r>
      <w:r w:rsidRPr="003307CA">
        <w:rPr>
          <w:rFonts w:asciiTheme="minorEastAsia" w:eastAsiaTheme="minorEastAsia" w:hAnsiTheme="minorEastAsia" w:hint="eastAsia"/>
          <w:szCs w:val="21"/>
        </w:rPr>
        <w:t>1</w:t>
      </w:r>
      <w:r w:rsidRPr="003307CA">
        <w:rPr>
          <w:rFonts w:asciiTheme="minorEastAsia" w:eastAsiaTheme="minorEastAsia" w:hAnsiTheme="minorEastAsia"/>
          <w:szCs w:val="21"/>
        </w:rPr>
        <w:t>份(</w:t>
      </w:r>
      <w:r w:rsidR="00C7734A" w:rsidRPr="003307CA">
        <w:rPr>
          <w:rFonts w:asciiTheme="minorEastAsia" w:eastAsiaTheme="minorEastAsia" w:hAnsiTheme="minorEastAsia"/>
          <w:szCs w:val="21"/>
        </w:rPr>
        <w:t>如该</w:t>
      </w:r>
      <w:r w:rsidR="00C7734A" w:rsidRPr="003307CA">
        <w:rPr>
          <w:rFonts w:asciiTheme="minorEastAsia" w:eastAsiaTheme="minorEastAsia" w:hAnsiTheme="minorEastAsia" w:hint="eastAsia"/>
          <w:szCs w:val="21"/>
        </w:rPr>
        <w:t>账户</w:t>
      </w:r>
      <w:r w:rsidR="00C7734A" w:rsidRPr="003307CA">
        <w:rPr>
          <w:rFonts w:asciiTheme="minorEastAsia" w:eastAsiaTheme="minorEastAsia" w:hAnsiTheme="minorEastAsia"/>
          <w:szCs w:val="21"/>
        </w:rPr>
        <w:t>在该销售机构托管的</w:t>
      </w:r>
      <w:r w:rsidR="00C7734A" w:rsidRPr="003307CA">
        <w:rPr>
          <w:rFonts w:asciiTheme="minorEastAsia" w:eastAsiaTheme="minorEastAsia" w:hAnsiTheme="minorEastAsia" w:hint="eastAsia"/>
          <w:szCs w:val="21"/>
        </w:rPr>
        <w:t>该</w:t>
      </w:r>
      <w:r w:rsidR="00C7734A" w:rsidRPr="003307CA">
        <w:rPr>
          <w:rFonts w:asciiTheme="minorEastAsia" w:eastAsiaTheme="minorEastAsia" w:hAnsiTheme="minorEastAsia"/>
          <w:szCs w:val="21"/>
        </w:rPr>
        <w:t>基金余额不足</w:t>
      </w:r>
      <w:r w:rsidRPr="003307CA">
        <w:rPr>
          <w:rFonts w:asciiTheme="minorEastAsia" w:eastAsiaTheme="minorEastAsia" w:hAnsiTheme="minorEastAsia"/>
          <w:szCs w:val="21"/>
        </w:rPr>
        <w:t>1份</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则必须一次性赎回或转出该基金全部份额)；若某笔赎回将导致投资者在</w:t>
      </w:r>
      <w:r w:rsidR="00C7734A" w:rsidRPr="003307CA">
        <w:rPr>
          <w:rFonts w:asciiTheme="minorEastAsia" w:eastAsiaTheme="minorEastAsia" w:hAnsiTheme="minorEastAsia" w:hint="eastAsia"/>
          <w:szCs w:val="21"/>
        </w:rPr>
        <w:t>该</w:t>
      </w:r>
      <w:r w:rsidRPr="003307CA">
        <w:rPr>
          <w:rFonts w:asciiTheme="minorEastAsia" w:eastAsiaTheme="minorEastAsia" w:hAnsiTheme="minorEastAsia"/>
          <w:szCs w:val="21"/>
        </w:rPr>
        <w:t>销售机构托管的</w:t>
      </w:r>
      <w:r w:rsidR="00C7734A" w:rsidRPr="003307CA">
        <w:rPr>
          <w:rFonts w:asciiTheme="minorEastAsia" w:eastAsiaTheme="minorEastAsia" w:hAnsiTheme="minorEastAsia" w:hint="eastAsia"/>
          <w:szCs w:val="21"/>
        </w:rPr>
        <w:t>该</w:t>
      </w:r>
      <w:r w:rsidRPr="003307CA">
        <w:rPr>
          <w:rFonts w:asciiTheme="minorEastAsia" w:eastAsiaTheme="minorEastAsia" w:hAnsiTheme="minorEastAsia"/>
          <w:szCs w:val="21"/>
        </w:rPr>
        <w:t>基金余额不足1份时</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基金管理人有权将投资者在该销售机构托管的该基金剩余份额一次性全部赎回。</w:t>
      </w:r>
      <w:r w:rsidR="001B4D13" w:rsidRPr="003307CA">
        <w:rPr>
          <w:rFonts w:asciiTheme="minorEastAsia" w:eastAsiaTheme="minorEastAsia" w:hAnsiTheme="minorEastAsia" w:hint="eastAsia"/>
          <w:szCs w:val="21"/>
        </w:rPr>
        <w:t>在符合法律法规规定的前提下，各销售机构对赎回份额限制有其他规定的，需同时遵循该销售机构的相关规定。</w:t>
      </w:r>
    </w:p>
    <w:bookmarkEnd w:id="128"/>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3</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rPr>
        <w:t>基金管理人可根据市场情况，在法律法规允许的情况下，调整上述对申购金额和赎回份额的数量限制，</w:t>
      </w:r>
      <w:r w:rsidR="006E0D4A" w:rsidRPr="003307CA">
        <w:rPr>
          <w:rFonts w:asciiTheme="minorEastAsia" w:eastAsiaTheme="minorEastAsia" w:hAnsiTheme="minorEastAsia" w:hint="eastAsia"/>
          <w:szCs w:val="21"/>
        </w:rPr>
        <w:t>或者新增基金规模控制措施,</w:t>
      </w:r>
      <w:r w:rsidRPr="003307CA">
        <w:rPr>
          <w:rFonts w:asciiTheme="minorEastAsia" w:eastAsiaTheme="minorEastAsia" w:hAnsiTheme="minorEastAsia" w:hint="eastAsia"/>
        </w:rPr>
        <w:t>基金管理人必须在调整生效前依照《信息披露办法》的有关规定在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公告。</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9" w:name="_Toc44351093"/>
      <w:r w:rsidRPr="003307CA">
        <w:rPr>
          <w:rFonts w:asciiTheme="minorEastAsia" w:eastAsiaTheme="minorEastAsia" w:hAnsiTheme="minorEastAsia" w:hint="eastAsia"/>
          <w:b w:val="0"/>
        </w:rPr>
        <w:t>七</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w:t>
      </w:r>
      <w:r w:rsidR="00C148F8" w:rsidRPr="003307CA">
        <w:rPr>
          <w:rFonts w:asciiTheme="minorEastAsia" w:eastAsiaTheme="minorEastAsia" w:hAnsiTheme="minorEastAsia" w:hint="eastAsia"/>
          <w:b w:val="0"/>
        </w:rPr>
        <w:t>与</w:t>
      </w:r>
      <w:r w:rsidRPr="003307CA">
        <w:rPr>
          <w:rFonts w:asciiTheme="minorEastAsia" w:eastAsiaTheme="minorEastAsia" w:hAnsiTheme="minorEastAsia" w:hint="eastAsia"/>
          <w:b w:val="0"/>
        </w:rPr>
        <w:t>赎回的费率</w:t>
      </w:r>
      <w:bookmarkEnd w:id="129"/>
    </w:p>
    <w:p w:rsidR="0064594E" w:rsidRPr="003307CA"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本基金的申购费率</w:t>
      </w:r>
    </w:p>
    <w:p w:rsidR="00015BC6" w:rsidRPr="003307CA" w:rsidRDefault="00015BC6"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本基金对通过</w:t>
      </w:r>
      <w:r w:rsidR="001B4D13" w:rsidRPr="003307CA">
        <w:rPr>
          <w:rFonts w:asciiTheme="minorEastAsia" w:eastAsiaTheme="minorEastAsia" w:hAnsiTheme="minorEastAsia" w:hint="eastAsia"/>
        </w:rPr>
        <w:t>本</w:t>
      </w:r>
      <w:r w:rsidR="001B4D13" w:rsidRPr="003307CA">
        <w:rPr>
          <w:rFonts w:asciiTheme="minorEastAsia" w:eastAsiaTheme="minorEastAsia" w:hAnsiTheme="minorEastAsia"/>
        </w:rPr>
        <w:t>公司</w:t>
      </w:r>
      <w:r w:rsidRPr="003307CA">
        <w:rPr>
          <w:rFonts w:asciiTheme="minorEastAsia" w:eastAsiaTheme="minorEastAsia" w:hAnsiTheme="minorEastAsia" w:hint="eastAsia"/>
        </w:rPr>
        <w:t>直销中心申购的特定投资群体与除此之外的其他投资者实施差别的申购费率。</w:t>
      </w:r>
    </w:p>
    <w:p w:rsidR="00015BC6" w:rsidRPr="003307CA" w:rsidRDefault="00015BC6"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015BC6" w:rsidRPr="003307CA" w:rsidRDefault="00015BC6"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通过基金管理人的直销中心申购本基金的</w:t>
      </w:r>
      <w:r w:rsidRPr="003307CA">
        <w:rPr>
          <w:rFonts w:asciiTheme="minorEastAsia" w:eastAsiaTheme="minorEastAsia" w:hAnsiTheme="minorEastAsia" w:hint="eastAsia"/>
        </w:rPr>
        <w:t>特定投资群体</w:t>
      </w:r>
      <w:r w:rsidRPr="003307CA">
        <w:rPr>
          <w:rFonts w:asciiTheme="minorEastAsia" w:eastAsiaTheme="minorEastAsia" w:hAnsiTheme="minorEastAsia" w:hint="eastAsia"/>
          <w:szCs w:val="21"/>
        </w:rPr>
        <w:t>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3307CA" w:rsidRPr="003307CA" w:rsidTr="006A1D96">
        <w:trPr>
          <w:jc w:val="center"/>
        </w:trPr>
        <w:tc>
          <w:tcPr>
            <w:tcW w:w="3420"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申购金额</w:t>
            </w:r>
            <w:r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w:t>
            </w:r>
            <w:r w:rsidRPr="003307CA">
              <w:rPr>
                <w:rFonts w:asciiTheme="minorEastAsia" w:eastAsiaTheme="minorEastAsia" w:hAnsiTheme="minorEastAsia" w:cs="宋体" w:hint="eastAsia"/>
                <w:kern w:val="0"/>
                <w:szCs w:val="21"/>
              </w:rPr>
              <w:t>含申购费</w:t>
            </w:r>
            <w:r w:rsidRPr="003307CA">
              <w:rPr>
                <w:rFonts w:asciiTheme="minorEastAsia" w:eastAsiaTheme="minorEastAsia" w:hAnsiTheme="minorEastAsia" w:cs="宋体"/>
                <w:kern w:val="0"/>
                <w:szCs w:val="21"/>
              </w:rPr>
              <w:t>)</w:t>
            </w:r>
          </w:p>
        </w:tc>
        <w:tc>
          <w:tcPr>
            <w:tcW w:w="3297"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申购费率</w:t>
            </w:r>
          </w:p>
        </w:tc>
      </w:tr>
      <w:tr w:rsidR="003307CA" w:rsidRPr="003307CA" w:rsidTr="006A1D96">
        <w:trPr>
          <w:jc w:val="center"/>
        </w:trPr>
        <w:tc>
          <w:tcPr>
            <w:tcW w:w="3420"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100万</w:t>
            </w:r>
            <w:r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以下</w:t>
            </w:r>
          </w:p>
        </w:tc>
        <w:tc>
          <w:tcPr>
            <w:tcW w:w="3297"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0.</w:t>
            </w:r>
            <w:r w:rsidRPr="003307CA">
              <w:rPr>
                <w:rFonts w:asciiTheme="minorEastAsia" w:eastAsiaTheme="minorEastAsia" w:hAnsiTheme="minorEastAsia" w:cs="宋体"/>
                <w:kern w:val="0"/>
                <w:szCs w:val="21"/>
              </w:rPr>
              <w:t>1</w:t>
            </w:r>
            <w:r w:rsidRPr="003307CA">
              <w:rPr>
                <w:rFonts w:asciiTheme="minorEastAsia" w:eastAsiaTheme="minorEastAsia" w:hAnsiTheme="minorEastAsia" w:cs="宋体" w:hint="eastAsia"/>
                <w:kern w:val="0"/>
                <w:szCs w:val="21"/>
              </w:rPr>
              <w:t>6</w:t>
            </w:r>
            <w:r w:rsidRPr="003307CA">
              <w:rPr>
                <w:rFonts w:asciiTheme="minorEastAsia" w:eastAsiaTheme="minorEastAsia" w:hAnsiTheme="minorEastAsia" w:cs="宋体"/>
                <w:kern w:val="0"/>
                <w:szCs w:val="21"/>
              </w:rPr>
              <w:t>%</w:t>
            </w:r>
          </w:p>
        </w:tc>
      </w:tr>
      <w:tr w:rsidR="003307CA" w:rsidRPr="003307CA" w:rsidTr="006A1D96">
        <w:trPr>
          <w:jc w:val="center"/>
        </w:trPr>
        <w:tc>
          <w:tcPr>
            <w:tcW w:w="3420"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100万</w:t>
            </w:r>
            <w:r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(含)-</w:t>
            </w:r>
            <w:r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kern w:val="0"/>
                <w:szCs w:val="21"/>
              </w:rPr>
              <w:t>00万</w:t>
            </w:r>
            <w:r w:rsidRPr="003307CA">
              <w:rPr>
                <w:rFonts w:asciiTheme="minorEastAsia" w:eastAsiaTheme="minorEastAsia" w:hAnsiTheme="minorEastAsia" w:cs="宋体" w:hint="eastAsia"/>
                <w:kern w:val="0"/>
                <w:szCs w:val="21"/>
              </w:rPr>
              <w:t>元</w:t>
            </w:r>
          </w:p>
        </w:tc>
        <w:tc>
          <w:tcPr>
            <w:tcW w:w="3297"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0.12%</w:t>
            </w:r>
          </w:p>
        </w:tc>
      </w:tr>
      <w:tr w:rsidR="003307CA" w:rsidRPr="003307CA" w:rsidTr="006A1D96">
        <w:trPr>
          <w:jc w:val="center"/>
        </w:trPr>
        <w:tc>
          <w:tcPr>
            <w:tcW w:w="3420"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kern w:val="0"/>
                <w:szCs w:val="21"/>
              </w:rPr>
              <w:t>00万</w:t>
            </w:r>
            <w:r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(含)-</w:t>
            </w:r>
            <w:r w:rsidRPr="003307CA">
              <w:rPr>
                <w:rFonts w:asciiTheme="minorEastAsia" w:eastAsiaTheme="minorEastAsia" w:hAnsiTheme="minorEastAsia" w:cs="宋体" w:hint="eastAsia"/>
                <w:kern w:val="0"/>
                <w:szCs w:val="21"/>
              </w:rPr>
              <w:t>10</w:t>
            </w:r>
            <w:r w:rsidRPr="003307CA">
              <w:rPr>
                <w:rFonts w:asciiTheme="minorEastAsia" w:eastAsiaTheme="minorEastAsia" w:hAnsiTheme="minorEastAsia" w:cs="宋体"/>
                <w:kern w:val="0"/>
                <w:szCs w:val="21"/>
              </w:rPr>
              <w:t>00万</w:t>
            </w:r>
            <w:r w:rsidRPr="003307CA">
              <w:rPr>
                <w:rFonts w:asciiTheme="minorEastAsia" w:eastAsiaTheme="minorEastAsia" w:hAnsiTheme="minorEastAsia" w:cs="宋体" w:hint="eastAsia"/>
                <w:kern w:val="0"/>
                <w:szCs w:val="21"/>
              </w:rPr>
              <w:t>元</w:t>
            </w:r>
          </w:p>
        </w:tc>
        <w:tc>
          <w:tcPr>
            <w:tcW w:w="3297"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0.03%</w:t>
            </w:r>
          </w:p>
        </w:tc>
      </w:tr>
      <w:tr w:rsidR="003307CA" w:rsidRPr="003307CA" w:rsidTr="006A1D96">
        <w:trPr>
          <w:jc w:val="center"/>
        </w:trPr>
        <w:tc>
          <w:tcPr>
            <w:tcW w:w="3420"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10</w:t>
            </w:r>
            <w:r w:rsidRPr="003307CA">
              <w:rPr>
                <w:rFonts w:asciiTheme="minorEastAsia" w:eastAsiaTheme="minorEastAsia" w:hAnsiTheme="minorEastAsia" w:cs="宋体"/>
                <w:kern w:val="0"/>
                <w:szCs w:val="21"/>
              </w:rPr>
              <w:t>00万</w:t>
            </w:r>
            <w:r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（含）以上</w:t>
            </w:r>
          </w:p>
        </w:tc>
        <w:tc>
          <w:tcPr>
            <w:tcW w:w="3297" w:type="dxa"/>
            <w:vAlign w:val="center"/>
          </w:tcPr>
          <w:p w:rsidR="00015BC6" w:rsidRPr="003307CA"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每笔1000元</w:t>
            </w:r>
          </w:p>
        </w:tc>
      </w:tr>
    </w:tbl>
    <w:p w:rsidR="0064594E" w:rsidRPr="003307CA" w:rsidRDefault="00015BC6"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3307CA" w:rsidRPr="003307CA" w:rsidTr="006A1D96">
        <w:trPr>
          <w:jc w:val="center"/>
        </w:trPr>
        <w:tc>
          <w:tcPr>
            <w:tcW w:w="3420"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申购金额</w:t>
            </w:r>
            <w:r w:rsidR="003D55AE"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w:t>
            </w:r>
            <w:r w:rsidR="0072483E" w:rsidRPr="003307CA">
              <w:rPr>
                <w:rFonts w:asciiTheme="minorEastAsia" w:eastAsiaTheme="minorEastAsia" w:hAnsiTheme="minorEastAsia" w:cs="宋体" w:hint="eastAsia"/>
                <w:kern w:val="0"/>
                <w:szCs w:val="21"/>
              </w:rPr>
              <w:t>含申购费</w:t>
            </w:r>
            <w:r w:rsidRPr="003307CA">
              <w:rPr>
                <w:rFonts w:asciiTheme="minorEastAsia" w:eastAsiaTheme="minorEastAsia" w:hAnsiTheme="minorEastAsia" w:cs="宋体"/>
                <w:kern w:val="0"/>
                <w:szCs w:val="21"/>
              </w:rPr>
              <w:t>)</w:t>
            </w:r>
          </w:p>
        </w:tc>
        <w:tc>
          <w:tcPr>
            <w:tcW w:w="3297"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申购费率</w:t>
            </w:r>
          </w:p>
        </w:tc>
      </w:tr>
      <w:tr w:rsidR="003307CA" w:rsidRPr="003307CA" w:rsidTr="006A1D96">
        <w:trPr>
          <w:jc w:val="center"/>
        </w:trPr>
        <w:tc>
          <w:tcPr>
            <w:tcW w:w="3420"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100万</w:t>
            </w:r>
            <w:r w:rsidR="0072483E"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以下</w:t>
            </w:r>
          </w:p>
        </w:tc>
        <w:tc>
          <w:tcPr>
            <w:tcW w:w="3297"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1</w:t>
            </w:r>
            <w:r w:rsidRPr="003307CA">
              <w:rPr>
                <w:rFonts w:asciiTheme="minorEastAsia" w:eastAsiaTheme="minorEastAsia" w:hAnsiTheme="minorEastAsia" w:cs="宋体" w:hint="eastAsia"/>
                <w:kern w:val="0"/>
                <w:szCs w:val="21"/>
              </w:rPr>
              <w:t>.</w:t>
            </w:r>
            <w:r w:rsidR="00EC64C9" w:rsidRPr="003307CA">
              <w:rPr>
                <w:rFonts w:asciiTheme="minorEastAsia" w:eastAsiaTheme="minorEastAsia" w:hAnsiTheme="minorEastAsia" w:cs="宋体" w:hint="eastAsia"/>
                <w:kern w:val="0"/>
                <w:szCs w:val="21"/>
              </w:rPr>
              <w:t>6</w:t>
            </w:r>
            <w:r w:rsidRPr="003307CA">
              <w:rPr>
                <w:rFonts w:asciiTheme="minorEastAsia" w:eastAsiaTheme="minorEastAsia" w:hAnsiTheme="minorEastAsia" w:cs="宋体"/>
                <w:kern w:val="0"/>
                <w:szCs w:val="21"/>
              </w:rPr>
              <w:t>%</w:t>
            </w:r>
          </w:p>
        </w:tc>
      </w:tr>
      <w:tr w:rsidR="003307CA" w:rsidRPr="003307CA" w:rsidTr="006A1D96">
        <w:trPr>
          <w:jc w:val="center"/>
        </w:trPr>
        <w:tc>
          <w:tcPr>
            <w:tcW w:w="3420"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100万</w:t>
            </w:r>
            <w:r w:rsidR="0072483E"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(含)-</w:t>
            </w:r>
            <w:r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kern w:val="0"/>
                <w:szCs w:val="21"/>
              </w:rPr>
              <w:t>00万</w:t>
            </w:r>
            <w:r w:rsidR="0072483E" w:rsidRPr="003307CA">
              <w:rPr>
                <w:rFonts w:asciiTheme="minorEastAsia" w:eastAsiaTheme="minorEastAsia" w:hAnsiTheme="minorEastAsia" w:cs="宋体" w:hint="eastAsia"/>
                <w:kern w:val="0"/>
                <w:szCs w:val="21"/>
              </w:rPr>
              <w:t>元</w:t>
            </w:r>
          </w:p>
        </w:tc>
        <w:tc>
          <w:tcPr>
            <w:tcW w:w="3297"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1.</w:t>
            </w:r>
            <w:r w:rsidR="001C6DE0" w:rsidRPr="003307CA">
              <w:rPr>
                <w:rFonts w:asciiTheme="minorEastAsia" w:eastAsiaTheme="minorEastAsia" w:hAnsiTheme="minorEastAsia" w:cs="宋体" w:hint="eastAsia"/>
                <w:kern w:val="0"/>
                <w:szCs w:val="21"/>
              </w:rPr>
              <w:t>2</w:t>
            </w:r>
            <w:r w:rsidRPr="003307CA">
              <w:rPr>
                <w:rFonts w:asciiTheme="minorEastAsia" w:eastAsiaTheme="minorEastAsia" w:hAnsiTheme="minorEastAsia" w:cs="宋体" w:hint="eastAsia"/>
                <w:kern w:val="0"/>
                <w:szCs w:val="21"/>
              </w:rPr>
              <w:t>%</w:t>
            </w:r>
          </w:p>
        </w:tc>
      </w:tr>
      <w:tr w:rsidR="003307CA" w:rsidRPr="003307CA" w:rsidTr="006A1D96">
        <w:trPr>
          <w:jc w:val="center"/>
        </w:trPr>
        <w:tc>
          <w:tcPr>
            <w:tcW w:w="3420"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kern w:val="0"/>
                <w:szCs w:val="21"/>
              </w:rPr>
              <w:t>00万</w:t>
            </w:r>
            <w:r w:rsidR="0072483E"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(含)-</w:t>
            </w:r>
            <w:r w:rsidRPr="003307CA">
              <w:rPr>
                <w:rFonts w:asciiTheme="minorEastAsia" w:eastAsiaTheme="minorEastAsia" w:hAnsiTheme="minorEastAsia" w:cs="宋体" w:hint="eastAsia"/>
                <w:kern w:val="0"/>
                <w:szCs w:val="21"/>
              </w:rPr>
              <w:t>10</w:t>
            </w:r>
            <w:r w:rsidRPr="003307CA">
              <w:rPr>
                <w:rFonts w:asciiTheme="minorEastAsia" w:eastAsiaTheme="minorEastAsia" w:hAnsiTheme="minorEastAsia" w:cs="宋体"/>
                <w:kern w:val="0"/>
                <w:szCs w:val="21"/>
              </w:rPr>
              <w:t>00万</w:t>
            </w:r>
            <w:r w:rsidR="0072483E" w:rsidRPr="003307CA">
              <w:rPr>
                <w:rFonts w:asciiTheme="minorEastAsia" w:eastAsiaTheme="minorEastAsia" w:hAnsiTheme="minorEastAsia" w:cs="宋体" w:hint="eastAsia"/>
                <w:kern w:val="0"/>
                <w:szCs w:val="21"/>
              </w:rPr>
              <w:t>元</w:t>
            </w:r>
          </w:p>
        </w:tc>
        <w:tc>
          <w:tcPr>
            <w:tcW w:w="3297"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0.</w:t>
            </w:r>
            <w:r w:rsidR="001C6DE0" w:rsidRPr="003307CA">
              <w:rPr>
                <w:rFonts w:asciiTheme="minorEastAsia" w:eastAsiaTheme="minorEastAsia" w:hAnsiTheme="minorEastAsia" w:cs="宋体" w:hint="eastAsia"/>
                <w:kern w:val="0"/>
                <w:szCs w:val="21"/>
              </w:rPr>
              <w:t>3</w:t>
            </w:r>
            <w:r w:rsidRPr="003307CA">
              <w:rPr>
                <w:rFonts w:asciiTheme="minorEastAsia" w:eastAsiaTheme="minorEastAsia" w:hAnsiTheme="minorEastAsia" w:cs="宋体" w:hint="eastAsia"/>
                <w:kern w:val="0"/>
                <w:szCs w:val="21"/>
              </w:rPr>
              <w:t>%</w:t>
            </w:r>
          </w:p>
        </w:tc>
      </w:tr>
      <w:tr w:rsidR="003307CA" w:rsidRPr="003307CA" w:rsidTr="006A1D96">
        <w:trPr>
          <w:jc w:val="center"/>
        </w:trPr>
        <w:tc>
          <w:tcPr>
            <w:tcW w:w="3420"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10</w:t>
            </w:r>
            <w:r w:rsidRPr="003307CA">
              <w:rPr>
                <w:rFonts w:asciiTheme="minorEastAsia" w:eastAsiaTheme="minorEastAsia" w:hAnsiTheme="minorEastAsia" w:cs="宋体"/>
                <w:kern w:val="0"/>
                <w:szCs w:val="21"/>
              </w:rPr>
              <w:t>00万</w:t>
            </w:r>
            <w:r w:rsidR="0072483E" w:rsidRPr="003307CA">
              <w:rPr>
                <w:rFonts w:asciiTheme="minorEastAsia" w:eastAsiaTheme="minorEastAsia" w:hAnsiTheme="minorEastAsia" w:cs="宋体" w:hint="eastAsia"/>
                <w:kern w:val="0"/>
                <w:szCs w:val="21"/>
              </w:rPr>
              <w:t>元</w:t>
            </w:r>
            <w:r w:rsidRPr="003307CA">
              <w:rPr>
                <w:rFonts w:asciiTheme="minorEastAsia" w:eastAsiaTheme="minorEastAsia" w:hAnsiTheme="minorEastAsia" w:cs="宋体"/>
                <w:kern w:val="0"/>
                <w:szCs w:val="21"/>
              </w:rPr>
              <w:t>（含）以上</w:t>
            </w:r>
          </w:p>
        </w:tc>
        <w:tc>
          <w:tcPr>
            <w:tcW w:w="3297"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每笔1000元</w:t>
            </w:r>
          </w:p>
        </w:tc>
      </w:tr>
    </w:tbl>
    <w:p w:rsidR="00015BC6" w:rsidRPr="003307CA" w:rsidRDefault="00015BC6" w:rsidP="00CE3F81">
      <w:pPr>
        <w:pStyle w:val="ab"/>
        <w:snapToGrid w:val="0"/>
        <w:spacing w:after="0"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在申购费按金额分档的情况下，如果投资者多次申购，申购费适用单笔申购金额所对应的费率。</w:t>
      </w:r>
    </w:p>
    <w:p w:rsidR="0064594E" w:rsidRPr="003307CA" w:rsidRDefault="006A1D96" w:rsidP="006A1D96">
      <w:pPr>
        <w:pStyle w:val="ab"/>
        <w:snapToGrid w:val="0"/>
        <w:spacing w:after="0" w:line="360" w:lineRule="auto"/>
        <w:ind w:left="71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2、</w:t>
      </w:r>
      <w:r w:rsidR="00015BC6" w:rsidRPr="003307CA">
        <w:rPr>
          <w:rFonts w:asciiTheme="minorEastAsia" w:eastAsiaTheme="minorEastAsia" w:hAnsiTheme="minorEastAsia" w:hint="eastAsia"/>
          <w:szCs w:val="21"/>
        </w:rPr>
        <w:t>本基金的</w:t>
      </w:r>
      <w:r w:rsidR="0064594E" w:rsidRPr="003307CA">
        <w:rPr>
          <w:rFonts w:asciiTheme="minorEastAsia" w:eastAsiaTheme="minorEastAsia" w:hAnsiTheme="minorEastAsia"/>
          <w:szCs w:val="21"/>
        </w:rPr>
        <w:t>赎回</w:t>
      </w:r>
      <w:r w:rsidR="0064594E" w:rsidRPr="003307CA">
        <w:rPr>
          <w:rFonts w:asciiTheme="minorEastAsia" w:eastAsiaTheme="minorEastAsia" w:hAnsiTheme="minorEastAsia" w:hint="eastAsia"/>
          <w:szCs w:val="21"/>
        </w:rPr>
        <w:t>费率</w:t>
      </w:r>
    </w:p>
    <w:p w:rsidR="00015BC6" w:rsidRPr="003307CA" w:rsidRDefault="00015BC6" w:rsidP="00CE3F81">
      <w:pPr>
        <w:pStyle w:val="ab"/>
        <w:snapToGrid w:val="0"/>
        <w:spacing w:after="0" w:line="360" w:lineRule="auto"/>
        <w:ind w:left="710"/>
        <w:rPr>
          <w:rFonts w:asciiTheme="minorEastAsia" w:eastAsiaTheme="minorEastAsia" w:hAnsiTheme="minorEastAsia"/>
          <w:szCs w:val="21"/>
        </w:rPr>
      </w:pPr>
      <w:r w:rsidRPr="003307CA">
        <w:rPr>
          <w:rFonts w:asciiTheme="minorEastAsia" w:eastAsiaTheme="minorEastAsia" w:hAnsiTheme="minorEastAsia" w:hint="eastAsia"/>
          <w:szCs w:val="21"/>
        </w:rPr>
        <w:t>本基金具体赎回费率如下：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117"/>
      </w:tblGrid>
      <w:tr w:rsidR="003307CA" w:rsidRPr="003307CA" w:rsidTr="006A1D96">
        <w:trPr>
          <w:jc w:val="center"/>
        </w:trPr>
        <w:tc>
          <w:tcPr>
            <w:tcW w:w="3600" w:type="dxa"/>
            <w:vAlign w:val="center"/>
          </w:tcPr>
          <w:p w:rsidR="0064594E" w:rsidRPr="003307CA" w:rsidRDefault="0064594E" w:rsidP="00DE1B41">
            <w:pPr>
              <w:widowControl/>
              <w:snapToGrid w:val="0"/>
              <w:spacing w:line="360" w:lineRule="auto"/>
              <w:ind w:firstLineChars="200" w:firstLine="420"/>
              <w:jc w:val="center"/>
              <w:rPr>
                <w:rFonts w:asciiTheme="minorEastAsia" w:eastAsiaTheme="minorEastAsia" w:hAnsiTheme="minorEastAsia" w:cs="宋体"/>
                <w:kern w:val="0"/>
                <w:szCs w:val="21"/>
              </w:rPr>
            </w:pPr>
            <w:bookmarkStart w:id="130" w:name="_Hlk187491086"/>
            <w:r w:rsidRPr="003307CA">
              <w:rPr>
                <w:rFonts w:asciiTheme="minorEastAsia" w:eastAsiaTheme="minorEastAsia" w:hAnsiTheme="minorEastAsia" w:cs="宋体"/>
                <w:kern w:val="0"/>
                <w:szCs w:val="21"/>
              </w:rPr>
              <w:t>持有时间</w:t>
            </w:r>
            <w:r w:rsidR="00DE1B41" w:rsidRPr="003307CA">
              <w:rPr>
                <w:rFonts w:asciiTheme="minorEastAsia" w:eastAsiaTheme="minorEastAsia" w:hAnsiTheme="minorEastAsia" w:cs="宋体" w:hint="eastAsia"/>
                <w:kern w:val="0"/>
                <w:szCs w:val="21"/>
              </w:rPr>
              <w:t>(天)</w:t>
            </w:r>
          </w:p>
        </w:tc>
        <w:tc>
          <w:tcPr>
            <w:tcW w:w="3117" w:type="dxa"/>
            <w:vAlign w:val="center"/>
          </w:tcPr>
          <w:p w:rsidR="0064594E" w:rsidRPr="003307CA"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赎回费率</w:t>
            </w:r>
          </w:p>
        </w:tc>
      </w:tr>
      <w:tr w:rsidR="003307CA" w:rsidRPr="003307CA" w:rsidTr="001223DA">
        <w:trPr>
          <w:jc w:val="center"/>
        </w:trPr>
        <w:tc>
          <w:tcPr>
            <w:tcW w:w="3600" w:type="dxa"/>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hint="eastAsia"/>
                <w:szCs w:val="21"/>
              </w:rPr>
              <w:t>0-6</w:t>
            </w:r>
          </w:p>
        </w:tc>
        <w:tc>
          <w:tcPr>
            <w:tcW w:w="3117" w:type="dxa"/>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hint="eastAsia"/>
                <w:szCs w:val="21"/>
              </w:rPr>
              <w:t>1.5</w:t>
            </w:r>
            <w:r w:rsidRPr="003307CA">
              <w:rPr>
                <w:rFonts w:asciiTheme="minorEastAsia" w:eastAsiaTheme="minorEastAsia" w:hAnsiTheme="minorEastAsia"/>
                <w:szCs w:val="21"/>
              </w:rPr>
              <w:t>%</w:t>
            </w:r>
          </w:p>
        </w:tc>
      </w:tr>
      <w:tr w:rsidR="003307CA" w:rsidRPr="003307CA" w:rsidTr="001223DA">
        <w:trPr>
          <w:jc w:val="center"/>
        </w:trPr>
        <w:tc>
          <w:tcPr>
            <w:tcW w:w="3600" w:type="dxa"/>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szCs w:val="21"/>
              </w:rPr>
              <w:t>7-364</w:t>
            </w:r>
          </w:p>
        </w:tc>
        <w:tc>
          <w:tcPr>
            <w:tcW w:w="3117" w:type="dxa"/>
            <w:vAlign w:val="center"/>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0.5%</w:t>
            </w:r>
          </w:p>
        </w:tc>
      </w:tr>
      <w:tr w:rsidR="003307CA" w:rsidRPr="003307CA" w:rsidTr="001223DA">
        <w:trPr>
          <w:jc w:val="center"/>
        </w:trPr>
        <w:tc>
          <w:tcPr>
            <w:tcW w:w="3600" w:type="dxa"/>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szCs w:val="21"/>
              </w:rPr>
              <w:t>365-729</w:t>
            </w:r>
          </w:p>
        </w:tc>
        <w:tc>
          <w:tcPr>
            <w:tcW w:w="3117" w:type="dxa"/>
            <w:vAlign w:val="center"/>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0.</w:t>
            </w:r>
            <w:r w:rsidRPr="003307CA">
              <w:rPr>
                <w:rFonts w:asciiTheme="minorEastAsia" w:eastAsiaTheme="minorEastAsia" w:hAnsiTheme="minorEastAsia" w:cs="宋体" w:hint="eastAsia"/>
                <w:kern w:val="0"/>
                <w:szCs w:val="21"/>
              </w:rPr>
              <w:t>3</w:t>
            </w:r>
            <w:r w:rsidRPr="003307CA">
              <w:rPr>
                <w:rFonts w:asciiTheme="minorEastAsia" w:eastAsiaTheme="minorEastAsia" w:hAnsiTheme="minorEastAsia" w:cs="宋体"/>
                <w:kern w:val="0"/>
                <w:szCs w:val="21"/>
              </w:rPr>
              <w:t>%</w:t>
            </w:r>
          </w:p>
        </w:tc>
      </w:tr>
      <w:tr w:rsidR="003307CA" w:rsidRPr="003307CA" w:rsidTr="001223DA">
        <w:trPr>
          <w:jc w:val="center"/>
        </w:trPr>
        <w:tc>
          <w:tcPr>
            <w:tcW w:w="3600" w:type="dxa"/>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szCs w:val="21"/>
              </w:rPr>
              <w:t>730及以上</w:t>
            </w:r>
          </w:p>
        </w:tc>
        <w:tc>
          <w:tcPr>
            <w:tcW w:w="3117" w:type="dxa"/>
            <w:vAlign w:val="center"/>
          </w:tcPr>
          <w:p w:rsidR="00591303" w:rsidRPr="003307CA"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kern w:val="0"/>
                <w:szCs w:val="21"/>
              </w:rPr>
              <w:t>0%</w:t>
            </w:r>
          </w:p>
        </w:tc>
      </w:tr>
    </w:tbl>
    <w:bookmarkEnd w:id="130"/>
    <w:p w:rsidR="0064594E" w:rsidRPr="003307CA" w:rsidRDefault="006A1D96" w:rsidP="006A1D96">
      <w:pPr>
        <w:pStyle w:val="ab"/>
        <w:snapToGrid w:val="0"/>
        <w:spacing w:after="0"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64594E" w:rsidRPr="003307CA">
        <w:rPr>
          <w:rFonts w:asciiTheme="minorEastAsia" w:eastAsiaTheme="minorEastAsia" w:hAnsiTheme="minorEastAsia"/>
          <w:szCs w:val="21"/>
        </w:rPr>
        <w:t>基金管理人可以在基金合同规定的范围内调整申购费率和赎回费率，调整后的申购费率和赎回费率在</w:t>
      </w:r>
      <w:r w:rsidR="0064594E" w:rsidRPr="003307CA">
        <w:rPr>
          <w:rFonts w:asciiTheme="minorEastAsia" w:eastAsiaTheme="minorEastAsia" w:hAnsiTheme="minorEastAsia" w:hint="eastAsia"/>
          <w:szCs w:val="21"/>
        </w:rPr>
        <w:t>《更新的招募说明书》</w:t>
      </w:r>
      <w:r w:rsidR="0064594E" w:rsidRPr="003307CA">
        <w:rPr>
          <w:rFonts w:asciiTheme="minorEastAsia" w:eastAsiaTheme="minorEastAsia" w:hAnsiTheme="minorEastAsia"/>
          <w:szCs w:val="21"/>
        </w:rPr>
        <w:t>中列示。上述费率如发生变更，基金管理人</w:t>
      </w:r>
      <w:r w:rsidR="0064594E" w:rsidRPr="003307CA">
        <w:rPr>
          <w:rFonts w:asciiTheme="minorEastAsia" w:eastAsiaTheme="minorEastAsia" w:hAnsiTheme="minorEastAsia" w:hint="eastAsia"/>
          <w:szCs w:val="21"/>
        </w:rPr>
        <w:t>还</w:t>
      </w:r>
      <w:r w:rsidR="0064594E" w:rsidRPr="003307CA">
        <w:rPr>
          <w:rFonts w:asciiTheme="minorEastAsia" w:eastAsiaTheme="minorEastAsia" w:hAnsiTheme="minorEastAsia"/>
          <w:szCs w:val="21"/>
        </w:rPr>
        <w:t>应于新的费率实施</w:t>
      </w:r>
      <w:r w:rsidR="00AD1BC0" w:rsidRPr="003307CA">
        <w:rPr>
          <w:rFonts w:asciiTheme="minorEastAsia" w:eastAsiaTheme="minorEastAsia" w:hAnsiTheme="minorEastAsia" w:hint="eastAsia"/>
          <w:szCs w:val="21"/>
        </w:rPr>
        <w:t>日</w:t>
      </w:r>
      <w:r w:rsidR="0064594E" w:rsidRPr="003307CA">
        <w:rPr>
          <w:rFonts w:asciiTheme="minorEastAsia" w:eastAsiaTheme="minorEastAsia" w:hAnsiTheme="minorEastAsia"/>
          <w:szCs w:val="21"/>
        </w:rPr>
        <w:t>前</w:t>
      </w:r>
      <w:r w:rsidR="00C248D4" w:rsidRPr="003307CA">
        <w:rPr>
          <w:rFonts w:asciiTheme="minorEastAsia" w:eastAsiaTheme="minorEastAsia" w:hAnsiTheme="minorEastAsia" w:hint="eastAsia"/>
          <w:szCs w:val="21"/>
        </w:rPr>
        <w:t>依照《信息披露办法》的有关规定在</w:t>
      </w:r>
      <w:r w:rsidR="000964B0" w:rsidRPr="003307CA">
        <w:rPr>
          <w:rFonts w:asciiTheme="minorEastAsia" w:eastAsiaTheme="minorEastAsia" w:hAnsiTheme="minorEastAsia" w:hint="eastAsia"/>
        </w:rPr>
        <w:t>指定媒介</w:t>
      </w:r>
      <w:r w:rsidR="00C248D4" w:rsidRPr="003307CA">
        <w:rPr>
          <w:rFonts w:asciiTheme="minorEastAsia" w:eastAsiaTheme="minorEastAsia" w:hAnsiTheme="minorEastAsia" w:hint="eastAsia"/>
          <w:szCs w:val="21"/>
        </w:rPr>
        <w:t>上公告。</w:t>
      </w:r>
    </w:p>
    <w:p w:rsidR="0064594E" w:rsidRPr="003307CA" w:rsidRDefault="006A1D96" w:rsidP="006A1D96">
      <w:pPr>
        <w:pStyle w:val="ab"/>
        <w:snapToGrid w:val="0"/>
        <w:spacing w:after="0"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E27BC1" w:rsidRPr="003307CA">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31" w:name="_Toc44351094"/>
      <w:r w:rsidRPr="003307CA">
        <w:rPr>
          <w:rFonts w:asciiTheme="minorEastAsia" w:eastAsiaTheme="minorEastAsia" w:hAnsiTheme="minorEastAsia" w:hint="eastAsia"/>
          <w:b w:val="0"/>
        </w:rPr>
        <w:t>八</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申购份额</w:t>
      </w:r>
      <w:r w:rsidR="00C148F8" w:rsidRPr="003307CA">
        <w:rPr>
          <w:rFonts w:asciiTheme="minorEastAsia" w:eastAsiaTheme="minorEastAsia" w:hAnsiTheme="minorEastAsia" w:hint="eastAsia"/>
          <w:b w:val="0"/>
        </w:rPr>
        <w:t>与</w:t>
      </w:r>
      <w:r w:rsidRPr="003307CA">
        <w:rPr>
          <w:rFonts w:asciiTheme="minorEastAsia" w:eastAsiaTheme="minorEastAsia" w:hAnsiTheme="minorEastAsia" w:hint="eastAsia"/>
          <w:b w:val="0"/>
        </w:rPr>
        <w:t>赎回金额的计算</w:t>
      </w:r>
      <w:bookmarkEnd w:id="131"/>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申购份额的计算</w:t>
      </w:r>
    </w:p>
    <w:p w:rsidR="00C148F8" w:rsidRPr="003307CA" w:rsidRDefault="00D3216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w:t>
      </w:r>
      <w:r w:rsidR="00C148F8" w:rsidRPr="003307CA">
        <w:rPr>
          <w:rFonts w:asciiTheme="minorEastAsia" w:eastAsiaTheme="minorEastAsia" w:hAnsiTheme="minorEastAsia" w:hint="eastAsia"/>
        </w:rPr>
        <w:t>基金的申购金额包括申购费用和净申购金额，其中：</w:t>
      </w:r>
    </w:p>
    <w:p w:rsidR="00644525" w:rsidRPr="003307CA" w:rsidRDefault="0064452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净申购金额=申购金额÷（1+申购费率）</w:t>
      </w:r>
    </w:p>
    <w:p w:rsidR="00644525" w:rsidRPr="003307CA" w:rsidRDefault="0064452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申购费用=申购金额-净申购金额</w:t>
      </w:r>
    </w:p>
    <w:p w:rsidR="00644525" w:rsidRPr="003307CA" w:rsidRDefault="0064452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申购份数=净申购金额÷</w:t>
      </w:r>
      <w:r w:rsidR="00D3216C" w:rsidRPr="003307CA">
        <w:rPr>
          <w:rFonts w:asciiTheme="minorEastAsia" w:eastAsiaTheme="minorEastAsia" w:hAnsiTheme="minorEastAsia" w:hint="eastAsia"/>
        </w:rPr>
        <w:t>申购当日基金份额净值</w:t>
      </w:r>
    </w:p>
    <w:p w:rsidR="00644525" w:rsidRPr="003307CA" w:rsidRDefault="0064452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对于1000万元（含）以上的申购，净申购金额=申购金额-绝对数额的申购费金额</w:t>
      </w:r>
    </w:p>
    <w:p w:rsidR="00280B42" w:rsidRPr="003307CA" w:rsidRDefault="00D3216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申购费用以人民币元为单位，四舍五入，保留至小数点后二位；申购份数采取四舍五入的方法保留小数点后二位，由此产生的误差计入基金财产。</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举例说明：</w:t>
      </w:r>
    </w:p>
    <w:p w:rsidR="004E08F6" w:rsidRPr="003307CA" w:rsidRDefault="004E08F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例一：某投资人（通过基金管理人的直销中心申购本基金的特定投资群体）投资5万元申购本基金，对应的申购费率为0.16%，假设申购当日基金份额净值为1.050元，则其可得到的申购份额为：</w:t>
      </w:r>
    </w:p>
    <w:p w:rsidR="004E08F6" w:rsidRPr="003307CA" w:rsidRDefault="005B213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净申购金额</w:t>
      </w:r>
      <w:r w:rsidR="004E08F6" w:rsidRPr="003307CA">
        <w:rPr>
          <w:rFonts w:asciiTheme="minorEastAsia" w:eastAsiaTheme="minorEastAsia" w:hAnsiTheme="minorEastAsia" w:hint="eastAsia"/>
        </w:rPr>
        <w:t>=50,000</w:t>
      </w:r>
      <w:r w:rsidR="00280B42" w:rsidRPr="003307CA">
        <w:rPr>
          <w:rFonts w:asciiTheme="minorEastAsia" w:eastAsiaTheme="minorEastAsia" w:hAnsiTheme="minorEastAsia" w:hint="eastAsia"/>
        </w:rPr>
        <w:t>÷</w:t>
      </w:r>
      <w:r w:rsidR="004E08F6" w:rsidRPr="003307CA">
        <w:rPr>
          <w:rFonts w:asciiTheme="minorEastAsia" w:eastAsiaTheme="minorEastAsia" w:hAnsiTheme="minorEastAsia" w:hint="eastAsia"/>
        </w:rPr>
        <w:t>（1+0.16%）=4</w:t>
      </w:r>
      <w:r w:rsidR="00280B42" w:rsidRPr="003307CA">
        <w:rPr>
          <w:rFonts w:asciiTheme="minorEastAsia" w:eastAsiaTheme="minorEastAsia" w:hAnsiTheme="minorEastAsia" w:hint="eastAsia"/>
        </w:rPr>
        <w:t>9</w:t>
      </w:r>
      <w:r w:rsidRPr="003307CA">
        <w:rPr>
          <w:rFonts w:asciiTheme="minorEastAsia" w:eastAsiaTheme="minorEastAsia" w:hAnsiTheme="minorEastAsia" w:hint="eastAsia"/>
        </w:rPr>
        <w:t>,</w:t>
      </w:r>
      <w:r w:rsidR="00280B42" w:rsidRPr="003307CA">
        <w:rPr>
          <w:rFonts w:asciiTheme="minorEastAsia" w:eastAsiaTheme="minorEastAsia" w:hAnsiTheme="minorEastAsia" w:hint="eastAsia"/>
        </w:rPr>
        <w:t>9</w:t>
      </w:r>
      <w:r w:rsidRPr="003307CA">
        <w:rPr>
          <w:rFonts w:asciiTheme="minorEastAsia" w:eastAsiaTheme="minorEastAsia" w:hAnsiTheme="minorEastAsia" w:hint="eastAsia"/>
        </w:rPr>
        <w:t>20</w:t>
      </w:r>
      <w:r w:rsidR="004E08F6" w:rsidRPr="003307CA">
        <w:rPr>
          <w:rFonts w:asciiTheme="minorEastAsia" w:eastAsiaTheme="minorEastAsia" w:hAnsiTheme="minorEastAsia" w:hint="eastAsia"/>
        </w:rPr>
        <w:t>.</w:t>
      </w:r>
      <w:r w:rsidRPr="003307CA">
        <w:rPr>
          <w:rFonts w:asciiTheme="minorEastAsia" w:eastAsiaTheme="minorEastAsia" w:hAnsiTheme="minorEastAsia" w:hint="eastAsia"/>
        </w:rPr>
        <w:t>1</w:t>
      </w:r>
      <w:r w:rsidR="004E08F6" w:rsidRPr="003307CA">
        <w:rPr>
          <w:rFonts w:asciiTheme="minorEastAsia" w:eastAsiaTheme="minorEastAsia" w:hAnsiTheme="minorEastAsia" w:hint="eastAsia"/>
        </w:rPr>
        <w:t>3元</w:t>
      </w:r>
    </w:p>
    <w:p w:rsidR="004E08F6" w:rsidRPr="003307CA" w:rsidRDefault="005B213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申购费用</w:t>
      </w:r>
      <w:r w:rsidR="004E08F6" w:rsidRPr="003307CA">
        <w:rPr>
          <w:rFonts w:asciiTheme="minorEastAsia" w:eastAsiaTheme="minorEastAsia" w:hAnsiTheme="minorEastAsia" w:hint="eastAsia"/>
        </w:rPr>
        <w:t>=50,000-</w:t>
      </w:r>
      <w:r w:rsidRPr="003307CA">
        <w:rPr>
          <w:rFonts w:asciiTheme="minorEastAsia" w:eastAsiaTheme="minorEastAsia" w:hAnsiTheme="minorEastAsia" w:hint="eastAsia"/>
        </w:rPr>
        <w:t>49920.13</w:t>
      </w:r>
      <w:r w:rsidR="004E08F6" w:rsidRPr="003307CA">
        <w:rPr>
          <w:rFonts w:asciiTheme="minorEastAsia" w:eastAsiaTheme="minorEastAsia" w:hAnsiTheme="minorEastAsia" w:hint="eastAsia"/>
        </w:rPr>
        <w:t>=</w:t>
      </w:r>
      <w:r w:rsidRPr="003307CA">
        <w:rPr>
          <w:rFonts w:asciiTheme="minorEastAsia" w:eastAsiaTheme="minorEastAsia" w:hAnsiTheme="minorEastAsia" w:hint="eastAsia"/>
        </w:rPr>
        <w:t>79.87</w:t>
      </w:r>
      <w:r w:rsidR="004E08F6" w:rsidRPr="003307CA">
        <w:rPr>
          <w:rFonts w:asciiTheme="minorEastAsia" w:eastAsiaTheme="minorEastAsia" w:hAnsiTheme="minorEastAsia" w:hint="eastAsia"/>
        </w:rPr>
        <w:t>元</w:t>
      </w:r>
    </w:p>
    <w:p w:rsidR="004E08F6" w:rsidRPr="003307CA" w:rsidRDefault="004E08F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申购份额=</w:t>
      </w:r>
      <w:r w:rsidR="005B213F" w:rsidRPr="003307CA">
        <w:rPr>
          <w:rFonts w:asciiTheme="minorEastAsia" w:eastAsiaTheme="minorEastAsia" w:hAnsiTheme="minorEastAsia" w:hint="eastAsia"/>
        </w:rPr>
        <w:t>49920.13÷</w:t>
      </w:r>
      <w:r w:rsidRPr="003307CA">
        <w:rPr>
          <w:rFonts w:asciiTheme="minorEastAsia" w:eastAsiaTheme="minorEastAsia" w:hAnsiTheme="minorEastAsia" w:hint="eastAsia"/>
        </w:rPr>
        <w:t>1.050=</w:t>
      </w:r>
      <w:r w:rsidR="00280B42" w:rsidRPr="003307CA">
        <w:rPr>
          <w:rFonts w:asciiTheme="minorEastAsia" w:eastAsiaTheme="minorEastAsia" w:hAnsiTheme="minorEastAsia" w:hint="eastAsia"/>
        </w:rPr>
        <w:t>47,</w:t>
      </w:r>
      <w:r w:rsidR="005B213F" w:rsidRPr="003307CA">
        <w:rPr>
          <w:rFonts w:asciiTheme="minorEastAsia" w:eastAsiaTheme="minorEastAsia" w:hAnsiTheme="minorEastAsia" w:hint="eastAsia"/>
        </w:rPr>
        <w:t>542.98</w:t>
      </w:r>
      <w:r w:rsidRPr="003307CA">
        <w:rPr>
          <w:rFonts w:asciiTheme="minorEastAsia" w:eastAsiaTheme="minorEastAsia" w:hAnsiTheme="minorEastAsia" w:hint="eastAsia"/>
        </w:rPr>
        <w:t>份</w:t>
      </w:r>
    </w:p>
    <w:p w:rsidR="00D67412" w:rsidRPr="003307CA" w:rsidRDefault="004E08F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例二：</w:t>
      </w:r>
      <w:r w:rsidR="00D67412" w:rsidRPr="003307CA">
        <w:rPr>
          <w:rFonts w:asciiTheme="minorEastAsia" w:eastAsiaTheme="minorEastAsia" w:hAnsiTheme="minorEastAsia" w:hint="eastAsia"/>
        </w:rPr>
        <w:t>某投资者</w:t>
      </w:r>
      <w:r w:rsidRPr="003307CA">
        <w:rPr>
          <w:rFonts w:asciiTheme="minorEastAsia" w:eastAsiaTheme="minorEastAsia" w:hAnsiTheme="minorEastAsia" w:hint="eastAsia"/>
        </w:rPr>
        <w:t>（其他投资者）</w:t>
      </w:r>
      <w:r w:rsidR="00D67412" w:rsidRPr="003307CA">
        <w:rPr>
          <w:rFonts w:asciiTheme="minorEastAsia" w:eastAsiaTheme="minorEastAsia" w:hAnsiTheme="minorEastAsia" w:hint="eastAsia"/>
        </w:rPr>
        <w:t>投资</w:t>
      </w:r>
      <w:r w:rsidR="00D67412" w:rsidRPr="003307CA">
        <w:rPr>
          <w:rFonts w:asciiTheme="minorEastAsia" w:eastAsiaTheme="minorEastAsia" w:hAnsiTheme="minorEastAsia"/>
        </w:rPr>
        <w:t>5</w:t>
      </w:r>
      <w:r w:rsidR="00D67412" w:rsidRPr="003307CA">
        <w:rPr>
          <w:rFonts w:asciiTheme="minorEastAsia" w:eastAsiaTheme="minorEastAsia" w:hAnsiTheme="minorEastAsia" w:hint="eastAsia"/>
        </w:rPr>
        <w:t>万元申购本基金，</w:t>
      </w:r>
      <w:r w:rsidR="00280B42" w:rsidRPr="003307CA">
        <w:rPr>
          <w:rFonts w:asciiTheme="minorEastAsia" w:eastAsiaTheme="minorEastAsia" w:hAnsiTheme="minorEastAsia" w:hint="eastAsia"/>
        </w:rPr>
        <w:t>对应的申购费率为1.6%，</w:t>
      </w:r>
      <w:r w:rsidR="00D67412" w:rsidRPr="003307CA">
        <w:rPr>
          <w:rFonts w:asciiTheme="minorEastAsia" w:eastAsiaTheme="minorEastAsia" w:hAnsiTheme="minorEastAsia" w:hint="eastAsia"/>
        </w:rPr>
        <w:t>假设申购当日基金份额净值为</w:t>
      </w:r>
      <w:r w:rsidR="00D67412" w:rsidRPr="003307CA">
        <w:rPr>
          <w:rFonts w:asciiTheme="minorEastAsia" w:eastAsiaTheme="minorEastAsia" w:hAnsiTheme="minorEastAsia"/>
        </w:rPr>
        <w:t>1.05</w:t>
      </w:r>
      <w:r w:rsidR="00526EA5" w:rsidRPr="003307CA">
        <w:rPr>
          <w:rFonts w:asciiTheme="minorEastAsia" w:eastAsiaTheme="minorEastAsia" w:hAnsiTheme="minorEastAsia" w:hint="eastAsia"/>
        </w:rPr>
        <w:t>0</w:t>
      </w:r>
      <w:r w:rsidR="00D67412" w:rsidRPr="003307CA">
        <w:rPr>
          <w:rFonts w:asciiTheme="minorEastAsia" w:eastAsiaTheme="minorEastAsia" w:hAnsiTheme="minorEastAsia" w:hint="eastAsia"/>
        </w:rPr>
        <w:t>元，则</w:t>
      </w:r>
      <w:r w:rsidR="00280B42" w:rsidRPr="003307CA">
        <w:rPr>
          <w:rFonts w:asciiTheme="minorEastAsia" w:eastAsiaTheme="minorEastAsia" w:hAnsiTheme="minorEastAsia" w:hint="eastAsia"/>
        </w:rPr>
        <w:t>其</w:t>
      </w:r>
      <w:r w:rsidR="00D67412" w:rsidRPr="003307CA">
        <w:rPr>
          <w:rFonts w:asciiTheme="minorEastAsia" w:eastAsiaTheme="minorEastAsia" w:hAnsiTheme="minorEastAsia" w:hint="eastAsia"/>
        </w:rPr>
        <w:t>可得到的申购份额为：</w:t>
      </w:r>
    </w:p>
    <w:p w:rsidR="005B213F" w:rsidRPr="003307CA" w:rsidRDefault="005B213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净申购金额=50,000÷（1+1.6%）=49,212.60元</w:t>
      </w:r>
    </w:p>
    <w:p w:rsidR="005B213F" w:rsidRPr="003307CA" w:rsidRDefault="005B213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申购费用=50,000-49,212.60=787.4元</w:t>
      </w:r>
    </w:p>
    <w:p w:rsidR="005B213F" w:rsidRPr="003307CA" w:rsidRDefault="005B213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申购份额=49,212.60÷1.050=46,869.14份</w:t>
      </w:r>
    </w:p>
    <w:p w:rsidR="0064594E" w:rsidRPr="003307CA" w:rsidRDefault="0064594E"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基金赎回金额的计算</w:t>
      </w:r>
    </w:p>
    <w:p w:rsidR="0064594E" w:rsidRPr="003307CA" w:rsidRDefault="002948E3"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赎回金额为按实际确认的有效赎回份额以当日基金份额净值为基准并扣除相应的费用</w:t>
      </w:r>
      <w:r w:rsidR="0064594E" w:rsidRPr="003307CA">
        <w:rPr>
          <w:rFonts w:asciiTheme="minorEastAsia" w:eastAsiaTheme="minorEastAsia" w:hAnsiTheme="minorEastAsia" w:hint="eastAsia"/>
          <w:szCs w:val="21"/>
        </w:rPr>
        <w:t>，其中：</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赎回总额=赎回数量</w:t>
      </w:r>
      <w:r w:rsidRPr="003307CA">
        <w:rPr>
          <w:rFonts w:asciiTheme="minorEastAsia" w:eastAsiaTheme="minorEastAsia" w:hAnsiTheme="minorEastAsia" w:hint="eastAsia"/>
          <w:szCs w:val="21"/>
        </w:rPr>
        <w:sym w:font="Symbol" w:char="F0B4"/>
      </w:r>
      <w:r w:rsidRPr="003307CA">
        <w:rPr>
          <w:rFonts w:asciiTheme="minorEastAsia" w:eastAsiaTheme="minorEastAsia" w:hAnsiTheme="minorEastAsia" w:hint="eastAsia"/>
          <w:szCs w:val="21"/>
        </w:rPr>
        <w:t>T日基金份额净值</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赎回费用=赎回总额</w:t>
      </w:r>
      <w:r w:rsidRPr="003307CA">
        <w:rPr>
          <w:rFonts w:asciiTheme="minorEastAsia" w:eastAsiaTheme="minorEastAsia" w:hAnsiTheme="minorEastAsia" w:hint="eastAsia"/>
          <w:szCs w:val="21"/>
        </w:rPr>
        <w:sym w:font="Symbol" w:char="F0B4"/>
      </w:r>
      <w:r w:rsidRPr="003307CA">
        <w:rPr>
          <w:rFonts w:asciiTheme="minorEastAsia" w:eastAsiaTheme="minorEastAsia" w:hAnsiTheme="minorEastAsia" w:hint="eastAsia"/>
          <w:szCs w:val="21"/>
        </w:rPr>
        <w:t>赎回费率</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赎回金额=赎回总额</w:t>
      </w:r>
      <w:r w:rsidRPr="003307CA">
        <w:rPr>
          <w:rFonts w:asciiTheme="minorEastAsia" w:eastAsiaTheme="minorEastAsia" w:hAnsiTheme="minorEastAsia" w:hint="eastAsia"/>
          <w:szCs w:val="21"/>
        </w:rPr>
        <w:sym w:font="Symbol" w:char="F02D"/>
      </w:r>
      <w:r w:rsidRPr="003307CA">
        <w:rPr>
          <w:rFonts w:asciiTheme="minorEastAsia" w:eastAsiaTheme="minorEastAsia" w:hAnsiTheme="minorEastAsia" w:hint="eastAsia"/>
          <w:szCs w:val="21"/>
        </w:rPr>
        <w:t>赎回费用</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举例说明：</w:t>
      </w:r>
    </w:p>
    <w:p w:rsidR="0098363C" w:rsidRPr="003307CA" w:rsidRDefault="0098363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假定某投资者在T日赎回10</w:t>
      </w:r>
      <w:r w:rsidRPr="003307CA">
        <w:rPr>
          <w:rFonts w:asciiTheme="minorEastAsia" w:eastAsiaTheme="minorEastAsia" w:hAnsiTheme="minorEastAsia"/>
        </w:rPr>
        <w:t>,000</w:t>
      </w:r>
      <w:r w:rsidRPr="003307CA">
        <w:rPr>
          <w:rFonts w:asciiTheme="minorEastAsia" w:eastAsiaTheme="minorEastAsia" w:hAnsiTheme="minorEastAsia" w:hint="eastAsia"/>
        </w:rPr>
        <w:t>份基金份额，持有时间为100天，T日基金份额净值为1.0</w:t>
      </w:r>
      <w:r w:rsidR="0019659B" w:rsidRPr="003307CA">
        <w:rPr>
          <w:rFonts w:asciiTheme="minorEastAsia" w:eastAsiaTheme="minorEastAsia" w:hAnsiTheme="minorEastAsia" w:hint="eastAsia"/>
        </w:rPr>
        <w:t>5</w:t>
      </w:r>
      <w:r w:rsidRPr="003307CA">
        <w:rPr>
          <w:rFonts w:asciiTheme="minorEastAsia" w:eastAsiaTheme="minorEastAsia" w:hAnsiTheme="minorEastAsia" w:hint="eastAsia"/>
        </w:rPr>
        <w:t>0元,则其获得的赎回金额计算如下:</w:t>
      </w:r>
    </w:p>
    <w:p w:rsidR="0098363C" w:rsidRPr="003307CA" w:rsidRDefault="0098363C" w:rsidP="00CE3F81">
      <w:pPr>
        <w:snapToGrid w:val="0"/>
        <w:spacing w:line="360" w:lineRule="auto"/>
        <w:ind w:firstLineChars="200" w:firstLine="420"/>
        <w:rPr>
          <w:rFonts w:asciiTheme="minorEastAsia" w:eastAsiaTheme="minorEastAsia" w:hAnsiTheme="minorEastAsia" w:cs="宋体"/>
          <w:kern w:val="0"/>
          <w:szCs w:val="21"/>
        </w:rPr>
      </w:pPr>
      <w:r w:rsidRPr="003307CA">
        <w:rPr>
          <w:rFonts w:asciiTheme="minorEastAsia" w:eastAsiaTheme="minorEastAsia" w:hAnsiTheme="minorEastAsia" w:hint="eastAsia"/>
          <w:szCs w:val="21"/>
        </w:rPr>
        <w:t>赎回总额=</w:t>
      </w:r>
      <w:r w:rsidRPr="003307CA">
        <w:rPr>
          <w:rFonts w:asciiTheme="minorEastAsia" w:eastAsiaTheme="minorEastAsia" w:hAnsiTheme="minorEastAsia" w:cs="宋体" w:hint="eastAsia"/>
          <w:kern w:val="0"/>
          <w:szCs w:val="21"/>
        </w:rPr>
        <w:t>10,000</w:t>
      </w:r>
      <w:r w:rsidRPr="003307CA">
        <w:rPr>
          <w:rFonts w:asciiTheme="minorEastAsia" w:eastAsiaTheme="minorEastAsia" w:hAnsiTheme="minorEastAsia" w:hint="eastAsia"/>
          <w:szCs w:val="21"/>
        </w:rPr>
        <w:sym w:font="Symbol" w:char="F0B4"/>
      </w:r>
      <w:r w:rsidRPr="003307CA">
        <w:rPr>
          <w:rFonts w:asciiTheme="minorEastAsia" w:eastAsiaTheme="minorEastAsia" w:hAnsiTheme="minorEastAsia" w:cs="宋体" w:hint="eastAsia"/>
          <w:kern w:val="0"/>
          <w:szCs w:val="21"/>
        </w:rPr>
        <w:t>1.0</w:t>
      </w:r>
      <w:r w:rsidR="0019659B"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hint="eastAsia"/>
          <w:kern w:val="0"/>
          <w:szCs w:val="21"/>
        </w:rPr>
        <w:t>0=10,</w:t>
      </w:r>
      <w:r w:rsidR="0019659B"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hint="eastAsia"/>
          <w:kern w:val="0"/>
          <w:szCs w:val="21"/>
        </w:rPr>
        <w:t>00.00元</w:t>
      </w:r>
    </w:p>
    <w:p w:rsidR="0098363C" w:rsidRPr="003307CA" w:rsidRDefault="0098363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赎回费用=</w:t>
      </w:r>
      <w:r w:rsidRPr="003307CA">
        <w:rPr>
          <w:rFonts w:asciiTheme="minorEastAsia" w:eastAsiaTheme="minorEastAsia" w:hAnsiTheme="minorEastAsia" w:cs="宋体" w:hint="eastAsia"/>
          <w:kern w:val="0"/>
          <w:szCs w:val="21"/>
        </w:rPr>
        <w:t>10,</w:t>
      </w:r>
      <w:r w:rsidR="0019659B"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hint="eastAsia"/>
          <w:kern w:val="0"/>
          <w:szCs w:val="21"/>
        </w:rPr>
        <w:t>00.00</w:t>
      </w:r>
      <w:r w:rsidRPr="003307CA">
        <w:rPr>
          <w:rFonts w:asciiTheme="minorEastAsia" w:eastAsiaTheme="minorEastAsia" w:hAnsiTheme="minorEastAsia" w:hint="eastAsia"/>
          <w:szCs w:val="21"/>
        </w:rPr>
        <w:sym w:font="Symbol" w:char="F0B4"/>
      </w:r>
      <w:r w:rsidRPr="003307CA">
        <w:rPr>
          <w:rFonts w:asciiTheme="minorEastAsia" w:eastAsiaTheme="minorEastAsia" w:hAnsiTheme="minorEastAsia" w:cs="宋体" w:hint="eastAsia"/>
          <w:kern w:val="0"/>
          <w:szCs w:val="21"/>
        </w:rPr>
        <w:t>0.5%=5</w:t>
      </w:r>
      <w:r w:rsidR="0019659B" w:rsidRPr="003307CA">
        <w:rPr>
          <w:rFonts w:asciiTheme="minorEastAsia" w:eastAsiaTheme="minorEastAsia" w:hAnsiTheme="minorEastAsia" w:cs="宋体" w:hint="eastAsia"/>
          <w:kern w:val="0"/>
          <w:szCs w:val="21"/>
        </w:rPr>
        <w:t>2</w:t>
      </w:r>
      <w:r w:rsidRPr="003307CA">
        <w:rPr>
          <w:rFonts w:asciiTheme="minorEastAsia" w:eastAsiaTheme="minorEastAsia" w:hAnsiTheme="minorEastAsia" w:cs="宋体" w:hint="eastAsia"/>
          <w:kern w:val="0"/>
          <w:szCs w:val="21"/>
        </w:rPr>
        <w:t>.</w:t>
      </w:r>
      <w:r w:rsidR="0019659B" w:rsidRPr="003307CA">
        <w:rPr>
          <w:rFonts w:asciiTheme="minorEastAsia" w:eastAsiaTheme="minorEastAsia" w:hAnsiTheme="minorEastAsia" w:cs="宋体" w:hint="eastAsia"/>
          <w:kern w:val="0"/>
          <w:szCs w:val="21"/>
        </w:rPr>
        <w:t>5</w:t>
      </w:r>
      <w:r w:rsidRPr="003307CA">
        <w:rPr>
          <w:rFonts w:asciiTheme="minorEastAsia" w:eastAsiaTheme="minorEastAsia" w:hAnsiTheme="minorEastAsia" w:cs="宋体" w:hint="eastAsia"/>
          <w:kern w:val="0"/>
          <w:szCs w:val="21"/>
        </w:rPr>
        <w:t>0元</w:t>
      </w:r>
    </w:p>
    <w:p w:rsidR="0098363C" w:rsidRPr="003307CA" w:rsidRDefault="0098363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赎回金额=10,</w:t>
      </w:r>
      <w:r w:rsidR="00CE35F8" w:rsidRPr="003307CA">
        <w:rPr>
          <w:rFonts w:asciiTheme="minorEastAsia" w:eastAsiaTheme="minorEastAsia" w:hAnsiTheme="minorEastAsia" w:hint="eastAsia"/>
          <w:szCs w:val="21"/>
        </w:rPr>
        <w:t>5</w:t>
      </w:r>
      <w:r w:rsidRPr="003307CA">
        <w:rPr>
          <w:rFonts w:asciiTheme="minorEastAsia" w:eastAsiaTheme="minorEastAsia" w:hAnsiTheme="minorEastAsia" w:hint="eastAsia"/>
          <w:szCs w:val="21"/>
        </w:rPr>
        <w:t>00.00</w:t>
      </w:r>
      <w:r w:rsidRPr="003307CA">
        <w:rPr>
          <w:rFonts w:asciiTheme="minorEastAsia" w:eastAsiaTheme="minorEastAsia" w:hAnsiTheme="minorEastAsia" w:hint="eastAsia"/>
          <w:szCs w:val="21"/>
        </w:rPr>
        <w:sym w:font="Symbol" w:char="F02D"/>
      </w:r>
      <w:r w:rsidR="0019659B" w:rsidRPr="003307CA">
        <w:rPr>
          <w:rFonts w:asciiTheme="minorEastAsia" w:eastAsiaTheme="minorEastAsia" w:hAnsiTheme="minorEastAsia" w:hint="eastAsia"/>
          <w:szCs w:val="21"/>
        </w:rPr>
        <w:t>52.50</w:t>
      </w:r>
      <w:r w:rsidRPr="003307CA">
        <w:rPr>
          <w:rFonts w:asciiTheme="minorEastAsia" w:eastAsiaTheme="minorEastAsia" w:hAnsiTheme="minorEastAsia" w:hint="eastAsia"/>
          <w:szCs w:val="21"/>
        </w:rPr>
        <w:t>=</w:t>
      </w:r>
      <w:r w:rsidR="00CE35F8" w:rsidRPr="003307CA">
        <w:rPr>
          <w:rFonts w:asciiTheme="minorEastAsia" w:eastAsiaTheme="minorEastAsia" w:hAnsiTheme="minorEastAsia" w:hint="eastAsia"/>
          <w:szCs w:val="21"/>
        </w:rPr>
        <w:t>10</w:t>
      </w:r>
      <w:r w:rsidR="006F0F11" w:rsidRPr="003307CA">
        <w:rPr>
          <w:rFonts w:asciiTheme="minorEastAsia" w:eastAsiaTheme="minorEastAsia" w:hAnsiTheme="minorEastAsia" w:hint="eastAsia"/>
          <w:szCs w:val="21"/>
        </w:rPr>
        <w:t>,</w:t>
      </w:r>
      <w:r w:rsidR="00CE35F8" w:rsidRPr="003307CA">
        <w:rPr>
          <w:rFonts w:asciiTheme="minorEastAsia" w:eastAsiaTheme="minorEastAsia" w:hAnsiTheme="minorEastAsia" w:hint="eastAsia"/>
          <w:szCs w:val="21"/>
        </w:rPr>
        <w:t>447</w:t>
      </w:r>
      <w:r w:rsidRPr="003307CA">
        <w:rPr>
          <w:rFonts w:asciiTheme="minorEastAsia" w:eastAsiaTheme="minorEastAsia" w:hAnsiTheme="minorEastAsia" w:hint="eastAsia"/>
          <w:szCs w:val="21"/>
        </w:rPr>
        <w:t>.</w:t>
      </w:r>
      <w:r w:rsidR="0019659B" w:rsidRPr="003307CA">
        <w:rPr>
          <w:rFonts w:asciiTheme="minorEastAsia" w:eastAsiaTheme="minorEastAsia" w:hAnsiTheme="minorEastAsia" w:hint="eastAsia"/>
          <w:szCs w:val="21"/>
        </w:rPr>
        <w:t>5</w:t>
      </w:r>
      <w:r w:rsidRPr="003307CA">
        <w:rPr>
          <w:rFonts w:asciiTheme="minorEastAsia" w:eastAsiaTheme="minorEastAsia" w:hAnsiTheme="minorEastAsia" w:hint="eastAsia"/>
          <w:szCs w:val="21"/>
        </w:rPr>
        <w:t>0元</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赎回金额、赎回费</w:t>
      </w:r>
      <w:r w:rsidR="00446B98" w:rsidRPr="003307CA">
        <w:rPr>
          <w:rFonts w:asciiTheme="minorEastAsia" w:eastAsiaTheme="minorEastAsia" w:hAnsiTheme="minorEastAsia" w:hint="eastAsia"/>
          <w:szCs w:val="21"/>
        </w:rPr>
        <w:t>用</w:t>
      </w:r>
      <w:r w:rsidRPr="003307CA">
        <w:rPr>
          <w:rFonts w:asciiTheme="minorEastAsia" w:eastAsiaTheme="minorEastAsia" w:hAnsiTheme="minorEastAsia" w:hint="eastAsia"/>
          <w:szCs w:val="21"/>
        </w:rPr>
        <w:t>以人民币元为单位，</w:t>
      </w:r>
      <w:r w:rsidR="002948E3" w:rsidRPr="003307CA">
        <w:rPr>
          <w:rFonts w:asciiTheme="minorEastAsia" w:eastAsiaTheme="minorEastAsia" w:hAnsiTheme="minorEastAsia" w:hint="eastAsia"/>
          <w:szCs w:val="21"/>
        </w:rPr>
        <w:t>计算结果</w:t>
      </w:r>
      <w:r w:rsidRPr="003307CA">
        <w:rPr>
          <w:rFonts w:asciiTheme="minorEastAsia" w:eastAsiaTheme="minorEastAsia" w:hAnsiTheme="minorEastAsia" w:hint="eastAsia"/>
          <w:szCs w:val="21"/>
        </w:rPr>
        <w:t>保留</w:t>
      </w:r>
      <w:r w:rsidR="002948E3" w:rsidRPr="003307CA">
        <w:rPr>
          <w:rFonts w:asciiTheme="minorEastAsia" w:eastAsiaTheme="minorEastAsia" w:hAnsiTheme="minorEastAsia" w:hint="eastAsia"/>
          <w:szCs w:val="21"/>
        </w:rPr>
        <w:t>至</w:t>
      </w:r>
      <w:r w:rsidRPr="003307CA">
        <w:rPr>
          <w:rFonts w:asciiTheme="minorEastAsia" w:eastAsiaTheme="minorEastAsia" w:hAnsiTheme="minorEastAsia" w:hint="eastAsia"/>
          <w:szCs w:val="21"/>
        </w:rPr>
        <w:t>小数点后两位</w:t>
      </w:r>
      <w:r w:rsidR="002948E3" w:rsidRPr="003307CA">
        <w:rPr>
          <w:rFonts w:asciiTheme="minorEastAsia" w:eastAsiaTheme="minorEastAsia" w:hAnsiTheme="minorEastAsia"/>
          <w:szCs w:val="21"/>
        </w:rPr>
        <w:t>，</w:t>
      </w:r>
      <w:r w:rsidR="002948E3" w:rsidRPr="003307CA">
        <w:rPr>
          <w:rFonts w:asciiTheme="minorEastAsia" w:eastAsiaTheme="minorEastAsia" w:hAnsiTheme="minorEastAsia" w:hint="eastAsia"/>
          <w:szCs w:val="21"/>
        </w:rPr>
        <w:t>小数点后两位以后的部分四舍五入，</w:t>
      </w:r>
      <w:r w:rsidR="007E3748" w:rsidRPr="003307CA">
        <w:rPr>
          <w:rFonts w:asciiTheme="minorEastAsia" w:eastAsiaTheme="minorEastAsia" w:hAnsiTheme="minorEastAsia" w:hint="eastAsia"/>
          <w:szCs w:val="21"/>
        </w:rPr>
        <w:t>由此产生的误差计入基金财产</w:t>
      </w:r>
      <w:r w:rsidRPr="003307CA">
        <w:rPr>
          <w:rFonts w:asciiTheme="minorEastAsia" w:eastAsiaTheme="minorEastAsia" w:hAnsiTheme="minorEastAsia" w:hint="eastAsia"/>
          <w:szCs w:val="21"/>
        </w:rPr>
        <w:t>。</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基金份额净值应当在</w:t>
      </w:r>
      <w:r w:rsidR="00073C69" w:rsidRPr="003307CA">
        <w:rPr>
          <w:rFonts w:asciiTheme="minorEastAsia" w:eastAsiaTheme="minorEastAsia" w:hAnsiTheme="minorEastAsia" w:hint="eastAsia"/>
          <w:szCs w:val="21"/>
        </w:rPr>
        <w:t>开放</w:t>
      </w:r>
      <w:r w:rsidRPr="003307CA">
        <w:rPr>
          <w:rFonts w:asciiTheme="minorEastAsia" w:eastAsiaTheme="minorEastAsia" w:hAnsiTheme="minorEastAsia"/>
          <w:szCs w:val="21"/>
        </w:rPr>
        <w:t>日后2个工作日内披露</w:t>
      </w:r>
      <w:r w:rsidRPr="003307CA">
        <w:rPr>
          <w:rFonts w:asciiTheme="minorEastAsia" w:eastAsiaTheme="minorEastAsia" w:hAnsiTheme="minorEastAsia" w:hint="eastAsia"/>
          <w:szCs w:val="21"/>
        </w:rPr>
        <w:t>。遇特殊情况，</w:t>
      </w:r>
      <w:r w:rsidR="007A2594" w:rsidRPr="003307CA">
        <w:rPr>
          <w:rFonts w:asciiTheme="minorEastAsia" w:eastAsiaTheme="minorEastAsia" w:hAnsiTheme="minorEastAsia" w:hint="eastAsia"/>
        </w:rPr>
        <w:t>经履行</w:t>
      </w:r>
      <w:r w:rsidR="007A2594" w:rsidRPr="003307CA">
        <w:rPr>
          <w:rFonts w:asciiTheme="minorEastAsia" w:eastAsiaTheme="minorEastAsia" w:hAnsiTheme="minorEastAsia"/>
        </w:rPr>
        <w:t>适当程序</w:t>
      </w:r>
      <w:r w:rsidR="007A2594" w:rsidRPr="003307CA">
        <w:rPr>
          <w:rFonts w:asciiTheme="minorEastAsia" w:eastAsiaTheme="minorEastAsia" w:hAnsiTheme="minorEastAsia" w:hint="eastAsia"/>
        </w:rPr>
        <w:t>，</w:t>
      </w:r>
      <w:r w:rsidRPr="003307CA">
        <w:rPr>
          <w:rFonts w:asciiTheme="minorEastAsia" w:eastAsiaTheme="minorEastAsia" w:hAnsiTheme="minorEastAsia" w:hint="eastAsia"/>
          <w:szCs w:val="21"/>
        </w:rPr>
        <w:t>可以适当延迟计算或公告。其计算公式为：</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基金份额净值=计算日基金资产净值÷计算日基金总份额</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本基金基金份额净值的计算，保留到小数点后3位，小数点后第4位四舍五入。</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本基金的申购费由申购</w:t>
      </w:r>
      <w:r w:rsidR="0066417F" w:rsidRPr="003307CA">
        <w:rPr>
          <w:rFonts w:asciiTheme="minorEastAsia" w:eastAsiaTheme="minorEastAsia" w:hAnsiTheme="minorEastAsia" w:hint="eastAsia"/>
          <w:szCs w:val="21"/>
        </w:rPr>
        <w:t>投资者</w:t>
      </w:r>
      <w:r w:rsidRPr="003307CA">
        <w:rPr>
          <w:rFonts w:asciiTheme="minorEastAsia" w:eastAsiaTheme="minorEastAsia" w:hAnsiTheme="minorEastAsia" w:hint="eastAsia"/>
          <w:szCs w:val="21"/>
        </w:rPr>
        <w:t>承担，不计入基金财产；本基金的赎回费由赎回</w:t>
      </w:r>
      <w:r w:rsidR="0066417F" w:rsidRPr="003307CA">
        <w:rPr>
          <w:rFonts w:asciiTheme="minorEastAsia" w:eastAsiaTheme="minorEastAsia" w:hAnsiTheme="minorEastAsia" w:hint="eastAsia"/>
          <w:szCs w:val="21"/>
        </w:rPr>
        <w:t>投资者</w:t>
      </w:r>
      <w:r w:rsidRPr="003307CA">
        <w:rPr>
          <w:rFonts w:asciiTheme="minorEastAsia" w:eastAsiaTheme="minorEastAsia" w:hAnsiTheme="minorEastAsia" w:hint="eastAsia"/>
          <w:szCs w:val="21"/>
        </w:rPr>
        <w:t>承担</w:t>
      </w:r>
      <w:r w:rsidR="00E4430F" w:rsidRPr="003307CA">
        <w:rPr>
          <w:rFonts w:asciiTheme="minorEastAsia" w:eastAsiaTheme="minorEastAsia" w:hAnsiTheme="minorEastAsia" w:hint="eastAsia"/>
          <w:szCs w:val="21"/>
        </w:rPr>
        <w:t>；对持有期少于</w:t>
      </w:r>
      <w:r w:rsidR="00E4430F" w:rsidRPr="003307CA">
        <w:rPr>
          <w:rFonts w:asciiTheme="minorEastAsia" w:eastAsiaTheme="minorEastAsia" w:hAnsiTheme="minorEastAsia"/>
          <w:szCs w:val="21"/>
        </w:rPr>
        <w:t>7</w:t>
      </w:r>
      <w:r w:rsidR="00E4430F" w:rsidRPr="003307CA">
        <w:rPr>
          <w:rFonts w:asciiTheme="minorEastAsia" w:eastAsiaTheme="minorEastAsia" w:hAnsiTheme="minorEastAsia" w:hint="eastAsia"/>
          <w:szCs w:val="21"/>
        </w:rPr>
        <w:t>天（不含）的基金份额持有人所收取赎回费用全额计入基金财产；对持有期在</w:t>
      </w:r>
      <w:r w:rsidR="00E4430F" w:rsidRPr="003307CA">
        <w:rPr>
          <w:rFonts w:asciiTheme="minorEastAsia" w:eastAsiaTheme="minorEastAsia" w:hAnsiTheme="minorEastAsia"/>
          <w:szCs w:val="21"/>
        </w:rPr>
        <w:t>7</w:t>
      </w:r>
      <w:r w:rsidR="00E4430F" w:rsidRPr="003307CA">
        <w:rPr>
          <w:rFonts w:asciiTheme="minorEastAsia" w:eastAsiaTheme="minorEastAsia" w:hAnsiTheme="minorEastAsia" w:hint="eastAsia"/>
          <w:szCs w:val="21"/>
        </w:rPr>
        <w:t>天以上（含）的基金份额持有人所收取</w:t>
      </w:r>
      <w:r w:rsidR="00E4430F" w:rsidRPr="003307CA">
        <w:rPr>
          <w:rFonts w:asciiTheme="minorEastAsia" w:eastAsiaTheme="minorEastAsia" w:hAnsiTheme="minorEastAsia"/>
          <w:szCs w:val="21"/>
        </w:rPr>
        <w:t>赎回费</w:t>
      </w:r>
      <w:r w:rsidR="00395EA3" w:rsidRPr="003307CA">
        <w:rPr>
          <w:rFonts w:asciiTheme="minorEastAsia" w:eastAsiaTheme="minorEastAsia" w:hAnsiTheme="minorEastAsia" w:hint="eastAsia"/>
          <w:szCs w:val="21"/>
        </w:rPr>
        <w:t>扣除用于市场推广、注册登记费和其他手续费后的余额归基金财产</w:t>
      </w:r>
      <w:r w:rsidRPr="003307CA">
        <w:rPr>
          <w:rFonts w:asciiTheme="minorEastAsia" w:eastAsiaTheme="minorEastAsia" w:hAnsiTheme="minorEastAsia" w:hint="eastAsia"/>
          <w:szCs w:val="21"/>
        </w:rPr>
        <w:t>，归入基金财产的比例</w:t>
      </w:r>
      <w:r w:rsidR="00395EA3" w:rsidRPr="003307CA">
        <w:rPr>
          <w:rFonts w:asciiTheme="minorEastAsia" w:eastAsiaTheme="minorEastAsia" w:hAnsiTheme="minorEastAsia" w:hint="eastAsia"/>
          <w:szCs w:val="21"/>
        </w:rPr>
        <w:t>为</w:t>
      </w:r>
      <w:r w:rsidRPr="003307CA">
        <w:rPr>
          <w:rFonts w:asciiTheme="minorEastAsia" w:eastAsiaTheme="minorEastAsia" w:hAnsiTheme="minorEastAsia" w:hint="eastAsia"/>
          <w:szCs w:val="21"/>
        </w:rPr>
        <w:t>所收赎回费的25%。</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szCs w:val="21"/>
        </w:rPr>
      </w:pPr>
      <w:bookmarkStart w:id="132" w:name="_Toc44351095"/>
      <w:r w:rsidRPr="003307CA">
        <w:rPr>
          <w:rFonts w:asciiTheme="minorEastAsia" w:eastAsiaTheme="minorEastAsia" w:hAnsiTheme="minorEastAsia" w:hint="eastAsia"/>
          <w:b w:val="0"/>
        </w:rPr>
        <w:t>九</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申购</w:t>
      </w:r>
      <w:r w:rsidR="00785833" w:rsidRPr="003307CA">
        <w:rPr>
          <w:rFonts w:asciiTheme="minorEastAsia" w:eastAsiaTheme="minorEastAsia" w:hAnsiTheme="minorEastAsia" w:hint="eastAsia"/>
          <w:b w:val="0"/>
        </w:rPr>
        <w:t>和</w:t>
      </w:r>
      <w:r w:rsidRPr="003307CA">
        <w:rPr>
          <w:rFonts w:asciiTheme="minorEastAsia" w:eastAsiaTheme="minorEastAsia" w:hAnsiTheme="minorEastAsia" w:hint="eastAsia"/>
          <w:b w:val="0"/>
        </w:rPr>
        <w:t>赎回的注册登记</w:t>
      </w:r>
      <w:bookmarkEnd w:id="132"/>
    </w:p>
    <w:p w:rsidR="00785833" w:rsidRPr="003307CA" w:rsidRDefault="00785833"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投资者申购基金成功后，正常情况下，基金注册登记机构在</w:t>
      </w:r>
      <w:r w:rsidRPr="003307CA">
        <w:rPr>
          <w:rFonts w:asciiTheme="minorEastAsia" w:eastAsiaTheme="minorEastAsia" w:hAnsiTheme="minorEastAsia"/>
        </w:rPr>
        <w:t>T+</w:t>
      </w:r>
      <w:r w:rsidRPr="003307CA">
        <w:rPr>
          <w:rFonts w:asciiTheme="minorEastAsia" w:eastAsiaTheme="minorEastAsia" w:hAnsiTheme="minorEastAsia" w:hint="eastAsia"/>
        </w:rPr>
        <w:t>2日为投资者登记权益并办理注册登记手续，投资者自</w:t>
      </w:r>
      <w:r w:rsidRPr="003307CA">
        <w:rPr>
          <w:rFonts w:asciiTheme="minorEastAsia" w:eastAsiaTheme="minorEastAsia" w:hAnsiTheme="minorEastAsia"/>
        </w:rPr>
        <w:t>T+</w:t>
      </w:r>
      <w:r w:rsidRPr="003307CA">
        <w:rPr>
          <w:rFonts w:asciiTheme="minorEastAsia" w:eastAsiaTheme="minorEastAsia" w:hAnsiTheme="minorEastAsia" w:hint="eastAsia"/>
        </w:rPr>
        <w:t>3日（含该日）后有权赎回该部分基金份额。</w:t>
      </w:r>
    </w:p>
    <w:p w:rsidR="00785833" w:rsidRPr="003307CA" w:rsidRDefault="00785833"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投资者赎回基金成功后，正常情况下，基金注册登记机构在</w:t>
      </w:r>
      <w:r w:rsidRPr="003307CA">
        <w:rPr>
          <w:rFonts w:asciiTheme="minorEastAsia" w:eastAsiaTheme="minorEastAsia" w:hAnsiTheme="minorEastAsia"/>
        </w:rPr>
        <w:t>T+</w:t>
      </w:r>
      <w:r w:rsidRPr="003307CA">
        <w:rPr>
          <w:rFonts w:asciiTheme="minorEastAsia" w:eastAsiaTheme="minorEastAsia" w:hAnsiTheme="minorEastAsia" w:hint="eastAsia"/>
        </w:rPr>
        <w:t>2日为投资者办理扣除权益的注册登记手续。</w:t>
      </w:r>
    </w:p>
    <w:p w:rsidR="00785833" w:rsidRPr="003307CA" w:rsidRDefault="00785833"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基金管理人可以在法律法规允许的范围内，依法对上述注册登记办理时间进行调整，并最迟于开始实施前在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公告。</w:t>
      </w:r>
    </w:p>
    <w:p w:rsidR="006823CA" w:rsidRPr="003307CA" w:rsidRDefault="00581D5A" w:rsidP="00CE3F81">
      <w:pPr>
        <w:pStyle w:val="2"/>
        <w:snapToGrid w:val="0"/>
        <w:spacing w:beforeLines="0" w:afterLines="0" w:line="360" w:lineRule="auto"/>
        <w:ind w:firstLine="560"/>
        <w:rPr>
          <w:rFonts w:asciiTheme="minorEastAsia" w:eastAsiaTheme="minorEastAsia" w:hAnsiTheme="minorEastAsia"/>
          <w:b w:val="0"/>
        </w:rPr>
      </w:pPr>
      <w:bookmarkStart w:id="133" w:name="_Toc44351096"/>
      <w:r w:rsidRPr="003307CA">
        <w:rPr>
          <w:rFonts w:asciiTheme="minorEastAsia" w:eastAsiaTheme="minorEastAsia" w:hAnsiTheme="minorEastAsia" w:hint="eastAsia"/>
          <w:b w:val="0"/>
        </w:rPr>
        <w:t>十、</w:t>
      </w:r>
      <w:r w:rsidR="006823CA" w:rsidRPr="003307CA">
        <w:rPr>
          <w:rFonts w:asciiTheme="minorEastAsia" w:eastAsiaTheme="minorEastAsia" w:hAnsiTheme="minorEastAsia" w:hint="eastAsia"/>
          <w:b w:val="0"/>
        </w:rPr>
        <w:t>拒绝或暂停申购的情形及处理方式</w:t>
      </w:r>
      <w:bookmarkEnd w:id="133"/>
    </w:p>
    <w:p w:rsidR="006823CA" w:rsidRPr="003307CA" w:rsidRDefault="006823CA"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除非出现如下情形，基金管理人不得拒绝或暂停接受基金投资者的申购申请：</w:t>
      </w:r>
    </w:p>
    <w:p w:rsidR="006823CA"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6823CA" w:rsidRPr="003307CA">
        <w:rPr>
          <w:rFonts w:asciiTheme="minorEastAsia" w:eastAsiaTheme="minorEastAsia" w:hAnsiTheme="minorEastAsia" w:hint="eastAsia"/>
          <w:szCs w:val="21"/>
        </w:rPr>
        <w:t>不可抗力的原因导致基金无法正常运作；</w:t>
      </w:r>
    </w:p>
    <w:p w:rsidR="006823CA"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2、</w:t>
      </w:r>
      <w:r w:rsidR="006823CA" w:rsidRPr="003307CA">
        <w:rPr>
          <w:rFonts w:asciiTheme="minorEastAsia" w:eastAsiaTheme="minorEastAsia" w:hAnsiTheme="minorEastAsia" w:hint="eastAsia"/>
          <w:szCs w:val="21"/>
        </w:rPr>
        <w:t>本基金投资的主要证券交易市场或外汇市场的公众节假日、休市，并可能影响本基金正常估值与投资时；</w:t>
      </w:r>
    </w:p>
    <w:p w:rsidR="006823CA"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6823CA" w:rsidRPr="003307CA">
        <w:rPr>
          <w:rFonts w:asciiTheme="minorEastAsia" w:eastAsiaTheme="minorEastAsia" w:hAnsiTheme="minorEastAsia"/>
          <w:szCs w:val="21"/>
        </w:rPr>
        <w:t>本基金的资产组合中的重要部分发生暂停交易或其他重大事件，继续接受申购可能会影响或损害其他基金份额持有人利益时</w:t>
      </w:r>
      <w:r w:rsidR="006823CA" w:rsidRPr="003307CA">
        <w:rPr>
          <w:rFonts w:asciiTheme="minorEastAsia" w:eastAsiaTheme="minorEastAsia" w:hAnsiTheme="minorEastAsia" w:hint="eastAsia"/>
          <w:szCs w:val="21"/>
        </w:rPr>
        <w:t>；</w:t>
      </w:r>
    </w:p>
    <w:p w:rsidR="006823CA"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6823CA" w:rsidRPr="003307CA">
        <w:rPr>
          <w:rFonts w:asciiTheme="minorEastAsia" w:eastAsiaTheme="minorEastAsia" w:hAnsiTheme="minorEastAsia" w:hint="eastAsia"/>
          <w:szCs w:val="21"/>
        </w:rPr>
        <w:t>基金资产规模过大，使基金管理人无法找到合适的投资品种，或可能对基金业绩产生负面影响，从而损害现有基金份额持有人的利益；</w:t>
      </w:r>
    </w:p>
    <w:p w:rsidR="006823CA"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6823CA" w:rsidRPr="003307CA">
        <w:rPr>
          <w:rFonts w:asciiTheme="minorEastAsia" w:eastAsiaTheme="minorEastAsia" w:hAnsiTheme="minorEastAsia" w:hint="eastAsia"/>
          <w:szCs w:val="21"/>
        </w:rPr>
        <w:t>基金资产规模或者份额数量达到了监管部门或基金管理人规定的上限；</w:t>
      </w:r>
    </w:p>
    <w:p w:rsidR="006823CA"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w:t>
      </w:r>
      <w:r w:rsidR="006823CA" w:rsidRPr="003307CA">
        <w:rPr>
          <w:rFonts w:asciiTheme="minorEastAsia" w:eastAsiaTheme="minorEastAsia" w:hAnsiTheme="minorEastAsia" w:hint="eastAsia"/>
          <w:szCs w:val="21"/>
        </w:rPr>
        <w:t>基金管理人、基金托管人、基金销售机构或注册登记机构因技术</w:t>
      </w:r>
      <w:r w:rsidR="00FF05F7" w:rsidRPr="003307CA">
        <w:rPr>
          <w:rFonts w:asciiTheme="minorEastAsia" w:eastAsiaTheme="minorEastAsia" w:hAnsiTheme="minorEastAsia" w:hint="eastAsia"/>
          <w:szCs w:val="21"/>
        </w:rPr>
        <w:t>故</w:t>
      </w:r>
      <w:r w:rsidR="006823CA" w:rsidRPr="003307CA">
        <w:rPr>
          <w:rFonts w:asciiTheme="minorEastAsia" w:eastAsiaTheme="minorEastAsia" w:hAnsiTheme="minorEastAsia" w:hint="eastAsia"/>
          <w:szCs w:val="21"/>
        </w:rPr>
        <w:t>障导致基金销售系统或基金注册登记系统或基金会计系统无法正常运行；</w:t>
      </w:r>
    </w:p>
    <w:p w:rsidR="006823CA"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6823CA" w:rsidRPr="003307CA">
        <w:rPr>
          <w:rFonts w:asciiTheme="minorEastAsia" w:eastAsiaTheme="minorEastAsia" w:hAnsiTheme="minorEastAsia" w:hint="eastAsia"/>
          <w:szCs w:val="21"/>
        </w:rPr>
        <w:t>基金管理人认为会有损于现有基金份额持有人利益的某笔申购；</w:t>
      </w:r>
    </w:p>
    <w:p w:rsidR="00CD3B3A" w:rsidRPr="003307CA" w:rsidRDefault="005F029B" w:rsidP="001223DA">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8</w:t>
      </w:r>
      <w:r w:rsidRPr="003307CA">
        <w:rPr>
          <w:rFonts w:asciiTheme="minorEastAsia" w:eastAsiaTheme="minorEastAsia" w:hAnsiTheme="minorEastAsia"/>
          <w:szCs w:val="21"/>
        </w:rPr>
        <w:t>、</w:t>
      </w:r>
      <w:r w:rsidR="000E5F6B" w:rsidRPr="003307CA">
        <w:rPr>
          <w:rFonts w:asciiTheme="minorEastAsia" w:eastAsiaTheme="minorEastAsia" w:hAnsiTheme="minorEastAsia" w:hint="eastAsia"/>
          <w:szCs w:val="21"/>
        </w:rPr>
        <w:t>基金管理人接受某笔或者某些申购申请有可能导致单一投资者持有基金份额的比例达到或者超过</w:t>
      </w:r>
      <w:r w:rsidR="000E5F6B" w:rsidRPr="003307CA">
        <w:rPr>
          <w:rFonts w:asciiTheme="minorEastAsia" w:eastAsiaTheme="minorEastAsia" w:hAnsiTheme="minorEastAsia"/>
          <w:szCs w:val="21"/>
        </w:rPr>
        <w:t>50%，或者变相规避50%集中度的情形时；</w:t>
      </w:r>
    </w:p>
    <w:p w:rsidR="00CD3B3A" w:rsidRPr="003307CA" w:rsidRDefault="005F029B" w:rsidP="001223DA">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9、</w:t>
      </w:r>
      <w:r w:rsidR="000E5F6B" w:rsidRPr="003307CA">
        <w:rPr>
          <w:rFonts w:asciiTheme="minorEastAsia" w:eastAsiaTheme="minorEastAsia" w:hAnsiTheme="minorEastAsia"/>
          <w:szCs w:val="21"/>
        </w:rPr>
        <w:t>当一笔新的</w:t>
      </w:r>
      <w:r w:rsidR="000E5F6B" w:rsidRPr="003307CA">
        <w:rPr>
          <w:rFonts w:asciiTheme="minorEastAsia" w:eastAsiaTheme="minorEastAsia" w:hAnsiTheme="minorEastAsia" w:hint="eastAsia"/>
          <w:szCs w:val="21"/>
        </w:rPr>
        <w:t>申购申请被确认成功，使本基金总规模超过基金管理人规定的本基金总规模上限时；或使本基金单日申购金额或</w:t>
      </w:r>
      <w:r w:rsidR="000E5F6B" w:rsidRPr="003307CA">
        <w:rPr>
          <w:rFonts w:asciiTheme="minorEastAsia" w:eastAsiaTheme="minorEastAsia" w:hAnsiTheme="minorEastAsia"/>
          <w:szCs w:val="21"/>
        </w:rPr>
        <w:t>净申购比例</w:t>
      </w:r>
      <w:r w:rsidR="000E5F6B" w:rsidRPr="003307CA">
        <w:rPr>
          <w:rFonts w:asciiTheme="minorEastAsia" w:eastAsiaTheme="minorEastAsia" w:hAnsiTheme="minorEastAsia" w:hint="eastAsia"/>
          <w:szCs w:val="21"/>
        </w:rPr>
        <w:t>超过基金管理人规定的当日申购金额或</w:t>
      </w:r>
      <w:r w:rsidR="000E5F6B" w:rsidRPr="003307CA">
        <w:rPr>
          <w:rFonts w:asciiTheme="minorEastAsia" w:eastAsiaTheme="minorEastAsia" w:hAnsiTheme="minorEastAsia"/>
          <w:szCs w:val="21"/>
        </w:rPr>
        <w:t>净申购比例</w:t>
      </w:r>
      <w:r w:rsidR="000E5F6B" w:rsidRPr="003307CA">
        <w:rPr>
          <w:rFonts w:asciiTheme="minorEastAsia" w:eastAsiaTheme="minorEastAsia" w:hAnsiTheme="minorEastAsia" w:hint="eastAsia"/>
          <w:szCs w:val="21"/>
        </w:rPr>
        <w:t>上限时；或该投资人累计持有的份额超过单个投资人累计持有的份额上限时；或该投资人当日申购金额超过单个投资人单日或</w:t>
      </w:r>
      <w:r w:rsidR="000E5F6B" w:rsidRPr="003307CA">
        <w:rPr>
          <w:rFonts w:asciiTheme="minorEastAsia" w:eastAsiaTheme="minorEastAsia" w:hAnsiTheme="minorEastAsia"/>
          <w:szCs w:val="21"/>
        </w:rPr>
        <w:t>单笔</w:t>
      </w:r>
      <w:r w:rsidR="000E5F6B" w:rsidRPr="003307CA">
        <w:rPr>
          <w:rFonts w:asciiTheme="minorEastAsia" w:eastAsiaTheme="minorEastAsia" w:hAnsiTheme="minorEastAsia" w:hint="eastAsia"/>
          <w:szCs w:val="21"/>
        </w:rPr>
        <w:t>申购金额上限时；</w:t>
      </w:r>
    </w:p>
    <w:p w:rsidR="00CD3B3A" w:rsidRPr="003307CA" w:rsidRDefault="005F029B" w:rsidP="001223DA">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10、</w:t>
      </w:r>
      <w:r w:rsidR="000E5F6B" w:rsidRPr="003307CA">
        <w:rPr>
          <w:rFonts w:asciiTheme="minorEastAsia" w:eastAsiaTheme="minorEastAsia" w:hAnsiTheme="minorEastAsia" w:hint="eastAsia"/>
          <w:szCs w:val="21"/>
        </w:rPr>
        <w:t>当前一估值日基金资产净值</w:t>
      </w:r>
      <w:r w:rsidR="000E5F6B" w:rsidRPr="003307CA">
        <w:rPr>
          <w:rFonts w:asciiTheme="minorEastAsia" w:eastAsiaTheme="minorEastAsia" w:hAnsiTheme="minorEastAsia"/>
          <w:szCs w:val="21"/>
        </w:rPr>
        <w:t>50%</w:t>
      </w:r>
      <w:r w:rsidR="000E5F6B" w:rsidRPr="003307CA">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6823CA" w:rsidRPr="003307CA" w:rsidRDefault="005F029B"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11</w:t>
      </w:r>
      <w:r w:rsidR="006A1D96" w:rsidRPr="003307CA">
        <w:rPr>
          <w:rFonts w:asciiTheme="minorEastAsia" w:eastAsiaTheme="minorEastAsia" w:hAnsiTheme="minorEastAsia" w:hint="eastAsia"/>
          <w:szCs w:val="21"/>
        </w:rPr>
        <w:t>、</w:t>
      </w:r>
      <w:r w:rsidR="006823CA" w:rsidRPr="003307CA">
        <w:rPr>
          <w:rFonts w:asciiTheme="minorEastAsia" w:eastAsiaTheme="minorEastAsia" w:hAnsiTheme="minorEastAsia" w:hint="eastAsia"/>
          <w:szCs w:val="21"/>
        </w:rPr>
        <w:t>法律法规规定或中国证监会认定的其他可暂停申购的情形。</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发生上述情形之一</w:t>
      </w:r>
      <w:r w:rsidR="001029C6" w:rsidRPr="003307CA">
        <w:rPr>
          <w:rFonts w:asciiTheme="minorEastAsia" w:eastAsiaTheme="minorEastAsia" w:hAnsiTheme="minorEastAsia" w:hint="eastAsia"/>
        </w:rPr>
        <w:t>且基金管理人决定暂停或拒绝基金投资者的申购申请</w:t>
      </w:r>
      <w:r w:rsidRPr="003307CA">
        <w:rPr>
          <w:rFonts w:asciiTheme="minorEastAsia" w:eastAsiaTheme="minorEastAsia" w:hAnsiTheme="minorEastAsia" w:hint="eastAsia"/>
        </w:rPr>
        <w:t>的，申购款项将全额退还投资者。发生上述</w:t>
      </w:r>
      <w:r w:rsidR="001029C6" w:rsidRPr="003307CA">
        <w:rPr>
          <w:rFonts w:asciiTheme="minorEastAsia" w:eastAsiaTheme="minorEastAsia" w:hAnsiTheme="minorEastAsia"/>
        </w:rPr>
        <w:t>1、2、</w:t>
      </w:r>
      <w:r w:rsidR="001029C6" w:rsidRPr="003307CA">
        <w:rPr>
          <w:rFonts w:asciiTheme="minorEastAsia" w:eastAsiaTheme="minorEastAsia" w:hAnsiTheme="minorEastAsia" w:hint="eastAsia"/>
        </w:rPr>
        <w:t>3</w:t>
      </w:r>
      <w:r w:rsidR="001029C6" w:rsidRPr="003307CA">
        <w:rPr>
          <w:rFonts w:asciiTheme="minorEastAsia" w:eastAsiaTheme="minorEastAsia" w:hAnsiTheme="minorEastAsia"/>
        </w:rPr>
        <w:t>、</w:t>
      </w:r>
      <w:r w:rsidR="001029C6" w:rsidRPr="003307CA">
        <w:rPr>
          <w:rFonts w:asciiTheme="minorEastAsia" w:eastAsiaTheme="minorEastAsia" w:hAnsiTheme="minorEastAsia" w:hint="eastAsia"/>
        </w:rPr>
        <w:t>4</w:t>
      </w:r>
      <w:r w:rsidR="001029C6" w:rsidRPr="003307CA">
        <w:rPr>
          <w:rFonts w:asciiTheme="minorEastAsia" w:eastAsiaTheme="minorEastAsia" w:hAnsiTheme="minorEastAsia"/>
        </w:rPr>
        <w:t>、5</w:t>
      </w:r>
      <w:r w:rsidR="001029C6" w:rsidRPr="003307CA">
        <w:rPr>
          <w:rFonts w:asciiTheme="minorEastAsia" w:eastAsiaTheme="minorEastAsia" w:hAnsiTheme="minorEastAsia" w:hint="eastAsia"/>
        </w:rPr>
        <w:t>、6、9</w:t>
      </w:r>
      <w:r w:rsidR="001029C6" w:rsidRPr="003307CA">
        <w:rPr>
          <w:rFonts w:asciiTheme="minorEastAsia" w:eastAsiaTheme="minorEastAsia" w:hAnsiTheme="minorEastAsia"/>
        </w:rPr>
        <w:t>、10、11</w:t>
      </w:r>
      <w:r w:rsidR="001029C6" w:rsidRPr="003307CA">
        <w:rPr>
          <w:rFonts w:asciiTheme="minorEastAsia" w:eastAsiaTheme="minorEastAsia" w:hAnsiTheme="minorEastAsia" w:hint="eastAsia"/>
        </w:rPr>
        <w:t>项</w:t>
      </w:r>
      <w:r w:rsidRPr="003307CA">
        <w:rPr>
          <w:rFonts w:asciiTheme="minorEastAsia" w:eastAsiaTheme="minorEastAsia" w:hAnsiTheme="minorEastAsia" w:hint="eastAsia"/>
        </w:rPr>
        <w:t>暂停申购情形时，基金管理人应当在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刊登暂停申购公告。</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在暂停申购的情况消除时，基金管理人应及时恢复申购业务的办理，并依照有关规定在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公告。</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基金管理人拒绝或暂停接受申购的方式包括：</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拒绝接受、暂停接受某笔或某数笔申购申请；</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拒绝接受、暂停接受某个或某数个工作日的全部申购申请；</w:t>
      </w:r>
    </w:p>
    <w:p w:rsidR="00696B4C"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按比例拒绝接受、暂停接受某个或某数个工作日的申购申请。</w:t>
      </w:r>
    </w:p>
    <w:p w:rsidR="006823CA" w:rsidRPr="003307CA" w:rsidRDefault="00581D5A" w:rsidP="00CE3F81">
      <w:pPr>
        <w:pStyle w:val="2"/>
        <w:snapToGrid w:val="0"/>
        <w:spacing w:beforeLines="0" w:afterLines="0" w:line="360" w:lineRule="auto"/>
        <w:ind w:firstLine="560"/>
        <w:rPr>
          <w:rFonts w:asciiTheme="minorEastAsia" w:eastAsiaTheme="minorEastAsia" w:hAnsiTheme="minorEastAsia"/>
          <w:b w:val="0"/>
        </w:rPr>
      </w:pPr>
      <w:bookmarkStart w:id="134" w:name="_Toc44351097"/>
      <w:r w:rsidRPr="003307CA">
        <w:rPr>
          <w:rFonts w:asciiTheme="minorEastAsia" w:eastAsiaTheme="minorEastAsia" w:hAnsiTheme="minorEastAsia" w:hint="eastAsia"/>
          <w:b w:val="0"/>
        </w:rPr>
        <w:t>十一、</w:t>
      </w:r>
      <w:r w:rsidR="006823CA" w:rsidRPr="003307CA">
        <w:rPr>
          <w:rFonts w:asciiTheme="minorEastAsia" w:eastAsiaTheme="minorEastAsia" w:hAnsiTheme="minorEastAsia" w:hint="eastAsia"/>
          <w:b w:val="0"/>
        </w:rPr>
        <w:t>暂停赎回或者延缓支付赎回款项的情形及处理方式</w:t>
      </w:r>
      <w:bookmarkEnd w:id="134"/>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除非出现如下情形，基金管理人不得拒绝接受或暂停基金份额持有人的赎回申请或者延缓支付赎回款项：</w:t>
      </w:r>
    </w:p>
    <w:p w:rsidR="006823CA"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823CA" w:rsidRPr="003307CA">
        <w:rPr>
          <w:rFonts w:asciiTheme="minorEastAsia" w:eastAsiaTheme="minorEastAsia" w:hAnsiTheme="minorEastAsia" w:hint="eastAsia"/>
        </w:rPr>
        <w:t>不可抗力的原因导致基金管理人不能支付赎回款项；</w:t>
      </w:r>
    </w:p>
    <w:p w:rsidR="006823CA"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6823CA" w:rsidRPr="003307CA">
        <w:rPr>
          <w:rFonts w:asciiTheme="minorEastAsia" w:eastAsiaTheme="minorEastAsia" w:hAnsiTheme="minorEastAsia" w:hint="eastAsia"/>
        </w:rPr>
        <w:t>本基金进行交易的主要证券交易市场或外汇市场交易时间非正常停市或遇公众节假</w:t>
      </w:r>
      <w:r w:rsidR="006823CA" w:rsidRPr="003307CA">
        <w:rPr>
          <w:rFonts w:asciiTheme="minorEastAsia" w:eastAsiaTheme="minorEastAsia" w:hAnsiTheme="minorEastAsia" w:hint="eastAsia"/>
        </w:rPr>
        <w:lastRenderedPageBreak/>
        <w:t>日，可能影响本基金投资，或导致基金管理人无法计算当日基金资产净值；</w:t>
      </w:r>
    </w:p>
    <w:p w:rsidR="006823CA"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6823CA" w:rsidRPr="003307CA">
        <w:rPr>
          <w:rFonts w:asciiTheme="minorEastAsia" w:eastAsiaTheme="minorEastAsia" w:hAnsiTheme="minorEastAsia" w:hint="eastAsia"/>
        </w:rPr>
        <w:t>因市场剧烈波动或其他原因而出现连续2个或2个以上开放日巨额赎回，导致本基金的现金支付出现困难；</w:t>
      </w:r>
    </w:p>
    <w:p w:rsidR="006823CA"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6823CA" w:rsidRPr="003307CA">
        <w:rPr>
          <w:rFonts w:asciiTheme="minorEastAsia" w:eastAsiaTheme="minorEastAsia" w:hAnsiTheme="minorEastAsia" w:hint="eastAsia"/>
        </w:rPr>
        <w:t>本基金投资的主要证券交易市场或外汇市场的公众节假日、休市，并可能影响本基金正常估值与投资时；</w:t>
      </w:r>
    </w:p>
    <w:p w:rsidR="006823CA"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006823CA" w:rsidRPr="003307CA">
        <w:rPr>
          <w:rFonts w:asciiTheme="minorEastAsia" w:eastAsiaTheme="minorEastAsia" w:hAnsiTheme="minorEastAsia" w:hint="eastAsia"/>
        </w:rPr>
        <w:t>本基金的资产组合中的重要部分发生暂停交易或其他重大事件，继续接受赎回可能会影响或损害其他基金份额持有人利益时；</w:t>
      </w:r>
    </w:p>
    <w:p w:rsidR="006823CA" w:rsidRPr="003307CA" w:rsidRDefault="006A1D9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006823CA" w:rsidRPr="003307CA">
        <w:rPr>
          <w:rFonts w:asciiTheme="minorEastAsia" w:eastAsiaTheme="minorEastAsia" w:hAnsiTheme="minorEastAsia" w:hint="eastAsia"/>
        </w:rPr>
        <w:t>基金管理人、基金托管人、基金销售机构或注册登记机构因技术</w:t>
      </w:r>
      <w:r w:rsidR="00FF05F7" w:rsidRPr="003307CA">
        <w:rPr>
          <w:rFonts w:asciiTheme="minorEastAsia" w:eastAsiaTheme="minorEastAsia" w:hAnsiTheme="minorEastAsia" w:hint="eastAsia"/>
        </w:rPr>
        <w:t>故障</w:t>
      </w:r>
      <w:r w:rsidR="006823CA" w:rsidRPr="003307CA">
        <w:rPr>
          <w:rFonts w:asciiTheme="minorEastAsia" w:eastAsiaTheme="minorEastAsia" w:hAnsiTheme="minorEastAsia" w:hint="eastAsia"/>
        </w:rPr>
        <w:t>导致基金销售系统或基金注册登记系统或基金会计系统无法正常运行时；</w:t>
      </w:r>
    </w:p>
    <w:p w:rsidR="00CD3B3A" w:rsidRPr="003307CA" w:rsidRDefault="001029C6" w:rsidP="001223DA">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Pr="003307CA">
        <w:rPr>
          <w:rFonts w:asciiTheme="minorEastAsia" w:eastAsiaTheme="minorEastAsia" w:hAnsiTheme="minorEastAsia"/>
        </w:rPr>
        <w:t>、</w:t>
      </w:r>
      <w:r w:rsidR="000E5F6B" w:rsidRPr="003307CA">
        <w:rPr>
          <w:rFonts w:asciiTheme="minorEastAsia" w:eastAsiaTheme="minorEastAsia" w:hAnsiTheme="minorEastAsia" w:hint="eastAsia"/>
        </w:rPr>
        <w:t>当前一估值日基金资产净值</w:t>
      </w:r>
      <w:r w:rsidR="000E5F6B" w:rsidRPr="003307CA">
        <w:rPr>
          <w:rFonts w:asciiTheme="minorEastAsia" w:eastAsiaTheme="minorEastAsia" w:hAnsiTheme="minorEastAsia"/>
        </w:rPr>
        <w:t>50%</w:t>
      </w:r>
      <w:r w:rsidR="000E5F6B" w:rsidRPr="003307CA">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以上的资产出现无可参考的活跃市场价格且采用估值技术仍导致公允价值存在重大不确定性时，经与基金托管人协商确认后，基金管理人应当采取延缓</w:t>
      </w:r>
      <w:r w:rsidR="000E5F6B" w:rsidRPr="003307CA">
        <w:rPr>
          <w:rFonts w:asciiTheme="minorEastAsia" w:eastAsiaTheme="minorEastAsia" w:hAnsiTheme="minorEastAsia"/>
        </w:rPr>
        <w:t>支付</w:t>
      </w:r>
      <w:r w:rsidR="000E5F6B" w:rsidRPr="003307CA">
        <w:rPr>
          <w:rFonts w:asciiTheme="minorEastAsia" w:eastAsiaTheme="minorEastAsia" w:hAnsiTheme="minorEastAsia" w:hint="eastAsia"/>
        </w:rPr>
        <w:t>赎回款项</w:t>
      </w:r>
      <w:r w:rsidR="000E5F6B" w:rsidRPr="003307CA">
        <w:rPr>
          <w:rFonts w:asciiTheme="minorEastAsia" w:eastAsiaTheme="minorEastAsia" w:hAnsiTheme="minorEastAsia"/>
        </w:rPr>
        <w:t>或</w:t>
      </w:r>
      <w:r w:rsidR="000E5F6B" w:rsidRPr="003307CA">
        <w:rPr>
          <w:rFonts w:asciiTheme="minorEastAsia" w:eastAsiaTheme="minorEastAsia" w:hAnsiTheme="minorEastAsia" w:hint="eastAsia"/>
        </w:rPr>
        <w:t>暂停接受基金赎回申请的措施；</w:t>
      </w:r>
    </w:p>
    <w:p w:rsidR="006823CA" w:rsidRPr="003307CA" w:rsidRDefault="001029C6" w:rsidP="006A1D96">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8</w:t>
      </w:r>
      <w:r w:rsidR="006A1D96" w:rsidRPr="003307CA">
        <w:rPr>
          <w:rFonts w:asciiTheme="minorEastAsia" w:eastAsiaTheme="minorEastAsia" w:hAnsiTheme="minorEastAsia" w:hint="eastAsia"/>
        </w:rPr>
        <w:t>、</w:t>
      </w:r>
      <w:r w:rsidR="006823CA" w:rsidRPr="003307CA">
        <w:rPr>
          <w:rFonts w:asciiTheme="minorEastAsia" w:eastAsiaTheme="minorEastAsia" w:hAnsiTheme="minorEastAsia" w:hint="eastAsia"/>
        </w:rPr>
        <w:t>法律法规规定或中国证监会认定的其他情形。</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w:t>
      </w:r>
      <w:r w:rsidRPr="003307CA">
        <w:rPr>
          <w:rFonts w:asciiTheme="minorEastAsia" w:eastAsiaTheme="minorEastAsia" w:hAnsiTheme="minorEastAsia" w:hint="eastAsia"/>
          <w:kern w:val="0"/>
          <w:szCs w:val="21"/>
        </w:rPr>
        <w:t>20个工作日内</w:t>
      </w:r>
      <w:r w:rsidRPr="003307CA">
        <w:rPr>
          <w:rFonts w:asciiTheme="minorEastAsia" w:eastAsiaTheme="minorEastAsia" w:hAnsiTheme="minorEastAsia" w:hint="eastAsia"/>
        </w:rPr>
        <w:t>予以支付。</w:t>
      </w:r>
    </w:p>
    <w:p w:rsidR="00696B4C" w:rsidRPr="003307CA" w:rsidRDefault="00756F9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同时，在出现上述第</w:t>
      </w:r>
      <w:r w:rsidR="006823CA" w:rsidRPr="003307CA">
        <w:rPr>
          <w:rFonts w:asciiTheme="minorEastAsia" w:eastAsiaTheme="minorEastAsia" w:hAnsiTheme="minorEastAsia"/>
        </w:rPr>
        <w:t>3</w:t>
      </w:r>
      <w:r w:rsidR="006823CA" w:rsidRPr="003307CA">
        <w:rPr>
          <w:rFonts w:asciiTheme="minorEastAsia" w:eastAsiaTheme="minorEastAsia" w:hAnsiTheme="minorEastAsia" w:hint="eastAsia"/>
        </w:rPr>
        <w:t>款的情形时，对已接受的赎回申请可延期支付赎回款项，最长不超过支付时间</w:t>
      </w:r>
      <w:r w:rsidR="006823CA" w:rsidRPr="003307CA">
        <w:rPr>
          <w:rFonts w:asciiTheme="minorEastAsia" w:eastAsiaTheme="minorEastAsia" w:hAnsiTheme="minorEastAsia"/>
        </w:rPr>
        <w:t>20</w:t>
      </w:r>
      <w:r w:rsidR="006823CA" w:rsidRPr="003307CA">
        <w:rPr>
          <w:rFonts w:asciiTheme="minorEastAsia" w:eastAsiaTheme="minorEastAsia" w:hAnsiTheme="minorEastAsia" w:hint="eastAsia"/>
        </w:rPr>
        <w:t>个工作日，并在</w:t>
      </w:r>
      <w:r w:rsidR="000964B0" w:rsidRPr="003307CA">
        <w:rPr>
          <w:rFonts w:asciiTheme="minorEastAsia" w:eastAsiaTheme="minorEastAsia" w:hAnsiTheme="minorEastAsia" w:hint="eastAsia"/>
        </w:rPr>
        <w:t>指定媒介</w:t>
      </w:r>
      <w:r w:rsidR="006823CA" w:rsidRPr="003307CA">
        <w:rPr>
          <w:rFonts w:asciiTheme="minorEastAsia" w:eastAsiaTheme="minorEastAsia" w:hAnsiTheme="minorEastAsia" w:hint="eastAsia"/>
        </w:rPr>
        <w:t>公告。投资者在申请赎回时可事先选择将当日可能未获受理部分予以撤销。</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暂停基金的赎回，基金管理人应及时在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刊登暂停赎回公告。</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在暂停赎回的情况消除时，基金管理人应及时恢复赎回业务的办理，并依照有关规定在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公告。</w:t>
      </w:r>
    </w:p>
    <w:p w:rsidR="006823CA" w:rsidRPr="003307CA" w:rsidRDefault="00756F9A" w:rsidP="00CE3F81">
      <w:pPr>
        <w:pStyle w:val="2"/>
        <w:snapToGrid w:val="0"/>
        <w:spacing w:beforeLines="0" w:afterLines="0" w:line="360" w:lineRule="auto"/>
        <w:ind w:firstLine="560"/>
        <w:rPr>
          <w:rFonts w:asciiTheme="minorEastAsia" w:eastAsiaTheme="minorEastAsia" w:hAnsiTheme="minorEastAsia"/>
          <w:b w:val="0"/>
        </w:rPr>
      </w:pPr>
      <w:bookmarkStart w:id="135" w:name="_Toc44351098"/>
      <w:r w:rsidRPr="003307CA">
        <w:rPr>
          <w:rFonts w:asciiTheme="minorEastAsia" w:eastAsiaTheme="minorEastAsia" w:hAnsiTheme="minorEastAsia" w:hint="eastAsia"/>
          <w:b w:val="0"/>
        </w:rPr>
        <w:t>十二</w:t>
      </w:r>
      <w:r w:rsidR="00581D5A" w:rsidRPr="003307CA">
        <w:rPr>
          <w:rFonts w:asciiTheme="minorEastAsia" w:eastAsiaTheme="minorEastAsia" w:hAnsiTheme="minorEastAsia" w:hint="eastAsia"/>
          <w:b w:val="0"/>
        </w:rPr>
        <w:t>、</w:t>
      </w:r>
      <w:r w:rsidR="006823CA" w:rsidRPr="003307CA">
        <w:rPr>
          <w:rFonts w:asciiTheme="minorEastAsia" w:eastAsiaTheme="minorEastAsia" w:hAnsiTheme="minorEastAsia" w:hint="eastAsia"/>
          <w:b w:val="0"/>
        </w:rPr>
        <w:t>其他暂停申购和赎回的情形及处理方式</w:t>
      </w:r>
      <w:bookmarkEnd w:id="135"/>
    </w:p>
    <w:p w:rsidR="006823CA" w:rsidRPr="003307CA" w:rsidRDefault="006823CA"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发生《基金合同》或《招募说明书》中未予载明的事项，但基金管理人有正当理由认为需要暂停基金申购、赎回的，可以经届时有效的合法程序宣布暂停接受投资者的申购、赎回申请。</w:t>
      </w:r>
    </w:p>
    <w:p w:rsidR="006823CA" w:rsidRPr="003307CA" w:rsidRDefault="00756F9A" w:rsidP="00CE3F81">
      <w:pPr>
        <w:pStyle w:val="2"/>
        <w:snapToGrid w:val="0"/>
        <w:spacing w:beforeLines="0" w:afterLines="0" w:line="360" w:lineRule="auto"/>
        <w:ind w:firstLine="560"/>
        <w:rPr>
          <w:rFonts w:asciiTheme="minorEastAsia" w:eastAsiaTheme="minorEastAsia" w:hAnsiTheme="minorEastAsia"/>
          <w:b w:val="0"/>
        </w:rPr>
      </w:pPr>
      <w:bookmarkStart w:id="136" w:name="_Toc44351099"/>
      <w:r w:rsidRPr="003307CA">
        <w:rPr>
          <w:rFonts w:asciiTheme="minorEastAsia" w:eastAsiaTheme="minorEastAsia" w:hAnsiTheme="minorEastAsia" w:hint="eastAsia"/>
          <w:b w:val="0"/>
        </w:rPr>
        <w:t>十三</w:t>
      </w:r>
      <w:r w:rsidR="00581D5A" w:rsidRPr="003307CA">
        <w:rPr>
          <w:rFonts w:asciiTheme="minorEastAsia" w:eastAsiaTheme="minorEastAsia" w:hAnsiTheme="minorEastAsia" w:hint="eastAsia"/>
          <w:b w:val="0"/>
        </w:rPr>
        <w:t>、</w:t>
      </w:r>
      <w:r w:rsidR="006823CA" w:rsidRPr="003307CA">
        <w:rPr>
          <w:rFonts w:asciiTheme="minorEastAsia" w:eastAsiaTheme="minorEastAsia" w:hAnsiTheme="minorEastAsia" w:hint="eastAsia"/>
          <w:b w:val="0"/>
        </w:rPr>
        <w:t>重新开放申购或赎回的公告</w:t>
      </w:r>
      <w:bookmarkEnd w:id="136"/>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如果发生暂停的时间为一天，基金管理人应于重新开放日在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刊登基金重新开放申购或赎回的公告并公布最近一个开放日的</w:t>
      </w:r>
      <w:r w:rsidRPr="003307CA">
        <w:rPr>
          <w:rFonts w:asciiTheme="minorEastAsia" w:eastAsiaTheme="minorEastAsia" w:hAnsiTheme="minorEastAsia" w:cs="宋体" w:hint="eastAsia"/>
          <w:kern w:val="0"/>
        </w:rPr>
        <w:t>基金份额净值</w:t>
      </w:r>
      <w:r w:rsidRPr="003307CA">
        <w:rPr>
          <w:rFonts w:asciiTheme="minorEastAsia" w:eastAsiaTheme="minorEastAsia" w:hAnsiTheme="minorEastAsia" w:hint="eastAsia"/>
        </w:rPr>
        <w:t>。</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如果发生暂停的时间超过一天但少于两周，暂停结束基金重新开放申购或赎回时，基金管理人应提前在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刊登基金重新开放申购或赎回的公告，并在重新开始办理申购或赎回的开放日公告最近一个开放日的</w:t>
      </w:r>
      <w:r w:rsidRPr="003307CA">
        <w:rPr>
          <w:rFonts w:asciiTheme="minorEastAsia" w:eastAsiaTheme="minorEastAsia" w:hAnsiTheme="minorEastAsia" w:cs="宋体" w:hint="eastAsia"/>
          <w:kern w:val="0"/>
        </w:rPr>
        <w:t>基金份额净值</w:t>
      </w:r>
      <w:r w:rsidRPr="003307CA">
        <w:rPr>
          <w:rFonts w:asciiTheme="minorEastAsia" w:eastAsiaTheme="minorEastAsia" w:hAnsiTheme="minorEastAsia" w:hint="eastAsia"/>
        </w:rPr>
        <w:t>。</w:t>
      </w:r>
    </w:p>
    <w:p w:rsidR="006823CA" w:rsidRPr="003307CA" w:rsidRDefault="006823CA"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如果发生暂停的时间超过两周（含两周），暂停期间，基金管理人应每两周至少重复刊登暂停公告一次</w:t>
      </w:r>
      <w:r w:rsidR="00874EFE" w:rsidRPr="003307CA">
        <w:rPr>
          <w:rFonts w:asciiTheme="minorEastAsia" w:eastAsiaTheme="minorEastAsia" w:hAnsiTheme="minorEastAsia" w:hint="eastAsia"/>
        </w:rPr>
        <w:t>；</w:t>
      </w:r>
      <w:r w:rsidR="00874EFE" w:rsidRPr="003307CA">
        <w:rPr>
          <w:rFonts w:asciiTheme="minorEastAsia" w:eastAsiaTheme="minorEastAsia" w:hAnsiTheme="minorEastAsia" w:cs="宋体" w:hint="eastAsia"/>
          <w:kern w:val="0"/>
          <w:szCs w:val="21"/>
        </w:rPr>
        <w:t>当连续暂停时间超过</w:t>
      </w:r>
      <w:r w:rsidR="00874EFE" w:rsidRPr="003307CA">
        <w:rPr>
          <w:rFonts w:asciiTheme="minorEastAsia" w:eastAsiaTheme="minorEastAsia" w:hAnsiTheme="minorEastAsia" w:cs="Arial" w:hint="eastAsia"/>
          <w:kern w:val="0"/>
          <w:szCs w:val="21"/>
        </w:rPr>
        <w:t>四周（含四周）</w:t>
      </w:r>
      <w:r w:rsidR="00874EFE" w:rsidRPr="003307CA">
        <w:rPr>
          <w:rFonts w:asciiTheme="minorEastAsia" w:eastAsiaTheme="minorEastAsia" w:hAnsiTheme="minorEastAsia" w:cs="宋体" w:hint="eastAsia"/>
          <w:kern w:val="0"/>
          <w:szCs w:val="21"/>
        </w:rPr>
        <w:t>时，可对重复刊登暂停公告的频率进行调整</w:t>
      </w:r>
      <w:r w:rsidRPr="003307CA">
        <w:rPr>
          <w:rFonts w:asciiTheme="minorEastAsia" w:eastAsiaTheme="minorEastAsia" w:hAnsiTheme="minorEastAsia" w:hint="eastAsia"/>
        </w:rPr>
        <w:t>。暂停结束基金重新开放申购或赎回时，基金管理人应提前在</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刊登基金重新开放申购或赎回的公告，并在重新开放申购或赎回日公告最近一个开放日的</w:t>
      </w:r>
      <w:r w:rsidRPr="003307CA">
        <w:rPr>
          <w:rFonts w:asciiTheme="minorEastAsia" w:eastAsiaTheme="minorEastAsia" w:hAnsiTheme="minorEastAsia" w:cs="宋体" w:hint="eastAsia"/>
          <w:kern w:val="0"/>
        </w:rPr>
        <w:t>基金份额净值</w:t>
      </w:r>
      <w:r w:rsidRPr="003307CA">
        <w:rPr>
          <w:rFonts w:asciiTheme="minorEastAsia" w:eastAsiaTheme="minorEastAsia" w:hAnsiTheme="minorEastAsia" w:hint="eastAsia"/>
        </w:rPr>
        <w:t>。</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37" w:name="_Toc44351100"/>
      <w:r w:rsidRPr="003307CA">
        <w:rPr>
          <w:rFonts w:asciiTheme="minorEastAsia" w:eastAsiaTheme="minorEastAsia" w:hAnsiTheme="minorEastAsia" w:hint="eastAsia"/>
          <w:b w:val="0"/>
        </w:rPr>
        <w:t>十</w:t>
      </w:r>
      <w:r w:rsidR="00756F9A" w:rsidRPr="003307CA">
        <w:rPr>
          <w:rFonts w:asciiTheme="minorEastAsia" w:eastAsiaTheme="minorEastAsia" w:hAnsiTheme="minorEastAsia" w:hint="eastAsia"/>
          <w:b w:val="0"/>
        </w:rPr>
        <w:t>四</w:t>
      </w:r>
      <w:r w:rsidR="00581D5A"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巨额赎回的认定及处理方式</w:t>
      </w:r>
      <w:bookmarkEnd w:id="137"/>
    </w:p>
    <w:p w:rsidR="007F4A09" w:rsidRPr="003307CA" w:rsidRDefault="007F4A0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巨额赎回的认定</w:t>
      </w:r>
    </w:p>
    <w:p w:rsidR="007F4A09" w:rsidRPr="003307CA" w:rsidRDefault="007F4A0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本基金单个开放日，基金净赎回申请（赎回申请总数加上基金转换中转出申请份额总数后扣除申购申请总数及基金转换中转入申请份额总数后的余额）超过上一日基金总份额的</w:t>
      </w:r>
      <w:r w:rsidRPr="003307CA">
        <w:rPr>
          <w:rFonts w:asciiTheme="minorEastAsia" w:eastAsiaTheme="minorEastAsia" w:hAnsiTheme="minorEastAsia"/>
        </w:rPr>
        <w:t>10%</w:t>
      </w:r>
      <w:r w:rsidRPr="003307CA">
        <w:rPr>
          <w:rFonts w:asciiTheme="minorEastAsia" w:eastAsiaTheme="minorEastAsia" w:hAnsiTheme="minorEastAsia" w:hint="eastAsia"/>
        </w:rPr>
        <w:t>时，即认为发生了巨额赎回。</w:t>
      </w:r>
    </w:p>
    <w:p w:rsidR="007F4A09" w:rsidRPr="003307CA" w:rsidRDefault="007F4A0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巨额赎回的处理方式</w:t>
      </w:r>
    </w:p>
    <w:p w:rsidR="007F4A09" w:rsidRPr="003307CA" w:rsidRDefault="007F4A0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当出现巨额赎回时，基金管理人可以根据本基金当时的资产组合状况决定全额赎回或部分顺延赎回。</w:t>
      </w:r>
    </w:p>
    <w:p w:rsidR="007F4A09" w:rsidRPr="003307CA" w:rsidRDefault="007F4A0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rPr>
        <w:t>）</w:t>
      </w:r>
      <w:r w:rsidRPr="003307CA">
        <w:rPr>
          <w:rFonts w:asciiTheme="minorEastAsia" w:eastAsiaTheme="minorEastAsia" w:hAnsiTheme="minorEastAsia" w:hint="eastAsia"/>
        </w:rPr>
        <w:t>全额赎回：当基金管理人认为有能力支付投资者的全部赎回申请时，按正常赎回程序执行。</w:t>
      </w:r>
    </w:p>
    <w:p w:rsidR="007F4A09" w:rsidRPr="003307CA" w:rsidRDefault="007F4A0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（2）部分顺延赎回：当基金管理人认为支付投资者的赎回申请有困难或认为支付投资者的赎回申请可能会对基金的资产净值造成较大波动时，基金管理人在当日接受赎回比例不低于</w:t>
      </w:r>
      <w:r w:rsidRPr="003307CA">
        <w:rPr>
          <w:rFonts w:asciiTheme="minorEastAsia" w:eastAsiaTheme="minorEastAsia" w:hAnsiTheme="minorEastAsia" w:hint="eastAsia"/>
          <w:szCs w:val="21"/>
        </w:rPr>
        <w:t>上一日</w:t>
      </w:r>
      <w:r w:rsidRPr="003307CA">
        <w:rPr>
          <w:rFonts w:asciiTheme="minorEastAsia" w:eastAsiaTheme="minorEastAsia" w:hAnsiTheme="minorEastAsia" w:hint="eastAsia"/>
        </w:rPr>
        <w:t>基金总份额的</w:t>
      </w:r>
      <w:r w:rsidRPr="003307CA">
        <w:rPr>
          <w:rFonts w:asciiTheme="minorEastAsia" w:eastAsiaTheme="minorEastAsia" w:hAnsiTheme="minorEastAsia"/>
        </w:rPr>
        <w:t>10</w:t>
      </w:r>
      <w:r w:rsidRPr="003307CA">
        <w:rPr>
          <w:rFonts w:asciiTheme="minorEastAsia" w:eastAsiaTheme="minorEastAsia" w:hAnsiTheme="minorEastAsia" w:hint="eastAsia"/>
        </w:rPr>
        <w:t>%</w:t>
      </w:r>
      <w:r w:rsidRPr="003307CA">
        <w:rPr>
          <w:rFonts w:asciiTheme="minorEastAsia" w:eastAsiaTheme="minorEastAsia" w:hAnsiTheme="minorEastAsia"/>
        </w:rPr>
        <w:t>的前提下，对其余赎回申请延期予以办理。对于</w:t>
      </w:r>
      <w:r w:rsidRPr="003307CA">
        <w:rPr>
          <w:rFonts w:asciiTheme="minorEastAsia" w:eastAsiaTheme="minorEastAsia" w:hAnsiTheme="minorEastAsia" w:hint="eastAsia"/>
        </w:rPr>
        <w:t>单个基金份额持有人</w:t>
      </w:r>
      <w:r w:rsidRPr="003307CA">
        <w:rPr>
          <w:rFonts w:asciiTheme="minorEastAsia" w:eastAsiaTheme="minorEastAsia" w:hAnsiTheme="minorEastAsia"/>
        </w:rPr>
        <w:t>的赎回申请，应当按</w:t>
      </w:r>
      <w:r w:rsidRPr="003307CA">
        <w:rPr>
          <w:rFonts w:asciiTheme="minorEastAsia" w:eastAsiaTheme="minorEastAsia" w:hAnsiTheme="minorEastAsia" w:hint="eastAsia"/>
        </w:rPr>
        <w:t>照其申请赎回份额</w:t>
      </w:r>
      <w:r w:rsidRPr="003307CA">
        <w:rPr>
          <w:rFonts w:asciiTheme="minorEastAsia" w:eastAsiaTheme="minorEastAsia" w:hAnsiTheme="minorEastAsia"/>
        </w:rPr>
        <w:t>占</w:t>
      </w:r>
      <w:r w:rsidRPr="003307CA">
        <w:rPr>
          <w:rFonts w:asciiTheme="minorEastAsia" w:eastAsiaTheme="minorEastAsia" w:hAnsiTheme="minorEastAsia" w:hint="eastAsia"/>
        </w:rPr>
        <w:t>当日申请</w:t>
      </w:r>
      <w:r w:rsidRPr="003307CA">
        <w:rPr>
          <w:rFonts w:asciiTheme="minorEastAsia" w:eastAsiaTheme="minorEastAsia" w:hAnsiTheme="minorEastAsia"/>
        </w:rPr>
        <w:t>赎回总</w:t>
      </w:r>
      <w:r w:rsidRPr="003307CA">
        <w:rPr>
          <w:rFonts w:asciiTheme="minorEastAsia" w:eastAsiaTheme="minorEastAsia" w:hAnsiTheme="minorEastAsia" w:hint="eastAsia"/>
        </w:rPr>
        <w:t>份额</w:t>
      </w:r>
      <w:r w:rsidRPr="003307CA">
        <w:rPr>
          <w:rFonts w:asciiTheme="minorEastAsia" w:eastAsiaTheme="minorEastAsia" w:hAnsiTheme="minorEastAsia"/>
        </w:rPr>
        <w:t>的比例，确定</w:t>
      </w:r>
      <w:r w:rsidRPr="003307CA">
        <w:rPr>
          <w:rFonts w:asciiTheme="minorEastAsia" w:eastAsiaTheme="minorEastAsia" w:hAnsiTheme="minorEastAsia" w:hint="eastAsia"/>
        </w:rPr>
        <w:t>该单个基金份额持有人</w:t>
      </w:r>
      <w:r w:rsidRPr="003307CA">
        <w:rPr>
          <w:rFonts w:asciiTheme="minorEastAsia" w:eastAsiaTheme="minorEastAsia" w:hAnsiTheme="minorEastAsia"/>
        </w:rPr>
        <w:t>当日</w:t>
      </w:r>
      <w:r w:rsidRPr="003307CA">
        <w:rPr>
          <w:rFonts w:asciiTheme="minorEastAsia" w:eastAsiaTheme="minorEastAsia" w:hAnsiTheme="minorEastAsia" w:hint="eastAsia"/>
        </w:rPr>
        <w:t>办理</w:t>
      </w:r>
      <w:r w:rsidRPr="003307CA">
        <w:rPr>
          <w:rFonts w:asciiTheme="minorEastAsia" w:eastAsiaTheme="minorEastAsia" w:hAnsiTheme="minorEastAsia"/>
        </w:rPr>
        <w:t>的赎回份额；</w:t>
      </w:r>
      <w:r w:rsidRPr="003307CA">
        <w:rPr>
          <w:rFonts w:asciiTheme="minorEastAsia" w:eastAsiaTheme="minorEastAsia" w:hAnsiTheme="minorEastAsia" w:hint="eastAsia"/>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9A3621" w:rsidRPr="003307CA" w:rsidRDefault="009A3621" w:rsidP="009A3621">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若本基金发生巨额赎回且单个基金份额持有人的赎回申请超过上一开放日基金总份额1</w:t>
      </w:r>
      <w:r w:rsidRPr="003307CA">
        <w:rPr>
          <w:rFonts w:asciiTheme="minorEastAsia" w:eastAsiaTheme="minorEastAsia" w:hAnsiTheme="minorEastAsia"/>
        </w:rPr>
        <w:t>0%</w:t>
      </w:r>
      <w:r w:rsidRPr="003307CA">
        <w:rPr>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7F4A09" w:rsidRPr="003307CA" w:rsidRDefault="007F4A09" w:rsidP="00CE3F81">
      <w:pPr>
        <w:tabs>
          <w:tab w:val="left" w:pos="5940"/>
        </w:tabs>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（3）巨额赎回的公告：当发生巨额赎回并顺延赎回时，基金管理人应在2日内通过</w:t>
      </w:r>
      <w:r w:rsidR="000964B0"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刊登公告。同时以</w:t>
      </w:r>
      <w:r w:rsidRPr="003307CA">
        <w:rPr>
          <w:rFonts w:asciiTheme="minorEastAsia" w:eastAsiaTheme="minorEastAsia" w:hAnsiTheme="minorEastAsia"/>
        </w:rPr>
        <w:t>邮寄、传真</w:t>
      </w:r>
      <w:r w:rsidRPr="003307CA">
        <w:rPr>
          <w:rFonts w:asciiTheme="minorEastAsia" w:eastAsiaTheme="minorEastAsia" w:hAnsiTheme="minorEastAsia" w:hint="eastAsia"/>
        </w:rPr>
        <w:t>或《招募说明书》规定的其他方式</w:t>
      </w:r>
      <w:r w:rsidRPr="003307CA">
        <w:rPr>
          <w:rFonts w:asciiTheme="minorEastAsia" w:eastAsiaTheme="minorEastAsia" w:hAnsiTheme="minorEastAsia"/>
        </w:rPr>
        <w:t>通知基金份额持有人</w:t>
      </w:r>
      <w:r w:rsidRPr="003307CA">
        <w:rPr>
          <w:rFonts w:asciiTheme="minorEastAsia" w:eastAsiaTheme="minorEastAsia" w:hAnsiTheme="minorEastAsia" w:hint="eastAsia"/>
        </w:rPr>
        <w:t>，并说明有关处理方法。</w:t>
      </w:r>
    </w:p>
    <w:p w:rsidR="0064594E" w:rsidRPr="003307CA" w:rsidRDefault="007F4A0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本基金连续2个开放日以上发生巨额赎回，如基金管理人认为有必要，可暂停接受赎回申请；已经接受的赎回申请可以延缓支付赎回款项，但不得超过支付时间</w:t>
      </w:r>
      <w:r w:rsidRPr="003307CA">
        <w:rPr>
          <w:rFonts w:asciiTheme="minorEastAsia" w:eastAsiaTheme="minorEastAsia" w:hAnsiTheme="minorEastAsia"/>
        </w:rPr>
        <w:t>20</w:t>
      </w:r>
      <w:r w:rsidRPr="003307CA">
        <w:rPr>
          <w:rFonts w:asciiTheme="minorEastAsia" w:eastAsiaTheme="minorEastAsia" w:hAnsiTheme="minorEastAsia" w:hint="eastAsia"/>
        </w:rPr>
        <w:t>个工作日，并应当在</w:t>
      </w:r>
      <w:r w:rsidR="00033207"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公告。</w:t>
      </w:r>
    </w:p>
    <w:p w:rsidR="0064594E" w:rsidRPr="003307CA"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38" w:name="_Toc79392618"/>
      <w:bookmarkStart w:id="139" w:name="_Toc15118274"/>
      <w:bookmarkStart w:id="140" w:name="_Toc59441259"/>
      <w:bookmarkStart w:id="141" w:name="_Toc44351101"/>
      <w:r w:rsidRPr="003307CA">
        <w:rPr>
          <w:rFonts w:asciiTheme="minorEastAsia" w:eastAsiaTheme="minorEastAsia" w:hAnsiTheme="minorEastAsia" w:hint="eastAsia"/>
          <w:b w:val="0"/>
        </w:rPr>
        <w:t>十五</w:t>
      </w:r>
      <w:r w:rsidR="00581D5A" w:rsidRPr="003307CA">
        <w:rPr>
          <w:rFonts w:asciiTheme="minorEastAsia" w:eastAsiaTheme="minorEastAsia" w:hAnsiTheme="minorEastAsia" w:hint="eastAsia"/>
          <w:b w:val="0"/>
        </w:rPr>
        <w:t>、</w:t>
      </w:r>
      <w:r w:rsidR="0064594E" w:rsidRPr="003307CA">
        <w:rPr>
          <w:rFonts w:asciiTheme="minorEastAsia" w:eastAsiaTheme="minorEastAsia" w:hAnsiTheme="minorEastAsia" w:hint="eastAsia"/>
          <w:b w:val="0"/>
        </w:rPr>
        <w:t>基金的转换</w:t>
      </w:r>
      <w:bookmarkEnd w:id="138"/>
      <w:bookmarkEnd w:id="139"/>
      <w:bookmarkEnd w:id="140"/>
      <w:bookmarkEnd w:id="141"/>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42" w:name="_Toc318444120"/>
      <w:bookmarkStart w:id="143" w:name="_Toc252976144"/>
      <w:r w:rsidRPr="003307CA">
        <w:rPr>
          <w:rFonts w:asciiTheme="minorEastAsia" w:eastAsiaTheme="minorEastAsia" w:hAnsiTheme="minorEastAsia" w:hint="eastAsia"/>
          <w:szCs w:val="21"/>
        </w:rPr>
        <w:t>1、</w:t>
      </w:r>
      <w:r w:rsidR="00E27BC1" w:rsidRPr="003307CA">
        <w:rPr>
          <w:rFonts w:asciiTheme="minorEastAsia" w:eastAsiaTheme="minorEastAsia" w:hAnsiTheme="minorEastAsia" w:hint="eastAsia"/>
          <w:szCs w:val="21"/>
        </w:rPr>
        <w:t>基金转换开始日及时间</w:t>
      </w:r>
      <w:bookmarkEnd w:id="142"/>
      <w:bookmarkEnd w:id="143"/>
    </w:p>
    <w:p w:rsidR="00E27BC1" w:rsidRPr="003307CA" w:rsidRDefault="00E27BC1"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rPr>
        <w:lastRenderedPageBreak/>
        <w:t>本基金已于2015年11月</w:t>
      </w:r>
      <w:r w:rsidR="00D47EAD" w:rsidRPr="003307CA">
        <w:rPr>
          <w:rFonts w:asciiTheme="minorEastAsia" w:eastAsiaTheme="minorEastAsia" w:hAnsiTheme="minorEastAsia" w:hint="eastAsia"/>
        </w:rPr>
        <w:t>19</w:t>
      </w:r>
      <w:r w:rsidRPr="003307CA">
        <w:rPr>
          <w:rFonts w:asciiTheme="minorEastAsia" w:eastAsiaTheme="minorEastAsia" w:hAnsiTheme="minorEastAsia" w:hint="eastAsia"/>
        </w:rPr>
        <w:t>日开始</w:t>
      </w:r>
      <w:r w:rsidR="009E0C7B" w:rsidRPr="003307CA">
        <w:rPr>
          <w:rFonts w:asciiTheme="minorEastAsia" w:eastAsiaTheme="minorEastAsia" w:hAnsiTheme="minorEastAsia" w:hint="eastAsia"/>
        </w:rPr>
        <w:t>在本公司直销机构</w:t>
      </w:r>
      <w:r w:rsidRPr="003307CA">
        <w:rPr>
          <w:rFonts w:asciiTheme="minorEastAsia" w:eastAsiaTheme="minorEastAsia" w:hAnsiTheme="minorEastAsia" w:hint="eastAsia"/>
        </w:rPr>
        <w:t>办理与易方达天天理财货币市场</w:t>
      </w:r>
      <w:r w:rsidRPr="003307CA">
        <w:rPr>
          <w:rFonts w:asciiTheme="minorEastAsia" w:eastAsiaTheme="minorEastAsia" w:hAnsiTheme="minorEastAsia" w:hint="eastAsia"/>
          <w:szCs w:val="21"/>
        </w:rPr>
        <w:t>基金转换</w:t>
      </w:r>
      <w:r w:rsidRPr="003307CA">
        <w:rPr>
          <w:rFonts w:asciiTheme="minorEastAsia" w:eastAsiaTheme="minorEastAsia" w:hAnsiTheme="minorEastAsia" w:hint="eastAsia"/>
        </w:rPr>
        <w:t>业务，具体实施办法参见相关公告。</w:t>
      </w:r>
    </w:p>
    <w:p w:rsidR="00E27BC1" w:rsidRPr="003307CA" w:rsidRDefault="00E27BC1" w:rsidP="00CE3F81">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本基金转换的开放日为上海证券交易所、深圳证券交易所以及境外主要投资场所同时开放的每个工作日，但基金管理人根据法律法规、中国证监会的要求或本基金合同的规定公告暂停转换时除外。</w:t>
      </w:r>
    </w:p>
    <w:p w:rsidR="00E27BC1" w:rsidRPr="003307CA" w:rsidRDefault="00E27BC1" w:rsidP="00CE3F81">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基金管理人可与销售机构约定，在开放日的其他时间受理投资者的转换申请，但是对于投资者在非开放时间提出的转换申请，其基金份额转换价格为下次办理基金份额转换时间所在开放日的价格。</w:t>
      </w:r>
    </w:p>
    <w:p w:rsidR="00E27BC1" w:rsidRPr="003307CA" w:rsidRDefault="00E27BC1"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rPr>
        <w:t>若本基金的主要交易市场发生变化或交易所交易时间更改或实际情况需要，基金管理人可对转换的开放日和时间进行调整，但应在实施日前依照《证券投资基金信息披露管理办法》（以下简称“《信息披露办法》”）的有关规定在指定媒介上公告。</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44" w:name="_Toc318444121"/>
      <w:bookmarkStart w:id="145" w:name="_Toc252976145"/>
      <w:r w:rsidRPr="003307CA">
        <w:rPr>
          <w:rFonts w:asciiTheme="minorEastAsia" w:eastAsiaTheme="minorEastAsia" w:hAnsiTheme="minorEastAsia" w:hint="eastAsia"/>
          <w:szCs w:val="21"/>
        </w:rPr>
        <w:t>2、</w:t>
      </w:r>
      <w:r w:rsidR="00E27BC1" w:rsidRPr="003307CA">
        <w:rPr>
          <w:rFonts w:asciiTheme="minorEastAsia" w:eastAsiaTheme="minorEastAsia" w:hAnsiTheme="minorEastAsia" w:hint="eastAsia"/>
          <w:szCs w:val="21"/>
        </w:rPr>
        <w:t>基金转换的原则</w:t>
      </w:r>
      <w:bookmarkEnd w:id="144"/>
      <w:bookmarkEnd w:id="145"/>
    </w:p>
    <w:p w:rsidR="00D54B99" w:rsidRPr="003307CA" w:rsidRDefault="009037E5"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r w:rsidR="00D54B99" w:rsidRPr="003307CA">
        <w:rPr>
          <w:rFonts w:asciiTheme="minorEastAsia" w:eastAsiaTheme="minorEastAsia" w:hAnsiTheme="minorEastAsia" w:hint="eastAsia"/>
        </w:rPr>
        <w:t>。</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（1）</w:t>
      </w:r>
      <w:r w:rsidR="009037E5" w:rsidRPr="003307CA">
        <w:rPr>
          <w:rFonts w:asciiTheme="minorEastAsia" w:eastAsiaTheme="minorEastAsia" w:hAnsiTheme="minorEastAsia" w:hint="eastAsia"/>
        </w:rPr>
        <w:t>基金转换只能在同一销售机构进行。转换的两只基金必须都是该销售机构销售的同一基金管理人管理的、在同一注册登记机构注册登记的基金</w:t>
      </w:r>
      <w:r w:rsidR="00D54B99" w:rsidRPr="003307CA">
        <w:rPr>
          <w:rFonts w:asciiTheme="minorEastAsia" w:eastAsiaTheme="minorEastAsia" w:hAnsiTheme="minorEastAsia" w:hint="eastAsia"/>
        </w:rPr>
        <w:t>。</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（2）</w:t>
      </w:r>
      <w:r w:rsidR="009037E5" w:rsidRPr="003307CA">
        <w:rPr>
          <w:rFonts w:asciiTheme="minorEastAsia" w:eastAsiaTheme="minorEastAsia" w:hAnsiTheme="minorEastAsia" w:hint="eastAsia"/>
        </w:rPr>
        <w:t>基金转换以份额为单位进行申请。投资者可以发起多次基金转换业务，基金转换费用按每笔申请单独计算。转换费用以人民币元为单位，计算结果按照四舍五入方法，保留小数点后两位</w:t>
      </w:r>
      <w:r w:rsidR="00D54B99" w:rsidRPr="003307CA">
        <w:rPr>
          <w:rFonts w:asciiTheme="minorEastAsia" w:eastAsiaTheme="minorEastAsia" w:hAnsiTheme="minorEastAsia" w:hint="eastAsia"/>
        </w:rPr>
        <w:t>。</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（3）</w:t>
      </w:r>
      <w:r w:rsidR="009037E5" w:rsidRPr="003307CA">
        <w:rPr>
          <w:rFonts w:asciiTheme="minorEastAsia" w:eastAsiaTheme="minorEastAsia" w:hAnsiTheme="minorEastAsia" w:hint="eastAsia"/>
        </w:rPr>
        <w:t>基金转换采取未知价法，即基金的转换价格以转换申请受理当日各转出、转入基金的份额净值为基准进行计算。投资者T日申请基金转换成功后（包括本基金为转出基金、易方达天天理财货币市场基金为转入基金，或者易方达天天理财货币市场基金为转出基金，本基金为转入基金），转换转出和转换转入均按照T日基金份额净值计算,注册登记机构将在T+2工作日为投资者办理减少转出基金份额、增加转入基金份额的权益登记手续</w:t>
      </w:r>
      <w:r w:rsidR="00D54B99" w:rsidRPr="003307CA">
        <w:rPr>
          <w:rFonts w:asciiTheme="minorEastAsia" w:eastAsiaTheme="minorEastAsia" w:hAnsiTheme="minorEastAsia" w:hint="eastAsia"/>
        </w:rPr>
        <w:t>。</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（4）</w:t>
      </w:r>
      <w:r w:rsidR="00D54B99" w:rsidRPr="003307CA">
        <w:rPr>
          <w:rFonts w:asciiTheme="minorEastAsia" w:eastAsiaTheme="minorEastAsia" w:hAnsiTheme="minorEastAsia" w:hint="eastAsia"/>
        </w:rPr>
        <w:t>基金转换后，转入的基金份额的持有期将自转入的基金份额被确认之日起重新开始计算。</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（5）</w:t>
      </w:r>
      <w:r w:rsidR="00D54B99" w:rsidRPr="003307CA">
        <w:rPr>
          <w:rFonts w:asciiTheme="minorEastAsia" w:eastAsiaTheme="minorEastAsia" w:hAnsiTheme="minorEastAsia" w:hint="eastAsia"/>
        </w:rPr>
        <w:t>投资者办理基金转换业务时，转出方的基金必须处于可赎回状态，转入方的基金必须处于可申购状态。</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（6）</w:t>
      </w:r>
      <w:r w:rsidR="00D54B99" w:rsidRPr="003307CA">
        <w:rPr>
          <w:rFonts w:asciiTheme="minorEastAsia" w:eastAsiaTheme="minorEastAsia" w:hAnsiTheme="minorEastAsia" w:hint="eastAsia"/>
        </w:rPr>
        <w:t>转换业务遵循“先进先出”的业务规则，即份额注册日期在前的先转换出，份额注册日期在后的后转换出。</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（7）</w:t>
      </w:r>
      <w:r w:rsidR="009037E5" w:rsidRPr="003307CA">
        <w:rPr>
          <w:rFonts w:asciiTheme="minorEastAsia" w:eastAsiaTheme="minorEastAsia" w:hAnsiTheme="minorEastAsia" w:hint="eastAsia"/>
        </w:rPr>
        <w:t>具体份额以注册登记机构的记录为准，转入份额的计算结果保留位数依照各基金《更新的招募说明书》的规定。其中转入本基金的份额计算结果保留到小数点后两位，小数点后两位以后的部分四舍五入，由此误差产生的损失由基金财产承担，产生的收益归基金财</w:t>
      </w:r>
      <w:r w:rsidR="009037E5" w:rsidRPr="003307CA">
        <w:rPr>
          <w:rFonts w:asciiTheme="minorEastAsia" w:eastAsiaTheme="minorEastAsia" w:hAnsiTheme="minorEastAsia" w:hint="eastAsia"/>
        </w:rPr>
        <w:lastRenderedPageBreak/>
        <w:t>产所有</w:t>
      </w:r>
      <w:r w:rsidR="00D54B99" w:rsidRPr="003307CA">
        <w:rPr>
          <w:rFonts w:asciiTheme="minorEastAsia" w:eastAsiaTheme="minorEastAsia" w:hAnsiTheme="minorEastAsia" w:hint="eastAsia"/>
        </w:rPr>
        <w:t>。</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（8）</w:t>
      </w:r>
      <w:r w:rsidR="00D54B99" w:rsidRPr="003307CA">
        <w:rPr>
          <w:rFonts w:asciiTheme="minorEastAsia" w:eastAsiaTheme="minorEastAsia" w:hAnsiTheme="minorEastAsia" w:hint="eastAsia"/>
        </w:rPr>
        <w:t>当日的转换申请可以在基金管理人规定的时间以内撤销。</w:t>
      </w:r>
    </w:p>
    <w:p w:rsidR="00D54B99"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（9）</w:t>
      </w:r>
      <w:r w:rsidR="009037E5" w:rsidRPr="003307CA">
        <w:rPr>
          <w:rFonts w:asciiTheme="minorEastAsia" w:eastAsiaTheme="minorEastAsia" w:hAnsiTheme="minorEastAsia" w:hint="eastAsia"/>
        </w:rPr>
        <w:t>当投资者T日申请将易方达天天理财货币市场基金某类份额全部转换转出到本基金时，注册登记机构在T+2工作日转换转出确认时将该类基金份额的全部未付收益一并确认，投资者自T+2工作日起不再享有易方达天天理财货币市场基金该类份额对应的收益。当投资者T日申请将本基金转换转出到易方达天天理财货币市场基金时，投资者自T+2工作日起享有转换转入的易方达天天理财货币市场基金份额对应的收益</w:t>
      </w:r>
      <w:r w:rsidR="00D47EAD" w:rsidRPr="003307CA">
        <w:rPr>
          <w:rFonts w:asciiTheme="minorEastAsia" w:eastAsiaTheme="minorEastAsia" w:hAnsiTheme="minorEastAsia" w:hint="eastAsia"/>
        </w:rPr>
        <w:t>。</w:t>
      </w:r>
    </w:p>
    <w:p w:rsidR="00BB1D3C" w:rsidRPr="003307CA" w:rsidRDefault="006A1D96" w:rsidP="006A1D96">
      <w:pPr>
        <w:pStyle w:val="af0"/>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（10）</w:t>
      </w:r>
      <w:r w:rsidR="009037E5" w:rsidRPr="003307CA">
        <w:rPr>
          <w:rFonts w:asciiTheme="minorEastAsia" w:eastAsiaTheme="minorEastAsia" w:hAnsiTheme="minorEastAsia" w:hint="eastAsia"/>
        </w:rPr>
        <w:t>当投资者申请将本基金转换转出到易方达天天理财货币市场基金时，也必须同时符合易方达天天理财货币市场基金大额申购限制或暂停转换转入等相关公告的规定。如果投资者在T日申请将本基金转换转出到易方达天天理财货币市场基金某类份额，同时在T+1日提交该类份额的申购或转换转入申请，则注册登记机构在T+2日确认时优先确认申请日期在前的申请（即优先确认T日本基金转换转出到易方达天天理财货币市场基金的申请）。如果投资者在同一申请日期提交申购或者转换转入易方达天天理财货币市场基金的申请，则注册登记机构按照易方达天天理财货币市场基金相关公告的数额限制规定进行确认</w:t>
      </w:r>
      <w:r w:rsidR="00D47EAD" w:rsidRPr="003307CA">
        <w:rPr>
          <w:rFonts w:asciiTheme="minorEastAsia" w:eastAsiaTheme="minorEastAsia" w:hAnsiTheme="minorEastAsia" w:hint="eastAsia"/>
        </w:rPr>
        <w:t>。</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46" w:name="_Toc318444122"/>
      <w:bookmarkStart w:id="147" w:name="_Toc252976146"/>
      <w:r w:rsidRPr="003307CA">
        <w:rPr>
          <w:rFonts w:asciiTheme="minorEastAsia" w:eastAsiaTheme="minorEastAsia" w:hAnsiTheme="minorEastAsia" w:hint="eastAsia"/>
          <w:szCs w:val="21"/>
        </w:rPr>
        <w:t>3、</w:t>
      </w:r>
      <w:r w:rsidR="00E27BC1" w:rsidRPr="003307CA">
        <w:rPr>
          <w:rFonts w:asciiTheme="minorEastAsia" w:eastAsiaTheme="minorEastAsia" w:hAnsiTheme="minorEastAsia" w:hint="eastAsia"/>
          <w:szCs w:val="21"/>
        </w:rPr>
        <w:t>基金转换的程序</w:t>
      </w:r>
      <w:bookmarkEnd w:id="146"/>
      <w:bookmarkEnd w:id="147"/>
    </w:p>
    <w:p w:rsidR="00E27BC1" w:rsidRPr="003307CA" w:rsidRDefault="00E27BC1"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基金转换的申请方式</w:t>
      </w:r>
    </w:p>
    <w:p w:rsidR="00E27BC1" w:rsidRPr="003307CA" w:rsidRDefault="00E27BC1"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基金投资者必须根据基金管理人和基金销售机构规定的手续，在开放日的业务办理时间提出转换的申请。</w:t>
      </w:r>
    </w:p>
    <w:p w:rsidR="00E27BC1" w:rsidRPr="003307CA" w:rsidRDefault="00E27BC1"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提交基金转换申请时，账户中</w:t>
      </w:r>
      <w:r w:rsidRPr="003307CA">
        <w:rPr>
          <w:rFonts w:asciiTheme="minorEastAsia" w:eastAsiaTheme="minorEastAsia" w:hAnsiTheme="minorEastAsia" w:hint="eastAsia"/>
        </w:rPr>
        <w:t>必须有足够可用的转出基金份额余额。</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48" w:name="_Toc318444123"/>
      <w:bookmarkStart w:id="149" w:name="_Toc252976147"/>
      <w:r w:rsidRPr="003307CA">
        <w:rPr>
          <w:rFonts w:asciiTheme="minorEastAsia" w:eastAsiaTheme="minorEastAsia" w:hAnsiTheme="minorEastAsia" w:hint="eastAsia"/>
          <w:szCs w:val="21"/>
        </w:rPr>
        <w:t>4、</w:t>
      </w:r>
      <w:r w:rsidR="00E27BC1" w:rsidRPr="003307CA">
        <w:rPr>
          <w:rFonts w:asciiTheme="minorEastAsia" w:eastAsiaTheme="minorEastAsia" w:hAnsiTheme="minorEastAsia" w:hint="eastAsia"/>
          <w:szCs w:val="21"/>
        </w:rPr>
        <w:t>基金转换的数额限制</w:t>
      </w:r>
      <w:bookmarkEnd w:id="148"/>
      <w:bookmarkEnd w:id="149"/>
    </w:p>
    <w:p w:rsidR="00E27BC1" w:rsidRPr="003307CA" w:rsidRDefault="00D54B99" w:rsidP="00CE3F81">
      <w:pPr>
        <w:autoSpaceDE w:val="0"/>
        <w:autoSpaceDN w:val="0"/>
        <w:snapToGrid w:val="0"/>
        <w:spacing w:line="360" w:lineRule="auto"/>
        <w:ind w:firstLine="480"/>
        <w:textAlignment w:val="bottom"/>
        <w:rPr>
          <w:rFonts w:asciiTheme="minorEastAsia" w:eastAsiaTheme="minorEastAsia" w:hAnsiTheme="minorEastAsia"/>
          <w:szCs w:val="21"/>
        </w:rPr>
      </w:pPr>
      <w:r w:rsidRPr="003307CA">
        <w:rPr>
          <w:rFonts w:asciiTheme="minorEastAsia" w:eastAsiaTheme="minorEastAsia" w:hAnsiTheme="minorEastAsia" w:hint="eastAsia"/>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w:t>
      </w:r>
      <w:r w:rsidR="00C7734A" w:rsidRPr="003307CA">
        <w:rPr>
          <w:rFonts w:asciiTheme="minorEastAsia" w:eastAsiaTheme="minorEastAsia" w:hAnsiTheme="minorEastAsia" w:hint="eastAsia"/>
        </w:rPr>
        <w:t>该</w:t>
      </w:r>
      <w:r w:rsidRPr="003307CA">
        <w:rPr>
          <w:rFonts w:asciiTheme="minorEastAsia" w:eastAsiaTheme="minorEastAsia" w:hAnsiTheme="minorEastAsia" w:hint="eastAsia"/>
        </w:rPr>
        <w:t>销售机构托管的该基金余额不足1份时，基金管理人有权将投资者在该销售机构托管的该基金剩余份额一次性全部赎回。</w:t>
      </w:r>
    </w:p>
    <w:p w:rsidR="00E27BC1" w:rsidRPr="003307CA" w:rsidRDefault="00E27BC1" w:rsidP="00CE3F81">
      <w:pPr>
        <w:pStyle w:val="ac"/>
        <w:snapToGrid w:val="0"/>
        <w:spacing w:after="0"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基金管理人可以根据市场情况在不违</w:t>
      </w:r>
      <w:r w:rsidR="00D54B99" w:rsidRPr="003307CA">
        <w:rPr>
          <w:rFonts w:asciiTheme="minorEastAsia" w:eastAsiaTheme="minorEastAsia" w:hAnsiTheme="minorEastAsia" w:hint="eastAsia"/>
          <w:szCs w:val="21"/>
        </w:rPr>
        <w:t>反</w:t>
      </w:r>
      <w:r w:rsidRPr="003307CA">
        <w:rPr>
          <w:rFonts w:asciiTheme="minorEastAsia" w:eastAsiaTheme="minorEastAsia" w:hAnsiTheme="minorEastAsia" w:hint="eastAsia"/>
          <w:szCs w:val="21"/>
        </w:rPr>
        <w:t>有关法律法规和基金合同的规定之前提下调整上述基金转</w:t>
      </w:r>
      <w:r w:rsidR="00D54B99" w:rsidRPr="003307CA">
        <w:rPr>
          <w:rFonts w:asciiTheme="minorEastAsia" w:eastAsiaTheme="minorEastAsia" w:hAnsiTheme="minorEastAsia" w:hint="eastAsia"/>
          <w:szCs w:val="21"/>
        </w:rPr>
        <w:t>换的程序及有关限制，但应在调整生效前在至少一种中国证监会指定的媒介</w:t>
      </w:r>
      <w:r w:rsidRPr="003307CA">
        <w:rPr>
          <w:rFonts w:asciiTheme="minorEastAsia" w:eastAsiaTheme="minorEastAsia" w:hAnsiTheme="minorEastAsia" w:hint="eastAsia"/>
          <w:szCs w:val="21"/>
        </w:rPr>
        <w:t>上予以公告。</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50" w:name="_Toc318444124"/>
      <w:bookmarkStart w:id="151" w:name="_Toc252976148"/>
      <w:bookmarkStart w:id="152" w:name="_Toc87367293"/>
      <w:r w:rsidRPr="003307CA">
        <w:rPr>
          <w:rFonts w:asciiTheme="minorEastAsia" w:eastAsiaTheme="minorEastAsia" w:hAnsiTheme="minorEastAsia" w:hint="eastAsia"/>
          <w:szCs w:val="21"/>
        </w:rPr>
        <w:t>5、</w:t>
      </w:r>
      <w:r w:rsidR="00E27BC1" w:rsidRPr="003307CA">
        <w:rPr>
          <w:rFonts w:asciiTheme="minorEastAsia" w:eastAsiaTheme="minorEastAsia" w:hAnsiTheme="minorEastAsia" w:hint="eastAsia"/>
          <w:szCs w:val="21"/>
        </w:rPr>
        <w:t>基金转换费率</w:t>
      </w:r>
      <w:bookmarkEnd w:id="150"/>
      <w:bookmarkEnd w:id="151"/>
      <w:bookmarkEnd w:id="152"/>
    </w:p>
    <w:p w:rsidR="00E27BC1" w:rsidRPr="003307CA" w:rsidRDefault="00E27BC1" w:rsidP="00CE3F8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3307CA">
        <w:rPr>
          <w:rFonts w:asciiTheme="minorEastAsia" w:eastAsiaTheme="minorEastAsia" w:hAnsiTheme="minorEastAsia" w:hint="eastAsia"/>
          <w:szCs w:val="21"/>
        </w:rPr>
        <w:t>基金转换费用由转出基金赎回费用和基金申购补差费用构成，其中转出基金赎回费按照</w:t>
      </w:r>
      <w:r w:rsidR="00764FB0" w:rsidRPr="003307CA">
        <w:rPr>
          <w:rFonts w:asciiTheme="minorEastAsia" w:eastAsiaTheme="minorEastAsia" w:hAnsiTheme="minorEastAsia" w:hint="eastAsia"/>
          <w:szCs w:val="21"/>
        </w:rPr>
        <w:t>各</w:t>
      </w:r>
      <w:r w:rsidR="00764FB0" w:rsidRPr="003307CA">
        <w:rPr>
          <w:rFonts w:asciiTheme="minorEastAsia" w:eastAsiaTheme="minorEastAsia" w:hAnsiTheme="minorEastAsia"/>
          <w:szCs w:val="21"/>
        </w:rPr>
        <w:t>基金的</w:t>
      </w:r>
      <w:r w:rsidRPr="003307CA">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3307CA">
        <w:rPr>
          <w:rFonts w:asciiTheme="minorEastAsia" w:eastAsiaTheme="minorEastAsia" w:hAnsiTheme="minorEastAsia" w:hint="eastAsia"/>
        </w:rPr>
        <w:t>基金转换费率详见相关公告。</w:t>
      </w:r>
      <w:r w:rsidRPr="003307CA">
        <w:rPr>
          <w:rFonts w:asciiTheme="minorEastAsia" w:eastAsiaTheme="minorEastAsia" w:hAnsiTheme="minorEastAsia" w:hint="eastAsia"/>
          <w:szCs w:val="21"/>
        </w:rPr>
        <w:t>转换费用以人民币元为单位，计算结果按照四舍五入方法，保留小数点后两位</w:t>
      </w:r>
      <w:r w:rsidRPr="003307CA">
        <w:rPr>
          <w:rFonts w:asciiTheme="minorEastAsia" w:eastAsiaTheme="minorEastAsia" w:hAnsiTheme="minorEastAsia" w:hint="eastAsia"/>
        </w:rPr>
        <w:t>。</w:t>
      </w:r>
    </w:p>
    <w:p w:rsidR="00E27BC1" w:rsidRPr="003307CA" w:rsidRDefault="00E27BC1" w:rsidP="00CE3F81">
      <w:pPr>
        <w:snapToGrid w:val="0"/>
        <w:spacing w:line="360" w:lineRule="auto"/>
        <w:ind w:firstLine="435"/>
        <w:rPr>
          <w:rFonts w:asciiTheme="minorEastAsia" w:eastAsiaTheme="minorEastAsia" w:hAnsiTheme="minorEastAsia"/>
          <w:szCs w:val="21"/>
        </w:rPr>
      </w:pPr>
      <w:r w:rsidRPr="003307CA">
        <w:rPr>
          <w:rFonts w:asciiTheme="minorEastAsia" w:eastAsiaTheme="minorEastAsia" w:hAnsiTheme="minorEastAsia" w:hint="eastAsia"/>
          <w:szCs w:val="21"/>
        </w:rPr>
        <w:t>基金管理人可以根据市场情况调整基金转换费率，转换费率如发生变更，基金管理人应在调整生效前在至少一种中国证监会指定的</w:t>
      </w:r>
      <w:r w:rsidR="00D54B99" w:rsidRPr="003307CA">
        <w:rPr>
          <w:rFonts w:asciiTheme="minorEastAsia" w:eastAsiaTheme="minorEastAsia" w:hAnsiTheme="minorEastAsia" w:hint="eastAsia"/>
          <w:szCs w:val="21"/>
        </w:rPr>
        <w:t>媒介</w:t>
      </w:r>
      <w:r w:rsidRPr="003307CA">
        <w:rPr>
          <w:rFonts w:asciiTheme="minorEastAsia" w:eastAsiaTheme="minorEastAsia" w:hAnsiTheme="minorEastAsia" w:hint="eastAsia"/>
          <w:szCs w:val="21"/>
        </w:rPr>
        <w:t>上予以公告。</w:t>
      </w:r>
    </w:p>
    <w:p w:rsidR="00E27BC1" w:rsidRPr="003307CA" w:rsidRDefault="00D54B99"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53" w:name="_Toc318444125"/>
      <w:bookmarkStart w:id="154" w:name="_Toc252976149"/>
      <w:r w:rsidRPr="003307CA">
        <w:rPr>
          <w:rFonts w:asciiTheme="minorEastAsia" w:eastAsiaTheme="minorEastAsia" w:hAnsiTheme="minorEastAsia" w:hint="eastAsia"/>
          <w:szCs w:val="21"/>
        </w:rPr>
        <w:t>6、</w:t>
      </w:r>
      <w:r w:rsidR="00E27BC1" w:rsidRPr="003307CA">
        <w:rPr>
          <w:rFonts w:asciiTheme="minorEastAsia" w:eastAsiaTheme="minorEastAsia" w:hAnsiTheme="minorEastAsia" w:hint="eastAsia"/>
          <w:szCs w:val="21"/>
        </w:rPr>
        <w:t>基金转换份额的计算方式</w:t>
      </w:r>
      <w:bookmarkEnd w:id="153"/>
      <w:bookmarkEnd w:id="154"/>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基金转换份额的计算公式：</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A＝［B×C×(1-D)/（1+G）+F］/E</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H＝B×C×D</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J＝[B×C×(1-D)/(1+G)]×G</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其中，A为转入的基金份额；B为转出的基金份额；C为转换申请当日转出基金的基金份额净值；D为转出基金的对应赎回费率；</w:t>
      </w:r>
      <w:r w:rsidR="00231AFF" w:rsidRPr="003307CA">
        <w:rPr>
          <w:rFonts w:asciiTheme="minorEastAsia" w:eastAsiaTheme="minorEastAsia" w:hAnsiTheme="minorEastAsia" w:hint="eastAsia"/>
        </w:rPr>
        <w:t>E为转换申请当日转入基金的基金份额净值；</w:t>
      </w:r>
      <w:r w:rsidR="00B90624" w:rsidRPr="003307CA">
        <w:rPr>
          <w:rFonts w:asciiTheme="minorEastAsia" w:eastAsiaTheme="minorEastAsia" w:hAnsiTheme="minorEastAsia" w:hint="eastAsia"/>
        </w:rPr>
        <w:t>F为货币市场基金全部转出时注册登记机构已支付的未付收益</w:t>
      </w:r>
      <w:r w:rsidRPr="003307CA">
        <w:rPr>
          <w:rFonts w:asciiTheme="minorEastAsia" w:eastAsiaTheme="minorEastAsia" w:hAnsiTheme="minorEastAsia" w:hint="eastAsia"/>
        </w:rPr>
        <w:t>（仅限转出基金为易方达天天理财货币市场基金）；G为对应的申购补差费率；H为转出基金赎回费；J为申购补差费。</w:t>
      </w:r>
    </w:p>
    <w:p w:rsidR="00B90624" w:rsidRPr="003307CA" w:rsidRDefault="00B90624"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说明：</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（1）基金转换费用由转出基金赎回费用及基金申购补差费用两部分构成。</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2）转入基金时，从申购费用低的基金向申购费用高的基金转换时，每次收取申购补差费用；从申购费用高的基金向申购费用低的基金转换时，不收取申购补差费用（注：对通过直销中心申购实施差别申购费率的</w:t>
      </w:r>
      <w:r w:rsidRPr="003307CA">
        <w:rPr>
          <w:rFonts w:asciiTheme="minorEastAsia" w:eastAsiaTheme="minorEastAsia" w:hAnsiTheme="minorEastAsia" w:hint="eastAsia"/>
          <w:szCs w:val="21"/>
        </w:rPr>
        <w:t>特定投资群</w:t>
      </w:r>
      <w:r w:rsidRPr="003307CA">
        <w:rPr>
          <w:rFonts w:asciiTheme="minorEastAsia" w:eastAsiaTheme="minorEastAsia" w:hAnsiTheme="minorEastAsia" w:hint="eastAsia"/>
        </w:rPr>
        <w:t>体基金份额的申购费，以除通过直销中心申购的</w:t>
      </w:r>
      <w:r w:rsidRPr="003307CA">
        <w:rPr>
          <w:rFonts w:asciiTheme="minorEastAsia" w:eastAsiaTheme="minorEastAsia" w:hAnsiTheme="minorEastAsia" w:hint="eastAsia"/>
          <w:szCs w:val="21"/>
        </w:rPr>
        <w:t>特定投资群</w:t>
      </w:r>
      <w:r w:rsidRPr="003307CA">
        <w:rPr>
          <w:rFonts w:asciiTheme="minorEastAsia" w:eastAsiaTheme="minorEastAsia" w:hAnsiTheme="minorEastAsia" w:hint="eastAsia"/>
        </w:rPr>
        <w:t>体之外的其他投资者申购费为比较标准）。申购补差费用按照转换金额对应的转出基金与转入基金的申购费率差额进行补差，具体收取情况视每次转换时两只基金的申购费率的差异情况而定并见相关公告。</w:t>
      </w:r>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（3）转出基金时，如涉及的转出基金有赎回费用，收取该基金的赎回费用。收取的赎回费按照</w:t>
      </w:r>
      <w:r w:rsidR="00764FB0" w:rsidRPr="003307CA">
        <w:rPr>
          <w:rFonts w:asciiTheme="minorEastAsia" w:eastAsiaTheme="minorEastAsia" w:hAnsiTheme="minorEastAsia" w:hint="eastAsia"/>
        </w:rPr>
        <w:t>各</w:t>
      </w:r>
      <w:r w:rsidR="00764FB0" w:rsidRPr="003307CA">
        <w:rPr>
          <w:rFonts w:asciiTheme="minorEastAsia" w:eastAsiaTheme="minorEastAsia" w:hAnsiTheme="minorEastAsia"/>
        </w:rPr>
        <w:t>基金的</w:t>
      </w:r>
      <w:r w:rsidRPr="003307CA">
        <w:rPr>
          <w:rFonts w:asciiTheme="minorEastAsia" w:eastAsiaTheme="minorEastAsia" w:hAnsiTheme="minorEastAsia" w:hint="eastAsia"/>
        </w:rPr>
        <w:t>基金合同、更新的招募说明书及最新的相关公告约定的比例归入基金财产，其余部分用于支付注册登记费等相关手续费。</w:t>
      </w:r>
    </w:p>
    <w:p w:rsidR="00E27BC1" w:rsidRPr="003307CA" w:rsidRDefault="00E27BC1" w:rsidP="00CE3F81">
      <w:pPr>
        <w:autoSpaceDE w:val="0"/>
        <w:autoSpaceDN w:val="0"/>
        <w:snapToGrid w:val="0"/>
        <w:spacing w:line="360" w:lineRule="auto"/>
        <w:ind w:firstLine="420"/>
        <w:textAlignment w:val="bottom"/>
        <w:rPr>
          <w:rFonts w:asciiTheme="minorEastAsia" w:eastAsiaTheme="minorEastAsia" w:hAnsiTheme="minorEastAsia"/>
        </w:rPr>
      </w:pPr>
      <w:r w:rsidRPr="003307CA">
        <w:rPr>
          <w:rFonts w:asciiTheme="minorEastAsia" w:eastAsiaTheme="minorEastAsia" w:hAnsiTheme="minorEastAsia" w:hint="eastAsia"/>
        </w:rPr>
        <w:t>（4）投资者可以发起多次基金转换业务，基金转换费用按每笔申请单独计算。</w:t>
      </w:r>
      <w:r w:rsidRPr="003307CA">
        <w:rPr>
          <w:rFonts w:asciiTheme="minorEastAsia" w:eastAsiaTheme="minorEastAsia" w:hAnsiTheme="minorEastAsia" w:hint="eastAsia"/>
          <w:szCs w:val="21"/>
        </w:rPr>
        <w:t>转换费用以人民币元为单位，计算结果按照四舍五入方法，保留小数点后两位。</w:t>
      </w:r>
    </w:p>
    <w:p w:rsidR="00D54B99"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例：</w:t>
      </w:r>
      <w:r w:rsidR="00D54B99" w:rsidRPr="003307CA">
        <w:rPr>
          <w:rFonts w:asciiTheme="minorEastAsia" w:eastAsiaTheme="minorEastAsia" w:hAnsiTheme="minorEastAsia" w:hint="eastAsia"/>
        </w:rPr>
        <w:t>假设某持有人（非特定投资群体）持有本基金10,000份，持有90天，现欲转换为易方达天天理财货币市场基金A类份额；假设转出基金T日的基金份额净值为1.100元，转入基金易方达天天理财货币市场基金A类份额T日的基金份额净值为1.0000元，则转出基</w:t>
      </w:r>
      <w:r w:rsidR="00D54B99" w:rsidRPr="003307CA">
        <w:rPr>
          <w:rFonts w:asciiTheme="minorEastAsia" w:eastAsiaTheme="minorEastAsia" w:hAnsiTheme="minorEastAsia" w:hint="eastAsia"/>
        </w:rPr>
        <w:lastRenderedPageBreak/>
        <w:t>金的赎回费率为0.5%，申购补差费率为0。转换份额计算如下：</w:t>
      </w:r>
    </w:p>
    <w:p w:rsidR="00D54B99" w:rsidRPr="003307CA" w:rsidRDefault="00D54B99"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转换金额=转出基金申请份额×转出基金份额净值=10,000×1.100=11,000.00元</w:t>
      </w:r>
    </w:p>
    <w:p w:rsidR="00D54B99" w:rsidRPr="003307CA" w:rsidRDefault="00D54B99"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转出基金赎回费=转换金额×转出基金赎回费率=11,000.00×0.5%=55元</w:t>
      </w:r>
    </w:p>
    <w:p w:rsidR="00D54B99" w:rsidRPr="003307CA" w:rsidRDefault="00D54B99"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申购补差费=（转换金额-转出基金赎回费）×申购补差费率÷（1＋申购补差费率）=（11,000.00-55)×0.00%÷(1+0.00%)=0元</w:t>
      </w:r>
    </w:p>
    <w:p w:rsidR="00D54B99" w:rsidRPr="003307CA" w:rsidRDefault="00D54B99"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转换费=转出基金赎回费+申购补差费=55+0=55元</w:t>
      </w:r>
    </w:p>
    <w:p w:rsidR="00D54B99" w:rsidRPr="003307CA" w:rsidRDefault="00D54B99"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转入金额=转换金额-转换费=11,000.00-55=10,945元</w:t>
      </w:r>
    </w:p>
    <w:p w:rsidR="00463A84" w:rsidRPr="003307CA" w:rsidRDefault="00D54B99">
      <w:pPr>
        <w:snapToGrid w:val="0"/>
        <w:spacing w:line="360" w:lineRule="auto"/>
        <w:ind w:firstLine="420"/>
        <w:rPr>
          <w:rFonts w:asciiTheme="minorEastAsia" w:eastAsiaTheme="minorEastAsia" w:hAnsiTheme="minorEastAsia"/>
          <w:szCs w:val="20"/>
        </w:rPr>
      </w:pPr>
      <w:r w:rsidRPr="003307CA">
        <w:rPr>
          <w:rFonts w:asciiTheme="minorEastAsia" w:eastAsiaTheme="minorEastAsia" w:hAnsiTheme="minorEastAsia" w:hint="eastAsia"/>
        </w:rPr>
        <w:t>转入份额=转入金额÷转入基金份额净值=10,945÷1.0000=10,945份</w:t>
      </w:r>
    </w:p>
    <w:p w:rsidR="00E27BC1" w:rsidRPr="003307CA" w:rsidRDefault="00E27BC1" w:rsidP="00CE3F81">
      <w:pPr>
        <w:snapToGrid w:val="0"/>
        <w:spacing w:line="360" w:lineRule="auto"/>
        <w:rPr>
          <w:rFonts w:asciiTheme="minorEastAsia" w:eastAsiaTheme="minorEastAsia" w:hAnsiTheme="minorEastAsia"/>
          <w:szCs w:val="21"/>
        </w:rPr>
      </w:pPr>
      <w:r w:rsidRPr="003307CA">
        <w:rPr>
          <w:rFonts w:asciiTheme="minorEastAsia" w:eastAsiaTheme="minorEastAsia" w:hAnsiTheme="minorEastAsia" w:hint="eastAsia"/>
          <w:szCs w:val="21"/>
        </w:rPr>
        <w:t>注：本基金转出至</w:t>
      </w:r>
      <w:r w:rsidR="00D54B99" w:rsidRPr="003307CA">
        <w:rPr>
          <w:rFonts w:asciiTheme="minorEastAsia" w:eastAsiaTheme="minorEastAsia" w:hAnsiTheme="minorEastAsia" w:hint="eastAsia"/>
          <w:szCs w:val="21"/>
        </w:rPr>
        <w:t>易方达天天理财货币市场基金</w:t>
      </w:r>
      <w:r w:rsidRPr="003307CA">
        <w:rPr>
          <w:rFonts w:asciiTheme="minorEastAsia" w:eastAsiaTheme="minorEastAsia" w:hAnsiTheme="minorEastAsia" w:hint="eastAsia"/>
          <w:szCs w:val="21"/>
        </w:rPr>
        <w:t>时，转入份额的计算结果保留到小数点后两位，小数点后两位以后的部分四舍五入，由此误差产生的损失由基金财产承担，产生的收益归基金财产所有。</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55" w:name="_Toc318444126"/>
      <w:bookmarkStart w:id="156" w:name="_Toc252976150"/>
      <w:r w:rsidRPr="003307CA">
        <w:rPr>
          <w:rFonts w:asciiTheme="minorEastAsia" w:eastAsiaTheme="minorEastAsia" w:hAnsiTheme="minorEastAsia" w:hint="eastAsia"/>
          <w:szCs w:val="21"/>
        </w:rPr>
        <w:t>7、</w:t>
      </w:r>
      <w:r w:rsidR="00E27BC1" w:rsidRPr="003307CA">
        <w:rPr>
          <w:rFonts w:asciiTheme="minorEastAsia" w:eastAsiaTheme="minorEastAsia" w:hAnsiTheme="minorEastAsia" w:hint="eastAsia"/>
          <w:szCs w:val="21"/>
        </w:rPr>
        <w:t>基金转换的注册登记</w:t>
      </w:r>
      <w:bookmarkEnd w:id="155"/>
      <w:bookmarkEnd w:id="156"/>
    </w:p>
    <w:p w:rsidR="00E27BC1" w:rsidRPr="003307CA" w:rsidRDefault="009037E5"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投资者T日申请基金转换成功后（包括本基金为转出基金、易方达天天理财货币市场基金为转入基金，或者易方达天天理财货币市场基金为转出基金，本基金为转入基金），注册登记机构将在T+2工作日为投资者办理减少转出基金份额、增加转入基金份额的权益登记手续，转换转出和转换转入均按照T日基金份额净值计算。正常情况下，投资者不晚于T+3工作日（含该日）起有权赎回转入部分的基金份额，具体以直销机构规定时间为准。</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57" w:name="_Toc318444127"/>
      <w:bookmarkStart w:id="158" w:name="_Toc252976151"/>
      <w:r w:rsidRPr="003307CA">
        <w:rPr>
          <w:rFonts w:asciiTheme="minorEastAsia" w:eastAsiaTheme="minorEastAsia" w:hAnsiTheme="minorEastAsia" w:hint="eastAsia"/>
          <w:szCs w:val="21"/>
        </w:rPr>
        <w:t>8、</w:t>
      </w:r>
      <w:r w:rsidR="00E27BC1" w:rsidRPr="003307CA">
        <w:rPr>
          <w:rFonts w:asciiTheme="minorEastAsia" w:eastAsiaTheme="minorEastAsia" w:hAnsiTheme="minorEastAsia" w:hint="eastAsia"/>
          <w:szCs w:val="21"/>
        </w:rPr>
        <w:t>基金转换与巨额赎回</w:t>
      </w:r>
      <w:bookmarkEnd w:id="157"/>
      <w:bookmarkEnd w:id="158"/>
    </w:p>
    <w:p w:rsidR="00E27BC1" w:rsidRPr="003307CA" w:rsidRDefault="00B12831"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若本基金单个开放日内的基金净赎回申请（赎回申请总数加上基金转换中转出申请份额总数后扣除申购申请总数及基金转换中转入申请份额总数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E27BC1" w:rsidRPr="003307CA" w:rsidRDefault="006A1D96" w:rsidP="00CE3F81">
      <w:pPr>
        <w:snapToGrid w:val="0"/>
        <w:spacing w:line="360" w:lineRule="auto"/>
        <w:ind w:firstLineChars="200" w:firstLine="420"/>
        <w:rPr>
          <w:rFonts w:asciiTheme="minorEastAsia" w:eastAsiaTheme="minorEastAsia" w:hAnsiTheme="minorEastAsia"/>
          <w:szCs w:val="21"/>
        </w:rPr>
      </w:pPr>
      <w:bookmarkStart w:id="159" w:name="_Toc318444128"/>
      <w:bookmarkStart w:id="160" w:name="_Toc252976152"/>
      <w:r w:rsidRPr="003307CA">
        <w:rPr>
          <w:rFonts w:asciiTheme="minorEastAsia" w:eastAsiaTheme="minorEastAsia" w:hAnsiTheme="minorEastAsia" w:hint="eastAsia"/>
          <w:szCs w:val="21"/>
        </w:rPr>
        <w:t>9、</w:t>
      </w:r>
      <w:r w:rsidR="00E27BC1" w:rsidRPr="003307CA">
        <w:rPr>
          <w:rFonts w:asciiTheme="minorEastAsia" w:eastAsiaTheme="minorEastAsia" w:hAnsiTheme="minorEastAsia" w:hint="eastAsia"/>
          <w:szCs w:val="21"/>
        </w:rPr>
        <w:t>拒绝或暂停基金转换的情形</w:t>
      </w:r>
      <w:bookmarkEnd w:id="159"/>
      <w:bookmarkEnd w:id="160"/>
    </w:p>
    <w:p w:rsidR="00E27BC1" w:rsidRPr="003307CA" w:rsidRDefault="00E27BC1"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发生下列情况时，基金管理人可拒绝或暂停接受基金投资者的转换申请：</w:t>
      </w:r>
    </w:p>
    <w:p w:rsidR="00D47EAD"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B12831" w:rsidRPr="003307CA">
        <w:rPr>
          <w:rFonts w:asciiTheme="minorEastAsia" w:eastAsiaTheme="minorEastAsia" w:hAnsiTheme="minorEastAsia" w:hint="eastAsia"/>
        </w:rPr>
        <w:t>1）</w:t>
      </w:r>
      <w:r w:rsidR="009037E5" w:rsidRPr="003307CA">
        <w:rPr>
          <w:rFonts w:asciiTheme="minorEastAsia" w:eastAsiaTheme="minorEastAsia" w:hAnsiTheme="minorEastAsia" w:hint="eastAsia"/>
        </w:rPr>
        <w:t>基金转换是基金管理人提供的一种服务，基金管理人有权因业务规则调整、系统升级或其他因素，暂停或停止接受投资者的转换申请。</w:t>
      </w:r>
    </w:p>
    <w:p w:rsidR="00B12831" w:rsidRPr="003307CA" w:rsidRDefault="00D47EAD"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（2）</w:t>
      </w:r>
      <w:r w:rsidR="00B12831" w:rsidRPr="003307CA">
        <w:rPr>
          <w:rFonts w:asciiTheme="minorEastAsia" w:eastAsiaTheme="minorEastAsia" w:hAnsiTheme="minorEastAsia" w:hint="eastAsia"/>
        </w:rPr>
        <w:t>不可抗力的原因导致基金无法正常运作。</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3</w:t>
      </w:r>
      <w:r w:rsidR="00B12831" w:rsidRPr="003307CA">
        <w:rPr>
          <w:rFonts w:asciiTheme="minorEastAsia" w:eastAsiaTheme="minorEastAsia" w:hAnsiTheme="minorEastAsia" w:hint="eastAsia"/>
        </w:rPr>
        <w:t>）本基金投资的主要证券交易市场或外汇市场的公众节假日、休市，并可能影响本基金正常估值与投资时。</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4</w:t>
      </w:r>
      <w:r w:rsidR="00B12831" w:rsidRPr="003307CA">
        <w:rPr>
          <w:rFonts w:asciiTheme="minorEastAsia" w:eastAsiaTheme="minorEastAsia" w:hAnsiTheme="minorEastAsia" w:hint="eastAsia"/>
        </w:rPr>
        <w:t>）本基金的资产组合中的重要部分发生暂停交易或其他重大事件，继续接受转换可能会影响或损害其他基金份额持有人利益时。</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5</w:t>
      </w:r>
      <w:r w:rsidR="00B12831" w:rsidRPr="003307CA">
        <w:rPr>
          <w:rFonts w:asciiTheme="minorEastAsia" w:eastAsiaTheme="minorEastAsia" w:hAnsiTheme="minorEastAsia" w:hint="eastAsia"/>
        </w:rPr>
        <w:t>）基金资产规模过大，使基金管理人无法找到合适的投资品种，或可能对基金业绩</w:t>
      </w:r>
      <w:r w:rsidR="00B12831" w:rsidRPr="003307CA">
        <w:rPr>
          <w:rFonts w:asciiTheme="minorEastAsia" w:eastAsiaTheme="minorEastAsia" w:hAnsiTheme="minorEastAsia" w:hint="eastAsia"/>
        </w:rPr>
        <w:lastRenderedPageBreak/>
        <w:t>产生负面影响，从而损害现有基金份额持有人的利益。</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6</w:t>
      </w:r>
      <w:r w:rsidR="00B12831" w:rsidRPr="003307CA">
        <w:rPr>
          <w:rFonts w:asciiTheme="minorEastAsia" w:eastAsiaTheme="minorEastAsia" w:hAnsiTheme="minorEastAsia" w:hint="eastAsia"/>
        </w:rPr>
        <w:t>）基金资产规模或者份额数量达到了监管部门或基金管理人规定的上限。</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7</w:t>
      </w:r>
      <w:r w:rsidR="00B12831" w:rsidRPr="003307CA">
        <w:rPr>
          <w:rFonts w:asciiTheme="minorEastAsia" w:eastAsiaTheme="minorEastAsia" w:hAnsiTheme="minorEastAsia" w:hint="eastAsia"/>
        </w:rPr>
        <w:t>）基金管理人、基金托管人、基金销售机构或注册登记机构因技术故障导致基金销售系统或基金注册登记系统或基金会计系统无法正常运行。</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8</w:t>
      </w:r>
      <w:r w:rsidR="00B12831" w:rsidRPr="003307CA">
        <w:rPr>
          <w:rFonts w:asciiTheme="minorEastAsia" w:eastAsiaTheme="minorEastAsia" w:hAnsiTheme="minorEastAsia" w:hint="eastAsia"/>
        </w:rPr>
        <w:t>）基金管理人认为会有损于现有基金份额持有人利益的某笔转换转入。</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9</w:t>
      </w:r>
      <w:r w:rsidR="00B12831" w:rsidRPr="003307CA">
        <w:rPr>
          <w:rFonts w:asciiTheme="minorEastAsia" w:eastAsiaTheme="minorEastAsia" w:hAnsiTheme="minorEastAsia" w:hint="eastAsia"/>
        </w:rPr>
        <w:t>）不可抗力的原因导致基金管理人不能支付转换转出款项。</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D47EAD" w:rsidRPr="003307CA">
        <w:rPr>
          <w:rFonts w:asciiTheme="minorEastAsia" w:eastAsiaTheme="minorEastAsia" w:hAnsiTheme="minorEastAsia" w:hint="eastAsia"/>
        </w:rPr>
        <w:t>10</w:t>
      </w:r>
      <w:r w:rsidR="00B12831" w:rsidRPr="003307CA">
        <w:rPr>
          <w:rFonts w:asciiTheme="minorEastAsia" w:eastAsiaTheme="minorEastAsia" w:hAnsiTheme="minorEastAsia" w:hint="eastAsia"/>
        </w:rPr>
        <w:t>）本基金进行交易的主要证券交易市场或外汇市场交易时间非正常停市或遇公众节假日，可能影响本基金投资，或导致基金管理人无法计算当日基金资产净值。</w:t>
      </w:r>
    </w:p>
    <w:p w:rsidR="00B1283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B12831" w:rsidRPr="003307CA">
        <w:rPr>
          <w:rFonts w:asciiTheme="minorEastAsia" w:eastAsiaTheme="minorEastAsia" w:hAnsiTheme="minorEastAsia" w:hint="eastAsia"/>
        </w:rPr>
        <w:t>1</w:t>
      </w:r>
      <w:r w:rsidR="00D47EAD" w:rsidRPr="003307CA">
        <w:rPr>
          <w:rFonts w:asciiTheme="minorEastAsia" w:eastAsiaTheme="minorEastAsia" w:hAnsiTheme="minorEastAsia" w:hint="eastAsia"/>
        </w:rPr>
        <w:t>1</w:t>
      </w:r>
      <w:r w:rsidR="00B12831" w:rsidRPr="003307CA">
        <w:rPr>
          <w:rFonts w:asciiTheme="minorEastAsia" w:eastAsiaTheme="minorEastAsia" w:hAnsiTheme="minorEastAsia" w:hint="eastAsia"/>
        </w:rPr>
        <w:t>）因市场剧烈波动或其他原因而出现连续2个或2个以上开放日巨额转换转出，导致本基金的现金支付出现困难。</w:t>
      </w:r>
    </w:p>
    <w:p w:rsidR="00CD3B3A" w:rsidRPr="003307CA" w:rsidRDefault="00C14DE4" w:rsidP="001223DA">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12</w:t>
      </w:r>
      <w:r w:rsidRPr="003307CA">
        <w:rPr>
          <w:rFonts w:asciiTheme="minorEastAsia" w:eastAsiaTheme="minorEastAsia" w:hAnsiTheme="minorEastAsia" w:hint="eastAsia"/>
        </w:rPr>
        <w:t>）基金管理人接受某笔或者某些转换转入申请有可能导致单一投资者持有基金份额的比例达到或者超过</w:t>
      </w:r>
      <w:r w:rsidRPr="003307CA">
        <w:rPr>
          <w:rFonts w:asciiTheme="minorEastAsia" w:eastAsiaTheme="minorEastAsia" w:hAnsiTheme="minorEastAsia"/>
        </w:rPr>
        <w:t>50%，或者变相规避50%集中度的情形时。</w:t>
      </w:r>
    </w:p>
    <w:p w:rsidR="00CD3B3A" w:rsidRPr="003307CA" w:rsidRDefault="00C14DE4" w:rsidP="001223DA">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13</w:t>
      </w:r>
      <w:r w:rsidRPr="003307CA">
        <w:rPr>
          <w:rFonts w:asciiTheme="minorEastAsia" w:eastAsiaTheme="minorEastAsia" w:hAnsiTheme="minorEastAsia" w:hint="eastAsia"/>
        </w:rPr>
        <w:t>）当一笔新的转换</w:t>
      </w:r>
      <w:r w:rsidRPr="003307CA">
        <w:rPr>
          <w:rFonts w:asciiTheme="minorEastAsia" w:eastAsiaTheme="minorEastAsia" w:hAnsiTheme="minorEastAsia"/>
        </w:rPr>
        <w:t>转入</w:t>
      </w:r>
      <w:r w:rsidRPr="003307CA">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D3B3A" w:rsidRPr="003307CA" w:rsidRDefault="00C14DE4" w:rsidP="001223DA">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14</w:t>
      </w:r>
      <w:r w:rsidRPr="003307CA">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E27BC1" w:rsidRPr="003307CA" w:rsidRDefault="00D6140A" w:rsidP="00CE3F81">
      <w:pPr>
        <w:snapToGrid w:val="0"/>
        <w:spacing w:line="360" w:lineRule="auto"/>
        <w:ind w:firstLine="420"/>
        <w:rPr>
          <w:rFonts w:asciiTheme="minorEastAsia" w:eastAsiaTheme="minorEastAsia" w:hAnsiTheme="minorEastAsia"/>
        </w:rPr>
      </w:pPr>
      <w:r w:rsidRPr="003307CA">
        <w:rPr>
          <w:rFonts w:asciiTheme="minorEastAsia" w:eastAsiaTheme="minorEastAsia" w:hAnsiTheme="minorEastAsia" w:hint="eastAsia"/>
        </w:rPr>
        <w:t>（</w:t>
      </w:r>
      <w:r w:rsidR="00C14DE4" w:rsidRPr="003307CA">
        <w:rPr>
          <w:rFonts w:asciiTheme="minorEastAsia" w:eastAsiaTheme="minorEastAsia" w:hAnsiTheme="minorEastAsia" w:hint="eastAsia"/>
        </w:rPr>
        <w:t>1</w:t>
      </w:r>
      <w:r w:rsidR="00C14DE4" w:rsidRPr="003307CA">
        <w:rPr>
          <w:rFonts w:asciiTheme="minorEastAsia" w:eastAsiaTheme="minorEastAsia" w:hAnsiTheme="minorEastAsia"/>
        </w:rPr>
        <w:t>5</w:t>
      </w:r>
      <w:r w:rsidR="00B12831" w:rsidRPr="003307CA">
        <w:rPr>
          <w:rFonts w:asciiTheme="minorEastAsia" w:eastAsiaTheme="minorEastAsia" w:hAnsiTheme="minorEastAsia" w:hint="eastAsia"/>
        </w:rPr>
        <w:t>）法律法规规定或中国证监会认定的其他可暂停转换的情形。</w:t>
      </w:r>
    </w:p>
    <w:p w:rsidR="0064594E" w:rsidRPr="003307CA" w:rsidRDefault="009037E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注册登记规则及有关限制等，基金管理人也有权因业务规则调整、系统升级或其他因素，暂停或停止接受投资者的转换申请。但应在调整生效前依照《信息披露办法》的有关规定在指定媒介上公告。</w:t>
      </w:r>
    </w:p>
    <w:p w:rsidR="0064594E" w:rsidRPr="003307CA"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61" w:name="_Toc79392621"/>
      <w:bookmarkStart w:id="162" w:name="_Toc44351102"/>
      <w:r w:rsidRPr="003307CA">
        <w:rPr>
          <w:rFonts w:asciiTheme="minorEastAsia" w:eastAsiaTheme="minorEastAsia" w:hAnsiTheme="minorEastAsia" w:hint="eastAsia"/>
          <w:b w:val="0"/>
        </w:rPr>
        <w:t>十六</w:t>
      </w:r>
      <w:r w:rsidR="00581D5A" w:rsidRPr="003307CA">
        <w:rPr>
          <w:rFonts w:asciiTheme="minorEastAsia" w:eastAsiaTheme="minorEastAsia" w:hAnsiTheme="minorEastAsia" w:hint="eastAsia"/>
          <w:b w:val="0"/>
        </w:rPr>
        <w:t>、</w:t>
      </w:r>
      <w:r w:rsidR="0064594E" w:rsidRPr="003307CA">
        <w:rPr>
          <w:rFonts w:asciiTheme="minorEastAsia" w:eastAsiaTheme="minorEastAsia" w:hAnsiTheme="minorEastAsia" w:hint="eastAsia"/>
          <w:b w:val="0"/>
        </w:rPr>
        <w:t>转托管</w:t>
      </w:r>
      <w:bookmarkEnd w:id="161"/>
      <w:bookmarkEnd w:id="162"/>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本基金目前实行份额托管的交易制度。投资者可将所持有的基金份额从一个交易账户转入另一个交易账户进行交易。具体办理方法参照《业务规则》的有关规定以及基金</w:t>
      </w:r>
      <w:r w:rsidR="000D6E0C" w:rsidRPr="003307CA">
        <w:rPr>
          <w:rFonts w:asciiTheme="minorEastAsia" w:eastAsiaTheme="minorEastAsia" w:hAnsiTheme="minorEastAsia" w:hint="eastAsia"/>
        </w:rPr>
        <w:t>销售</w:t>
      </w:r>
      <w:r w:rsidRPr="003307CA">
        <w:rPr>
          <w:rFonts w:asciiTheme="minorEastAsia" w:eastAsiaTheme="minorEastAsia" w:hAnsiTheme="minorEastAsia" w:hint="eastAsia"/>
        </w:rPr>
        <w:t>机构的业务规则。</w:t>
      </w:r>
    </w:p>
    <w:p w:rsidR="0064594E" w:rsidRPr="003307CA"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63" w:name="_Toc44351103"/>
      <w:r w:rsidRPr="003307CA">
        <w:rPr>
          <w:rFonts w:asciiTheme="minorEastAsia" w:eastAsiaTheme="minorEastAsia" w:hAnsiTheme="minorEastAsia" w:hint="eastAsia"/>
          <w:b w:val="0"/>
        </w:rPr>
        <w:t>十</w:t>
      </w:r>
      <w:r w:rsidR="0066166E" w:rsidRPr="003307CA">
        <w:rPr>
          <w:rFonts w:asciiTheme="minorEastAsia" w:eastAsiaTheme="minorEastAsia" w:hAnsiTheme="minorEastAsia" w:hint="eastAsia"/>
          <w:b w:val="0"/>
        </w:rPr>
        <w:t>七</w:t>
      </w:r>
      <w:r w:rsidR="00581D5A" w:rsidRPr="003307CA">
        <w:rPr>
          <w:rFonts w:asciiTheme="minorEastAsia" w:eastAsiaTheme="minorEastAsia" w:hAnsiTheme="minorEastAsia" w:hint="eastAsia"/>
          <w:b w:val="0"/>
        </w:rPr>
        <w:t>、</w:t>
      </w:r>
      <w:r w:rsidR="0064594E" w:rsidRPr="003307CA">
        <w:rPr>
          <w:rFonts w:asciiTheme="minorEastAsia" w:eastAsiaTheme="minorEastAsia" w:hAnsiTheme="minorEastAsia" w:hint="eastAsia"/>
          <w:b w:val="0"/>
        </w:rPr>
        <w:t>基金的非交易过户</w:t>
      </w:r>
      <w:bookmarkEnd w:id="163"/>
    </w:p>
    <w:p w:rsidR="009F5BA4"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1</w:t>
      </w:r>
      <w:r w:rsidR="006A1D96" w:rsidRPr="003307CA">
        <w:rPr>
          <w:rFonts w:asciiTheme="minorEastAsia" w:eastAsiaTheme="minorEastAsia" w:hAnsiTheme="minorEastAsia" w:hint="eastAsia"/>
          <w:szCs w:val="21"/>
        </w:rPr>
        <w:t>、</w:t>
      </w:r>
      <w:r w:rsidR="009F5BA4" w:rsidRPr="003307CA">
        <w:rPr>
          <w:rFonts w:asciiTheme="minorEastAsia" w:eastAsiaTheme="minorEastAsia" w:hAnsiTheme="minorEastAsia" w:hint="eastAsia"/>
        </w:rPr>
        <w:t>非交易过户是指不采用申购、赎回等基金交易方式，将一定数量的基金份额按照一定规则从某一投资者基金账户转移到另一投资者基金账户的行为。</w:t>
      </w:r>
    </w:p>
    <w:p w:rsidR="009F5BA4" w:rsidRPr="003307CA" w:rsidRDefault="009F5BA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基金注册登记机构只受理继承、捐赠、司法强制执行和经注册登记机构认可的其他情况</w:t>
      </w:r>
      <w:r w:rsidRPr="003307CA">
        <w:rPr>
          <w:rFonts w:asciiTheme="minorEastAsia" w:eastAsiaTheme="minorEastAsia" w:hAnsiTheme="minorEastAsia" w:hint="eastAsia"/>
        </w:rPr>
        <w:lastRenderedPageBreak/>
        <w:t>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9F5BA4" w:rsidRPr="003307CA" w:rsidRDefault="009F5BA4" w:rsidP="00CE3F81">
      <w:pPr>
        <w:snapToGrid w:val="0"/>
        <w:spacing w:line="360" w:lineRule="auto"/>
        <w:ind w:firstLineChars="200" w:firstLine="420"/>
        <w:rPr>
          <w:rFonts w:asciiTheme="minorEastAsia" w:eastAsiaTheme="minorEastAsia" w:hAnsiTheme="minorEastAsia"/>
          <w:kern w:val="0"/>
        </w:rPr>
      </w:pPr>
      <w:r w:rsidRPr="003307CA">
        <w:rPr>
          <w:rFonts w:asciiTheme="minorEastAsia" w:eastAsiaTheme="minorEastAsia" w:hAnsiTheme="minorEastAsia" w:hint="eastAsia"/>
          <w:kern w:val="0"/>
        </w:rPr>
        <w:t>基金注册登记机构受理上述情况下</w:t>
      </w:r>
      <w:r w:rsidRPr="003307CA">
        <w:rPr>
          <w:rFonts w:asciiTheme="minorEastAsia" w:eastAsiaTheme="minorEastAsia" w:hAnsiTheme="minorEastAsia"/>
          <w:kern w:val="0"/>
        </w:rPr>
        <w:t>的非交易过户</w:t>
      </w:r>
      <w:r w:rsidRPr="003307CA">
        <w:rPr>
          <w:rFonts w:asciiTheme="minorEastAsia" w:eastAsiaTheme="minorEastAsia" w:hAnsiTheme="minorEastAsia" w:hint="eastAsia"/>
          <w:kern w:val="0"/>
        </w:rPr>
        <w:t>，其他销售机构不得办理该项业务。</w:t>
      </w:r>
    </w:p>
    <w:p w:rsidR="0064594E" w:rsidRPr="003307CA" w:rsidRDefault="009F5BA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对于符合条件的非交易过户申请按《业务规则》的有关规定办理。</w:t>
      </w:r>
    </w:p>
    <w:p w:rsidR="0064594E" w:rsidRPr="003307CA" w:rsidRDefault="009F5BA4" w:rsidP="00CE3F81">
      <w:pPr>
        <w:snapToGrid w:val="0"/>
        <w:spacing w:line="360" w:lineRule="auto"/>
        <w:ind w:firstLineChars="200" w:firstLine="420"/>
        <w:rPr>
          <w:rFonts w:asciiTheme="minorEastAsia" w:eastAsiaTheme="minorEastAsia" w:hAnsiTheme="minorEastAsia"/>
          <w:kern w:val="0"/>
        </w:rPr>
      </w:pPr>
      <w:r w:rsidRPr="003307CA">
        <w:rPr>
          <w:rFonts w:asciiTheme="minorEastAsia" w:eastAsiaTheme="minorEastAsia" w:hAnsiTheme="minorEastAsia" w:hint="eastAsia"/>
          <w:kern w:val="0"/>
        </w:rPr>
        <w:t>2</w:t>
      </w:r>
      <w:r w:rsidR="006A1D96" w:rsidRPr="003307CA">
        <w:rPr>
          <w:rFonts w:asciiTheme="minorEastAsia" w:eastAsiaTheme="minorEastAsia" w:hAnsiTheme="minorEastAsia" w:hint="eastAsia"/>
          <w:kern w:val="0"/>
        </w:rPr>
        <w:t>、</w:t>
      </w:r>
      <w:r w:rsidR="0064594E" w:rsidRPr="003307CA">
        <w:rPr>
          <w:rFonts w:asciiTheme="minorEastAsia" w:eastAsiaTheme="minorEastAsia" w:hAnsiTheme="minorEastAsia" w:hint="eastAsia"/>
          <w:kern w:val="0"/>
        </w:rPr>
        <w:t>符合条件的非交易过户申请自申请受理日起，</w:t>
      </w:r>
      <w:r w:rsidR="00EE4632" w:rsidRPr="003307CA">
        <w:rPr>
          <w:rFonts w:asciiTheme="minorEastAsia" w:eastAsiaTheme="minorEastAsia" w:hAnsiTheme="minorEastAsia" w:hint="eastAsia"/>
          <w:kern w:val="0"/>
        </w:rPr>
        <w:t>两个月内办理</w:t>
      </w:r>
      <w:r w:rsidR="0064594E" w:rsidRPr="003307CA">
        <w:rPr>
          <w:rFonts w:asciiTheme="minorEastAsia" w:eastAsiaTheme="minorEastAsia" w:hAnsiTheme="minorEastAsia" w:hint="eastAsia"/>
          <w:kern w:val="0"/>
        </w:rPr>
        <w:t>；申请人按基金注册登记机构规定的标准缴纳过户费用。</w:t>
      </w:r>
    </w:p>
    <w:p w:rsidR="0064594E" w:rsidRPr="003307CA"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64" w:name="_Toc44351104"/>
      <w:r w:rsidRPr="003307CA">
        <w:rPr>
          <w:rFonts w:asciiTheme="minorEastAsia" w:eastAsiaTheme="minorEastAsia" w:hAnsiTheme="minorEastAsia" w:hint="eastAsia"/>
          <w:b w:val="0"/>
        </w:rPr>
        <w:t>十</w:t>
      </w:r>
      <w:r w:rsidR="0066166E" w:rsidRPr="003307CA">
        <w:rPr>
          <w:rFonts w:asciiTheme="minorEastAsia" w:eastAsiaTheme="minorEastAsia" w:hAnsiTheme="minorEastAsia" w:hint="eastAsia"/>
          <w:b w:val="0"/>
        </w:rPr>
        <w:t>八</w:t>
      </w:r>
      <w:r w:rsidR="00581D5A" w:rsidRPr="003307CA">
        <w:rPr>
          <w:rFonts w:asciiTheme="minorEastAsia" w:eastAsiaTheme="minorEastAsia" w:hAnsiTheme="minorEastAsia" w:hint="eastAsia"/>
          <w:b w:val="0"/>
        </w:rPr>
        <w:t>、</w:t>
      </w:r>
      <w:r w:rsidR="0064594E" w:rsidRPr="003307CA">
        <w:rPr>
          <w:rFonts w:asciiTheme="minorEastAsia" w:eastAsiaTheme="minorEastAsia" w:hAnsiTheme="minorEastAsia" w:hint="eastAsia"/>
          <w:b w:val="0"/>
        </w:rPr>
        <w:t>基金的冻结与解冻</w:t>
      </w:r>
      <w:bookmarkEnd w:id="164"/>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p>
    <w:p w:rsidR="00431525" w:rsidRPr="003307CA"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3307CA">
          <w:pgSz w:w="11906" w:h="16838" w:code="9"/>
          <w:pgMar w:top="1440" w:right="1800" w:bottom="1440" w:left="1800" w:header="851" w:footer="992" w:gutter="0"/>
          <w:cols w:space="425"/>
          <w:docGrid w:type="lines" w:linePitch="312"/>
        </w:sectPr>
      </w:pPr>
      <w:bookmarkStart w:id="165" w:name="_Toc91334992"/>
    </w:p>
    <w:p w:rsidR="0064594E" w:rsidRPr="003307CA"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66" w:name="_Toc44351105"/>
      <w:r w:rsidRPr="003307CA">
        <w:rPr>
          <w:rFonts w:asciiTheme="minorEastAsia" w:eastAsiaTheme="minorEastAsia" w:hAnsiTheme="minorEastAsia" w:hint="eastAsia"/>
        </w:rPr>
        <w:lastRenderedPageBreak/>
        <w:t>基金的费用与税收</w:t>
      </w:r>
      <w:bookmarkEnd w:id="166"/>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67" w:name="_Toc84149669"/>
      <w:bookmarkStart w:id="168" w:name="_Toc86584633"/>
      <w:bookmarkStart w:id="169" w:name="_Toc44351106"/>
      <w:r w:rsidRPr="003307CA">
        <w:rPr>
          <w:rFonts w:asciiTheme="minorEastAsia" w:eastAsiaTheme="minorEastAsia" w:hAnsiTheme="minorEastAsia" w:hint="eastAsia"/>
          <w:b w:val="0"/>
        </w:rPr>
        <w:t>一</w:t>
      </w:r>
      <w:r w:rsidR="00E27F93"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与基金运作相关的费用</w:t>
      </w:r>
      <w:bookmarkEnd w:id="167"/>
      <w:bookmarkEnd w:id="168"/>
      <w:bookmarkEnd w:id="169"/>
    </w:p>
    <w:p w:rsidR="0064594E" w:rsidRPr="003307CA" w:rsidRDefault="0064594E" w:rsidP="00CE3F81">
      <w:pPr>
        <w:snapToGrid w:val="0"/>
        <w:spacing w:line="360" w:lineRule="auto"/>
        <w:ind w:firstLineChars="200" w:firstLine="420"/>
        <w:rPr>
          <w:rFonts w:asciiTheme="minorEastAsia" w:eastAsiaTheme="minorEastAsia" w:hAnsiTheme="minorEastAsia"/>
          <w:b/>
          <w:bCs/>
          <w:sz w:val="24"/>
        </w:rPr>
      </w:pPr>
      <w:r w:rsidRPr="003307CA">
        <w:rPr>
          <w:rFonts w:asciiTheme="minorEastAsia" w:eastAsiaTheme="minorEastAsia" w:hAnsiTheme="minorEastAsia" w:hint="eastAsia"/>
          <w:szCs w:val="21"/>
        </w:rPr>
        <w:t>1</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基金费用的种类</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64594E" w:rsidRPr="003307CA">
        <w:rPr>
          <w:rFonts w:asciiTheme="minorEastAsia" w:eastAsiaTheme="minorEastAsia" w:hAnsiTheme="minorEastAsia" w:hint="eastAsia"/>
          <w:szCs w:val="21"/>
        </w:rPr>
        <w:t>基金的管理费；</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64594E" w:rsidRPr="003307CA">
        <w:rPr>
          <w:rFonts w:asciiTheme="minorEastAsia" w:eastAsiaTheme="minorEastAsia" w:hAnsiTheme="minorEastAsia" w:hint="eastAsia"/>
          <w:szCs w:val="21"/>
        </w:rPr>
        <w:t>基金的托管费；</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64594E" w:rsidRPr="003307CA">
        <w:rPr>
          <w:rFonts w:asciiTheme="minorEastAsia" w:eastAsiaTheme="minorEastAsia" w:hAnsiTheme="minorEastAsia" w:hint="eastAsia"/>
          <w:szCs w:val="21"/>
        </w:rPr>
        <w:t>《基金合同》生效后与基金相关的信息披露费用；</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64594E" w:rsidRPr="003307CA">
        <w:rPr>
          <w:rFonts w:asciiTheme="minorEastAsia" w:eastAsiaTheme="minorEastAsia" w:hAnsiTheme="minorEastAsia" w:hint="eastAsia"/>
          <w:szCs w:val="21"/>
        </w:rPr>
        <w:t>《基金合同》生效后与基金相关的会计师费和律师费和其他为基金利益而产生的中介机构费用</w:t>
      </w:r>
      <w:r w:rsidR="00EC4BAC" w:rsidRPr="003307CA">
        <w:rPr>
          <w:rFonts w:asciiTheme="minorEastAsia" w:eastAsiaTheme="minorEastAsia" w:hAnsiTheme="minorEastAsia" w:hint="eastAsia"/>
          <w:szCs w:val="21"/>
        </w:rPr>
        <w:t>(包括税务咨询顾问服务费用)</w:t>
      </w:r>
      <w:r w:rsidR="0064594E" w:rsidRPr="003307CA">
        <w:rPr>
          <w:rFonts w:asciiTheme="minorEastAsia" w:eastAsiaTheme="minorEastAsia" w:hAnsiTheme="minorEastAsia" w:hint="eastAsia"/>
          <w:szCs w:val="21"/>
        </w:rPr>
        <w:t>；</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64594E" w:rsidRPr="003307CA">
        <w:rPr>
          <w:rFonts w:asciiTheme="minorEastAsia" w:eastAsiaTheme="minorEastAsia" w:hAnsiTheme="minorEastAsia" w:hint="eastAsia"/>
          <w:szCs w:val="21"/>
        </w:rPr>
        <w:t>基金份额持有人大会费用；</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w:t>
      </w:r>
      <w:r w:rsidR="0064594E" w:rsidRPr="003307CA">
        <w:rPr>
          <w:rFonts w:asciiTheme="minorEastAsia" w:eastAsiaTheme="minorEastAsia" w:hAnsiTheme="minorEastAsia" w:hint="eastAsia"/>
          <w:szCs w:val="21"/>
        </w:rPr>
        <w:t>基金的证券交易、登记等各项费用；</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64594E" w:rsidRPr="003307CA">
        <w:rPr>
          <w:rFonts w:asciiTheme="minorEastAsia" w:eastAsiaTheme="minorEastAsia" w:hAnsiTheme="minorEastAsia" w:hint="eastAsia"/>
          <w:szCs w:val="21"/>
        </w:rPr>
        <w:t>基金的银行汇划费用；</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（8）</w:t>
      </w:r>
      <w:r w:rsidR="0064594E" w:rsidRPr="003307CA">
        <w:rPr>
          <w:rFonts w:asciiTheme="minorEastAsia" w:eastAsiaTheme="minorEastAsia" w:hAnsiTheme="minorEastAsia" w:hint="eastAsia"/>
          <w:szCs w:val="21"/>
        </w:rPr>
        <w:t>代表基金投票或其他与基金投资活动有关的费用；</w:t>
      </w:r>
    </w:p>
    <w:p w:rsidR="0064594E" w:rsidRPr="003307CA" w:rsidRDefault="006A1D96" w:rsidP="006A1D96">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（9）</w:t>
      </w:r>
      <w:r w:rsidR="0064594E" w:rsidRPr="003307CA">
        <w:rPr>
          <w:rFonts w:asciiTheme="minorEastAsia" w:eastAsiaTheme="minorEastAsia" w:hAnsiTheme="minorEastAsia" w:hint="eastAsia"/>
          <w:szCs w:val="21"/>
        </w:rPr>
        <w:t>基金依照有关法律法规应当缴纳或预提的任何税收、征费以及相关的利息、罚金及费用；</w:t>
      </w:r>
    </w:p>
    <w:p w:rsidR="00732370" w:rsidRPr="003307CA" w:rsidRDefault="006A1D9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00732370" w:rsidRPr="003307CA">
        <w:rPr>
          <w:rFonts w:asciiTheme="minorEastAsia" w:eastAsiaTheme="minorEastAsia" w:hAnsiTheme="minorEastAsia" w:hint="eastAsia"/>
          <w:szCs w:val="21"/>
        </w:rPr>
        <w:t>10）与基金有关的诉讼、追索费用；</w:t>
      </w:r>
    </w:p>
    <w:p w:rsidR="0064594E" w:rsidRPr="003307CA" w:rsidRDefault="006A1D9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00732370" w:rsidRPr="003307CA">
        <w:rPr>
          <w:rFonts w:asciiTheme="minorEastAsia" w:eastAsiaTheme="minorEastAsia" w:hAnsiTheme="minorEastAsia" w:hint="eastAsia"/>
          <w:szCs w:val="21"/>
        </w:rPr>
        <w:t>11）</w:t>
      </w:r>
      <w:r w:rsidR="0064594E" w:rsidRPr="003307CA">
        <w:rPr>
          <w:rFonts w:asciiTheme="minorEastAsia" w:eastAsiaTheme="minorEastAsia" w:hAnsiTheme="minorEastAsia" w:hint="eastAsia"/>
          <w:szCs w:val="21"/>
        </w:rPr>
        <w:t>按照国家有关规定和《基金合同》约定，可以在基金财产中列支的其他费用。</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本基金终止清算时所发生费用，按实际支出额从基金财产总值中扣除。</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基金费用计提方法、计提标准和支付方式</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（1）基金管理人的管理费</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w:t>
      </w:r>
      <w:r w:rsidRPr="003307CA">
        <w:rPr>
          <w:rFonts w:asciiTheme="minorEastAsia" w:eastAsiaTheme="minorEastAsia" w:hAnsiTheme="minorEastAsia"/>
        </w:rPr>
        <w:t>的管理费</w:t>
      </w:r>
      <w:r w:rsidRPr="003307CA">
        <w:rPr>
          <w:rFonts w:asciiTheme="minorEastAsia" w:eastAsiaTheme="minorEastAsia" w:hAnsiTheme="minorEastAsia" w:hint="eastAsia"/>
        </w:rPr>
        <w:t>按前一日</w:t>
      </w:r>
      <w:r w:rsidRPr="003307CA">
        <w:rPr>
          <w:rFonts w:asciiTheme="minorEastAsia" w:eastAsiaTheme="minorEastAsia" w:hAnsiTheme="minorEastAsia"/>
        </w:rPr>
        <w:t>基金资产净值</w:t>
      </w:r>
      <w:r w:rsidR="00CA5178" w:rsidRPr="003307CA">
        <w:rPr>
          <w:rFonts w:asciiTheme="minorEastAsia" w:eastAsiaTheme="minorEastAsia" w:hAnsiTheme="minorEastAsia" w:hint="eastAsia"/>
        </w:rPr>
        <w:t>1.</w:t>
      </w:r>
      <w:r w:rsidR="00DD6640" w:rsidRPr="003307CA">
        <w:rPr>
          <w:rFonts w:asciiTheme="minorEastAsia" w:eastAsiaTheme="minorEastAsia" w:hAnsiTheme="minorEastAsia" w:hint="eastAsia"/>
        </w:rPr>
        <w:t>5</w:t>
      </w:r>
      <w:r w:rsidRPr="003307CA">
        <w:rPr>
          <w:rFonts w:asciiTheme="minorEastAsia" w:eastAsiaTheme="minorEastAsia" w:hAnsiTheme="minorEastAsia"/>
        </w:rPr>
        <w:t>%</w:t>
      </w:r>
      <w:r w:rsidRPr="003307CA">
        <w:rPr>
          <w:rFonts w:asciiTheme="minorEastAsia" w:eastAsiaTheme="minorEastAsia" w:hAnsiTheme="minorEastAsia" w:hint="eastAsia"/>
        </w:rPr>
        <w:t>的</w:t>
      </w:r>
      <w:r w:rsidRPr="003307CA">
        <w:rPr>
          <w:rFonts w:asciiTheme="minorEastAsia" w:eastAsiaTheme="minorEastAsia" w:hAnsiTheme="minorEastAsia"/>
        </w:rPr>
        <w:t>年费率计提。计算方法如下：</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H＝E×</w:t>
      </w:r>
      <w:r w:rsidR="00CA5178" w:rsidRPr="003307CA">
        <w:rPr>
          <w:rFonts w:asciiTheme="minorEastAsia" w:eastAsiaTheme="minorEastAsia" w:hAnsiTheme="minorEastAsia" w:hint="eastAsia"/>
        </w:rPr>
        <w:t>1.</w:t>
      </w:r>
      <w:r w:rsidR="00DD6640" w:rsidRPr="003307CA">
        <w:rPr>
          <w:rFonts w:asciiTheme="minorEastAsia" w:eastAsiaTheme="minorEastAsia" w:hAnsiTheme="minorEastAsia" w:hint="eastAsia"/>
        </w:rPr>
        <w:t>5</w:t>
      </w:r>
      <w:r w:rsidRPr="003307CA">
        <w:rPr>
          <w:rFonts w:asciiTheme="minorEastAsia" w:eastAsiaTheme="minorEastAsia" w:hAnsiTheme="minorEastAsia"/>
        </w:rPr>
        <w:t>%</w:t>
      </w:r>
      <w:r w:rsidRPr="003307CA">
        <w:rPr>
          <w:rFonts w:asciiTheme="minorEastAsia" w:eastAsiaTheme="minorEastAsia" w:hAnsiTheme="minorEastAsia" w:hint="eastAsia"/>
        </w:rPr>
        <w:t>÷</w:t>
      </w:r>
      <w:r w:rsidRPr="003307CA">
        <w:rPr>
          <w:rFonts w:asciiTheme="minorEastAsia" w:eastAsiaTheme="minorEastAsia" w:hAnsiTheme="minorEastAsia"/>
        </w:rPr>
        <w:t>当年天数</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H为每日应</w:t>
      </w:r>
      <w:r w:rsidRPr="003307CA">
        <w:rPr>
          <w:rFonts w:asciiTheme="minorEastAsia" w:eastAsiaTheme="minorEastAsia" w:hAnsiTheme="minorEastAsia" w:hint="eastAsia"/>
        </w:rPr>
        <w:t>计提</w:t>
      </w:r>
      <w:r w:rsidRPr="003307CA">
        <w:rPr>
          <w:rFonts w:asciiTheme="minorEastAsia" w:eastAsiaTheme="minorEastAsia" w:hAnsiTheme="minorEastAsia"/>
        </w:rPr>
        <w:t>的</w:t>
      </w:r>
      <w:r w:rsidRPr="003307CA">
        <w:rPr>
          <w:rFonts w:asciiTheme="minorEastAsia" w:eastAsiaTheme="minorEastAsia" w:hAnsiTheme="minorEastAsia" w:hint="eastAsia"/>
        </w:rPr>
        <w:t>基金</w:t>
      </w:r>
      <w:r w:rsidRPr="003307CA">
        <w:rPr>
          <w:rFonts w:asciiTheme="minorEastAsia" w:eastAsiaTheme="minorEastAsia" w:hAnsiTheme="minorEastAsia"/>
        </w:rPr>
        <w:t>的管理费</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E</w:t>
      </w:r>
      <w:r w:rsidRPr="003307CA">
        <w:rPr>
          <w:rFonts w:asciiTheme="minorEastAsia" w:eastAsiaTheme="minorEastAsia" w:hAnsiTheme="minorEastAsia"/>
        </w:rPr>
        <w:t>为前一日的基金资产净值</w:t>
      </w:r>
    </w:p>
    <w:p w:rsidR="0064594E" w:rsidRPr="003307CA" w:rsidRDefault="00EC4BA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基金的管理费</w:t>
      </w:r>
      <w:r w:rsidRPr="003307CA">
        <w:rPr>
          <w:rFonts w:asciiTheme="minorEastAsia" w:eastAsiaTheme="minorEastAsia" w:hAnsiTheme="minorEastAsia"/>
        </w:rPr>
        <w:t>每日计算</w:t>
      </w:r>
      <w:r w:rsidRPr="003307CA">
        <w:rPr>
          <w:rFonts w:asciiTheme="minorEastAsia" w:eastAsiaTheme="minorEastAsia" w:hAnsiTheme="minorEastAsia" w:hint="eastAsia"/>
        </w:rPr>
        <w:t>，逐日累计至每月月末，</w:t>
      </w:r>
      <w:r w:rsidRPr="003307CA">
        <w:rPr>
          <w:rFonts w:asciiTheme="minorEastAsia" w:eastAsiaTheme="minorEastAsia" w:hAnsiTheme="minorEastAsia"/>
        </w:rPr>
        <w:t>按月支付</w:t>
      </w:r>
      <w:r w:rsidRPr="003307CA">
        <w:rPr>
          <w:rFonts w:asciiTheme="minorEastAsia" w:eastAsiaTheme="minorEastAsia" w:hAnsiTheme="minorEastAsia" w:hint="eastAsia"/>
        </w:rPr>
        <w:t>，由基金管理人向基金托管人发送基金管理费划款指令，</w:t>
      </w:r>
      <w:r w:rsidRPr="003307CA">
        <w:rPr>
          <w:rFonts w:asciiTheme="minorEastAsia" w:eastAsiaTheme="minorEastAsia" w:hAnsiTheme="minorEastAsia"/>
        </w:rPr>
        <w:t>基金托管人</w:t>
      </w:r>
      <w:r w:rsidRPr="003307CA">
        <w:rPr>
          <w:rFonts w:asciiTheme="minorEastAsia" w:eastAsiaTheme="minorEastAsia" w:hAnsiTheme="minorEastAsia" w:hint="eastAsia"/>
        </w:rPr>
        <w:t>复核后</w:t>
      </w:r>
      <w:r w:rsidRPr="003307CA">
        <w:rPr>
          <w:rFonts w:asciiTheme="minorEastAsia" w:eastAsiaTheme="minorEastAsia" w:hAnsiTheme="minorEastAsia"/>
        </w:rPr>
        <w:t>于次月前</w:t>
      </w:r>
      <w:r w:rsidRPr="003307CA">
        <w:rPr>
          <w:rFonts w:asciiTheme="minorEastAsia" w:eastAsiaTheme="minorEastAsia" w:hAnsiTheme="minorEastAsia" w:hint="eastAsia"/>
        </w:rPr>
        <w:t>2</w:t>
      </w:r>
      <w:r w:rsidRPr="003307CA">
        <w:rPr>
          <w:rFonts w:asciiTheme="minorEastAsia" w:eastAsiaTheme="minorEastAsia" w:hAnsiTheme="minorEastAsia"/>
        </w:rPr>
        <w:t>个工作日内从基金</w:t>
      </w:r>
      <w:r w:rsidRPr="003307CA">
        <w:rPr>
          <w:rFonts w:asciiTheme="minorEastAsia" w:eastAsiaTheme="minorEastAsia" w:hAnsiTheme="minorEastAsia" w:hint="eastAsia"/>
        </w:rPr>
        <w:t>财产</w:t>
      </w:r>
      <w:r w:rsidRPr="003307CA">
        <w:rPr>
          <w:rFonts w:asciiTheme="minorEastAsia" w:eastAsiaTheme="minorEastAsia" w:hAnsiTheme="minorEastAsia"/>
        </w:rPr>
        <w:t>中一次性支付给基金管理人</w:t>
      </w:r>
      <w:r w:rsidRPr="003307CA">
        <w:rPr>
          <w:rFonts w:asciiTheme="minorEastAsia" w:eastAsiaTheme="minorEastAsia" w:hAnsiTheme="minorEastAsia" w:hint="eastAsia"/>
        </w:rPr>
        <w:t>。</w:t>
      </w:r>
      <w:r w:rsidRPr="003307CA">
        <w:rPr>
          <w:rFonts w:asciiTheme="minorEastAsia" w:eastAsiaTheme="minorEastAsia" w:hAnsiTheme="minorEastAsia"/>
        </w:rPr>
        <w:t>若遇法定节假日、</w:t>
      </w:r>
      <w:r w:rsidRPr="003307CA">
        <w:rPr>
          <w:rFonts w:asciiTheme="minorEastAsia" w:eastAsiaTheme="minorEastAsia" w:hAnsiTheme="minorEastAsia" w:hint="eastAsia"/>
        </w:rPr>
        <w:t>公休假</w:t>
      </w:r>
      <w:r w:rsidRPr="003307CA">
        <w:rPr>
          <w:rFonts w:asciiTheme="minorEastAsia" w:eastAsiaTheme="minorEastAsia" w:hAnsiTheme="minorEastAsia"/>
        </w:rPr>
        <w:t>等,支付日期顺延。</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（2）基金托管人的托管费</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w:t>
      </w:r>
      <w:r w:rsidRPr="003307CA">
        <w:rPr>
          <w:rFonts w:asciiTheme="minorEastAsia" w:eastAsiaTheme="minorEastAsia" w:hAnsiTheme="minorEastAsia"/>
        </w:rPr>
        <w:t>基金的托管费</w:t>
      </w:r>
      <w:r w:rsidRPr="003307CA">
        <w:rPr>
          <w:rFonts w:asciiTheme="minorEastAsia" w:eastAsiaTheme="minorEastAsia" w:hAnsiTheme="minorEastAsia" w:hint="eastAsia"/>
        </w:rPr>
        <w:t>（如基金托管人委托境外托管人，包括境外托管费）</w:t>
      </w:r>
      <w:r w:rsidRPr="003307CA">
        <w:rPr>
          <w:rFonts w:asciiTheme="minorEastAsia" w:eastAsiaTheme="minorEastAsia" w:hAnsiTheme="minorEastAsia"/>
        </w:rPr>
        <w:t>按</w:t>
      </w:r>
      <w:r w:rsidRPr="003307CA">
        <w:rPr>
          <w:rFonts w:asciiTheme="minorEastAsia" w:eastAsiaTheme="minorEastAsia" w:hAnsiTheme="minorEastAsia" w:hint="eastAsia"/>
        </w:rPr>
        <w:t>前一日</w:t>
      </w:r>
      <w:r w:rsidRPr="003307CA">
        <w:rPr>
          <w:rFonts w:asciiTheme="minorEastAsia" w:eastAsiaTheme="minorEastAsia" w:hAnsiTheme="minorEastAsia"/>
        </w:rPr>
        <w:t>基金资产净值的</w:t>
      </w:r>
      <w:r w:rsidRPr="003307CA">
        <w:rPr>
          <w:rFonts w:asciiTheme="minorEastAsia" w:eastAsiaTheme="minorEastAsia" w:hAnsiTheme="minorEastAsia" w:hint="eastAsia"/>
        </w:rPr>
        <w:t>0.35%</w:t>
      </w:r>
      <w:r w:rsidRPr="003307CA">
        <w:rPr>
          <w:rFonts w:asciiTheme="minorEastAsia" w:eastAsiaTheme="minorEastAsia" w:hAnsiTheme="minorEastAsia"/>
        </w:rPr>
        <w:t>的年费率计提。</w:t>
      </w:r>
      <w:r w:rsidRPr="003307CA">
        <w:rPr>
          <w:rFonts w:asciiTheme="minorEastAsia" w:eastAsiaTheme="minorEastAsia" w:hAnsiTheme="minorEastAsia" w:hint="eastAsia"/>
        </w:rPr>
        <w:t>托管费的</w:t>
      </w:r>
      <w:r w:rsidRPr="003307CA">
        <w:rPr>
          <w:rFonts w:asciiTheme="minorEastAsia" w:eastAsiaTheme="minorEastAsia" w:hAnsiTheme="minorEastAsia"/>
        </w:rPr>
        <w:t>计算方法如下：</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H＝E×</w:t>
      </w:r>
      <w:r w:rsidRPr="003307CA">
        <w:rPr>
          <w:rFonts w:asciiTheme="minorEastAsia" w:eastAsiaTheme="minorEastAsia" w:hAnsiTheme="minorEastAsia" w:hint="eastAsia"/>
        </w:rPr>
        <w:t>0.35%÷</w:t>
      </w:r>
      <w:r w:rsidRPr="003307CA">
        <w:rPr>
          <w:rFonts w:asciiTheme="minorEastAsia" w:eastAsiaTheme="minorEastAsia" w:hAnsiTheme="minorEastAsia"/>
        </w:rPr>
        <w:t>当年天数</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H为每日应</w:t>
      </w:r>
      <w:r w:rsidRPr="003307CA">
        <w:rPr>
          <w:rFonts w:asciiTheme="minorEastAsia" w:eastAsiaTheme="minorEastAsia" w:hAnsiTheme="minorEastAsia" w:hint="eastAsia"/>
        </w:rPr>
        <w:t>计提</w:t>
      </w:r>
      <w:r w:rsidRPr="003307CA">
        <w:rPr>
          <w:rFonts w:asciiTheme="minorEastAsia" w:eastAsiaTheme="minorEastAsia" w:hAnsiTheme="minorEastAsia"/>
        </w:rPr>
        <w:t>的基金托管费</w:t>
      </w:r>
    </w:p>
    <w:p w:rsidR="00EC4BAC"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E为前一日的基金资产净值</w:t>
      </w:r>
    </w:p>
    <w:p w:rsidR="0064594E" w:rsidRPr="003307CA" w:rsidRDefault="00EC4BAC"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lastRenderedPageBreak/>
        <w:t>基金托管费每日计算</w:t>
      </w:r>
      <w:r w:rsidRPr="003307CA">
        <w:rPr>
          <w:rFonts w:asciiTheme="minorEastAsia" w:eastAsiaTheme="minorEastAsia" w:hAnsiTheme="minorEastAsia" w:hint="eastAsia"/>
        </w:rPr>
        <w:t>，逐日累计至每月月末，</w:t>
      </w:r>
      <w:r w:rsidRPr="003307CA">
        <w:rPr>
          <w:rFonts w:asciiTheme="minorEastAsia" w:eastAsiaTheme="minorEastAsia" w:hAnsiTheme="minorEastAsia"/>
        </w:rPr>
        <w:t>按月支付</w:t>
      </w:r>
      <w:r w:rsidRPr="003307CA">
        <w:rPr>
          <w:rFonts w:asciiTheme="minorEastAsia" w:eastAsiaTheme="minorEastAsia" w:hAnsiTheme="minorEastAsia" w:hint="eastAsia"/>
        </w:rPr>
        <w:t>，</w:t>
      </w:r>
      <w:r w:rsidRPr="003307CA">
        <w:rPr>
          <w:rFonts w:asciiTheme="minorEastAsia" w:eastAsiaTheme="minorEastAsia" w:hAnsiTheme="minorEastAsia"/>
        </w:rPr>
        <w:t>由</w:t>
      </w:r>
      <w:r w:rsidRPr="003307CA">
        <w:rPr>
          <w:rFonts w:asciiTheme="minorEastAsia" w:eastAsiaTheme="minorEastAsia" w:hAnsiTheme="minorEastAsia" w:hint="eastAsia"/>
        </w:rPr>
        <w:t>基金管理人向基金托管人发送基金托管费划款指令，</w:t>
      </w:r>
      <w:r w:rsidRPr="003307CA">
        <w:rPr>
          <w:rFonts w:asciiTheme="minorEastAsia" w:eastAsiaTheme="minorEastAsia" w:hAnsiTheme="minorEastAsia"/>
        </w:rPr>
        <w:t>基金托管人</w:t>
      </w:r>
      <w:r w:rsidRPr="003307CA">
        <w:rPr>
          <w:rFonts w:asciiTheme="minorEastAsia" w:eastAsiaTheme="minorEastAsia" w:hAnsiTheme="minorEastAsia" w:hint="eastAsia"/>
        </w:rPr>
        <w:t>复核后</w:t>
      </w:r>
      <w:r w:rsidRPr="003307CA">
        <w:rPr>
          <w:rFonts w:asciiTheme="minorEastAsia" w:eastAsiaTheme="minorEastAsia" w:hAnsiTheme="minorEastAsia"/>
        </w:rPr>
        <w:t>于次月前</w:t>
      </w:r>
      <w:r w:rsidRPr="003307CA">
        <w:rPr>
          <w:rFonts w:asciiTheme="minorEastAsia" w:eastAsiaTheme="minorEastAsia" w:hAnsiTheme="minorEastAsia" w:hint="eastAsia"/>
        </w:rPr>
        <w:t>2</w:t>
      </w:r>
      <w:r w:rsidRPr="003307CA">
        <w:rPr>
          <w:rFonts w:asciiTheme="minorEastAsia" w:eastAsiaTheme="minorEastAsia" w:hAnsiTheme="minorEastAsia"/>
        </w:rPr>
        <w:t>个工作日内从基金财产中一次性支取</w:t>
      </w:r>
      <w:r w:rsidRPr="003307CA">
        <w:rPr>
          <w:rFonts w:asciiTheme="minorEastAsia" w:eastAsiaTheme="minorEastAsia" w:hAnsiTheme="minorEastAsia" w:hint="eastAsia"/>
        </w:rPr>
        <w:t>。</w:t>
      </w:r>
      <w:r w:rsidRPr="003307CA">
        <w:rPr>
          <w:rFonts w:asciiTheme="minorEastAsia" w:eastAsiaTheme="minorEastAsia" w:hAnsiTheme="minorEastAsia"/>
        </w:rPr>
        <w:t>若遇法定节假日、</w:t>
      </w:r>
      <w:r w:rsidRPr="003307CA">
        <w:rPr>
          <w:rFonts w:asciiTheme="minorEastAsia" w:eastAsiaTheme="minorEastAsia" w:hAnsiTheme="minorEastAsia" w:hint="eastAsia"/>
        </w:rPr>
        <w:t>公休日</w:t>
      </w:r>
      <w:r w:rsidRPr="003307CA">
        <w:rPr>
          <w:rFonts w:asciiTheme="minorEastAsia" w:eastAsiaTheme="minorEastAsia" w:hAnsiTheme="minorEastAsia"/>
        </w:rPr>
        <w:t>等,支付日期顺延。</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rPr>
        <w:t>上述“</w:t>
      </w:r>
      <w:r w:rsidRPr="003307CA">
        <w:rPr>
          <w:rFonts w:asciiTheme="minorEastAsia" w:eastAsiaTheme="minorEastAsia" w:hAnsiTheme="minorEastAsia" w:hint="eastAsia"/>
        </w:rPr>
        <w:t>1、</w:t>
      </w:r>
      <w:r w:rsidRPr="003307CA">
        <w:rPr>
          <w:rFonts w:asciiTheme="minorEastAsia" w:eastAsiaTheme="minorEastAsia" w:hAnsiTheme="minorEastAsia"/>
        </w:rPr>
        <w:t>基金费用</w:t>
      </w:r>
      <w:r w:rsidRPr="003307CA">
        <w:rPr>
          <w:rFonts w:asciiTheme="minorEastAsia" w:eastAsiaTheme="minorEastAsia" w:hAnsiTheme="minorEastAsia" w:hint="eastAsia"/>
        </w:rPr>
        <w:t>的种类</w:t>
      </w:r>
      <w:r w:rsidRPr="003307CA">
        <w:rPr>
          <w:rFonts w:asciiTheme="minorEastAsia" w:eastAsiaTheme="minorEastAsia" w:hAnsiTheme="minorEastAsia"/>
        </w:rPr>
        <w:t>”中</w:t>
      </w:r>
      <w:r w:rsidR="00117144" w:rsidRPr="003307CA">
        <w:rPr>
          <w:rFonts w:asciiTheme="minorEastAsia" w:eastAsiaTheme="minorEastAsia" w:hAnsiTheme="minorEastAsia"/>
        </w:rPr>
        <w:t>第</w:t>
      </w:r>
      <w:r w:rsidR="006A1D96" w:rsidRPr="003307CA">
        <w:rPr>
          <w:rFonts w:asciiTheme="minorEastAsia" w:eastAsiaTheme="minorEastAsia" w:hAnsiTheme="minorEastAsia" w:hint="eastAsia"/>
        </w:rPr>
        <w:t>（</w:t>
      </w:r>
      <w:r w:rsidR="00117144" w:rsidRPr="003307CA">
        <w:rPr>
          <w:rFonts w:asciiTheme="minorEastAsia" w:eastAsiaTheme="minorEastAsia" w:hAnsiTheme="minorEastAsia" w:hint="eastAsia"/>
        </w:rPr>
        <w:t>3</w:t>
      </w:r>
      <w:r w:rsidRPr="003307CA">
        <w:rPr>
          <w:rFonts w:asciiTheme="minorEastAsia" w:eastAsiaTheme="minorEastAsia" w:hAnsiTheme="minorEastAsia" w:hint="eastAsia"/>
        </w:rPr>
        <w:t>）－</w:t>
      </w:r>
      <w:r w:rsidR="006A1D96" w:rsidRPr="003307CA">
        <w:rPr>
          <w:rFonts w:asciiTheme="minorEastAsia" w:eastAsiaTheme="minorEastAsia" w:hAnsiTheme="minorEastAsia" w:hint="eastAsia"/>
        </w:rPr>
        <w:t>（</w:t>
      </w:r>
      <w:r w:rsidR="00A671D5" w:rsidRPr="003307CA">
        <w:rPr>
          <w:rFonts w:asciiTheme="minorEastAsia" w:eastAsiaTheme="minorEastAsia" w:hAnsiTheme="minorEastAsia" w:hint="eastAsia"/>
        </w:rPr>
        <w:t>11</w:t>
      </w:r>
      <w:r w:rsidRPr="003307CA">
        <w:rPr>
          <w:rFonts w:asciiTheme="minorEastAsia" w:eastAsiaTheme="minorEastAsia" w:hAnsiTheme="minorEastAsia" w:hint="eastAsia"/>
        </w:rPr>
        <w:t>）</w:t>
      </w:r>
      <w:r w:rsidRPr="003307CA">
        <w:rPr>
          <w:rFonts w:asciiTheme="minorEastAsia" w:eastAsiaTheme="minorEastAsia" w:hAnsiTheme="minorEastAsia"/>
        </w:rPr>
        <w:t>项费用</w:t>
      </w:r>
      <w:r w:rsidRPr="003307CA">
        <w:rPr>
          <w:rFonts w:asciiTheme="minorEastAsia" w:eastAsiaTheme="minorEastAsia" w:hAnsiTheme="minorEastAsia" w:hint="eastAsia"/>
        </w:rPr>
        <w:t>，</w:t>
      </w:r>
      <w:r w:rsidRPr="003307CA">
        <w:rPr>
          <w:rFonts w:asciiTheme="minorEastAsia" w:eastAsiaTheme="minorEastAsia" w:hAnsiTheme="minorEastAsia"/>
        </w:rPr>
        <w:t>根据有关法规及相应协议规定</w:t>
      </w:r>
      <w:r w:rsidRPr="003307CA">
        <w:rPr>
          <w:rFonts w:asciiTheme="minorEastAsia" w:eastAsiaTheme="minorEastAsia" w:hAnsiTheme="minorEastAsia" w:hint="eastAsia"/>
        </w:rPr>
        <w:t>，</w:t>
      </w:r>
      <w:r w:rsidRPr="003307CA">
        <w:rPr>
          <w:rFonts w:asciiTheme="minorEastAsia" w:eastAsiaTheme="minorEastAsia" w:hAnsiTheme="minorEastAsia"/>
        </w:rPr>
        <w:t>按费用实际支出金额列入当期费用</w:t>
      </w:r>
      <w:r w:rsidRPr="003307CA">
        <w:rPr>
          <w:rFonts w:asciiTheme="minorEastAsia" w:eastAsiaTheme="minorEastAsia" w:hAnsiTheme="minorEastAsia" w:hint="eastAsia"/>
        </w:rPr>
        <w:t>，</w:t>
      </w:r>
      <w:r w:rsidRPr="003307CA">
        <w:rPr>
          <w:rFonts w:asciiTheme="minorEastAsia" w:eastAsiaTheme="minorEastAsia" w:hAnsiTheme="minorEastAsia"/>
        </w:rPr>
        <w:t>由基金托管人从基金财产中支付。</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不列入基金费用的项目</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下列费用不列入基金费用：</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（1）基金管理人和基金托管人因未履行或未完全履行义务导致的费用支出或基金财产的损失；</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（2）基金管理人和基金托管人处理与基金运作无关的事项发生的费用；</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（3）基金合同生效前的相关费用，包括但不限于验资费、会计师和律师费、信息披露费用等费用；</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（4）其他根据相关法律法规及中国证监会的有关规定不得列入基金费用的项目。</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6A1D96"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基金费用的调整</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基金管理人和基金托管人协商一致后，可根据基金发展情况调整基金管理费率、基金托管费率等相关费率。</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调高基金管理费率和基金托管费率，须召开基金份额持有人大会审议，除非基金合同、相关法律法规或监管机构另有规定；调低基金管理费率和基金托管费率，无须召开基金份额持有人大会。</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基金管理人必须最迟于新的费率实施日前2日在</w:t>
      </w:r>
      <w:r w:rsidR="00BD3F77"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公告。</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70" w:name="_Toc44351107"/>
      <w:r w:rsidRPr="003307CA">
        <w:rPr>
          <w:rFonts w:asciiTheme="minorEastAsia" w:eastAsiaTheme="minorEastAsia" w:hAnsiTheme="minorEastAsia" w:hint="eastAsia"/>
          <w:b w:val="0"/>
        </w:rPr>
        <w:t>二</w:t>
      </w:r>
      <w:r w:rsidR="00E27F93"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与基金销售有关的费用</w:t>
      </w:r>
      <w:bookmarkEnd w:id="170"/>
    </w:p>
    <w:p w:rsidR="0066166E" w:rsidRPr="003307CA" w:rsidRDefault="006A1D96"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1、</w:t>
      </w:r>
      <w:r w:rsidR="0066166E" w:rsidRPr="003307CA">
        <w:rPr>
          <w:rFonts w:asciiTheme="minorEastAsia" w:eastAsiaTheme="minorEastAsia" w:hAnsiTheme="minorEastAsia" w:hint="eastAsia"/>
        </w:rPr>
        <w:t>申购费</w:t>
      </w:r>
    </w:p>
    <w:p w:rsidR="009B4EDA" w:rsidRPr="003307CA" w:rsidRDefault="009B4EDA"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（1）申购费率</w:t>
      </w:r>
    </w:p>
    <w:p w:rsidR="009B4EDA" w:rsidRPr="003307CA" w:rsidRDefault="009B4EDA"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本基金对通过</w:t>
      </w:r>
      <w:r w:rsidR="00764FB0" w:rsidRPr="003307CA">
        <w:rPr>
          <w:rFonts w:asciiTheme="minorEastAsia" w:eastAsiaTheme="minorEastAsia" w:hAnsiTheme="minorEastAsia" w:hint="eastAsia"/>
        </w:rPr>
        <w:t>本</w:t>
      </w:r>
      <w:r w:rsidR="00764FB0" w:rsidRPr="003307CA">
        <w:rPr>
          <w:rFonts w:asciiTheme="minorEastAsia" w:eastAsiaTheme="minorEastAsia" w:hAnsiTheme="minorEastAsia"/>
        </w:rPr>
        <w:t>公司</w:t>
      </w:r>
      <w:r w:rsidRPr="003307CA">
        <w:rPr>
          <w:rFonts w:asciiTheme="minorEastAsia" w:eastAsiaTheme="minorEastAsia" w:hAnsiTheme="minorEastAsia" w:hint="eastAsia"/>
        </w:rPr>
        <w:t>直销中心申购的特定投资群体与除此之外的其他投资者实施差别的申购费率。</w:t>
      </w:r>
    </w:p>
    <w:p w:rsidR="009B4EDA" w:rsidRPr="003307CA" w:rsidRDefault="009B4EDA"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9B4EDA" w:rsidRPr="003307CA" w:rsidRDefault="009B4EDA"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通过基金管理人的直销中心申购本基金的</w:t>
      </w:r>
      <w:r w:rsidRPr="003307CA">
        <w:rPr>
          <w:rFonts w:asciiTheme="minorEastAsia" w:eastAsiaTheme="minorEastAsia" w:hAnsiTheme="minorEastAsia" w:hint="eastAsia"/>
        </w:rPr>
        <w:t>特定投资群体</w:t>
      </w:r>
      <w:r w:rsidRPr="003307CA">
        <w:rPr>
          <w:rFonts w:asciiTheme="minorEastAsia" w:eastAsiaTheme="minorEastAsia" w:hAnsiTheme="minorEastAsia" w:hint="eastAsia"/>
          <w:szCs w:val="21"/>
        </w:rPr>
        <w:t>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338"/>
      </w:tblGrid>
      <w:tr w:rsidR="003307CA" w:rsidRPr="003307CA"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2"/>
              <w:jc w:val="center"/>
              <w:rPr>
                <w:rFonts w:asciiTheme="minorEastAsia" w:eastAsiaTheme="minorEastAsia" w:hAnsiTheme="minorEastAsia" w:cs="宋体"/>
                <w:b/>
                <w:kern w:val="0"/>
                <w:szCs w:val="21"/>
              </w:rPr>
            </w:pPr>
            <w:r w:rsidRPr="003307CA">
              <w:rPr>
                <w:rFonts w:asciiTheme="minorEastAsia" w:eastAsiaTheme="minorEastAsia" w:hAnsiTheme="minorEastAsia" w:cs="宋体" w:hint="eastAsia"/>
                <w:b/>
                <w:kern w:val="0"/>
                <w:szCs w:val="21"/>
              </w:rPr>
              <w:t>申购金额（元）(含申购费)</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2"/>
              <w:jc w:val="center"/>
              <w:rPr>
                <w:rFonts w:asciiTheme="minorEastAsia" w:eastAsiaTheme="minorEastAsia" w:hAnsiTheme="minorEastAsia" w:cs="宋体"/>
                <w:b/>
                <w:kern w:val="0"/>
                <w:szCs w:val="21"/>
              </w:rPr>
            </w:pPr>
            <w:r w:rsidRPr="003307CA">
              <w:rPr>
                <w:rFonts w:asciiTheme="minorEastAsia" w:eastAsiaTheme="minorEastAsia" w:hAnsiTheme="minorEastAsia" w:cs="宋体" w:hint="eastAsia"/>
                <w:b/>
                <w:kern w:val="0"/>
                <w:szCs w:val="21"/>
              </w:rPr>
              <w:t>申购费率</w:t>
            </w:r>
          </w:p>
        </w:tc>
      </w:tr>
      <w:tr w:rsidR="003307CA" w:rsidRPr="003307CA"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100万元以下</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0.16%</w:t>
            </w:r>
          </w:p>
        </w:tc>
      </w:tr>
      <w:tr w:rsidR="003307CA" w:rsidRPr="003307CA"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lastRenderedPageBreak/>
              <w:t>100万元(含)-500万元</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0.12%</w:t>
            </w:r>
          </w:p>
        </w:tc>
      </w:tr>
      <w:tr w:rsidR="003307CA" w:rsidRPr="003307CA"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500万元(含)-1000万元</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0.03%</w:t>
            </w:r>
          </w:p>
        </w:tc>
      </w:tr>
      <w:tr w:rsidR="003307CA" w:rsidRPr="003307CA"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1000万元（含）以上</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3307CA"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每笔1000元</w:t>
            </w:r>
          </w:p>
        </w:tc>
      </w:tr>
    </w:tbl>
    <w:p w:rsidR="0066166E" w:rsidRPr="003307CA" w:rsidRDefault="009B4EDA"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420"/>
      </w:tblGrid>
      <w:tr w:rsidR="006D35EC" w:rsidRPr="003307CA" w:rsidTr="006A1D96">
        <w:trPr>
          <w:jc w:val="center"/>
        </w:trPr>
        <w:tc>
          <w:tcPr>
            <w:tcW w:w="3708" w:type="dxa"/>
            <w:vAlign w:val="center"/>
          </w:tcPr>
          <w:p w:rsidR="0066166E" w:rsidRPr="003307CA" w:rsidRDefault="0066166E" w:rsidP="00CE3F81">
            <w:pPr>
              <w:snapToGrid w:val="0"/>
              <w:spacing w:line="360" w:lineRule="auto"/>
              <w:ind w:firstLineChars="200" w:firstLine="422"/>
              <w:jc w:val="center"/>
              <w:rPr>
                <w:rFonts w:asciiTheme="minorEastAsia" w:eastAsiaTheme="minorEastAsia" w:hAnsiTheme="minorEastAsia"/>
                <w:szCs w:val="21"/>
              </w:rPr>
            </w:pPr>
            <w:r w:rsidRPr="003307CA">
              <w:rPr>
                <w:rFonts w:asciiTheme="minorEastAsia" w:eastAsiaTheme="minorEastAsia" w:hAnsiTheme="minorEastAsia" w:hint="eastAsia"/>
                <w:b/>
                <w:kern w:val="0"/>
                <w:szCs w:val="21"/>
              </w:rPr>
              <w:t>申购金额（元）（含申购费）</w:t>
            </w:r>
          </w:p>
        </w:tc>
        <w:tc>
          <w:tcPr>
            <w:tcW w:w="3420" w:type="dxa"/>
            <w:vAlign w:val="center"/>
          </w:tcPr>
          <w:p w:rsidR="0066166E" w:rsidRPr="003307CA" w:rsidRDefault="0066166E" w:rsidP="00CE3F81">
            <w:pPr>
              <w:snapToGrid w:val="0"/>
              <w:spacing w:line="360" w:lineRule="auto"/>
              <w:ind w:firstLineChars="200" w:firstLine="422"/>
              <w:jc w:val="center"/>
              <w:rPr>
                <w:rFonts w:asciiTheme="minorEastAsia" w:eastAsiaTheme="minorEastAsia" w:hAnsiTheme="minorEastAsia"/>
                <w:szCs w:val="21"/>
              </w:rPr>
            </w:pPr>
            <w:r w:rsidRPr="003307CA">
              <w:rPr>
                <w:rFonts w:asciiTheme="minorEastAsia" w:eastAsiaTheme="minorEastAsia" w:hAnsiTheme="minorEastAsia" w:hint="eastAsia"/>
                <w:b/>
                <w:kern w:val="0"/>
                <w:szCs w:val="21"/>
              </w:rPr>
              <w:t>申购费率</w:t>
            </w:r>
          </w:p>
        </w:tc>
      </w:tr>
      <w:tr w:rsidR="006D35EC" w:rsidRPr="003307CA" w:rsidTr="006A1D96">
        <w:trPr>
          <w:jc w:val="center"/>
        </w:trPr>
        <w:tc>
          <w:tcPr>
            <w:tcW w:w="3708"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100万</w:t>
            </w:r>
            <w:r w:rsidRPr="003307CA">
              <w:rPr>
                <w:rFonts w:asciiTheme="minorEastAsia" w:eastAsiaTheme="minorEastAsia" w:hAnsiTheme="minorEastAsia" w:hint="eastAsia"/>
              </w:rPr>
              <w:t>元</w:t>
            </w:r>
            <w:r w:rsidRPr="003307CA">
              <w:rPr>
                <w:rFonts w:asciiTheme="minorEastAsia" w:eastAsiaTheme="minorEastAsia" w:hAnsiTheme="minorEastAsia"/>
              </w:rPr>
              <w:t>以下</w:t>
            </w:r>
          </w:p>
        </w:tc>
        <w:tc>
          <w:tcPr>
            <w:tcW w:w="3420"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w:t>
            </w:r>
            <w:r w:rsidRPr="003307CA">
              <w:rPr>
                <w:rFonts w:asciiTheme="minorEastAsia" w:eastAsiaTheme="minorEastAsia" w:hAnsiTheme="minorEastAsia" w:hint="eastAsia"/>
              </w:rPr>
              <w:t>.6</w:t>
            </w:r>
            <w:r w:rsidRPr="003307CA">
              <w:rPr>
                <w:rFonts w:asciiTheme="minorEastAsia" w:eastAsiaTheme="minorEastAsia" w:hAnsiTheme="minorEastAsia"/>
              </w:rPr>
              <w:t>%</w:t>
            </w:r>
          </w:p>
        </w:tc>
      </w:tr>
      <w:tr w:rsidR="006D35EC" w:rsidRPr="003307CA" w:rsidTr="006A1D96">
        <w:trPr>
          <w:jc w:val="center"/>
        </w:trPr>
        <w:tc>
          <w:tcPr>
            <w:tcW w:w="3708"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100万</w:t>
            </w:r>
            <w:r w:rsidRPr="003307CA">
              <w:rPr>
                <w:rFonts w:asciiTheme="minorEastAsia" w:eastAsiaTheme="minorEastAsia" w:hAnsiTheme="minorEastAsia" w:hint="eastAsia"/>
              </w:rPr>
              <w:t>元</w:t>
            </w:r>
            <w:r w:rsidRPr="003307CA">
              <w:rPr>
                <w:rFonts w:asciiTheme="minorEastAsia" w:eastAsiaTheme="minorEastAsia" w:hAnsiTheme="minorEastAsia"/>
              </w:rPr>
              <w:t>(含)-</w:t>
            </w:r>
            <w:r w:rsidRPr="003307CA">
              <w:rPr>
                <w:rFonts w:asciiTheme="minorEastAsia" w:eastAsiaTheme="minorEastAsia" w:hAnsiTheme="minorEastAsia" w:hint="eastAsia"/>
              </w:rPr>
              <w:t>5</w:t>
            </w:r>
            <w:r w:rsidRPr="003307CA">
              <w:rPr>
                <w:rFonts w:asciiTheme="minorEastAsia" w:eastAsiaTheme="minorEastAsia" w:hAnsiTheme="minorEastAsia"/>
              </w:rPr>
              <w:t>00万</w:t>
            </w:r>
            <w:r w:rsidRPr="003307CA">
              <w:rPr>
                <w:rFonts w:asciiTheme="minorEastAsia" w:eastAsiaTheme="minorEastAsia" w:hAnsiTheme="minorEastAsia" w:hint="eastAsia"/>
              </w:rPr>
              <w:t>元</w:t>
            </w:r>
          </w:p>
        </w:tc>
        <w:tc>
          <w:tcPr>
            <w:tcW w:w="3420"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rPr>
              <w:t>1.2%</w:t>
            </w:r>
          </w:p>
        </w:tc>
      </w:tr>
      <w:tr w:rsidR="006D35EC" w:rsidRPr="003307CA" w:rsidTr="006A1D96">
        <w:trPr>
          <w:jc w:val="center"/>
        </w:trPr>
        <w:tc>
          <w:tcPr>
            <w:tcW w:w="3708"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rPr>
              <w:t>00万</w:t>
            </w:r>
            <w:r w:rsidRPr="003307CA">
              <w:rPr>
                <w:rFonts w:asciiTheme="minorEastAsia" w:eastAsiaTheme="minorEastAsia" w:hAnsiTheme="minorEastAsia" w:hint="eastAsia"/>
              </w:rPr>
              <w:t>元</w:t>
            </w:r>
            <w:r w:rsidRPr="003307CA">
              <w:rPr>
                <w:rFonts w:asciiTheme="minorEastAsia" w:eastAsiaTheme="minorEastAsia" w:hAnsiTheme="minorEastAsia"/>
              </w:rPr>
              <w:t>(含)-</w:t>
            </w:r>
            <w:r w:rsidRPr="003307CA">
              <w:rPr>
                <w:rFonts w:asciiTheme="minorEastAsia" w:eastAsiaTheme="minorEastAsia" w:hAnsiTheme="minorEastAsia" w:hint="eastAsia"/>
              </w:rPr>
              <w:t>10</w:t>
            </w:r>
            <w:r w:rsidRPr="003307CA">
              <w:rPr>
                <w:rFonts w:asciiTheme="minorEastAsia" w:eastAsiaTheme="minorEastAsia" w:hAnsiTheme="minorEastAsia"/>
              </w:rPr>
              <w:t>00万</w:t>
            </w:r>
            <w:r w:rsidRPr="003307CA">
              <w:rPr>
                <w:rFonts w:asciiTheme="minorEastAsia" w:eastAsiaTheme="minorEastAsia" w:hAnsiTheme="minorEastAsia" w:hint="eastAsia"/>
              </w:rPr>
              <w:t>元</w:t>
            </w:r>
          </w:p>
        </w:tc>
        <w:tc>
          <w:tcPr>
            <w:tcW w:w="3420"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rPr>
              <w:t>0.3%</w:t>
            </w:r>
          </w:p>
        </w:tc>
      </w:tr>
      <w:tr w:rsidR="006D35EC" w:rsidRPr="003307CA" w:rsidTr="006A1D96">
        <w:trPr>
          <w:jc w:val="center"/>
        </w:trPr>
        <w:tc>
          <w:tcPr>
            <w:tcW w:w="3708"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rPr>
              <w:t>10</w:t>
            </w:r>
            <w:r w:rsidRPr="003307CA">
              <w:rPr>
                <w:rFonts w:asciiTheme="minorEastAsia" w:eastAsiaTheme="minorEastAsia" w:hAnsiTheme="minorEastAsia"/>
              </w:rPr>
              <w:t>00万</w:t>
            </w:r>
            <w:r w:rsidRPr="003307CA">
              <w:rPr>
                <w:rFonts w:asciiTheme="minorEastAsia" w:eastAsiaTheme="minorEastAsia" w:hAnsiTheme="minorEastAsia" w:hint="eastAsia"/>
              </w:rPr>
              <w:t>元</w:t>
            </w:r>
            <w:r w:rsidRPr="003307CA">
              <w:rPr>
                <w:rFonts w:asciiTheme="minorEastAsia" w:eastAsiaTheme="minorEastAsia" w:hAnsiTheme="minorEastAsia"/>
              </w:rPr>
              <w:t>（含）以上</w:t>
            </w:r>
          </w:p>
        </w:tc>
        <w:tc>
          <w:tcPr>
            <w:tcW w:w="3420" w:type="dxa"/>
            <w:vAlign w:val="center"/>
          </w:tcPr>
          <w:p w:rsidR="00743A93" w:rsidRPr="003307CA" w:rsidRDefault="00743A93" w:rsidP="00CE3F81">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rPr>
              <w:t>每笔1000元</w:t>
            </w:r>
          </w:p>
        </w:tc>
      </w:tr>
    </w:tbl>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（2）申购费的收取方式和用途</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在申购费按金额分档的情况下，如果投资者多次申购，申购费适用单笔申购金额所对应的费率。</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rPr>
        <w:t>申购费用</w:t>
      </w:r>
      <w:r w:rsidRPr="003307CA">
        <w:rPr>
          <w:rFonts w:asciiTheme="minorEastAsia" w:eastAsiaTheme="minorEastAsia" w:hAnsiTheme="minorEastAsia" w:hint="eastAsia"/>
        </w:rPr>
        <w:t>由申购基金份额的基金投资人承担，不列入基金财产，</w:t>
      </w:r>
      <w:r w:rsidRPr="003307CA">
        <w:rPr>
          <w:rFonts w:asciiTheme="minorEastAsia" w:eastAsiaTheme="minorEastAsia" w:hAnsiTheme="minorEastAsia"/>
        </w:rPr>
        <w:t>用于本基金的市场推广、销售、注册登记等各项费用。</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（3）申购份额的计算方式</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本基金的申购金额包括申购费用和净申购金额，其中：</w:t>
      </w:r>
    </w:p>
    <w:p w:rsidR="0066166E" w:rsidRPr="003307CA" w:rsidRDefault="0066166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净申购金额=申购金额/（1+申购费率）</w:t>
      </w:r>
    </w:p>
    <w:p w:rsidR="0066166E" w:rsidRPr="003307CA" w:rsidRDefault="0066166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申购费用=申购金额-净申购金额</w:t>
      </w:r>
    </w:p>
    <w:p w:rsidR="0066166E" w:rsidRPr="003307CA" w:rsidRDefault="0066166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申购份额=净申购金额/申购当日基金份额净值</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szCs w:val="21"/>
        </w:rPr>
        <w:t>对于1000万元</w:t>
      </w:r>
      <w:r w:rsidRPr="003307CA">
        <w:rPr>
          <w:rFonts w:asciiTheme="minorEastAsia" w:eastAsiaTheme="minorEastAsia" w:hAnsiTheme="minorEastAsia" w:hint="eastAsia"/>
        </w:rPr>
        <w:t>（含）以上的申购，净申购金额=</w:t>
      </w:r>
      <w:r w:rsidRPr="003307CA">
        <w:rPr>
          <w:rFonts w:asciiTheme="minorEastAsia" w:eastAsiaTheme="minorEastAsia" w:hAnsiTheme="minorEastAsia" w:hint="eastAsia"/>
          <w:szCs w:val="21"/>
        </w:rPr>
        <w:t>申</w:t>
      </w:r>
      <w:r w:rsidRPr="003307CA">
        <w:rPr>
          <w:rFonts w:asciiTheme="minorEastAsia" w:eastAsiaTheme="minorEastAsia" w:hAnsiTheme="minorEastAsia" w:hint="eastAsia"/>
        </w:rPr>
        <w:t>购金额-绝对数额的</w:t>
      </w:r>
      <w:r w:rsidRPr="003307CA">
        <w:rPr>
          <w:rFonts w:asciiTheme="minorEastAsia" w:eastAsiaTheme="minorEastAsia" w:hAnsiTheme="minorEastAsia" w:hint="eastAsia"/>
          <w:szCs w:val="21"/>
        </w:rPr>
        <w:t>申</w:t>
      </w:r>
      <w:r w:rsidRPr="003307CA">
        <w:rPr>
          <w:rFonts w:asciiTheme="minorEastAsia" w:eastAsiaTheme="minorEastAsia" w:hAnsiTheme="minorEastAsia" w:hint="eastAsia"/>
        </w:rPr>
        <w:t>购费金额</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申购费用以人民币元为单位，四舍五入，保留至小数点后二位；申购份数采取四舍五入的方法保留小数点后二位，由此产生的误差计入基金财产。</w:t>
      </w:r>
    </w:p>
    <w:p w:rsidR="0066166E" w:rsidRPr="003307CA" w:rsidRDefault="006A1D96"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2、</w:t>
      </w:r>
      <w:r w:rsidR="0066166E" w:rsidRPr="003307CA">
        <w:rPr>
          <w:rFonts w:asciiTheme="minorEastAsia" w:eastAsiaTheme="minorEastAsia" w:hAnsiTheme="minorEastAsia" w:hint="eastAsia"/>
        </w:rPr>
        <w:t>赎回费</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rPr>
        <w:t>赎回</w:t>
      </w:r>
      <w:r w:rsidRPr="003307CA">
        <w:rPr>
          <w:rFonts w:asciiTheme="minorEastAsia" w:eastAsiaTheme="minorEastAsia" w:hAnsiTheme="minorEastAsia" w:hint="eastAsia"/>
        </w:rPr>
        <w:t>费率为</w:t>
      </w:r>
      <w:r w:rsidRPr="003307CA">
        <w:rPr>
          <w:rFonts w:asciiTheme="minorEastAsia" w:eastAsiaTheme="minorEastAsia" w:hAnsiTheme="minor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6D35EC" w:rsidRPr="003307CA" w:rsidTr="006A1D96">
        <w:trPr>
          <w:jc w:val="center"/>
        </w:trPr>
        <w:tc>
          <w:tcPr>
            <w:tcW w:w="3543" w:type="dxa"/>
            <w:vAlign w:val="center"/>
          </w:tcPr>
          <w:p w:rsidR="0066166E" w:rsidRPr="003307CA" w:rsidRDefault="0066166E" w:rsidP="00CE3F81">
            <w:pPr>
              <w:widowControl/>
              <w:snapToGrid w:val="0"/>
              <w:spacing w:line="360" w:lineRule="auto"/>
              <w:ind w:firstLineChars="200" w:firstLine="422"/>
              <w:jc w:val="center"/>
              <w:rPr>
                <w:rFonts w:asciiTheme="minorEastAsia" w:eastAsiaTheme="minorEastAsia" w:hAnsiTheme="minorEastAsia" w:cs="宋体"/>
                <w:kern w:val="0"/>
                <w:szCs w:val="21"/>
              </w:rPr>
            </w:pPr>
            <w:r w:rsidRPr="003307CA">
              <w:rPr>
                <w:rFonts w:asciiTheme="minorEastAsia" w:eastAsiaTheme="minorEastAsia" w:hAnsiTheme="minorEastAsia" w:hint="eastAsia"/>
                <w:b/>
                <w:kern w:val="0"/>
                <w:szCs w:val="21"/>
              </w:rPr>
              <w:t>持有时间（天）</w:t>
            </w:r>
          </w:p>
        </w:tc>
        <w:tc>
          <w:tcPr>
            <w:tcW w:w="3585" w:type="dxa"/>
            <w:vAlign w:val="center"/>
          </w:tcPr>
          <w:p w:rsidR="0066166E" w:rsidRPr="003307CA" w:rsidRDefault="0066166E" w:rsidP="00CE3F81">
            <w:pPr>
              <w:widowControl/>
              <w:snapToGrid w:val="0"/>
              <w:spacing w:line="360" w:lineRule="auto"/>
              <w:ind w:firstLineChars="200" w:firstLine="422"/>
              <w:jc w:val="center"/>
              <w:rPr>
                <w:rFonts w:asciiTheme="minorEastAsia" w:eastAsiaTheme="minorEastAsia" w:hAnsiTheme="minorEastAsia" w:cs="宋体"/>
                <w:kern w:val="0"/>
                <w:szCs w:val="21"/>
              </w:rPr>
            </w:pPr>
            <w:r w:rsidRPr="003307CA">
              <w:rPr>
                <w:rFonts w:asciiTheme="minorEastAsia" w:eastAsiaTheme="minorEastAsia" w:hAnsiTheme="minorEastAsia" w:hint="eastAsia"/>
                <w:b/>
                <w:kern w:val="0"/>
                <w:szCs w:val="21"/>
              </w:rPr>
              <w:t>赎回费率</w:t>
            </w:r>
          </w:p>
        </w:tc>
      </w:tr>
      <w:tr w:rsidR="006D35EC" w:rsidRPr="003307CA" w:rsidTr="001223DA">
        <w:trPr>
          <w:jc w:val="center"/>
        </w:trPr>
        <w:tc>
          <w:tcPr>
            <w:tcW w:w="3543" w:type="dxa"/>
          </w:tcPr>
          <w:p w:rsidR="005A6383" w:rsidRPr="003307CA" w:rsidRDefault="005A6383" w:rsidP="005A6383">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szCs w:val="21"/>
              </w:rPr>
              <w:t>0-6</w:t>
            </w:r>
          </w:p>
        </w:tc>
        <w:tc>
          <w:tcPr>
            <w:tcW w:w="3585" w:type="dxa"/>
          </w:tcPr>
          <w:p w:rsidR="005A6383" w:rsidRPr="003307CA" w:rsidRDefault="005A6383" w:rsidP="005A6383">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hint="eastAsia"/>
                <w:szCs w:val="21"/>
              </w:rPr>
              <w:t>1.5</w:t>
            </w:r>
            <w:r w:rsidRPr="003307CA">
              <w:rPr>
                <w:rFonts w:asciiTheme="minorEastAsia" w:eastAsiaTheme="minorEastAsia" w:hAnsiTheme="minorEastAsia"/>
                <w:szCs w:val="21"/>
              </w:rPr>
              <w:t>%</w:t>
            </w:r>
          </w:p>
        </w:tc>
      </w:tr>
      <w:tr w:rsidR="006D35EC" w:rsidRPr="003307CA" w:rsidTr="001223DA">
        <w:trPr>
          <w:jc w:val="center"/>
        </w:trPr>
        <w:tc>
          <w:tcPr>
            <w:tcW w:w="3543" w:type="dxa"/>
          </w:tcPr>
          <w:p w:rsidR="009C7732" w:rsidRPr="003307CA" w:rsidRDefault="009C7732" w:rsidP="009C7732">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kern w:val="0"/>
                <w:szCs w:val="21"/>
              </w:rPr>
              <w:t>7-364</w:t>
            </w:r>
          </w:p>
        </w:tc>
        <w:tc>
          <w:tcPr>
            <w:tcW w:w="3585" w:type="dxa"/>
            <w:vAlign w:val="center"/>
          </w:tcPr>
          <w:p w:rsidR="009C7732" w:rsidRPr="003307CA" w:rsidRDefault="009C7732" w:rsidP="009C7732">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0.5%</w:t>
            </w:r>
          </w:p>
        </w:tc>
      </w:tr>
      <w:tr w:rsidR="006D35EC" w:rsidRPr="003307CA" w:rsidTr="001223DA">
        <w:trPr>
          <w:jc w:val="center"/>
        </w:trPr>
        <w:tc>
          <w:tcPr>
            <w:tcW w:w="3543" w:type="dxa"/>
          </w:tcPr>
          <w:p w:rsidR="009C7732" w:rsidRPr="003307CA" w:rsidRDefault="009C7732" w:rsidP="009C7732">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kern w:val="0"/>
                <w:szCs w:val="21"/>
              </w:rPr>
              <w:t>365-729</w:t>
            </w:r>
          </w:p>
        </w:tc>
        <w:tc>
          <w:tcPr>
            <w:tcW w:w="3585" w:type="dxa"/>
            <w:vAlign w:val="center"/>
          </w:tcPr>
          <w:p w:rsidR="009C7732" w:rsidRPr="003307CA" w:rsidRDefault="009C7732" w:rsidP="009C7732">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0.</w:t>
            </w:r>
            <w:r w:rsidRPr="003307CA">
              <w:rPr>
                <w:rFonts w:asciiTheme="minorEastAsia" w:eastAsiaTheme="minorEastAsia" w:hAnsiTheme="minorEastAsia" w:hint="eastAsia"/>
              </w:rPr>
              <w:t>3</w:t>
            </w:r>
            <w:r w:rsidRPr="003307CA">
              <w:rPr>
                <w:rFonts w:asciiTheme="minorEastAsia" w:eastAsiaTheme="minorEastAsia" w:hAnsiTheme="minorEastAsia"/>
              </w:rPr>
              <w:t>%</w:t>
            </w:r>
          </w:p>
        </w:tc>
      </w:tr>
      <w:tr w:rsidR="006D35EC" w:rsidRPr="003307CA" w:rsidTr="001223DA">
        <w:trPr>
          <w:jc w:val="center"/>
        </w:trPr>
        <w:tc>
          <w:tcPr>
            <w:tcW w:w="3543" w:type="dxa"/>
          </w:tcPr>
          <w:p w:rsidR="009C7732" w:rsidRPr="003307CA" w:rsidRDefault="009C7732" w:rsidP="009C7732">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kern w:val="0"/>
                <w:szCs w:val="21"/>
              </w:rPr>
              <w:t>730及以上</w:t>
            </w:r>
          </w:p>
        </w:tc>
        <w:tc>
          <w:tcPr>
            <w:tcW w:w="3585" w:type="dxa"/>
            <w:vAlign w:val="center"/>
          </w:tcPr>
          <w:p w:rsidR="009C7732" w:rsidRPr="003307CA" w:rsidRDefault="009C7732" w:rsidP="009C7732">
            <w:pPr>
              <w:snapToGrid w:val="0"/>
              <w:spacing w:line="360" w:lineRule="auto"/>
              <w:ind w:firstLineChars="200" w:firstLine="420"/>
              <w:jc w:val="center"/>
              <w:rPr>
                <w:rFonts w:asciiTheme="minorEastAsia" w:eastAsiaTheme="minorEastAsia" w:hAnsiTheme="minorEastAsia"/>
              </w:rPr>
            </w:pPr>
            <w:r w:rsidRPr="003307CA">
              <w:rPr>
                <w:rFonts w:asciiTheme="minorEastAsia" w:eastAsiaTheme="minorEastAsia" w:hAnsiTheme="minorEastAsia"/>
              </w:rPr>
              <w:t>0%</w:t>
            </w:r>
          </w:p>
        </w:tc>
      </w:tr>
    </w:tbl>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（2）赎回费的收取和用途</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本基金的赎回费由赎回人承担，在基金份额持有人赎回基金份额时收取，</w:t>
      </w:r>
      <w:r w:rsidR="005A6383" w:rsidRPr="003307CA">
        <w:rPr>
          <w:rFonts w:asciiTheme="minorEastAsia" w:eastAsiaTheme="minorEastAsia" w:hAnsiTheme="minorEastAsia" w:hint="eastAsia"/>
          <w:szCs w:val="21"/>
        </w:rPr>
        <w:t>对持有期少于</w:t>
      </w:r>
      <w:r w:rsidR="005A6383" w:rsidRPr="003307CA">
        <w:rPr>
          <w:rFonts w:asciiTheme="minorEastAsia" w:eastAsiaTheme="minorEastAsia" w:hAnsiTheme="minorEastAsia"/>
          <w:szCs w:val="21"/>
        </w:rPr>
        <w:t>7</w:t>
      </w:r>
      <w:r w:rsidR="005A6383" w:rsidRPr="003307CA">
        <w:rPr>
          <w:rFonts w:asciiTheme="minorEastAsia" w:eastAsiaTheme="minorEastAsia" w:hAnsiTheme="minorEastAsia" w:hint="eastAsia"/>
          <w:szCs w:val="21"/>
        </w:rPr>
        <w:t>天（不含）的基金份额持有人所收取赎回费用全额计入基金财产；对持有期在</w:t>
      </w:r>
      <w:r w:rsidR="005A6383" w:rsidRPr="003307CA">
        <w:rPr>
          <w:rFonts w:asciiTheme="minorEastAsia" w:eastAsiaTheme="minorEastAsia" w:hAnsiTheme="minorEastAsia"/>
          <w:szCs w:val="21"/>
        </w:rPr>
        <w:t>7</w:t>
      </w:r>
      <w:r w:rsidR="005A6383" w:rsidRPr="003307CA">
        <w:rPr>
          <w:rFonts w:asciiTheme="minorEastAsia" w:eastAsiaTheme="minorEastAsia" w:hAnsiTheme="minorEastAsia" w:hint="eastAsia"/>
          <w:szCs w:val="21"/>
        </w:rPr>
        <w:t>天以上（含）的基金份额持有人</w:t>
      </w:r>
      <w:r w:rsidRPr="003307CA">
        <w:rPr>
          <w:rFonts w:asciiTheme="minorEastAsia" w:eastAsiaTheme="minorEastAsia" w:hAnsiTheme="minorEastAsia" w:hint="eastAsia"/>
        </w:rPr>
        <w:t>所收</w:t>
      </w:r>
      <w:r w:rsidRPr="003307CA">
        <w:rPr>
          <w:rFonts w:asciiTheme="minorEastAsia" w:eastAsiaTheme="minorEastAsia" w:hAnsiTheme="minorEastAsia"/>
        </w:rPr>
        <w:t>赎回费总额的25%归基金财产，</w:t>
      </w:r>
      <w:r w:rsidRPr="003307CA">
        <w:rPr>
          <w:rFonts w:asciiTheme="minorEastAsia" w:eastAsiaTheme="minorEastAsia" w:hAnsiTheme="minorEastAsia" w:hint="eastAsia"/>
        </w:rPr>
        <w:t>其余</w:t>
      </w:r>
      <w:r w:rsidRPr="003307CA">
        <w:rPr>
          <w:rFonts w:asciiTheme="minorEastAsia" w:eastAsiaTheme="minorEastAsia" w:hAnsiTheme="minorEastAsia"/>
        </w:rPr>
        <w:t>用于支付注册登记费和其他必要的手续费</w:t>
      </w:r>
      <w:r w:rsidRPr="003307CA">
        <w:rPr>
          <w:rFonts w:asciiTheme="minorEastAsia" w:eastAsiaTheme="minorEastAsia" w:hAnsiTheme="minorEastAsia" w:hint="eastAsia"/>
        </w:rPr>
        <w:t>。</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lastRenderedPageBreak/>
        <w:t>（3）基金赎回金额的计算方式</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本基金的赎回金额为赎回总额扣减赎回费用，其中：</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赎回总额=赎回数量</w:t>
      </w:r>
      <w:r w:rsidRPr="003307CA">
        <w:rPr>
          <w:rFonts w:asciiTheme="minorEastAsia" w:eastAsiaTheme="minorEastAsia" w:hAnsiTheme="minorEastAsia" w:hint="eastAsia"/>
        </w:rPr>
        <w:sym w:font="Symbol" w:char="F0B4"/>
      </w:r>
      <w:r w:rsidRPr="003307CA">
        <w:rPr>
          <w:rFonts w:asciiTheme="minorEastAsia" w:eastAsiaTheme="minorEastAsia" w:hAnsiTheme="minorEastAsia" w:hint="eastAsia"/>
        </w:rPr>
        <w:t>T日基金份额净值</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赎回费用=赎回总额</w:t>
      </w:r>
      <w:r w:rsidRPr="003307CA">
        <w:rPr>
          <w:rFonts w:asciiTheme="minorEastAsia" w:eastAsiaTheme="minorEastAsia" w:hAnsiTheme="minorEastAsia" w:hint="eastAsia"/>
        </w:rPr>
        <w:sym w:font="Symbol" w:char="F0B4"/>
      </w:r>
      <w:r w:rsidRPr="003307CA">
        <w:rPr>
          <w:rFonts w:asciiTheme="minorEastAsia" w:eastAsiaTheme="minorEastAsia" w:hAnsiTheme="minorEastAsia" w:hint="eastAsia"/>
        </w:rPr>
        <w:t>赎回费率</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赎回金额=赎回总额</w:t>
      </w:r>
      <w:r w:rsidRPr="003307CA">
        <w:rPr>
          <w:rFonts w:asciiTheme="minorEastAsia" w:eastAsiaTheme="minorEastAsia" w:hAnsiTheme="minorEastAsia" w:hint="eastAsia"/>
        </w:rPr>
        <w:sym w:font="Symbol" w:char="F02D"/>
      </w:r>
      <w:r w:rsidRPr="003307CA">
        <w:rPr>
          <w:rFonts w:asciiTheme="minorEastAsia" w:eastAsiaTheme="minorEastAsia" w:hAnsiTheme="minorEastAsia" w:hint="eastAsia"/>
        </w:rPr>
        <w:t>赎回费用</w:t>
      </w:r>
    </w:p>
    <w:p w:rsidR="0066166E" w:rsidRPr="003307CA"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赎回金额、赎回费用以人民币元为单位，四舍五入，保留小数点后两位，由此产生的误差计入基金财产</w:t>
      </w:r>
      <w:r w:rsidRPr="003307CA">
        <w:rPr>
          <w:rFonts w:asciiTheme="minorEastAsia" w:eastAsiaTheme="minorEastAsia" w:hAnsiTheme="minorEastAsia"/>
        </w:rPr>
        <w:t>。</w:t>
      </w:r>
    </w:p>
    <w:p w:rsidR="00A81677" w:rsidRPr="003307CA" w:rsidRDefault="00A8167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F96D95" w:rsidRPr="003307CA">
        <w:rPr>
          <w:rFonts w:asciiTheme="minorEastAsia" w:eastAsiaTheme="minorEastAsia" w:hAnsiTheme="minorEastAsia" w:hint="eastAsia"/>
        </w:rPr>
        <w:t>、</w:t>
      </w:r>
      <w:r w:rsidR="006C08E8" w:rsidRPr="003307CA">
        <w:rPr>
          <w:rFonts w:asciiTheme="minorEastAsia" w:eastAsiaTheme="minorEastAsia" w:hAnsiTheme="minorEastAsia" w:hint="eastAsia"/>
          <w:szCs w:val="21"/>
        </w:rPr>
        <w:t>转换费，基金转换费用由转出基金赎回费用和基金申购补差费用构成，其中转出基金赎回费按照</w:t>
      </w:r>
      <w:r w:rsidR="00764FB0" w:rsidRPr="003307CA">
        <w:rPr>
          <w:rFonts w:asciiTheme="minorEastAsia" w:eastAsiaTheme="minorEastAsia" w:hAnsiTheme="minorEastAsia" w:hint="eastAsia"/>
          <w:szCs w:val="21"/>
        </w:rPr>
        <w:t>各</w:t>
      </w:r>
      <w:r w:rsidR="00764FB0" w:rsidRPr="003307CA">
        <w:rPr>
          <w:rFonts w:asciiTheme="minorEastAsia" w:eastAsiaTheme="minorEastAsia" w:hAnsiTheme="minorEastAsia"/>
          <w:szCs w:val="21"/>
        </w:rPr>
        <w:t>基金的</w:t>
      </w:r>
      <w:r w:rsidR="006C08E8" w:rsidRPr="003307CA">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006C08E8" w:rsidRPr="003307CA">
        <w:rPr>
          <w:rFonts w:asciiTheme="minorEastAsia" w:eastAsiaTheme="minorEastAsia" w:hAnsiTheme="minorEastAsia" w:hint="eastAsia"/>
        </w:rPr>
        <w:t>基金转换费率详见相关公告。</w:t>
      </w:r>
      <w:r w:rsidR="006C08E8" w:rsidRPr="003307CA">
        <w:rPr>
          <w:rFonts w:asciiTheme="minorEastAsia" w:eastAsiaTheme="minorEastAsia" w:hAnsiTheme="minorEastAsia" w:hint="eastAsia"/>
          <w:szCs w:val="21"/>
        </w:rPr>
        <w:t>转换费用以人民币元为单位，计算结果按照四舍五入方法，保留小数点后两位</w:t>
      </w:r>
      <w:r w:rsidR="006C08E8" w:rsidRPr="003307CA">
        <w:rPr>
          <w:rFonts w:asciiTheme="minorEastAsia" w:eastAsiaTheme="minorEastAsia" w:hAnsiTheme="minorEastAsia" w:hint="eastAsia"/>
        </w:rPr>
        <w:t>。</w:t>
      </w:r>
    </w:p>
    <w:p w:rsidR="0066166E" w:rsidRPr="003307CA" w:rsidRDefault="00A8167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6A1D96" w:rsidRPr="003307CA">
        <w:rPr>
          <w:rFonts w:asciiTheme="minorEastAsia" w:eastAsiaTheme="minorEastAsia" w:hAnsiTheme="minorEastAsia" w:hint="eastAsia"/>
        </w:rPr>
        <w:t>、</w:t>
      </w:r>
      <w:r w:rsidR="0066166E" w:rsidRPr="003307CA">
        <w:rPr>
          <w:rFonts w:asciiTheme="minorEastAsia" w:eastAsiaTheme="minorEastAsia" w:hAnsiTheme="minorEastAsia" w:hint="eastAsia"/>
        </w:rPr>
        <w:t>投资者通过本公司网上交易系统（www.efunds.com.cn）进行申购、赎回的交易费率，请具体参照我公司网站上的相关说明。</w:t>
      </w:r>
    </w:p>
    <w:p w:rsidR="0066166E" w:rsidRPr="003307CA" w:rsidRDefault="00A8167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006A1D96" w:rsidRPr="003307CA">
        <w:rPr>
          <w:rFonts w:asciiTheme="minorEastAsia" w:eastAsiaTheme="minorEastAsia" w:hAnsiTheme="minorEastAsia" w:hint="eastAsia"/>
        </w:rPr>
        <w:t>、</w:t>
      </w:r>
      <w:r w:rsidR="0066166E" w:rsidRPr="003307CA">
        <w:rPr>
          <w:rFonts w:asciiTheme="minorEastAsia" w:eastAsiaTheme="minorEastAsia" w:hAnsiTheme="minorEastAsia"/>
        </w:rPr>
        <w:t>基金管理人可以在基金合同规定的范围内调整</w:t>
      </w:r>
      <w:r w:rsidR="0066166E" w:rsidRPr="003307CA">
        <w:rPr>
          <w:rFonts w:asciiTheme="minorEastAsia" w:eastAsiaTheme="minorEastAsia" w:hAnsiTheme="minorEastAsia" w:hint="eastAsia"/>
        </w:rPr>
        <w:t>上述</w:t>
      </w:r>
      <w:r w:rsidR="0066166E" w:rsidRPr="003307CA">
        <w:rPr>
          <w:rFonts w:asciiTheme="minorEastAsia" w:eastAsiaTheme="minorEastAsia" w:hAnsiTheme="minorEastAsia"/>
        </w:rPr>
        <w:t>费率</w:t>
      </w:r>
      <w:r w:rsidR="0066166E" w:rsidRPr="003307CA">
        <w:rPr>
          <w:rFonts w:asciiTheme="minorEastAsia" w:eastAsiaTheme="minorEastAsia" w:hAnsiTheme="minorEastAsia" w:hint="eastAsia"/>
        </w:rPr>
        <w:t>。</w:t>
      </w:r>
      <w:r w:rsidR="0066166E" w:rsidRPr="003307CA">
        <w:rPr>
          <w:rFonts w:asciiTheme="minorEastAsia" w:eastAsiaTheme="minorEastAsia" w:hAnsiTheme="minorEastAsia"/>
        </w:rPr>
        <w:t>上述费率如发生变更，基金管理人应</w:t>
      </w:r>
      <w:r w:rsidR="0066166E" w:rsidRPr="003307CA">
        <w:rPr>
          <w:rFonts w:asciiTheme="minorEastAsia" w:eastAsiaTheme="minorEastAsia" w:hAnsiTheme="minorEastAsia" w:hint="eastAsia"/>
        </w:rPr>
        <w:t>按照《信息披露办法》或其他相关规定</w:t>
      </w:r>
      <w:r w:rsidR="0066166E" w:rsidRPr="003307CA">
        <w:rPr>
          <w:rFonts w:asciiTheme="minorEastAsia" w:eastAsiaTheme="minorEastAsia" w:hAnsiTheme="minorEastAsia"/>
        </w:rPr>
        <w:t>于新的费率实施前在</w:t>
      </w:r>
      <w:r w:rsidR="00BD3F77" w:rsidRPr="003307CA">
        <w:rPr>
          <w:rFonts w:asciiTheme="minorEastAsia" w:eastAsiaTheme="minorEastAsia" w:hAnsiTheme="minorEastAsia" w:hint="eastAsia"/>
        </w:rPr>
        <w:t>指定媒介</w:t>
      </w:r>
      <w:r w:rsidR="0066166E" w:rsidRPr="003307CA">
        <w:rPr>
          <w:rFonts w:asciiTheme="minorEastAsia" w:eastAsiaTheme="minorEastAsia" w:hAnsiTheme="minorEastAsia"/>
        </w:rPr>
        <w:t>公告。</w:t>
      </w:r>
    </w:p>
    <w:p w:rsidR="0016507D" w:rsidRPr="003307CA" w:rsidRDefault="00A8167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006A1D96" w:rsidRPr="003307CA">
        <w:rPr>
          <w:rFonts w:asciiTheme="minorEastAsia" w:eastAsiaTheme="minorEastAsia" w:hAnsiTheme="minorEastAsia" w:hint="eastAsia"/>
        </w:rPr>
        <w:t>、</w:t>
      </w:r>
      <w:r w:rsidR="00E27BC1" w:rsidRPr="003307CA">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64594E" w:rsidRPr="003307CA"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71" w:name="_Toc84149673"/>
      <w:bookmarkStart w:id="172" w:name="_Toc86584637"/>
      <w:bookmarkStart w:id="173" w:name="_Toc44351108"/>
      <w:r w:rsidRPr="003307CA">
        <w:rPr>
          <w:rFonts w:asciiTheme="minorEastAsia" w:eastAsiaTheme="minorEastAsia" w:hAnsiTheme="minorEastAsia" w:hint="eastAsia"/>
          <w:b w:val="0"/>
        </w:rPr>
        <w:t>三</w:t>
      </w:r>
      <w:r w:rsidR="00E27F93" w:rsidRPr="003307CA">
        <w:rPr>
          <w:rFonts w:asciiTheme="minorEastAsia" w:eastAsiaTheme="minorEastAsia" w:hAnsiTheme="minorEastAsia" w:hint="eastAsia"/>
          <w:b w:val="0"/>
        </w:rPr>
        <w:t>、</w:t>
      </w:r>
      <w:r w:rsidRPr="003307CA">
        <w:rPr>
          <w:rFonts w:asciiTheme="minorEastAsia" w:eastAsiaTheme="minorEastAsia" w:hAnsiTheme="minorEastAsia" w:hint="eastAsia"/>
          <w:b w:val="0"/>
        </w:rPr>
        <w:t>基金税收</w:t>
      </w:r>
      <w:bookmarkEnd w:id="171"/>
      <w:bookmarkEnd w:id="172"/>
      <w:bookmarkEnd w:id="173"/>
    </w:p>
    <w:p w:rsidR="0064594E" w:rsidRPr="003307CA" w:rsidRDefault="00CA2929"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本基金运作过程中涉及的各纳税主体，其纳税义务按各个国家税收法律、法规执行。</w:t>
      </w:r>
    </w:p>
    <w:bookmarkEnd w:id="165"/>
    <w:p w:rsidR="0039181F" w:rsidRPr="003307CA" w:rsidRDefault="0064594E"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r w:rsidRPr="003307CA">
        <w:rPr>
          <w:rFonts w:asciiTheme="minorEastAsia" w:eastAsiaTheme="minorEastAsia" w:hAnsiTheme="minorEastAsia"/>
          <w:bCs/>
        </w:rPr>
        <w:br w:type="page"/>
      </w:r>
      <w:bookmarkStart w:id="174" w:name="_Toc44351109"/>
      <w:r w:rsidR="0039181F" w:rsidRPr="003307CA">
        <w:rPr>
          <w:rFonts w:asciiTheme="minorEastAsia" w:eastAsiaTheme="minorEastAsia" w:hAnsiTheme="minorEastAsia" w:hint="eastAsia"/>
        </w:rPr>
        <w:lastRenderedPageBreak/>
        <w:t>基金的财产</w:t>
      </w:r>
      <w:bookmarkEnd w:id="174"/>
    </w:p>
    <w:p w:rsidR="008337A1"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75" w:name="_Toc44351110"/>
      <w:bookmarkStart w:id="176" w:name="_Toc79392635"/>
      <w:bookmarkStart w:id="177" w:name="_Toc79556449"/>
      <w:r w:rsidRPr="003307CA">
        <w:rPr>
          <w:rFonts w:asciiTheme="minorEastAsia" w:eastAsiaTheme="minorEastAsia" w:hAnsiTheme="minorEastAsia" w:hint="eastAsia"/>
          <w:b w:val="0"/>
        </w:rPr>
        <w:t>一</w:t>
      </w:r>
      <w:r w:rsidRPr="003307CA">
        <w:rPr>
          <w:rFonts w:asciiTheme="minorEastAsia" w:eastAsiaTheme="minorEastAsia" w:hAnsiTheme="minorEastAsia"/>
          <w:b w:val="0"/>
        </w:rPr>
        <w:t>、</w:t>
      </w:r>
      <w:r w:rsidR="008337A1" w:rsidRPr="003307CA">
        <w:rPr>
          <w:rFonts w:asciiTheme="minorEastAsia" w:eastAsiaTheme="minorEastAsia" w:hAnsiTheme="minorEastAsia" w:hint="eastAsia"/>
          <w:b w:val="0"/>
        </w:rPr>
        <w:t>基金资产总值</w:t>
      </w:r>
      <w:bookmarkEnd w:id="175"/>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基金资产总值是指购买的各类证券及票据价值、银行存款本息和基金应收的申购基金款以及其他投资所形成的价值总和。</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其构成主要有：</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银行存款及其应计利息；</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清算备付金及其应计利息；</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根据有关规定缴纳的保证金及其应收利息；</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应收证券交易清算款；</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应收申购款；</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基金投资</w:t>
      </w:r>
      <w:r w:rsidR="008C7ADA" w:rsidRPr="003307CA">
        <w:rPr>
          <w:rFonts w:asciiTheme="minorEastAsia" w:eastAsiaTheme="minorEastAsia" w:hAnsiTheme="minorEastAsia" w:hint="eastAsia"/>
        </w:rPr>
        <w:t>及其</w:t>
      </w:r>
      <w:r w:rsidRPr="003307CA">
        <w:rPr>
          <w:rFonts w:asciiTheme="minorEastAsia" w:eastAsiaTheme="minorEastAsia" w:hAnsiTheme="minorEastAsia" w:hint="eastAsia"/>
        </w:rPr>
        <w:t>估值调整；</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股票投资及其估值调整；</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债券投资及其估值调整和应计利息；</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其他投资及其估值调整；</w:t>
      </w:r>
    </w:p>
    <w:p w:rsidR="0064594E"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其他资产等。</w:t>
      </w:r>
      <w:bookmarkEnd w:id="176"/>
      <w:bookmarkEnd w:id="177"/>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78" w:name="_Toc44351111"/>
      <w:r w:rsidRPr="003307CA">
        <w:rPr>
          <w:rFonts w:asciiTheme="minorEastAsia" w:eastAsiaTheme="minorEastAsia" w:hAnsiTheme="minorEastAsia" w:hint="eastAsia"/>
          <w:b w:val="0"/>
        </w:rPr>
        <w:t>二</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基金资产净值</w:t>
      </w:r>
      <w:bookmarkEnd w:id="178"/>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基金资产净值是指基金资产总值减去基金负债后的价值。</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79" w:name="_Toc44351112"/>
      <w:r w:rsidRPr="003307CA">
        <w:rPr>
          <w:rFonts w:asciiTheme="minorEastAsia" w:eastAsiaTheme="minorEastAsia" w:hAnsiTheme="minorEastAsia" w:hint="eastAsia"/>
          <w:b w:val="0"/>
        </w:rPr>
        <w:t>三</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基金财产的账户</w:t>
      </w:r>
      <w:bookmarkEnd w:id="179"/>
    </w:p>
    <w:p w:rsidR="00247BE0" w:rsidRPr="003307CA" w:rsidRDefault="00247BE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本基金根据相关法律法规开立基金资金账户以及证券账户。</w:t>
      </w:r>
      <w:r w:rsidRPr="003307CA">
        <w:rPr>
          <w:rFonts w:asciiTheme="minorEastAsia" w:eastAsiaTheme="minorEastAsia" w:hAnsiTheme="minorEastAsia" w:cs="宋体" w:hint="eastAsia"/>
          <w:kern w:val="0"/>
          <w:szCs w:val="21"/>
        </w:rPr>
        <w:t>基金托管人或境外资产托管人按照规定或境外市场惯例开设基金财产的所有资金账户和证券账户。</w:t>
      </w:r>
      <w:r w:rsidRPr="003307CA">
        <w:rPr>
          <w:rFonts w:asciiTheme="minorEastAsia" w:eastAsiaTheme="minorEastAsia" w:hAnsiTheme="minorEastAsia" w:hint="eastAsia"/>
          <w:szCs w:val="21"/>
        </w:rPr>
        <w:t>基金托管人应确保基金管理人所管理的基金或基金份额持有人始终是所有证券的实益所有人(beneficial</w:t>
      </w:r>
      <w:r w:rsidR="00296722" w:rsidRPr="003307CA">
        <w:rPr>
          <w:rFonts w:asciiTheme="minorEastAsia" w:eastAsiaTheme="minorEastAsia" w:hAnsiTheme="minorEastAsia"/>
          <w:szCs w:val="21"/>
        </w:rPr>
        <w:t xml:space="preserve"> </w:t>
      </w:r>
      <w:r w:rsidRPr="003307CA">
        <w:rPr>
          <w:rFonts w:asciiTheme="minorEastAsia" w:eastAsiaTheme="minorEastAsia" w:hAnsiTheme="minorEastAsia" w:hint="eastAsia"/>
          <w:szCs w:val="21"/>
        </w:rPr>
        <w:t>owner)的方式持有基金财产中的所有证券。</w:t>
      </w:r>
      <w:r w:rsidRPr="003307CA">
        <w:rPr>
          <w:rFonts w:asciiTheme="minorEastAsia" w:eastAsiaTheme="minorEastAsia" w:hAnsiTheme="minorEastAsia" w:cs="宋体" w:hint="eastAsia"/>
          <w:kern w:val="0"/>
          <w:szCs w:val="21"/>
        </w:rPr>
        <w:t>有关</w:t>
      </w:r>
      <w:r w:rsidRPr="003307CA">
        <w:rPr>
          <w:rFonts w:asciiTheme="minorEastAsia" w:eastAsiaTheme="minorEastAsia" w:hAnsiTheme="minorEastAsia" w:hint="eastAsia"/>
          <w:szCs w:val="21"/>
        </w:rPr>
        <w:t>境外证券的注册登记方式应符合投资当地市场的有关法律、法规和市场惯例。</w:t>
      </w:r>
    </w:p>
    <w:p w:rsidR="0064594E"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开立的基金专用账户与基金管理人、基金托管人、境外托管人、境外投资顾问、基金</w:t>
      </w:r>
      <w:r w:rsidR="000D6E0C" w:rsidRPr="003307CA">
        <w:rPr>
          <w:rFonts w:asciiTheme="minorEastAsia" w:eastAsiaTheme="minorEastAsia" w:hAnsiTheme="minorEastAsia" w:hint="eastAsia"/>
        </w:rPr>
        <w:t>销售</w:t>
      </w:r>
      <w:r w:rsidRPr="003307CA">
        <w:rPr>
          <w:rFonts w:asciiTheme="minorEastAsia" w:eastAsiaTheme="minorEastAsia" w:hAnsiTheme="minorEastAsia" w:hint="eastAsia"/>
        </w:rPr>
        <w:t>机构和基金注册登记机构自有的财产账户以及其他基金财产账户相独立。</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80" w:name="_Toc44351113"/>
      <w:r w:rsidRPr="003307CA">
        <w:rPr>
          <w:rFonts w:asciiTheme="minorEastAsia" w:eastAsiaTheme="minorEastAsia" w:hAnsiTheme="minorEastAsia" w:hint="eastAsia"/>
          <w:b w:val="0"/>
        </w:rPr>
        <w:t>四</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基金财产的保管和处分</w:t>
      </w:r>
      <w:bookmarkEnd w:id="180"/>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本基金财产独立于基金管理人、基金托管人、境外托管人和</w:t>
      </w:r>
      <w:r w:rsidR="00000DCB" w:rsidRPr="003307CA">
        <w:rPr>
          <w:rFonts w:asciiTheme="minorEastAsia" w:eastAsiaTheme="minorEastAsia" w:hAnsiTheme="minorEastAsia" w:hint="eastAsia"/>
        </w:rPr>
        <w:t>销售</w:t>
      </w:r>
      <w:r w:rsidRPr="003307CA">
        <w:rPr>
          <w:rFonts w:asciiTheme="minorEastAsia" w:eastAsiaTheme="minorEastAsia" w:hAnsiTheme="minorEastAsia" w:hint="eastAsia"/>
        </w:rPr>
        <w:t>机构的财产，并由基金托管人保管。基金管理人、基金托管人、境外托管人不得将基金财产归入其固有财产；基金管理人、基金托管人、境外托管人因基金财产的管理、运用或其他情形而取得的财产和收益，归入基金财产。基金管理人、基金托管人、境外托管人和基金</w:t>
      </w:r>
      <w:r w:rsidR="00000DCB" w:rsidRPr="003307CA">
        <w:rPr>
          <w:rFonts w:asciiTheme="minorEastAsia" w:eastAsiaTheme="minorEastAsia" w:hAnsiTheme="minorEastAsia" w:hint="eastAsia"/>
        </w:rPr>
        <w:t>销售</w:t>
      </w:r>
      <w:r w:rsidRPr="003307CA">
        <w:rPr>
          <w:rFonts w:asciiTheme="minorEastAsia" w:eastAsiaTheme="minorEastAsia" w:hAnsiTheme="minorEastAsia" w:hint="eastAsia"/>
        </w:rPr>
        <w:t>机构以其自有的财产承担其自身的法律责任，其债权人不得对本基金财产行使请求冻结、扣押或其他权利。基金管理</w:t>
      </w:r>
      <w:r w:rsidRPr="003307CA">
        <w:rPr>
          <w:rFonts w:asciiTheme="minorEastAsia" w:eastAsiaTheme="minorEastAsia" w:hAnsiTheme="minorEastAsia" w:hint="eastAsia"/>
        </w:rPr>
        <w:lastRenderedPageBreak/>
        <w:t>人、基金托管人、境外托管人因依法解散、被依法撤销或者被依法宣告破产等原因进行清算的，基金财产不属于其清算财产。</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除依法律法规和《基金合同》的规定处分外，基金财产不得被处分。非因基金财产本身承担的债务，不得对基金财产强制执行。</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基金管理人管理运作基金财产所产生的债权，不得与其固有资产产生的债务相互抵消；基金管理人管理运作不同基金的基金财产所产生的债权债务不得相互抵消。</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在符合</w:t>
      </w:r>
      <w:r w:rsidR="00AE12FE" w:rsidRPr="003307CA">
        <w:rPr>
          <w:rFonts w:asciiTheme="minorEastAsia" w:eastAsiaTheme="minorEastAsia" w:hAnsiTheme="minorEastAsia" w:hint="eastAsia"/>
        </w:rPr>
        <w:t>基金</w:t>
      </w:r>
      <w:r w:rsidRPr="003307CA">
        <w:rPr>
          <w:rFonts w:asciiTheme="minorEastAsia" w:eastAsiaTheme="minorEastAsia" w:hAnsiTheme="minorEastAsia" w:hint="eastAsia"/>
        </w:rPr>
        <w:t>合同和托管协议有关资产保管的要求下，对境外托管人的破产而产生的损失，基金托管人应采取措施进行追偿，基金管理人配合基金托管人进行追偿，基金托管人存在故意或过失行为的，应承担赔偿责任。</w:t>
      </w:r>
    </w:p>
    <w:p w:rsidR="00247BE0"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除非基金管理人、基金托管人及其境外托管人存在过失、疏忽、欺诈或故意不当行为，基金管理人、基金托管人将不保证托管人或境外托管人所接收基金财产中的证券的所有权、合法性或真实性（包括是否以良好形式转让）。</w:t>
      </w:r>
    </w:p>
    <w:p w:rsidR="0064594E" w:rsidRPr="003307CA" w:rsidRDefault="00247BE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rsidR="0064594E" w:rsidRPr="003307CA" w:rsidRDefault="0064594E" w:rsidP="00CE3F81">
      <w:pPr>
        <w:snapToGrid w:val="0"/>
        <w:spacing w:line="360" w:lineRule="auto"/>
        <w:ind w:firstLineChars="200" w:firstLine="420"/>
        <w:rPr>
          <w:rFonts w:asciiTheme="minorEastAsia" w:eastAsiaTheme="minorEastAsia" w:hAnsiTheme="minorEastAsia"/>
          <w:kern w:val="0"/>
          <w:szCs w:val="21"/>
        </w:rPr>
      </w:pPr>
    </w:p>
    <w:p w:rsidR="0064594E" w:rsidRPr="003307CA" w:rsidRDefault="0064594E" w:rsidP="00CE3F81">
      <w:pPr>
        <w:snapToGrid w:val="0"/>
        <w:spacing w:line="360" w:lineRule="auto"/>
        <w:ind w:firstLineChars="200" w:firstLine="420"/>
        <w:rPr>
          <w:rFonts w:asciiTheme="minorEastAsia" w:eastAsiaTheme="minorEastAsia" w:hAnsiTheme="minorEastAsia"/>
        </w:rPr>
      </w:pPr>
    </w:p>
    <w:p w:rsidR="000C2077" w:rsidRPr="003307CA" w:rsidRDefault="000C2077"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b/>
          <w:bCs/>
        </w:rPr>
      </w:pPr>
    </w:p>
    <w:p w:rsidR="006A1D96" w:rsidRPr="003307CA" w:rsidRDefault="006A1D96" w:rsidP="006A1D96">
      <w:pPr>
        <w:snapToGrid w:val="0"/>
        <w:spacing w:line="360" w:lineRule="auto"/>
        <w:rPr>
          <w:rFonts w:asciiTheme="minorEastAsia" w:eastAsiaTheme="minorEastAsia" w:hAnsiTheme="minorEastAsia"/>
        </w:rPr>
      </w:pPr>
    </w:p>
    <w:p w:rsidR="00F32420" w:rsidRPr="003307CA" w:rsidRDefault="000C2077"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181" w:name="_Toc44351114"/>
      <w:r w:rsidRPr="003307CA">
        <w:rPr>
          <w:rFonts w:asciiTheme="minorEastAsia" w:eastAsiaTheme="minorEastAsia" w:hAnsiTheme="minorEastAsia" w:hint="eastAsia"/>
        </w:rPr>
        <w:t>基金资产估值</w:t>
      </w:r>
      <w:bookmarkEnd w:id="181"/>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82" w:name="_Toc66706733"/>
      <w:bookmarkStart w:id="183" w:name="_Toc86584624"/>
      <w:bookmarkStart w:id="184" w:name="_Toc44351115"/>
      <w:bookmarkStart w:id="185" w:name="_Toc84149655"/>
      <w:r w:rsidRPr="003307CA">
        <w:rPr>
          <w:rFonts w:asciiTheme="minorEastAsia" w:eastAsiaTheme="minorEastAsia" w:hAnsiTheme="minorEastAsia" w:hint="eastAsia"/>
          <w:b w:val="0"/>
        </w:rPr>
        <w:t>一</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估值目的</w:t>
      </w:r>
      <w:bookmarkEnd w:id="182"/>
      <w:bookmarkEnd w:id="183"/>
      <w:bookmarkEnd w:id="184"/>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基金资产估值的目的是客观、准确地反映基金资产是否保值、增值，依据经基金资产估值后确定的基金资产净值而计算出的基金份额净值，是计算基金申购与赎回价格的基础。</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86" w:name="_Toc66706734"/>
      <w:bookmarkStart w:id="187" w:name="_Toc86584625"/>
      <w:bookmarkStart w:id="188" w:name="_Toc44351116"/>
      <w:r w:rsidRPr="003307CA">
        <w:rPr>
          <w:rFonts w:asciiTheme="minorEastAsia" w:eastAsiaTheme="minorEastAsia" w:hAnsiTheme="minorEastAsia" w:hint="eastAsia"/>
          <w:b w:val="0"/>
        </w:rPr>
        <w:t>二</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估值日</w:t>
      </w:r>
      <w:bookmarkEnd w:id="186"/>
      <w:bookmarkEnd w:id="187"/>
      <w:bookmarkEnd w:id="188"/>
    </w:p>
    <w:p w:rsidR="0064594E" w:rsidRPr="003307CA" w:rsidRDefault="0064594E" w:rsidP="00CE3F81">
      <w:pPr>
        <w:snapToGrid w:val="0"/>
        <w:spacing w:line="360" w:lineRule="auto"/>
        <w:ind w:firstLineChars="200" w:firstLine="420"/>
        <w:rPr>
          <w:rFonts w:asciiTheme="minorEastAsia" w:eastAsiaTheme="minorEastAsia" w:hAnsiTheme="minorEastAsia"/>
        </w:rPr>
      </w:pPr>
      <w:bookmarkStart w:id="189" w:name="_Toc66706735"/>
      <w:bookmarkStart w:id="190" w:name="_Toc86584626"/>
      <w:r w:rsidRPr="003307CA">
        <w:rPr>
          <w:rFonts w:asciiTheme="minorEastAsia" w:eastAsiaTheme="minorEastAsia" w:hAnsiTheme="minorEastAsia" w:hint="eastAsia"/>
        </w:rPr>
        <w:t>本基金的估值日为</w:t>
      </w:r>
      <w:r w:rsidR="00D75269" w:rsidRPr="003307CA">
        <w:rPr>
          <w:rFonts w:asciiTheme="minorEastAsia" w:eastAsiaTheme="minorEastAsia" w:hAnsiTheme="minorEastAsia" w:hint="eastAsia"/>
        </w:rPr>
        <w:t>本基金的开放日以及国家法律法规规定需要对外披露基金净值的非开放日</w:t>
      </w:r>
      <w:r w:rsidRPr="003307CA">
        <w:rPr>
          <w:rFonts w:asciiTheme="minorEastAsia" w:eastAsiaTheme="minorEastAsia" w:hAnsiTheme="minorEastAsia" w:hint="eastAsia"/>
        </w:rPr>
        <w:t>。</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91" w:name="_Toc44351117"/>
      <w:r w:rsidRPr="003307CA">
        <w:rPr>
          <w:rFonts w:asciiTheme="minorEastAsia" w:eastAsiaTheme="minorEastAsia" w:hAnsiTheme="minorEastAsia" w:hint="eastAsia"/>
          <w:b w:val="0"/>
        </w:rPr>
        <w:t>三</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估值对象</w:t>
      </w:r>
      <w:bookmarkEnd w:id="189"/>
      <w:bookmarkEnd w:id="190"/>
      <w:bookmarkEnd w:id="191"/>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rPr>
        <w:t>本基金所拥有的</w:t>
      </w:r>
      <w:r w:rsidRPr="003307CA">
        <w:rPr>
          <w:rFonts w:asciiTheme="minorEastAsia" w:eastAsiaTheme="minorEastAsia" w:hAnsiTheme="minorEastAsia" w:hint="eastAsia"/>
        </w:rPr>
        <w:t>各类</w:t>
      </w:r>
      <w:r w:rsidRPr="003307CA">
        <w:rPr>
          <w:rFonts w:asciiTheme="minorEastAsia" w:eastAsiaTheme="minorEastAsia" w:hAnsiTheme="minorEastAsia"/>
        </w:rPr>
        <w:t>有价证券。</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92" w:name="_Toc66706736"/>
      <w:bookmarkStart w:id="193" w:name="_Toc86584627"/>
      <w:bookmarkStart w:id="194" w:name="_Toc44351118"/>
      <w:r w:rsidRPr="003307CA">
        <w:rPr>
          <w:rFonts w:asciiTheme="minorEastAsia" w:eastAsiaTheme="minorEastAsia" w:hAnsiTheme="minorEastAsia" w:hint="eastAsia"/>
          <w:b w:val="0"/>
        </w:rPr>
        <w:t>四</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估值方法</w:t>
      </w:r>
      <w:bookmarkEnd w:id="192"/>
      <w:bookmarkEnd w:id="193"/>
      <w:bookmarkEnd w:id="194"/>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本基金按以下方式进行估值：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已上市流通</w:t>
      </w:r>
      <w:r w:rsidR="00127DBB" w:rsidRPr="003307CA">
        <w:rPr>
          <w:rFonts w:asciiTheme="minorEastAsia" w:eastAsiaTheme="minorEastAsia" w:hAnsiTheme="minorEastAsia" w:hint="eastAsia"/>
        </w:rPr>
        <w:t>股票</w:t>
      </w:r>
      <w:r w:rsidRPr="003307CA">
        <w:rPr>
          <w:rFonts w:asciiTheme="minorEastAsia" w:eastAsiaTheme="minorEastAsia" w:hAnsiTheme="minorEastAsia" w:hint="eastAsia"/>
        </w:rPr>
        <w:t>的估值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上市流通的股票以其估值日在证券交易所挂牌的收盘价估值；估值日无交易的，以最近交易日的收盘价估值。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处于未上市期间的</w:t>
      </w:r>
      <w:r w:rsidR="00127DBB" w:rsidRPr="003307CA">
        <w:rPr>
          <w:rFonts w:asciiTheme="minorEastAsia" w:eastAsiaTheme="minorEastAsia" w:hAnsiTheme="minorEastAsia" w:hint="eastAsia"/>
        </w:rPr>
        <w:t>股票</w:t>
      </w:r>
      <w:r w:rsidRPr="003307CA">
        <w:rPr>
          <w:rFonts w:asciiTheme="minorEastAsia" w:eastAsiaTheme="minorEastAsia" w:hAnsiTheme="minorEastAsia" w:hint="eastAsia"/>
        </w:rPr>
        <w:t>应区分如下情况处理：</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1）送股、转增股、配股和增发新股，按估值日在证券交易所挂牌的同一股票的收盘价估值；该日无交易的，以最近一日的收盘价估值；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2）首次发行未上市的股票，采用估值技术确定公允价值，在估值技术难以可靠计量的情况下，按成本估值</w:t>
      </w:r>
      <w:r w:rsidRPr="003307CA">
        <w:rPr>
          <w:rFonts w:asciiTheme="minorEastAsia" w:eastAsiaTheme="minorEastAsia" w:hAnsiTheme="minorEastAsia" w:hint="eastAsia"/>
        </w:rPr>
        <w:t>；</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rPr>
        <w:t>首次公开发行有明确锁定期的股票，同一股票在交易所上市后，按交易所上市的同一股票的收盘价估值；非公开发行且处于明确锁定期的股票，按监管机构或行业协会的有关规定确定公允价值。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开放式基金以估值时点能够取得的最新基金份额净值进行估值。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配股权证，从配股除权日起到配股确认日止，如果收盘价高于配股价，按收盘价高于配股价的差额估值</w:t>
      </w:r>
      <w:r w:rsidR="00127DBB" w:rsidRPr="003307CA">
        <w:rPr>
          <w:rFonts w:asciiTheme="minorEastAsia" w:eastAsiaTheme="minorEastAsia" w:hAnsiTheme="minorEastAsia" w:hint="eastAsia"/>
        </w:rPr>
        <w:t>；</w:t>
      </w:r>
      <w:r w:rsidRPr="003307CA">
        <w:rPr>
          <w:rFonts w:asciiTheme="minorEastAsia" w:eastAsiaTheme="minorEastAsia" w:hAnsiTheme="minorEastAsia" w:hint="eastAsia"/>
        </w:rPr>
        <w:t>收盘价等于或低于配股价，则估值为零。</w:t>
      </w:r>
    </w:p>
    <w:p w:rsidR="00810E86" w:rsidRPr="003307CA" w:rsidRDefault="00810E86"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rPr>
        <w:t>5</w:t>
      </w:r>
      <w:r w:rsidR="006A1D96" w:rsidRPr="003307CA">
        <w:rPr>
          <w:rFonts w:asciiTheme="minorEastAsia" w:eastAsiaTheme="minorEastAsia" w:hAnsiTheme="minorEastAsia" w:hint="eastAsia"/>
        </w:rPr>
        <w:t>、</w:t>
      </w:r>
      <w:r w:rsidRPr="003307CA">
        <w:rPr>
          <w:rFonts w:asciiTheme="minorEastAsia" w:eastAsiaTheme="minorEastAsia" w:hAnsiTheme="minorEastAsia"/>
          <w:kern w:val="0"/>
          <w:szCs w:val="21"/>
        </w:rPr>
        <w:t>基金持有的</w:t>
      </w:r>
      <w:r w:rsidRPr="003307CA">
        <w:rPr>
          <w:rFonts w:asciiTheme="minorEastAsia" w:eastAsiaTheme="minorEastAsia" w:hAnsiTheme="minorEastAsia" w:hint="eastAsia"/>
        </w:rPr>
        <w:t>衍生工具</w:t>
      </w:r>
      <w:r w:rsidR="00127DBB" w:rsidRPr="003307CA">
        <w:rPr>
          <w:rFonts w:asciiTheme="minorEastAsia" w:eastAsiaTheme="minorEastAsia" w:hAnsiTheme="minorEastAsia" w:hint="eastAsia"/>
        </w:rPr>
        <w:t>、债券、交易型开放式指数基金（ETF）</w:t>
      </w:r>
      <w:r w:rsidRPr="003307CA">
        <w:rPr>
          <w:rFonts w:asciiTheme="minorEastAsia" w:eastAsiaTheme="minorEastAsia" w:hAnsiTheme="minorEastAsia" w:hint="eastAsia"/>
        </w:rPr>
        <w:t>等</w:t>
      </w:r>
      <w:r w:rsidRPr="003307CA">
        <w:rPr>
          <w:rFonts w:asciiTheme="minorEastAsia" w:eastAsiaTheme="minorEastAsia" w:hAnsiTheme="minorEastAsia" w:hint="eastAsia"/>
          <w:kern w:val="0"/>
          <w:szCs w:val="21"/>
        </w:rPr>
        <w:t>其他有价证券</w:t>
      </w:r>
      <w:r w:rsidRPr="003307CA">
        <w:rPr>
          <w:rFonts w:asciiTheme="minorEastAsia" w:eastAsiaTheme="minorEastAsia" w:hAnsiTheme="minorEastAsia"/>
          <w:kern w:val="0"/>
          <w:szCs w:val="21"/>
        </w:rPr>
        <w:t>，上市交易的</w:t>
      </w:r>
      <w:r w:rsidRPr="003307CA">
        <w:rPr>
          <w:rFonts w:asciiTheme="minorEastAsia" w:eastAsiaTheme="minorEastAsia" w:hAnsiTheme="minorEastAsia" w:hint="eastAsia"/>
          <w:kern w:val="0"/>
          <w:szCs w:val="21"/>
        </w:rPr>
        <w:t>有价证券</w:t>
      </w:r>
      <w:r w:rsidRPr="003307CA">
        <w:rPr>
          <w:rFonts w:asciiTheme="minorEastAsia" w:eastAsiaTheme="minorEastAsia" w:hAnsiTheme="minorEastAsia"/>
          <w:kern w:val="0"/>
          <w:szCs w:val="21"/>
        </w:rPr>
        <w:t>按估值日的收盘价估值；估值日没有交易的，按最近交易日的收盘价估值；未上市交易的</w:t>
      </w:r>
      <w:r w:rsidRPr="003307CA">
        <w:rPr>
          <w:rFonts w:asciiTheme="minorEastAsia" w:eastAsiaTheme="minorEastAsia" w:hAnsiTheme="minorEastAsia" w:hint="eastAsia"/>
          <w:kern w:val="0"/>
          <w:szCs w:val="21"/>
        </w:rPr>
        <w:t>，</w:t>
      </w:r>
      <w:r w:rsidRPr="003307CA">
        <w:rPr>
          <w:rFonts w:asciiTheme="minorEastAsia" w:eastAsiaTheme="minorEastAsia" w:hAnsiTheme="minorEastAsia"/>
        </w:rPr>
        <w:t>采用估值技术确定公允价值，在估值技术难以可靠计量的情况下，按成本估值；停止交易、但未行权的</w:t>
      </w:r>
      <w:r w:rsidRPr="003307CA">
        <w:rPr>
          <w:rFonts w:asciiTheme="minorEastAsia" w:eastAsiaTheme="minorEastAsia" w:hAnsiTheme="minorEastAsia" w:hint="eastAsia"/>
          <w:kern w:val="0"/>
          <w:szCs w:val="21"/>
        </w:rPr>
        <w:t>有价证券</w:t>
      </w:r>
      <w:r w:rsidRPr="003307CA">
        <w:rPr>
          <w:rFonts w:asciiTheme="minorEastAsia" w:eastAsiaTheme="minorEastAsia" w:hAnsiTheme="minorEastAsia"/>
        </w:rPr>
        <w:t>，采用估值技术确定公允价值。</w:t>
      </w:r>
    </w:p>
    <w:p w:rsidR="00810E86" w:rsidRPr="003307CA" w:rsidRDefault="00810E86"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rPr>
        <w:t>6</w:t>
      </w:r>
      <w:r w:rsidR="006A1D96" w:rsidRPr="003307CA">
        <w:rPr>
          <w:rFonts w:asciiTheme="minorEastAsia" w:eastAsiaTheme="minorEastAsia" w:hAnsiTheme="minorEastAsia" w:hint="eastAsia"/>
        </w:rPr>
        <w:t>、</w:t>
      </w:r>
      <w:r w:rsidRPr="003307CA">
        <w:rPr>
          <w:rFonts w:asciiTheme="minorEastAsia" w:eastAsiaTheme="minorEastAsia" w:hAnsiTheme="minorEastAsia"/>
          <w:kern w:val="0"/>
          <w:szCs w:val="21"/>
        </w:rPr>
        <w:t>在任何情况下，基金管理人如采用</w:t>
      </w:r>
      <w:r w:rsidRPr="003307CA">
        <w:rPr>
          <w:rFonts w:asciiTheme="minorEastAsia" w:eastAsiaTheme="minorEastAsia" w:hAnsiTheme="minorEastAsia" w:hint="eastAsia"/>
          <w:kern w:val="0"/>
          <w:szCs w:val="21"/>
        </w:rPr>
        <w:t>上述</w:t>
      </w:r>
      <w:r w:rsidRPr="003307CA">
        <w:rPr>
          <w:rFonts w:asciiTheme="minorEastAsia" w:eastAsiaTheme="minorEastAsia" w:hAnsiTheme="minorEastAsia"/>
          <w:kern w:val="0"/>
          <w:szCs w:val="21"/>
        </w:rPr>
        <w:t>第</w:t>
      </w:r>
      <w:r w:rsidRPr="003307CA">
        <w:rPr>
          <w:rFonts w:asciiTheme="minorEastAsia" w:eastAsiaTheme="minorEastAsia" w:hAnsiTheme="minorEastAsia" w:hint="eastAsia"/>
          <w:kern w:val="0"/>
          <w:szCs w:val="21"/>
        </w:rPr>
        <w:t>1-5</w:t>
      </w:r>
      <w:r w:rsidRPr="003307CA">
        <w:rPr>
          <w:rFonts w:asciiTheme="minorEastAsia" w:eastAsiaTheme="minorEastAsia" w:hAnsiTheme="minorEastAsia"/>
          <w:kern w:val="0"/>
          <w:szCs w:val="21"/>
        </w:rPr>
        <w:t>项规定的方法对基金资产进行估值，</w:t>
      </w:r>
      <w:r w:rsidRPr="003307CA">
        <w:rPr>
          <w:rFonts w:asciiTheme="minorEastAsia" w:eastAsiaTheme="minorEastAsia" w:hAnsiTheme="minorEastAsia"/>
          <w:kern w:val="0"/>
          <w:szCs w:val="21"/>
        </w:rPr>
        <w:lastRenderedPageBreak/>
        <w:t>均应被认为采用了适当的估值方法。</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kern w:val="0"/>
          <w:szCs w:val="21"/>
        </w:rPr>
        <w:t>7</w:t>
      </w:r>
      <w:r w:rsidR="006A1D96" w:rsidRPr="003307CA">
        <w:rPr>
          <w:rFonts w:asciiTheme="minorEastAsia" w:eastAsiaTheme="minorEastAsia" w:hAnsiTheme="minorEastAsia" w:hint="eastAsia"/>
          <w:kern w:val="0"/>
          <w:szCs w:val="21"/>
        </w:rPr>
        <w:t>、</w:t>
      </w:r>
      <w:r w:rsidRPr="003307CA">
        <w:rPr>
          <w:rFonts w:asciiTheme="minorEastAsia" w:eastAsiaTheme="minorEastAsia" w:hAnsiTheme="minorEastAsia" w:hint="eastAsia"/>
        </w:rPr>
        <w:t>如有确凿证据表明按上述方法进行估值不能客观反映其公允价值的，基金管理人可根据具体情况与基金托管人商定后，按最能反映公允价值的价格估值。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相关法律法规以及监管部门有强制规定的，从其规定。如有新增事项，按国家最新规定估值。</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kern w:val="0"/>
          <w:szCs w:val="21"/>
        </w:rPr>
        <w:t>9</w:t>
      </w:r>
      <w:r w:rsidR="006A1D96" w:rsidRPr="003307CA">
        <w:rPr>
          <w:rFonts w:asciiTheme="minorEastAsia" w:eastAsiaTheme="minorEastAsia" w:hAnsiTheme="minorEastAsia" w:hint="eastAsia"/>
          <w:kern w:val="0"/>
          <w:szCs w:val="21"/>
        </w:rPr>
        <w:t>、</w:t>
      </w:r>
      <w:r w:rsidRPr="003307CA">
        <w:rPr>
          <w:rFonts w:asciiTheme="minorEastAsia" w:eastAsiaTheme="minorEastAsia" w:hAnsiTheme="minorEastAsia" w:hint="eastAsia"/>
        </w:rPr>
        <w:t>估值中的汇率选取原则：</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（1）估值计算中涉及美元、港币、日元、欧元、英镑等五种主要货币对人民币汇率的，将依据下列信息提供机构所提供的汇率为基准：当日中国人民银行公布的人民币与主要货币的中间价。</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（2）其他货币采用美元作为中间货币进行换算</w:t>
      </w:r>
      <w:r w:rsidR="00BD134C" w:rsidRPr="003307CA">
        <w:rPr>
          <w:rFonts w:asciiTheme="minorEastAsia" w:eastAsiaTheme="minorEastAsia" w:hAnsiTheme="minorEastAsia" w:hint="eastAsia"/>
        </w:rPr>
        <w:t>，</w:t>
      </w:r>
      <w:r w:rsidR="00E84618" w:rsidRPr="003307CA">
        <w:rPr>
          <w:rFonts w:asciiTheme="minorEastAsia" w:eastAsiaTheme="minorEastAsia" w:hAnsiTheme="minorEastAsia" w:hint="eastAsia"/>
        </w:rPr>
        <w:t>采用路透</w:t>
      </w:r>
      <w:r w:rsidR="00B52D8C" w:rsidRPr="003307CA">
        <w:rPr>
          <w:rFonts w:asciiTheme="minorEastAsia" w:eastAsiaTheme="minorEastAsia" w:hAnsiTheme="minorEastAsia" w:hint="eastAsia"/>
        </w:rPr>
        <w:t>伦敦下午四点的汇率套算</w:t>
      </w:r>
      <w:r w:rsidRPr="003307CA">
        <w:rPr>
          <w:rFonts w:asciiTheme="minorEastAsia" w:eastAsiaTheme="minorEastAsia" w:hAnsiTheme="minorEastAsia" w:hint="eastAsia"/>
        </w:rPr>
        <w:t>。</w:t>
      </w:r>
      <w:r w:rsidR="006A14B5" w:rsidRPr="003307CA">
        <w:rPr>
          <w:rFonts w:asciiTheme="minorEastAsia" w:eastAsiaTheme="minorEastAsia" w:hAnsiTheme="minorEastAsia" w:hint="eastAsia"/>
        </w:rPr>
        <w:t>基金管理人和托管人经协商可对所采用的汇率来源进行调整。</w:t>
      </w:r>
    </w:p>
    <w:p w:rsidR="00810E86" w:rsidRPr="003307CA" w:rsidRDefault="00810E8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若无法取得上述汇率价格信息时，以托管银行中国工商银行或境外托管人所提供的合理公开外汇市埸交易价格为准。</w:t>
      </w:r>
    </w:p>
    <w:p w:rsidR="0064594E" w:rsidRPr="003307CA" w:rsidRDefault="00810E86"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95" w:name="_Toc44229106"/>
      <w:bookmarkStart w:id="196" w:name="_Toc44229201"/>
      <w:bookmarkStart w:id="197" w:name="_Toc44229107"/>
      <w:bookmarkStart w:id="198" w:name="_Toc44229202"/>
      <w:bookmarkStart w:id="199" w:name="_Toc44229108"/>
      <w:bookmarkStart w:id="200" w:name="_Toc44229203"/>
      <w:bookmarkStart w:id="201" w:name="_Toc44229109"/>
      <w:bookmarkStart w:id="202" w:name="_Toc44229204"/>
      <w:bookmarkStart w:id="203" w:name="_Toc44229110"/>
      <w:bookmarkStart w:id="204" w:name="_Toc44229205"/>
      <w:bookmarkStart w:id="205" w:name="_Toc44229111"/>
      <w:bookmarkStart w:id="206" w:name="_Toc44229206"/>
      <w:bookmarkStart w:id="207" w:name="_Toc44229112"/>
      <w:bookmarkStart w:id="208" w:name="_Toc44229207"/>
      <w:bookmarkStart w:id="209" w:name="_Toc44229113"/>
      <w:bookmarkStart w:id="210" w:name="_Toc44229208"/>
      <w:bookmarkStart w:id="211" w:name="_Toc66706737"/>
      <w:bookmarkStart w:id="212" w:name="_Toc86584628"/>
      <w:bookmarkStart w:id="213" w:name="_Toc4435111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307CA">
        <w:rPr>
          <w:rFonts w:asciiTheme="minorEastAsia" w:eastAsiaTheme="minorEastAsia" w:hAnsiTheme="minorEastAsia" w:hint="eastAsia"/>
          <w:b w:val="0"/>
        </w:rPr>
        <w:t>五</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估值程序</w:t>
      </w:r>
      <w:bookmarkEnd w:id="211"/>
      <w:bookmarkEnd w:id="212"/>
      <w:bookmarkEnd w:id="213"/>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基金日常估值由基金管理人进行。基金管理人于估值日的下一工作日完成估值后，将估值结果加盖业务公章以书面形式加密传真</w:t>
      </w:r>
      <w:r w:rsidR="009177CA" w:rsidRPr="003307CA">
        <w:rPr>
          <w:rFonts w:asciiTheme="minorEastAsia" w:eastAsiaTheme="minorEastAsia" w:hAnsiTheme="minorEastAsia" w:hint="eastAsia"/>
        </w:rPr>
        <w:t>或以其它双方均认可的方式传递</w:t>
      </w:r>
      <w:r w:rsidRPr="003307CA">
        <w:rPr>
          <w:rFonts w:asciiTheme="minorEastAsia" w:eastAsiaTheme="minorEastAsia" w:hAnsiTheme="minorEastAsia" w:hint="eastAsia"/>
        </w:rPr>
        <w:t>至基金托管人，基金托管人按法律法规、《基金合同》规定的估值方法、时间、程序进行复核，复核无误后在基金管理人传真的书面估值结果上加盖业务公章返回给基金管理人</w:t>
      </w:r>
      <w:r w:rsidR="00B20DC3" w:rsidRPr="003307CA">
        <w:rPr>
          <w:rFonts w:asciiTheme="minorEastAsia" w:eastAsiaTheme="minorEastAsia" w:hAnsiTheme="minorEastAsia" w:hint="eastAsia"/>
        </w:rPr>
        <w:t>或以其它双方均认可的方式对估值结果进行确认</w:t>
      </w:r>
      <w:r w:rsidRPr="003307CA">
        <w:rPr>
          <w:rFonts w:asciiTheme="minorEastAsia" w:eastAsiaTheme="minorEastAsia" w:hAnsiTheme="minorEastAsia" w:hint="eastAsia"/>
        </w:rPr>
        <w:t>；月末、年中和年末估值复核与基金会计账目的核对同时进行。</w:t>
      </w:r>
    </w:p>
    <w:p w:rsidR="0064594E"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kern w:val="0"/>
          <w:szCs w:val="21"/>
        </w:rPr>
        <w:t>在法律法规和中国证监会允许的情况下，基金管理人与基金托管人可以各自委托第三方机构进行基金资产估值，但不改变基金管理人与基金托管人对基金资产估值各自承担的责任。</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214" w:name="_Toc66706738"/>
      <w:bookmarkStart w:id="215" w:name="_Toc86584629"/>
      <w:bookmarkStart w:id="216" w:name="_Toc44351120"/>
      <w:r w:rsidRPr="003307CA">
        <w:rPr>
          <w:rFonts w:asciiTheme="minorEastAsia" w:eastAsiaTheme="minorEastAsia" w:hAnsiTheme="minorEastAsia" w:hint="eastAsia"/>
          <w:b w:val="0"/>
        </w:rPr>
        <w:t>六</w:t>
      </w:r>
      <w:r w:rsidRPr="003307CA">
        <w:rPr>
          <w:rFonts w:asciiTheme="minorEastAsia" w:eastAsiaTheme="minorEastAsia" w:hAnsiTheme="minorEastAsia"/>
          <w:b w:val="0"/>
        </w:rPr>
        <w:t>、</w:t>
      </w:r>
      <w:r w:rsidR="002D0A71" w:rsidRPr="003307CA">
        <w:rPr>
          <w:rFonts w:asciiTheme="minorEastAsia" w:eastAsiaTheme="minorEastAsia" w:hAnsiTheme="minorEastAsia" w:hint="eastAsia"/>
          <w:b w:val="0"/>
        </w:rPr>
        <w:t>可</w:t>
      </w:r>
      <w:r w:rsidR="0064594E" w:rsidRPr="003307CA">
        <w:rPr>
          <w:rFonts w:asciiTheme="minorEastAsia" w:eastAsiaTheme="minorEastAsia" w:hAnsiTheme="minorEastAsia" w:hint="eastAsia"/>
          <w:b w:val="0"/>
        </w:rPr>
        <w:t>暂停估值的情形</w:t>
      </w:r>
      <w:bookmarkEnd w:id="214"/>
      <w:bookmarkEnd w:id="215"/>
      <w:bookmarkEnd w:id="216"/>
    </w:p>
    <w:p w:rsidR="00A47680" w:rsidRPr="003307CA" w:rsidRDefault="00A47680"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kern w:val="0"/>
          <w:szCs w:val="21"/>
        </w:rPr>
        <w:t>1</w:t>
      </w:r>
      <w:r w:rsidR="006A1D96" w:rsidRPr="003307CA">
        <w:rPr>
          <w:rFonts w:asciiTheme="minorEastAsia" w:eastAsiaTheme="minorEastAsia" w:hAnsiTheme="minorEastAsia" w:hint="eastAsia"/>
          <w:kern w:val="0"/>
          <w:szCs w:val="21"/>
        </w:rPr>
        <w:t>、</w:t>
      </w:r>
      <w:r w:rsidRPr="003307CA">
        <w:rPr>
          <w:rFonts w:asciiTheme="minorEastAsia" w:eastAsiaTheme="minorEastAsia" w:hAnsiTheme="minorEastAsia" w:hint="eastAsia"/>
          <w:kern w:val="0"/>
          <w:szCs w:val="21"/>
        </w:rPr>
        <w:t>基金投资所涉及的主要证券交易所或市场或外汇市场遇法定节假日或因其他原因暂停营业时；</w:t>
      </w:r>
    </w:p>
    <w:p w:rsidR="00A47680" w:rsidRPr="003307CA" w:rsidRDefault="00A47680"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kern w:val="0"/>
          <w:szCs w:val="21"/>
        </w:rPr>
        <w:t>2</w:t>
      </w:r>
      <w:r w:rsidR="006A1D96" w:rsidRPr="003307CA">
        <w:rPr>
          <w:rFonts w:asciiTheme="minorEastAsia" w:eastAsiaTheme="minorEastAsia" w:hAnsiTheme="minorEastAsia" w:hint="eastAsia"/>
          <w:kern w:val="0"/>
          <w:szCs w:val="21"/>
        </w:rPr>
        <w:t>、</w:t>
      </w:r>
      <w:r w:rsidRPr="003307CA">
        <w:rPr>
          <w:rFonts w:asciiTheme="minorEastAsia" w:eastAsiaTheme="minorEastAsia" w:hAnsiTheme="minorEastAsia" w:hint="eastAsia"/>
          <w:kern w:val="0"/>
          <w:szCs w:val="21"/>
        </w:rPr>
        <w:t>因不可抗力或其他情形致使基金管理人无法准确评估基金资产价值时；</w:t>
      </w:r>
    </w:p>
    <w:p w:rsidR="00CD3B3A" w:rsidRPr="003307CA" w:rsidRDefault="000E5F6B" w:rsidP="006D35EC">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kern w:val="0"/>
          <w:szCs w:val="21"/>
        </w:rPr>
        <w:t>3</w:t>
      </w:r>
      <w:r w:rsidRPr="003307CA">
        <w:rPr>
          <w:rFonts w:asciiTheme="minorEastAsia" w:eastAsiaTheme="minorEastAsia" w:hAnsiTheme="minorEastAsia" w:hint="eastAsia"/>
          <w:kern w:val="0"/>
          <w:szCs w:val="21"/>
        </w:rPr>
        <w:t>、前一估值日基金资产净值</w:t>
      </w:r>
      <w:r w:rsidRPr="003307CA">
        <w:rPr>
          <w:rFonts w:asciiTheme="minorEastAsia" w:eastAsiaTheme="minorEastAsia" w:hAnsiTheme="minorEastAsia"/>
          <w:kern w:val="0"/>
          <w:szCs w:val="21"/>
        </w:rPr>
        <w:t>50%以上的资产出现无可参考的活跃市场价格且采用估值技术仍导致公允价值存在重大不确定性时，经与基金托管人协商一致的</w:t>
      </w:r>
      <w:r w:rsidRPr="003307CA">
        <w:rPr>
          <w:rFonts w:asciiTheme="minorEastAsia" w:eastAsiaTheme="minorEastAsia" w:hAnsiTheme="minorEastAsia" w:hint="eastAsia"/>
          <w:kern w:val="0"/>
          <w:szCs w:val="21"/>
        </w:rPr>
        <w:t>；</w:t>
      </w:r>
    </w:p>
    <w:p w:rsidR="0064594E" w:rsidRPr="003307CA" w:rsidRDefault="005C3ABC"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kern w:val="0"/>
          <w:szCs w:val="21"/>
        </w:rPr>
        <w:t>4</w:t>
      </w:r>
      <w:r w:rsidR="006A1D96" w:rsidRPr="003307CA">
        <w:rPr>
          <w:rFonts w:asciiTheme="minorEastAsia" w:eastAsiaTheme="minorEastAsia" w:hAnsiTheme="minorEastAsia" w:hint="eastAsia"/>
          <w:kern w:val="0"/>
          <w:szCs w:val="21"/>
        </w:rPr>
        <w:t>、</w:t>
      </w:r>
      <w:r w:rsidR="00A47680" w:rsidRPr="003307CA">
        <w:rPr>
          <w:rFonts w:asciiTheme="minorEastAsia" w:eastAsiaTheme="minorEastAsia" w:hAnsiTheme="minorEastAsia" w:hint="eastAsia"/>
          <w:kern w:val="0"/>
          <w:szCs w:val="21"/>
        </w:rPr>
        <w:t>中国证监会认定的其他情形。</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217" w:name="_Toc66706739"/>
      <w:bookmarkStart w:id="218" w:name="_Toc86584630"/>
      <w:bookmarkStart w:id="219" w:name="_Toc44351121"/>
      <w:r w:rsidRPr="003307CA">
        <w:rPr>
          <w:rFonts w:asciiTheme="minorEastAsia" w:eastAsiaTheme="minorEastAsia" w:hAnsiTheme="minorEastAsia" w:hint="eastAsia"/>
          <w:b w:val="0"/>
        </w:rPr>
        <w:lastRenderedPageBreak/>
        <w:t>七</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基金份额净值的确认和估值错误</w:t>
      </w:r>
      <w:r w:rsidR="00EB1C69" w:rsidRPr="003307CA">
        <w:rPr>
          <w:rFonts w:asciiTheme="minorEastAsia" w:eastAsiaTheme="minorEastAsia" w:hAnsiTheme="minorEastAsia" w:hint="eastAsia"/>
          <w:b w:val="0"/>
        </w:rPr>
        <w:t>的</w:t>
      </w:r>
      <w:r w:rsidR="0064594E" w:rsidRPr="003307CA">
        <w:rPr>
          <w:rFonts w:asciiTheme="minorEastAsia" w:eastAsiaTheme="minorEastAsia" w:hAnsiTheme="minorEastAsia" w:hint="eastAsia"/>
          <w:b w:val="0"/>
        </w:rPr>
        <w:t>处理</w:t>
      </w:r>
      <w:bookmarkEnd w:id="217"/>
      <w:bookmarkEnd w:id="218"/>
      <w:bookmarkEnd w:id="219"/>
    </w:p>
    <w:p w:rsidR="00A47680" w:rsidRPr="003307CA" w:rsidRDefault="00A47680" w:rsidP="00CE3F81">
      <w:pPr>
        <w:snapToGrid w:val="0"/>
        <w:spacing w:line="360" w:lineRule="auto"/>
        <w:ind w:firstLineChars="200" w:firstLine="420"/>
        <w:rPr>
          <w:rFonts w:asciiTheme="minorEastAsia" w:eastAsiaTheme="minorEastAsia" w:hAnsiTheme="minorEastAsia"/>
        </w:rPr>
      </w:pPr>
      <w:bookmarkStart w:id="220" w:name="_Toc97031289"/>
      <w:bookmarkStart w:id="221" w:name="_Toc97107249"/>
      <w:bookmarkEnd w:id="185"/>
      <w:bookmarkEnd w:id="220"/>
      <w:bookmarkEnd w:id="221"/>
      <w:r w:rsidRPr="003307CA">
        <w:rPr>
          <w:rFonts w:asciiTheme="minorEastAsia" w:eastAsiaTheme="minorEastAsia" w:hAnsiTheme="minorEastAsia" w:hint="eastAsia"/>
        </w:rPr>
        <w:t>基金份额净值的计算采用四舍五入的方法保留小数点后3位。当基金份额净值偏差达到基金份额净值的0.5%时，基金管理人应当立即纠正，并采取合理的措施防止损失进一步扩大。当基金份额净值计算差错小于基金份额净值0.5%时，基金管理人与基金托管人应在发现日对账务进行更正调整，不做追溯处理；当基金管理人将其义务委托第三方处理时，应当对第三方处理有关基金事务的行为承担责任。</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关于差错处理，</w:t>
      </w:r>
      <w:r w:rsidR="00AE12FE" w:rsidRPr="003307CA">
        <w:rPr>
          <w:rFonts w:asciiTheme="minorEastAsia" w:eastAsiaTheme="minorEastAsia" w:hAnsiTheme="minorEastAsia" w:hint="eastAsia"/>
        </w:rPr>
        <w:t>基金</w:t>
      </w:r>
      <w:r w:rsidRPr="003307CA">
        <w:rPr>
          <w:rFonts w:asciiTheme="minorEastAsia" w:eastAsiaTheme="minorEastAsia" w:hAnsiTheme="minorEastAsia" w:hint="eastAsia"/>
        </w:rPr>
        <w:t>合同的当事人按照以下约定处理：</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差错类型</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2</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差错处理原则</w:t>
      </w:r>
    </w:p>
    <w:p w:rsidR="00A47680" w:rsidRPr="003307CA" w:rsidRDefault="00A4768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因基金估值错误给投资者造成损失，在基金管理人可承担的范围内应先由基金管理人承担，基金管理人对不应由其承担的责任，有权根据过错原则，向过错人追偿，本协议的当事人应将按照以下约定处理。</w:t>
      </w:r>
    </w:p>
    <w:p w:rsidR="00A47680" w:rsidRPr="003307CA" w:rsidRDefault="00A4768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A47680" w:rsidRPr="003307CA" w:rsidRDefault="00A4768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A47680" w:rsidRPr="003307CA" w:rsidRDefault="00A4768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由于证券交易所，交易市场及登记结算公司及数据供应商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A47680" w:rsidRPr="003307CA" w:rsidRDefault="00A4768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（4）当基金管理人计算的基金资产净值与基金托管人的计算结果不一致时，相关各方</w:t>
      </w:r>
      <w:r w:rsidRPr="003307CA">
        <w:rPr>
          <w:rFonts w:asciiTheme="minorEastAsia" w:eastAsiaTheme="minorEastAsia" w:hAnsiTheme="minorEastAsia" w:hint="eastAsia"/>
          <w:szCs w:val="21"/>
        </w:rPr>
        <w:lastRenderedPageBreak/>
        <w:t>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A47680" w:rsidRPr="003307CA" w:rsidRDefault="00A47680"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（5）法律法规或者监管部门另有规定的，从其规定。如果行业有通行做法，基金管理人和基金托管人双方应本着平等和保护基金</w:t>
      </w:r>
      <w:r w:rsidR="005F5B54" w:rsidRPr="003307CA">
        <w:rPr>
          <w:rFonts w:asciiTheme="minorEastAsia" w:eastAsiaTheme="minorEastAsia" w:hAnsiTheme="minorEastAsia" w:hint="eastAsia"/>
          <w:szCs w:val="21"/>
        </w:rPr>
        <w:t>份额</w:t>
      </w:r>
      <w:r w:rsidRPr="003307CA">
        <w:rPr>
          <w:rFonts w:asciiTheme="minorEastAsia" w:eastAsiaTheme="minorEastAsia" w:hAnsiTheme="minorEastAsia" w:hint="eastAsia"/>
          <w:szCs w:val="21"/>
        </w:rPr>
        <w:t>持有人利益的原则进行协商。</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6）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w:t>
      </w:r>
      <w:r w:rsidRPr="003307CA">
        <w:rPr>
          <w:rFonts w:asciiTheme="minorEastAsia" w:eastAsiaTheme="minorEastAsia" w:hAnsiTheme="minorEastAsia" w:hint="eastAsia"/>
        </w:rPr>
        <w:t>正的情况向有关当事人进行确认，确保差错已得到更正。</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（7）差错的责任方对可能导致有关当事人的直接损失负责，不对间接损失负责，并且仅对差错的有关直接当事人负责，不对第三方负责。</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（9）差错调整采用尽量恢复至假设未发生差错的正确情形的方式。</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（10）如果因基金管理人过错造成基金资产损失时，基金托管人应为基金的利益向基金管理人追偿，如果因基金托管人过错造成基金资产损失时，基金管理人应为基金的利益向基金托管人追偿。除基金管理人和</w:t>
      </w:r>
      <w:r w:rsidR="005F5B54" w:rsidRPr="003307CA">
        <w:rPr>
          <w:rFonts w:asciiTheme="minorEastAsia" w:eastAsiaTheme="minorEastAsia" w:hAnsiTheme="minorEastAsia" w:hint="eastAsia"/>
        </w:rPr>
        <w:t>基金</w:t>
      </w:r>
      <w:r w:rsidRPr="003307CA">
        <w:rPr>
          <w:rFonts w:asciiTheme="minorEastAsia" w:eastAsiaTheme="minorEastAsia" w:hAnsiTheme="minorEastAsia" w:hint="eastAsia"/>
        </w:rPr>
        <w:t>托管人之外的第三方造成基金资产的损失，并拒绝进行赔偿时，由基金管理人负责向差错方追偿，但该第三方是由</w:t>
      </w:r>
      <w:r w:rsidR="005F5B54" w:rsidRPr="003307CA">
        <w:rPr>
          <w:rFonts w:asciiTheme="minorEastAsia" w:eastAsiaTheme="minorEastAsia" w:hAnsiTheme="minorEastAsia" w:hint="eastAsia"/>
        </w:rPr>
        <w:t>基金</w:t>
      </w:r>
      <w:r w:rsidRPr="003307CA">
        <w:rPr>
          <w:rFonts w:asciiTheme="minorEastAsia" w:eastAsiaTheme="minorEastAsia" w:hAnsiTheme="minorEastAsia" w:hint="eastAsia"/>
        </w:rPr>
        <w:t>托管人委托的情况下，应由基金托管人负责赔偿并向差错方追偿。</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（12）按法律法规规定的其他原则处理差错。</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3</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差错处理程序</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差错被发现后，有关的当事人应当及时进行处理，处理的程序如下：</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w:t>
      </w:r>
      <w:r w:rsidRPr="003307CA">
        <w:rPr>
          <w:rFonts w:asciiTheme="minorEastAsia" w:eastAsiaTheme="minorEastAsia" w:hAnsiTheme="minorEastAsia" w:hint="eastAsia"/>
        </w:rPr>
        <w:t>）查明差错发生的原因，列明所有的当事人，并根据差错发生的原因确定差错的责任方；</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2</w:t>
      </w:r>
      <w:r w:rsidRPr="003307CA">
        <w:rPr>
          <w:rFonts w:asciiTheme="minorEastAsia" w:eastAsiaTheme="minorEastAsia" w:hAnsiTheme="minorEastAsia" w:hint="eastAsia"/>
        </w:rPr>
        <w:t>）根据差错处理原则或当事人协商的方法对因差错造成的损失进行评估；</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w:t>
      </w:r>
      <w:r w:rsidRPr="003307CA">
        <w:rPr>
          <w:rFonts w:asciiTheme="minorEastAsia" w:eastAsiaTheme="minorEastAsia" w:hAnsiTheme="minorEastAsia"/>
        </w:rPr>
        <w:t>3</w:t>
      </w:r>
      <w:r w:rsidRPr="003307CA">
        <w:rPr>
          <w:rFonts w:asciiTheme="minorEastAsia" w:eastAsiaTheme="minorEastAsia" w:hAnsiTheme="minorEastAsia" w:hint="eastAsia"/>
        </w:rPr>
        <w:t>）根据差错处理原则或当事人协商的方法由差错的责任方进行更正和赔偿损失；</w:t>
      </w:r>
    </w:p>
    <w:p w:rsidR="00A47680" w:rsidRPr="003307CA" w:rsidRDefault="00A47680"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4</w:t>
      </w:r>
      <w:r w:rsidRPr="003307CA">
        <w:rPr>
          <w:rFonts w:asciiTheme="minorEastAsia" w:eastAsiaTheme="minorEastAsia" w:hAnsiTheme="minorEastAsia" w:hint="eastAsia"/>
        </w:rPr>
        <w:t>）根据差错处理的方法，需要修改基金注册登记机构的交易数据的，由基金注册登记机构进行更正，并就差错的更正向有关当事人进行确认；</w:t>
      </w:r>
    </w:p>
    <w:p w:rsidR="0064594E" w:rsidRPr="003307CA" w:rsidRDefault="00A47680" w:rsidP="00CE3F81">
      <w:pPr>
        <w:snapToGrid w:val="0"/>
        <w:spacing w:line="360" w:lineRule="auto"/>
        <w:ind w:firstLineChars="200" w:firstLine="420"/>
        <w:rPr>
          <w:rFonts w:asciiTheme="minorEastAsia" w:eastAsiaTheme="minorEastAsia" w:hAnsiTheme="minorEastAsia"/>
          <w:sz w:val="24"/>
        </w:rPr>
      </w:pPr>
      <w:r w:rsidRPr="003307CA">
        <w:rPr>
          <w:rFonts w:asciiTheme="minorEastAsia" w:eastAsiaTheme="minorEastAsia" w:hAnsiTheme="minorEastAsia" w:hint="eastAsia"/>
        </w:rPr>
        <w:t>（</w:t>
      </w:r>
      <w:r w:rsidRPr="003307CA">
        <w:rPr>
          <w:rFonts w:asciiTheme="minorEastAsia" w:eastAsiaTheme="minorEastAsia" w:hAnsiTheme="minorEastAsia"/>
        </w:rPr>
        <w:t>5</w:t>
      </w:r>
      <w:r w:rsidRPr="003307CA">
        <w:rPr>
          <w:rFonts w:asciiTheme="minorEastAsia" w:eastAsiaTheme="minorEastAsia" w:hAnsiTheme="minorEastAsia" w:hint="eastAsia"/>
        </w:rPr>
        <w:t>）基金管理人及基金托管人基金份额净值计算错误偏差达到基金份额净值的</w:t>
      </w:r>
      <w:r w:rsidRPr="003307CA">
        <w:rPr>
          <w:rFonts w:asciiTheme="minorEastAsia" w:eastAsiaTheme="minorEastAsia" w:hAnsiTheme="minorEastAsia"/>
        </w:rPr>
        <w:t>0.5%</w:t>
      </w:r>
      <w:r w:rsidRPr="003307CA">
        <w:rPr>
          <w:rFonts w:asciiTheme="minorEastAsia" w:eastAsiaTheme="minorEastAsia" w:hAnsiTheme="minorEastAsia" w:hint="eastAsia"/>
        </w:rPr>
        <w:t>时，基金管理人应当公告并报中国证监会备案。</w:t>
      </w:r>
    </w:p>
    <w:p w:rsidR="0064594E" w:rsidRPr="003307CA"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222" w:name="_Toc44351122"/>
      <w:r w:rsidRPr="003307CA">
        <w:rPr>
          <w:rFonts w:asciiTheme="minorEastAsia" w:eastAsiaTheme="minorEastAsia" w:hAnsiTheme="minorEastAsia" w:hint="eastAsia"/>
          <w:b w:val="0"/>
        </w:rPr>
        <w:t>八</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特殊情形的处理</w:t>
      </w:r>
      <w:bookmarkEnd w:id="222"/>
    </w:p>
    <w:p w:rsidR="0064594E" w:rsidRPr="003307CA" w:rsidRDefault="00BD589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基金管理人按估值方法的第7项进行估值时，所造成的误差不作为基金资产估值错误处理。</w:t>
      </w:r>
    </w:p>
    <w:p w:rsidR="00BD4C5B" w:rsidRPr="003307CA" w:rsidRDefault="00BD4C5B" w:rsidP="00CE3F81">
      <w:pPr>
        <w:snapToGrid w:val="0"/>
        <w:spacing w:line="360" w:lineRule="auto"/>
        <w:ind w:firstLineChars="200" w:firstLine="420"/>
        <w:rPr>
          <w:rFonts w:asciiTheme="minorEastAsia" w:eastAsiaTheme="minorEastAsia" w:hAnsiTheme="minorEastAsia"/>
          <w:szCs w:val="21"/>
        </w:rPr>
        <w:sectPr w:rsidR="00BD4C5B" w:rsidRPr="003307CA">
          <w:pgSz w:w="11906" w:h="16838" w:code="9"/>
          <w:pgMar w:top="1440" w:right="1800" w:bottom="1440" w:left="1800" w:header="851" w:footer="992" w:gutter="0"/>
          <w:cols w:space="425"/>
          <w:docGrid w:type="lines" w:linePitch="312"/>
        </w:sectPr>
      </w:pPr>
    </w:p>
    <w:p w:rsidR="0055619F" w:rsidRPr="003307CA" w:rsidRDefault="0055619F"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23" w:name="_Toc185222016"/>
      <w:bookmarkStart w:id="224" w:name="_Toc185222488"/>
      <w:bookmarkStart w:id="225" w:name="_Toc185222591"/>
      <w:bookmarkStart w:id="226" w:name="_Toc185222757"/>
      <w:bookmarkStart w:id="227" w:name="_Toc44351123"/>
      <w:bookmarkStart w:id="228" w:name="_Toc84149664"/>
      <w:bookmarkStart w:id="229" w:name="_Toc86584639"/>
      <w:bookmarkEnd w:id="223"/>
      <w:bookmarkEnd w:id="224"/>
      <w:bookmarkEnd w:id="225"/>
      <w:bookmarkEnd w:id="226"/>
      <w:r w:rsidRPr="003307CA">
        <w:rPr>
          <w:rFonts w:asciiTheme="minorEastAsia" w:eastAsiaTheme="minorEastAsia" w:hAnsiTheme="minorEastAsia" w:hint="eastAsia"/>
        </w:rPr>
        <w:lastRenderedPageBreak/>
        <w:t>基金的收益与分配</w:t>
      </w:r>
      <w:bookmarkEnd w:id="227"/>
    </w:p>
    <w:p w:rsidR="000D5124" w:rsidRPr="003307CA"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0" w:name="_Toc44351124"/>
      <w:r w:rsidRPr="003307CA">
        <w:rPr>
          <w:rFonts w:asciiTheme="minorEastAsia" w:eastAsiaTheme="minorEastAsia" w:hAnsiTheme="minorEastAsia" w:hint="eastAsia"/>
          <w:b w:val="0"/>
        </w:rPr>
        <w:t>一、基金利润的构成</w:t>
      </w:r>
      <w:bookmarkEnd w:id="230"/>
    </w:p>
    <w:p w:rsidR="000D5124" w:rsidRPr="003307CA" w:rsidRDefault="000D512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基金利润指基金利息收入、投资收益、公允价值变动收益和其他收入扣除相关费用后的余额；基金已实现收益指基金利润减去公允价值变动收益后的余额。</w:t>
      </w:r>
    </w:p>
    <w:p w:rsidR="000D5124" w:rsidRPr="003307CA"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1" w:name="_Toc44351125"/>
      <w:r w:rsidRPr="003307CA">
        <w:rPr>
          <w:rFonts w:asciiTheme="minorEastAsia" w:eastAsiaTheme="minorEastAsia" w:hAnsiTheme="minorEastAsia" w:hint="eastAsia"/>
          <w:b w:val="0"/>
        </w:rPr>
        <w:t>二、基金可供分配利润</w:t>
      </w:r>
      <w:bookmarkEnd w:id="231"/>
    </w:p>
    <w:p w:rsidR="000D5124" w:rsidRPr="003307CA" w:rsidRDefault="000D512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基金可供分配利润指截至收益分配基准日基金未分配利润与未分配利润中已实现收益的孰低数。</w:t>
      </w:r>
    </w:p>
    <w:p w:rsidR="000D5124" w:rsidRPr="003307CA"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2" w:name="_Toc44351126"/>
      <w:r w:rsidRPr="003307CA">
        <w:rPr>
          <w:rFonts w:asciiTheme="minorEastAsia" w:eastAsiaTheme="minorEastAsia" w:hAnsiTheme="minorEastAsia" w:hint="eastAsia"/>
          <w:b w:val="0"/>
        </w:rPr>
        <w:t>三、基金收益分配原则</w:t>
      </w:r>
      <w:bookmarkEnd w:id="232"/>
    </w:p>
    <w:p w:rsidR="000D5124" w:rsidRPr="003307CA" w:rsidRDefault="000D512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每一基金份额享有同等分配权；</w:t>
      </w:r>
    </w:p>
    <w:p w:rsidR="000D5124" w:rsidRPr="003307CA" w:rsidRDefault="000D512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本基金收益分配方式分两种：现金分红与红利再投资，投资者可选择现金红利或将现金红利自动转为基金份额进行再投资；若投资者不选择，本基金默认的收益分配方式是现金分红；</w:t>
      </w:r>
    </w:p>
    <w:p w:rsidR="000D5124" w:rsidRPr="003307CA" w:rsidRDefault="000D512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在符合有关基金分红条件的前提下，本基金每年收益分配次数最多为12次，</w:t>
      </w:r>
      <w:r w:rsidR="00717557" w:rsidRPr="003307CA">
        <w:rPr>
          <w:rFonts w:asciiTheme="minorEastAsia" w:eastAsiaTheme="minorEastAsia" w:hAnsiTheme="minorEastAsia" w:hint="eastAsia"/>
        </w:rPr>
        <w:t>每份基金份额</w:t>
      </w:r>
      <w:r w:rsidRPr="003307CA">
        <w:rPr>
          <w:rFonts w:asciiTheme="minorEastAsia" w:eastAsiaTheme="minorEastAsia" w:hAnsiTheme="minorEastAsia" w:hint="eastAsia"/>
        </w:rPr>
        <w:t>每次分配比例不得低于收益分配基准日每份基金份额可供分配利润的10%；若基金合同生效不满3个月，可不进行收益分配；</w:t>
      </w:r>
    </w:p>
    <w:p w:rsidR="000D5124" w:rsidRPr="003307CA" w:rsidRDefault="000D512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基金收益分配基准日的基金份额净值减去每单位基金份额收益分配金额后不能低于面值；</w:t>
      </w:r>
    </w:p>
    <w:p w:rsidR="000D5124" w:rsidRPr="003307CA" w:rsidRDefault="000D5124"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006A1D96" w:rsidRPr="003307CA">
        <w:rPr>
          <w:rFonts w:asciiTheme="minorEastAsia" w:eastAsiaTheme="minorEastAsia" w:hAnsiTheme="minorEastAsia" w:hint="eastAsia"/>
        </w:rPr>
        <w:t>、</w:t>
      </w:r>
      <w:r w:rsidRPr="003307CA">
        <w:rPr>
          <w:rFonts w:asciiTheme="minorEastAsia" w:eastAsiaTheme="minorEastAsia" w:hAnsiTheme="minorEastAsia" w:hint="eastAsia"/>
        </w:rPr>
        <w:t>法律法规或监管机关另有规定的，从其规定。</w:t>
      </w:r>
    </w:p>
    <w:p w:rsidR="000D5124" w:rsidRPr="003307CA"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3" w:name="_Toc44351127"/>
      <w:r w:rsidRPr="003307CA">
        <w:rPr>
          <w:rFonts w:asciiTheme="minorEastAsia" w:eastAsiaTheme="minorEastAsia" w:hAnsiTheme="minorEastAsia" w:hint="eastAsia"/>
          <w:b w:val="0"/>
        </w:rPr>
        <w:t>四、收益分配方案</w:t>
      </w:r>
      <w:bookmarkEnd w:id="233"/>
    </w:p>
    <w:p w:rsidR="000D5124" w:rsidRPr="003307CA" w:rsidRDefault="000D512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基金收益分配方案中应载明基金收益分配基准日可供分配利润、基金收益分配对象、分配时间、</w:t>
      </w:r>
      <w:r w:rsidRPr="003307CA">
        <w:rPr>
          <w:rFonts w:asciiTheme="minorEastAsia" w:eastAsiaTheme="minorEastAsia" w:hAnsiTheme="minorEastAsia" w:hint="eastAsia"/>
          <w:bCs/>
          <w:szCs w:val="21"/>
        </w:rPr>
        <w:t>分配数额及比例</w:t>
      </w:r>
      <w:r w:rsidRPr="003307CA">
        <w:rPr>
          <w:rFonts w:asciiTheme="minorEastAsia" w:eastAsiaTheme="minorEastAsia" w:hAnsiTheme="minorEastAsia" w:hint="eastAsia"/>
          <w:szCs w:val="21"/>
        </w:rPr>
        <w:t>、分配方式等内容。</w:t>
      </w:r>
    </w:p>
    <w:p w:rsidR="000D5124" w:rsidRPr="003307CA"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4" w:name="_Toc44351128"/>
      <w:r w:rsidRPr="003307CA">
        <w:rPr>
          <w:rFonts w:asciiTheme="minorEastAsia" w:eastAsiaTheme="minorEastAsia" w:hAnsiTheme="minorEastAsia" w:hint="eastAsia"/>
          <w:b w:val="0"/>
        </w:rPr>
        <w:t>五、收益分配方案的确定、公告与实施</w:t>
      </w:r>
      <w:bookmarkEnd w:id="234"/>
    </w:p>
    <w:p w:rsidR="00E310CD" w:rsidRPr="003307CA" w:rsidRDefault="00E310CD" w:rsidP="006D35EC">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本基金收益分配方案由基金管理人拟定，并由基金托管人复核，在指定媒介公告。</w:t>
      </w:r>
    </w:p>
    <w:p w:rsidR="000D5124" w:rsidRPr="003307CA" w:rsidRDefault="000D512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本基金收益分配的发放日距离收益分配基准日的时间不超过15个工作日。</w:t>
      </w:r>
    </w:p>
    <w:p w:rsidR="000D5124" w:rsidRPr="003307CA" w:rsidRDefault="000D512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法律法规或监管机关另有规定的，从其规定。</w:t>
      </w:r>
    </w:p>
    <w:p w:rsidR="000D5124" w:rsidRPr="003307CA"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5" w:name="_Toc22006048"/>
      <w:bookmarkStart w:id="236" w:name="_Toc44351129"/>
      <w:r w:rsidRPr="003307CA">
        <w:rPr>
          <w:rFonts w:asciiTheme="minorEastAsia" w:eastAsiaTheme="minorEastAsia" w:hAnsiTheme="minorEastAsia" w:hint="eastAsia"/>
          <w:b w:val="0"/>
        </w:rPr>
        <w:t>六、基金收益分配中发生的费用</w:t>
      </w:r>
      <w:bookmarkEnd w:id="235"/>
      <w:bookmarkEnd w:id="236"/>
    </w:p>
    <w:p w:rsidR="000D5124" w:rsidRPr="003307CA" w:rsidRDefault="000D512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bookmarkEnd w:id="228"/>
    <w:bookmarkEnd w:id="229"/>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p>
    <w:p w:rsidR="002A3B1B" w:rsidRPr="003307CA" w:rsidRDefault="002A3B1B"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37" w:name="_Toc44351130"/>
      <w:r w:rsidRPr="003307CA">
        <w:rPr>
          <w:rFonts w:asciiTheme="minorEastAsia" w:eastAsiaTheme="minorEastAsia" w:hAnsiTheme="minorEastAsia" w:hint="eastAsia"/>
        </w:rPr>
        <w:lastRenderedPageBreak/>
        <w:t>基金的会计与审计</w:t>
      </w:r>
      <w:bookmarkEnd w:id="237"/>
    </w:p>
    <w:p w:rsidR="0064594E" w:rsidRPr="003307CA"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38" w:name="_Toc44351131"/>
      <w:r w:rsidRPr="003307CA">
        <w:rPr>
          <w:rFonts w:asciiTheme="minorEastAsia" w:eastAsiaTheme="minorEastAsia" w:hAnsiTheme="minorEastAsia" w:hint="eastAsia"/>
          <w:b w:val="0"/>
        </w:rPr>
        <w:t>一</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基金会计政策</w:t>
      </w:r>
      <w:bookmarkEnd w:id="238"/>
    </w:p>
    <w:p w:rsidR="009D370E" w:rsidRPr="003307CA" w:rsidRDefault="009D370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基金管理人为本基金的基金会计责任方；</w:t>
      </w:r>
    </w:p>
    <w:p w:rsidR="009D370E" w:rsidRPr="003307CA" w:rsidRDefault="009D370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基金的会计年度为公历年度的</w:t>
      </w:r>
      <w:r w:rsidRPr="003307CA">
        <w:rPr>
          <w:rFonts w:asciiTheme="minorEastAsia" w:eastAsiaTheme="minorEastAsia" w:hAnsiTheme="minorEastAsia"/>
        </w:rPr>
        <w:t>1</w:t>
      </w:r>
      <w:r w:rsidRPr="003307CA">
        <w:rPr>
          <w:rFonts w:asciiTheme="minorEastAsia" w:eastAsiaTheme="minorEastAsia" w:hAnsiTheme="minorEastAsia" w:hint="eastAsia"/>
        </w:rPr>
        <w:t>月</w:t>
      </w:r>
      <w:r w:rsidRPr="003307CA">
        <w:rPr>
          <w:rFonts w:asciiTheme="minorEastAsia" w:eastAsiaTheme="minorEastAsia" w:hAnsiTheme="minorEastAsia"/>
        </w:rPr>
        <w:t>1</w:t>
      </w:r>
      <w:r w:rsidRPr="003307CA">
        <w:rPr>
          <w:rFonts w:asciiTheme="minorEastAsia" w:eastAsiaTheme="minorEastAsia" w:hAnsiTheme="minorEastAsia" w:hint="eastAsia"/>
        </w:rPr>
        <w:t>日至</w:t>
      </w:r>
      <w:r w:rsidRPr="003307CA">
        <w:rPr>
          <w:rFonts w:asciiTheme="minorEastAsia" w:eastAsiaTheme="minorEastAsia" w:hAnsiTheme="minorEastAsia"/>
        </w:rPr>
        <w:t>12</w:t>
      </w:r>
      <w:r w:rsidRPr="003307CA">
        <w:rPr>
          <w:rFonts w:asciiTheme="minorEastAsia" w:eastAsiaTheme="minorEastAsia" w:hAnsiTheme="minorEastAsia" w:hint="eastAsia"/>
        </w:rPr>
        <w:t>月</w:t>
      </w:r>
      <w:r w:rsidRPr="003307CA">
        <w:rPr>
          <w:rFonts w:asciiTheme="minorEastAsia" w:eastAsiaTheme="minorEastAsia" w:hAnsiTheme="minorEastAsia"/>
        </w:rPr>
        <w:t>31</w:t>
      </w:r>
      <w:r w:rsidRPr="003307CA">
        <w:rPr>
          <w:rFonts w:asciiTheme="minorEastAsia" w:eastAsiaTheme="minorEastAsia" w:hAnsiTheme="minorEastAsia" w:hint="eastAsia"/>
        </w:rPr>
        <w:t>日；</w:t>
      </w:r>
    </w:p>
    <w:p w:rsidR="009D370E" w:rsidRPr="003307CA" w:rsidRDefault="009D370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3</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基金核算以人民币为记账本位币，以人民币元为记账单位；</w:t>
      </w:r>
    </w:p>
    <w:p w:rsidR="009D370E" w:rsidRPr="003307CA" w:rsidRDefault="009D370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4</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会计制度执行国家有关会计制度；</w:t>
      </w:r>
    </w:p>
    <w:p w:rsidR="009D370E" w:rsidRPr="003307CA" w:rsidRDefault="009D370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5</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本基金独立建账、独立核算；</w:t>
      </w:r>
    </w:p>
    <w:p w:rsidR="009D370E" w:rsidRPr="003307CA" w:rsidRDefault="009D370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6</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基金管理人及基金托管人各自保留完整的会计账目、凭证并进行日常的会计核算，按照有关规定编制基金会计报表；</w:t>
      </w:r>
    </w:p>
    <w:p w:rsidR="009D370E" w:rsidRPr="003307CA" w:rsidRDefault="009D370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7</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基金托管人每月与基金管理人就基金的会计核算、报表编制等进行核对并以书面方式确认。</w:t>
      </w:r>
    </w:p>
    <w:p w:rsidR="0064594E" w:rsidRPr="003307CA"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39" w:name="_Toc44351132"/>
      <w:r w:rsidRPr="003307CA">
        <w:rPr>
          <w:rFonts w:asciiTheme="minorEastAsia" w:eastAsiaTheme="minorEastAsia" w:hAnsiTheme="minorEastAsia" w:hint="eastAsia"/>
          <w:b w:val="0"/>
        </w:rPr>
        <w:t>二</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基金年度审计</w:t>
      </w:r>
      <w:bookmarkEnd w:id="239"/>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1</w:t>
      </w:r>
      <w:r w:rsidRPr="003307CA">
        <w:rPr>
          <w:rFonts w:asciiTheme="minorEastAsia" w:eastAsiaTheme="minorEastAsia" w:hAnsiTheme="minorEastAsia" w:hint="eastAsia"/>
        </w:rPr>
        <w:t>、基金管理人聘请与基金管理人、基金托管人相互独立的具有证券、</w:t>
      </w:r>
      <w:r w:rsidRPr="003307CA">
        <w:rPr>
          <w:rFonts w:asciiTheme="minorEastAsia" w:eastAsiaTheme="minorEastAsia" w:hAnsiTheme="minorEastAsia"/>
        </w:rPr>
        <w:t>期货</w:t>
      </w:r>
      <w:r w:rsidRPr="003307CA">
        <w:rPr>
          <w:rFonts w:asciiTheme="minorEastAsia" w:eastAsiaTheme="minorEastAsia" w:hAnsiTheme="minorEastAsia" w:hint="eastAsia"/>
        </w:rPr>
        <w:t>相关业务资格的会计师事务所及其注册会计师对本基金的年度财务报表进行审计；</w:t>
      </w:r>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2</w:t>
      </w:r>
      <w:r w:rsidRPr="003307CA">
        <w:rPr>
          <w:rFonts w:asciiTheme="minorEastAsia" w:eastAsiaTheme="minorEastAsia" w:hAnsiTheme="minorEastAsia" w:hint="eastAsia"/>
        </w:rPr>
        <w:t>、会计师事务所更换经办注册会计师，应事先征得基金管理人和基金托管人同意；</w:t>
      </w:r>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3</w:t>
      </w:r>
      <w:r w:rsidRPr="003307CA">
        <w:rPr>
          <w:rFonts w:asciiTheme="minorEastAsia" w:eastAsiaTheme="minorEastAsia" w:hAnsiTheme="minorEastAsia" w:hint="eastAsia"/>
        </w:rPr>
        <w:t>、基金管理人认为有充足理由更换会计师事务所，须通报基金托管人。更换会计师事务所需在</w:t>
      </w:r>
      <w:r w:rsidRPr="003307CA">
        <w:rPr>
          <w:rFonts w:asciiTheme="minorEastAsia" w:eastAsiaTheme="minorEastAsia" w:hAnsiTheme="minorEastAsia"/>
        </w:rPr>
        <w:t>2日内在指定媒介公告。</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p>
    <w:p w:rsidR="004F51E0" w:rsidRPr="003307CA" w:rsidRDefault="004F51E0"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rPr>
      </w:pPr>
    </w:p>
    <w:p w:rsidR="004F51E0" w:rsidRPr="003307CA" w:rsidRDefault="004F51E0"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40" w:name="_Toc44351133"/>
      <w:r w:rsidRPr="003307CA">
        <w:rPr>
          <w:rFonts w:asciiTheme="minorEastAsia" w:eastAsiaTheme="minorEastAsia" w:hAnsiTheme="minorEastAsia" w:hint="eastAsia"/>
        </w:rPr>
        <w:lastRenderedPageBreak/>
        <w:t>基金的信息披露</w:t>
      </w:r>
      <w:bookmarkEnd w:id="240"/>
    </w:p>
    <w:p w:rsidR="000E11E7" w:rsidRPr="003307CA"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1" w:name="_Toc44351134"/>
      <w:r w:rsidRPr="003307CA">
        <w:rPr>
          <w:rFonts w:asciiTheme="minorEastAsia" w:eastAsiaTheme="minorEastAsia" w:hAnsiTheme="minorEastAsia" w:hint="eastAsia"/>
          <w:b w:val="0"/>
        </w:rPr>
        <w:t>一、本基金的信息披露应符合《基金法》、《运作办法》、《信息披露办法》、《基金合同》及其他有关规定。</w:t>
      </w:r>
      <w:bookmarkEnd w:id="241"/>
    </w:p>
    <w:p w:rsidR="000E11E7" w:rsidRPr="003307CA"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2" w:name="_Toc44351135"/>
      <w:r w:rsidRPr="003307CA">
        <w:rPr>
          <w:rFonts w:asciiTheme="minorEastAsia" w:eastAsiaTheme="minorEastAsia" w:hAnsiTheme="minorEastAsia" w:hint="eastAsia"/>
          <w:b w:val="0"/>
        </w:rPr>
        <w:t>二、信息披露义务人</w:t>
      </w:r>
      <w:bookmarkEnd w:id="242"/>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0E11E7" w:rsidRPr="003307CA"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3" w:name="_Toc44351136"/>
      <w:r w:rsidRPr="003307CA">
        <w:rPr>
          <w:rFonts w:asciiTheme="minorEastAsia" w:eastAsiaTheme="minorEastAsia" w:hAnsiTheme="minorEastAsia" w:hint="eastAsia"/>
          <w:b w:val="0"/>
        </w:rPr>
        <w:t>三、本基金信息披露义务人承诺公开披露的基金信息，不得有下列行为：</w:t>
      </w:r>
      <w:bookmarkEnd w:id="243"/>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虚假记载、误导性陈述或者重大遗漏；</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对证券投资业绩进行预测；</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3</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违规承诺收益或者承担损失；</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4</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诋毁其他基金管理人、基金托管人或者基金销售机构；</w:t>
      </w:r>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5</w:t>
      </w:r>
      <w:r w:rsidRPr="003307CA">
        <w:rPr>
          <w:rFonts w:asciiTheme="minorEastAsia" w:eastAsiaTheme="minorEastAsia" w:hAnsiTheme="minorEastAsia" w:hint="eastAsia"/>
        </w:rPr>
        <w:t>、登载任何自然人、法人和非法人组织的祝贺性、恭维性或推荐性的文字；</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6</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中国证监会禁止的其他行为。</w:t>
      </w:r>
    </w:p>
    <w:p w:rsidR="004D1E0F" w:rsidRPr="003307CA"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4" w:name="_Toc44351137"/>
      <w:r w:rsidRPr="003307CA">
        <w:rPr>
          <w:rFonts w:asciiTheme="minorEastAsia" w:eastAsiaTheme="minorEastAsia" w:hAnsiTheme="minorEastAsia" w:hint="eastAsia"/>
          <w:b w:val="0"/>
        </w:rPr>
        <w:t>四、本基金公开披露的信息应采用中文文本。</w:t>
      </w:r>
      <w:bookmarkEnd w:id="244"/>
    </w:p>
    <w:p w:rsidR="00E310CD" w:rsidRPr="003307CA" w:rsidRDefault="00E310CD"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如同时采用外文文本的，基金信息披露义务人应保证不同文本的内容一致。不同文本之间发生歧义的，以中文文本为准。</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本基金公开披露的信息采用阿拉伯数字；除特别说明外，货币单位为人民币元。</w:t>
      </w:r>
    </w:p>
    <w:p w:rsidR="000E11E7" w:rsidRPr="003307CA"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5" w:name="_Toc44351138"/>
      <w:r w:rsidRPr="003307CA">
        <w:rPr>
          <w:rFonts w:asciiTheme="minorEastAsia" w:eastAsiaTheme="minorEastAsia" w:hAnsiTheme="minorEastAsia" w:hint="eastAsia"/>
          <w:b w:val="0"/>
        </w:rPr>
        <w:t>五、公开披露的基金信息</w:t>
      </w:r>
      <w:bookmarkEnd w:id="245"/>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公开披露的基金信息包括：</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（一）《招募说明书》、《基金合同》、《托管协议》</w:t>
      </w:r>
      <w:r w:rsidR="00E310CD" w:rsidRPr="003307CA">
        <w:rPr>
          <w:rFonts w:asciiTheme="minorEastAsia" w:eastAsiaTheme="minorEastAsia" w:hAnsiTheme="minorEastAsia" w:hint="eastAsia"/>
        </w:rPr>
        <w:t>、基金产品资料概要</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基金募集申请经中国证监会核准后，基金管理人在基金份额发售的</w:t>
      </w:r>
      <w:r w:rsidRPr="003307CA">
        <w:rPr>
          <w:rFonts w:asciiTheme="minorEastAsia" w:eastAsiaTheme="minorEastAsia" w:hAnsiTheme="minorEastAsia"/>
        </w:rPr>
        <w:t>3</w:t>
      </w:r>
      <w:r w:rsidRPr="003307CA">
        <w:rPr>
          <w:rFonts w:asciiTheme="minorEastAsia" w:eastAsiaTheme="minorEastAsia" w:hAnsiTheme="minorEastAsia" w:hint="eastAsia"/>
        </w:rPr>
        <w:t>日前，将《招募说明书》、《基金合同》摘要登载在</w:t>
      </w:r>
      <w:r w:rsidR="00CF5E13"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；基金管理人、基金托管人应当将《基金合同》、《托管协议》登载在网站上。</w:t>
      </w:r>
    </w:p>
    <w:p w:rsidR="00E310CD" w:rsidRPr="003307CA" w:rsidRDefault="000E11E7" w:rsidP="00E310C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《招募说明书》应当最大限度地披露影响基金投资者决策的全部事项，说明基金认购、</w:t>
      </w:r>
      <w:r w:rsidRPr="003307CA">
        <w:rPr>
          <w:rFonts w:asciiTheme="minorEastAsia" w:eastAsiaTheme="minorEastAsia" w:hAnsiTheme="minorEastAsia" w:hint="eastAsia"/>
        </w:rPr>
        <w:lastRenderedPageBreak/>
        <w:t>申购和赎回安排、基金投资、基金产品特性、风险揭示、信息披露及基金份额持有人服务等内容。</w:t>
      </w:r>
      <w:r w:rsidR="00E310CD" w:rsidRPr="003307CA">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《基金合同》是界定《基金合同》当事人的各项权利、义务关系，明确基金份额持有人大会召开的规则及具体程序，说明基金产品的特性等涉及基金投资者重大利益的事项的法律文件。</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《托管协议》是界定基金托管人和基金管理人在基金财产保管及基金运作监督等活动中的权利、义务关系的法律文件。</w:t>
      </w:r>
    </w:p>
    <w:p w:rsidR="00776BEB" w:rsidRPr="003307CA" w:rsidRDefault="00776BEB" w:rsidP="00776BEB">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4</w:t>
      </w:r>
      <w:r w:rsidRPr="003307CA">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（二）基金份额发售公告</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基金管理人应当就基金份额发售的具体事宜编制《发售公告》，并在披露《招募说明书》的当日登载于</w:t>
      </w:r>
      <w:r w:rsidR="00CF5E13"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（三）《基金合同》生效公告</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基金管理人应当在《基金合同》生效的次日在</w:t>
      </w:r>
      <w:r w:rsidR="00CF5E13"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登载《基金合同》生效公告。</w:t>
      </w:r>
    </w:p>
    <w:p w:rsidR="0097267F" w:rsidRPr="003307CA" w:rsidRDefault="000E11E7"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（四）</w:t>
      </w:r>
      <w:r w:rsidR="0097267F" w:rsidRPr="003307CA">
        <w:rPr>
          <w:rFonts w:asciiTheme="minorEastAsia" w:eastAsiaTheme="minorEastAsia" w:hAnsiTheme="minorEastAsia" w:hint="eastAsia"/>
        </w:rPr>
        <w:t>基金净值信息</w:t>
      </w:r>
    </w:p>
    <w:p w:rsidR="0097267F" w:rsidRPr="003307CA" w:rsidRDefault="0097267F"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97267F" w:rsidRPr="003307CA" w:rsidRDefault="0097267F"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在开始办理基金份额申购或者赎回后，基金管理人应当在不晚于每个开放日后的第二</w:t>
      </w:r>
      <w:r w:rsidRPr="003307CA">
        <w:rPr>
          <w:rFonts w:asciiTheme="minorEastAsia" w:eastAsiaTheme="minorEastAsia" w:hAnsiTheme="minorEastAsia"/>
        </w:rPr>
        <w:t>个工作日</w:t>
      </w:r>
      <w:r w:rsidRPr="003307CA">
        <w:rPr>
          <w:rFonts w:asciiTheme="minorEastAsia" w:eastAsiaTheme="minorEastAsia" w:hAnsiTheme="minorEastAsia" w:hint="eastAsia"/>
        </w:rPr>
        <w:t>，通过指定网站、基金销售机构网站或者营业网点，披露开放日的基金份额净值和基金份额累计净值。</w:t>
      </w:r>
    </w:p>
    <w:p w:rsidR="0097267F" w:rsidRPr="003307CA" w:rsidRDefault="0097267F"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基金管理人应当在不晚于半年度和年度最后一日后的第二</w:t>
      </w:r>
      <w:r w:rsidRPr="003307CA">
        <w:rPr>
          <w:rFonts w:asciiTheme="minorEastAsia" w:eastAsiaTheme="minorEastAsia" w:hAnsiTheme="minorEastAsia"/>
        </w:rPr>
        <w:t>个工作日</w:t>
      </w:r>
      <w:r w:rsidRPr="003307CA">
        <w:rPr>
          <w:rFonts w:asciiTheme="minorEastAsia" w:eastAsiaTheme="minorEastAsia" w:hAnsiTheme="minorEastAsia" w:hint="eastAsia"/>
        </w:rPr>
        <w:t>，在指定网站披露半年度和年度最后一日的基金份额净值和基金份额累计净值。</w:t>
      </w:r>
    </w:p>
    <w:p w:rsidR="000E11E7" w:rsidRPr="003307CA" w:rsidRDefault="000E11E7" w:rsidP="0097267F">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（五）基金份额申购、赎回价格</w:t>
      </w:r>
    </w:p>
    <w:p w:rsidR="009A31C3" w:rsidRPr="003307CA" w:rsidRDefault="000E11E7"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基金管理人应当在《基金合同》、《招募说明书》等信息披露文件上载明基金份额申购、赎回价格的计算方式及有关申购、赎回费率</w:t>
      </w:r>
      <w:r w:rsidR="009A31C3" w:rsidRPr="003307CA">
        <w:rPr>
          <w:rFonts w:asciiTheme="minorEastAsia" w:eastAsiaTheme="minorEastAsia" w:hAnsiTheme="minorEastAsia" w:hint="eastAsia"/>
        </w:rPr>
        <w:t>，并保证投资者能够在基金销售机构网站或营业网点查阅或者复制前述信息资料。</w:t>
      </w:r>
    </w:p>
    <w:p w:rsidR="007A22BD" w:rsidRPr="003307CA" w:rsidRDefault="000E11E7"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（六）</w:t>
      </w:r>
      <w:r w:rsidR="007A22BD" w:rsidRPr="003307CA">
        <w:rPr>
          <w:rFonts w:asciiTheme="minorEastAsia" w:eastAsiaTheme="minorEastAsia" w:hAnsiTheme="minorEastAsia" w:hint="eastAsia"/>
        </w:rPr>
        <w:t>基金定期报告，包括基金年度报告、基金中期报告和基金季度报告</w:t>
      </w:r>
    </w:p>
    <w:p w:rsidR="007A22BD" w:rsidRPr="003307CA" w:rsidRDefault="007A22BD" w:rsidP="007A22BD">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A22BD" w:rsidRPr="003307CA" w:rsidRDefault="007A22BD" w:rsidP="007A22BD">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7A22BD" w:rsidRPr="003307CA" w:rsidRDefault="007A22BD" w:rsidP="007A22BD">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基金管理人应当在季度结束之日起</w:t>
      </w:r>
      <w:r w:rsidRPr="003307CA">
        <w:rPr>
          <w:rFonts w:asciiTheme="minorEastAsia" w:eastAsiaTheme="minorEastAsia" w:hAnsiTheme="minorEastAsia"/>
        </w:rPr>
        <w:t>15</w:t>
      </w:r>
      <w:r w:rsidRPr="003307CA">
        <w:rPr>
          <w:rFonts w:asciiTheme="minorEastAsia" w:eastAsiaTheme="minorEastAsia" w:hAnsiTheme="minorEastAsia" w:hint="eastAsia"/>
        </w:rPr>
        <w:t>个工作日内，编制完成基金季度报告，将季度报告登载在指定网站上，并将季度报告提示性公告登载在指定报刊上。</w:t>
      </w:r>
    </w:p>
    <w:p w:rsidR="007A22BD" w:rsidRPr="003307CA" w:rsidRDefault="007A22BD" w:rsidP="007A22BD">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《基金合同》生效不足</w:t>
      </w:r>
      <w:r w:rsidRPr="003307CA">
        <w:rPr>
          <w:rFonts w:asciiTheme="minorEastAsia" w:eastAsiaTheme="minorEastAsia" w:hAnsiTheme="minorEastAsia"/>
        </w:rPr>
        <w:t>2</w:t>
      </w:r>
      <w:r w:rsidRPr="003307CA">
        <w:rPr>
          <w:rFonts w:asciiTheme="minorEastAsia" w:eastAsiaTheme="minorEastAsia" w:hAnsiTheme="minorEastAsia" w:hint="eastAsia"/>
        </w:rPr>
        <w:t>个月的，基金管理人可以不编制当期季度报告、中期报告或者年度报告。</w:t>
      </w:r>
    </w:p>
    <w:p w:rsidR="00B20E00" w:rsidRPr="003307CA" w:rsidRDefault="00B20E00" w:rsidP="006D35EC">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本基金可以将不高于</w:t>
      </w:r>
      <w:r w:rsidRPr="003307CA">
        <w:rPr>
          <w:rFonts w:asciiTheme="minorEastAsia" w:eastAsiaTheme="minorEastAsia" w:hAnsiTheme="minorEastAsia"/>
        </w:rPr>
        <w:t>20%的股票资产投资于除在亚洲地区（日本除外）证券市场交易的企业以及在其他证券市场交易的亚洲企业（日本除外）之外的其他企业，该部分股票的投资比例应在定期报告中披露。</w:t>
      </w:r>
    </w:p>
    <w:p w:rsidR="007A22BD" w:rsidRPr="003307CA" w:rsidRDefault="007A22BD" w:rsidP="007A22BD">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7A22BD" w:rsidRPr="003307CA" w:rsidRDefault="007A22BD" w:rsidP="007A22BD">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基金持续运作过程中，基金</w:t>
      </w:r>
      <w:r w:rsidRPr="003307CA">
        <w:rPr>
          <w:rFonts w:asciiTheme="minorEastAsia" w:eastAsiaTheme="minorEastAsia" w:hAnsiTheme="minorEastAsia"/>
        </w:rPr>
        <w:t>管理人</w:t>
      </w:r>
      <w:r w:rsidRPr="003307CA">
        <w:rPr>
          <w:rFonts w:asciiTheme="minorEastAsia" w:eastAsiaTheme="minorEastAsia" w:hAnsiTheme="minorEastAsia" w:hint="eastAsia"/>
        </w:rPr>
        <w:t>应当在基金年度报告和中期报告中披露基金组合资产情况及其流动性风险分析等。</w:t>
      </w:r>
    </w:p>
    <w:p w:rsidR="000E11E7" w:rsidRPr="003307CA" w:rsidRDefault="000E11E7" w:rsidP="006D35EC">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（七）临时报告</w:t>
      </w:r>
    </w:p>
    <w:p w:rsidR="007A22BD" w:rsidRPr="003307CA" w:rsidRDefault="007A22BD" w:rsidP="007A22BD">
      <w:pPr>
        <w:spacing w:line="336"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本基金发生重大事件，有关信息披露义务人应当在</w:t>
      </w:r>
      <w:r w:rsidRPr="003307CA">
        <w:rPr>
          <w:rFonts w:asciiTheme="minorEastAsia" w:eastAsiaTheme="minorEastAsia" w:hAnsiTheme="minorEastAsia"/>
        </w:rPr>
        <w:t>2</w:t>
      </w:r>
      <w:r w:rsidRPr="003307CA">
        <w:rPr>
          <w:rFonts w:asciiTheme="minorEastAsia" w:eastAsiaTheme="minorEastAsia" w:hAnsiTheme="minorEastAsia" w:hint="eastAsia"/>
        </w:rPr>
        <w:t>日内编制临时报告书，并登载在指定报刊和指定网站上。</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前款所称重大事件，是指可能对基金份额持有人权益或者基金份额的价格产生重大影响的下列事件：</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w:t>
      </w:r>
      <w:r w:rsidRPr="003307CA">
        <w:rPr>
          <w:rFonts w:asciiTheme="minorEastAsia" w:eastAsiaTheme="minorEastAsia" w:hAnsiTheme="minorEastAsia" w:hint="eastAsia"/>
        </w:rPr>
        <w:t>）基金份额持有人大会的召开及决定的事项；</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2</w:t>
      </w:r>
      <w:r w:rsidRPr="003307CA">
        <w:rPr>
          <w:rFonts w:asciiTheme="minorEastAsia" w:eastAsiaTheme="minorEastAsia" w:hAnsiTheme="minorEastAsia" w:hint="eastAsia"/>
        </w:rPr>
        <w:t>）基金合同终止、基金清算；</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3</w:t>
      </w:r>
      <w:r w:rsidRPr="003307CA">
        <w:rPr>
          <w:rFonts w:asciiTheme="minorEastAsia" w:eastAsiaTheme="minorEastAsia" w:hAnsiTheme="minorEastAsia" w:hint="eastAsia"/>
        </w:rPr>
        <w:t>）转换基金运作方式、基金合并；</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4</w:t>
      </w:r>
      <w:r w:rsidRPr="003307CA">
        <w:rPr>
          <w:rFonts w:asciiTheme="minorEastAsia" w:eastAsiaTheme="minorEastAsia" w:hAnsiTheme="minorEastAsia" w:hint="eastAsia"/>
        </w:rPr>
        <w:t>）更换基金管理人、基金托管人、基金份额登记机构，基金改聘会计师事务所；</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5</w:t>
      </w:r>
      <w:r w:rsidRPr="003307CA">
        <w:rPr>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6</w:t>
      </w:r>
      <w:r w:rsidRPr="003307CA">
        <w:rPr>
          <w:rFonts w:asciiTheme="minorEastAsia" w:eastAsiaTheme="minorEastAsia" w:hAnsiTheme="minorEastAsia" w:hint="eastAsia"/>
        </w:rPr>
        <w:t>）基金管理人、基金托管人的法定名称、住所发生变更；</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7</w:t>
      </w:r>
      <w:r w:rsidRPr="003307CA">
        <w:rPr>
          <w:rFonts w:asciiTheme="minorEastAsia" w:eastAsiaTheme="minorEastAsia" w:hAnsiTheme="minorEastAsia" w:hint="eastAsia"/>
        </w:rPr>
        <w:t>）基金管理公司变更持有百分之五以上股权的股东、基金管理人的实际控制人变更；</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8</w:t>
      </w:r>
      <w:r w:rsidRPr="003307CA">
        <w:rPr>
          <w:rFonts w:asciiTheme="minorEastAsia" w:eastAsiaTheme="minorEastAsia" w:hAnsiTheme="minorEastAsia" w:hint="eastAsia"/>
        </w:rPr>
        <w:t>）基金募集期延长或提前结束募集；</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w:t>
      </w:r>
      <w:r w:rsidRPr="003307CA">
        <w:rPr>
          <w:rFonts w:asciiTheme="minorEastAsia" w:eastAsiaTheme="minorEastAsia" w:hAnsiTheme="minorEastAsia"/>
        </w:rPr>
        <w:t>9</w:t>
      </w:r>
      <w:r w:rsidRPr="003307CA">
        <w:rPr>
          <w:rFonts w:asciiTheme="minorEastAsia" w:eastAsiaTheme="minorEastAsia" w:hAnsiTheme="minorEastAsia" w:hint="eastAsia"/>
        </w:rPr>
        <w:t>）基金管理人的高级管理人员、基金经理和基金托管人专门基金托管部门负责人发生变动；</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10</w:t>
      </w:r>
      <w:r w:rsidRPr="003307CA">
        <w:rPr>
          <w:rFonts w:asciiTheme="minorEastAsia" w:eastAsiaTheme="minorEastAsia" w:hAnsiTheme="minorEastAsia" w:hint="eastAsia"/>
        </w:rPr>
        <w:t>）基金管理人的董事在最近</w:t>
      </w:r>
      <w:r w:rsidRPr="003307CA">
        <w:rPr>
          <w:rFonts w:asciiTheme="minorEastAsia" w:eastAsiaTheme="minorEastAsia" w:hAnsiTheme="minorEastAsia"/>
        </w:rPr>
        <w:t>12</w:t>
      </w:r>
      <w:r w:rsidRPr="003307CA">
        <w:rPr>
          <w:rFonts w:asciiTheme="minorEastAsia" w:eastAsiaTheme="minorEastAsia" w:hAnsiTheme="minorEastAsia" w:hint="eastAsia"/>
        </w:rPr>
        <w:t>个月内变更超过百分之五十，基金管理人、基金托管人专门基金托管部门的主要业务人员在最近</w:t>
      </w:r>
      <w:r w:rsidRPr="003307CA">
        <w:rPr>
          <w:rFonts w:asciiTheme="minorEastAsia" w:eastAsiaTheme="minorEastAsia" w:hAnsiTheme="minorEastAsia"/>
        </w:rPr>
        <w:t>12</w:t>
      </w:r>
      <w:r w:rsidRPr="003307CA">
        <w:rPr>
          <w:rFonts w:asciiTheme="minorEastAsia" w:eastAsiaTheme="minorEastAsia" w:hAnsiTheme="minorEastAsia" w:hint="eastAsia"/>
        </w:rPr>
        <w:t>个月内变动超过百分之三十；</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11</w:t>
      </w:r>
      <w:r w:rsidRPr="003307CA">
        <w:rPr>
          <w:rFonts w:asciiTheme="minorEastAsia" w:eastAsiaTheme="minorEastAsia" w:hAnsiTheme="minorEastAsia" w:hint="eastAsia"/>
        </w:rPr>
        <w:t>）涉及基金财产、基金管理业务、基金托管业务的诉讼或仲裁；</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12</w:t>
      </w:r>
      <w:r w:rsidRPr="003307CA">
        <w:rPr>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13</w:t>
      </w:r>
      <w:r w:rsidRPr="003307CA">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14</w:t>
      </w:r>
      <w:r w:rsidRPr="003307CA">
        <w:rPr>
          <w:rFonts w:asciiTheme="minorEastAsia" w:eastAsiaTheme="minorEastAsia" w:hAnsiTheme="minorEastAsia" w:hint="eastAsia"/>
        </w:rPr>
        <w:t>）基金收益分配事项；</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15</w:t>
      </w:r>
      <w:r w:rsidRPr="003307CA">
        <w:rPr>
          <w:rFonts w:asciiTheme="minorEastAsia" w:eastAsiaTheme="minorEastAsia" w:hAnsiTheme="minorEastAsia" w:hint="eastAsia"/>
        </w:rPr>
        <w:t>）管理费、托管费、申购费、赎回费等费用计提标准、计提方式和费率发生变更；</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16</w:t>
      </w:r>
      <w:r w:rsidRPr="003307CA">
        <w:rPr>
          <w:rFonts w:asciiTheme="minorEastAsia" w:eastAsiaTheme="minorEastAsia" w:hAnsiTheme="minorEastAsia" w:hint="eastAsia"/>
        </w:rPr>
        <w:t>）基金份额净值计价错误达基金份额净值百分之零点五；</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17</w:t>
      </w:r>
      <w:r w:rsidRPr="003307CA">
        <w:rPr>
          <w:rFonts w:asciiTheme="minorEastAsia" w:eastAsiaTheme="minorEastAsia" w:hAnsiTheme="minorEastAsia" w:hint="eastAsia"/>
        </w:rPr>
        <w:t>）本基金开始办理申购、赎回；</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18</w:t>
      </w:r>
      <w:r w:rsidRPr="003307CA">
        <w:rPr>
          <w:rFonts w:asciiTheme="minorEastAsia" w:eastAsiaTheme="minorEastAsia" w:hAnsiTheme="minorEastAsia" w:hint="eastAsia"/>
        </w:rPr>
        <w:t>）本基金暂停接受申购、赎回申请或重新接受申购、赎回申请；</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19</w:t>
      </w:r>
      <w:r w:rsidRPr="003307CA">
        <w:rPr>
          <w:rFonts w:asciiTheme="minorEastAsia" w:eastAsiaTheme="minorEastAsia" w:hAnsiTheme="minorEastAsia" w:hint="eastAsia"/>
        </w:rPr>
        <w:t>）调整基金份额类别的设置；</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20</w:t>
      </w:r>
      <w:r w:rsidRPr="003307CA">
        <w:rPr>
          <w:rFonts w:asciiTheme="minorEastAsia" w:eastAsiaTheme="minorEastAsia" w:hAnsiTheme="minorEastAsia" w:hint="eastAsia"/>
        </w:rPr>
        <w:t>）基金推出新业务或服务；</w:t>
      </w:r>
    </w:p>
    <w:p w:rsidR="007A22BD" w:rsidRPr="003307CA" w:rsidRDefault="007A22BD" w:rsidP="007A22BD">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21</w:t>
      </w:r>
      <w:r w:rsidRPr="003307CA">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（八）澄清公告</w:t>
      </w:r>
    </w:p>
    <w:p w:rsidR="00CB5EBC" w:rsidRPr="003307CA" w:rsidRDefault="00CB5EBC"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B5EBC" w:rsidRPr="003307CA" w:rsidRDefault="00CB5EBC"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（九）清算报告</w:t>
      </w:r>
    </w:p>
    <w:p w:rsidR="00CB5EBC" w:rsidRPr="003307CA" w:rsidRDefault="00CB5EBC"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00CB5EBC" w:rsidRPr="003307CA">
        <w:rPr>
          <w:rFonts w:asciiTheme="minorEastAsia" w:eastAsiaTheme="minorEastAsia" w:hAnsiTheme="minorEastAsia" w:hint="eastAsia"/>
        </w:rPr>
        <w:t>十</w:t>
      </w:r>
      <w:r w:rsidRPr="003307CA">
        <w:rPr>
          <w:rFonts w:asciiTheme="minorEastAsia" w:eastAsiaTheme="minorEastAsia" w:hAnsiTheme="minorEastAsia" w:hint="eastAsia"/>
        </w:rPr>
        <w:t>）基金份额持有人大会决议</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基金份额持有人大会决定的事项，应当依法报国务院证券监督管理机构核准或者备案，并予以公告。召开基金份额持有人大会的，召集人应当至少提前4</w:t>
      </w:r>
      <w:r w:rsidRPr="003307CA">
        <w:rPr>
          <w:rFonts w:asciiTheme="minorEastAsia" w:eastAsiaTheme="minorEastAsia" w:hAnsiTheme="minorEastAsia"/>
        </w:rPr>
        <w:t>0</w:t>
      </w:r>
      <w:r w:rsidRPr="003307CA">
        <w:rPr>
          <w:rFonts w:asciiTheme="minorEastAsia" w:eastAsiaTheme="minorEastAsia" w:hAnsiTheme="minorEastAsia" w:hint="eastAsia"/>
        </w:rPr>
        <w:t>日公告基金份额持有人</w:t>
      </w:r>
      <w:r w:rsidRPr="003307CA">
        <w:rPr>
          <w:rFonts w:asciiTheme="minorEastAsia" w:eastAsiaTheme="minorEastAsia" w:hAnsiTheme="minorEastAsia" w:hint="eastAsia"/>
        </w:rPr>
        <w:lastRenderedPageBreak/>
        <w:t>大会的召开时间、会议形式、审议事项、议事程序和表决方式等事项。</w:t>
      </w:r>
    </w:p>
    <w:p w:rsidR="000E11E7" w:rsidRPr="003307CA" w:rsidRDefault="000E11E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基金份额持有人依法自行召集基金份额持有人大会，基金管理人、基金托管人对基金份额持有人大会决定的事项不依法履行信息披露义务的，召集人应当履行相关信息披露义务。</w:t>
      </w:r>
    </w:p>
    <w:p w:rsidR="000E11E7" w:rsidRPr="003307CA" w:rsidRDefault="000E11E7" w:rsidP="004D1E0F">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（十</w:t>
      </w:r>
      <w:r w:rsidR="00CB5EBC" w:rsidRPr="003307CA">
        <w:rPr>
          <w:rFonts w:asciiTheme="minorEastAsia" w:eastAsiaTheme="minorEastAsia" w:hAnsiTheme="minorEastAsia" w:hint="eastAsia"/>
        </w:rPr>
        <w:t>一</w:t>
      </w:r>
      <w:r w:rsidRPr="003307CA">
        <w:rPr>
          <w:rFonts w:asciiTheme="minorEastAsia" w:eastAsiaTheme="minorEastAsia" w:hAnsiTheme="minorEastAsia" w:hint="eastAsia"/>
        </w:rPr>
        <w:t>）中国证监会规定的其他信息。</w:t>
      </w:r>
    </w:p>
    <w:p w:rsidR="000E11E7" w:rsidRPr="003307CA"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6" w:name="_Toc44351139"/>
      <w:r w:rsidRPr="003307CA">
        <w:rPr>
          <w:rFonts w:asciiTheme="minorEastAsia" w:eastAsiaTheme="minorEastAsia" w:hAnsiTheme="minorEastAsia" w:hint="eastAsia"/>
          <w:b w:val="0"/>
        </w:rPr>
        <w:t>六、信息披露事务管理</w:t>
      </w:r>
      <w:bookmarkEnd w:id="246"/>
    </w:p>
    <w:p w:rsidR="008F0DC0" w:rsidRPr="003307CA" w:rsidRDefault="008F0DC0"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基金管理人、基金托管人应当建立健全信息披露管理制度，指定专门部门及高级管理人员负责管理信息披露事务。</w:t>
      </w:r>
    </w:p>
    <w:p w:rsidR="008F0DC0" w:rsidRPr="003307CA" w:rsidRDefault="008F0DC0"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基金信息披露义务人公开披露基金信息，应当符合中国证监会相关基金信息披露内容与格式准则等法规的规定。</w:t>
      </w:r>
    </w:p>
    <w:p w:rsidR="008F0DC0" w:rsidRPr="003307CA" w:rsidRDefault="008F0DC0"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F0DC0" w:rsidRPr="003307CA" w:rsidRDefault="008F0DC0"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8F0DC0" w:rsidRPr="003307CA" w:rsidRDefault="008F0DC0"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基金管理人、基金托管人除依法在指定媒介披露信息外，还可以根据需要在其他公共媒介披露信息，但是其他公共媒介不得早于指定媒介披露信息，并且在不同媒介上披露同一信息的内容应当一致。</w:t>
      </w:r>
    </w:p>
    <w:p w:rsidR="008F0DC0" w:rsidRPr="003307CA" w:rsidRDefault="008F0DC0"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E11E7" w:rsidRPr="003307CA"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7" w:name="_Toc44351140"/>
      <w:r w:rsidRPr="003307CA">
        <w:rPr>
          <w:rFonts w:asciiTheme="minorEastAsia" w:eastAsiaTheme="minorEastAsia" w:hAnsiTheme="minorEastAsia" w:hint="eastAsia"/>
          <w:b w:val="0"/>
        </w:rPr>
        <w:t>七、信息披露文件的存放与查阅</w:t>
      </w:r>
      <w:bookmarkEnd w:id="247"/>
    </w:p>
    <w:p w:rsidR="008F0DC0" w:rsidRPr="003307CA" w:rsidRDefault="008F0DC0"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64594E" w:rsidRPr="003307CA" w:rsidRDefault="001C5DC8"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有关基金交易管理、佣金返还安排、代理投票政策、流程、记录等文件，应当根据法律法规的规定，置备于基金管理人的住所，供投资者查阅。</w:t>
      </w:r>
    </w:p>
    <w:p w:rsidR="00256D1B" w:rsidRPr="003307CA" w:rsidRDefault="00256D1B" w:rsidP="00CE3F81">
      <w:pPr>
        <w:snapToGrid w:val="0"/>
        <w:spacing w:line="360" w:lineRule="auto"/>
        <w:ind w:firstLineChars="200" w:firstLine="420"/>
        <w:rPr>
          <w:rFonts w:asciiTheme="minorEastAsia" w:eastAsiaTheme="minorEastAsia" w:hAnsiTheme="minorEastAsia"/>
        </w:rPr>
      </w:pPr>
    </w:p>
    <w:p w:rsidR="00256D1B" w:rsidRPr="003307CA" w:rsidRDefault="00256D1B"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256D1B" w:rsidRPr="003307CA">
          <w:pgSz w:w="11906" w:h="16838" w:code="9"/>
          <w:pgMar w:top="1440" w:right="1800" w:bottom="1440" w:left="1800" w:header="851" w:footer="992" w:gutter="0"/>
          <w:cols w:space="425"/>
          <w:docGrid w:type="lines" w:linePitch="312"/>
        </w:sectPr>
      </w:pPr>
    </w:p>
    <w:p w:rsidR="00256D1B" w:rsidRPr="003307CA" w:rsidRDefault="00256D1B"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48" w:name="_Toc44351141"/>
      <w:r w:rsidRPr="003307CA">
        <w:rPr>
          <w:rFonts w:asciiTheme="minorEastAsia" w:eastAsiaTheme="minorEastAsia" w:hAnsiTheme="minorEastAsia" w:hint="eastAsia"/>
        </w:rPr>
        <w:lastRenderedPageBreak/>
        <w:t>基金合同的终止与基金财产的清算</w:t>
      </w:r>
      <w:bookmarkEnd w:id="248"/>
    </w:p>
    <w:p w:rsidR="0064594E" w:rsidRPr="003307CA"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49" w:name="_Toc97031319"/>
      <w:bookmarkStart w:id="250" w:name="_Toc97107279"/>
      <w:bookmarkStart w:id="251" w:name="_Toc86584659"/>
      <w:bookmarkStart w:id="252" w:name="_Toc44351142"/>
      <w:bookmarkEnd w:id="249"/>
      <w:bookmarkEnd w:id="250"/>
      <w:r w:rsidRPr="003307CA">
        <w:rPr>
          <w:rFonts w:asciiTheme="minorEastAsia" w:eastAsiaTheme="minorEastAsia" w:hAnsiTheme="minorEastAsia" w:hint="eastAsia"/>
          <w:b w:val="0"/>
        </w:rPr>
        <w:t>一</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基金合同的终止</w:t>
      </w:r>
      <w:bookmarkEnd w:id="251"/>
      <w:bookmarkEnd w:id="252"/>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出现下列情形之一的，经中国证监会核准后基金合同终止：</w:t>
      </w:r>
    </w:p>
    <w:p w:rsidR="005A7908" w:rsidRPr="003307CA" w:rsidRDefault="005A7908"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基金份额持有人大会决定终止的；</w:t>
      </w:r>
    </w:p>
    <w:p w:rsidR="005A7908" w:rsidRPr="003307CA" w:rsidRDefault="005A7908"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基金管理人、基金托管人职责终止，在6个月内没有新基金管理人、新基金托管人承接的；</w:t>
      </w:r>
    </w:p>
    <w:p w:rsidR="005A7908" w:rsidRPr="003307CA" w:rsidRDefault="005A7908"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《基金合同》约定的其他情形；</w:t>
      </w:r>
    </w:p>
    <w:p w:rsidR="0064594E" w:rsidRPr="003307CA" w:rsidRDefault="005A7908"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3307CA">
        <w:rPr>
          <w:rFonts w:asciiTheme="minorEastAsia" w:eastAsiaTheme="minorEastAsia" w:hAnsiTheme="minorEastAsia" w:hint="eastAsia"/>
        </w:rPr>
        <w:t>4</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相关法律法规和中国证监会规定的其他情况。</w:t>
      </w:r>
    </w:p>
    <w:p w:rsidR="0064594E" w:rsidRPr="003307CA"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53" w:name="_Toc86584660"/>
      <w:bookmarkStart w:id="254" w:name="_Toc44351143"/>
      <w:r w:rsidRPr="003307CA">
        <w:rPr>
          <w:rFonts w:asciiTheme="minorEastAsia" w:eastAsiaTheme="minorEastAsia" w:hAnsiTheme="minorEastAsia" w:hint="eastAsia"/>
          <w:b w:val="0"/>
        </w:rPr>
        <w:t>二</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基金财产的清算</w:t>
      </w:r>
      <w:bookmarkEnd w:id="253"/>
      <w:bookmarkEnd w:id="254"/>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基金财产清算小组：自出现《基金合同》终止事由之日起</w:t>
      </w:r>
      <w:r w:rsidRPr="003307CA">
        <w:rPr>
          <w:rFonts w:asciiTheme="minorEastAsia" w:eastAsiaTheme="minorEastAsia" w:hAnsiTheme="minorEastAsia"/>
        </w:rPr>
        <w:t>30</w:t>
      </w:r>
      <w:r w:rsidRPr="003307CA">
        <w:rPr>
          <w:rFonts w:asciiTheme="minorEastAsia" w:eastAsiaTheme="minorEastAsia" w:hAnsiTheme="minorEastAsia" w:hint="eastAsia"/>
        </w:rPr>
        <w:t>个工作日内成立基金财产清算小组，基金管理人组织基金财产清算小组并在中国证监会的监督下进行基金清算。</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基金财产清算小组职责：基金财产清算小组负责基金财产的保管、清理、估价、变现和分配。基金财产清算小组可以依法进行必要的民事活动。</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基金财产清算程序：</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（1）《基金合同》终止后，由基金财产清算小组统一接管基金财产；</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（2）对基金财产和债权债务进行清理和确认；</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（3）对基金财产进行估值和变现；</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（4）制作清算报告；</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（5）聘请会计师事务所对清算报告进行外部审计，聘请律师事务所对清算报告出具法律意见书；</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（6）将清算报告报中国证监会备案并公告；</w:t>
      </w:r>
    </w:p>
    <w:p w:rsidR="00512792"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（7）对基金剩余财产进行分配。</w:t>
      </w:r>
    </w:p>
    <w:p w:rsidR="0064594E" w:rsidRPr="003307CA" w:rsidRDefault="00512792"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基金财产清算的期限为6个月。</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p>
    <w:p w:rsidR="00256D1B" w:rsidRPr="003307CA" w:rsidRDefault="00256D1B"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b/>
          <w:bCs/>
        </w:rPr>
      </w:pPr>
    </w:p>
    <w:p w:rsidR="004D1E0F" w:rsidRPr="003307CA" w:rsidRDefault="004D1E0F" w:rsidP="004D1E0F">
      <w:pPr>
        <w:snapToGrid w:val="0"/>
        <w:spacing w:line="360" w:lineRule="auto"/>
        <w:rPr>
          <w:rFonts w:asciiTheme="minorEastAsia" w:eastAsiaTheme="minorEastAsia" w:hAnsiTheme="minorEastAsia"/>
        </w:rPr>
      </w:pPr>
    </w:p>
    <w:p w:rsidR="00256D1B" w:rsidRPr="003307CA" w:rsidRDefault="00256D1B"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55" w:name="_Toc44351144"/>
      <w:r w:rsidRPr="003307CA">
        <w:rPr>
          <w:rFonts w:asciiTheme="minorEastAsia" w:eastAsiaTheme="minorEastAsia" w:hAnsiTheme="minorEastAsia" w:hint="eastAsia"/>
        </w:rPr>
        <w:lastRenderedPageBreak/>
        <w:t>基金托管人</w:t>
      </w:r>
      <w:bookmarkEnd w:id="255"/>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 xml:space="preserve">（一）基金托管人基本情况 </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名称：中国工商银行股份有限公司</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注册地址：北京市西城区复兴门内大街55号</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成立时间：</w:t>
      </w:r>
      <w:r w:rsidRPr="003307CA">
        <w:rPr>
          <w:rFonts w:asciiTheme="minorEastAsia" w:eastAsiaTheme="minorEastAsia" w:hAnsiTheme="minorEastAsia" w:hint="eastAsia"/>
          <w:spacing w:val="6"/>
        </w:rPr>
        <w:t>1984年1月1日</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法定代表人：陈四清</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注册资本：人民币35,640,625.7089万元</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联系电话：010-66105799</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联系人：郭明</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（二）主要人员情况</w:t>
      </w:r>
    </w:p>
    <w:p w:rsidR="002465F1" w:rsidRPr="003307CA" w:rsidRDefault="002465F1" w:rsidP="002465F1">
      <w:pPr>
        <w:pStyle w:val="af"/>
        <w:autoSpaceDE w:val="0"/>
        <w:autoSpaceDN w:val="0"/>
        <w:adjustRightInd w:val="0"/>
        <w:snapToGrid w:val="0"/>
        <w:spacing w:line="360" w:lineRule="auto"/>
        <w:ind w:firstLineChars="200" w:firstLine="444"/>
        <w:rPr>
          <w:rFonts w:asciiTheme="minorEastAsia" w:eastAsiaTheme="minorEastAsia" w:hAnsiTheme="minorEastAsia"/>
          <w:szCs w:val="21"/>
        </w:rPr>
      </w:pPr>
      <w:r w:rsidRPr="003307CA">
        <w:rPr>
          <w:rFonts w:asciiTheme="minorEastAsia" w:eastAsiaTheme="minorEastAsia" w:hAnsiTheme="minorEastAsia" w:hint="eastAsia"/>
          <w:spacing w:val="6"/>
        </w:rPr>
        <w:t>截至2019年9月，中国工商银行资产托管部共有员工208人，平均年龄33岁，95%以上员工拥有大学本科以上学历，高管人员均拥有研究生以上学历或高级技术职称。</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（三）基金托管业务经营情况</w:t>
      </w:r>
    </w:p>
    <w:p w:rsidR="002465F1" w:rsidRPr="003307CA" w:rsidRDefault="002465F1" w:rsidP="002465F1">
      <w:pPr>
        <w:pStyle w:val="af"/>
        <w:autoSpaceDE w:val="0"/>
        <w:autoSpaceDN w:val="0"/>
        <w:adjustRightInd w:val="0"/>
        <w:snapToGrid w:val="0"/>
        <w:spacing w:line="360" w:lineRule="auto"/>
        <w:ind w:firstLineChars="200" w:firstLine="444"/>
        <w:rPr>
          <w:rFonts w:asciiTheme="minorEastAsia" w:eastAsiaTheme="minorEastAsia" w:hAnsiTheme="minorEastAsia"/>
          <w:szCs w:val="21"/>
        </w:rPr>
      </w:pPr>
      <w:r w:rsidRPr="003307CA">
        <w:rPr>
          <w:rFonts w:asciiTheme="minorEastAsia" w:eastAsiaTheme="minorEastAsia" w:hAnsiTheme="minorEastAsia" w:hint="eastAsia"/>
          <w:spacing w:val="6"/>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（四）基金托管人的内部控制制度</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w:t>
      </w:r>
      <w:r w:rsidRPr="003307CA">
        <w:rPr>
          <w:rFonts w:asciiTheme="minorEastAsia" w:eastAsiaTheme="minorEastAsia" w:hAnsiTheme="minorEastAsia" w:hint="eastAsia"/>
          <w:szCs w:val="21"/>
        </w:rPr>
        <w:lastRenderedPageBreak/>
        <w:t>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1、内部风险控制目标</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2、内部风险控制组织结构</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3、内部风险控制原则</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（1）合法性原则。内控制度应当符合国家法律法规及监管机构的监管要求，并贯穿于托管业务经营管理活动的始终。</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（2）完整性原则。托管业务的各项经营管理活动都必须有相应的规范程序和监督制约；监督制约应渗透到托管业务的全过程和各个操作环节，覆盖所有的部门、岗位和人员。</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（3）及时性原则。托管业务经营活动必须在发生时能准确及时地记录；按照“内控优先”的原则，新设机构或新增业务品种时，必须做到已建立相关的规章制度。</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（4）审慎性原则。各项业务经营活动必须防范风险，审慎经营，保证基金资产和其他委托资产的安全与完整。</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（5）有效性原则。内控制度应根据国家政策、法律及经营管理的需要适时修改完善，并保证得到全面落实执行，不得有任何空间、时限及人员的例外。</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（6）独立性原则。设立专门履行托管人职责的管理部门；直接操作人员和控制人员必须相对独立，适当分离；内控制度的检查、评价部门必须独立于内控制度的制定和执行部门。</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4、内部风险控制措施实施</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（4）经营控制。资产托管部通过制定计划、编制预算等方法开展各种业务营销活动、处理各项事务，从而有效地控制和配置组织资源，达到资源利用和效益最大化目的。</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（6）数据安全控制。我们通过业务操作区相对独立、数据和传真加密、数据传输线路的冗余备份、监控设施的运用和保障等措施来保障数据安全。</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5、资产托管部内部风险控制情况</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（1）资产托管部内部设置专职稽核监察部门，配备专职稽核监察人员，在总经理的直接领导下，依照有关法律规章，全面贯彻落实全程监控思想，确保资产托管业务健康、稳定地发展。</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（4）内部风险控制始终是托管部工作重点之一，保持与业务发展同等地位。资产托管业务是商业银行新兴的中间业务，资产托管部从成立之日起就特别强调规范运作，一直将建</w:t>
      </w:r>
      <w:r w:rsidRPr="003307CA">
        <w:rPr>
          <w:rFonts w:asciiTheme="minorEastAsia" w:eastAsiaTheme="minorEastAsia" w:hAnsiTheme="minorEastAsia" w:hint="eastAsia"/>
          <w:szCs w:val="21"/>
        </w:rPr>
        <w:lastRenderedPageBreak/>
        <w:t xml:space="preserve">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（五）基金托管人对基金管理人运作基金进行监督的方法和程序</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5E2802"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基金托管人发现基金管理人有重大违规行为，应立即报告中国证监会，同时通知基金管理人限期纠正。</w:t>
      </w:r>
    </w:p>
    <w:p w:rsidR="005E2802" w:rsidRPr="003307CA" w:rsidRDefault="005E2802">
      <w:pPr>
        <w:widowControl/>
        <w:jc w:val="left"/>
        <w:rPr>
          <w:rFonts w:asciiTheme="minorEastAsia" w:eastAsiaTheme="minorEastAsia" w:hAnsiTheme="minorEastAsia"/>
          <w:szCs w:val="21"/>
        </w:rPr>
      </w:pPr>
      <w:r w:rsidRPr="003307CA">
        <w:rPr>
          <w:rFonts w:asciiTheme="minorEastAsia" w:eastAsiaTheme="minorEastAsia" w:hAnsiTheme="minorEastAsia"/>
          <w:szCs w:val="21"/>
        </w:rPr>
        <w:br w:type="page"/>
      </w: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p>
    <w:p w:rsidR="002465F1" w:rsidRPr="003307CA"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p>
    <w:p w:rsidR="00011968" w:rsidRPr="003307CA" w:rsidRDefault="00011968"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56" w:name="_Toc40458065"/>
      <w:bookmarkStart w:id="257" w:name="_Toc40458066"/>
      <w:bookmarkStart w:id="258" w:name="_Toc40458067"/>
      <w:bookmarkStart w:id="259" w:name="_Toc40458068"/>
      <w:bookmarkStart w:id="260" w:name="_Toc40458069"/>
      <w:bookmarkStart w:id="261" w:name="_Toc40458070"/>
      <w:bookmarkStart w:id="262" w:name="_Toc40458071"/>
      <w:bookmarkStart w:id="263" w:name="_Toc40458072"/>
      <w:bookmarkStart w:id="264" w:name="_Toc40458073"/>
      <w:bookmarkStart w:id="265" w:name="_Toc40458074"/>
      <w:bookmarkStart w:id="266" w:name="_Toc40458075"/>
      <w:bookmarkStart w:id="267" w:name="_Toc40458076"/>
      <w:bookmarkStart w:id="268" w:name="_Toc40458077"/>
      <w:bookmarkStart w:id="269" w:name="_Toc40458078"/>
      <w:bookmarkStart w:id="270" w:name="_Toc40458079"/>
      <w:bookmarkStart w:id="271" w:name="_Toc40458080"/>
      <w:bookmarkStart w:id="272" w:name="_Toc40458081"/>
      <w:bookmarkStart w:id="273" w:name="_Toc40458082"/>
      <w:bookmarkStart w:id="274" w:name="_Toc40458083"/>
      <w:bookmarkStart w:id="275" w:name="_Toc40458084"/>
      <w:bookmarkStart w:id="276" w:name="_Toc40458085"/>
      <w:bookmarkStart w:id="277" w:name="_Toc40458086"/>
      <w:bookmarkStart w:id="278" w:name="_Toc40458087"/>
      <w:bookmarkStart w:id="279" w:name="_Toc40458088"/>
      <w:bookmarkStart w:id="280" w:name="_Toc40458089"/>
      <w:bookmarkStart w:id="281" w:name="_Toc40458090"/>
      <w:bookmarkStart w:id="282" w:name="_Toc40458091"/>
      <w:bookmarkStart w:id="283" w:name="_Toc40458092"/>
      <w:bookmarkStart w:id="284" w:name="_Toc40458093"/>
      <w:bookmarkStart w:id="285" w:name="_Toc40458094"/>
      <w:bookmarkStart w:id="286" w:name="_Toc40458095"/>
      <w:bookmarkStart w:id="287" w:name="_Toc40458096"/>
      <w:bookmarkStart w:id="288" w:name="_Toc40458097"/>
      <w:bookmarkStart w:id="289" w:name="_Toc40458098"/>
      <w:bookmarkStart w:id="290" w:name="_Toc40458099"/>
      <w:bookmarkStart w:id="291" w:name="_Toc40458100"/>
      <w:bookmarkStart w:id="292" w:name="_Toc40458101"/>
      <w:bookmarkStart w:id="293" w:name="_Toc40458102"/>
      <w:bookmarkStart w:id="294" w:name="_Toc40458103"/>
      <w:bookmarkStart w:id="295" w:name="_Toc40458104"/>
      <w:bookmarkStart w:id="296" w:name="_Toc40458105"/>
      <w:bookmarkStart w:id="297" w:name="_Toc40458106"/>
      <w:bookmarkStart w:id="298" w:name="_Toc40458107"/>
      <w:bookmarkStart w:id="299" w:name="_Toc40458108"/>
      <w:bookmarkStart w:id="300" w:name="_Toc40458109"/>
      <w:bookmarkStart w:id="301" w:name="_Toc4435114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3307CA">
        <w:rPr>
          <w:rFonts w:asciiTheme="minorEastAsia" w:eastAsiaTheme="minorEastAsia" w:hAnsiTheme="minorEastAsia" w:hint="eastAsia"/>
        </w:rPr>
        <w:t>境外资产托管人</w:t>
      </w:r>
      <w:bookmarkEnd w:id="301"/>
    </w:p>
    <w:p w:rsidR="00296722" w:rsidRPr="003307CA" w:rsidRDefault="00296722" w:rsidP="00296722">
      <w:pPr>
        <w:tabs>
          <w:tab w:val="left" w:pos="1758"/>
        </w:tabs>
        <w:snapToGrid w:val="0"/>
        <w:spacing w:line="360" w:lineRule="auto"/>
        <w:ind w:firstLineChars="200" w:firstLine="560"/>
        <w:rPr>
          <w:rFonts w:asciiTheme="minorEastAsia" w:eastAsiaTheme="minorEastAsia" w:hAnsiTheme="minorEastAsia"/>
          <w:sz w:val="28"/>
          <w:szCs w:val="28"/>
        </w:rPr>
      </w:pPr>
      <w:r w:rsidRPr="003307CA">
        <w:rPr>
          <w:rFonts w:asciiTheme="minorEastAsia" w:eastAsiaTheme="minorEastAsia" w:hAnsiTheme="minorEastAsia" w:hint="eastAsia"/>
          <w:sz w:val="28"/>
          <w:szCs w:val="28"/>
        </w:rPr>
        <w:t>一、</w:t>
      </w:r>
      <w:r w:rsidRPr="003307CA">
        <w:rPr>
          <w:rFonts w:asciiTheme="minorEastAsia" w:eastAsiaTheme="minorEastAsia" w:hAnsiTheme="minorEastAsia"/>
          <w:sz w:val="28"/>
          <w:szCs w:val="28"/>
        </w:rPr>
        <w:t xml:space="preserve"> </w:t>
      </w:r>
      <w:r w:rsidRPr="003307CA">
        <w:rPr>
          <w:rFonts w:asciiTheme="minorEastAsia" w:eastAsiaTheme="minorEastAsia" w:hAnsiTheme="minorEastAsia" w:hint="eastAsia"/>
          <w:sz w:val="28"/>
          <w:szCs w:val="28"/>
        </w:rPr>
        <w:t>基本情况</w:t>
      </w:r>
      <w:r w:rsidRPr="003307CA">
        <w:rPr>
          <w:rFonts w:asciiTheme="minorEastAsia" w:eastAsiaTheme="minorEastAsia" w:hAnsiTheme="minorEastAsia"/>
          <w:sz w:val="28"/>
          <w:szCs w:val="28"/>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名称：渣打银行（香港）有限公司</w:t>
      </w:r>
      <w:r w:rsidRPr="003307CA">
        <w:rPr>
          <w:rFonts w:asciiTheme="minorEastAsia" w:eastAsiaTheme="minorEastAsia" w:hAnsiTheme="minorEastAsia"/>
          <w:szCs w:val="21"/>
        </w:rPr>
        <w:t xml:space="preserve"> [Standard Chartered Bank (Hong Kong) Limited]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法定代表人：禤惠仪女士</w:t>
      </w:r>
      <w:r w:rsidRPr="003307CA">
        <w:rPr>
          <w:rFonts w:asciiTheme="minorEastAsia" w:eastAsiaTheme="minorEastAsia" w:hAnsiTheme="minorEastAsia"/>
          <w:szCs w:val="21"/>
        </w:rPr>
        <w:t xml:space="preserve">( Ms. Mary Huen )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组织形式：有限责任公司</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成立时间：渣打银行（香港）</w:t>
      </w:r>
      <w:r w:rsidRPr="003307CA">
        <w:rPr>
          <w:rFonts w:asciiTheme="minorEastAsia" w:eastAsiaTheme="minorEastAsia" w:hAnsiTheme="minorEastAsia"/>
          <w:szCs w:val="21"/>
        </w:rPr>
        <w:t xml:space="preserve"> </w:t>
      </w:r>
      <w:r w:rsidRPr="003307CA">
        <w:rPr>
          <w:rFonts w:asciiTheme="minorEastAsia" w:eastAsiaTheme="minorEastAsia" w:hAnsiTheme="minorEastAsia" w:hint="eastAsia"/>
          <w:szCs w:val="21"/>
        </w:rPr>
        <w:t>有限公司于</w:t>
      </w:r>
      <w:r w:rsidRPr="003307CA">
        <w:rPr>
          <w:rFonts w:asciiTheme="minorEastAsia" w:eastAsiaTheme="minorEastAsia" w:hAnsiTheme="minorEastAsia"/>
          <w:szCs w:val="21"/>
        </w:rPr>
        <w:t>2004</w:t>
      </w:r>
      <w:r w:rsidRPr="003307CA">
        <w:rPr>
          <w:rFonts w:asciiTheme="minorEastAsia" w:eastAsiaTheme="minorEastAsia" w:hAnsiTheme="minorEastAsia" w:hint="eastAsia"/>
          <w:szCs w:val="21"/>
        </w:rPr>
        <w:t>年</w:t>
      </w:r>
      <w:r w:rsidRPr="003307CA">
        <w:rPr>
          <w:rFonts w:asciiTheme="minorEastAsia" w:eastAsiaTheme="minorEastAsia" w:hAnsiTheme="minorEastAsia"/>
          <w:szCs w:val="21"/>
        </w:rPr>
        <w:t>7</w:t>
      </w:r>
      <w:r w:rsidRPr="003307CA">
        <w:rPr>
          <w:rFonts w:asciiTheme="minorEastAsia" w:eastAsiaTheme="minorEastAsia" w:hAnsiTheme="minorEastAsia" w:hint="eastAsia"/>
          <w:szCs w:val="21"/>
        </w:rPr>
        <w:t>月</w:t>
      </w:r>
      <w:r w:rsidRPr="003307CA">
        <w:rPr>
          <w:rFonts w:asciiTheme="minorEastAsia" w:eastAsiaTheme="minorEastAsia" w:hAnsiTheme="minorEastAsia"/>
          <w:szCs w:val="21"/>
        </w:rPr>
        <w:t>1</w:t>
      </w:r>
      <w:r w:rsidRPr="003307CA">
        <w:rPr>
          <w:rFonts w:asciiTheme="minorEastAsia" w:eastAsiaTheme="minorEastAsia" w:hAnsiTheme="minorEastAsia" w:hint="eastAsia"/>
          <w:szCs w:val="21"/>
        </w:rPr>
        <w:t>日完成在香港本地注册的手续。</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办公地址</w:t>
      </w:r>
      <w:r w:rsidRPr="003307CA">
        <w:rPr>
          <w:rFonts w:asciiTheme="minorEastAsia" w:eastAsiaTheme="minorEastAsia" w:hAnsiTheme="minorEastAsia"/>
          <w:szCs w:val="21"/>
        </w:rPr>
        <w:t xml:space="preserve">: </w:t>
      </w:r>
      <w:r w:rsidRPr="003307CA">
        <w:rPr>
          <w:rFonts w:asciiTheme="minorEastAsia" w:eastAsiaTheme="minorEastAsia" w:hAnsiTheme="minorEastAsia" w:hint="eastAsia"/>
          <w:szCs w:val="21"/>
        </w:rPr>
        <w:t>香港九龙官塘道</w:t>
      </w:r>
      <w:r w:rsidRPr="003307CA">
        <w:rPr>
          <w:rFonts w:asciiTheme="minorEastAsia" w:eastAsiaTheme="minorEastAsia" w:hAnsiTheme="minorEastAsia"/>
          <w:szCs w:val="21"/>
        </w:rPr>
        <w:t>388</w:t>
      </w:r>
      <w:r w:rsidRPr="003307CA">
        <w:rPr>
          <w:rFonts w:asciiTheme="minorEastAsia" w:eastAsiaTheme="minorEastAsia" w:hAnsiTheme="minorEastAsia" w:hint="eastAsia"/>
          <w:szCs w:val="21"/>
        </w:rPr>
        <w:t>号渣打中心十五楼</w:t>
      </w:r>
      <w:r w:rsidRPr="003307CA">
        <w:rPr>
          <w:rFonts w:asciiTheme="minorEastAsia" w:eastAsiaTheme="minorEastAsia" w:hAnsiTheme="minorEastAsia"/>
          <w:szCs w:val="21"/>
        </w:rPr>
        <w:t xml:space="preserve"> 15/F., Standard Chartered Tower, 388 Kwun Tong Road, Kowloon, Hong Kong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注册地址：香港中环德辅道中四至四</w:t>
      </w:r>
      <w:r w:rsidRPr="003307CA">
        <w:rPr>
          <w:rFonts w:asciiTheme="minorEastAsia" w:eastAsiaTheme="minorEastAsia" w:hAnsiTheme="minorEastAsia"/>
          <w:szCs w:val="21"/>
        </w:rPr>
        <w:t>A</w:t>
      </w:r>
      <w:r w:rsidRPr="003307CA">
        <w:rPr>
          <w:rFonts w:asciiTheme="minorEastAsia" w:eastAsiaTheme="minorEastAsia" w:hAnsiTheme="minorEastAsia" w:hint="eastAsia"/>
          <w:szCs w:val="21"/>
        </w:rPr>
        <w:t>渣打银行大厦三十二楼</w:t>
      </w:r>
      <w:r w:rsidRPr="003307CA">
        <w:rPr>
          <w:rFonts w:asciiTheme="minorEastAsia" w:eastAsiaTheme="minorEastAsia" w:hAnsiTheme="minorEastAsia"/>
          <w:szCs w:val="21"/>
        </w:rPr>
        <w:t xml:space="preserve"> 32/F., Standard Chartered Bank Building, 4-4A Des Voeux Road, Central, Hong Kong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已发行及缴足股本</w:t>
      </w:r>
      <w:r w:rsidRPr="003307CA">
        <w:rPr>
          <w:rFonts w:asciiTheme="minorEastAsia" w:eastAsiaTheme="minorEastAsia" w:hAnsiTheme="minorEastAsia"/>
          <w:szCs w:val="21"/>
        </w:rPr>
        <w:t xml:space="preserve">: HKD20,256,000,000.00 </w:t>
      </w:r>
      <w:r w:rsidRPr="003307CA">
        <w:rPr>
          <w:rFonts w:asciiTheme="minorEastAsia" w:eastAsiaTheme="minorEastAsia" w:hAnsiTheme="minorEastAsia" w:hint="eastAsia"/>
          <w:szCs w:val="21"/>
        </w:rPr>
        <w:t>截至</w:t>
      </w:r>
      <w:r w:rsidRPr="003307CA">
        <w:rPr>
          <w:rFonts w:asciiTheme="minorEastAsia" w:eastAsiaTheme="minorEastAsia" w:hAnsiTheme="minorEastAsia"/>
          <w:szCs w:val="21"/>
        </w:rPr>
        <w:t>2017</w:t>
      </w:r>
      <w:r w:rsidRPr="003307CA">
        <w:rPr>
          <w:rFonts w:asciiTheme="minorEastAsia" w:eastAsiaTheme="minorEastAsia" w:hAnsiTheme="minorEastAsia" w:hint="eastAsia"/>
          <w:szCs w:val="21"/>
        </w:rPr>
        <w:t>年</w:t>
      </w:r>
      <w:r w:rsidRPr="003307CA">
        <w:rPr>
          <w:rFonts w:asciiTheme="minorEastAsia" w:eastAsiaTheme="minorEastAsia" w:hAnsiTheme="minorEastAsia"/>
          <w:szCs w:val="21"/>
        </w:rPr>
        <w:t>6</w:t>
      </w:r>
      <w:r w:rsidRPr="003307CA">
        <w:rPr>
          <w:rFonts w:asciiTheme="minorEastAsia" w:eastAsiaTheme="minorEastAsia" w:hAnsiTheme="minorEastAsia" w:hint="eastAsia"/>
          <w:szCs w:val="21"/>
        </w:rPr>
        <w:t>月</w:t>
      </w:r>
      <w:r w:rsidRPr="003307CA">
        <w:rPr>
          <w:rFonts w:asciiTheme="minorEastAsia" w:eastAsiaTheme="minorEastAsia" w:hAnsiTheme="minorEastAsia"/>
          <w:szCs w:val="21"/>
        </w:rPr>
        <w:t>30</w:t>
      </w:r>
      <w:r w:rsidRPr="003307CA">
        <w:rPr>
          <w:rFonts w:asciiTheme="minorEastAsia" w:eastAsiaTheme="minorEastAsia" w:hAnsiTheme="minorEastAsia" w:hint="eastAsia"/>
          <w:szCs w:val="21"/>
        </w:rPr>
        <w:t>日</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存续期间：持续经营</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渣打银行在</w:t>
      </w:r>
      <w:r w:rsidRPr="003307CA">
        <w:rPr>
          <w:rFonts w:asciiTheme="minorEastAsia" w:eastAsiaTheme="minorEastAsia" w:hAnsiTheme="minorEastAsia"/>
          <w:szCs w:val="21"/>
        </w:rPr>
        <w:t>1853</w:t>
      </w:r>
      <w:r w:rsidRPr="003307CA">
        <w:rPr>
          <w:rFonts w:asciiTheme="minorEastAsia" w:eastAsiaTheme="minorEastAsia" w:hAnsiTheme="minorEastAsia" w:hint="eastAsia"/>
          <w:szCs w:val="21"/>
        </w:rPr>
        <w:t>年获得英国皇家特许状注册成立，至今已有超过</w:t>
      </w:r>
      <w:r w:rsidRPr="003307CA">
        <w:rPr>
          <w:rFonts w:asciiTheme="minorEastAsia" w:eastAsiaTheme="minorEastAsia" w:hAnsiTheme="minorEastAsia"/>
          <w:szCs w:val="21"/>
        </w:rPr>
        <w:t>160</w:t>
      </w:r>
      <w:r w:rsidRPr="003307CA">
        <w:rPr>
          <w:rFonts w:asciiTheme="minorEastAsia" w:eastAsiaTheme="minorEastAsia" w:hAnsiTheme="minorEastAsia" w:hint="eastAsia"/>
          <w:szCs w:val="21"/>
        </w:rPr>
        <w:t>年的历史。渣打集团的业务遍及全球增长最快的市场，拥有超过</w:t>
      </w:r>
      <w:r w:rsidRPr="003307CA">
        <w:rPr>
          <w:rFonts w:asciiTheme="minorEastAsia" w:eastAsiaTheme="minorEastAsia" w:hAnsiTheme="minorEastAsia"/>
          <w:szCs w:val="21"/>
        </w:rPr>
        <w:t>1,100</w:t>
      </w:r>
      <w:r w:rsidRPr="003307CA">
        <w:rPr>
          <w:rFonts w:asciiTheme="minorEastAsia" w:eastAsiaTheme="minorEastAsia" w:hAnsiTheme="minorEastAsia" w:hint="eastAsia"/>
          <w:szCs w:val="21"/>
        </w:rPr>
        <w:t>个经营网点（包括子公司、关联公司和合资公司），涉及亚太地区、南亚、中东、非洲、英国和美国等</w:t>
      </w:r>
      <w:r w:rsidRPr="003307CA">
        <w:rPr>
          <w:rFonts w:asciiTheme="minorEastAsia" w:eastAsiaTheme="minorEastAsia" w:hAnsiTheme="minorEastAsia"/>
          <w:szCs w:val="21"/>
        </w:rPr>
        <w:t>60</w:t>
      </w:r>
      <w:r w:rsidRPr="003307CA">
        <w:rPr>
          <w:rFonts w:asciiTheme="minorEastAsia" w:eastAsiaTheme="minorEastAsia" w:hAnsiTheme="minorEastAsia" w:hint="eastAsia"/>
          <w:szCs w:val="21"/>
        </w:rPr>
        <w:t>个国家。渣打银行现有超过</w:t>
      </w:r>
      <w:r w:rsidRPr="003307CA">
        <w:rPr>
          <w:rFonts w:asciiTheme="minorEastAsia" w:eastAsiaTheme="minorEastAsia" w:hAnsiTheme="minorEastAsia"/>
          <w:szCs w:val="21"/>
        </w:rPr>
        <w:t>80,000</w:t>
      </w:r>
      <w:r w:rsidRPr="003307CA">
        <w:rPr>
          <w:rFonts w:asciiTheme="minorEastAsia" w:eastAsiaTheme="minorEastAsia" w:hAnsiTheme="minorEastAsia" w:hint="eastAsia"/>
          <w:szCs w:val="21"/>
        </w:rPr>
        <w:t>名雇员，来自</w:t>
      </w:r>
      <w:r w:rsidRPr="003307CA">
        <w:rPr>
          <w:rFonts w:asciiTheme="minorEastAsia" w:eastAsiaTheme="minorEastAsia" w:hAnsiTheme="minorEastAsia"/>
          <w:szCs w:val="21"/>
        </w:rPr>
        <w:t>130</w:t>
      </w:r>
      <w:r w:rsidRPr="003307CA">
        <w:rPr>
          <w:rFonts w:asciiTheme="minorEastAsia" w:eastAsiaTheme="minorEastAsia" w:hAnsiTheme="minorEastAsia" w:hint="eastAsia"/>
          <w:szCs w:val="21"/>
        </w:rPr>
        <w:t>个国家。</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渣打银行（香港）有限公司的证券资产托管规模截至</w:t>
      </w:r>
      <w:r w:rsidRPr="003307CA">
        <w:rPr>
          <w:rFonts w:asciiTheme="minorEastAsia" w:eastAsiaTheme="minorEastAsia" w:hAnsiTheme="minorEastAsia"/>
          <w:szCs w:val="21"/>
        </w:rPr>
        <w:t>2017</w:t>
      </w:r>
      <w:r w:rsidRPr="003307CA">
        <w:rPr>
          <w:rFonts w:asciiTheme="minorEastAsia" w:eastAsiaTheme="minorEastAsia" w:hAnsiTheme="minorEastAsia" w:hint="eastAsia"/>
          <w:szCs w:val="21"/>
        </w:rPr>
        <w:t>年</w:t>
      </w:r>
      <w:r w:rsidRPr="003307CA">
        <w:rPr>
          <w:rFonts w:asciiTheme="minorEastAsia" w:eastAsiaTheme="minorEastAsia" w:hAnsiTheme="minorEastAsia"/>
          <w:szCs w:val="21"/>
        </w:rPr>
        <w:t>6</w:t>
      </w:r>
      <w:r w:rsidRPr="003307CA">
        <w:rPr>
          <w:rFonts w:asciiTheme="minorEastAsia" w:eastAsiaTheme="minorEastAsia" w:hAnsiTheme="minorEastAsia" w:hint="eastAsia"/>
          <w:szCs w:val="21"/>
        </w:rPr>
        <w:t>月</w:t>
      </w:r>
      <w:r w:rsidRPr="003307CA">
        <w:rPr>
          <w:rFonts w:asciiTheme="minorEastAsia" w:eastAsiaTheme="minorEastAsia" w:hAnsiTheme="minorEastAsia"/>
          <w:szCs w:val="21"/>
        </w:rPr>
        <w:t>30</w:t>
      </w:r>
      <w:r w:rsidRPr="003307CA">
        <w:rPr>
          <w:rFonts w:asciiTheme="minorEastAsia" w:eastAsiaTheme="minorEastAsia" w:hAnsiTheme="minorEastAsia" w:hint="eastAsia"/>
          <w:szCs w:val="21"/>
        </w:rPr>
        <w:t>日维持在</w:t>
      </w:r>
      <w:r w:rsidRPr="003307CA">
        <w:rPr>
          <w:rFonts w:asciiTheme="minorEastAsia" w:eastAsiaTheme="minorEastAsia" w:hAnsiTheme="minorEastAsia"/>
          <w:szCs w:val="21"/>
        </w:rPr>
        <w:t>4,300</w:t>
      </w:r>
      <w:r w:rsidRPr="003307CA">
        <w:rPr>
          <w:rFonts w:asciiTheme="minorEastAsia" w:eastAsiaTheme="minorEastAsia" w:hAnsiTheme="minorEastAsia" w:hint="eastAsia"/>
          <w:szCs w:val="21"/>
        </w:rPr>
        <w:t>亿美元以上。</w:t>
      </w:r>
      <w:r w:rsidRPr="003307CA">
        <w:rPr>
          <w:rFonts w:asciiTheme="minorEastAsia" w:eastAsiaTheme="minorEastAsia" w:hAnsiTheme="minorEastAsia"/>
          <w:szCs w:val="21"/>
        </w:rPr>
        <w:t xml:space="preserve"> </w:t>
      </w:r>
    </w:p>
    <w:p w:rsidR="00296722" w:rsidRPr="003307CA" w:rsidRDefault="00296722" w:rsidP="00296722">
      <w:pPr>
        <w:tabs>
          <w:tab w:val="left" w:pos="1758"/>
        </w:tabs>
        <w:snapToGrid w:val="0"/>
        <w:spacing w:line="360" w:lineRule="auto"/>
        <w:ind w:firstLineChars="200" w:firstLine="560"/>
        <w:rPr>
          <w:rFonts w:asciiTheme="minorEastAsia" w:eastAsiaTheme="minorEastAsia" w:hAnsiTheme="minorEastAsia"/>
          <w:sz w:val="28"/>
          <w:szCs w:val="28"/>
        </w:rPr>
      </w:pPr>
      <w:r w:rsidRPr="003307CA">
        <w:rPr>
          <w:rFonts w:asciiTheme="minorEastAsia" w:eastAsiaTheme="minorEastAsia" w:hAnsiTheme="minorEastAsia" w:hint="eastAsia"/>
          <w:sz w:val="28"/>
          <w:szCs w:val="28"/>
        </w:rPr>
        <w:t>二、</w:t>
      </w:r>
      <w:r w:rsidRPr="003307CA">
        <w:rPr>
          <w:rFonts w:asciiTheme="minorEastAsia" w:eastAsiaTheme="minorEastAsia" w:hAnsiTheme="minorEastAsia"/>
          <w:sz w:val="28"/>
          <w:szCs w:val="28"/>
        </w:rPr>
        <w:t xml:space="preserve"> </w:t>
      </w:r>
      <w:r w:rsidRPr="003307CA">
        <w:rPr>
          <w:rFonts w:asciiTheme="minorEastAsia" w:eastAsiaTheme="minorEastAsia" w:hAnsiTheme="minorEastAsia" w:hint="eastAsia"/>
          <w:sz w:val="28"/>
          <w:szCs w:val="28"/>
        </w:rPr>
        <w:t>托管业务及主要人员情况</w:t>
      </w:r>
      <w:r w:rsidRPr="003307CA">
        <w:rPr>
          <w:rFonts w:asciiTheme="minorEastAsia" w:eastAsiaTheme="minorEastAsia" w:hAnsiTheme="minorEastAsia"/>
          <w:sz w:val="28"/>
          <w:szCs w:val="28"/>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渣打银行证券托管业务是渣打银行的核心业务之一，主要提供托管和投资组合会计服务，机构客户群广泛分布在北美，欧洲及亚洲。渣打银行在香港有超过五十年的证券托管经验，是亚洲区具备较强实力的托管银行之一。证券托管服务业务不仅是渣打银行的核心业务之一，该部门也是债打银行主要的利润来源部门。渣打银行集团董事会对证券托管业务提供了巨大支持，为证券托管业务发展提供相应的财务支持。</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渣打银行（香港）有限公司作为渣打银行的地区托管运作中心，支持该行在美洲、欧洲、澳洲、非洲、中东和亚洲的托管业务。渣打银行也在亚洲，非洲和中东</w:t>
      </w:r>
      <w:r w:rsidRPr="003307CA">
        <w:rPr>
          <w:rFonts w:asciiTheme="minorEastAsia" w:eastAsiaTheme="minorEastAsia" w:hAnsiTheme="minorEastAsia"/>
          <w:szCs w:val="21"/>
        </w:rPr>
        <w:t>40</w:t>
      </w:r>
      <w:r w:rsidRPr="003307CA">
        <w:rPr>
          <w:rFonts w:asciiTheme="minorEastAsia" w:eastAsiaTheme="minorEastAsia" w:hAnsiTheme="minorEastAsia" w:hint="eastAsia"/>
          <w:szCs w:val="21"/>
        </w:rPr>
        <w:t>个市場通过本地分行提供托管服务。</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基金托管人可以委托境外资产托管人履行以下职责：</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t>1.</w:t>
      </w:r>
      <w:r w:rsidRPr="003307CA">
        <w:rPr>
          <w:rFonts w:asciiTheme="minorEastAsia" w:eastAsiaTheme="minorEastAsia" w:hAnsiTheme="minorEastAsia" w:hint="eastAsia"/>
          <w:szCs w:val="21"/>
        </w:rPr>
        <w:t>安全保管基金财产；</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lastRenderedPageBreak/>
        <w:t>2.</w:t>
      </w:r>
      <w:r w:rsidRPr="003307CA">
        <w:rPr>
          <w:rFonts w:asciiTheme="minorEastAsia" w:eastAsiaTheme="minorEastAsia" w:hAnsiTheme="minorEastAsia" w:hint="eastAsia"/>
          <w:szCs w:val="21"/>
        </w:rPr>
        <w:t>计算境外基金资产的资产净值；</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t>3.</w:t>
      </w:r>
      <w:r w:rsidRPr="003307CA">
        <w:rPr>
          <w:rFonts w:asciiTheme="minorEastAsia" w:eastAsiaTheme="minorEastAsia" w:hAnsiTheme="minorEastAsia" w:hint="eastAsia"/>
          <w:szCs w:val="21"/>
        </w:rPr>
        <w:t>按照相关合同的约定，及时办理基金资产的清算、交割事宜；</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t>4.</w:t>
      </w:r>
      <w:r w:rsidRPr="003307CA">
        <w:rPr>
          <w:rFonts w:asciiTheme="minorEastAsia" w:eastAsiaTheme="minorEastAsia" w:hAnsiTheme="minorEastAsia" w:hint="eastAsia"/>
          <w:szCs w:val="21"/>
        </w:rPr>
        <w:t>按照相关合同的约定和所适用国家、地区法律法规的规定，开设基金资产的资金</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账户以及证券账户；</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t>5.</w:t>
      </w:r>
      <w:r w:rsidRPr="003307CA">
        <w:rPr>
          <w:rFonts w:asciiTheme="minorEastAsia" w:eastAsiaTheme="minorEastAsia" w:hAnsiTheme="minorEastAsia" w:hint="eastAsia"/>
          <w:szCs w:val="21"/>
        </w:rPr>
        <w:t>按照相关合同的约定，提供与基金资产业务活动有关的会计记录、交易信息；</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t>6.</w:t>
      </w:r>
      <w:r w:rsidRPr="003307CA">
        <w:rPr>
          <w:rFonts w:asciiTheme="minorEastAsia" w:eastAsiaTheme="minorEastAsia" w:hAnsiTheme="minorEastAsia" w:hint="eastAsia"/>
          <w:szCs w:val="21"/>
        </w:rPr>
        <w:t>保存基金资产托管业务活动的记录、账册以及其他相关资料；</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t>7.</w:t>
      </w:r>
      <w:r w:rsidRPr="003307CA">
        <w:rPr>
          <w:rFonts w:asciiTheme="minorEastAsia" w:eastAsiaTheme="minorEastAsia" w:hAnsiTheme="minorEastAsia" w:hint="eastAsia"/>
          <w:szCs w:val="21"/>
        </w:rPr>
        <w:t>其他由基金托管人委托其履行的职责。</w:t>
      </w:r>
      <w:r w:rsidRPr="003307CA">
        <w:rPr>
          <w:rFonts w:asciiTheme="minorEastAsia" w:eastAsiaTheme="minorEastAsia" w:hAnsiTheme="minorEastAsia"/>
          <w:szCs w:val="21"/>
        </w:rPr>
        <w:t xml:space="preserve"> </w:t>
      </w:r>
    </w:p>
    <w:p w:rsidR="00296722" w:rsidRPr="003307CA" w:rsidRDefault="00296722" w:rsidP="00296722">
      <w:pPr>
        <w:tabs>
          <w:tab w:val="left" w:pos="1758"/>
        </w:tabs>
        <w:snapToGrid w:val="0"/>
        <w:spacing w:line="360" w:lineRule="auto"/>
        <w:ind w:firstLineChars="200" w:firstLine="560"/>
        <w:rPr>
          <w:rFonts w:asciiTheme="minorEastAsia" w:eastAsiaTheme="minorEastAsia" w:hAnsiTheme="minorEastAsia"/>
          <w:sz w:val="28"/>
          <w:szCs w:val="28"/>
        </w:rPr>
      </w:pPr>
      <w:r w:rsidRPr="003307CA">
        <w:rPr>
          <w:rFonts w:asciiTheme="minorEastAsia" w:eastAsiaTheme="minorEastAsia" w:hAnsiTheme="minorEastAsia" w:hint="eastAsia"/>
          <w:sz w:val="28"/>
          <w:szCs w:val="28"/>
        </w:rPr>
        <w:t>三、</w:t>
      </w:r>
      <w:r w:rsidRPr="003307CA">
        <w:rPr>
          <w:rFonts w:asciiTheme="minorEastAsia" w:eastAsiaTheme="minorEastAsia" w:hAnsiTheme="minorEastAsia"/>
          <w:sz w:val="28"/>
          <w:szCs w:val="28"/>
        </w:rPr>
        <w:t xml:space="preserve"> </w:t>
      </w:r>
      <w:r w:rsidRPr="003307CA">
        <w:rPr>
          <w:rFonts w:asciiTheme="minorEastAsia" w:eastAsiaTheme="minorEastAsia" w:hAnsiTheme="minorEastAsia" w:hint="eastAsia"/>
          <w:sz w:val="28"/>
          <w:szCs w:val="28"/>
        </w:rPr>
        <w:t>实收资本证明文件或境外注册会计师出具的上一年度度末资产托管规模证明文件；</w:t>
      </w:r>
      <w:r w:rsidRPr="003307CA">
        <w:rPr>
          <w:rFonts w:asciiTheme="minorEastAsia" w:eastAsiaTheme="minorEastAsia" w:hAnsiTheme="minorEastAsia"/>
          <w:sz w:val="28"/>
          <w:szCs w:val="28"/>
        </w:rPr>
        <w:t xml:space="preserve"> </w:t>
      </w:r>
    </w:p>
    <w:p w:rsidR="00296722" w:rsidRPr="003307CA" w:rsidRDefault="00296722" w:rsidP="00296722">
      <w:pPr>
        <w:pStyle w:val="Default"/>
        <w:rPr>
          <w:rFonts w:asciiTheme="minorEastAsia" w:eastAsiaTheme="minorEastAsia" w:hAnsiTheme="minorEastAsia"/>
          <w:color w:val="auto"/>
          <w:sz w:val="20"/>
          <w:szCs w:val="20"/>
        </w:rPr>
      </w:pP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渣打银行（香港）有限公司的实收资本为</w:t>
      </w:r>
      <w:r w:rsidRPr="003307CA">
        <w:rPr>
          <w:rFonts w:asciiTheme="minorEastAsia" w:eastAsiaTheme="minorEastAsia" w:hAnsiTheme="minorEastAsia"/>
          <w:szCs w:val="21"/>
        </w:rPr>
        <w:t xml:space="preserve">: HKD20,256,000,000.00 </w:t>
      </w:r>
      <w:r w:rsidRPr="003307CA">
        <w:rPr>
          <w:rFonts w:asciiTheme="minorEastAsia" w:eastAsiaTheme="minorEastAsia" w:hAnsiTheme="minorEastAsia" w:hint="eastAsia"/>
          <w:szCs w:val="21"/>
        </w:rPr>
        <w:t>截至</w:t>
      </w:r>
      <w:r w:rsidRPr="003307CA">
        <w:rPr>
          <w:rFonts w:asciiTheme="minorEastAsia" w:eastAsiaTheme="minorEastAsia" w:hAnsiTheme="minorEastAsia"/>
          <w:szCs w:val="21"/>
        </w:rPr>
        <w:t>2017</w:t>
      </w:r>
      <w:r w:rsidRPr="003307CA">
        <w:rPr>
          <w:rFonts w:asciiTheme="minorEastAsia" w:eastAsiaTheme="minorEastAsia" w:hAnsiTheme="minorEastAsia" w:hint="eastAsia"/>
          <w:szCs w:val="21"/>
        </w:rPr>
        <w:t>年</w:t>
      </w:r>
      <w:r w:rsidRPr="003307CA">
        <w:rPr>
          <w:rFonts w:asciiTheme="minorEastAsia" w:eastAsiaTheme="minorEastAsia" w:hAnsiTheme="minorEastAsia"/>
          <w:szCs w:val="21"/>
        </w:rPr>
        <w:t>6</w:t>
      </w:r>
      <w:r w:rsidRPr="003307CA">
        <w:rPr>
          <w:rFonts w:asciiTheme="minorEastAsia" w:eastAsiaTheme="minorEastAsia" w:hAnsiTheme="minorEastAsia" w:hint="eastAsia"/>
          <w:szCs w:val="21"/>
        </w:rPr>
        <w:t>月</w:t>
      </w:r>
      <w:r w:rsidRPr="003307CA">
        <w:rPr>
          <w:rFonts w:asciiTheme="minorEastAsia" w:eastAsiaTheme="minorEastAsia" w:hAnsiTheme="minorEastAsia"/>
          <w:szCs w:val="21"/>
        </w:rPr>
        <w:t>30</w:t>
      </w:r>
      <w:r w:rsidRPr="003307CA">
        <w:rPr>
          <w:rFonts w:asciiTheme="minorEastAsia" w:eastAsiaTheme="minorEastAsia" w:hAnsiTheme="minorEastAsia" w:hint="eastAsia"/>
          <w:szCs w:val="21"/>
        </w:rPr>
        <w:t>日</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szCs w:val="21"/>
        </w:rPr>
        <w:t xml:space="preserve">https://www.sc.com/global/av/hk-scb-pressrelease1H2017.pdf </w:t>
      </w:r>
    </w:p>
    <w:p w:rsidR="00296722" w:rsidRPr="003307CA" w:rsidRDefault="00296722" w:rsidP="00296722">
      <w:pPr>
        <w:tabs>
          <w:tab w:val="left" w:pos="1758"/>
        </w:tabs>
        <w:snapToGrid w:val="0"/>
        <w:spacing w:line="360" w:lineRule="auto"/>
        <w:ind w:firstLineChars="200" w:firstLine="560"/>
        <w:rPr>
          <w:rFonts w:asciiTheme="minorEastAsia" w:eastAsiaTheme="minorEastAsia" w:hAnsiTheme="minorEastAsia"/>
          <w:sz w:val="28"/>
          <w:szCs w:val="28"/>
        </w:rPr>
      </w:pPr>
      <w:r w:rsidRPr="003307CA">
        <w:rPr>
          <w:rFonts w:asciiTheme="minorEastAsia" w:eastAsiaTheme="minorEastAsia" w:hAnsiTheme="minorEastAsia" w:hint="eastAsia"/>
          <w:sz w:val="28"/>
          <w:szCs w:val="28"/>
        </w:rPr>
        <w:t>四、</w:t>
      </w:r>
      <w:r w:rsidRPr="003307CA">
        <w:rPr>
          <w:rFonts w:asciiTheme="minorEastAsia" w:eastAsiaTheme="minorEastAsia" w:hAnsiTheme="minorEastAsia"/>
          <w:sz w:val="28"/>
          <w:szCs w:val="28"/>
        </w:rPr>
        <w:t xml:space="preserve"> </w:t>
      </w:r>
      <w:r w:rsidRPr="003307CA">
        <w:rPr>
          <w:rFonts w:asciiTheme="minorEastAsia" w:eastAsiaTheme="minorEastAsia" w:hAnsiTheme="minorEastAsia" w:hint="eastAsia"/>
          <w:sz w:val="28"/>
          <w:szCs w:val="28"/>
        </w:rPr>
        <w:t>托管部门人员配备、安全保管资产条件的说明</w:t>
      </w:r>
      <w:r w:rsidRPr="003307CA">
        <w:rPr>
          <w:rFonts w:asciiTheme="minorEastAsia" w:eastAsiaTheme="minorEastAsia" w:hAnsiTheme="minorEastAsia"/>
          <w:sz w:val="28"/>
          <w:szCs w:val="28"/>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渣打银行（香港）有限公司作为渣打银行的地区托管运作中心，支持该行在美洲、欧洲、澳洲、非洲、中东和亚洲的托管业务。对于国际投资者，他们根据多种直接托管模型或区域托管模型选择任命我们。</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在多种直接托管模型中，该客户与我们提供托管服务的分行</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支行直接签约或互动。</w:t>
      </w:r>
      <w:r w:rsidRPr="003307CA">
        <w:rPr>
          <w:rFonts w:asciiTheme="minorEastAsia" w:eastAsiaTheme="minorEastAsia" w:hAnsiTheme="minorEastAsia"/>
          <w:szCs w:val="21"/>
        </w:rPr>
        <w:t xml:space="preserve"> </w:t>
      </w:r>
      <w:r w:rsidRPr="003307CA">
        <w:rPr>
          <w:rFonts w:asciiTheme="minorEastAsia" w:eastAsiaTheme="minorEastAsia" w:hAnsiTheme="minorEastAsia" w:hint="eastAsia"/>
          <w:szCs w:val="21"/>
        </w:rPr>
        <w:t>另外，国际投资者可任命香港渣打银行作为区域托管银行，香港渣打银行在多个国家作为客户投资的单点联系人。我们的香港中心将为中国的</w:t>
      </w:r>
      <w:r w:rsidRPr="003307CA">
        <w:rPr>
          <w:rFonts w:asciiTheme="minorEastAsia" w:eastAsiaTheme="minorEastAsia" w:hAnsiTheme="minorEastAsia"/>
          <w:szCs w:val="21"/>
        </w:rPr>
        <w:t>QDII</w:t>
      </w:r>
      <w:r w:rsidRPr="003307CA">
        <w:rPr>
          <w:rFonts w:asciiTheme="minorEastAsia" w:eastAsiaTheme="minorEastAsia" w:hAnsiTheme="minorEastAsia" w:hint="eastAsia"/>
          <w:szCs w:val="21"/>
        </w:rPr>
        <w:t>客户提供服务。</w:t>
      </w:r>
      <w:r w:rsidRPr="003307CA">
        <w:rPr>
          <w:rFonts w:asciiTheme="minorEastAsia" w:eastAsiaTheme="minorEastAsia" w:hAnsiTheme="minorEastAsia"/>
          <w:szCs w:val="21"/>
        </w:rPr>
        <w:t xml:space="preserve"> </w:t>
      </w:r>
      <w:r w:rsidRPr="003307CA">
        <w:rPr>
          <w:rFonts w:asciiTheme="minorEastAsia" w:eastAsiaTheme="minorEastAsia" w:hAnsiTheme="minorEastAsia" w:hint="eastAsia"/>
          <w:szCs w:val="21"/>
        </w:rPr>
        <w:t>从内部运营程序外部采购来看，我们已经在印度陈奈和马来西亚吉隆坡建立了共享服务中心，在此采购各个国家的某些运营业务。</w:t>
      </w:r>
      <w:r w:rsidRPr="003307CA">
        <w:rPr>
          <w:rFonts w:asciiTheme="minorEastAsia" w:eastAsiaTheme="minorEastAsia" w:hAnsiTheme="minorEastAsia"/>
          <w:szCs w:val="21"/>
        </w:rPr>
        <w:t xml:space="preserve"> </w:t>
      </w:r>
      <w:r w:rsidRPr="003307CA">
        <w:rPr>
          <w:rFonts w:asciiTheme="minorEastAsia" w:eastAsiaTheme="minorEastAsia" w:hAnsiTheme="minorEastAsia" w:hint="eastAsia"/>
          <w:szCs w:val="21"/>
        </w:rPr>
        <w:t>在我们的所有服务中心，员工根据职能分组，例如结算、公司行动等等。渣打香港的托管部门现时大概有</w:t>
      </w:r>
      <w:r w:rsidRPr="003307CA">
        <w:rPr>
          <w:rFonts w:asciiTheme="minorEastAsia" w:eastAsiaTheme="minorEastAsia" w:hAnsiTheme="minorEastAsia"/>
          <w:szCs w:val="21"/>
        </w:rPr>
        <w:t xml:space="preserve">100 </w:t>
      </w:r>
      <w:r w:rsidRPr="003307CA">
        <w:rPr>
          <w:rFonts w:asciiTheme="minorEastAsia" w:eastAsiaTheme="minorEastAsia" w:hAnsiTheme="minorEastAsia" w:hint="eastAsia"/>
          <w:szCs w:val="21"/>
        </w:rPr>
        <w:t>名员工以上。</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在保管客户资产方面</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渣打银行的战略是集中我们的力量作为证券服务供应商提供独特的现场专家服务。我们据此对业务进行了战略审核，以评估我们对客户的价值理念。董事会明确支持和致力于业务，投资支出将与战略实施相符合。我们直接安排了经验丰富的人员，他们在当地市场了解和专门技术方面都具有极高水准。我们从结构和组织上调整我们的运营以协助</w:t>
      </w:r>
      <w:r w:rsidRPr="003307CA">
        <w:rPr>
          <w:rFonts w:asciiTheme="minorEastAsia" w:eastAsiaTheme="minorEastAsia" w:hAnsiTheme="minorEastAsia"/>
          <w:szCs w:val="21"/>
        </w:rPr>
        <w:t>ICBC</w:t>
      </w:r>
      <w:r w:rsidRPr="003307CA">
        <w:rPr>
          <w:rFonts w:asciiTheme="minorEastAsia" w:eastAsiaTheme="minorEastAsia" w:hAnsiTheme="minorEastAsia" w:hint="eastAsia"/>
          <w:szCs w:val="21"/>
        </w:rPr>
        <w:t>降低商业风险。</w:t>
      </w:r>
      <w:r w:rsidRPr="003307CA">
        <w:rPr>
          <w:rFonts w:asciiTheme="minorEastAsia" w:eastAsiaTheme="minorEastAsia" w:hAnsiTheme="minorEastAsia"/>
          <w:szCs w:val="21"/>
        </w:rPr>
        <w:t xml:space="preserve">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 xml:space="preserve">渣打银行坚定执行风险控制政策和程序并将严格升级程序纳入高级管理。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 xml:space="preserve">我们拥有独立合规官确保我们所有的行为均符合当地和全球的有关规则和规定。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 xml:space="preserve">我们具有完整和齐全的运营业务持续性计划，包括灾难恢复计划和全装备后备点，这确保了贵行不会遭受业务上的任何中断。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 xml:space="preserve">至于托管业务系统结构,渣打银行使用SeCCuRe 作为其核心证券处理系统。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 xml:space="preserve">SeCCuRe系统的功能包括：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直通式处理（ STP ）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全自动交易状态跟踪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投资组合估值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公司行动处理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产生业务支持与管理信息的综合报告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专项客户报告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费用计算和会计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实时离港信息与SWIFT的充分一体化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登记处理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托管管理 </w:t>
      </w:r>
    </w:p>
    <w:p w:rsidR="00296722" w:rsidRPr="003307CA" w:rsidRDefault="00296722" w:rsidP="00296722">
      <w:pPr>
        <w:pStyle w:val="aff1"/>
        <w:widowControl w:val="0"/>
        <w:numPr>
          <w:ilvl w:val="0"/>
          <w:numId w:val="93"/>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存放接口 </w:t>
      </w:r>
    </w:p>
    <w:p w:rsidR="00296722" w:rsidRPr="003307CA" w:rsidRDefault="00296722" w:rsidP="00296722">
      <w:pPr>
        <w:tabs>
          <w:tab w:val="left" w:pos="1758"/>
        </w:tabs>
        <w:snapToGrid w:val="0"/>
        <w:spacing w:line="360" w:lineRule="auto"/>
        <w:ind w:firstLineChars="200" w:firstLine="560"/>
        <w:rPr>
          <w:rFonts w:asciiTheme="minorEastAsia" w:eastAsiaTheme="minorEastAsia" w:hAnsiTheme="minorEastAsia"/>
          <w:sz w:val="28"/>
          <w:szCs w:val="28"/>
        </w:rPr>
      </w:pPr>
      <w:r w:rsidRPr="003307CA">
        <w:rPr>
          <w:rFonts w:asciiTheme="minorEastAsia" w:eastAsiaTheme="minorEastAsia" w:hAnsiTheme="minorEastAsia" w:hint="eastAsia"/>
          <w:sz w:val="28"/>
          <w:szCs w:val="28"/>
        </w:rPr>
        <w:t xml:space="preserve">五、 托管业务的主要管理制度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 xml:space="preserve">渣打银行认为风险管理是管理层的主要职责。渣打银行有不同的风险控制部门来监控不同的风险，集团信贷风险控制部门，集团操作风险控制部门，集团法律与合规部来统一管理业务和操作部门的不同风险。另外，在每一个证券服务中心都有一个指定的合规部经理来保证集团风险政策的实行。所有这些政策和程序都会记录在我们的部门运作规则和关键监控标准以便全行员工参照。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 xml:space="preserve">渣打银行在集团内拥有适当的关键监控标准。关键监控是为所有主要程序设立的最低监控标准，以确保营业员、管理人员和高级经理交易处理的准确性和完整性。关键监控标准有三个关键部分： </w:t>
      </w:r>
    </w:p>
    <w:p w:rsidR="00296722" w:rsidRPr="003307CA" w:rsidRDefault="00296722" w:rsidP="00296722">
      <w:pPr>
        <w:pStyle w:val="aff1"/>
        <w:widowControl w:val="0"/>
        <w:numPr>
          <w:ilvl w:val="0"/>
          <w:numId w:val="94"/>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监控执行 </w:t>
      </w:r>
    </w:p>
    <w:p w:rsidR="00296722" w:rsidRPr="003307CA" w:rsidRDefault="00296722" w:rsidP="00296722">
      <w:pPr>
        <w:pStyle w:val="aff1"/>
        <w:widowControl w:val="0"/>
        <w:numPr>
          <w:ilvl w:val="0"/>
          <w:numId w:val="94"/>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检查/授权 </w:t>
      </w:r>
    </w:p>
    <w:p w:rsidR="00296722" w:rsidRPr="003307CA" w:rsidRDefault="00296722" w:rsidP="00296722">
      <w:pPr>
        <w:pStyle w:val="aff1"/>
        <w:widowControl w:val="0"/>
        <w:numPr>
          <w:ilvl w:val="0"/>
          <w:numId w:val="94"/>
        </w:numPr>
        <w:snapToGrid w:val="0"/>
        <w:spacing w:line="360" w:lineRule="auto"/>
        <w:ind w:left="319" w:firstLine="731"/>
        <w:jc w:val="both"/>
        <w:rPr>
          <w:rFonts w:asciiTheme="minorEastAsia" w:eastAsiaTheme="minorEastAsia" w:hAnsiTheme="minorEastAsia" w:cs="Times New Roman"/>
          <w:kern w:val="2"/>
          <w:sz w:val="21"/>
          <w:szCs w:val="21"/>
          <w:lang w:val="en-US"/>
        </w:rPr>
      </w:pPr>
      <w:r w:rsidRPr="003307CA">
        <w:rPr>
          <w:rFonts w:asciiTheme="minorEastAsia" w:eastAsiaTheme="minorEastAsia" w:hAnsiTheme="minorEastAsia" w:cs="Times New Roman" w:hint="eastAsia"/>
          <w:kern w:val="2"/>
          <w:sz w:val="21"/>
          <w:szCs w:val="21"/>
          <w:lang w:val="en-US"/>
        </w:rPr>
        <w:t xml:space="preserve">管理控制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 xml:space="preserve">我们的关键监控标准取决于此业务的高级管理层，只要运营/程序发生变动或审计导致为预防/纠正目的而进行审核，此标准即应重新审核。 </w:t>
      </w:r>
    </w:p>
    <w:p w:rsidR="00296722" w:rsidRPr="003307CA" w:rsidRDefault="00296722" w:rsidP="00296722">
      <w:pPr>
        <w:tabs>
          <w:tab w:val="left" w:pos="1758"/>
        </w:tabs>
        <w:snapToGrid w:val="0"/>
        <w:spacing w:line="360" w:lineRule="auto"/>
        <w:ind w:firstLineChars="200" w:firstLine="560"/>
        <w:rPr>
          <w:rFonts w:asciiTheme="minorEastAsia" w:eastAsiaTheme="minorEastAsia" w:hAnsiTheme="minorEastAsia"/>
          <w:sz w:val="28"/>
          <w:szCs w:val="28"/>
        </w:rPr>
      </w:pPr>
      <w:r w:rsidRPr="003307CA">
        <w:rPr>
          <w:rFonts w:asciiTheme="minorEastAsia" w:eastAsiaTheme="minorEastAsia" w:hAnsiTheme="minorEastAsia" w:hint="eastAsia"/>
          <w:sz w:val="28"/>
          <w:szCs w:val="28"/>
        </w:rPr>
        <w:t xml:space="preserve">六、 最近3年没有受到所在国家或地区监管机构的重大处罚，没有重大事项正在接受司法部门、监管机构立案调查的说明 </w:t>
      </w:r>
    </w:p>
    <w:p w:rsidR="00296722" w:rsidRPr="003307CA" w:rsidRDefault="00296722" w:rsidP="00296722">
      <w:pPr>
        <w:snapToGrid w:val="0"/>
        <w:spacing w:line="360" w:lineRule="auto"/>
        <w:ind w:firstLine="482"/>
        <w:rPr>
          <w:rFonts w:asciiTheme="minorEastAsia" w:eastAsiaTheme="minorEastAsia" w:hAnsiTheme="minorEastAsia"/>
          <w:szCs w:val="21"/>
        </w:rPr>
      </w:pPr>
      <w:r w:rsidRPr="003307CA">
        <w:rPr>
          <w:rFonts w:asciiTheme="minorEastAsia" w:eastAsiaTheme="minorEastAsia" w:hAnsiTheme="minorEastAsia" w:hint="eastAsia"/>
          <w:szCs w:val="21"/>
        </w:rPr>
        <w:t>香港渣打银行在最近三年内没有受到所在国家或地区监管机构的重大处罚。</w:t>
      </w:r>
    </w:p>
    <w:p w:rsidR="006A16DD" w:rsidRPr="003307CA" w:rsidRDefault="006A16DD" w:rsidP="006A16DD">
      <w:pPr>
        <w:snapToGrid w:val="0"/>
        <w:spacing w:line="360" w:lineRule="auto"/>
        <w:ind w:firstLine="482"/>
        <w:rPr>
          <w:rFonts w:asciiTheme="minorEastAsia" w:eastAsiaTheme="minorEastAsia" w:hAnsiTheme="minorEastAsia"/>
          <w:szCs w:val="21"/>
        </w:rPr>
      </w:pPr>
    </w:p>
    <w:p w:rsidR="006A16DD" w:rsidRPr="003307CA" w:rsidRDefault="006A16DD" w:rsidP="006A16DD">
      <w:pPr>
        <w:snapToGrid w:val="0"/>
        <w:spacing w:line="360" w:lineRule="auto"/>
        <w:ind w:firstLine="482"/>
        <w:rPr>
          <w:rFonts w:asciiTheme="minorEastAsia" w:eastAsiaTheme="minorEastAsia" w:hAnsiTheme="minorEastAsia"/>
          <w:szCs w:val="21"/>
        </w:rPr>
        <w:sectPr w:rsidR="006A16DD" w:rsidRPr="003307CA">
          <w:pgSz w:w="11906" w:h="16838" w:code="9"/>
          <w:pgMar w:top="1440" w:right="1800" w:bottom="1440" w:left="1800" w:header="851" w:footer="992" w:gutter="0"/>
          <w:cols w:space="425"/>
          <w:docGrid w:type="lines" w:linePitch="312"/>
        </w:sectPr>
      </w:pPr>
    </w:p>
    <w:p w:rsidR="006E6514" w:rsidRPr="003307CA" w:rsidRDefault="006E651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02" w:name="_Toc44351146"/>
      <w:r w:rsidRPr="003307CA">
        <w:rPr>
          <w:rFonts w:asciiTheme="minorEastAsia" w:eastAsiaTheme="minorEastAsia" w:hAnsiTheme="minorEastAsia" w:hint="eastAsia"/>
        </w:rPr>
        <w:lastRenderedPageBreak/>
        <w:t>相关服务机构</w:t>
      </w:r>
      <w:bookmarkEnd w:id="302"/>
    </w:p>
    <w:p w:rsidR="0064594E" w:rsidRPr="003307CA"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303" w:name="_Toc44351147"/>
      <w:r w:rsidRPr="003307CA">
        <w:rPr>
          <w:rFonts w:asciiTheme="minorEastAsia" w:eastAsiaTheme="minorEastAsia" w:hAnsiTheme="minorEastAsia" w:hint="eastAsia"/>
          <w:b w:val="0"/>
        </w:rPr>
        <w:t>一</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基金份额</w:t>
      </w:r>
      <w:r w:rsidR="00134354" w:rsidRPr="003307CA">
        <w:rPr>
          <w:rFonts w:asciiTheme="minorEastAsia" w:eastAsiaTheme="minorEastAsia" w:hAnsiTheme="minorEastAsia" w:hint="eastAsia"/>
          <w:b w:val="0"/>
        </w:rPr>
        <w:t>销售</w:t>
      </w:r>
      <w:r w:rsidR="0064594E" w:rsidRPr="003307CA">
        <w:rPr>
          <w:rFonts w:asciiTheme="minorEastAsia" w:eastAsiaTheme="minorEastAsia" w:hAnsiTheme="minorEastAsia" w:hint="eastAsia"/>
          <w:b w:val="0"/>
        </w:rPr>
        <w:t>机构</w:t>
      </w:r>
      <w:bookmarkEnd w:id="303"/>
    </w:p>
    <w:p w:rsidR="00451DB8" w:rsidRPr="003307CA" w:rsidRDefault="004D1E0F"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451DB8" w:rsidRPr="003307CA">
        <w:rPr>
          <w:rFonts w:asciiTheme="minorEastAsia" w:eastAsiaTheme="minorEastAsia" w:hAnsiTheme="minorEastAsia" w:hint="eastAsia"/>
          <w:szCs w:val="21"/>
        </w:rPr>
        <w:t>直销机构：易方达基金管理有限公司</w:t>
      </w:r>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注册地址：</w:t>
      </w:r>
      <w:r w:rsidR="002B6994" w:rsidRPr="003307CA">
        <w:rPr>
          <w:rFonts w:asciiTheme="minorEastAsia" w:eastAsiaTheme="minorEastAsia" w:hAnsiTheme="minorEastAsia"/>
          <w:szCs w:val="21"/>
        </w:rPr>
        <w:t>广东省珠海市横琴新区宝华路6号105室－42891（集中办公区）</w:t>
      </w:r>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办公地址：</w:t>
      </w:r>
      <w:r w:rsidR="00B866FF" w:rsidRPr="003307CA">
        <w:rPr>
          <w:rFonts w:asciiTheme="minorEastAsia" w:eastAsiaTheme="minorEastAsia" w:hAnsiTheme="minorEastAsia" w:hint="eastAsia"/>
          <w:szCs w:val="21"/>
        </w:rPr>
        <w:t>广州市天河区珠江新城珠江东路30号广州银行大厦40-43楼</w:t>
      </w:r>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法定代表人：</w:t>
      </w:r>
      <w:r w:rsidR="00383278" w:rsidRPr="003307CA">
        <w:rPr>
          <w:rFonts w:asciiTheme="minorEastAsia" w:eastAsiaTheme="minorEastAsia" w:hAnsiTheme="minorEastAsia" w:hint="eastAsia"/>
          <w:szCs w:val="21"/>
        </w:rPr>
        <w:t>刘晓艳</w:t>
      </w:r>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电话：020-85102506</w:t>
      </w:r>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传真：4008818099</w:t>
      </w:r>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联系人：</w:t>
      </w:r>
      <w:r w:rsidR="005E2802" w:rsidRPr="003307CA">
        <w:rPr>
          <w:rFonts w:asciiTheme="minorEastAsia" w:eastAsiaTheme="minorEastAsia" w:hAnsiTheme="minorEastAsia" w:hint="eastAsia"/>
        </w:rPr>
        <w:t>王峰</w:t>
      </w:r>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网址：</w:t>
      </w:r>
      <w:hyperlink r:id="rId18" w:history="1">
        <w:r w:rsidRPr="003307CA">
          <w:rPr>
            <w:rFonts w:asciiTheme="minorEastAsia" w:eastAsiaTheme="minorEastAsia" w:hAnsiTheme="minorEastAsia" w:hint="eastAsia"/>
            <w:szCs w:val="21"/>
          </w:rPr>
          <w:t>www.efunds.com.cn</w:t>
        </w:r>
      </w:hyperlink>
    </w:p>
    <w:p w:rsidR="00451DB8" w:rsidRPr="003307CA" w:rsidRDefault="00451DB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直销机构网点信息：</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1</w:t>
      </w:r>
      <w:r w:rsidRPr="003307CA">
        <w:rPr>
          <w:rFonts w:asciiTheme="minorEastAsia" w:eastAsiaTheme="minorEastAsia" w:hAnsiTheme="minorEastAsia" w:hint="eastAsia"/>
          <w:szCs w:val="21"/>
        </w:rPr>
        <w:t>）易方达基金管理有限公司广州直销中心</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办公地址：广州市天河区珠江新城珠江东路</w:t>
      </w:r>
      <w:r w:rsidRPr="003307CA">
        <w:rPr>
          <w:rFonts w:asciiTheme="minorEastAsia" w:eastAsiaTheme="minorEastAsia" w:hAnsiTheme="minorEastAsia"/>
          <w:szCs w:val="21"/>
        </w:rPr>
        <w:t>30</w:t>
      </w:r>
      <w:r w:rsidRPr="003307CA">
        <w:rPr>
          <w:rFonts w:asciiTheme="minorEastAsia" w:eastAsiaTheme="minorEastAsia" w:hAnsiTheme="minorEastAsia" w:hint="eastAsia"/>
          <w:szCs w:val="21"/>
        </w:rPr>
        <w:t>号广州银行大厦</w:t>
      </w:r>
      <w:r w:rsidRPr="003307CA">
        <w:rPr>
          <w:rFonts w:asciiTheme="minorEastAsia" w:eastAsiaTheme="minorEastAsia" w:hAnsiTheme="minorEastAsia"/>
          <w:szCs w:val="21"/>
        </w:rPr>
        <w:t>40</w:t>
      </w:r>
      <w:r w:rsidRPr="003307CA">
        <w:rPr>
          <w:rFonts w:asciiTheme="minorEastAsia" w:eastAsiaTheme="minorEastAsia" w:hAnsiTheme="minorEastAsia" w:hint="eastAsia"/>
          <w:szCs w:val="21"/>
        </w:rPr>
        <w:t>楼</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电话：</w:t>
      </w:r>
      <w:r w:rsidRPr="003307CA">
        <w:rPr>
          <w:rFonts w:asciiTheme="minorEastAsia" w:eastAsiaTheme="minorEastAsia" w:hAnsiTheme="minorEastAsia"/>
          <w:szCs w:val="21"/>
        </w:rPr>
        <w:t>020-85102506</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传真：</w:t>
      </w:r>
      <w:r w:rsidRPr="003307CA">
        <w:rPr>
          <w:rFonts w:asciiTheme="minorEastAsia" w:eastAsiaTheme="minorEastAsia" w:hAnsiTheme="minorEastAsia"/>
          <w:szCs w:val="21"/>
        </w:rPr>
        <w:t>4008818099</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联系人：</w:t>
      </w:r>
      <w:r w:rsidR="005E2802" w:rsidRPr="003307CA">
        <w:rPr>
          <w:rFonts w:asciiTheme="minorEastAsia" w:eastAsiaTheme="minorEastAsia" w:hAnsiTheme="minorEastAsia" w:hint="eastAsia"/>
        </w:rPr>
        <w:t>王峰</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2</w:t>
      </w:r>
      <w:r w:rsidRPr="003307CA">
        <w:rPr>
          <w:rFonts w:asciiTheme="minorEastAsia" w:eastAsiaTheme="minorEastAsia" w:hAnsiTheme="minorEastAsia" w:hint="eastAsia"/>
          <w:szCs w:val="21"/>
        </w:rPr>
        <w:t>）易方达基金管理有限公司北京直销中心</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办公地址：</w:t>
      </w:r>
      <w:r w:rsidR="00EC7BEC" w:rsidRPr="003307CA">
        <w:rPr>
          <w:rFonts w:asciiTheme="minorEastAsia" w:eastAsiaTheme="minorEastAsia" w:hAnsiTheme="minorEastAsia" w:hint="eastAsia"/>
          <w:szCs w:val="21"/>
        </w:rPr>
        <w:t>北京市西城区武定侯街2号泰康国际大厦18层</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电话：</w:t>
      </w:r>
      <w:r w:rsidRPr="003307CA">
        <w:rPr>
          <w:rFonts w:asciiTheme="minorEastAsia" w:eastAsiaTheme="minorEastAsia" w:hAnsiTheme="minorEastAsia"/>
          <w:szCs w:val="21"/>
        </w:rPr>
        <w:t>010-63213377</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传真：</w:t>
      </w:r>
      <w:r w:rsidRPr="003307CA">
        <w:rPr>
          <w:rFonts w:asciiTheme="minorEastAsia" w:eastAsiaTheme="minorEastAsia" w:hAnsiTheme="minorEastAsia"/>
          <w:szCs w:val="21"/>
        </w:rPr>
        <w:t>4008818099</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联系人：刘蕾</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3</w:t>
      </w:r>
      <w:r w:rsidRPr="003307CA">
        <w:rPr>
          <w:rFonts w:asciiTheme="minorEastAsia" w:eastAsiaTheme="minorEastAsia" w:hAnsiTheme="minorEastAsia" w:hint="eastAsia"/>
          <w:szCs w:val="21"/>
        </w:rPr>
        <w:t>）易方达基金管理有限公司上海直销中心</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办公地址：上海市浦东新区世纪大道</w:t>
      </w:r>
      <w:r w:rsidRPr="003307CA">
        <w:rPr>
          <w:rFonts w:asciiTheme="minorEastAsia" w:eastAsiaTheme="minorEastAsia" w:hAnsiTheme="minorEastAsia"/>
          <w:szCs w:val="21"/>
        </w:rPr>
        <w:t>88</w:t>
      </w:r>
      <w:r w:rsidRPr="003307CA">
        <w:rPr>
          <w:rFonts w:asciiTheme="minorEastAsia" w:eastAsiaTheme="minorEastAsia" w:hAnsiTheme="minorEastAsia" w:hint="eastAsia"/>
          <w:szCs w:val="21"/>
        </w:rPr>
        <w:t>号金茂大厦</w:t>
      </w:r>
      <w:r w:rsidRPr="003307CA">
        <w:rPr>
          <w:rFonts w:asciiTheme="minorEastAsia" w:eastAsiaTheme="minorEastAsia" w:hAnsiTheme="minorEastAsia"/>
          <w:szCs w:val="21"/>
        </w:rPr>
        <w:t>46</w:t>
      </w:r>
      <w:r w:rsidRPr="003307CA">
        <w:rPr>
          <w:rFonts w:asciiTheme="minorEastAsia" w:eastAsiaTheme="minorEastAsia" w:hAnsiTheme="minorEastAsia" w:hint="eastAsia"/>
          <w:szCs w:val="21"/>
        </w:rPr>
        <w:t>楼</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电话：</w:t>
      </w:r>
      <w:r w:rsidRPr="003307CA">
        <w:rPr>
          <w:rFonts w:asciiTheme="minorEastAsia" w:eastAsiaTheme="minorEastAsia" w:hAnsiTheme="minorEastAsia"/>
          <w:szCs w:val="21"/>
        </w:rPr>
        <w:t>021-50476668</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传真：</w:t>
      </w:r>
      <w:r w:rsidRPr="003307CA">
        <w:rPr>
          <w:rFonts w:asciiTheme="minorEastAsia" w:eastAsiaTheme="minorEastAsia" w:hAnsiTheme="minorEastAsia"/>
          <w:szCs w:val="21"/>
        </w:rPr>
        <w:t>4008818099</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联系人：</w:t>
      </w:r>
      <w:r w:rsidR="00721084" w:rsidRPr="003307CA">
        <w:rPr>
          <w:rFonts w:asciiTheme="minorEastAsia" w:eastAsiaTheme="minorEastAsia" w:hAnsiTheme="minorEastAsia" w:hint="eastAsia"/>
          <w:szCs w:val="21"/>
        </w:rPr>
        <w:t>王程</w:t>
      </w:r>
    </w:p>
    <w:p w:rsidR="005C0821" w:rsidRPr="003307CA" w:rsidRDefault="00CC329E" w:rsidP="005C082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4</w:t>
      </w:r>
      <w:r w:rsidRPr="003307CA">
        <w:rPr>
          <w:rFonts w:asciiTheme="minorEastAsia" w:eastAsiaTheme="minorEastAsia" w:hAnsiTheme="minorEastAsia" w:hint="eastAsia"/>
          <w:szCs w:val="21"/>
        </w:rPr>
        <w:t>）易方达基金管理有限公司网上交易系统</w:t>
      </w:r>
    </w:p>
    <w:p w:rsidR="005C0821" w:rsidRPr="003307CA" w:rsidRDefault="00CC329E" w:rsidP="005C082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t>
      </w:r>
      <w:r w:rsidRPr="003307CA">
        <w:rPr>
          <w:rFonts w:asciiTheme="minorEastAsia" w:eastAsiaTheme="minorEastAsia" w:hAnsiTheme="minorEastAsia"/>
        </w:rPr>
        <w:t>www.efunds.com.cn</w:t>
      </w:r>
    </w:p>
    <w:p w:rsidR="00576267" w:rsidRPr="003307CA" w:rsidRDefault="00CC329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2、</w:t>
      </w:r>
      <w:r w:rsidRPr="003307CA">
        <w:rPr>
          <w:rFonts w:asciiTheme="minorEastAsia" w:eastAsiaTheme="minorEastAsia" w:hAnsiTheme="minorEastAsia" w:hint="eastAsia"/>
        </w:rPr>
        <w:t>非直销销售机构（以下排序不分先后）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 中国工商银行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注册地址：北京西城区复兴门内大街55号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办公地址：北京西城区复兴门内大街55号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法定代表人：陈四清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联系人：杨菲</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网址：www.icbc.com.cn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 渤海银行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注册地址：天津市河东区海河东路218号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办公地址：天津市河东区海河东路218号渤海银行大厦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法定代表人：李伏安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联系电话：022-58316666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客户服务电话：95541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传真：022-58316569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网址：www.cbhb.com.cn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 广发银行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注册地址：广东省广州市越秀区东风东路713号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办公地址：广东省广州市越秀区东风东路713号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法定代表人：王滨</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客户服务电话：400-830-8003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网址：www.cgbchina.com.cn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 华夏银行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注册地址：北京市东城区建国门内大街22号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办公地址：北京市东城区建国门内大街22号华夏银行大厦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法定代表人：李民吉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联系人：刘湘波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传真：010-85238680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网址：www.hxb.com.cn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 交通银行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注册地址：中国（上海）自由贸易试验区银城中路188号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办公地址：中国（上海）自由贸易试验区银城中路188号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法定代表人：任德奇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联系人：王菁</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联系电话：021-58781234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客户服务电话：95559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网址：www.bankcomm.com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 平安银行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注册地址：广东省深圳市罗湖区深南东路5047号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办公地址：广东省深圳市罗湖区深南东路5047号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法定代表人：谢永林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联系人：赵杨</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联系电话：0755-22166574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客户服务电话：95511-3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传真：021-50979507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网址：bank.pingan.com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 浦发银行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注册地址：上海市中山东一路12号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办公地址：上海市中山东一路12号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法定代表人：郑杨</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联系人：赵守良</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联系电话：021-61618888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传真：021-63604196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网址：www.spdb.com.cn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 招商银行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注册地址：深圳市福田区深南大道7088号招商银行大厦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办公地址：深圳市福田区深南大道7088号招商银行大厦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法定代表人：李建红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联系人：季平伟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网址：www.cmbchina.com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 浙商银行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注册地址：浙江省杭州市萧山区鸿宁路1788号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办公地址：浙江杭州市庆春路288号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法定代表人：沈仁康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联系人：沈崟杰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联系电话：0571- 88261822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客户服务电话：95527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传真：0571-87659954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网址：www.czbank.com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 中国光大银行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注册地址：北京市西城区太平桥大街25号、甲25号中国光大中心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办公地址：北京市西城区太平桥大街25号金融街F3大厦（中国光大中心）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法定代表人：李晓鹏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联系人：朱红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联系电话：010-63636153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传真：010-63639709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网址：www.cebbank.com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 中国民生银行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注册地址：北京市西城区复兴门内大街2号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办公地址：北京市西城区复兴门内大街2号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法定代表人：洪崎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联系人：徐野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客户服务电话：95568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网址：www.cmbc.com.cn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 中国农业银行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注册地址：北京市东城区建国门内大街69号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办公地址：北京市东城区建国门内大街69号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法定代表人：周慕冰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联系人：李紫钰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传真：010-85109219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网址：www.abchina.com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 中国银行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注册地址：北京市西城区复兴门内大街1号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办公地址：北京市西城区复兴门内大街1号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法定代表人：刘连舸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网址：www.boc.cn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 中国邮政储蓄银行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注册地址：北京市西城区金融大街3号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办公地址：北京市西城区金融大街3号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法定代表人：张金良</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联系人：王硕</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传真：010-68858057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网址：www.psbc.com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 包商银行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注册地址：内蒙古自治区包头市青山区钢铁大街6号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办公地址：内蒙古自治区包头市青山区钢铁大街6号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法定代表人：周学东</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联系人：张晶</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联系电话：0472-5189165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传真：010-84596546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网址：www.bsb.com.cn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 北京银行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注册地址：北京市西城区金融大街甲17号首层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办公地址：北京市西城区金融大街丙17号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法定代表人：张东宁</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联系人：周黎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客户服务电话：95526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网址：www.bankofbeijing.com.cn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 长安银行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注册地址：西安市高新技术产业开发区高新四路13号1幢1单元10101室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办公地址：西安市高新技术产业开发区高新四路13号朗臣大厦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法定代表人：赵永军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联系人：闫石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客户服务电话：400-05-96669；（029）96669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传真：029-88609566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网址：http://www.ccabchina.com/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 大连银行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注册地址：辽宁省大连市中山区中山路88号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办公地址：大连市中山区中山路88号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法定代表人：崔磊</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联系人：卜书慧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联系电话：0411-82311936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客户服务电话：400-664-0099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网址：www.bankofdl.com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 东莞农村商业银行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注册地址：广东省东莞市东城区鸿福东路2号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办公地址：广东省东莞市东城区鸿福东路2号东莞农商银行大厦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法定代表人：王耀球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联系人：钟燕珊</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客户服务电话：0769-961122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网址：www.drcbank.com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 东莞银行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注册地址：东莞市莞城区体育路21号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办公地址：东莞市莞城区体育路21号东莞银行大厦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法定代表人：卢国锋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联系人：朱杰霞</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联系电话：0769-22865177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客户服务电话：956033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网址：www.dongguanbank.cn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(21) 佛山农商银行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注册地址：佛山市禅城区华远东路5号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办公地址：佛山市禅城区华远东路5号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法定代表人：李川</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联系人：陈棠熙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客户服务电话：96138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网址：www.foshanbank.cn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(22) 富滇银行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注册地址：云南省昆明市拓东路41号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办公地址：云南省昆明市拓东路41号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法定代表人：洪维智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联系人：杨翊琳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电话：0871-63140324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客户服务电话：400-88-96533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传真：0871-63194471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网址：http://www.fudian-bank.com/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(23) 广东华兴银行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注册地址：广东省汕头市龙湖区黄山路28号四层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办公地址：广州市天河区天河路533号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法定代表人：周泽荣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联系人：许悦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联系电话：020-38173552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客户服务电话：400-830-8001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传真：020-38173857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网址：www.ghbank.com.cn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(24) 广东南粤银行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注册地址：广东省湛江市经济技术开发区乐山大道60号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办公地址：广东省湛江市经济技术开发区乐山大道60号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法定代表人：蒋丹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联系电话：020-28308757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客户服务电话：4000-961818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网址：www.gdnybank.com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(25) 广州农商银行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注册地址：广州市黄埔区映日路9号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办公地址：广州市天河区珠江新城华夏路1号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法定代表人：王继康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联系电话：020-22389067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传真：020-22389031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网址：www.grcbank.com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(26) 广州银行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注册地址：广州市天河区珠江东路30号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办公地址：广州市天河区珠江东路30号广州银行大厦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法定代表人：黄子励</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联系人：唐荟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客户服务电话：96699（广东）400-83-96699（全国）</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网址：www.gzcb.com.cn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(27) 哈尔滨银行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注册地址：哈尔滨市道里区尚志大街160号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办公地址：哈尔滨市道里区上江街888号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法定代表人：郭志文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联系人：何岩岩</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电话：0451-87792450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客户服务电话：95537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传真：0451-87792682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网址：www.hrbb.com.cn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(28) 杭州联合银行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注册地址：浙江省杭州市上城区建国中路99号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办公地址：杭州市建国中路99号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法定代表人：张海林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联系人：吴徐立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联系电话：0571-87923324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客户服务电话：96596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传真：0571-87923214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网址：www.urcb.com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(29) 杭州银行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注册地址：浙江省杭州市下城区庆春路46号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办公地址：杭州市下城区庆春路46号杭州银行大厦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法定代表人：陈震山</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联系人：蒋梦君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联系电话：0571-85120718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客户服务电话：95398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传真：0571-85106576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网址：www.hzbank.com.cn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(30) 河北银行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注册地址：石家庄市平安北大街28号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办公地址：石家庄市平安北大街28号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法定代表人：乔志强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联系人：李博</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联系电话：0311-88627587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客户服务电话：400-612-9999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传真：0311-67806407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网址：www.hebbank.com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(31) 华融湘江银行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注册地址：长沙市天心区芙蓉南路一段828号杰座大厦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办公地址：湖南省长沙市湘府东路二段208号万境财智中心南栋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法定代表人：黄卫忠</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联系人：闾娇蓉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联系电话：0731-89828182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客户服务电话：0731-96599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传真：0731-89828806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网址：www.hrxjbank.com.cn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(32) 吉林银行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注册地址：吉林省长春市经济技术开发区东南湖大路1817号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办公地址：吉林省长春市经济技术开发区东南湖大路1817号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法定代表人：陈宇龙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联系人：孟明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联系电话：0431-84992680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客户服务电话：400-88-96666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传真：0431-84992649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网址：www.jlbank.com.cn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(33) 嘉兴银行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注册地址：浙江省嘉兴市昌盛南路1001号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办公地址：浙江省嘉兴市昌盛南路1001号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法定代表人：夏林生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联系人：余舟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联系电话：0573-82080201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客户服务电话：0573-96528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网址：http://www.bojx.com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(34) 江南农村商业银行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注册地址：常州市和平中路413号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办公地址：常州市和平中路413号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法定代表人：陆向阳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电话：0519-80585939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客户服务电话：0519-96005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传真：0519-89995170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网址：http://www.jnbank.com.cn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(35) 江苏银行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注册地址：南京市中华路26号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办公地址：南京市中华路26号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法定代表人：夏平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联系人：展海军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联系电话：025-58587039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客户服务电话：95319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传真：025-58587820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网址：www.jsbchina.cn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(36) 江西银行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注册地址：江西省南昌市红谷滩新区金融大街699号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办公地址：江西省南昌市红谷滩新区金融大街699号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法定代表人：陈晓明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联系人：陈云波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联系电话：0791-86796029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客户服务电话：956055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传真：0791-86790795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网址：www.jx-bank.com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(37) 金华银行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注册地址：浙江省金华市丹溪路1388号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办公地址：浙江省金华市金东区光南路668号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法定代表人：徐雅清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联系人：何赛丽、陈霞</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联系电话：0579-82178270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客户服务电话：400-711-6668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传真：0579-82178321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网址：www.jhccb.com.cn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(38) 锦州银行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注册地址：辽宁省锦州市科技路68号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办公地址：辽宁省锦州市科技路68号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法定代表人：魏学坤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联系人：庞璐璐</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客户服务电话：400-66-96178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网址：www.jinzhoubank.com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(39) 乐清农商银行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注册地址：浙江省乐清市城南街道伯乐西路99号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办公地址：浙江省乐清市城南街道伯乐西路99号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法定代表人：高剑飞</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联系人：金晓娇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联系电话：0577-61566028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客户服务电话：4008896596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传真：0577-61566063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网址：www.yqbank.com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(40) 龙江银行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注册地址：黑龙江省哈尔滨市道里区友谊路436号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办公地址：黑龙江省哈尔滨市道里区友谊路436号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法定代表人：张建辉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联系人：闫勇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联系电话：0451-85706107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客户服务电话：400-645-8888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传真：0451-85706036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网址：http://www.lj-bank.com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(41) 龙湾农商银行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注册地址：浙江省温州市龙湾区永中街道永宁西路555号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办公地址：浙江省温州市龙湾区永中街道永宁西路555号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法定代表人：朱朋远</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联系人：胡俊杰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联系电话：0577-86923223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客户服务电话：4008296596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传真：0577-86921250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网址：www.lwrcb.com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(42) 洛阳银行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注册地址：洛阳市洛阳新区开元大道与通济街交叉口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办公地址：河南省洛阳市开元大道256号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法定代表人：王建甫</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联系人：郭文博</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联系电话：0379-65921977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客户服务电话：0379-96699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传真：0379-65938595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网址：www.bankofluoyang.com.cn/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(43) 南洋商业银行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注册地址：中国（上海）自由贸易试验区世纪大道800号三层、六层至九层（不含六层A座）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办公地址：中国（上海）自由贸易试验区世纪大道800号三层、六层至九层（不含六层A座）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法定代表人：陈孝周</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联系人：马小明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联系电话：021-38566452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客户服务电话：8008207898（内地固话用户）、4008207898（内地手机用户）、（86551）64360499（港澳台及境外）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传真：021-38566400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网址：http://www.ncbchina.cn/cn/index.html</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(44) 宁波银行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注册地址：浙江省宁波市鄞州区宁东路345号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办公地址：浙江省宁波市鄞州区宁东路345号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法定代表人：陆华裕</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联系人：夏禾</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网址：www.nbcb.com.cn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(45) 齐商银行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注册地址：淄博市张店区中心路105号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办公地址：山东省淄博市张店区金晶大道105号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法定代表人：杲传勇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联系人：焦浦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联系电话：0533-2178888-9907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客户服务电话：400-86-96588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传真：0533-2180303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网址：www.qsbank.cc</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(46) 青岛银行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注册地址：山东省青岛市崂山区秦岭路6号3号楼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办公地址：山东省青岛市崂山区秦岭路6号3号楼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法定代表人：郭少泉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联系人：陈界交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联系电话：0532-68629956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客户服务电话：96588（青岛）400-66-96588（全国）</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网址：http://www.qdccb.com/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(47) 泉州银行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注册地址：泉州市丰泽区云鹿路3号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办公地址：泉州市丰泽区云鹿路3号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法定代表人：傅子能</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联系人：董培姗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联系电话：0595-22551071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客户服务电话：400-88-96312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传真：0595-22578871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网址：http://www.qzccbank.com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(48) 日照银行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注册地址：山东省日照市烟台路197号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办公地址：山东省日照市烟台路197号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联系人：孔颖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联系电话：0633-8081590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客户服务电话：400-68-96588（全国）、0633-96588（日照）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传真：0633-8081276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网址：http://www.bankofrizhao.com.cn/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(49) 瑞安农商银行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注册地址：瑞安市安阳街道万松东路148号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办公地址：瑞安市安阳街道万松东路148号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法定代表人：王光领</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联系人：吴小娜</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联系电话：0577-66681245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客户服务电话：4008057702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(50) 上海农村商业银行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注册地址：上海市黄浦区中山东二路70号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办公地址：上海市黄浦区中山东二路70号上海农商银行大厦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法定代表人：徐力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联系人：施传荣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联系电话：021-61899999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客户服务电话：021-962999、4006962999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开放式基金业务传真：021-50105124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网址：www.srcb.com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(51) 上海银行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注册地址：中国（上海）自由贸易试验区银城中路168号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办公地址：上海市浦东新区银城中路168号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法定代表人：金煜</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联系电话：021-68475732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客户服务电话：95594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网址：http://www.bosc.cn/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(52) 深圳农村商业银行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注册地址：深圳市罗湖区深南东路3038号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办公地址：深圳市罗湖区深南东路3038号合作金融大厦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法定代表人：李光安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联系人：陈泽鑫</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联系电话：0755-25188271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客户服务电话：4001961200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网址：http://www.4001961200.com/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(53) 顺德农村商业银行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注册地址：广东佛山市顺德区大良德和居委会拥翠路2号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办公地址：广东佛山市顺德区大良德和居委会拥翠路2号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法定代表人：姚真勇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联系人：杨素苗、区敏欣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联系电话：0757-22382524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客户服务电话：0757-22223388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传真：0757-22388235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网址：www.sdebank.com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(54) 四川天府银行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注册地址：四川省南充市涪江路1号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办公地址：四川省成都市锦江区东大街下东大街258号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法定代表人：邢敏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联系人：周乃雍</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联系电话：028-67676038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客户服务电话：400-16-96869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网址：www.tf.cn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(55) 苏州银行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注册地址：江苏省苏州市工业园区钟园路728号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办公地址：江苏省苏州市工业园区钟园路728号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法定代表人：王兰凤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联系人：吴骏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联系电话：0512-69868373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客户服务电话：96067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传真：0512-69868373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网址：www.suzhoubank.com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(56) 天津银行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注册地址：天津市河西区友谊路15号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办公地址：天津市河西区友谊路15号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法定代表人：李宗唐</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联系人：李岩</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联系电话：022-28405684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客户服务电话：956056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传真：022-28405631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网址：www.bank-of-tianjin.com.cn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(57) 威海市商业银行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注册地址：威海市宝泉路9号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办公地址：威海市宝泉路9号财政大厦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法定代表人：谭先国</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联系人：冯十卉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联系电话：0531-68978175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客户服务电话：山东省内96636、中国境内40000-96636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传真：0531-68978176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网址：www.whccb.com，www.whccb.com.cn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(58) 微众银行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注册地址：深圳市前海深港合作区前湾一路1号A栋201室（入驻深圳市前海商务秘书</w:t>
      </w:r>
      <w:r w:rsidRPr="003307CA">
        <w:rPr>
          <w:rFonts w:asciiTheme="minorEastAsia" w:eastAsiaTheme="minorEastAsia" w:hAnsiTheme="minorEastAsia" w:hint="eastAsia"/>
        </w:rPr>
        <w:lastRenderedPageBreak/>
        <w:t>有限公司）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办公地址：广东省深圳市南山区沙河西路1819号深圳湾科技生态园7栋A座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法定代表人：顾敏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客户服务电话：95384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网址：http://www.webank.com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(59) 潍坊银行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注册地址：山东省潍坊市奎文区胜利东街5139号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办公地址：山东省潍坊市奎文区胜利东街5139号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法定代表人：郭虎英</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联系人：井靖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联系电话：0536-8051904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客户服务电话：400-61-96588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传真：0536-8056061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网址：www.wfccb.com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(60) 乌鲁木齐银行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注册地址：新疆乌鲁木齐市水磨沟区会展大道599号新疆财富中心A座4层至31层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办公地址：新疆乌鲁木齐市水磨沟区会展大道599号新疆财富中心A座4层至31层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法定代表人：任思宇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联系人：王小培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联系电话：0991-4500319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客户服务电话：0991-96518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传真：0991-8824667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网址：www.uccb.com.cn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(61) 西安银行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注册地址：西安市高新路60号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办公地址：西安市高新路60号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法定代表人：郭军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联系人：白智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联系电话：029-88992881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客户服务电话：40086-96779（全国）、96779（陕西）</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网址：www.xacbank.com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(62) 新昌农商银行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注册地址：浙江省绍兴市新昌县七星街道七星路18号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办公地址：浙江省绍兴市新昌县七星街道七星路18号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法定代表人：陆斌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联系人：陈春华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联系电话：0575-86266991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客户服务电话：96596、0575-86266928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传真：0575-86383121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网址：http://xcbank.com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(63) 烟台银行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注册地址：山东省烟台市芝罘区海港路25号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办公地址：山东省烟台市芝罘区海港路25号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法定代表人：吴明理</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联系人：张卓智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联系电话：0535-6699671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客户服务电话：4008-311-777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传真：0535-6699884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网址：www.yantaibank.net</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(64) 余杭农村商业银行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注册地址：杭州市余杭区南苑街道南大街72号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办公地址：杭州市余杭区南苑街道南大街72号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法定代表人：来煜标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联系人：蔡亮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联系电话：0571-86209980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客户服务电话：96596，4008896596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网址：www.yhrcb.com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(65) 浙江稠州商业银行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注册地址：浙江省义乌市江滨路义乌乐园东侧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办公地址：杭州市上城区望潮路158号稠银大厦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法定代表人：金子军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联系人：谢圆圆</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联系电话：0571-87117661/13777805250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客户服务电话：0571-96527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传真：0571-87117607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网址：http://www.czcb.com.cn/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(66) 浙江泰隆商业银行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注册地址：浙江省台州市路桥区南官大道188号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办公地址：浙江省台州市路桥区南官大道188号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联系人：陈妍宇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联系电话：0571-87219677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客户服务电话：95347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网址：www.zjtlcb.com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(67) 中原银行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注册地址：河南省郑州市郑东新区CBD商务外环路23号中科金座大厦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办公地址：河南省郑州市郑东新区CBD商务外环路23号中科金座大厦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法定代表人：窦荣兴</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联系电话：0371-61910217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客户服务电话：95186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网址：www.zybank.com.cn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(68) 重庆农村商业银行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注册地址：重庆市江北区金沙门路36号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办公地址：重庆市江北区金沙门路36号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法定代表人：刘建忠</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联系人：范亮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联系电话：023-61110146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客户服务电话：95389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传真：023-61110146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网址：www.cqrcb.com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(69) 珠海华润银行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注册地址：广东省珠海市吉大九洲大道东1346号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办公地址：广东省珠海市吉大九洲大道东1346号珠海华润银行大厦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法定代表人：刘晓勇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联系电话：4008800338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客户服务电话：96588（广东省外请加拨0756），400-8800-338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网址：www.crbank.com.cn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(70) 安信证券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注册地址：深圳市福田区金田路4018号安联大厦35层、28层A02单元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办公地址：深圳市福田区金田路4018号安联大厦35层、28层A02单元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 xml:space="preserve">          深圳市福田区深南大道2008号中国凤凰大厦1栋9层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法定代表人：王连志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联系人：陈剑虹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联系电话：0755-82825551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客户服务电话：95517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传真：0755-82558355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网址：www.essence.com.cn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(71) 渤海证券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注册地址：天津市经济技术开发区第二大街42号写字楼101室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办公地址：天津市南开区宾水西道8号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法定代表人：安志勇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联系电话：022-28451922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客户服务电话：400-651-5988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传真：022-28451892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网址：www.ewww.com.cn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(72) 财达证券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注册地址：河北省石家庄市桥西区自强路35号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办公地址：河北省石家庄市桥西区自强路35号庄家金融大厦23-26层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法定代表人：翟建强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联系人：李卓颖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联系电话：0311-66008561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客户服务电话：95363（河北省内）；0311-95363（河北省外）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传真：0311-66006414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网址：www.s10000.com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(73) 财通证券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注册地址：杭州市西湖区天目山路198号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办公地址：杭州市西湖区天目山路198号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法定代表人：陆建强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联系人：陶志华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联系电话：0571－87789160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客户服务电话：95336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网址：www.ctsec.com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(74) 财信证券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注册地址：长沙市芙蓉中路二段80号顺天国际财富中心26层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办公地址：长沙市芙蓉中路二段80号顺天国际财富中心26-28层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法定代表人：刘宛晨</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联系人：郭静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联系电话：0731-84403347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客户服务电话：95317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传真：0731-84403439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网址：www.cfzq.com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(75) 长城国瑞证券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注册地址：厦门市思明区莲前西路2号莲富大厦17楼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办公地址：厦门市思明区深田路46号深田国际大厦20楼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联系人：邱震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联系电话：0592-2079259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客户服务电话：400-0099-886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传真：0592-2079602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网址：www.gwgsc.com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(76) 长城证券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注册地址：深圳市福田区福田街道金田路2026号能源大厦南塔楼10-19层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办公地址：深圳市福田区福田街道金田路2026号能源大厦南塔楼10-19层长城证券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法定代表人：曹宏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联系人：梁浩</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联系电话：0755-83530715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客户服务电话：400-6666-888或95514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传真：0755--83515567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网址：www.cgws.com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(77) 长江证券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注册地址：湖北省武汉市新华路特8号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办公地址：湖北省武汉市新华路特8号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法定代表人：李新华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联系人：奚博宇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联系电话：027-65799999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客户服务电话：95579或4008-888-999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传真：027-85481900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网址：www.95579.com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(78) 川财证券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注册地址：中国（四川）自由贸易试验区成都高新区交子大道177号中海国际中心B座17楼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办公地址：四川省成都高新区交子大道177号中海国际中心B座17楼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法定代表人：孟建军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联系人：匡婷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联系电话：028-86583053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客户服务电话：028-962708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网址：www.cczq.com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(79) 大通证券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注册地址：辽宁省大连市沙河口区会展路129号大连国际金融中心A座-大连期货大厦38、39层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办公地址：辽宁省大连市沙河口区会展路129号大连国际金融中心A座-大连期货大厦38、39层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法定代表人：赵玺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联系人：谢立军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联系电话：0411-39991807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客户服务电话：4008-169-169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传真：0411-39673214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网址：www.daton.com.cn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(80) 大同证券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注册地址：山西省大同市城区迎宾街15号桐城中央21层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办公地址：山西省太原市小店区长治路111号山西世贸中心A座F12、F13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法定代表人：董祥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联系人：薛津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联系电话：0351-4130322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客户服务电话：4007121212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传真：0351-7219891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网址：www.dtsbc.com.cn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(81) 德邦证券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注册地址：上海市普陀区曹杨路510号南半幢9楼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办公地址：上海市福山路500号城建国际中心29楼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法定代表人：武晓春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联系人：刘熠</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联系电话：021-68761616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客户服务电话：400-8888-128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传真：021-68767880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网址：http://www.tebon.com.cn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(82) 第一创业证券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注册地址：深圳市福田区福华一路115号投行大厦20楼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办公地址：深圳市福田区福华一路115号投行大厦20楼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法定代表人：刘学民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联系人：单晶</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联系电话：0755-23838750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客户服务电话：95358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网址：www.firstcapital.com.cn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(83) 东北证券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注册地址：长春市生态大街6666号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办公地址：长春市生态大街6666号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法定代表人：李福春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联系人：安岩岩</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联系电话：0431-85096517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客户服务电话：95360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传真：0431-85096795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网址：www.nesc.cn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(84) 东方证券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注册地址：上海市中山南路318号2号楼22层、23层、25层-29层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办公地址：上海市中山南路318号2号楼22层、23层、25层-29层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法定代表人：潘鑫军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联系人：龚玉君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联系电话：021-63325888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客户服务电话：95503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传真：021-63326729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网址：http://www.dfzq.com.cn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(85) 东莞证券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注册地址：东莞市莞城区可园南路一号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办公地址：东莞市莞城区可园南路1号金源中心30楼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法定代表人：陈照星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联系电话：0769-22115712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传真：0769-22115712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网址：www.dgzq.com.cn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(86) 东海证券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注册地址：江苏省常州市延陵西路23号投资广场18层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办公地址：上海市浦东新区东方路1928号东海证券大厦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法定代表人：钱俊文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联系人：王一彦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联系电话：021-20333333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客户服务电话：95531、400-8888-588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传真：021-50498825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网址：www.longone.com.cn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(87) 东吴证券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注册地址：苏州工业园区星阳街5号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办公地址：苏州工业园区星阳街5号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法定代表人：范力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联系人：陆晓</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联系电话：0512-62938521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客户服务电话：95330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传真：0512-65588021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网址：www.dwzq.com.cn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(88) 东兴证券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注册地址：北京市西城区金融大街5号（新盛大厦）12、15层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办公地址：北京市西城区金融大街5号新盛大厦B座10层、12层、15层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法定代表人：魏庆华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联系人：夏锐</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联系电话：010-66559079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客户服务电话：95309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传真：010-66555133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网址：www.dxzq.net</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(89) 方正证券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注册地址：湖南省长沙市天心区湘江中路二段36号华远华中心4、5号楼3701-3717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办公地址：北京市朝阳区北四环中路27号盘古大观A座40F</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法定代表人：施华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联系人：周静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联系电话：010-59355412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传真：010-56437030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网址：www.foundersc.com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(90) 光大证券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注册地址：上海市静安区新闸路1508号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办公地址：上海市静安区新闸路1508号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法定代表人：刘秋明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联系人：郁疆</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联系电话：021-22169999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客户服务电话：95525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网址：www.ebscn.com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(91) 广发证券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注册地址：广东省广州市黄埔区中新广州知识城腾飞一街2号618室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办公地址：广州市天河区马场路26号广发证券大厦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法定代表人：孙树明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联系人：黄岚</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客户服务电话：95575或02095575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网址：www.gf.com.cn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(92) 国都证券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注册地址：北京市东城区东直门南大街3号国华投资大厦9层10层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办公地址：北京市东城区东直门南大街3号国华投资大厦9层10层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法定代表人：王少华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联系人：黄静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联系电话：010-84183389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客户服务电话：400-818-8118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传真：010-84183311-3122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网址：www.guodu.com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(93) 国海证券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注册地址：广西桂林市辅星路13号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办公地址：深圳市福田区竹子林四路光大银行大厦3楼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法定代表人：何春梅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联系人：田密</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联系电话：0755-83716916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客户服务电话：95563或0771-95563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网址：www.ghzq.com.cn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(94) 国金证券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注册地址：成都市青羊区东城根上街95号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办公地址：成都市青羊区东城根上街95号成证大厦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法定代表人：冉云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联系人：杜晶、黎建平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联系电话：028-86690057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客户服务电话：95310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传真：028-86690126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网址：www.gjzq.com.cn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(95) 国联证券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注册地址：江苏省无锡市太湖新城金融一街8号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办公地址：江苏省无锡市太湖新城金融一街8号国联金融大厦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法定代表人：姚志勇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联系人：祁昊</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联系电话：0510-82831662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传真：0510-82830162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网址：www.glsc.com.cn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(96) 国融证券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注册地址：内蒙古自治区呼和浩特市武川县腾飞大道1号4楼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办公地址：北京市西城区宣武门西大街甲129号金隅大厦16层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法定代表人：张智河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联系人：李思萱</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联系电话：010-83991848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客户服务电话：95385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传真：010-66412537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网址：www.grzq.com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(97) 国盛证券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注册地址：江西省南昌市新建区子实路1589号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办公地址：江西省南昌市红谷滩新区凤凰中大道1115号北京银行大厦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法定代表人：徐丽峰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联系人：占文驰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联系电话：0791-88250812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客户服务电话：956080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传真：0791-86281305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网址：www.gszq.com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(98) 国泰君安证券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注册地址：中国（上海）自由贸易试验区商城路618号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办公地址：上海市静安区南京西路768号国泰君安大厦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法定代表人：贺青</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联系人：芮敏祺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传真：021-38670666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网址：www.gtja.com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(99) 国信证券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注册地址：深圳市罗湖区红岭中路1012号国信证券大厦十六层至二十六层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办公地址：深圳市罗湖区红岭中路1012号国信证券大厦十六层至二十六层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法定代表人：何如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联系电话：0755-82130833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客户服务电话：95536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传真：0755-82133952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网址：www.guosen.com.cn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(100) 国元证券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注册地址：安徽省合肥市梅山路18号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办公地址：安徽省合肥市梅山路18号安徽国际金融中心A座国元证券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法定代表人：俞仕新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联系人：李蔡</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传真：0551-2272100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网址：www.gyzq.com.cn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(101) 海通证券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注册地址：上海市广东路689号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办公地址：上海市广东路689号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法定代表人：周杰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联系人：金芸、李笑鸣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联系电话：021-23219000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客户服务电话：95553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传真：021-23219100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网址：www.htsec.com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(102) 红塔证券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注册地址：云南省昆明市北京路155号附1号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办公地址：云南省昆明市北京路155号附1号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法定代表人：李素明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联系人：罗德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联系电话：0871-63582843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客户服务电话：956060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传真：0871-63578827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网址：http://www.hongtastock.com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(103) 华安证券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注册地址：安徽省合肥市政务文化新区天鹅湖路198号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办公地址：安徽省合肥市政务文化新区天鹅湖路198号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法定代表人：章宏韬</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联系人：范超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联系电话：0551-65161821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传真：0551-65161825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网址：www.hazq.com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(104) 华宝证券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注册地址：中国（上海）自由贸易试验区世纪大道100号57层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办公地址：中国（上海）自由贸易试验区世纪大道100号57层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法定代表人：刘加海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联系人：刘闻川</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联系电话：021-20657517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客户服务电话：400-820-9898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传真：021-20515593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网址：www.cnhbstock.com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(105) 华福证券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注册地址：福建省福州市鼓楼区鼓屏路27号1#楼3层、4层、5层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办公地址：上海市浦东新区陆家嘴环路1088号招商银行大厦18-19楼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法定代表人：黄金琳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联系电话：021-20655183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客户服务电话：95547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传真：021-20655196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网址：www.hfzq.com.cn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(106) 华林证券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注册地址：拉萨市柳梧新区国际总部城3幢1单元5-5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办公地址：深圳市福田区民田路178号华融大厦6楼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法定代表人：林立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联系人：胡倩</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联系电话：0755-83255199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客户服务电话：400-188-3888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网址：www.chinalin.com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(107) 华龙证券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注册地址：兰州市城关区东岗西路638号兰州财富中心21楼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办公地址：兰州市城关区东岗西路638号兰州财富中心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法定代表人：陈牧原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联系人：范坤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联系电话：0931-4890208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客户服务电话：95368、400-689-8888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传真：0931-4890628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网址：www.hlzq.com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(108) 华融证券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注册地址：北京市西城区金融大街8号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办公地址：北京市朝阳区朝阳门北大街18号中国人保寿险大厦12至18层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法定代表人：张海文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联系人：孙燕波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联系电话：010-85556048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客户服务电话：95390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传真：010-85556088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网址：www.hrsec.com.cn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(109) 华泰证券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注册地址：南京市江东中路228号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办公地址：南京市建邺区江东中路228号华泰证券广场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联系人：庞晓芸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联系电话：0755-82492193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客户服务电话：95597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传真：025-83387523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网址：www.htsc.com.cn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(110) 华西证券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注册地址：四川省成都市高新区天府二街198号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办公地址：四川省成都市高新区天府二街198号华西证券大厦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法定代表人：杨炯洋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联系人：张彬</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联系电话：010-58124967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客户服务电话：95584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传真：028-86150040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网址：www.hx168.com.cn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(111) 华鑫证券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注册地址：深圳市福田区莲花街道福中社区深南大道2008号中国凤凰大厦1栋20C-1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办公地址：上海市徐汇区宛平南路8号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法定代表人：俞洋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联系人：杨莉娟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联系电话：021-54967552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客户服务电话：95323（全国）、400-109-9918（全国）、029-68918888（西安）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传真：021-54967293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网址：www.cfsc.com.cn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(112) 华信证券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注册地址：上海浦东新区世纪大道100号环球金融中心9楼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办公地址：上海市黄浦区南京西路399号明天广场23楼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法定代表人：陈灿辉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联系人：徐璐</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联系电话：021-63898952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客户服务电话：400-820-5999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传真：021-68776977转8952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网址：www.shhxzq.com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(113) 江海证券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注册地址：黑龙江省哈尔滨市香坊区赣水路56号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办公地址：黑龙江省哈尔滨市松北区创新三路833号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法定代表人：赵洪波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联系人：姜志伟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联系电话：0451-87765732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客户服务电话：956007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传真：0451-82337279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网址：www.jhzq.com.cn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(114) 金元证券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注册地址：海口市南宝路36号证券大厦4楼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办公地址：深圳市深南大道4001号时代金融中心大厦17楼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法定代表人：王作义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联系人：刘萍</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联系电话：0755-83025693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客户服务电话：95372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传真：0755-83025625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网址：www.jyzq.cn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(115) 开源证券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注册地址：陕西省西安市高新区锦业路1号都市之门B座5层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办公地址：陕西省西安市高新区锦业路1号都市之门B座5层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法定代表人：李刚</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联系人：张蕊</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联系电话：029-88365809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客户服务电话：95325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网址：www.kysec.cn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(116) 联储证券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注册地址：广东省深圳市福田区福田街道岗厦社区深南大道南侧金地中心大厦9楼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办公地址：上海市浦东新区陆家嘴环路333号金砖大厦8楼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法定代表人：吕春卫</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联系人：张婉婷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联系电话：010-86499765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客户服务电话：400-620-6868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网址：www.lczq.com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(117) 南京证券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注册地址：南京市江东中路389号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办公地址：南京市江东中路389号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法定代表人：李剑锋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联系人：王万君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联系电话：025-58519523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客户服务电话：95386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传真：025-83369725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网址：www.njzq.com.cn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(118) 平安证券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注册地址：深圳市福田区福田街道益田路5023号平安金融中心B座第22-25层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办公地址：深圳市福田区金田路4036号荣超大厦16-20层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法定代表人：何之江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联系人：周驰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联系电话：021-38643230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客户服务电话：95511-8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传真：021-58991896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网址：stock.pingan.com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(119) 瑞银证券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注册地址：北京市西城区金融大街7号英蓝国际金融中心12层、15层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办公地址：北京市西城区金融大街7号英蓝国际金融中心12层、15层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法定代表人：钱于军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联系人：谢丹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联系电话：0755-22158878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客户服务电话：400-887-8827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传真：010-58328170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网址：https://www.ubs.com/ubssecurities</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(120) 山西证券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注册地址：太原市府西街69号山西国际贸易中心东塔楼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办公地址：太原市府西街69号山西国际贸易中心东塔楼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法定代表人：侯巍</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联系人：谢武兵</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联系电话：0351-8686721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客户服务电话：95573或400-666-1618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传真：0351-8686619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网址：www.i618.com.cn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(121) 上海证券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注册地址：上海市黄浦区四川中路213号7楼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办公地址：上海市四川中路213号久事商务大厦7楼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法定代表人：李俊杰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联系人：邵珍珍</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联系电话：021-53686888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客户服务电话：4008-918-918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传真：021-53686100、021-53686200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网址：https://www.shzq.com/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(122) 申万宏源西部证券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注册地址：新疆乌鲁木齐市高新区（新市区）北京南路358号大成国际大厦20楼2005室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办公地址：新疆乌鲁木齐市高新区（新市区）北京南路358号大成国际大厦20楼2005室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联系人：王怀春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联系电话：0991-2307105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客户服务电话：4008-000-562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传真：010-88085195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网址：www.hysec.com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(123) 申万宏源证券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注册地址：上海市徐汇区长乐路989号45层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办公地址：上海市徐汇区长乐路989号世纪商贸广场45层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法定代表人：杨玉成</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联系人：胡馨文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联系电话：021-33388252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客户服务电话：95523、4008895523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传真：021-33388224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网址：www.swhysc.com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(124) 世纪证券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注册地址：深圳市前海深港合作区南山街道桂湾五路128号前海深港基金小镇对冲基金中心406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办公地址：深圳市福田区深南大道招商银行大厦40-42层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联系人：徐玲娟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联系电话：0755-83199553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客户服务电话：4008323000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网址：www.csco.com.cn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(125) 首创证券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注册地址：北京市西城区德胜门外大街115号德胜尚城E座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办公地址：北京市西城区德胜门外大街115号德胜尚城E座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法定代表人：毕劲松</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联系电话：010-59366070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客户服务电话：400-620-0620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传真：010-59366055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网址：http://www.sczq.com.cn/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(126) 天风证券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注册地址：湖北省武汉市东湖新技术开发区关东园路2号高科大厦四楼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办公地址：湖北省武汉市武昌区中南路99号保利广场A座37楼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法定代表人：余磊</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联系人：王雅薇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联系电话：027-87617017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客户服务电话：4008005000、95391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传真：027-87618863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网址：http://www.tfzq.com/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(127) 万联证券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注册地址：广州市天河区珠江东路11号18、19楼全层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办公地址：广州市天河区珠江东路13号高德置地广场E栋12层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法定代表人：罗钦城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联系人：甘蕾</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联系电话：020-38286026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客户服务电话：95322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传真：020-38286588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网址：www.wlzq.cn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(128) 西部证券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注册地址：陕西省西安市新城区东新街319号8幢10000室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办公地址：陕西省西安市新城区东新街319号8幢10000室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法定代表人：徐朝晖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联系人：梁承华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联系电话：029-87211526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客户服务电话：95582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传真：029-87211478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网址：www.westsecu.com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(129) 西南证券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注册地址：重庆市江北区桥北苑8号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办公地址：重庆市江北区桥北苑8号西南证券大厦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法定代表人：廖庆轩</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联系人：周青</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联系电话：023-63786633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客户服务电话：4008096096或95355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传真：023-63786212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网址：www.swsc.com.cn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(130) 湘财证券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注册地址：湖南省长沙市天心区湘府中路198号新南城商务中心A栋11楼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办公地址：湖南省长沙市天心区湘府中路198号新南城商务中心A栋11楼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法定代表人：孙永祥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联系人：江恩前</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联系电话：021-38784580-8920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客户服务电话：95351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传真：021-68865680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网址：www.xcsc.com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(131) 新时代证券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注册地址：北京市海淀区北三环西路99号院1号楼15层1501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办公地址：北京市海淀区北三环西路99号院1号楼15层1501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法定代表人：叶顺德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联系人：马文玺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联系电话：010-83561072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网址：www.xsdzq.cn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(132) 信达证券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注册地址：北京市西城区闹市口大街9号院1号楼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办公地址：北京市西城区闹市口大街9号院1号楼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法定代表人：肖林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联系人：尹旭航</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联系电话：010-63081000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传真：010-63080978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网址：www.cindasc.com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(133) 兴业证券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注册地址：福州市湖东路268号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办公地址：上海浦东新区长柳路36号兴业证券大厦20楼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法定代表人：杨华辉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联系人：乔琳雪</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联系电话：021-38565547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客户服务电话：95562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网址：www.xyzq.com.cn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(134) 银河证券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注册地址：北京市西城区金融大街35号2-6层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办公地址：北京市西城区金融大街35号国际企业大厦C座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法定代表人：陈共炎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联系人：辛国政</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联系电话：010-83574507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客户服务电话：4008-888-888或95551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网址：www.chinastock.com.cn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(135) 粤开证券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注册地址：惠州市江北东江三路55号广播电视新闻中心西面一层大堂和三、四层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办公地址：广东省广州市黄埔区科学大道60号开发区金控中心21-23层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法定代表人：严亦斌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联系人：彭莲</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联系电话：0755-83331195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客户服务电话：95564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公司网址：http://www.ykzq.com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(136) 招商证券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注册地址：深圳市福田区福田街道福华一路111号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办公地址：深圳市福田区福田街道福华一路111号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法定代表人：霍达</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联系人：黄婵君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联系电话：0755-82943666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客户服务电话：95565、400-8888-111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传真：0755-82943636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网址：www.newone.com.cn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(137) 浙商证券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注册地址：浙江省杭州市江干区五星路201号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办公地址：浙江省杭州市江干区五星路201号浙商证券大楼8楼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法定代表人：吴承根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联系人：高扬</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联系电话：0571-87902974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客户服务电话：95345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传真：0571-87901913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网址：www.stocke.com.cn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(138) 中金财富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注册地址：深圳市福田区益田路与福中路交界处荣超商务中心A栋第18-21层及第04层01.02.03.05.11.12.13.15.16.18.19.20.21.22.23单元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办公地址：深圳福田区益田路6003号荣超商务中心A座4层、18-21层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法定代表人：高涛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联系人：万玉琳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联系电话：0755-82026907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客户服务电话：95532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网址：https://www.ciccwm.com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(139) 中金公司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注册地址：北京市朝阳区建国门外大街1号国贸大厦2座27层及28层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办公地址：北京市朝阳区建国门外大街甲6号SK大厦38层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法定代表人：沈如军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联系人：杨涵宇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联系电话：010-65051166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客户服务电话：4009101166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网址：www.cicc.com.cn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(140) 中山证券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注册地址：深圳市南山区粤海街道蔚蓝海岸社区创业路1777号海信南方大厦21、22层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办公地址：深圳市南山区创业路1777号海信南方大厦21、22层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法定代表人：林炳城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联系人：罗艺琳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电话：0755-82943755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传真：0755-82960582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客户服务电话：95329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网址：www.zszq.com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(141) 中泰证券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注册地址：济南市市中区经七路86号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办公地址：山东省济南市经七路86号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联系人：许曼华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联系电话：021-20315290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客户服务电话：95538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传真：0531-68889095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网址：www.zts.com.cn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(142) 中天证券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注册地址：辽宁省沈阳市和平区光荣街23甲</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办公地址：辽宁省沈阳市和平区光荣街23甲</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法定代表人：马功勋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联系人：李泓灏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联系电话：024-23255256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客户服务电话：024-95346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传真：024-23255606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网址：www.iztzq.com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(143) 中信建投证券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注册地址：北京市朝阳区安立路66号4号楼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办公地址：北京市朝阳门内大街188号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法定代表人：王常青</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联系电话：010－85130554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客户服务电话：95587或4008-888-108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网址：http://www.csc108.com/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(144) 中信证券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注册地址：广东省深圳市福田区中心三路8号卓越时代广场（二期）北座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办公地址：北京市朝阳区亮马桥路48号中信证券大厦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法定代表人：张佑君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联系人：王一通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联系电话：010-60838888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客户服务电话：95548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传真：010-60836029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网址：www.cs.ecitic.com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(145) 中信证券华南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注册地址：广州市天河区珠江西路5号广州国际金融中心主塔19层、20层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办公地址：广州市天河区珠江西路5号广州国际金融中心主塔19层、20层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法定代表人：胡伏云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联系人：陈靖</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联系电话：020-88836999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客户服务电话：95548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传真：020-88836984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网址：www.gzs.com.cn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(146) 中信证券（山东）</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注册地址：青岛市崂山区深圳路222号1号楼2001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办公地址：青岛市市南区东海西路28号龙翔广场东座5层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法定代表人：姜晓林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联系人：焦刚</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联系电话：0531-89606166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客户服务电话：95548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传真：0532-85022605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网址：http://sd.citics.com/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(147) 中银证券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注册地址：上海市浦东新区银城中路200号中银大厦39层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办公地址：上海市浦东新区银城中路200号中银大厦39-40层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法定代表人：宁敏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联系人：王炜哲</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客户服务电话：400-620-8888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传真：021-50372474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网址：www.bocichina.com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(148) 中邮证券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注册地址：陕西省西安市唐延路5号（陕西邮政信息大厦9-11层）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办公地址：北京市东城区珠市口东大街17号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法定代表人：丁奇文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联系人：岳帅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 010-67017788-6068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客户服务电话：4008-888-005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传真：010-67017788-9696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网址：www.cnpsec.com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(149) 中原证券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注册地址：郑州市郑东新区商务外环路10号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办公地址：河南省郑州市郑东新区商务外环路10号中原广发金融大厦19楼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法定代表人：菅明军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联系人：程月艳  李盼盼 党静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联系电话：0371-69099882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客户服务电话：95377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传真：0371-65585899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网址：www.ccnew.com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(150) 百度百盈</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注册地址：北京市海淀区西北旺东路10号院西区4号楼1层103室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办公地址：北京市海淀区西北旺东路10号院西区4号楼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法定代表人：葛新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联系人：孙博超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联系电话：010-59403028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客户服务电话：95055-4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网址：www.baiyingfund.com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(151) 长量基金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注册地址：上海市浦东新区高翔路526号2幢220室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办公地址：上海市浦东新区东方路1267号陆家嘴金融服务广场二期11层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法定代表人：张跃伟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联系人：党敏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联系电话：021-20691935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客户服务电话：400-820-2899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传真：021-20691861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网址：www.erichfund.com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(152) 朝阳永续</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注册地址：浦东新区上丰路977号1幢B座812室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办公地址：上海市浦东新区碧波路690号4号楼2楼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法人代表：廖冰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联系人：陆纪青</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联系电话：021-80234888-6813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客户服务电话：400-699-1888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网址：www.998fund.com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(153) 创金启富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注册地址：北京市西城区白纸坊东街2号院6号楼712室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办公地址：北京市西城区白纸坊东街2号院6号楼712室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法定代表人：梁蓉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联系人：杨凤椅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联系电话：010-66154828-8047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客户服务电话：400-6262-818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传真：010-63583991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网址：www.5irich.com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(154) 大智慧基金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注册地址：中国（上海）自由贸易试验区杨高南路428号1号楼1102单元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办公地址：中国（上海）自由贸易试验区杨高南路428号1号楼1102单元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法定代表人：申健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联系人：张蜓</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联系电话：021-20219988-35374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客户服务电话：021-20292031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传真：021-20219923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网址：https://www.wg.com.cn/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(155) 蛋卷基金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注册地址：北京市朝阳区创远路34号院6号楼15层1501室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办公地址：北京市朝阳区创远路 34 号院融新科技中心 C 座 17 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法定代表人：钟斐斐</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联系人：侯芳芳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联系电话：010-61840688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客户服务电话：400-159-9288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网址：https://danjuanapp.com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(156) 鼎信汇金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注册地址：北京市海淀区太月园3号楼5层521室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办公地址：北京市海淀区太月园3号楼5层521室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法定代表人：齐凌峰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联系人：阮志凌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联系电话：010-82050520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客户服务电话：400-158-5050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传真：010-82086110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网址：www.9ifund.com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(157) 富济基金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注册地址：深圳市福田区福田街道岗厦社区金田路3088号中洲大厦3203A单元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办公地址：深圳市福田区福田街道岗厦社区金田路3088号中洲大厦3203A单元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法定代表人：祝中村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联系人：曾瑶敏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联系电话：0755-83999907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客户服务电话：0755-83999907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传真：0755-83999926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网址：www.fujifund.cn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(158) 海银基金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注册地址：中国（上海）自由贸易试验区银城中路8号402室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办公地址：上海市浦东新区银城中路8号海银金融中心4楼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法定代表人：巩巧丽</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联系人：毛林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联系电话：021-80133597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客户服务电话：400-808-1016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传真：021-80133413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网址：www.fundhaiyin.com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(159) 好买基金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注册地址：上海市虹口区欧阳路196号26号楼2楼41号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办公地址：上海市浦东南路1118号鄂尔多斯国际大厦903～906室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法定代表人：杨文斌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联系人：高源</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联系电话：021-36696312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客户服务电话：400-700-9665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传真：021-68596919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网址：www.ehowbuy.com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(160) 和讯信息</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注册地址：北京市朝阳区朝外大街22号1002室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办公地址：北京市朝阳区朝外大街22号泛利大厦10层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联系人：陈慧慧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联系电话：010-85657353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客户服务电话：400-920-0022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传真：010-65884788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网址：http://licaike.hexun.com/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(161) 恒天明泽</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注册地址：北京市经济技术开发区宏达北路10号五层5122室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办公地址：北京市朝阳区东三环北路甲19号SOHO嘉盛中心30层3001室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法定代表人：周斌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联系人：陈霞</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联系电话：010-59313555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客户服务电话：400-8980-618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传真：010-59313586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网址：www.chtwm.com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(162) 弘业期货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注册地址：江苏省南京市秦淮区中华路50号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办公地址：江苏省南京市秦淮区中华路50号弘业大厦9楼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法人代表：周剑秋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联系人：张苏怡</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联系电话：025-52278981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客户服务电话：400-828-1288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网址：www.ftol.com.cn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(163) 虹点基金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注册地址：北京市朝阳区东三环北路17号10层1015室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办公地址：北京市朝阳区东三环北路17号10层1015室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法定代表人：何静</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联系人：王重阳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联系电话：010-65951887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客户服务电话：400-618-0707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网址：www.hongdianfund.com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(164) 华瑞保险销售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注册地址：上海市嘉定区南翔镇众仁路399号运通星财富广场1号楼B座13、14层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办公地址：上海市浦东新区向城路288号国华人寿金融大厦8层806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法定代表人：路昊</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联系人：茆勇强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联系电话：021-68595698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客户服务电话：952303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传真：021-68595766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网址：www.huaruisales.com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(165) 华夏财富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注册地址：上海市虹口区东大名路687号1幢2楼268室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办公地址：北京市西城区金融大街33号通泰大厦B座8层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法定代表人：毛淮平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联系人：张静怡</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联系电话：010-88066326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客户服务电话：400-817-5666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传真：010-63136184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网址：www.amcfortune.com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(166) 汇成基金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注册地址：北京市海淀区中关村大街11号11层1108号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办公地址：北京市西城区西直门外大街1号院2号楼 19层 19C13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法定代表人：王伟刚</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联系人：王骁骁</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联系电话：010-56251471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客户服务电话：400-619-9059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网址：www.hcjijin.com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(167) 汇付基金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注册地址：上海市黄浦区黄河路333号201室A区056单元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办公地址：上海市徐汇区宜山路700号普天信息产业园2期C5栋 汇付天下总部大楼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法定代表人：金佶</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联系人：甄宝林</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联系电话：021-34013996-3011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客户服务电话：021-34013999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传真：021-33323837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网址：www.hotjijin.com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(168) 济安财富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注册地址：北京市朝阳区太阳宫中路16号院1号楼3层307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办公地址：北京市朝阳区太阳宫中路16号院1号楼冠捷大厦3层307单元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法定代表人：杨健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联系人：李海燕</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联系电话：010-65309516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客户服务电话：400-673-7010（济安财富官网）  400-071-6766（腾讯财经）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传真：010-65330699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网址：www.jianfortune.com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(169) 加和基金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注册地址：北京市西城区德胜门外大街13号院1号楼5层505室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办公地址：北京市西城区德胜门外大街13号院1号楼5层505室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法定代表人：曲阳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联系人：王梓骄</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联系电话：010-80456756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客户服务电话：400-803-1188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传真：010-80456278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网址：www.bzfunds.com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(170) 嘉实财富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注册地址：中国（上海）自由贸易试验区世纪大道8号上海国金中心办公楼二期53层5312-15单元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办公地址：北京市朝阳区建国路91号金地中心A座6层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法定代表人：赵学军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联系人：李雯</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联系电话：010-60842306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客户服务电话：400-021-8850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传真：010-85712195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网址：www.harvestwm.cn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(171) 久富财富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注册地址：上海市浦东新区莱阳路2819号1幢109室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办公地址：上海市浦东新区民生路1403号上海信息大厦1215室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法定代表人：赵惠蓉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联系人：赵惠蓉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联系电话：021-68682279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客户服务电话：400-102-1813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传真：021-68682297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网址：www.jfcta.com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(172) 凯石财富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注册地址：上海市黄浦区西藏南路765号602-115室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办公地址：上海市黄浦区延安东路1号凯石大厦4楼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法定代表人：陈继武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联系人：冯强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联系电话：021-63333389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客户服务电话：4006-433-389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传真：021-63333390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网址：www.vstonewealth.com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(173) 肯特瑞基金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注册地址：北京市海淀区西三旗建材城中路12号17号平房157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办公地址：北京市大兴区亦庄经济开发区科创十一街十八号院京东集团总部A座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法定代表人：王苏宁</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联系人：娄云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联系电话：010-89189291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客户服务电话：95118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网址：http://fund.jd.com/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(174) 利得基金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注册地址：上海市宝山区蕴川路5475号1033室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办公地址：上海市虹口区东大名路1098号浦江国际金融广场53层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法定代表人：李兴春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联系人：陈孜明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联系电话：86-021-50583533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客户服务电话：95733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传真：86-21-61101630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网址：www.leadfund.com.cn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(175) 联泰基金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注册地址：中国（上海）自由贸易试验区富特北路277号3层310室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办公地址：上海市长宁区福泉北路518号8座3楼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法定代表人：尹彬彬</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联系人：陈东</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联系电话：021-52822063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客户服务电话：400-118-1188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传真：021-52975270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网址：www.66zichan.com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(176) 陆基金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注册地址：中国（上海）自由贸易试验区陆家嘴环路1333号14楼09单元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办公地址：中国（上海）自由贸易试验区陆家嘴环路1333号14楼09单元</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法定代表人：王之光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联系人：宁博宇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联系电话：021-20665952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客户服务电话：4008219031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传真：021-22066653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网址：www.lufunds.com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(177) 蚂蚁基金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注册地址：浙江省杭州市余杭区五常街道文一西路969号3幢5层599室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办公地址：浙江省杭州市西湖区万塘路18号黄龙时代广场B座6F</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法定代表人：祖国明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联系人：韩爱彬</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联系电话：0571-26888888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客户服务电话：4000-766-123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网址：http://www.fund123.cn/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(178) 民商基金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注册地址：上海黄浦区北京东路666号H区（东座）6楼A31室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 xml:space="preserve">办公地址：上海市浦东新区张杨路707号生命人寿大厦32楼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法定代表人：贲惠琴</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联系人：林志枫</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联系电话：021-50206003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客户服务电话：021-50206003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传真：021-50206001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网址：http://www.msftec.com/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(179) 诺亚正行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注册地址：上海市虹口区飞虹路360弄9号3724室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办公地址：上海市杨浦区长阳路1687号长阳谷2号楼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法定代表人：汪静波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联系电话：021-80358523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客户服务电话：400-821-5399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传真：021-38509777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网址：www.noah-fund.com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(180) 浦领基金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注册地址：北京市朝阳区望京东园四区13号楼A座9层908室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办公地址：北京市朝阳区望京浦项中心A座9层04-08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法定代表人：聂婉君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联系人：李艳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联系电话：010-59497361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客户服务电话：400-012-5899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传真：010-64788016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网址：www.zscffund.com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(181) 钱景基金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注册地址：北京市海淀区中关村东路18号1号楼11层B-1108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办公地址：北京市海淀区中关村东路18号财智国际大厦B-1108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法定代表人：王利刚</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联系人：姚付景</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联系电话：010-59422766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客户服务电话：400-893-6885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传真：010-62565181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网址：www.qianjing.com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(182) 深圳新兰德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注册地址：深圳市福田区福田街道民田路178号华融大厦27层2704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办公地址：北京市西城区宣武门外大街28号富卓大厦A座7层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法定代表人：洪弘</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联系人：张燕</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联系电话：010-83363099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客户服务电话：400-166-1188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传真：010-83363010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网址：http://8.jrj.com.cn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(183) 晟视天下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注册地址：北京市怀柔区九渡河镇黄坎村735号03室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办公地址：北京市朝阳区朝外大街甲六号万通中心D座21层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法定代表人：蒋煜</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联系人：史俊杰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联系电话：010-58170936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客户服务电话：010-58170761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传真：010-58170800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网址：www.shengshiview.com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(184) 苏宁基金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注册地址：南京市玄武区苏宁大道1-5号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办公地址：南京市玄武区苏宁大道1-5号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联系人：冯鹏鹏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联系电话：025-66996699-882796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客户服务电话：95177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网址：www.snjijin.com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(185) 腾安基金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注册地址：深圳市前海深港合作区前湾一路1号A栋201室（入驻深圳市前海商务秘书有限公司）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办公地址：深圳市南山区海天二路33号腾讯滨海大厦15楼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法定代表人：刘明军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联系人：谭广锋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客户服务电话：95017（拨通后转1转8）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公司网址：https://www.txfund.com/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(186) 天天基金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注册地址：上海市徐汇区龙田路190号2号楼2层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办公地址：上海市徐汇区宛平南路88号东方财富大厦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法定代表人：其实</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联系人：屠彦洋</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联系电话：021-54509977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客户服务电话：95021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传真：021-64385308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网址：www.1234567.com.cn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(187) 通华财富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注册地址：上海市虹口区同丰路667弄107号201室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办公地址：上海市浦东新区金沪路55号通华科技大厦2楼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法定代表人：沈丹义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联系人：杨涛、庄洁茹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联系电话：021-60810586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客户服务电话：400-101-9301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传真：021-60810695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网址：www.tonghuafund.com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(188) 同花顺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注册地址：浙江省杭州市文二西路1号903室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办公地址：杭州市余杭区五常街道同顺街18号同花顺大楼4层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法定代表人：吴强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联系人：吴强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联系电话：0571-88911818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客户服务电话：952555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传真：0571-86800423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网址：www.5ifund.com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(189) 途牛基金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注册地址：江苏省南京市玄武区玄武大道699-1号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办公地址：江苏省南京市玄武区玄武大道699-32号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法人代表：宋时琳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联系人：贺杰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联系电话：025-86853960-66727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客户服务电话：4007-999-999转3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网址：http://jr.tuniu.com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(190) 挖财基金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注册地址：中国（上海）自由贸易试验区杨高南路799号5楼04室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办公地址：上海市浦东新区杨高南路799号陆家嘴世纪金融广场3号楼5层04室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法定代表人：吕柳霞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联系人：曾芸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联系电话：021-50810687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客户服务电话：021-50810673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网址：www.wacaijijin.com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(191) 万得基金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注册地址：中国（上海）自由贸易试验区福山路33号11楼B座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办公地址：上海市浦东新区浦明路1500号万得大厦11楼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法定代表人：黄祎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联系人：徐亚丹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联系电话：021-50712782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客户服务电话：400-799-1888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网址：www.520fund.com.cn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(192) 万家财富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注册地址：天津自贸区（中心商务区）迎宾大道1988号滨海浙商大厦公寓2-2413室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办公地址：北京市西城区丰盛胡同28号太平洋保险大厦A座5层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联系人：王芳芳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联系电话：010-59013828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客户服务电话：010-59013895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网址：http://www.wanjiawealth.com/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(193) 鑫鼎盛</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注册地址：厦门市思明区鹭江道2号厦门第一广场西座1501-1502室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办公地址：厦门市思明区鹭江道2号厦门第一广场西座1501-1502室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 xml:space="preserve">法定代表人：陈洪生 </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联系人：梁云波</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联系电话：0592-3122757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客户服务电话：400-6533-789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网址：www.xds.com.cn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(194) 阳光人寿保险</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注册地址：海南省三亚市迎宾路360-1号三亚阳光金融广场16层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办公地址：北京市朝阳区朝阳门外大街乙12号院1号昆泰国际大厦12层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法定代表人：李科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联系人：王超</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联系电话：010-85632771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客户服务电话：95510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传真：010-85632773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网址：http://fund.sinosig.com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(195) 一路财富</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注册地址：北京市海淀区宝盛南路1号院20号楼9层101-14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办公地址：北京市海淀区宝盛南路奥北科技园20号楼国泰大厦9层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法定代表人：吴雪秀</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联系人：董宣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联系电话：010-88312877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客户服务电话：400-001-1566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传真：010-88312099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网址：www.yilucaifu.com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(196) 宜投基金销售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注册地址：深圳市前海深港合作区前湾一路1号A栋201室（入驻深圳市前海商务秘书有限公司）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办公地址：深圳市福田区嘉里建设广场2座15楼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法定代表人：雷凤潮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联系人：梁菲菲</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联系电话：0755-88603874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客户服务电话：4008-955-811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网址：www.yitfund.com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(197) 宜信普泽</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注册地址：北京市朝阳区西大望路1号9层公寓1008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办公地址：北京市朝阳区西大望路1号9层公寓1008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法定代表人：戎兵</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联系人：魏晨</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联系电话：010-52413385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客户服务电话：400-6099-200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传真：010-85800047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网址：www.yixinfund.com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(198) 奕丰金融</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注册地址：深圳市前海深港合作区前湾一路1号A栋201室（入驻深圳市前海商务秘书有限公司）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办公地址：深圳市南山区海德三道航天科技广场A座17楼1704室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法定代表人：TEO WEE HOWE</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联系人：叶健</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联系电话：0755-89460507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客户服务电话：400-684-0500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传真：0755-21674453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网址：www.ifastps.com.cn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(199) 盈米基金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注册地址：珠海市横琴新区宝华路6号105室-3491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办公地址：广州市海珠区琶洲大道东路1号保利国际广场南塔1201-1203室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法定代表人：肖雯</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联系人：邱湘湘</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联系电话：020-89629099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客户服务电话：020-89629066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传真：020-89629011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网址：www.yingmi.cn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(200) 云湾基金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注册地址：中国（上海）自由贸易试验区新金桥路27号、明月路1257号1幢1层103-1、103-2办公区</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办公地址：上海市浦东新区新金桥路27号1号楼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法定代表人：冯轶明</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联系人：范泽杰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联系电话：021-20530186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客户服务电话：400-820-1515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传真：021-20539999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网址：http://www.zhengtongfunds.com/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(201) 增财基金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注册地址：北京市西城区南礼士路66号建威大厦1208室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办公地址：北京市西城区南礼士路66号建威大厦1208-1209室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法定代表人：罗细安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联系人：闫丽敏</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联系电话：010-67000988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客户服务电话：400-001-8811</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传真：010-67000988-6000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网址：www.zcvc.com.cn</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(202) 展恒基金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注册地址：北京市朝阳区安苑路11号西楼6层604、607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办公地址：北京市朝阳区北四环中路27号盘古大观3205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法定代表人：闫振杰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联系人：武文佳</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联系电话：010-59601399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客户服务电话：400-818-8000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传真：0351-4110714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网址：www.myfund.com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(203) 中国国际期货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注册地址：北京市朝阳区建国门外光华路14号1幢6层609号、610号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办公地址：北京市朝阳区建国门外光华路14号1幢1层、2层、9层、11层、12层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法定代表人：王兵</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联系人：霍丽文</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联系电话：010-65807827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客户服务电话：95162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传真：010-59539806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网址：http://www.cifco.net/</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(204) 中期时代基金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注册地址：北京市朝阳区建国门外光华路14号1幢11层1103号</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办公地址：北京市朝阳区建国门外光华路14号1幢4层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法定代表人：田宏莉</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联系人：尹庆</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联系电话：010-65807865</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客户服务电话：95162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传真：010-65807864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网址：www.jrtoo.com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(205) 中信建投期货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注册地址：重庆市渝中区中山三路107号上站大楼平街11-B，名义层11-A，8-B4，9-B、</w:t>
      </w:r>
      <w:r w:rsidRPr="003307CA">
        <w:rPr>
          <w:rFonts w:asciiTheme="minorEastAsia" w:eastAsiaTheme="minorEastAsia" w:hAnsiTheme="minorEastAsia" w:hint="eastAsia"/>
        </w:rPr>
        <w:lastRenderedPageBreak/>
        <w:t>C</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办公地址：重庆市渝中区中山三路107号皇冠大厦11楼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法定代表人：王广学</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联系人：刘芸</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联系电话：023-86769637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客户服务电话：400-8877-780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传真：023-86769629</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网址：www.cfc108.com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(206) 中信期货</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注册地址：广东省深圳市福田区中心三路8号卓越时代广场（二期）北座13层1301-1305室、14层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办公地址：深圳市福田区中心三路8号卓越时代广场（二期）北座13层1301-1305室、14层</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法定代表人：张皓</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联系人：刘宏莹</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联系电话：010-6083 3754</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客户服务电话：400-990-8826</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传真：021-60819988</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网址：www.citicsf.com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(207) 中正达广</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注册地址：上海市徐汇区龙腾大道2815号302室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办公地址：上海市徐汇区龙腾大道2815号302室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法定代表人：黄欣</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联系人：戴珉微</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联系电话：021-33768132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客户服务电话：400-6767-523</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传真：021-33768132-802</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网址：www.zhongzhengfund.com</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(208) 众禄基金</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注册地址：深圳市罗湖区笋岗街道笋西社区梨园路8号HALO广场一期四层12-13室</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办公地址：深圳市罗湖区梨园路HALO广场4楼</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法定代表人：薛峰</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联系人：龚江江</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联系电话：0755-33227950</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客户服务电话：4006-788-887</w:t>
      </w:r>
    </w:p>
    <w:p w:rsidR="000C7A12" w:rsidRPr="003307CA" w:rsidRDefault="000C7A12" w:rsidP="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传真：0755-33227951</w:t>
      </w:r>
    </w:p>
    <w:p w:rsidR="002465F1" w:rsidRPr="003307CA" w:rsidRDefault="000C7A12">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网址：www.zlfund.cn    www.jjmmw.com</w:t>
      </w:r>
      <w:bookmarkStart w:id="304" w:name="_Toc38432429"/>
    </w:p>
    <w:p w:rsidR="002465F1" w:rsidRPr="003307CA" w:rsidRDefault="000C7A12" w:rsidP="00721084">
      <w:pPr>
        <w:pStyle w:val="2"/>
        <w:snapToGrid w:val="0"/>
        <w:spacing w:beforeLines="0" w:afterLines="0" w:line="360" w:lineRule="auto"/>
        <w:ind w:left="560" w:firstLineChars="0" w:firstLine="0"/>
        <w:rPr>
          <w:rFonts w:asciiTheme="minorEastAsia" w:eastAsiaTheme="minorEastAsia" w:hAnsiTheme="minorEastAsia"/>
        </w:rPr>
      </w:pPr>
      <w:bookmarkStart w:id="305" w:name="_Toc44351148"/>
      <w:r w:rsidRPr="003307CA">
        <w:rPr>
          <w:rFonts w:asciiTheme="minorEastAsia" w:eastAsiaTheme="minorEastAsia" w:hAnsiTheme="minorEastAsia" w:hint="eastAsia"/>
          <w:b w:val="0"/>
        </w:rPr>
        <w:t>二、基金注册登记机构</w:t>
      </w:r>
      <w:bookmarkEnd w:id="305"/>
    </w:p>
    <w:bookmarkEnd w:id="304"/>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基金注册登记机构：易方达基金管理有限公司</w:t>
      </w:r>
    </w:p>
    <w:p w:rsidR="00D539E9" w:rsidRPr="003307CA" w:rsidRDefault="00EA4817"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住所：</w:t>
      </w:r>
      <w:r w:rsidR="005C0821" w:rsidRPr="003307CA">
        <w:rPr>
          <w:rFonts w:asciiTheme="minorEastAsia" w:eastAsiaTheme="minorEastAsia" w:hAnsiTheme="minorEastAsia"/>
          <w:szCs w:val="21"/>
        </w:rPr>
        <w:t>广东省珠海市横琴新区宝华路6号105室-42891（集中办公区）</w:t>
      </w:r>
    </w:p>
    <w:p w:rsidR="0064594E" w:rsidRPr="003307CA" w:rsidRDefault="00D539E9"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办公地址：广州市天河区珠江新城珠江东路30号广州银行大厦40-43楼</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法定代表人：</w:t>
      </w:r>
      <w:r w:rsidR="00AD1BC0" w:rsidRPr="003307CA">
        <w:rPr>
          <w:rFonts w:asciiTheme="minorEastAsia" w:eastAsiaTheme="minorEastAsia" w:hAnsiTheme="minorEastAsia" w:hint="eastAsia"/>
          <w:szCs w:val="21"/>
        </w:rPr>
        <w:t>刘晓艳</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电话：4008818088</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传真：</w:t>
      </w:r>
      <w:r w:rsidRPr="003307CA">
        <w:rPr>
          <w:rFonts w:asciiTheme="minorEastAsia" w:eastAsiaTheme="minorEastAsia" w:hAnsiTheme="minorEastAsia"/>
          <w:szCs w:val="21"/>
        </w:rPr>
        <w:t>020</w:t>
      </w:r>
      <w:r w:rsidRPr="003307CA">
        <w:rPr>
          <w:rFonts w:asciiTheme="minorEastAsia" w:eastAsiaTheme="minorEastAsia" w:hAnsiTheme="minorEastAsia" w:hint="eastAsia"/>
          <w:szCs w:val="21"/>
        </w:rPr>
        <w:t>-38799249</w:t>
      </w: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联系人：余贤高</w:t>
      </w:r>
    </w:p>
    <w:p w:rsidR="0064594E" w:rsidRPr="003307CA"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306" w:name="_Toc38432430"/>
      <w:bookmarkStart w:id="307" w:name="_Toc44351149"/>
      <w:r w:rsidRPr="003307CA">
        <w:rPr>
          <w:rFonts w:asciiTheme="minorEastAsia" w:eastAsiaTheme="minorEastAsia" w:hAnsiTheme="minorEastAsia" w:hint="eastAsia"/>
          <w:b w:val="0"/>
        </w:rPr>
        <w:t>三</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律师事务所和经办律师</w:t>
      </w:r>
      <w:bookmarkEnd w:id="306"/>
      <w:bookmarkEnd w:id="307"/>
    </w:p>
    <w:p w:rsidR="00503EE8" w:rsidRPr="003307CA" w:rsidRDefault="00503EE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律师事务所：上海源泰</w:t>
      </w:r>
      <w:r w:rsidRPr="003307CA">
        <w:rPr>
          <w:rFonts w:asciiTheme="minorEastAsia" w:eastAsiaTheme="minorEastAsia" w:hAnsiTheme="minorEastAsia"/>
          <w:szCs w:val="21"/>
        </w:rPr>
        <w:t>律师事务所</w:t>
      </w:r>
    </w:p>
    <w:p w:rsidR="00503EE8" w:rsidRPr="003307CA" w:rsidRDefault="00503EE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地址</w:t>
      </w:r>
      <w:r w:rsidRPr="003307CA">
        <w:rPr>
          <w:rFonts w:asciiTheme="minorEastAsia" w:eastAsiaTheme="minorEastAsia" w:hAnsiTheme="minorEastAsia"/>
          <w:szCs w:val="21"/>
        </w:rPr>
        <w:t>：</w:t>
      </w:r>
      <w:r w:rsidR="00A775A2" w:rsidRPr="003307CA">
        <w:rPr>
          <w:rFonts w:asciiTheme="minorEastAsia" w:eastAsiaTheme="minorEastAsia" w:hAnsiTheme="minorEastAsia" w:hint="eastAsia"/>
          <w:szCs w:val="21"/>
        </w:rPr>
        <w:t>上海市浦东新区浦东南路256号华夏银行大厦14层</w:t>
      </w:r>
    </w:p>
    <w:p w:rsidR="00503EE8" w:rsidRPr="003307CA" w:rsidRDefault="00503EE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负责人：廖海</w:t>
      </w:r>
    </w:p>
    <w:p w:rsidR="00503EE8" w:rsidRPr="003307CA" w:rsidRDefault="00503EE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电话：</w:t>
      </w:r>
      <w:r w:rsidRPr="003307CA">
        <w:rPr>
          <w:rFonts w:asciiTheme="minorEastAsia" w:eastAsiaTheme="minorEastAsia" w:hAnsiTheme="minorEastAsia" w:hint="eastAsia"/>
          <w:szCs w:val="21"/>
        </w:rPr>
        <w:t>（021）51150298</w:t>
      </w:r>
    </w:p>
    <w:p w:rsidR="00503EE8" w:rsidRPr="003307CA" w:rsidRDefault="00503EE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传真：</w:t>
      </w:r>
      <w:r w:rsidRPr="003307CA">
        <w:rPr>
          <w:rFonts w:asciiTheme="minorEastAsia" w:eastAsiaTheme="minorEastAsia" w:hAnsiTheme="minorEastAsia" w:hint="eastAsia"/>
          <w:szCs w:val="21"/>
        </w:rPr>
        <w:t>（021）51150398</w:t>
      </w:r>
    </w:p>
    <w:p w:rsidR="00503EE8" w:rsidRPr="003307CA" w:rsidRDefault="00503EE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联系人：</w:t>
      </w:r>
      <w:r w:rsidRPr="003307CA">
        <w:rPr>
          <w:rFonts w:asciiTheme="minorEastAsia" w:eastAsiaTheme="minorEastAsia" w:hAnsiTheme="minorEastAsia" w:hint="eastAsia"/>
          <w:szCs w:val="21"/>
        </w:rPr>
        <w:t>廖海</w:t>
      </w:r>
    </w:p>
    <w:p w:rsidR="0064594E" w:rsidRPr="003307CA" w:rsidRDefault="00503EE8"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经办律师：</w:t>
      </w:r>
      <w:r w:rsidRPr="003307CA">
        <w:rPr>
          <w:rFonts w:asciiTheme="minorEastAsia" w:eastAsiaTheme="minorEastAsia" w:hAnsiTheme="minorEastAsia" w:hint="eastAsia"/>
          <w:szCs w:val="21"/>
        </w:rPr>
        <w:t>廖海、田卫红</w:t>
      </w:r>
    </w:p>
    <w:p w:rsidR="0064594E" w:rsidRPr="003307CA"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308" w:name="_Toc38432431"/>
      <w:bookmarkStart w:id="309" w:name="_Toc44351150"/>
      <w:r w:rsidRPr="003307CA">
        <w:rPr>
          <w:rFonts w:asciiTheme="minorEastAsia" w:eastAsiaTheme="minorEastAsia" w:hAnsiTheme="minorEastAsia" w:hint="eastAsia"/>
          <w:b w:val="0"/>
        </w:rPr>
        <w:t>四</w:t>
      </w:r>
      <w:r w:rsidRPr="003307CA">
        <w:rPr>
          <w:rFonts w:asciiTheme="minorEastAsia" w:eastAsiaTheme="minorEastAsia" w:hAnsiTheme="minorEastAsia"/>
          <w:b w:val="0"/>
        </w:rPr>
        <w:t>、</w:t>
      </w:r>
      <w:r w:rsidR="0064594E" w:rsidRPr="003307CA">
        <w:rPr>
          <w:rFonts w:asciiTheme="minorEastAsia" w:eastAsiaTheme="minorEastAsia" w:hAnsiTheme="minorEastAsia" w:hint="eastAsia"/>
          <w:b w:val="0"/>
        </w:rPr>
        <w:t>会计师事务所和经办注册会计师</w:t>
      </w:r>
      <w:bookmarkEnd w:id="308"/>
      <w:bookmarkEnd w:id="309"/>
    </w:p>
    <w:p w:rsidR="00B82F51" w:rsidRPr="003307CA" w:rsidRDefault="00B82F51"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名称：</w:t>
      </w:r>
      <w:r w:rsidR="00431120" w:rsidRPr="003307CA">
        <w:rPr>
          <w:rFonts w:asciiTheme="minorEastAsia" w:eastAsiaTheme="minorEastAsia" w:hAnsiTheme="minorEastAsia" w:hint="eastAsia"/>
        </w:rPr>
        <w:t>普华永道中天会计师事务所</w:t>
      </w:r>
      <w:r w:rsidR="00684B74" w:rsidRPr="003307CA">
        <w:rPr>
          <w:rFonts w:asciiTheme="minorEastAsia" w:eastAsiaTheme="minorEastAsia" w:hAnsiTheme="minorEastAsia" w:hint="eastAsia"/>
        </w:rPr>
        <w:t>（</w:t>
      </w:r>
      <w:r w:rsidR="00431120" w:rsidRPr="003307CA">
        <w:rPr>
          <w:rFonts w:asciiTheme="minorEastAsia" w:eastAsiaTheme="minorEastAsia" w:hAnsiTheme="minorEastAsia" w:hint="eastAsia"/>
        </w:rPr>
        <w:t>特殊普通合伙</w:t>
      </w:r>
      <w:r w:rsidR="00684B74" w:rsidRPr="003307CA">
        <w:rPr>
          <w:rFonts w:asciiTheme="minorEastAsia" w:eastAsiaTheme="minorEastAsia" w:hAnsiTheme="minorEastAsia" w:hint="eastAsia"/>
        </w:rPr>
        <w:t>）</w:t>
      </w:r>
    </w:p>
    <w:p w:rsidR="00216D16" w:rsidRPr="003307CA" w:rsidRDefault="00B82F51"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住所：</w:t>
      </w:r>
      <w:r w:rsidR="00216D16" w:rsidRPr="003307CA">
        <w:rPr>
          <w:rFonts w:asciiTheme="minorEastAsia" w:eastAsiaTheme="minorEastAsia" w:hAnsiTheme="minorEastAsia" w:hint="eastAsia"/>
          <w:szCs w:val="21"/>
        </w:rPr>
        <w:t>上海市湖滨路202号普华永道中心11楼</w:t>
      </w:r>
    </w:p>
    <w:p w:rsidR="00B82F51" w:rsidRPr="003307CA" w:rsidRDefault="00B82F51"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办公地址：上海市湖滨路202号普华永道中心11楼</w:t>
      </w:r>
    </w:p>
    <w:p w:rsidR="00B82F51" w:rsidRPr="003307CA" w:rsidRDefault="00957D0C"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首席合伙人</w:t>
      </w:r>
      <w:r w:rsidR="00B82F51" w:rsidRPr="003307CA">
        <w:rPr>
          <w:rFonts w:asciiTheme="minorEastAsia" w:eastAsiaTheme="minorEastAsia" w:hAnsiTheme="minorEastAsia" w:hint="eastAsia"/>
          <w:szCs w:val="21"/>
        </w:rPr>
        <w:t>：</w:t>
      </w:r>
      <w:r w:rsidR="001B1BE0" w:rsidRPr="003307CA">
        <w:rPr>
          <w:rFonts w:asciiTheme="minorEastAsia" w:eastAsiaTheme="minorEastAsia" w:hAnsiTheme="minorEastAsia" w:hint="eastAsia"/>
          <w:szCs w:val="21"/>
        </w:rPr>
        <w:t>李丹</w:t>
      </w:r>
    </w:p>
    <w:p w:rsidR="00B82F51" w:rsidRPr="003307CA" w:rsidRDefault="00B82F51"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联系电话：（021）23238888</w:t>
      </w:r>
    </w:p>
    <w:p w:rsidR="00B82F51" w:rsidRPr="003307CA" w:rsidRDefault="00B82F51"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传真电话：（021）23238800</w:t>
      </w:r>
    </w:p>
    <w:p w:rsidR="00B82F51" w:rsidRPr="003307CA" w:rsidRDefault="00B82F51"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联系人：</w:t>
      </w:r>
      <w:r w:rsidR="00216D16" w:rsidRPr="003307CA">
        <w:rPr>
          <w:rFonts w:asciiTheme="minorEastAsia" w:eastAsiaTheme="minorEastAsia" w:hAnsiTheme="minorEastAsia" w:hint="eastAsia"/>
          <w:szCs w:val="21"/>
        </w:rPr>
        <w:t>周祎</w:t>
      </w:r>
    </w:p>
    <w:p w:rsidR="004D1E0F" w:rsidRPr="003307CA" w:rsidRDefault="00B82F51"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经办注册会计师：</w:t>
      </w:r>
      <w:r w:rsidR="00EC7BEC" w:rsidRPr="003307CA">
        <w:rPr>
          <w:rFonts w:asciiTheme="minorEastAsia" w:eastAsiaTheme="minorEastAsia" w:hAnsiTheme="minorEastAsia" w:hint="eastAsia"/>
          <w:szCs w:val="21"/>
        </w:rPr>
        <w:t>陈熹、周祎</w:t>
      </w:r>
    </w:p>
    <w:p w:rsidR="00BD0B00" w:rsidRPr="003307CA" w:rsidRDefault="00BD0B00" w:rsidP="00CE3F81">
      <w:pPr>
        <w:snapToGrid w:val="0"/>
        <w:spacing w:line="360" w:lineRule="auto"/>
        <w:ind w:firstLineChars="200" w:firstLine="420"/>
        <w:rPr>
          <w:rFonts w:asciiTheme="minorEastAsia" w:eastAsiaTheme="minorEastAsia" w:hAnsiTheme="minorEastAsia"/>
          <w:szCs w:val="21"/>
        </w:rPr>
        <w:sectPr w:rsidR="00BD0B00" w:rsidRPr="003307CA">
          <w:pgSz w:w="11906" w:h="16838" w:code="9"/>
          <w:pgMar w:top="1440" w:right="1800" w:bottom="1440" w:left="1800" w:header="851" w:footer="992" w:gutter="0"/>
          <w:cols w:space="425"/>
          <w:docGrid w:type="lines" w:linePitch="312"/>
        </w:sectPr>
      </w:pPr>
    </w:p>
    <w:p w:rsidR="006E6514" w:rsidRPr="003307CA" w:rsidRDefault="006E651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10" w:name="_Toc44351151"/>
      <w:r w:rsidRPr="003307CA">
        <w:rPr>
          <w:rFonts w:asciiTheme="minorEastAsia" w:eastAsiaTheme="minorEastAsia" w:hAnsiTheme="minorEastAsia" w:hint="eastAsia"/>
        </w:rPr>
        <w:lastRenderedPageBreak/>
        <w:t>基金合同内容摘要</w:t>
      </w:r>
      <w:bookmarkEnd w:id="310"/>
    </w:p>
    <w:p w:rsidR="00785666" w:rsidRPr="003307CA"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3307CA">
        <w:rPr>
          <w:rFonts w:asciiTheme="minorEastAsia" w:eastAsiaTheme="minorEastAsia" w:hAnsiTheme="minorEastAsia"/>
          <w:b/>
          <w:bCs/>
          <w:kern w:val="0"/>
          <w:szCs w:val="20"/>
        </w:rPr>
        <w:t>一</w:t>
      </w:r>
      <w:r w:rsidRPr="003307CA">
        <w:rPr>
          <w:rFonts w:asciiTheme="minorEastAsia" w:eastAsiaTheme="minorEastAsia" w:hAnsiTheme="minorEastAsia" w:hint="eastAsia"/>
          <w:b/>
          <w:bCs/>
          <w:kern w:val="0"/>
          <w:szCs w:val="20"/>
        </w:rPr>
        <w:t>、</w:t>
      </w:r>
      <w:r w:rsidRPr="003307CA">
        <w:rPr>
          <w:rFonts w:asciiTheme="minorEastAsia" w:eastAsiaTheme="minorEastAsia" w:hAnsiTheme="minorEastAsia"/>
          <w:b/>
          <w:bCs/>
          <w:kern w:val="0"/>
          <w:szCs w:val="20"/>
        </w:rPr>
        <w:t>基金份额持有人、基金管理人和基金托管人的权利、义务</w:t>
      </w:r>
    </w:p>
    <w:p w:rsidR="00785666" w:rsidRPr="003307CA"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3307CA">
        <w:rPr>
          <w:rFonts w:asciiTheme="minorEastAsia" w:eastAsiaTheme="minorEastAsia" w:hAnsiTheme="minorEastAsia" w:hint="eastAsia"/>
          <w:b/>
          <w:bCs/>
          <w:kern w:val="0"/>
          <w:szCs w:val="20"/>
        </w:rPr>
        <w:t>（一）基金份额持有人的权利与义务</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每份基金份额具有同等的合法权益。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根据《基金法》、《运作办法》及其他有关规定，基金份额持有人的权利包括但不限于：</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hint="eastAsia"/>
        </w:rPr>
        <w:tab/>
        <w:t>分享基金财产收益；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hint="eastAsia"/>
        </w:rPr>
        <w:tab/>
      </w:r>
      <w:r w:rsidRPr="003307CA">
        <w:rPr>
          <w:rFonts w:asciiTheme="minorEastAsia" w:eastAsiaTheme="minorEastAsia" w:hAnsiTheme="minorEastAsia"/>
        </w:rPr>
        <w:t>参与分配清算后的剩余基金财产</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hint="eastAsia"/>
        </w:rPr>
        <w:tab/>
        <w:t>依法申请赎回其持有的基金份额</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Pr="003307CA">
        <w:rPr>
          <w:rFonts w:asciiTheme="minorEastAsia" w:eastAsiaTheme="minorEastAsia" w:hAnsiTheme="minorEastAsia" w:hint="eastAsia"/>
        </w:rPr>
        <w:tab/>
      </w:r>
      <w:r w:rsidRPr="003307CA">
        <w:rPr>
          <w:rFonts w:asciiTheme="minorEastAsia" w:eastAsiaTheme="minorEastAsia" w:hAnsiTheme="minorEastAsia"/>
        </w:rPr>
        <w:t>按照规定要求召开基金份额持有人大会</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hint="eastAsia"/>
        </w:rPr>
        <w:tab/>
        <w:t>出席或者委派代表出席基金</w:t>
      </w:r>
      <w:r w:rsidRPr="003307CA">
        <w:rPr>
          <w:rFonts w:asciiTheme="minorEastAsia" w:eastAsiaTheme="minorEastAsia" w:hAnsiTheme="minorEastAsia"/>
        </w:rPr>
        <w:t>份额</w:t>
      </w:r>
      <w:r w:rsidRPr="003307CA">
        <w:rPr>
          <w:rFonts w:asciiTheme="minorEastAsia" w:eastAsiaTheme="minorEastAsia" w:hAnsiTheme="minorEastAsia" w:hint="eastAsia"/>
        </w:rPr>
        <w:t>持有人大会，</w:t>
      </w:r>
      <w:r w:rsidRPr="003307CA">
        <w:rPr>
          <w:rFonts w:asciiTheme="minorEastAsia" w:eastAsiaTheme="minorEastAsia" w:hAnsiTheme="minorEastAsia"/>
        </w:rPr>
        <w:t>对基金份额持有人大会审议事项行使表决权</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Pr="003307CA">
        <w:rPr>
          <w:rFonts w:asciiTheme="minorEastAsia" w:eastAsiaTheme="minorEastAsia" w:hAnsiTheme="minorEastAsia" w:hint="eastAsia"/>
        </w:rPr>
        <w:tab/>
      </w:r>
      <w:r w:rsidRPr="003307CA">
        <w:rPr>
          <w:rFonts w:asciiTheme="minorEastAsia" w:eastAsiaTheme="minorEastAsia" w:hAnsiTheme="minorEastAsia"/>
        </w:rPr>
        <w:t>查阅或者复制公开披露的基金信息资料；</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Pr="003307CA">
        <w:rPr>
          <w:rFonts w:asciiTheme="minorEastAsia" w:eastAsiaTheme="minorEastAsia" w:hAnsiTheme="minorEastAsia" w:hint="eastAsia"/>
        </w:rPr>
        <w:tab/>
      </w:r>
      <w:r w:rsidRPr="003307CA">
        <w:rPr>
          <w:rFonts w:asciiTheme="minorEastAsia" w:eastAsiaTheme="minorEastAsia" w:hAnsiTheme="minorEastAsia"/>
        </w:rPr>
        <w:t>监督基金管理人的投资运作</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w:t>
      </w:r>
      <w:r w:rsidRPr="003307CA">
        <w:rPr>
          <w:rFonts w:asciiTheme="minorEastAsia" w:eastAsiaTheme="minorEastAsia" w:hAnsiTheme="minorEastAsia" w:hint="eastAsia"/>
        </w:rPr>
        <w:tab/>
        <w:t>对基金管理人、基金托管人、基金销售机构损害其合法权益的行为依法提起诉讼；</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w:t>
      </w:r>
      <w:r w:rsidRPr="003307CA">
        <w:rPr>
          <w:rFonts w:asciiTheme="minorEastAsia" w:eastAsiaTheme="minorEastAsia" w:hAnsiTheme="minorEastAsia" w:hint="eastAsia"/>
        </w:rPr>
        <w:tab/>
        <w:t>法律法规和《基金合同》规定的其他权利。</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根据《基金法》、《运作办法》及其他有关规定，基金份额持有人的义务包括但不限于：</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hint="eastAsia"/>
        </w:rPr>
        <w:tab/>
        <w:t>遵守《基金合同》；</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hint="eastAsia"/>
        </w:rPr>
        <w:tab/>
        <w:t>交纳基金认购、申购款项及法律法规和《基金合同》所规定的费用；</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hint="eastAsia"/>
        </w:rPr>
        <w:tab/>
        <w:t>在其持有的基金份额范围内，承担基金亏损或者《基金合同》终止的有限责任；</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Pr="003307CA">
        <w:rPr>
          <w:rFonts w:asciiTheme="minorEastAsia" w:eastAsiaTheme="minorEastAsia" w:hAnsiTheme="minorEastAsia" w:hint="eastAsia"/>
        </w:rPr>
        <w:tab/>
        <w:t>不从事任何有损基金及其他《基金合同》当事人</w:t>
      </w:r>
      <w:r w:rsidRPr="003307CA">
        <w:rPr>
          <w:rFonts w:asciiTheme="minorEastAsia" w:eastAsiaTheme="minorEastAsia" w:hAnsiTheme="minorEastAsia"/>
        </w:rPr>
        <w:t>合法权益</w:t>
      </w:r>
      <w:r w:rsidRPr="003307CA">
        <w:rPr>
          <w:rFonts w:asciiTheme="minorEastAsia" w:eastAsiaTheme="minorEastAsia" w:hAnsiTheme="minorEastAsia" w:hint="eastAsia"/>
        </w:rPr>
        <w:t>的活动；</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hint="eastAsia"/>
        </w:rPr>
        <w:tab/>
        <w:t>返还在基金交易过程中因任何原因，自基金管理人、基金托管人及基金代销机构处获得的不当得利；</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（6）执行生效的基金份额持有人大会的决定；</w:t>
      </w:r>
    </w:p>
    <w:p w:rsidR="00785666" w:rsidRPr="003307CA" w:rsidRDefault="00785666" w:rsidP="00CE3F81">
      <w:pPr>
        <w:snapToGrid w:val="0"/>
        <w:spacing w:line="360" w:lineRule="auto"/>
        <w:ind w:firstLineChars="200" w:firstLine="420"/>
        <w:rPr>
          <w:rFonts w:asciiTheme="minorEastAsia" w:eastAsiaTheme="minorEastAsia" w:hAnsiTheme="minorEastAsia"/>
          <w:b/>
          <w:bCs/>
          <w:kern w:val="0"/>
          <w:szCs w:val="20"/>
        </w:rPr>
      </w:pPr>
      <w:r w:rsidRPr="003307CA">
        <w:rPr>
          <w:rFonts w:asciiTheme="minorEastAsia" w:eastAsiaTheme="minorEastAsia" w:hAnsiTheme="minorEastAsia" w:hint="eastAsia"/>
        </w:rPr>
        <w:t>（7）</w:t>
      </w:r>
      <w:r w:rsidRPr="003307CA">
        <w:rPr>
          <w:rFonts w:asciiTheme="minorEastAsia" w:eastAsiaTheme="minorEastAsia" w:hAnsiTheme="minorEastAsia"/>
        </w:rPr>
        <w:tab/>
        <w:t>法律法规</w:t>
      </w:r>
      <w:r w:rsidRPr="003307CA">
        <w:rPr>
          <w:rFonts w:asciiTheme="minorEastAsia" w:eastAsiaTheme="minorEastAsia" w:hAnsiTheme="minorEastAsia" w:hint="eastAsia"/>
        </w:rPr>
        <w:t>及中国证监会规定的</w:t>
      </w:r>
      <w:r w:rsidRPr="003307CA">
        <w:rPr>
          <w:rFonts w:asciiTheme="minorEastAsia" w:eastAsiaTheme="minorEastAsia" w:hAnsiTheme="minorEastAsia"/>
        </w:rPr>
        <w:t>和《基金合同》</w:t>
      </w:r>
      <w:r w:rsidRPr="003307CA">
        <w:rPr>
          <w:rFonts w:asciiTheme="minorEastAsia" w:eastAsiaTheme="minorEastAsia" w:hAnsiTheme="minorEastAsia" w:hint="eastAsia"/>
        </w:rPr>
        <w:t>约</w:t>
      </w:r>
      <w:r w:rsidRPr="003307CA">
        <w:rPr>
          <w:rFonts w:asciiTheme="minorEastAsia" w:eastAsiaTheme="minorEastAsia" w:hAnsiTheme="minorEastAsia"/>
        </w:rPr>
        <w:t>定的其他义务。</w:t>
      </w:r>
    </w:p>
    <w:p w:rsidR="00785666" w:rsidRPr="003307CA"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3307CA">
        <w:rPr>
          <w:rFonts w:asciiTheme="minorEastAsia" w:eastAsiaTheme="minorEastAsia" w:hAnsiTheme="minorEastAsia" w:hint="eastAsia"/>
          <w:b/>
          <w:bCs/>
          <w:kern w:val="0"/>
          <w:szCs w:val="20"/>
        </w:rPr>
        <w:t>（二）基金管理人的权利与义务</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根据《基金法》、《运作办法》及其他有关规定，基金管理人的权利包括但不限于：</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（1）</w:t>
      </w:r>
      <w:r w:rsidRPr="003307CA">
        <w:rPr>
          <w:rFonts w:asciiTheme="minorEastAsia" w:eastAsiaTheme="minorEastAsia" w:hAnsiTheme="minorEastAsia" w:hint="eastAsia"/>
        </w:rPr>
        <w:tab/>
        <w:t>依法募集基金；</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hint="eastAsia"/>
        </w:rPr>
        <w:tab/>
        <w:t>自《基金合同》生效之日起，根据法律法规和《基金合同》独立运用并管理基金财产；</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hint="eastAsia"/>
        </w:rPr>
        <w:tab/>
        <w:t>依照《基金合同》收取基金管理费以及法律法规规定或中国证监会批准的其他费用；</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Pr="003307CA">
        <w:rPr>
          <w:rFonts w:asciiTheme="minorEastAsia" w:eastAsiaTheme="minorEastAsia" w:hAnsiTheme="minorEastAsia" w:hint="eastAsia"/>
        </w:rPr>
        <w:tab/>
        <w:t>销售基金份额；</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hint="eastAsia"/>
        </w:rPr>
        <w:tab/>
        <w:t>召集基金份额持有人大会；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Pr="003307CA">
        <w:rPr>
          <w:rFonts w:asciiTheme="minorEastAsia" w:eastAsiaTheme="minorEastAsia" w:hAnsiTheme="minorEastAsia" w:hint="eastAsia"/>
        </w:rPr>
        <w:tab/>
        <w:t>依据《基金合同》及有关法律法规规定监督基金托管人，如认为基金托管人违反了《基金合同》及国家有关法律法规规定，应呈报中国证监会和其他监管部门，并采取必要措施保护基金投资者的利益；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Pr="003307CA">
        <w:rPr>
          <w:rFonts w:asciiTheme="minorEastAsia" w:eastAsiaTheme="minorEastAsia" w:hAnsiTheme="minorEastAsia" w:hint="eastAsia"/>
        </w:rPr>
        <w:tab/>
        <w:t>在基金托管人更换时，提名新的基金托管人；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w:t>
      </w:r>
      <w:r w:rsidRPr="003307CA">
        <w:rPr>
          <w:rFonts w:asciiTheme="minorEastAsia" w:eastAsiaTheme="minorEastAsia" w:hAnsiTheme="minorEastAsia" w:hint="eastAsia"/>
        </w:rPr>
        <w:tab/>
        <w:t>选择、委托、更换基金代销机构，对基金代销机构的相关行为进行监督和处理；</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w:t>
      </w:r>
      <w:r w:rsidRPr="003307CA">
        <w:rPr>
          <w:rFonts w:asciiTheme="minorEastAsia" w:eastAsiaTheme="minorEastAsia" w:hAnsiTheme="minorEastAsia" w:hint="eastAsia"/>
        </w:rPr>
        <w:tab/>
        <w:t>担任或委托其他符合条件的机构担任基金注册登记机构办理基金注册登记业务并获得《基金合同》规定的费用；</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（10）依据《基金合同》及有关法律法规规定决定基金收益的分配方案；</w:t>
      </w:r>
      <w:r w:rsidRPr="003307CA">
        <w:rPr>
          <w:rFonts w:asciiTheme="minorEastAsia" w:eastAsiaTheme="minorEastAsia" w:hAnsiTheme="minorEastAsia" w:hint="eastAsia"/>
        </w:rPr>
        <w:tab/>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w:t>
      </w:r>
      <w:r w:rsidRPr="003307CA">
        <w:rPr>
          <w:rFonts w:asciiTheme="minorEastAsia" w:eastAsiaTheme="minorEastAsia" w:hAnsiTheme="minorEastAsia" w:hint="eastAsia"/>
        </w:rPr>
        <w:tab/>
        <w:t>在《基金合同》约定的范围内，拒绝或暂停受理申购与赎回申请；</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（12）在符合有关法律法规和《基金合同》的前提下，制订和调整《业务规则》，决定和调整除调高管理费率和托管费率之外的基金相关费率结构和收费方式；</w:t>
      </w:r>
      <w:r w:rsidRPr="003307CA">
        <w:rPr>
          <w:rFonts w:asciiTheme="minorEastAsia" w:eastAsiaTheme="minorEastAsia" w:hAnsiTheme="minorEastAsia" w:hint="eastAsia"/>
        </w:rPr>
        <w:tab/>
      </w:r>
    </w:p>
    <w:p w:rsidR="00785666" w:rsidRPr="003307CA" w:rsidRDefault="00785666" w:rsidP="00CE3F81">
      <w:pPr>
        <w:tabs>
          <w:tab w:val="left" w:pos="1080"/>
          <w:tab w:val="left" w:pos="1260"/>
          <w:tab w:val="left" w:pos="1440"/>
        </w:tabs>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（13）依照法律法规为基金的利益对被投资公司行使股东权利，为基金的利益行使因基金财产投资于证券所产生的权利；</w:t>
      </w:r>
      <w:r w:rsidRPr="003307CA">
        <w:rPr>
          <w:rFonts w:asciiTheme="minorEastAsia" w:eastAsiaTheme="minorEastAsia" w:hAnsiTheme="minorEastAsia" w:hint="eastAsia"/>
        </w:rPr>
        <w:tab/>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（14）在法律法规允许的前提下，为基金的利益依法为基金进行融资；</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（15）以基金管理人的名义，代表基金份额持有人的利益行使诉讼权利或者实施其他法律行为；</w:t>
      </w:r>
      <w:r w:rsidRPr="003307CA">
        <w:rPr>
          <w:rFonts w:asciiTheme="minorEastAsia" w:eastAsiaTheme="minorEastAsia" w:hAnsiTheme="minorEastAsia" w:hint="eastAsia"/>
        </w:rPr>
        <w:tab/>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（16）选择、更换律师</w:t>
      </w:r>
      <w:r w:rsidRPr="003307CA">
        <w:rPr>
          <w:rFonts w:asciiTheme="minorEastAsia" w:eastAsiaTheme="minorEastAsia" w:hAnsiTheme="minorEastAsia" w:hint="eastAsia"/>
          <w:szCs w:val="21"/>
        </w:rPr>
        <w:t>事务所、会计师事务所</w:t>
      </w:r>
      <w:r w:rsidRPr="003307CA">
        <w:rPr>
          <w:rFonts w:asciiTheme="minorEastAsia" w:eastAsiaTheme="minorEastAsia" w:hAnsiTheme="minorEastAsia" w:hint="eastAsia"/>
        </w:rPr>
        <w:t>、证券经纪商或其他为基金提供服务的外部机构；</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w:t>
      </w:r>
      <w:r w:rsidRPr="003307CA">
        <w:rPr>
          <w:rFonts w:asciiTheme="minorEastAsia" w:eastAsiaTheme="minorEastAsia" w:hAnsiTheme="minorEastAsia" w:hint="eastAsia"/>
        </w:rPr>
        <w:tab/>
        <w:t>委托境外投资顾问协助管理运作基金资产，</w:t>
      </w:r>
      <w:r w:rsidRPr="003307CA">
        <w:rPr>
          <w:rFonts w:asciiTheme="minorEastAsia" w:eastAsiaTheme="minorEastAsia" w:hAnsiTheme="minorEastAsia"/>
        </w:rPr>
        <w:t>选择、更换</w:t>
      </w:r>
      <w:r w:rsidRPr="003307CA">
        <w:rPr>
          <w:rFonts w:asciiTheme="minorEastAsia" w:eastAsiaTheme="minorEastAsia" w:hAnsiTheme="minorEastAsia" w:hint="eastAsia"/>
        </w:rPr>
        <w:t>或撤销</w:t>
      </w:r>
      <w:r w:rsidRPr="003307CA">
        <w:rPr>
          <w:rFonts w:asciiTheme="minorEastAsia" w:eastAsiaTheme="minorEastAsia" w:hAnsiTheme="minorEastAsia"/>
        </w:rPr>
        <w:t>境外投资顾问</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（18）法律法规和《基金合同》规定的其他权利。</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根据《基金法》、《运作办法》及其他有关规定，基金管理人的义务包括但不限于：</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（1）</w:t>
      </w:r>
      <w:r w:rsidRPr="003307CA">
        <w:rPr>
          <w:rFonts w:asciiTheme="minorEastAsia" w:eastAsiaTheme="minorEastAsia" w:hAnsiTheme="minorEastAsia" w:hint="eastAsia"/>
        </w:rPr>
        <w:tab/>
        <w:t>依法募集基金，办理</w:t>
      </w:r>
      <w:r w:rsidRPr="003307CA">
        <w:rPr>
          <w:rFonts w:asciiTheme="minorEastAsia" w:eastAsiaTheme="minorEastAsia" w:hAnsiTheme="minorEastAsia" w:hint="eastAsia"/>
          <w:szCs w:val="21"/>
        </w:rPr>
        <w:t>或者委托经中国证监会认定的其他机构代为办理基金份额的发售、申购、赎回和登记事宜；</w:t>
      </w:r>
      <w:r w:rsidRPr="003307CA">
        <w:rPr>
          <w:rFonts w:asciiTheme="minorEastAsia" w:eastAsiaTheme="minorEastAsia" w:hAnsiTheme="minorEastAsia" w:hint="eastAsia"/>
        </w:rPr>
        <w:t>如认为基金代销机构违反《基金合同》、基金销售与服务代理协议及国家有关法律法规规定，应呈报中国证监会和其他监管部门，并采取必要措施保护基金投资者的利益；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szCs w:val="21"/>
        </w:rPr>
        <w:t>（2</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办理</w:t>
      </w:r>
      <w:r w:rsidRPr="003307CA">
        <w:rPr>
          <w:rFonts w:asciiTheme="minorEastAsia" w:eastAsiaTheme="minorEastAsia" w:hAnsiTheme="minorEastAsia" w:hint="eastAsia"/>
        </w:rPr>
        <w:t>基金备案手续；</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rPr>
        <w:t>）</w:t>
      </w:r>
      <w:r w:rsidRPr="003307CA">
        <w:rPr>
          <w:rFonts w:asciiTheme="minorEastAsia" w:eastAsiaTheme="minorEastAsia" w:hAnsiTheme="minorEastAsia" w:hint="eastAsia"/>
        </w:rPr>
        <w:tab/>
        <w:t>自《基金合同》生效之日起</w:t>
      </w:r>
      <w:r w:rsidRPr="003307CA">
        <w:rPr>
          <w:rFonts w:asciiTheme="minorEastAsia" w:eastAsiaTheme="minorEastAsia" w:hAnsiTheme="minorEastAsia"/>
        </w:rPr>
        <w:t>,</w:t>
      </w:r>
      <w:r w:rsidRPr="003307CA">
        <w:rPr>
          <w:rFonts w:asciiTheme="minorEastAsia" w:eastAsiaTheme="minorEastAsia" w:hAnsiTheme="minorEastAsia" w:hint="eastAsia"/>
        </w:rPr>
        <w:t>以诚实信用、</w:t>
      </w:r>
      <w:r w:rsidRPr="003307CA">
        <w:rPr>
          <w:rFonts w:asciiTheme="minorEastAsia" w:eastAsiaTheme="minorEastAsia" w:hAnsiTheme="minorEastAsia"/>
        </w:rPr>
        <w:t>勤勉尽责</w:t>
      </w:r>
      <w:r w:rsidRPr="003307CA">
        <w:rPr>
          <w:rFonts w:asciiTheme="minorEastAsia" w:eastAsiaTheme="minorEastAsia" w:hAnsiTheme="minorEastAsia" w:hint="eastAsia"/>
        </w:rPr>
        <w:t>的原则管理和运用基金财</w:t>
      </w:r>
      <w:r w:rsidRPr="003307CA">
        <w:rPr>
          <w:rFonts w:asciiTheme="minorEastAsia" w:eastAsiaTheme="minorEastAsia" w:hAnsiTheme="minorEastAsia" w:hint="eastAsia"/>
        </w:rPr>
        <w:lastRenderedPageBreak/>
        <w:t>产；</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Pr="003307CA">
        <w:rPr>
          <w:rFonts w:asciiTheme="minorEastAsia" w:eastAsiaTheme="minorEastAsia" w:hAnsiTheme="minorEastAsia" w:hint="eastAsia"/>
        </w:rPr>
        <w:tab/>
        <w:t>配备足够的具有专业资格的人员进行基金投资分析、决策，以专业化的经营方式管理和运作基金财产；</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hint="eastAsia"/>
        </w:rPr>
        <w:tab/>
        <w:t>建立健全内部风险控制、监察与稽核、财务管理及人事管理等制度，保证所管理的基金财产和基金管理人的财产相互独立</w:t>
      </w:r>
      <w:r w:rsidRPr="003307CA">
        <w:rPr>
          <w:rFonts w:asciiTheme="minorEastAsia" w:eastAsiaTheme="minorEastAsia" w:hAnsiTheme="minorEastAsia"/>
        </w:rPr>
        <w:t>,</w:t>
      </w:r>
      <w:r w:rsidRPr="003307CA">
        <w:rPr>
          <w:rFonts w:asciiTheme="minorEastAsia" w:eastAsiaTheme="minorEastAsia" w:hAnsiTheme="minorEastAsia" w:hint="eastAsia"/>
        </w:rPr>
        <w:t>对所管理的不同基金分别管理，分别记账，进行证券投资；</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Pr="003307CA">
        <w:rPr>
          <w:rFonts w:asciiTheme="minorEastAsia" w:eastAsiaTheme="minorEastAsia" w:hAnsiTheme="minorEastAsia" w:hint="eastAsia"/>
        </w:rPr>
        <w:tab/>
        <w:t>除依据《基金法》、《基金合同》及其他有关规定外</w:t>
      </w:r>
      <w:r w:rsidRPr="003307CA">
        <w:rPr>
          <w:rFonts w:asciiTheme="minorEastAsia" w:eastAsiaTheme="minorEastAsia" w:hAnsiTheme="minorEastAsia"/>
        </w:rPr>
        <w:t>,</w:t>
      </w:r>
      <w:r w:rsidRPr="003307CA">
        <w:rPr>
          <w:rFonts w:asciiTheme="minorEastAsia" w:eastAsiaTheme="minorEastAsia" w:hAnsiTheme="minorEastAsia" w:hint="eastAsia"/>
        </w:rPr>
        <w:t>不得利用基金财产为自己及任何第三人谋取利益；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Pr="003307CA">
        <w:rPr>
          <w:rFonts w:asciiTheme="minorEastAsia" w:eastAsiaTheme="minorEastAsia" w:hAnsiTheme="minorEastAsia" w:hint="eastAsia"/>
        </w:rPr>
        <w:tab/>
        <w:t>依法接受基金托管人的监督；</w:t>
      </w:r>
    </w:p>
    <w:p w:rsidR="00161615" w:rsidRPr="003307CA" w:rsidRDefault="00161615"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8）</w:t>
      </w:r>
      <w:r w:rsidRPr="003307CA">
        <w:rPr>
          <w:rFonts w:asciiTheme="minorEastAsia" w:eastAsiaTheme="minorEastAsia" w:hAnsiTheme="minorEastAsia"/>
        </w:rPr>
        <w:tab/>
      </w:r>
      <w:r w:rsidRPr="003307CA">
        <w:rPr>
          <w:rFonts w:asciiTheme="minorEastAsia" w:eastAsiaTheme="minorEastAsia" w:hAnsiTheme="minorEastAsia" w:hint="eastAsia"/>
        </w:rPr>
        <w:t>采取适当合理的措施使计算基金份额认购、申购和赎回价格的方法符合《基金合同》等法律文件的规定，按有关规定计算并公告基金净值信息，确定基金份额申购、赎回的价格；</w:t>
      </w:r>
    </w:p>
    <w:p w:rsidR="00161615" w:rsidRPr="003307CA" w:rsidRDefault="00161615"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9）</w:t>
      </w:r>
      <w:r w:rsidRPr="003307CA">
        <w:rPr>
          <w:rFonts w:asciiTheme="minorEastAsia" w:eastAsiaTheme="minorEastAsia" w:hAnsiTheme="minorEastAsia"/>
        </w:rPr>
        <w:tab/>
      </w:r>
      <w:r w:rsidRPr="003307CA">
        <w:rPr>
          <w:rFonts w:asciiTheme="minorEastAsia" w:eastAsiaTheme="minorEastAsia" w:hAnsiTheme="minorEastAsia" w:hint="eastAsia"/>
        </w:rPr>
        <w:t>进行基金会计核算并编制基金财务会计报告；</w:t>
      </w:r>
    </w:p>
    <w:p w:rsidR="00161615" w:rsidRPr="003307CA" w:rsidRDefault="00161615" w:rsidP="006D35EC">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Pr="003307CA">
        <w:rPr>
          <w:rFonts w:asciiTheme="minorEastAsia" w:eastAsiaTheme="minorEastAsia" w:hAnsiTheme="minorEastAsia"/>
        </w:rPr>
        <w:t>10）</w:t>
      </w:r>
      <w:r w:rsidRPr="003307CA">
        <w:rPr>
          <w:rFonts w:asciiTheme="minorEastAsia" w:eastAsiaTheme="minorEastAsia" w:hAnsiTheme="minorEastAsia"/>
        </w:rPr>
        <w:tab/>
      </w:r>
      <w:r w:rsidRPr="003307CA">
        <w:rPr>
          <w:rFonts w:asciiTheme="minorEastAsia" w:eastAsiaTheme="minorEastAsia" w:hAnsiTheme="minorEastAsia" w:hint="eastAsia"/>
        </w:rPr>
        <w:t>编制季度报告、中期报告和年度报告；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w:t>
      </w:r>
      <w:r w:rsidRPr="003307CA">
        <w:rPr>
          <w:rFonts w:asciiTheme="minorEastAsia" w:eastAsiaTheme="minorEastAsia" w:hAnsiTheme="minorEastAsia" w:hint="eastAsia"/>
        </w:rPr>
        <w:tab/>
        <w:t>严格按照《基金法》、《基金合同》及其他有关规定，履行信息披露及报告义务；</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w:t>
      </w:r>
      <w:r w:rsidRPr="003307CA">
        <w:rPr>
          <w:rFonts w:asciiTheme="minorEastAsia" w:eastAsiaTheme="minorEastAsia" w:hAnsiTheme="minorEastAsia" w:hint="eastAsia"/>
        </w:rPr>
        <w:tab/>
        <w:t>保守基金商业秘密，不泄露基金投资计划、投资意向等。除《基金法》、《基金合同》及其他有关规定另有规定外，在基金信息公开披露前应予保密，不向他人泄露；</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w:t>
      </w:r>
      <w:r w:rsidRPr="003307CA">
        <w:rPr>
          <w:rFonts w:asciiTheme="minorEastAsia" w:eastAsiaTheme="minorEastAsia" w:hAnsiTheme="minorEastAsia" w:hint="eastAsia"/>
        </w:rPr>
        <w:tab/>
        <w:t>按《基金合同》的约定确定基金收益分配方案，及时向基金份额持有人分配基金收益；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w:t>
      </w:r>
      <w:r w:rsidRPr="003307CA">
        <w:rPr>
          <w:rFonts w:asciiTheme="minorEastAsia" w:eastAsiaTheme="minorEastAsia" w:hAnsiTheme="minorEastAsia" w:hint="eastAsia"/>
        </w:rPr>
        <w:tab/>
        <w:t>按规定受理申购与赎回申请，及时、足额支付赎回款项；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w:t>
      </w:r>
      <w:r w:rsidRPr="003307CA">
        <w:rPr>
          <w:rFonts w:asciiTheme="minorEastAsia" w:eastAsiaTheme="minorEastAsia" w:hAnsiTheme="minorEastAsia" w:hint="eastAsia"/>
        </w:rPr>
        <w:tab/>
        <w:t>依据《基金法》、《基金合同》及其他有关规定召集基金份额持有人大会</w:t>
      </w:r>
      <w:r w:rsidRPr="003307CA">
        <w:rPr>
          <w:rFonts w:asciiTheme="minorEastAsia" w:eastAsiaTheme="minorEastAsia" w:hAnsiTheme="minorEastAsia"/>
        </w:rPr>
        <w:t>或配合基金托管人、基金份额持有人依法召集基金份额持有人大会</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w:t>
      </w:r>
      <w:r w:rsidRPr="003307CA">
        <w:rPr>
          <w:rFonts w:asciiTheme="minorEastAsia" w:eastAsiaTheme="minorEastAsia" w:hAnsiTheme="minorEastAsia" w:hint="eastAsia"/>
        </w:rPr>
        <w:tab/>
      </w:r>
      <w:r w:rsidRPr="003307CA">
        <w:rPr>
          <w:rFonts w:asciiTheme="minorEastAsia" w:eastAsiaTheme="minorEastAsia" w:hAnsiTheme="minorEastAsia" w:hint="eastAsia"/>
          <w:bCs/>
        </w:rPr>
        <w:t>按规定保存基金财产管理业务活动的会计账册、报表、记录和其他相关资料15年以上</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w:t>
      </w:r>
      <w:r w:rsidRPr="003307CA">
        <w:rPr>
          <w:rFonts w:asciiTheme="minorEastAsia" w:eastAsiaTheme="minorEastAsia" w:hAnsiTheme="minorEastAsia"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w:t>
      </w:r>
      <w:r w:rsidRPr="003307CA">
        <w:rPr>
          <w:rFonts w:asciiTheme="minorEastAsia" w:eastAsiaTheme="minorEastAsia" w:hAnsiTheme="minorEastAsia" w:hint="eastAsia"/>
        </w:rPr>
        <w:tab/>
        <w:t>组织并参加基金财产清算小组</w:t>
      </w:r>
      <w:r w:rsidRPr="003307CA">
        <w:rPr>
          <w:rFonts w:asciiTheme="minorEastAsia" w:eastAsiaTheme="minorEastAsia" w:hAnsiTheme="minorEastAsia"/>
        </w:rPr>
        <w:t>,</w:t>
      </w:r>
      <w:r w:rsidRPr="003307CA">
        <w:rPr>
          <w:rFonts w:asciiTheme="minorEastAsia" w:eastAsiaTheme="minorEastAsia" w:hAnsiTheme="minorEastAsia" w:hint="eastAsia"/>
        </w:rPr>
        <w:t>参与基金财产的保管、清理、估价、变现和分配；</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w:t>
      </w:r>
      <w:r w:rsidRPr="003307CA">
        <w:rPr>
          <w:rFonts w:asciiTheme="minorEastAsia" w:eastAsiaTheme="minorEastAsia" w:hAnsiTheme="minorEastAsia" w:hint="eastAsia"/>
        </w:rPr>
        <w:tab/>
        <w:t>面临解散、依法被撤销或者被依法宣告破产时，及时报告中国证监会并通知基金托管人；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w:t>
      </w:r>
      <w:r w:rsidRPr="003307CA">
        <w:rPr>
          <w:rFonts w:asciiTheme="minorEastAsia" w:eastAsiaTheme="minorEastAsia" w:hAnsiTheme="minorEastAsia" w:hint="eastAsia"/>
        </w:rPr>
        <w:tab/>
        <w:t>因违反《基金合同》导致基金财产的损失</w:t>
      </w:r>
      <w:r w:rsidRPr="003307CA">
        <w:rPr>
          <w:rFonts w:asciiTheme="minorEastAsia" w:eastAsiaTheme="minorEastAsia" w:hAnsiTheme="minorEastAsia"/>
        </w:rPr>
        <w:t>或损害基金份额持有人合法权益</w:t>
      </w:r>
      <w:r w:rsidRPr="003307CA">
        <w:rPr>
          <w:rFonts w:asciiTheme="minorEastAsia" w:eastAsiaTheme="minorEastAsia" w:hAnsiTheme="minorEastAsia" w:hint="eastAsia"/>
        </w:rPr>
        <w:t>时，应当承担赔偿责任，其赔偿责任不因其退任而免除；</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（21）</w:t>
      </w:r>
      <w:r w:rsidRPr="003307CA">
        <w:rPr>
          <w:rFonts w:asciiTheme="minorEastAsia" w:eastAsiaTheme="minorEastAsia" w:hAnsiTheme="minorEastAsia" w:hint="eastAsia"/>
        </w:rPr>
        <w:tab/>
        <w:t>监督基金托管人按法律法规和《基金合同》规定履行自己的义务，基金托管人</w:t>
      </w:r>
      <w:r w:rsidRPr="003307CA">
        <w:rPr>
          <w:rFonts w:asciiTheme="minorEastAsia" w:eastAsiaTheme="minorEastAsia" w:hAnsiTheme="minorEastAsia" w:hint="eastAsia"/>
        </w:rPr>
        <w:lastRenderedPageBreak/>
        <w:t>违反《基金合同》造成基金财产损失时，基金管理人应为基金份额持有人利益向基金托管人追偿；</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（22）</w:t>
      </w:r>
      <w:r w:rsidRPr="003307CA">
        <w:rPr>
          <w:rFonts w:asciiTheme="minorEastAsia" w:eastAsiaTheme="minorEastAsia" w:hAnsiTheme="minorEastAsia"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（23）</w:t>
      </w:r>
      <w:r w:rsidRPr="003307CA">
        <w:rPr>
          <w:rFonts w:asciiTheme="minorEastAsia" w:eastAsiaTheme="minorEastAsia" w:hAnsiTheme="minorEastAsia" w:hint="eastAsia"/>
        </w:rPr>
        <w:tab/>
        <w:t>以基金管理人名义，代表基金份额持有人利益行使诉讼权利或实施其他法律行为；</w:t>
      </w:r>
      <w:r w:rsidRPr="003307CA">
        <w:rPr>
          <w:rFonts w:asciiTheme="minorEastAsia" w:eastAsiaTheme="minorEastAsia" w:hAnsiTheme="minorEastAsia" w:hint="eastAsia"/>
        </w:rPr>
        <w:tab/>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（24）</w:t>
      </w:r>
      <w:r w:rsidRPr="003307CA">
        <w:rPr>
          <w:rFonts w:asciiTheme="minorEastAsia" w:eastAsiaTheme="minorEastAsia" w:hAnsiTheme="minorEastAsia" w:hint="eastAsia"/>
        </w:rPr>
        <w:tab/>
        <w:t>基金管理人在募集期间未能达到基金的备案条件，《基金合同》不能生效，基金管理人承担因募集行为而产生的债务和费用，将已募集资金并加计银行同期存款利息在基金募集期结束后30日内退还基金认购人；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（25</w:t>
      </w:r>
      <w:r w:rsidRPr="003307CA">
        <w:rPr>
          <w:rFonts w:asciiTheme="minorEastAsia" w:eastAsiaTheme="minorEastAsia" w:hAnsiTheme="minorEastAsia"/>
        </w:rPr>
        <w:t>）</w:t>
      </w:r>
      <w:r w:rsidRPr="003307CA">
        <w:rPr>
          <w:rFonts w:asciiTheme="minorEastAsia" w:eastAsiaTheme="minorEastAsia" w:hAnsiTheme="minorEastAsia" w:hint="eastAsia"/>
        </w:rPr>
        <w:tab/>
      </w:r>
      <w:r w:rsidRPr="003307CA">
        <w:rPr>
          <w:rFonts w:asciiTheme="minorEastAsia" w:eastAsiaTheme="minorEastAsia" w:hAnsiTheme="minorEastAsia"/>
        </w:rPr>
        <w:t>执行生效的基金份额持有人大会的决定</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（26）</w:t>
      </w:r>
      <w:r w:rsidRPr="003307CA">
        <w:rPr>
          <w:rFonts w:asciiTheme="minorEastAsia" w:eastAsiaTheme="minorEastAsia" w:hAnsiTheme="minorEastAsia" w:hint="eastAsia"/>
        </w:rPr>
        <w:tab/>
      </w:r>
      <w:r w:rsidRPr="003307CA">
        <w:rPr>
          <w:rFonts w:asciiTheme="minorEastAsia" w:eastAsiaTheme="minorEastAsia" w:hAnsiTheme="minorEastAsia"/>
        </w:rPr>
        <w:t>建立并保存基金份额持有人名册</w:t>
      </w:r>
      <w:r w:rsidRPr="003307CA">
        <w:rPr>
          <w:rFonts w:asciiTheme="minorEastAsia" w:eastAsiaTheme="minorEastAsia" w:hAnsiTheme="minorEastAsia" w:hint="eastAsia"/>
        </w:rPr>
        <w:t>，定期或不定期向基金托管人提供基金份额持有人名册</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（27）</w:t>
      </w:r>
      <w:r w:rsidRPr="003307CA">
        <w:rPr>
          <w:rFonts w:asciiTheme="minorEastAsia" w:eastAsiaTheme="minorEastAsia" w:hAnsiTheme="minorEastAsia" w:hint="eastAsia"/>
        </w:rPr>
        <w:tab/>
      </w:r>
      <w:r w:rsidRPr="003307CA">
        <w:rPr>
          <w:rFonts w:asciiTheme="minorEastAsia" w:eastAsiaTheme="minorEastAsia" w:hAnsiTheme="minorEastAsia"/>
        </w:rPr>
        <w:t>法律法规</w:t>
      </w:r>
      <w:r w:rsidRPr="003307CA">
        <w:rPr>
          <w:rFonts w:asciiTheme="minorEastAsia" w:eastAsiaTheme="minorEastAsia" w:hAnsiTheme="minorEastAsia" w:hint="eastAsia"/>
        </w:rPr>
        <w:t>及中国证监会规定的</w:t>
      </w:r>
      <w:r w:rsidRPr="003307CA">
        <w:rPr>
          <w:rFonts w:asciiTheme="minorEastAsia" w:eastAsiaTheme="minorEastAsia" w:hAnsiTheme="minorEastAsia"/>
        </w:rPr>
        <w:t>和《基金合同》</w:t>
      </w:r>
      <w:r w:rsidRPr="003307CA">
        <w:rPr>
          <w:rFonts w:asciiTheme="minorEastAsia" w:eastAsiaTheme="minorEastAsia" w:hAnsiTheme="minorEastAsia" w:hint="eastAsia"/>
        </w:rPr>
        <w:t>约</w:t>
      </w:r>
      <w:r w:rsidRPr="003307CA">
        <w:rPr>
          <w:rFonts w:asciiTheme="minorEastAsia" w:eastAsiaTheme="minorEastAsia" w:hAnsiTheme="minorEastAsia"/>
        </w:rPr>
        <w:t>定的其他义务。</w:t>
      </w:r>
    </w:p>
    <w:p w:rsidR="00785666" w:rsidRPr="003307CA"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3307CA">
        <w:rPr>
          <w:rFonts w:asciiTheme="minorEastAsia" w:eastAsiaTheme="minorEastAsia" w:hAnsiTheme="minorEastAsia" w:hint="eastAsia"/>
          <w:b/>
          <w:bCs/>
          <w:kern w:val="0"/>
          <w:szCs w:val="20"/>
        </w:rPr>
        <w:t>（三）基金托管人的权利与义务</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根据《基金法》、《运作办法》及其他有关规定，基金托管人的权利包括但不限于：</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hint="eastAsia"/>
        </w:rPr>
        <w:tab/>
        <w:t>自《基金合同》生效之日起，依法律法规和《基金合同》的规定安全保管基金财产；</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hint="eastAsia"/>
        </w:rPr>
        <w:tab/>
        <w:t>依《基金合同》约定获得基金托管费以及法律法规规定或监管部门批准的其他收入；</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rPr>
        <w:t>）</w:t>
      </w:r>
      <w:r w:rsidRPr="003307CA">
        <w:rPr>
          <w:rFonts w:asciiTheme="minorEastAsia" w:eastAsiaTheme="minorEastAsia" w:hAnsiTheme="minorEastAsia" w:hint="eastAsia"/>
        </w:rPr>
        <w:tab/>
        <w:t>监督基金管理人对本基金的投资运作，如发现基金管理人有违反《基金合同》及国家法律法规行为，</w:t>
      </w:r>
      <w:r w:rsidRPr="003307CA">
        <w:rPr>
          <w:rFonts w:asciiTheme="minorEastAsia" w:eastAsiaTheme="minorEastAsia" w:hAnsiTheme="minorEastAsia"/>
        </w:rPr>
        <w:t>对基金</w:t>
      </w:r>
      <w:r w:rsidRPr="003307CA">
        <w:rPr>
          <w:rFonts w:asciiTheme="minorEastAsia" w:eastAsiaTheme="minorEastAsia" w:hAnsiTheme="minorEastAsia" w:hint="eastAsia"/>
        </w:rPr>
        <w:t>财</w:t>
      </w:r>
      <w:r w:rsidRPr="003307CA">
        <w:rPr>
          <w:rFonts w:asciiTheme="minorEastAsia" w:eastAsiaTheme="minorEastAsia" w:hAnsiTheme="minorEastAsia"/>
        </w:rPr>
        <w:t>产、其他当事人的利益造成重大损失的</w:t>
      </w:r>
      <w:r w:rsidRPr="003307CA">
        <w:rPr>
          <w:rFonts w:asciiTheme="minorEastAsia" w:eastAsiaTheme="minorEastAsia" w:hAnsiTheme="minorEastAsia" w:hint="eastAsia"/>
        </w:rPr>
        <w:t>情形</w:t>
      </w:r>
      <w:r w:rsidRPr="003307CA">
        <w:rPr>
          <w:rFonts w:asciiTheme="minorEastAsia" w:eastAsiaTheme="minorEastAsia" w:hAnsiTheme="minorEastAsia"/>
        </w:rPr>
        <w:t>，</w:t>
      </w:r>
      <w:r w:rsidRPr="003307CA">
        <w:rPr>
          <w:rFonts w:asciiTheme="minorEastAsia" w:eastAsiaTheme="minorEastAsia" w:hAnsiTheme="minorEastAsia" w:hint="eastAsia"/>
        </w:rPr>
        <w:t>应呈报中国证监会，并采取必要措施保护基金投资者的利益；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Pr="003307CA">
        <w:rPr>
          <w:rFonts w:asciiTheme="minorEastAsia" w:eastAsiaTheme="minorEastAsia" w:hAnsiTheme="minorEastAsia" w:hint="eastAsia"/>
        </w:rPr>
        <w:tab/>
      </w:r>
      <w:r w:rsidRPr="003307CA">
        <w:rPr>
          <w:rFonts w:asciiTheme="minorEastAsia" w:eastAsiaTheme="minorEastAsia" w:hAnsiTheme="minorEastAsia"/>
          <w:szCs w:val="21"/>
        </w:rPr>
        <w:t>选择、更换</w:t>
      </w:r>
      <w:r w:rsidRPr="003307CA">
        <w:rPr>
          <w:rFonts w:asciiTheme="minorEastAsia" w:eastAsiaTheme="minorEastAsia" w:hAnsiTheme="minorEastAsia" w:hint="eastAsia"/>
          <w:szCs w:val="21"/>
        </w:rPr>
        <w:t>或撤销</w:t>
      </w:r>
      <w:r w:rsidRPr="003307CA">
        <w:rPr>
          <w:rFonts w:asciiTheme="minorEastAsia" w:eastAsiaTheme="minorEastAsia" w:hAnsiTheme="minorEastAsia"/>
          <w:szCs w:val="21"/>
        </w:rPr>
        <w:t>境外托管人</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hint="eastAsia"/>
        </w:rPr>
        <w:tab/>
      </w:r>
      <w:r w:rsidRPr="003307CA">
        <w:rPr>
          <w:rFonts w:asciiTheme="minorEastAsia" w:eastAsiaTheme="minorEastAsia" w:hAnsiTheme="minorEastAsia"/>
          <w:szCs w:val="21"/>
        </w:rPr>
        <w:t>按规定开设基金财产的资金账户和证券账户</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Pr="003307CA">
        <w:rPr>
          <w:rFonts w:asciiTheme="minorEastAsia" w:eastAsiaTheme="minorEastAsia" w:hAnsiTheme="minorEastAsia" w:hint="eastAsia"/>
        </w:rPr>
        <w:tab/>
        <w:t>提议召开或召集基金份额持有人大会；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Pr="003307CA">
        <w:rPr>
          <w:rFonts w:asciiTheme="minorEastAsia" w:eastAsiaTheme="minorEastAsia" w:hAnsiTheme="minorEastAsia" w:hint="eastAsia"/>
        </w:rPr>
        <w:tab/>
        <w:t>在基金管理人更换时，提名新的基金管理人；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w:t>
      </w:r>
      <w:r w:rsidRPr="003307CA">
        <w:rPr>
          <w:rFonts w:asciiTheme="minorEastAsia" w:eastAsiaTheme="minorEastAsia" w:hAnsiTheme="minorEastAsia" w:hint="eastAsia"/>
        </w:rPr>
        <w:tab/>
        <w:t>法律法规和《基金合同》规定的其他权利。</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根据《基金法》、《运作办法》及其他有关规定，基金托管人的义务包括但不限于：</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hint="eastAsia"/>
        </w:rPr>
        <w:tab/>
        <w:t>以诚实信用、勤勉尽责的原则持有并安全保管基金财产；</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hint="eastAsia"/>
        </w:rPr>
        <w:tab/>
        <w:t>设立专门的基金托管部门，具有符合要求的营业场所，配备足够的、合格的熟悉基金托管业务的专职人员，负责基金财产托管事宜；</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hint="eastAsia"/>
        </w:rPr>
        <w:tab/>
        <w:t>建立健全内部风险控制、监察与稽核、财务管理及人事管理等制度，确保基金财产的安全，保证其托管的基金财产与基金托管人固有财产以及不同的基金财产相互独立；</w:t>
      </w:r>
      <w:r w:rsidRPr="003307CA">
        <w:rPr>
          <w:rFonts w:asciiTheme="minorEastAsia" w:eastAsiaTheme="minorEastAsia" w:hAnsiTheme="minorEastAsia" w:hint="eastAsia"/>
        </w:rPr>
        <w:lastRenderedPageBreak/>
        <w:t>对所托管的不同的基金分别设置账户，独立核算，分账管理，保证不同基金之间在名册登记、账户设置、资金划拨、账册记录等方面相互独立；</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Pr="003307CA">
        <w:rPr>
          <w:rFonts w:asciiTheme="minorEastAsia" w:eastAsiaTheme="minorEastAsia" w:hAnsiTheme="minorEastAsia" w:hint="eastAsia"/>
        </w:rPr>
        <w:tab/>
        <w:t>除依据《基金法》、《基金合同》及其他有关规定外，不得利用基金财产为自己及任何第三人谋取利益；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hint="eastAsia"/>
        </w:rPr>
        <w:tab/>
        <w:t>保管由基金管理人代表基金签订的与基金有关的重大合同及有关凭证；</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Pr="003307CA">
        <w:rPr>
          <w:rFonts w:asciiTheme="minorEastAsia" w:eastAsiaTheme="minorEastAsia" w:hAnsiTheme="minorEastAsia" w:hint="eastAsia"/>
        </w:rPr>
        <w:tab/>
        <w:t>按规定开设基金财产的资金账户和证券账户</w:t>
      </w:r>
      <w:r w:rsidRPr="003307CA">
        <w:rPr>
          <w:rFonts w:asciiTheme="minorEastAsia" w:eastAsiaTheme="minorEastAsia" w:hAnsiTheme="minorEastAsia"/>
        </w:rPr>
        <w:t>,</w:t>
      </w:r>
      <w:r w:rsidRPr="003307CA">
        <w:rPr>
          <w:rFonts w:asciiTheme="minorEastAsia" w:eastAsiaTheme="minorEastAsia" w:hAnsiTheme="minorEastAsia" w:hint="eastAsia"/>
        </w:rPr>
        <w:t>按照</w:t>
      </w:r>
      <w:r w:rsidRPr="003307CA">
        <w:rPr>
          <w:rFonts w:asciiTheme="minorEastAsia" w:eastAsiaTheme="minorEastAsia" w:hAnsiTheme="minorEastAsia" w:hint="eastAsia"/>
          <w:kern w:val="0"/>
        </w:rPr>
        <w:t>有关法律法规和</w:t>
      </w:r>
      <w:r w:rsidRPr="003307CA">
        <w:rPr>
          <w:rFonts w:asciiTheme="minorEastAsia" w:eastAsiaTheme="minorEastAsia" w:hAnsiTheme="minorEastAsia" w:hint="eastAsia"/>
        </w:rPr>
        <w:t>《基金合同》的约定，根据基金管理人的投资指令，及时办理清算、交割事宜；</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Pr="003307CA">
        <w:rPr>
          <w:rFonts w:asciiTheme="minorEastAsia" w:eastAsiaTheme="minorEastAsia" w:hAnsiTheme="minorEastAsia" w:hint="eastAsia"/>
        </w:rPr>
        <w:tab/>
        <w:t>保守基金商业秘密，除《基金法》、《基金合同》及其他有关规定另有规定外，在基金信息公开披露前予以保密，不得向他人泄露；</w:t>
      </w:r>
    </w:p>
    <w:p w:rsidR="00161615" w:rsidRPr="003307CA" w:rsidRDefault="00161615" w:rsidP="00161615">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（8）</w:t>
      </w:r>
      <w:r w:rsidRPr="003307CA">
        <w:rPr>
          <w:rFonts w:asciiTheme="minorEastAsia" w:eastAsiaTheme="minorEastAsia" w:hAnsiTheme="minorEastAsia" w:hint="eastAsia"/>
        </w:rPr>
        <w:tab/>
        <w:t>确保基金份额净值按照有关法律法规、基金合同规定的方法进行计算，复核、审查基金管理人计算的基金资产净值、基金份额净值、基金份额申购、赎回价格；</w:t>
      </w:r>
    </w:p>
    <w:p w:rsidR="00161615" w:rsidRPr="003307CA" w:rsidRDefault="00161615" w:rsidP="00161615">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w:t>
      </w:r>
      <w:r w:rsidRPr="003307CA">
        <w:rPr>
          <w:rFonts w:asciiTheme="minorEastAsia" w:eastAsiaTheme="minorEastAsia" w:hAnsiTheme="minorEastAsia" w:hint="eastAsia"/>
        </w:rPr>
        <w:tab/>
        <w:t>办理与基金托管业务活动有关的信息披露事项；</w:t>
      </w:r>
    </w:p>
    <w:p w:rsidR="00161615" w:rsidRPr="003307CA" w:rsidRDefault="00161615" w:rsidP="00161615">
      <w:pPr>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w:t>
      </w:r>
      <w:r w:rsidRPr="003307CA">
        <w:rPr>
          <w:rFonts w:asciiTheme="minorEastAsia" w:eastAsiaTheme="minorEastAsia" w:hAnsiTheme="minorEastAsia"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w:t>
      </w:r>
      <w:r w:rsidRPr="003307CA">
        <w:rPr>
          <w:rFonts w:asciiTheme="minorEastAsia" w:eastAsiaTheme="minorEastAsia" w:hAnsiTheme="minorEastAsia" w:hint="eastAsia"/>
        </w:rPr>
        <w:tab/>
      </w:r>
      <w:r w:rsidR="007634D0" w:rsidRPr="003307CA">
        <w:rPr>
          <w:rFonts w:asciiTheme="minorEastAsia" w:eastAsiaTheme="minorEastAsia" w:hAnsiTheme="minorEastAsia" w:hint="eastAsia"/>
        </w:rPr>
        <w:t>基金托管人保管本基金的资金汇出、汇入、兑换、收汇、付汇、资金往来、委托及成交记录等相关资料，保存时间应当不少于</w:t>
      </w:r>
      <w:r w:rsidR="007634D0" w:rsidRPr="003307CA">
        <w:rPr>
          <w:rFonts w:asciiTheme="minorEastAsia" w:eastAsiaTheme="minorEastAsia" w:hAnsiTheme="minorEastAsia"/>
        </w:rPr>
        <w:t>20</w:t>
      </w:r>
      <w:r w:rsidR="007634D0" w:rsidRPr="003307CA">
        <w:rPr>
          <w:rFonts w:asciiTheme="minorEastAsia" w:eastAsiaTheme="minorEastAsia" w:hAnsiTheme="minorEastAsia" w:hint="eastAsia"/>
        </w:rPr>
        <w:t>年；其它与基金托管业务活动相关的资料，保存时间应不少于</w:t>
      </w:r>
      <w:r w:rsidR="007634D0" w:rsidRPr="003307CA">
        <w:rPr>
          <w:rFonts w:asciiTheme="minorEastAsia" w:eastAsiaTheme="minorEastAsia" w:hAnsiTheme="minorEastAsia"/>
        </w:rPr>
        <w:t>15</w:t>
      </w:r>
      <w:r w:rsidR="007634D0" w:rsidRPr="003307CA">
        <w:rPr>
          <w:rFonts w:asciiTheme="minorEastAsia" w:eastAsiaTheme="minorEastAsia" w:hAnsiTheme="minorEastAsia" w:hint="eastAsia"/>
        </w:rPr>
        <w:t>年</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w:t>
      </w:r>
      <w:r w:rsidRPr="003307CA">
        <w:rPr>
          <w:rFonts w:asciiTheme="minorEastAsia" w:eastAsiaTheme="minorEastAsia" w:hAnsiTheme="minorEastAsia" w:hint="eastAsia"/>
        </w:rPr>
        <w:tab/>
      </w:r>
      <w:r w:rsidRPr="003307CA">
        <w:rPr>
          <w:rFonts w:asciiTheme="minorEastAsia" w:eastAsiaTheme="minorEastAsia" w:hAnsiTheme="minorEastAsia"/>
        </w:rPr>
        <w:t>建立并保存基金份额持有人名册</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w:t>
      </w:r>
      <w:r w:rsidRPr="003307CA">
        <w:rPr>
          <w:rFonts w:asciiTheme="minorEastAsia" w:eastAsiaTheme="minorEastAsia" w:hAnsiTheme="minorEastAsia" w:hint="eastAsia"/>
        </w:rPr>
        <w:tab/>
        <w:t>按规定制作相关账册并与基金管理人核对；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（14）</w:t>
      </w:r>
      <w:r w:rsidRPr="003307CA">
        <w:rPr>
          <w:rFonts w:asciiTheme="minorEastAsia" w:eastAsiaTheme="minorEastAsia" w:hAnsiTheme="minorEastAsia" w:hint="eastAsia"/>
        </w:rPr>
        <w:tab/>
        <w:t>依据基金管理人的指令或有关规定向基金份额持有人支付基金收益和赎回款项；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（15）</w:t>
      </w:r>
      <w:r w:rsidRPr="003307CA">
        <w:rPr>
          <w:rFonts w:asciiTheme="minorEastAsia" w:eastAsiaTheme="minorEastAsia" w:hAnsiTheme="minorEastAsia" w:hint="eastAsia"/>
        </w:rPr>
        <w:tab/>
        <w:t>按照规定召集基金份额持有人大会或配合基金份额持有人依法自行召集基金份额持有人大会；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（16）</w:t>
      </w:r>
      <w:r w:rsidRPr="003307CA">
        <w:rPr>
          <w:rFonts w:asciiTheme="minorEastAsia" w:eastAsiaTheme="minorEastAsia" w:hAnsiTheme="minorEastAsia" w:hint="eastAsia"/>
        </w:rPr>
        <w:tab/>
        <w:t>按照法律法规和《基金合同》的规定监督基金管理人的投资运作；</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（17）</w:t>
      </w:r>
      <w:r w:rsidRPr="003307CA">
        <w:rPr>
          <w:rFonts w:asciiTheme="minorEastAsia" w:eastAsiaTheme="minorEastAsia" w:hAnsiTheme="minorEastAsia" w:hint="eastAsia"/>
        </w:rPr>
        <w:tab/>
        <w:t>参加基金财产清算小组，参与基金财产的保管、清理、估价、变现和分配；</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（18）</w:t>
      </w:r>
      <w:r w:rsidRPr="003307CA">
        <w:rPr>
          <w:rFonts w:asciiTheme="minorEastAsia" w:eastAsiaTheme="minorEastAsia" w:hAnsiTheme="minorEastAsia" w:hint="eastAsia"/>
        </w:rPr>
        <w:tab/>
        <w:t>面临解散、依法被撤销或者被依法宣告破产时，及时报告中国证监会和银行监管机构，并通知基金管理人；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（19）</w:t>
      </w:r>
      <w:r w:rsidRPr="003307CA">
        <w:rPr>
          <w:rFonts w:asciiTheme="minorEastAsia" w:eastAsiaTheme="minorEastAsia" w:hAnsiTheme="minorEastAsia" w:hint="eastAsia"/>
        </w:rPr>
        <w:tab/>
        <w:t>因违反《基金合同》导致基金财产损失时，应承担赔偿责任，其赔偿责任不因其退任而免除；</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（20）</w:t>
      </w:r>
      <w:r w:rsidRPr="003307CA">
        <w:rPr>
          <w:rFonts w:asciiTheme="minorEastAsia" w:eastAsiaTheme="minorEastAsia" w:hAnsiTheme="minorEastAsia" w:hint="eastAsia"/>
        </w:rPr>
        <w:tab/>
        <w:t>按规定监督基金管理人按法律法规和《基金合同》规定履行自己的义务，基金管理人因违反《基金合同》造成基金财产损失时，应为基金利益向基金管理人追偿；</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（21）</w:t>
      </w:r>
      <w:r w:rsidRPr="003307CA">
        <w:rPr>
          <w:rFonts w:asciiTheme="minorEastAsia" w:eastAsiaTheme="minorEastAsia" w:hAnsiTheme="minorEastAsia" w:hint="eastAsia"/>
        </w:rPr>
        <w:tab/>
      </w:r>
      <w:r w:rsidRPr="003307CA">
        <w:rPr>
          <w:rFonts w:asciiTheme="minorEastAsia" w:eastAsiaTheme="minorEastAsia" w:hAnsiTheme="minorEastAsia"/>
        </w:rPr>
        <w:t>执行生效的基金份额持有人大会的决定</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shd w:val="clear" w:color="auto" w:fill="FFFF00"/>
        </w:rPr>
      </w:pPr>
      <w:r w:rsidRPr="003307CA">
        <w:rPr>
          <w:rFonts w:asciiTheme="minorEastAsia" w:eastAsiaTheme="minorEastAsia" w:hAnsiTheme="minorEastAsia" w:hint="eastAsia"/>
        </w:rPr>
        <w:lastRenderedPageBreak/>
        <w:t>（22）</w:t>
      </w:r>
      <w:r w:rsidRPr="003307CA">
        <w:rPr>
          <w:rFonts w:asciiTheme="minorEastAsia" w:eastAsiaTheme="minorEastAsia" w:hAnsiTheme="minorEastAsia" w:hint="eastAsia"/>
        </w:rPr>
        <w:tab/>
        <w:t>对基金的境外财产，基金托管人可授权境外托管人代为履行其承担的职责。境外托管人在履行职责过程中，因本身过错、疏忽等原因而导致基金财产受损的，基金托管人承担相应责任；</w:t>
      </w:r>
    </w:p>
    <w:p w:rsidR="00785666" w:rsidRPr="003307CA" w:rsidRDefault="00785666" w:rsidP="00CE3F81">
      <w:pPr>
        <w:autoSpaceDE w:val="0"/>
        <w:autoSpaceDN w:val="0"/>
        <w:snapToGrid w:val="0"/>
        <w:spacing w:line="360" w:lineRule="auto"/>
        <w:ind w:firstLineChars="200" w:firstLine="440"/>
        <w:jc w:val="left"/>
        <w:rPr>
          <w:rFonts w:asciiTheme="minorEastAsia" w:eastAsiaTheme="minorEastAsia" w:hAnsiTheme="minorEastAsia" w:cs="宋体"/>
          <w:kern w:val="0"/>
          <w:sz w:val="20"/>
          <w:szCs w:val="20"/>
        </w:rPr>
      </w:pPr>
      <w:r w:rsidRPr="003307CA">
        <w:rPr>
          <w:rFonts w:asciiTheme="minorEastAsia" w:eastAsiaTheme="minorEastAsia" w:hAnsiTheme="minorEastAsia" w:cs="宋体" w:hint="eastAsia"/>
          <w:kern w:val="0"/>
          <w:sz w:val="22"/>
          <w:szCs w:val="22"/>
        </w:rPr>
        <w:t>（23）如需委任境外托管人，应及时通知基金管理人境外托管人选定结果，尽商业上的合理努力确保境外托管人履行相应托管职责；</w:t>
      </w:r>
    </w:p>
    <w:p w:rsidR="00785666" w:rsidRPr="003307CA" w:rsidRDefault="00785666" w:rsidP="00CE3F81">
      <w:pPr>
        <w:snapToGrid w:val="0"/>
        <w:spacing w:line="360" w:lineRule="auto"/>
        <w:ind w:firstLineChars="200" w:firstLine="420"/>
        <w:rPr>
          <w:rFonts w:asciiTheme="minorEastAsia" w:eastAsiaTheme="minorEastAsia" w:hAnsiTheme="minorEastAsia"/>
          <w:kern w:val="0"/>
        </w:rPr>
      </w:pPr>
      <w:r w:rsidRPr="003307CA">
        <w:rPr>
          <w:rFonts w:asciiTheme="minorEastAsia" w:eastAsiaTheme="minorEastAsia" w:hAnsiTheme="minorEastAsia" w:hint="eastAsia"/>
          <w:kern w:val="0"/>
        </w:rPr>
        <w:t>（24）</w:t>
      </w:r>
      <w:r w:rsidRPr="003307CA">
        <w:rPr>
          <w:rFonts w:asciiTheme="minorEastAsia" w:eastAsiaTheme="minorEastAsia" w:hAnsiTheme="minorEastAsia" w:hint="eastAsia"/>
        </w:rPr>
        <w:tab/>
      </w:r>
      <w:r w:rsidRPr="003307CA">
        <w:rPr>
          <w:rFonts w:asciiTheme="minorEastAsia" w:eastAsiaTheme="minorEastAsia" w:hAnsiTheme="minorEastAsia" w:hint="eastAsia"/>
          <w:kern w:val="0"/>
        </w:rPr>
        <w:t>保护基金份额持有人利益，按照规定对基金日常投资行为和资金汇出入情况实施监督，如发现投资指令或资金汇出入违法、违规，应当及时向中国证监会、外管局报告；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kern w:val="0"/>
        </w:rPr>
        <w:t>（25）</w:t>
      </w:r>
      <w:r w:rsidRPr="003307CA">
        <w:rPr>
          <w:rFonts w:asciiTheme="minorEastAsia" w:eastAsiaTheme="minorEastAsia" w:hAnsiTheme="minorEastAsia" w:hint="eastAsia"/>
        </w:rPr>
        <w:tab/>
        <w:t>安全保护基金财产，准时将公司行为信息通知基金管理人，确保基金及时收取所有应得收入；</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（26）</w:t>
      </w:r>
      <w:r w:rsidRPr="003307CA">
        <w:rPr>
          <w:rFonts w:asciiTheme="minorEastAsia" w:eastAsiaTheme="minorEastAsia" w:hAnsiTheme="minorEastAsia" w:hint="eastAsia"/>
        </w:rPr>
        <w:tab/>
        <w:t>每月结束后7个工作日内，向中国证监会和外管局报告基金管理人境外投资情况，并按相关规定进行国际收支申报；</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（27）</w:t>
      </w:r>
      <w:r w:rsidRPr="003307CA">
        <w:rPr>
          <w:rFonts w:asciiTheme="minorEastAsia" w:eastAsiaTheme="minorEastAsia" w:hAnsiTheme="minorEastAsia" w:hint="eastAsia"/>
        </w:rPr>
        <w:tab/>
        <w:t>办理基金管理人就管理本基金的有关结汇、售汇、收汇、付汇和人民币资金结算业务。</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007634D0" w:rsidRPr="003307CA">
        <w:rPr>
          <w:rFonts w:asciiTheme="minorEastAsia" w:eastAsiaTheme="minorEastAsia" w:hAnsiTheme="minorEastAsia" w:hint="eastAsia"/>
        </w:rPr>
        <w:t>28</w:t>
      </w:r>
      <w:r w:rsidRPr="003307CA">
        <w:rPr>
          <w:rFonts w:asciiTheme="minorEastAsia" w:eastAsiaTheme="minorEastAsia" w:hAnsiTheme="minorEastAsia" w:hint="eastAsia"/>
        </w:rPr>
        <w:t>）确保本基金按照有关法律法规和基金合同约定的投资目标和限制进行管理；</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007634D0" w:rsidRPr="003307CA">
        <w:rPr>
          <w:rFonts w:asciiTheme="minorEastAsia" w:eastAsiaTheme="minorEastAsia" w:hAnsiTheme="minorEastAsia" w:hint="eastAsia"/>
        </w:rPr>
        <w:t>29</w:t>
      </w:r>
      <w:r w:rsidRPr="003307CA">
        <w:rPr>
          <w:rFonts w:asciiTheme="minorEastAsia" w:eastAsiaTheme="minorEastAsia" w:hAnsiTheme="minorEastAsia" w:hint="eastAsia"/>
        </w:rPr>
        <w:t>）确保本基金按照有关法律法规和基金合同的规定进行申购、认购、赎回等日常交易；</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007634D0" w:rsidRPr="003307CA">
        <w:rPr>
          <w:rFonts w:asciiTheme="minorEastAsia" w:eastAsiaTheme="minorEastAsia" w:hAnsiTheme="minorEastAsia" w:hint="eastAsia"/>
        </w:rPr>
        <w:t>30</w:t>
      </w:r>
      <w:r w:rsidRPr="003307CA">
        <w:rPr>
          <w:rFonts w:asciiTheme="minorEastAsia" w:eastAsiaTheme="minorEastAsia" w:hAnsiTheme="minorEastAsia" w:hint="eastAsia"/>
        </w:rPr>
        <w:t>）确保本基金按照有关法律法规和基金合同的规定确定并实施收益分配方案；</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007634D0" w:rsidRPr="003307CA">
        <w:rPr>
          <w:rFonts w:asciiTheme="minorEastAsia" w:eastAsiaTheme="minorEastAsia" w:hAnsiTheme="minorEastAsia" w:hint="eastAsia"/>
        </w:rPr>
        <w:t>31</w:t>
      </w:r>
      <w:r w:rsidRPr="003307CA">
        <w:rPr>
          <w:rFonts w:asciiTheme="minorEastAsia" w:eastAsiaTheme="minorEastAsia" w:hAnsiTheme="minorEastAsia" w:hint="eastAsia"/>
        </w:rPr>
        <w:t>）按照有关法律法规和基金合同的规定以受托人名义或其指定的代理人名义登记资产；</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w:t>
      </w:r>
      <w:r w:rsidR="007634D0" w:rsidRPr="003307CA">
        <w:rPr>
          <w:rFonts w:asciiTheme="minorEastAsia" w:eastAsiaTheme="minorEastAsia" w:hAnsiTheme="minorEastAsia" w:hint="eastAsia"/>
        </w:rPr>
        <w:t>32</w:t>
      </w:r>
      <w:r w:rsidRPr="003307CA">
        <w:rPr>
          <w:rFonts w:asciiTheme="minorEastAsia" w:eastAsiaTheme="minorEastAsia" w:hAnsiTheme="minorEastAsia" w:hint="eastAsia"/>
        </w:rPr>
        <w:t>）</w:t>
      </w:r>
      <w:r w:rsidRPr="003307CA">
        <w:rPr>
          <w:rFonts w:asciiTheme="minorEastAsia" w:eastAsiaTheme="minorEastAsia" w:hAnsiTheme="minorEastAsia" w:hint="eastAsia"/>
          <w:kern w:val="0"/>
        </w:rPr>
        <w:t>法律法规、《基金合同》规定的其他义务以及</w:t>
      </w:r>
      <w:r w:rsidRPr="003307CA">
        <w:rPr>
          <w:rFonts w:asciiTheme="minorEastAsia" w:eastAsiaTheme="minorEastAsia" w:hAnsiTheme="minorEastAsia" w:hint="eastAsia"/>
        </w:rPr>
        <w:t>中国证监会和外管局根据审慎监管原则规定的基金托管人的其他职责。</w:t>
      </w:r>
    </w:p>
    <w:p w:rsidR="00785666" w:rsidRPr="003307CA" w:rsidRDefault="00785666" w:rsidP="004D1E0F">
      <w:pPr>
        <w:snapToGrid w:val="0"/>
        <w:spacing w:line="360" w:lineRule="auto"/>
        <w:ind w:firstLineChars="200" w:firstLine="422"/>
        <w:rPr>
          <w:rFonts w:asciiTheme="minorEastAsia" w:eastAsiaTheme="minorEastAsia" w:hAnsiTheme="minorEastAsia"/>
          <w:b/>
        </w:rPr>
      </w:pPr>
      <w:r w:rsidRPr="003307CA">
        <w:rPr>
          <w:rFonts w:asciiTheme="minorEastAsia" w:eastAsiaTheme="minorEastAsia" w:hAnsiTheme="minorEastAsia"/>
          <w:b/>
        </w:rPr>
        <w:t>二</w:t>
      </w:r>
      <w:r w:rsidRPr="003307CA">
        <w:rPr>
          <w:rFonts w:asciiTheme="minorEastAsia" w:eastAsiaTheme="minorEastAsia" w:hAnsiTheme="minorEastAsia" w:hint="eastAsia"/>
          <w:b/>
        </w:rPr>
        <w:t>、</w:t>
      </w:r>
      <w:r w:rsidRPr="003307CA">
        <w:rPr>
          <w:rFonts w:asciiTheme="minorEastAsia" w:eastAsiaTheme="minorEastAsia" w:hAnsiTheme="minorEastAsia"/>
          <w:b/>
        </w:rPr>
        <w:t>基金份额持有人大会召集、议事及表决的程序和规则</w:t>
      </w:r>
    </w:p>
    <w:p w:rsidR="00785666" w:rsidRPr="003307CA" w:rsidRDefault="00785666" w:rsidP="004D1E0F">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基金份额持有人大会由基金份额持有人组成。基金份额持有人持有的每一基金份额拥有平等的投票权。</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（一）</w:t>
      </w:r>
      <w:r w:rsidRPr="003307CA">
        <w:rPr>
          <w:rFonts w:asciiTheme="minorEastAsia" w:eastAsiaTheme="minorEastAsia" w:hAnsiTheme="minorEastAsia" w:hint="eastAsia"/>
          <w:b/>
          <w:bCs/>
        </w:rPr>
        <w:tab/>
        <w:t>召开事由</w:t>
      </w:r>
    </w:p>
    <w:p w:rsidR="00785666" w:rsidRPr="003307CA" w:rsidRDefault="004D1E0F"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785666" w:rsidRPr="003307CA">
        <w:rPr>
          <w:rFonts w:asciiTheme="minorEastAsia" w:eastAsiaTheme="minorEastAsia" w:hAnsiTheme="minorEastAsia" w:hint="eastAsia"/>
        </w:rPr>
        <w:t>当出现或需要决定下列事由之一的，应当召开基金份额持有人大会：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（1）终止《基金合同》；</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（2）更换基金管理人；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（3）更换基金托管人；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（4）转换基金运作方式；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（5）提高基金管理人和基金托管人的报酬标准。但根据法律法规的要求提高该等报酬标准的除外；</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Pr="003307CA">
        <w:rPr>
          <w:rFonts w:asciiTheme="minorEastAsia" w:eastAsiaTheme="minorEastAsia" w:hAnsiTheme="minorEastAsia"/>
        </w:rPr>
        <w:t>变更基金类别</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（7</w:t>
      </w:r>
      <w:r w:rsidRPr="003307CA">
        <w:rPr>
          <w:rFonts w:asciiTheme="minorEastAsia" w:eastAsiaTheme="minorEastAsia" w:hAnsiTheme="minorEastAsia"/>
        </w:rPr>
        <w:t>）</w:t>
      </w:r>
      <w:r w:rsidRPr="003307CA">
        <w:rPr>
          <w:rFonts w:asciiTheme="minorEastAsia" w:eastAsiaTheme="minorEastAsia" w:hAnsiTheme="minorEastAsia" w:hint="eastAsia"/>
        </w:rPr>
        <w:t>本基金与其他基金的合并；</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（8）</w:t>
      </w:r>
      <w:r w:rsidRPr="003307CA">
        <w:rPr>
          <w:rFonts w:asciiTheme="minorEastAsia" w:eastAsiaTheme="minorEastAsia" w:hAnsiTheme="minorEastAsia"/>
        </w:rPr>
        <w:t>变更基金投资目标、范围或策略</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（9）</w:t>
      </w:r>
      <w:r w:rsidRPr="003307CA">
        <w:rPr>
          <w:rFonts w:asciiTheme="minorEastAsia" w:eastAsiaTheme="minorEastAsia" w:hAnsiTheme="minorEastAsia"/>
        </w:rPr>
        <w:t>变更基金份额持有人大会程序</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（10）基金管理人或基金托管人要求召开基金份额持有人大会；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（12）对基金当事人权利和义务产生重大影响的其他事项；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（13）法律法规、《基金合同》或中国证监会规定的其他应当召开基金份额持有人大会的事项。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以下情况可由基金管理人和基金托管人协商后修改，不需召开基金份额持有人大会：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（1）调低基金管理费和基金托管费；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（2）法律法规要求增加的基金费用的收取；</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（3）在《基金合同》规定的范围内变更本基金的申购费率、降低赎回费率；</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（4）因相应的法律法规发生变动而应当对《基金合同》进行修改；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（5）《基金合同》的修改对基金份额持有人利益无实质性不利影响或修改不涉及《基金合同》当事人权利义务关系发生变化；</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（6）除按照法律法规和《基金合同》规定应当召开基金份额持有人大会的以外的其他情形。</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（二）</w:t>
      </w:r>
      <w:r w:rsidRPr="003307CA">
        <w:rPr>
          <w:rFonts w:asciiTheme="minorEastAsia" w:eastAsiaTheme="minorEastAsia" w:hAnsiTheme="minorEastAsia" w:hint="eastAsia"/>
          <w:b/>
          <w:bCs/>
        </w:rPr>
        <w:tab/>
        <w:t>会议召集人及召集方式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除法律法规规定或《基金合同》另有约定外，基金份额持有人大会由基金管理人召集。</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基金管理人未按规定召集或不能召集时，由基金托管人召集。</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4D1E0F" w:rsidRPr="003307CA">
        <w:rPr>
          <w:rFonts w:asciiTheme="minorEastAsia" w:eastAsiaTheme="minorEastAsia" w:hAnsiTheme="minorEastAsia" w:hint="eastAsia"/>
        </w:rPr>
        <w:t>、</w:t>
      </w:r>
      <w:r w:rsidRPr="003307CA">
        <w:rPr>
          <w:rFonts w:asciiTheme="minorEastAsia" w:eastAsiaTheme="minorEastAsia" w:hAnsiTheme="minorEastAsia"/>
        </w:rPr>
        <w:t>基金托管人认为有必要召开基金份额持有人大会的，应当向基金管理人提出书面提议。基金管理人应当自收到书面提议之日起</w:t>
      </w:r>
      <w:r w:rsidRPr="003307CA">
        <w:rPr>
          <w:rFonts w:asciiTheme="minorEastAsia" w:eastAsiaTheme="minorEastAsia" w:hAnsiTheme="minorEastAsia" w:hint="eastAsia"/>
        </w:rPr>
        <w:t>10</w:t>
      </w:r>
      <w:r w:rsidRPr="003307CA">
        <w:rPr>
          <w:rFonts w:asciiTheme="minorEastAsia" w:eastAsiaTheme="minorEastAsia" w:hAnsiTheme="minorEastAsia"/>
        </w:rPr>
        <w:t>日内决定是否召集，并书面告知基金托管人。基金管理人决定召集的，应当自出具书面决定之日起</w:t>
      </w:r>
      <w:r w:rsidRPr="003307CA">
        <w:rPr>
          <w:rFonts w:asciiTheme="minorEastAsia" w:eastAsiaTheme="minorEastAsia" w:hAnsiTheme="minorEastAsia" w:hint="eastAsia"/>
        </w:rPr>
        <w:t>60</w:t>
      </w:r>
      <w:r w:rsidRPr="003307CA">
        <w:rPr>
          <w:rFonts w:asciiTheme="minorEastAsia" w:eastAsiaTheme="minorEastAsia" w:hAnsiTheme="minorEastAsia"/>
        </w:rPr>
        <w:t>日内召开；基金管理人决定不召集，基金托管人仍认为有必要召开的，应当</w:t>
      </w:r>
      <w:r w:rsidRPr="003307CA">
        <w:rPr>
          <w:rFonts w:asciiTheme="minorEastAsia" w:eastAsiaTheme="minorEastAsia" w:hAnsiTheme="minorEastAsia" w:hint="eastAsia"/>
        </w:rPr>
        <w:t>由基金托管人</w:t>
      </w:r>
      <w:r w:rsidRPr="003307CA">
        <w:rPr>
          <w:rFonts w:asciiTheme="minorEastAsia" w:eastAsiaTheme="minorEastAsia" w:hAnsiTheme="minorEastAsia"/>
        </w:rPr>
        <w:t>自行召集。</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代表基金份额10%以上（含10%）的基金份额持有人就同一事项书面要求召开基金份额持有人大会，</w:t>
      </w:r>
      <w:r w:rsidRPr="003307CA">
        <w:rPr>
          <w:rFonts w:asciiTheme="minorEastAsia" w:eastAsiaTheme="minorEastAsia" w:hAnsiTheme="minorEastAsia"/>
        </w:rPr>
        <w:t>应当向基金管理人提出书面提议。基金管理人应当自收到书面提议之日起</w:t>
      </w:r>
      <w:r w:rsidRPr="003307CA">
        <w:rPr>
          <w:rFonts w:asciiTheme="minorEastAsia" w:eastAsiaTheme="minorEastAsia" w:hAnsiTheme="minorEastAsia" w:hint="eastAsia"/>
        </w:rPr>
        <w:t>10</w:t>
      </w:r>
      <w:r w:rsidRPr="003307CA">
        <w:rPr>
          <w:rFonts w:asciiTheme="minorEastAsia" w:eastAsiaTheme="minorEastAsia" w:hAnsiTheme="minorEastAsia"/>
        </w:rPr>
        <w:t>日内决定是否召集，并书面告知提出提议的基金份额持有人代表和基金托管人。基金管理人决定召集的，应当自出具书面决定之日起</w:t>
      </w:r>
      <w:r w:rsidRPr="003307CA">
        <w:rPr>
          <w:rFonts w:asciiTheme="minorEastAsia" w:eastAsiaTheme="minorEastAsia" w:hAnsiTheme="minorEastAsia" w:hint="eastAsia"/>
        </w:rPr>
        <w:t>60</w:t>
      </w:r>
      <w:r w:rsidRPr="003307CA">
        <w:rPr>
          <w:rFonts w:asciiTheme="minorEastAsia" w:eastAsiaTheme="minorEastAsia" w:hAnsiTheme="minorEastAsia"/>
        </w:rPr>
        <w:t>日内召开；基金管理人决定不召集，代表基金份额</w:t>
      </w:r>
      <w:r w:rsidRPr="003307CA">
        <w:rPr>
          <w:rFonts w:asciiTheme="minorEastAsia" w:eastAsiaTheme="minorEastAsia" w:hAnsiTheme="minorEastAsia" w:hint="eastAsia"/>
        </w:rPr>
        <w:t>10%</w:t>
      </w:r>
      <w:r w:rsidRPr="003307CA">
        <w:rPr>
          <w:rFonts w:asciiTheme="minorEastAsia" w:eastAsiaTheme="minorEastAsia" w:hAnsiTheme="minorEastAsia"/>
        </w:rPr>
        <w:t>以上</w:t>
      </w:r>
      <w:r w:rsidRPr="003307CA">
        <w:rPr>
          <w:rFonts w:asciiTheme="minorEastAsia" w:eastAsiaTheme="minorEastAsia" w:hAnsiTheme="minorEastAsia" w:hint="eastAsia"/>
        </w:rPr>
        <w:t>（含10%）</w:t>
      </w:r>
      <w:r w:rsidRPr="003307CA">
        <w:rPr>
          <w:rFonts w:asciiTheme="minorEastAsia" w:eastAsiaTheme="minorEastAsia" w:hAnsiTheme="minorEastAsia"/>
        </w:rPr>
        <w:t>的基金份额持有人仍认为有必要召开的，应当向基金托管人提出书面提议。基金托管人应当自收到书面提议之日起</w:t>
      </w:r>
      <w:r w:rsidRPr="003307CA">
        <w:rPr>
          <w:rFonts w:asciiTheme="minorEastAsia" w:eastAsiaTheme="minorEastAsia" w:hAnsiTheme="minorEastAsia" w:hint="eastAsia"/>
        </w:rPr>
        <w:t>10</w:t>
      </w:r>
      <w:r w:rsidRPr="003307CA">
        <w:rPr>
          <w:rFonts w:asciiTheme="minorEastAsia" w:eastAsiaTheme="minorEastAsia" w:hAnsiTheme="minorEastAsia"/>
        </w:rPr>
        <w:t>日内决定是否召集，并书面告知提出提议的基金份额持有人代表和基金管理人；基金托管人决定召集的，应当自出具书面决定之日起</w:t>
      </w:r>
      <w:r w:rsidRPr="003307CA">
        <w:rPr>
          <w:rFonts w:asciiTheme="minorEastAsia" w:eastAsiaTheme="minorEastAsia" w:hAnsiTheme="minorEastAsia" w:hint="eastAsia"/>
        </w:rPr>
        <w:t>60</w:t>
      </w:r>
      <w:r w:rsidRPr="003307CA">
        <w:rPr>
          <w:rFonts w:asciiTheme="minorEastAsia" w:eastAsiaTheme="minorEastAsia" w:hAnsiTheme="minorEastAsia"/>
        </w:rPr>
        <w:t>日内召开。</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5</w:t>
      </w:r>
      <w:r w:rsidR="004D1E0F" w:rsidRPr="003307CA">
        <w:rPr>
          <w:rFonts w:asciiTheme="minorEastAsia" w:eastAsiaTheme="minorEastAsia" w:hAnsiTheme="minorEastAsia" w:hint="eastAsia"/>
        </w:rPr>
        <w:t>、</w:t>
      </w:r>
      <w:r w:rsidRPr="003307CA">
        <w:rPr>
          <w:rFonts w:asciiTheme="minorEastAsia" w:eastAsiaTheme="minorEastAsia" w:hAnsiTheme="minorEastAsia"/>
        </w:rPr>
        <w:t>代表基金份额</w:t>
      </w:r>
      <w:r w:rsidRPr="003307CA">
        <w:rPr>
          <w:rFonts w:asciiTheme="minorEastAsia" w:eastAsiaTheme="minorEastAsia" w:hAnsiTheme="minorEastAsia" w:hint="eastAsia"/>
        </w:rPr>
        <w:t>10%以上（含10%）</w:t>
      </w:r>
      <w:r w:rsidRPr="003307CA">
        <w:rPr>
          <w:rFonts w:asciiTheme="minorEastAsia" w:eastAsiaTheme="minorEastAsia" w:hAnsiTheme="minorEastAsia"/>
        </w:rPr>
        <w:t>的基金份额持有人就同一事项要求召开基金份额持有人大会，而</w:t>
      </w:r>
      <w:r w:rsidRPr="003307CA">
        <w:rPr>
          <w:rFonts w:asciiTheme="minorEastAsia" w:eastAsiaTheme="minorEastAsia" w:hAnsiTheme="minorEastAsia" w:hint="eastAsia"/>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基金份额持有人会议的召集人负责选择确定开会时间、地点、方式和权益登记日。</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（三）</w:t>
      </w:r>
      <w:r w:rsidRPr="003307CA">
        <w:rPr>
          <w:rFonts w:asciiTheme="minorEastAsia" w:eastAsiaTheme="minorEastAsia" w:hAnsiTheme="minorEastAsia" w:hint="eastAsia"/>
          <w:b/>
          <w:bCs/>
        </w:rPr>
        <w:tab/>
        <w:t>召开基金份额持有人大会的通知时间、通知内容、通知方式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召开基金份额持有人大会，召集人应于会议召开前4</w:t>
      </w:r>
      <w:r w:rsidRPr="003307CA">
        <w:rPr>
          <w:rFonts w:asciiTheme="minorEastAsia" w:eastAsiaTheme="minorEastAsia" w:hAnsiTheme="minorEastAsia"/>
        </w:rPr>
        <w:t>0</w:t>
      </w:r>
      <w:r w:rsidRPr="003307CA">
        <w:rPr>
          <w:rFonts w:asciiTheme="minorEastAsia" w:eastAsiaTheme="minorEastAsia" w:hAnsiTheme="minorEastAsia" w:hint="eastAsia"/>
        </w:rPr>
        <w:t>天，在</w:t>
      </w:r>
      <w:r w:rsidR="00CF5E13" w:rsidRPr="003307CA">
        <w:rPr>
          <w:rFonts w:asciiTheme="minorEastAsia" w:eastAsiaTheme="minorEastAsia" w:hAnsiTheme="minorEastAsia" w:hint="eastAsia"/>
        </w:rPr>
        <w:t>指定媒介</w:t>
      </w:r>
      <w:r w:rsidRPr="003307CA">
        <w:rPr>
          <w:rFonts w:asciiTheme="minorEastAsia" w:eastAsiaTheme="minorEastAsia" w:hAnsiTheme="minorEastAsia" w:hint="eastAsia"/>
        </w:rPr>
        <w:t>公告。基金份额持有人大会通知应至少载明以下内容：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（1）会议召开的时间、地点、方式和会议形式；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（2）会议拟审议的事项、议事程序和表决形式；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（3）有权出席基金份额持有人大会的基金份额持有人的权益登记日；</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Pr="003307CA">
        <w:rPr>
          <w:rFonts w:asciiTheme="minorEastAsia" w:eastAsiaTheme="minorEastAsia" w:hAnsiTheme="minorEastAsia"/>
        </w:rPr>
        <w:t>）</w:t>
      </w:r>
      <w:r w:rsidRPr="003307CA">
        <w:rPr>
          <w:rFonts w:asciiTheme="minorEastAsia" w:eastAsiaTheme="minorEastAsia" w:hAnsiTheme="minorEastAsia" w:hint="eastAsia"/>
        </w:rPr>
        <w:t>授权委托书的内容要求（包括但不限于代理人身份，代理权限和代理有效期限等）、送达时间和地点；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（5）会务常设联系人姓名及联系电话。</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采</w:t>
      </w:r>
      <w:r w:rsidRPr="003307CA">
        <w:rPr>
          <w:rFonts w:asciiTheme="minorEastAsia" w:eastAsiaTheme="minorEastAsia" w:hAnsiTheme="minorEastAsia"/>
        </w:rPr>
        <w:t>取通讯开会方式并进行表决的情况下，</w:t>
      </w:r>
      <w:r w:rsidRPr="003307CA">
        <w:rPr>
          <w:rFonts w:asciiTheme="minorEastAsia" w:eastAsiaTheme="minorEastAsia" w:hAnsiTheme="minorEastAsia" w:hint="eastAsia"/>
        </w:rPr>
        <w:t>由会议召集人决定通讯方式和书面表决方式，并在会议通知中说明本次基金份额持有人大会所采取的具体通讯方式、委托的公证机关及其联系方式和联系人、书面表决意见寄交的截止时间和收取方式。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结果。</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（四）</w:t>
      </w:r>
      <w:r w:rsidRPr="003307CA">
        <w:rPr>
          <w:rFonts w:asciiTheme="minorEastAsia" w:eastAsiaTheme="minorEastAsia" w:hAnsiTheme="minorEastAsia" w:hint="eastAsia"/>
          <w:b/>
          <w:bCs/>
        </w:rPr>
        <w:tab/>
        <w:t>基金份额持有人出席</w:t>
      </w:r>
      <w:r w:rsidRPr="003307CA">
        <w:rPr>
          <w:rFonts w:asciiTheme="minorEastAsia" w:eastAsiaTheme="minorEastAsia" w:hAnsiTheme="minorEastAsia"/>
          <w:b/>
          <w:bCs/>
        </w:rPr>
        <w:t>会议</w:t>
      </w:r>
      <w:r w:rsidRPr="003307CA">
        <w:rPr>
          <w:rFonts w:asciiTheme="minorEastAsia" w:eastAsiaTheme="minorEastAsia" w:hAnsiTheme="minorEastAsia" w:hint="eastAsia"/>
          <w:b/>
          <w:bCs/>
        </w:rPr>
        <w:t>的</w:t>
      </w:r>
      <w:r w:rsidRPr="003307CA">
        <w:rPr>
          <w:rFonts w:asciiTheme="minorEastAsia" w:eastAsiaTheme="minorEastAsia" w:hAnsiTheme="minorEastAsia"/>
          <w:b/>
          <w:bCs/>
        </w:rPr>
        <w:t>方式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基金份额持有人大会</w:t>
      </w:r>
      <w:r w:rsidRPr="003307CA">
        <w:rPr>
          <w:rFonts w:asciiTheme="minorEastAsia" w:eastAsiaTheme="minorEastAsia" w:hAnsiTheme="minorEastAsia" w:hint="eastAsia"/>
        </w:rPr>
        <w:t>可通过现场开会方式或通讯开会方式召开。</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会议的召开方式由</w:t>
      </w:r>
      <w:r w:rsidRPr="003307CA">
        <w:rPr>
          <w:rFonts w:asciiTheme="minorEastAsia" w:eastAsiaTheme="minorEastAsia" w:hAnsiTheme="minorEastAsia" w:hint="eastAsia"/>
        </w:rPr>
        <w:t>会议</w:t>
      </w:r>
      <w:r w:rsidRPr="003307CA">
        <w:rPr>
          <w:rFonts w:asciiTheme="minorEastAsia" w:eastAsiaTheme="minorEastAsia" w:hAnsiTheme="minorEastAsia"/>
        </w:rPr>
        <w:t>召集人确定，但更换基金管理人和基金托管人必须以现场开会方式召开。</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rPr>
        <w:t>现场开会。由基金份额持有人本人出席或以代理投票授权委托书委派代表出席，现场开会时基金管理人和基金托管人的授权代表应当</w:t>
      </w:r>
      <w:r w:rsidRPr="003307CA">
        <w:rPr>
          <w:rFonts w:asciiTheme="minorEastAsia" w:eastAsiaTheme="minorEastAsia" w:hAnsiTheme="minorEastAsia" w:hint="eastAsia"/>
        </w:rPr>
        <w:t>列席</w:t>
      </w:r>
      <w:r w:rsidRPr="003307CA">
        <w:rPr>
          <w:rFonts w:asciiTheme="minorEastAsia" w:eastAsiaTheme="minorEastAsia" w:hAnsiTheme="minorEastAsia"/>
        </w:rPr>
        <w:t>基金份额持有人大会</w:t>
      </w:r>
      <w:r w:rsidRPr="003307CA">
        <w:rPr>
          <w:rFonts w:asciiTheme="minorEastAsia" w:eastAsiaTheme="minorEastAsia" w:hAnsiTheme="minorEastAsia" w:hint="eastAsia"/>
        </w:rPr>
        <w:t>，基金管理人或托管人不派代表列席的，不影响表决效力</w:t>
      </w:r>
      <w:r w:rsidRPr="003307CA">
        <w:rPr>
          <w:rFonts w:asciiTheme="minorEastAsia" w:eastAsiaTheme="minorEastAsia" w:hAnsiTheme="minorEastAsia"/>
        </w:rPr>
        <w:t>。现场开会同时符合以下条件时，可以进行基金份额持有人大会议程：</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（2）</w:t>
      </w:r>
      <w:r w:rsidRPr="003307CA">
        <w:rPr>
          <w:rFonts w:asciiTheme="minorEastAsia" w:eastAsiaTheme="minorEastAsia" w:hAnsiTheme="minorEastAsia"/>
        </w:rPr>
        <w:t>经核对，汇总到会者出示的在权利登记日持有基金份额的凭证显示，有效的基金份额</w:t>
      </w:r>
      <w:r w:rsidRPr="003307CA">
        <w:rPr>
          <w:rFonts w:asciiTheme="minorEastAsia" w:eastAsiaTheme="minorEastAsia" w:hAnsiTheme="minorEastAsia" w:hint="eastAsia"/>
        </w:rPr>
        <w:t>不少</w:t>
      </w:r>
      <w:r w:rsidRPr="003307CA">
        <w:rPr>
          <w:rFonts w:asciiTheme="minorEastAsia" w:eastAsiaTheme="minorEastAsia" w:hAnsiTheme="minorEastAsia"/>
        </w:rPr>
        <w:t>于本基金在</w:t>
      </w:r>
      <w:r w:rsidRPr="003307CA">
        <w:rPr>
          <w:rFonts w:asciiTheme="minorEastAsia" w:eastAsiaTheme="minorEastAsia" w:hAnsiTheme="minorEastAsia" w:hint="eastAsia"/>
        </w:rPr>
        <w:t>权益</w:t>
      </w:r>
      <w:r w:rsidRPr="003307CA">
        <w:rPr>
          <w:rFonts w:asciiTheme="minorEastAsia" w:eastAsiaTheme="minorEastAsia" w:hAnsiTheme="minorEastAsia"/>
        </w:rPr>
        <w:t>登记日基金总</w:t>
      </w:r>
      <w:r w:rsidRPr="003307CA">
        <w:rPr>
          <w:rFonts w:asciiTheme="minorEastAsia" w:eastAsiaTheme="minorEastAsia" w:hAnsiTheme="minorEastAsia" w:hint="eastAsia"/>
        </w:rPr>
        <w:t>份</w:t>
      </w:r>
      <w:r w:rsidRPr="003307CA">
        <w:rPr>
          <w:rFonts w:asciiTheme="minorEastAsia" w:eastAsiaTheme="minorEastAsia" w:hAnsiTheme="minorEastAsia"/>
        </w:rPr>
        <w:t>额的</w:t>
      </w:r>
      <w:r w:rsidRPr="003307CA">
        <w:rPr>
          <w:rFonts w:asciiTheme="minorEastAsia" w:eastAsiaTheme="minorEastAsia" w:hAnsiTheme="minorEastAsia" w:hint="eastAsia"/>
        </w:rPr>
        <w:t>50</w:t>
      </w:r>
      <w:r w:rsidRPr="003307CA">
        <w:rPr>
          <w:rFonts w:asciiTheme="minorEastAsia" w:eastAsiaTheme="minorEastAsia" w:hAnsiTheme="minorEastAsia"/>
        </w:rPr>
        <w:t>%</w:t>
      </w:r>
      <w:r w:rsidRPr="003307CA">
        <w:rPr>
          <w:rFonts w:asciiTheme="minorEastAsia" w:eastAsiaTheme="minorEastAsia" w:hAnsiTheme="minorEastAsia" w:hint="eastAsia"/>
        </w:rPr>
        <w:t>（含50%）</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rPr>
        <w:t>通讯开会。</w:t>
      </w:r>
      <w:r w:rsidRPr="003307CA">
        <w:rPr>
          <w:rFonts w:asciiTheme="minorEastAsia" w:eastAsiaTheme="minorEastAsia" w:hAnsiTheme="minorEastAsia" w:hint="eastAsia"/>
        </w:rPr>
        <w:t>通讯开会系指基金份额持有人将其对表决事项的投票以书面形式在表决截至日以前送达至召集人指定的地址。</w:t>
      </w:r>
      <w:r w:rsidRPr="003307CA">
        <w:rPr>
          <w:rFonts w:asciiTheme="minorEastAsia" w:eastAsiaTheme="minorEastAsia" w:hAnsiTheme="minorEastAsia"/>
        </w:rPr>
        <w:t>通讯开会应以书面方式进行表决。</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在</w:t>
      </w:r>
      <w:r w:rsidRPr="003307CA">
        <w:rPr>
          <w:rFonts w:asciiTheme="minorEastAsia" w:eastAsiaTheme="minorEastAsia" w:hAnsiTheme="minorEastAsia" w:hint="eastAsia"/>
        </w:rPr>
        <w:t>同时</w:t>
      </w:r>
      <w:r w:rsidRPr="003307CA">
        <w:rPr>
          <w:rFonts w:asciiTheme="minorEastAsia" w:eastAsiaTheme="minorEastAsia" w:hAnsiTheme="minorEastAsia"/>
        </w:rPr>
        <w:t>符合以下条件时，通讯开会的方式视为有效：</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（1）会议召集人</w:t>
      </w:r>
      <w:r w:rsidRPr="003307CA">
        <w:rPr>
          <w:rFonts w:asciiTheme="minorEastAsia" w:eastAsiaTheme="minorEastAsia" w:hAnsiTheme="minorEastAsia"/>
        </w:rPr>
        <w:t>按《基金合同》规定公布会议通知后，在</w:t>
      </w:r>
      <w:r w:rsidRPr="003307CA">
        <w:rPr>
          <w:rFonts w:asciiTheme="minorEastAsia" w:eastAsiaTheme="minorEastAsia" w:hAnsiTheme="minorEastAsia" w:hint="eastAsia"/>
        </w:rPr>
        <w:t>2</w:t>
      </w:r>
      <w:r w:rsidRPr="003307CA">
        <w:rPr>
          <w:rFonts w:asciiTheme="minorEastAsia" w:eastAsiaTheme="minorEastAsia" w:hAnsiTheme="minorEastAsia"/>
        </w:rPr>
        <w:t>个工作日内连续公布相关提示性公告；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（2）会议召集人</w:t>
      </w:r>
      <w:r w:rsidRPr="003307CA">
        <w:rPr>
          <w:rFonts w:asciiTheme="minorEastAsia" w:eastAsiaTheme="minorEastAsia" w:hAnsiTheme="minorEastAsia"/>
        </w:rPr>
        <w:t>在基金托管人</w:t>
      </w:r>
      <w:r w:rsidRPr="003307CA">
        <w:rPr>
          <w:rFonts w:asciiTheme="minorEastAsia" w:eastAsiaTheme="minorEastAsia" w:hAnsiTheme="minorEastAsia" w:hint="eastAsia"/>
        </w:rPr>
        <w:t>（如果基金托管人为召集人，则为基金管理人）</w:t>
      </w:r>
      <w:r w:rsidRPr="003307CA">
        <w:rPr>
          <w:rFonts w:asciiTheme="minorEastAsia" w:eastAsiaTheme="minorEastAsia" w:hAnsiTheme="minorEastAsia"/>
        </w:rPr>
        <w:t>和公证机关的监督下按照会议通知规定的方式收取基金份额持有人的书面表决意见；</w:t>
      </w:r>
      <w:r w:rsidRPr="003307CA">
        <w:rPr>
          <w:rFonts w:asciiTheme="minorEastAsia" w:eastAsiaTheme="minorEastAsia" w:hAnsiTheme="minorEastAsia" w:hint="eastAsia"/>
        </w:rPr>
        <w:t>基金托管人或基金管理人经通知不参加收取书面表决意见的，不影响表决效力</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rPr>
        <w:t>本人直接出具书面意见或授权他人代表出具书面意见的，基金份额持有人所持有的基金份额</w:t>
      </w:r>
      <w:r w:rsidRPr="003307CA">
        <w:rPr>
          <w:rFonts w:asciiTheme="minorEastAsia" w:eastAsiaTheme="minorEastAsia" w:hAnsiTheme="minorEastAsia" w:hint="eastAsia"/>
        </w:rPr>
        <w:t>不小</w:t>
      </w:r>
      <w:r w:rsidRPr="003307CA">
        <w:rPr>
          <w:rFonts w:asciiTheme="minorEastAsia" w:eastAsiaTheme="minorEastAsia" w:hAnsiTheme="minorEastAsia"/>
        </w:rPr>
        <w:t>于在</w:t>
      </w:r>
      <w:r w:rsidRPr="003307CA">
        <w:rPr>
          <w:rFonts w:asciiTheme="minorEastAsia" w:eastAsiaTheme="minorEastAsia" w:hAnsiTheme="minorEastAsia" w:hint="eastAsia"/>
        </w:rPr>
        <w:t>权益</w:t>
      </w:r>
      <w:r w:rsidRPr="003307CA">
        <w:rPr>
          <w:rFonts w:asciiTheme="minorEastAsia" w:eastAsiaTheme="minorEastAsia" w:hAnsiTheme="minorEastAsia"/>
        </w:rPr>
        <w:t>登记日基金总份额的</w:t>
      </w:r>
      <w:r w:rsidRPr="003307CA">
        <w:rPr>
          <w:rFonts w:asciiTheme="minorEastAsia" w:eastAsiaTheme="minorEastAsia" w:hAnsiTheme="minorEastAsia" w:hint="eastAsia"/>
        </w:rPr>
        <w:t>50%（含50%）</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（4）上述第（3）项中</w:t>
      </w:r>
      <w:r w:rsidRPr="003307CA">
        <w:rPr>
          <w:rFonts w:asciiTheme="minorEastAsia" w:eastAsiaTheme="minorEastAsia" w:hAnsiTheme="minorEastAsia"/>
        </w:rPr>
        <w:t>直接出具书面意见的基金份额持有人或受托代表他人出具书面意见的代理人，同时提交的持有基金份额的凭证、受托</w:t>
      </w:r>
      <w:r w:rsidRPr="003307CA">
        <w:rPr>
          <w:rFonts w:asciiTheme="minorEastAsia" w:eastAsiaTheme="minorEastAsia" w:hAnsiTheme="minorEastAsia" w:hint="eastAsia"/>
        </w:rPr>
        <w:t>出具书面意见的代理人</w:t>
      </w:r>
      <w:r w:rsidRPr="003307CA">
        <w:rPr>
          <w:rFonts w:asciiTheme="minorEastAsia" w:eastAsiaTheme="minorEastAsia" w:hAnsiTheme="minorEastAsia"/>
        </w:rPr>
        <w:t>出具的委托人持有基金份额的凭证及委托人的代理投票授权委托书符合法律法规、《基金合同》和会议通知的规定</w:t>
      </w:r>
      <w:r w:rsidRPr="003307CA">
        <w:rPr>
          <w:rFonts w:asciiTheme="minorEastAsia" w:eastAsiaTheme="minorEastAsia" w:hAnsiTheme="minorEastAsia" w:hint="eastAsia"/>
        </w:rPr>
        <w:t>，并与基金登记注册机构记录相符，并且委托人出具的代理投票授权委托书符合法律法规、《基金合同》和会议通知的规定</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w:t>
      </w:r>
      <w:r w:rsidRPr="003307CA">
        <w:rPr>
          <w:rFonts w:asciiTheme="minorEastAsia" w:eastAsiaTheme="minorEastAsia" w:hAnsiTheme="minorEastAsia"/>
        </w:rPr>
        <w:t>会议通知公布前报中国证监会备案。</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（五）</w:t>
      </w:r>
      <w:r w:rsidRPr="003307CA">
        <w:rPr>
          <w:rFonts w:asciiTheme="minorEastAsia" w:eastAsiaTheme="minorEastAsia" w:hAnsiTheme="minorEastAsia" w:hint="eastAsia"/>
          <w:b/>
          <w:bCs/>
        </w:rPr>
        <w:tab/>
      </w:r>
      <w:r w:rsidRPr="003307CA">
        <w:rPr>
          <w:rFonts w:asciiTheme="minorEastAsia" w:eastAsiaTheme="minorEastAsia" w:hAnsiTheme="minorEastAsia"/>
          <w:b/>
          <w:bCs/>
        </w:rPr>
        <w:t>议事内容与程序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rPr>
        <w:t>议事内容及提案权</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议事内容为关系基金份额持有人利益的重大事项，如</w:t>
      </w:r>
      <w:r w:rsidRPr="003307CA">
        <w:rPr>
          <w:rFonts w:asciiTheme="minorEastAsia" w:eastAsiaTheme="minorEastAsia" w:hAnsiTheme="minorEastAsia" w:hint="eastAsia"/>
        </w:rPr>
        <w:t>《基金合同》的重大修改</w:t>
      </w:r>
      <w:r w:rsidRPr="003307CA">
        <w:rPr>
          <w:rFonts w:asciiTheme="minorEastAsia" w:eastAsiaTheme="minorEastAsia" w:hAnsiTheme="minorEastAsia"/>
        </w:rPr>
        <w:t>、决定终止</w:t>
      </w:r>
      <w:r w:rsidRPr="003307CA">
        <w:rPr>
          <w:rFonts w:asciiTheme="minorEastAsia" w:eastAsiaTheme="minorEastAsia" w:hAnsiTheme="minorEastAsia" w:hint="eastAsia"/>
        </w:rPr>
        <w:t>《</w:t>
      </w:r>
      <w:r w:rsidRPr="003307CA">
        <w:rPr>
          <w:rFonts w:asciiTheme="minorEastAsia" w:eastAsiaTheme="minorEastAsia" w:hAnsiTheme="minorEastAsia"/>
        </w:rPr>
        <w:t>基金</w:t>
      </w:r>
      <w:r w:rsidRPr="003307CA">
        <w:rPr>
          <w:rFonts w:asciiTheme="minorEastAsia" w:eastAsiaTheme="minorEastAsia" w:hAnsiTheme="minorEastAsia" w:hint="eastAsia"/>
        </w:rPr>
        <w:t>合同》</w:t>
      </w:r>
      <w:r w:rsidRPr="003307CA">
        <w:rPr>
          <w:rFonts w:asciiTheme="minorEastAsia" w:eastAsiaTheme="minorEastAsia" w:hAnsiTheme="minorEastAsia"/>
        </w:rPr>
        <w:t>、更换基金管理人、更换基金托管人、与其他基金合并</w:t>
      </w:r>
      <w:r w:rsidRPr="003307CA">
        <w:rPr>
          <w:rFonts w:asciiTheme="minorEastAsia" w:eastAsiaTheme="minorEastAsia" w:hAnsiTheme="minorEastAsia" w:hint="eastAsia"/>
        </w:rPr>
        <w:t>、法律法规及《基金合同》规定的其他事项</w:t>
      </w:r>
      <w:r w:rsidRPr="003307CA">
        <w:rPr>
          <w:rFonts w:asciiTheme="minorEastAsia" w:eastAsiaTheme="minorEastAsia" w:hAnsiTheme="minorEastAsia"/>
        </w:rPr>
        <w:t>以及</w:t>
      </w:r>
      <w:r w:rsidRPr="003307CA">
        <w:rPr>
          <w:rFonts w:asciiTheme="minorEastAsia" w:eastAsiaTheme="minorEastAsia" w:hAnsiTheme="minorEastAsia" w:hint="eastAsia"/>
        </w:rPr>
        <w:t>会议</w:t>
      </w:r>
      <w:r w:rsidRPr="003307CA">
        <w:rPr>
          <w:rFonts w:asciiTheme="minorEastAsia" w:eastAsiaTheme="minorEastAsia" w:hAnsiTheme="minorEastAsia"/>
        </w:rPr>
        <w:t>召集人认为需提交基金份额持有人大会讨论的其他事项。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基金管理人、基金托管人、单独或合并持有权</w:t>
      </w:r>
      <w:r w:rsidRPr="003307CA">
        <w:rPr>
          <w:rFonts w:asciiTheme="minorEastAsia" w:eastAsiaTheme="minorEastAsia" w:hAnsiTheme="minorEastAsia" w:hint="eastAsia"/>
        </w:rPr>
        <w:t>益</w:t>
      </w:r>
      <w:r w:rsidRPr="003307CA">
        <w:rPr>
          <w:rFonts w:asciiTheme="minorEastAsia" w:eastAsiaTheme="minorEastAsia" w:hAnsiTheme="minorEastAsia"/>
        </w:rPr>
        <w:t>登记日基金总份额10%</w:t>
      </w:r>
      <w:r w:rsidRPr="003307CA">
        <w:rPr>
          <w:rFonts w:asciiTheme="minorEastAsia" w:eastAsiaTheme="minorEastAsia" w:hAnsiTheme="minorEastAsia" w:hint="eastAsia"/>
        </w:rPr>
        <w:t>（含10%）</w:t>
      </w:r>
      <w:r w:rsidRPr="003307CA">
        <w:rPr>
          <w:rFonts w:asciiTheme="minorEastAsia" w:eastAsiaTheme="minorEastAsia" w:hAnsiTheme="minorEastAsia"/>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3307CA">
        <w:rPr>
          <w:rFonts w:asciiTheme="minorEastAsia" w:eastAsiaTheme="minorEastAsia" w:hAnsiTheme="minorEastAsia" w:hint="eastAsia"/>
        </w:rPr>
        <w:t>至少35</w:t>
      </w:r>
      <w:r w:rsidRPr="003307CA">
        <w:rPr>
          <w:rFonts w:asciiTheme="minorEastAsia" w:eastAsiaTheme="minorEastAsia" w:hAnsiTheme="minorEastAsia"/>
        </w:rPr>
        <w:t>天</w:t>
      </w:r>
      <w:r w:rsidRPr="003307CA">
        <w:rPr>
          <w:rFonts w:asciiTheme="minorEastAsia" w:eastAsiaTheme="minorEastAsia" w:hAnsiTheme="minorEastAsia" w:hint="eastAsia"/>
        </w:rPr>
        <w:t>前</w:t>
      </w:r>
      <w:r w:rsidRPr="003307CA">
        <w:rPr>
          <w:rFonts w:asciiTheme="minorEastAsia" w:eastAsiaTheme="minorEastAsia" w:hAnsiTheme="minorEastAsia"/>
        </w:rPr>
        <w:t>提交召集人</w:t>
      </w:r>
      <w:r w:rsidRPr="003307CA">
        <w:rPr>
          <w:rFonts w:asciiTheme="minorEastAsia" w:eastAsiaTheme="minorEastAsia" w:hAnsiTheme="minorEastAsia" w:hint="eastAsia"/>
        </w:rPr>
        <w:t>并由召集人公告</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基金份额持有人大会的召集人发出召集会议的通知后，对原有提案的修改应当在基金份额持有人大会召开日</w:t>
      </w:r>
      <w:r w:rsidRPr="003307CA">
        <w:rPr>
          <w:rFonts w:asciiTheme="minorEastAsia" w:eastAsiaTheme="minorEastAsia" w:hAnsiTheme="minorEastAsia" w:hint="eastAsia"/>
        </w:rPr>
        <w:t>30</w:t>
      </w:r>
      <w:r w:rsidRPr="003307CA">
        <w:rPr>
          <w:rFonts w:asciiTheme="minorEastAsia" w:eastAsiaTheme="minorEastAsia" w:hAnsiTheme="minorEastAsia"/>
        </w:rPr>
        <w:t>天</w:t>
      </w:r>
      <w:r w:rsidRPr="003307CA">
        <w:rPr>
          <w:rFonts w:asciiTheme="minorEastAsia" w:eastAsiaTheme="minorEastAsia" w:hAnsiTheme="minorEastAsia" w:hint="eastAsia"/>
        </w:rPr>
        <w:t>前</w:t>
      </w:r>
      <w:r w:rsidRPr="003307CA">
        <w:rPr>
          <w:rFonts w:asciiTheme="minorEastAsia" w:eastAsiaTheme="minorEastAsia" w:hAnsiTheme="minorEastAsia"/>
        </w:rPr>
        <w:t>公告。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基金份额持有人大会不得对未事先公告的议事内容进行表决。</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召集人对于基金管理人</w:t>
      </w:r>
      <w:r w:rsidRPr="003307CA">
        <w:rPr>
          <w:rFonts w:asciiTheme="minorEastAsia" w:eastAsiaTheme="minorEastAsia" w:hAnsiTheme="minorEastAsia" w:hint="eastAsia"/>
        </w:rPr>
        <w:t>、</w:t>
      </w:r>
      <w:r w:rsidRPr="003307CA">
        <w:rPr>
          <w:rFonts w:asciiTheme="minorEastAsia" w:eastAsiaTheme="minorEastAsia" w:hAnsiTheme="minorEastAsia"/>
        </w:rPr>
        <w:t>基金托管人和</w:t>
      </w:r>
      <w:r w:rsidRPr="003307CA">
        <w:rPr>
          <w:rFonts w:asciiTheme="minorEastAsia" w:eastAsiaTheme="minorEastAsia" w:hAnsiTheme="minorEastAsia" w:hint="eastAsia"/>
        </w:rPr>
        <w:t>基金份额持有人</w:t>
      </w:r>
      <w:r w:rsidRPr="003307CA">
        <w:rPr>
          <w:rFonts w:asciiTheme="minorEastAsia" w:eastAsiaTheme="minorEastAsia" w:hAnsiTheme="minorEastAsia"/>
        </w:rPr>
        <w:t>提交的临时提案</w:t>
      </w:r>
      <w:r w:rsidRPr="003307CA">
        <w:rPr>
          <w:rFonts w:asciiTheme="minorEastAsia" w:eastAsiaTheme="minorEastAsia" w:hAnsiTheme="minorEastAsia" w:hint="eastAsia"/>
        </w:rPr>
        <w:t>进行审核，符合条件的</w:t>
      </w:r>
      <w:r w:rsidRPr="003307CA">
        <w:rPr>
          <w:rFonts w:asciiTheme="minorEastAsia" w:eastAsiaTheme="minorEastAsia" w:hAnsiTheme="minorEastAsia"/>
        </w:rPr>
        <w:t>应当在大会召开日</w:t>
      </w:r>
      <w:r w:rsidRPr="003307CA">
        <w:rPr>
          <w:rFonts w:asciiTheme="minorEastAsia" w:eastAsiaTheme="minorEastAsia" w:hAnsiTheme="minorEastAsia" w:hint="eastAsia"/>
        </w:rPr>
        <w:t>30</w:t>
      </w:r>
      <w:r w:rsidRPr="003307CA">
        <w:rPr>
          <w:rFonts w:asciiTheme="minorEastAsia" w:eastAsiaTheme="minorEastAsia" w:hAnsiTheme="minorEastAsia"/>
        </w:rPr>
        <w:t>天前公告。大会召集人应当按照以下原则对提案进行审核：</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rPr>
        <w:t>关联性。大会召集人对于提案涉及事项与基金有直接关系，并且不超出法律法规和</w:t>
      </w:r>
      <w:r w:rsidRPr="003307CA">
        <w:rPr>
          <w:rFonts w:asciiTheme="minorEastAsia" w:eastAsiaTheme="minorEastAsia" w:hAnsiTheme="minorEastAsia" w:hint="eastAsia"/>
        </w:rPr>
        <w:t>《基金合同》</w:t>
      </w:r>
      <w:r w:rsidRPr="003307CA">
        <w:rPr>
          <w:rFonts w:asciiTheme="minorEastAsia" w:eastAsiaTheme="minorEastAsia" w:hAnsiTheme="minorEastAsia"/>
        </w:rPr>
        <w:t>规定的基金份额持有人大会职权范围的，应提交大会审议；对于不符合上述</w:t>
      </w:r>
      <w:r w:rsidRPr="003307CA">
        <w:rPr>
          <w:rFonts w:asciiTheme="minorEastAsia" w:eastAsiaTheme="minorEastAsia" w:hAnsiTheme="minorEastAsia"/>
        </w:rPr>
        <w:lastRenderedPageBreak/>
        <w:t>要求的，不提交基金份额持有人大会审议。如果召集人决定不将基金份额持有人提案提交大会表决，应当在该次基金份额持有人大会上进行解释和说明。</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rPr>
        <w:t>程序性。大会召集人可以对提案涉及的程序性问题</w:t>
      </w:r>
      <w:r w:rsidRPr="003307CA">
        <w:rPr>
          <w:rFonts w:asciiTheme="minorEastAsia" w:eastAsiaTheme="minorEastAsia" w:hAnsiTheme="minorEastAsia" w:hint="eastAsia"/>
        </w:rPr>
        <w:t>做</w:t>
      </w:r>
      <w:r w:rsidRPr="003307CA">
        <w:rPr>
          <w:rFonts w:asciiTheme="minorEastAsia" w:eastAsiaTheme="minorEastAsia" w:hAnsiTheme="minorEastAsia"/>
        </w:rPr>
        <w:t>出决定。如将提案进行分拆或合并表决，需征得原提案人同意；原提案人不同意变更的，大会主持人可以就程序性问题提请基金份额持有人大会</w:t>
      </w:r>
      <w:r w:rsidRPr="003307CA">
        <w:rPr>
          <w:rFonts w:asciiTheme="minorEastAsia" w:eastAsiaTheme="minorEastAsia" w:hAnsiTheme="minorEastAsia" w:hint="eastAsia"/>
        </w:rPr>
        <w:t>做</w:t>
      </w:r>
      <w:r w:rsidRPr="003307CA">
        <w:rPr>
          <w:rFonts w:asciiTheme="minorEastAsia" w:eastAsiaTheme="minorEastAsia" w:hAnsiTheme="minorEastAsia"/>
        </w:rPr>
        <w:t>出决定，并按照基金份额持有人大会决定的程序进行审议。</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rPr>
        <w:t>议事程序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rPr>
        <w:t>现场开会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在现场开会的方式下，首先由大会主持人按照下列第七</w:t>
      </w:r>
      <w:r w:rsidRPr="003307CA">
        <w:rPr>
          <w:rFonts w:asciiTheme="minorEastAsia" w:eastAsiaTheme="minorEastAsia" w:hAnsiTheme="minorEastAsia" w:hint="eastAsia"/>
        </w:rPr>
        <w:t>条</w:t>
      </w:r>
      <w:r w:rsidRPr="003307CA">
        <w:rPr>
          <w:rFonts w:asciiTheme="minorEastAsia" w:eastAsiaTheme="minorEastAsia" w:hAnsiTheme="minorEastAsia"/>
        </w:rPr>
        <w:t>规定程序确定和公布监票人，然后由大会主持人宣读提案，经讨论后进行表决，并形成大会决议。大会主持人为基金管理人授权出席会议的代表，在基金管理人</w:t>
      </w:r>
      <w:r w:rsidRPr="003307CA">
        <w:rPr>
          <w:rFonts w:asciiTheme="minorEastAsia" w:eastAsiaTheme="minorEastAsia" w:hAnsiTheme="minorEastAsia" w:hint="eastAsia"/>
        </w:rPr>
        <w:t>授权代表</w:t>
      </w:r>
      <w:r w:rsidRPr="003307CA">
        <w:rPr>
          <w:rFonts w:asciiTheme="minorEastAsia" w:eastAsiaTheme="minorEastAsia" w:hAnsiTheme="minorEastAsia"/>
        </w:rPr>
        <w:t>未能主持大会的情况下，由基金托管人授权其出席会议的代表主持；如果基金管理人</w:t>
      </w:r>
      <w:r w:rsidRPr="003307CA">
        <w:rPr>
          <w:rFonts w:asciiTheme="minorEastAsia" w:eastAsiaTheme="minorEastAsia" w:hAnsiTheme="minorEastAsia" w:hint="eastAsia"/>
        </w:rPr>
        <w:t>授权代表</w:t>
      </w:r>
      <w:r w:rsidRPr="003307CA">
        <w:rPr>
          <w:rFonts w:asciiTheme="minorEastAsia" w:eastAsiaTheme="minorEastAsia" w:hAnsiTheme="minorEastAsia"/>
        </w:rPr>
        <w:t>和基金托管人</w:t>
      </w:r>
      <w:r w:rsidRPr="003307CA">
        <w:rPr>
          <w:rFonts w:asciiTheme="minorEastAsia" w:eastAsiaTheme="minorEastAsia" w:hAnsiTheme="minorEastAsia" w:hint="eastAsia"/>
        </w:rPr>
        <w:t>授权代表</w:t>
      </w:r>
      <w:r w:rsidRPr="003307CA">
        <w:rPr>
          <w:rFonts w:asciiTheme="minorEastAsia" w:eastAsiaTheme="minorEastAsia" w:hAnsiTheme="minorEastAsia"/>
        </w:rPr>
        <w:t>均未能主持大会，则由出席大会的基金份额持有人</w:t>
      </w:r>
      <w:r w:rsidRPr="003307CA">
        <w:rPr>
          <w:rFonts w:asciiTheme="minorEastAsia" w:eastAsiaTheme="minorEastAsia" w:hAnsiTheme="minorEastAsia" w:hint="eastAsia"/>
        </w:rPr>
        <w:t>所持表决权的</w:t>
      </w:r>
      <w:r w:rsidRPr="003307CA">
        <w:rPr>
          <w:rFonts w:asciiTheme="minorEastAsia" w:eastAsiaTheme="minorEastAsia" w:hAnsiTheme="minorEastAsia"/>
        </w:rPr>
        <w:t>50%以上（含50%）</w:t>
      </w:r>
      <w:r w:rsidRPr="003307CA">
        <w:rPr>
          <w:rFonts w:asciiTheme="minorEastAsia" w:eastAsiaTheme="minorEastAsia" w:hAnsiTheme="minorEastAsia" w:hint="eastAsia"/>
        </w:rPr>
        <w:t>选举</w:t>
      </w:r>
      <w:r w:rsidRPr="003307CA">
        <w:rPr>
          <w:rFonts w:asciiTheme="minorEastAsia" w:eastAsiaTheme="minorEastAsia" w:hAnsiTheme="minorEastAsia"/>
        </w:rPr>
        <w:t>产生一名基金份额持有人作为该次基金份额持有人大会的主持人。</w:t>
      </w:r>
      <w:r w:rsidRPr="003307CA">
        <w:rPr>
          <w:rFonts w:asciiTheme="minorEastAsia" w:eastAsiaTheme="minorEastAsia" w:hAnsiTheme="minorEastAsia" w:hint="eastAsia"/>
        </w:rPr>
        <w:t>基金管理人和基金托管人不出席或主持基金份额持有人大会，不影响基金份额持有人大会作出的决议的效力。</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会议</w:t>
      </w:r>
      <w:r w:rsidRPr="003307CA">
        <w:rPr>
          <w:rFonts w:asciiTheme="minorEastAsia" w:eastAsiaTheme="minorEastAsia" w:hAnsiTheme="minorEastAsia"/>
        </w:rPr>
        <w:t>召集人应当制作出席会议人员的签名册。签名册载明参加会议人员姓名（或单位名称）、身份证号码、住所地址、持有或代表有表决权的基金份额、委托人姓名（或单位名称）等事项。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rPr>
        <w:t>通讯开会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在通讯开会的情况下，</w:t>
      </w:r>
      <w:r w:rsidRPr="003307CA">
        <w:rPr>
          <w:rFonts w:asciiTheme="minorEastAsia" w:eastAsiaTheme="minorEastAsia" w:hAnsiTheme="minorEastAsia" w:hint="eastAsia"/>
        </w:rPr>
        <w:t>首先由召集人提前30日公布提案</w:t>
      </w:r>
      <w:r w:rsidRPr="003307CA">
        <w:rPr>
          <w:rFonts w:asciiTheme="minorEastAsia" w:eastAsiaTheme="minorEastAsia" w:hAnsiTheme="minorEastAsia"/>
        </w:rPr>
        <w:t>，在所通知的表决截止日期</w:t>
      </w:r>
      <w:r w:rsidRPr="003307CA">
        <w:rPr>
          <w:rFonts w:asciiTheme="minorEastAsia" w:eastAsiaTheme="minorEastAsia" w:hAnsiTheme="minorEastAsia" w:hint="eastAsia"/>
        </w:rPr>
        <w:t>后2个工作日内在公证机关监督下由召集人统计全部有效表决</w:t>
      </w:r>
      <w:r w:rsidRPr="003307CA">
        <w:rPr>
          <w:rFonts w:asciiTheme="minorEastAsia" w:eastAsiaTheme="minorEastAsia" w:hAnsiTheme="minorEastAsia"/>
        </w:rPr>
        <w:t>，在公证</w:t>
      </w:r>
      <w:r w:rsidRPr="003307CA">
        <w:rPr>
          <w:rFonts w:asciiTheme="minorEastAsia" w:eastAsiaTheme="minorEastAsia" w:hAnsiTheme="minorEastAsia" w:hint="eastAsia"/>
        </w:rPr>
        <w:t>机关</w:t>
      </w:r>
      <w:r w:rsidRPr="003307CA">
        <w:rPr>
          <w:rFonts w:asciiTheme="minorEastAsia" w:eastAsiaTheme="minorEastAsia" w:hAnsiTheme="minorEastAsia"/>
        </w:rPr>
        <w:t>监督下形成决议。</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（六）</w:t>
      </w:r>
      <w:r w:rsidRPr="003307CA">
        <w:rPr>
          <w:rFonts w:asciiTheme="minorEastAsia" w:eastAsiaTheme="minorEastAsia" w:hAnsiTheme="minorEastAsia" w:hint="eastAsia"/>
          <w:b/>
          <w:bCs/>
        </w:rPr>
        <w:tab/>
      </w:r>
      <w:r w:rsidRPr="003307CA">
        <w:rPr>
          <w:rFonts w:asciiTheme="minorEastAsia" w:eastAsiaTheme="minorEastAsia" w:hAnsiTheme="minorEastAsia"/>
          <w:b/>
          <w:bCs/>
        </w:rPr>
        <w:t>表决</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基金份额持有人所持每份基金份额有一票表决权。</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基金份额持有人大会决议分为一般决议和特别决议：</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rPr>
        <w:t>一般决议，一般决议须经参加大会的基金份额持有人</w:t>
      </w:r>
      <w:r w:rsidRPr="003307CA">
        <w:rPr>
          <w:rFonts w:asciiTheme="minorEastAsia" w:eastAsiaTheme="minorEastAsia" w:hAnsiTheme="minorEastAsia" w:hint="eastAsia"/>
        </w:rPr>
        <w:t>或其代理人</w:t>
      </w:r>
      <w:r w:rsidRPr="003307CA">
        <w:rPr>
          <w:rFonts w:asciiTheme="minorEastAsia" w:eastAsiaTheme="minorEastAsia" w:hAnsiTheme="minorEastAsia"/>
        </w:rPr>
        <w:t>所持表决权的</w:t>
      </w:r>
      <w:r w:rsidRPr="003307CA">
        <w:rPr>
          <w:rFonts w:asciiTheme="minorEastAsia" w:eastAsiaTheme="minorEastAsia" w:hAnsiTheme="minorEastAsia" w:hint="eastAsia"/>
        </w:rPr>
        <w:t>50%</w:t>
      </w:r>
      <w:r w:rsidRPr="003307CA">
        <w:rPr>
          <w:rFonts w:asciiTheme="minorEastAsia" w:eastAsiaTheme="minorEastAsia" w:hAnsiTheme="minorEastAsia"/>
        </w:rPr>
        <w:t>以上（含</w:t>
      </w:r>
      <w:r w:rsidRPr="003307CA">
        <w:rPr>
          <w:rFonts w:asciiTheme="minorEastAsia" w:eastAsiaTheme="minorEastAsia" w:hAnsiTheme="minorEastAsia" w:hint="eastAsia"/>
        </w:rPr>
        <w:t>50%</w:t>
      </w:r>
      <w:r w:rsidRPr="003307CA">
        <w:rPr>
          <w:rFonts w:asciiTheme="minorEastAsia" w:eastAsiaTheme="minorEastAsia" w:hAnsiTheme="minorEastAsia"/>
        </w:rPr>
        <w:t>）通过方为有效；除下列</w:t>
      </w:r>
      <w:r w:rsidRPr="003307CA">
        <w:rPr>
          <w:rFonts w:asciiTheme="minorEastAsia" w:eastAsiaTheme="minorEastAsia" w:hAnsiTheme="minorEastAsia" w:hint="eastAsia"/>
        </w:rPr>
        <w:t>第2项</w:t>
      </w:r>
      <w:r w:rsidRPr="003307CA">
        <w:rPr>
          <w:rFonts w:asciiTheme="minorEastAsia" w:eastAsiaTheme="minorEastAsia" w:hAnsiTheme="minorEastAsia"/>
        </w:rPr>
        <w:t>所规定的须以特别决议通过事项以外的其他事项均以一般决议的方式通过。</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rPr>
        <w:t>特别决议，特别决议应当经参加大会的基金份额持有人</w:t>
      </w:r>
      <w:r w:rsidRPr="003307CA">
        <w:rPr>
          <w:rFonts w:asciiTheme="minorEastAsia" w:eastAsiaTheme="minorEastAsia" w:hAnsiTheme="minorEastAsia" w:hint="eastAsia"/>
        </w:rPr>
        <w:t>或其代理人</w:t>
      </w:r>
      <w:r w:rsidRPr="003307CA">
        <w:rPr>
          <w:rFonts w:asciiTheme="minorEastAsia" w:eastAsiaTheme="minorEastAsia" w:hAnsiTheme="minorEastAsia"/>
        </w:rPr>
        <w:t>所持表决权的三</w:t>
      </w:r>
      <w:r w:rsidRPr="003307CA">
        <w:rPr>
          <w:rFonts w:asciiTheme="minorEastAsia" w:eastAsiaTheme="minorEastAsia" w:hAnsiTheme="minorEastAsia"/>
        </w:rPr>
        <w:lastRenderedPageBreak/>
        <w:t>分之二</w:t>
      </w:r>
      <w:r w:rsidRPr="003307CA">
        <w:rPr>
          <w:rFonts w:asciiTheme="minorEastAsia" w:eastAsiaTheme="minorEastAsia" w:hAnsiTheme="minorEastAsia" w:hint="eastAsia"/>
        </w:rPr>
        <w:t>以上（含</w:t>
      </w:r>
      <w:r w:rsidRPr="003307CA">
        <w:rPr>
          <w:rFonts w:asciiTheme="minorEastAsia" w:eastAsiaTheme="minorEastAsia" w:hAnsiTheme="minorEastAsia"/>
        </w:rPr>
        <w:t>三分之二</w:t>
      </w:r>
      <w:r w:rsidRPr="003307CA">
        <w:rPr>
          <w:rFonts w:asciiTheme="minorEastAsia" w:eastAsiaTheme="minorEastAsia" w:hAnsiTheme="minorEastAsia" w:hint="eastAsia"/>
        </w:rPr>
        <w:t>）</w:t>
      </w:r>
      <w:r w:rsidRPr="003307CA">
        <w:rPr>
          <w:rFonts w:asciiTheme="minorEastAsia" w:eastAsiaTheme="minorEastAsia" w:hAnsiTheme="minorEastAsia"/>
        </w:rPr>
        <w:t>通过方可</w:t>
      </w:r>
      <w:r w:rsidRPr="003307CA">
        <w:rPr>
          <w:rFonts w:asciiTheme="minorEastAsia" w:eastAsiaTheme="minorEastAsia" w:hAnsiTheme="minorEastAsia" w:hint="eastAsia"/>
        </w:rPr>
        <w:t>做</w:t>
      </w:r>
      <w:r w:rsidRPr="003307CA">
        <w:rPr>
          <w:rFonts w:asciiTheme="minorEastAsia" w:eastAsiaTheme="minorEastAsia" w:hAnsiTheme="minorEastAsia"/>
        </w:rPr>
        <w:t>出。转换基金运作方式、更换基金管理人或者基金托管人、终止</w:t>
      </w:r>
      <w:r w:rsidRPr="003307CA">
        <w:rPr>
          <w:rFonts w:asciiTheme="minorEastAsia" w:eastAsiaTheme="minorEastAsia" w:hAnsiTheme="minorEastAsia" w:hint="eastAsia"/>
        </w:rPr>
        <w:t>《</w:t>
      </w:r>
      <w:r w:rsidRPr="003307CA">
        <w:rPr>
          <w:rFonts w:asciiTheme="minorEastAsia" w:eastAsiaTheme="minorEastAsia" w:hAnsiTheme="minorEastAsia"/>
        </w:rPr>
        <w:t>基金合同</w:t>
      </w:r>
      <w:r w:rsidRPr="003307CA">
        <w:rPr>
          <w:rFonts w:asciiTheme="minorEastAsia" w:eastAsiaTheme="minorEastAsia" w:hAnsiTheme="minorEastAsia" w:hint="eastAsia"/>
        </w:rPr>
        <w:t>》</w:t>
      </w:r>
      <w:r w:rsidRPr="003307CA">
        <w:rPr>
          <w:rFonts w:asciiTheme="minorEastAsia" w:eastAsiaTheme="minorEastAsia" w:hAnsiTheme="minorEastAsia"/>
        </w:rPr>
        <w:t>以特别决议通过方为有效。</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基金份额持有人大会采取记名方式进行投票表决。</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采取通讯方式进行表决时，</w:t>
      </w:r>
      <w:r w:rsidRPr="003307CA">
        <w:rPr>
          <w:rFonts w:asciiTheme="minorEastAsia" w:eastAsiaTheme="minorEastAsia" w:hAnsiTheme="minorEastAsia" w:hint="eastAsia"/>
        </w:rPr>
        <w:t>除非在计票时有充分的相反证据证明，提交符合会议通知中规定的确认投资者身份文件的表决视为有效出席的投资者，</w:t>
      </w:r>
      <w:r w:rsidRPr="003307CA">
        <w:rPr>
          <w:rFonts w:asciiTheme="minorEastAsia" w:eastAsiaTheme="minorEastAsia" w:hAnsiTheme="minorEastAsia"/>
        </w:rPr>
        <w:t>符合会议通知规定的书面表决意见视为有效表决</w:t>
      </w:r>
      <w:r w:rsidRPr="003307CA">
        <w:rPr>
          <w:rFonts w:asciiTheme="minorEastAsia" w:eastAsiaTheme="minorEastAsia" w:hAnsiTheme="minorEastAsia" w:hint="eastAsia"/>
        </w:rPr>
        <w:t>，表决意见模糊不清或相互矛盾的视为弃权表决，但应当计入出具书面意见的基金份额持有人所代表的基金份额总数。</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基金份额持有人大会的各项提案或同一项提案内并列的各项议题应当分开审议、逐项表决。</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（七）</w:t>
      </w:r>
      <w:r w:rsidRPr="003307CA">
        <w:rPr>
          <w:rFonts w:asciiTheme="minorEastAsia" w:eastAsiaTheme="minorEastAsia" w:hAnsiTheme="minorEastAsia"/>
          <w:b/>
          <w:bCs/>
        </w:rPr>
        <w:t>计票</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rPr>
        <w:t>现场开会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Pr="003307CA">
        <w:rPr>
          <w:rFonts w:asciiTheme="minorEastAsia" w:eastAsiaTheme="minorEastAsia" w:hAnsiTheme="minorEastAsia"/>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3307CA">
        <w:rPr>
          <w:rFonts w:asciiTheme="minorEastAsia" w:eastAsiaTheme="minorEastAsia" w:hAnsiTheme="minorEastAsia" w:hint="eastAsia"/>
        </w:rPr>
        <w:t>或大会虽然由基金管理人或基金托管人召集，但是基金管理人或基金托管人未出席大会的</w:t>
      </w:r>
      <w:r w:rsidRPr="003307CA">
        <w:rPr>
          <w:rFonts w:asciiTheme="minorEastAsia" w:eastAsiaTheme="minorEastAsia" w:hAnsiTheme="minorEastAsia"/>
        </w:rPr>
        <w:t>，基金份额持有人大会的主持人应当在会议开始后宣布在出席会议的基金份额持有人中选举三名基金份额持有人代表担任监票人。</w:t>
      </w:r>
      <w:r w:rsidRPr="003307CA">
        <w:rPr>
          <w:rFonts w:asciiTheme="minorEastAsia" w:eastAsiaTheme="minorEastAsia" w:hAnsiTheme="minorEastAsia" w:hint="eastAsia"/>
        </w:rPr>
        <w:t>基金管理人或基金托管人不出席大会的，不影响计票的效力。</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rPr>
        <w:t>监票人应当在基金份额持有人表决后立即进行清点并由大会主持人当场公布计票结果。</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Pr="003307CA">
        <w:rPr>
          <w:rFonts w:asciiTheme="minorEastAsia" w:eastAsiaTheme="minorEastAsia" w:hAnsiTheme="minorEastAsia"/>
        </w:rPr>
        <w:t>如果会议主持人</w:t>
      </w:r>
      <w:r w:rsidRPr="003307CA">
        <w:rPr>
          <w:rFonts w:asciiTheme="minorEastAsia" w:eastAsiaTheme="minorEastAsia" w:hAnsiTheme="minorEastAsia" w:hint="eastAsia"/>
        </w:rPr>
        <w:t>或</w:t>
      </w:r>
      <w:r w:rsidRPr="003307CA">
        <w:rPr>
          <w:rFonts w:asciiTheme="minorEastAsia" w:eastAsiaTheme="minorEastAsia" w:hAnsiTheme="minorEastAsia"/>
        </w:rPr>
        <w:t>基金份额持有人对于提交的表决结果有怀疑，可以在宣布表决结果后立即对所投票数</w:t>
      </w:r>
      <w:r w:rsidRPr="003307CA">
        <w:rPr>
          <w:rFonts w:asciiTheme="minorEastAsia" w:eastAsiaTheme="minorEastAsia" w:hAnsiTheme="minorEastAsia" w:hint="eastAsia"/>
        </w:rPr>
        <w:t>要求</w:t>
      </w:r>
      <w:r w:rsidRPr="003307CA">
        <w:rPr>
          <w:rFonts w:asciiTheme="minorEastAsia" w:eastAsiaTheme="minorEastAsia" w:hAnsiTheme="minorEastAsia"/>
        </w:rPr>
        <w:t>进行重新清点</w:t>
      </w:r>
      <w:r w:rsidRPr="003307CA">
        <w:rPr>
          <w:rFonts w:asciiTheme="minorEastAsia" w:eastAsiaTheme="minorEastAsia" w:hAnsiTheme="minorEastAsia" w:hint="eastAsia"/>
        </w:rPr>
        <w:t>。监票人应当进行重新清点，重新清点以一次为限。重新清点后，大会主持人应当当场公布重新清点结果。</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（4）计票过程应由公证机关予以公证,基金管理人或基金托管人拒不出席大会的，不影响计票的效力。</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rPr>
        <w:t>通讯开会</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在通讯开会的情况下，计票方式为：由大会召集人授权的两名监督员在基金托管人授权代表</w:t>
      </w:r>
      <w:r w:rsidRPr="003307CA">
        <w:rPr>
          <w:rFonts w:asciiTheme="minorEastAsia" w:eastAsiaTheme="minorEastAsia" w:hAnsiTheme="minorEastAsia" w:hint="eastAsia"/>
        </w:rPr>
        <w:t>（若由基金托管人召集，则为基金管理人</w:t>
      </w:r>
      <w:r w:rsidRPr="003307CA">
        <w:rPr>
          <w:rFonts w:asciiTheme="minorEastAsia" w:eastAsiaTheme="minorEastAsia" w:hAnsiTheme="minorEastAsia"/>
        </w:rPr>
        <w:t>授权代表</w:t>
      </w:r>
      <w:r w:rsidRPr="003307CA">
        <w:rPr>
          <w:rFonts w:asciiTheme="minorEastAsia" w:eastAsiaTheme="minorEastAsia" w:hAnsiTheme="minorEastAsia" w:hint="eastAsia"/>
        </w:rPr>
        <w:t>）</w:t>
      </w:r>
      <w:r w:rsidRPr="003307CA">
        <w:rPr>
          <w:rFonts w:asciiTheme="minorEastAsia" w:eastAsiaTheme="minorEastAsia" w:hAnsiTheme="minorEastAsia"/>
        </w:rPr>
        <w:t>的监督下进行计票，并由公证机关对其计票过程予以公证。</w:t>
      </w:r>
      <w:r w:rsidRPr="003307CA">
        <w:rPr>
          <w:rFonts w:asciiTheme="minorEastAsia" w:eastAsiaTheme="minorEastAsia" w:hAnsiTheme="minorEastAsia" w:hint="eastAsia"/>
        </w:rPr>
        <w:t>基金管理人或基金托管人拒派代表对书面表决意见的计票进行监督的，不影响计票和表决结果。</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（八）</w:t>
      </w:r>
      <w:r w:rsidRPr="003307CA">
        <w:rPr>
          <w:rFonts w:asciiTheme="minorEastAsia" w:eastAsiaTheme="minorEastAsia" w:hAnsiTheme="minorEastAsia" w:hint="eastAsia"/>
          <w:b/>
          <w:bCs/>
        </w:rPr>
        <w:tab/>
      </w:r>
      <w:r w:rsidRPr="003307CA">
        <w:rPr>
          <w:rFonts w:asciiTheme="minorEastAsia" w:eastAsiaTheme="minorEastAsia" w:hAnsiTheme="minorEastAsia"/>
          <w:b/>
          <w:bCs/>
        </w:rPr>
        <w:t>生效与公告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基金份额持有人大会的决议，召集人应当自通过之日起5日内报中国证监会核准或者备案。</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基金份额持有人大会决定的事项自中国证监会依法核准或者出具无异议意见之日起生效。</w:t>
      </w:r>
    </w:p>
    <w:p w:rsidR="00785666" w:rsidRPr="003307CA" w:rsidRDefault="00161615"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lastRenderedPageBreak/>
        <w:t>基金份额持有人大会决议自生效之日起</w:t>
      </w:r>
      <w:r w:rsidRPr="003307CA">
        <w:rPr>
          <w:rFonts w:asciiTheme="minorEastAsia" w:eastAsiaTheme="minorEastAsia" w:hAnsiTheme="minorEastAsia" w:hint="eastAsia"/>
        </w:rPr>
        <w:t>2</w:t>
      </w:r>
      <w:r w:rsidRPr="003307CA">
        <w:rPr>
          <w:rFonts w:asciiTheme="minorEastAsia" w:eastAsiaTheme="minorEastAsia" w:hAnsiTheme="minorEastAsia"/>
        </w:rPr>
        <w:t>日内在指定</w:t>
      </w:r>
      <w:r w:rsidRPr="003307CA">
        <w:rPr>
          <w:rFonts w:asciiTheme="minorEastAsia" w:eastAsiaTheme="minorEastAsia" w:hAnsiTheme="minorEastAsia" w:hint="eastAsia"/>
        </w:rPr>
        <w:t>媒介</w:t>
      </w:r>
      <w:r w:rsidRPr="003307CA">
        <w:rPr>
          <w:rFonts w:asciiTheme="minorEastAsia" w:eastAsiaTheme="minorEastAsia" w:hAnsiTheme="minorEastAsia"/>
        </w:rPr>
        <w:t>公告。</w:t>
      </w:r>
      <w:r w:rsidR="00785666" w:rsidRPr="003307CA">
        <w:rPr>
          <w:rFonts w:asciiTheme="minorEastAsia" w:eastAsiaTheme="minorEastAsia" w:hAnsiTheme="minorEastAsia" w:hint="eastAsia"/>
        </w:rPr>
        <w:t>如果采用通讯方式进行表决，在公告基金份额持有人大会决议时，必须将公证书全文、公证机构、公证员姓名等一同公告。</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基金管理人、基金托管人和基金份额持有人应当执行生效的基金份额持有人大会的决议。</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基金份额持有人大会决议对全体基金份额持有人、基金管理人、基金托管人均有约束力。</w:t>
      </w:r>
    </w:p>
    <w:p w:rsidR="00785666" w:rsidRPr="003307CA" w:rsidRDefault="00785666" w:rsidP="004D1E0F">
      <w:pPr>
        <w:snapToGrid w:val="0"/>
        <w:spacing w:line="360" w:lineRule="auto"/>
        <w:ind w:firstLineChars="200" w:firstLine="422"/>
        <w:rPr>
          <w:rFonts w:asciiTheme="minorEastAsia" w:eastAsiaTheme="minorEastAsia" w:hAnsiTheme="minorEastAsia"/>
          <w:b/>
        </w:rPr>
      </w:pPr>
      <w:r w:rsidRPr="003307CA">
        <w:rPr>
          <w:rFonts w:asciiTheme="minorEastAsia" w:eastAsiaTheme="minorEastAsia" w:hAnsiTheme="minorEastAsia"/>
          <w:b/>
        </w:rPr>
        <w:t>三</w:t>
      </w:r>
      <w:r w:rsidRPr="003307CA">
        <w:rPr>
          <w:rFonts w:asciiTheme="minorEastAsia" w:eastAsiaTheme="minorEastAsia" w:hAnsiTheme="minorEastAsia" w:hint="eastAsia"/>
          <w:b/>
        </w:rPr>
        <w:t>、</w:t>
      </w:r>
      <w:r w:rsidRPr="003307CA">
        <w:rPr>
          <w:rFonts w:asciiTheme="minorEastAsia" w:eastAsiaTheme="minorEastAsia" w:hAnsiTheme="minorEastAsia"/>
          <w:b/>
        </w:rPr>
        <w:t>基金合同解除和终止的事由、程序</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（一）</w:t>
      </w:r>
      <w:r w:rsidRPr="003307CA">
        <w:rPr>
          <w:rFonts w:asciiTheme="minorEastAsia" w:eastAsiaTheme="minorEastAsia" w:hAnsiTheme="minorEastAsia" w:hint="eastAsia"/>
          <w:b/>
          <w:bCs/>
        </w:rPr>
        <w:tab/>
        <w:t>《基金合同》的变更</w:t>
      </w:r>
    </w:p>
    <w:p w:rsidR="00785666" w:rsidRPr="003307CA" w:rsidRDefault="00785666" w:rsidP="00CE3F81">
      <w:pPr>
        <w:autoSpaceDE w:val="0"/>
        <w:autoSpaceDN w:val="0"/>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以下变更《基金合同》的事项应经基金份额持有人大会决议通过：</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rPr>
        <w:t>（1）</w:t>
      </w:r>
      <w:r w:rsidRPr="003307CA">
        <w:rPr>
          <w:rFonts w:asciiTheme="minorEastAsia" w:eastAsiaTheme="minorEastAsia" w:hAnsiTheme="minorEastAsia" w:hint="eastAsia"/>
          <w:szCs w:val="21"/>
        </w:rPr>
        <w:t>终止《基金合同》；</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Pr="003307CA">
        <w:rPr>
          <w:rFonts w:asciiTheme="minorEastAsia" w:eastAsiaTheme="minorEastAsia" w:hAnsiTheme="minorEastAsia"/>
        </w:rPr>
        <w:t>更换基金管理人；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w:t>
      </w:r>
      <w:r w:rsidRPr="003307CA">
        <w:rPr>
          <w:rFonts w:asciiTheme="minorEastAsia" w:eastAsiaTheme="minorEastAsia" w:hAnsiTheme="minorEastAsia" w:hint="eastAsia"/>
        </w:rPr>
        <w:t>3</w:t>
      </w:r>
      <w:r w:rsidRPr="003307CA">
        <w:rPr>
          <w:rFonts w:asciiTheme="minorEastAsia" w:eastAsiaTheme="minorEastAsia" w:hAnsiTheme="minorEastAsia"/>
        </w:rPr>
        <w:t>）更换基金托管人；</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w:t>
      </w:r>
      <w:r w:rsidRPr="003307CA">
        <w:rPr>
          <w:rFonts w:asciiTheme="minorEastAsia" w:eastAsiaTheme="minorEastAsia" w:hAnsiTheme="minorEastAsia" w:hint="eastAsia"/>
        </w:rPr>
        <w:t>4</w:t>
      </w:r>
      <w:r w:rsidRPr="003307CA">
        <w:rPr>
          <w:rFonts w:asciiTheme="minorEastAsia" w:eastAsiaTheme="minorEastAsia" w:hAnsiTheme="minorEastAsia"/>
        </w:rPr>
        <w:t>）转换基金运作方式；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w:t>
      </w:r>
      <w:r w:rsidRPr="003307CA">
        <w:rPr>
          <w:rFonts w:asciiTheme="minorEastAsia" w:eastAsiaTheme="minorEastAsia" w:hAnsiTheme="minorEastAsia" w:hint="eastAsia"/>
        </w:rPr>
        <w:t>5</w:t>
      </w:r>
      <w:r w:rsidRPr="003307CA">
        <w:rPr>
          <w:rFonts w:asciiTheme="minorEastAsia" w:eastAsiaTheme="minorEastAsia" w:hAnsiTheme="minorEastAsia"/>
        </w:rPr>
        <w:t>）提高基金管理人、基金托管人的报酬标准</w:t>
      </w:r>
      <w:r w:rsidRPr="003307CA">
        <w:rPr>
          <w:rFonts w:asciiTheme="minorEastAsia" w:eastAsiaTheme="minorEastAsia" w:hAnsiTheme="minorEastAsia" w:hint="eastAsia"/>
        </w:rPr>
        <w:t>。但根据法律法规的要求提高该等报酬标准的除外</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w:t>
      </w:r>
      <w:r w:rsidRPr="003307CA">
        <w:rPr>
          <w:rFonts w:asciiTheme="minorEastAsia" w:eastAsiaTheme="minorEastAsia" w:hAnsiTheme="minorEastAsia" w:hint="eastAsia"/>
        </w:rPr>
        <w:t>6</w:t>
      </w:r>
      <w:r w:rsidRPr="003307CA">
        <w:rPr>
          <w:rFonts w:asciiTheme="minorEastAsia" w:eastAsiaTheme="minorEastAsia" w:hAnsiTheme="minorEastAsia"/>
        </w:rPr>
        <w:t>）变更基金类别；</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w:t>
      </w:r>
      <w:r w:rsidRPr="003307CA">
        <w:rPr>
          <w:rFonts w:asciiTheme="minorEastAsia" w:eastAsiaTheme="minorEastAsia" w:hAnsiTheme="minorEastAsia" w:hint="eastAsia"/>
        </w:rPr>
        <w:t>7</w:t>
      </w:r>
      <w:r w:rsidRPr="003307CA">
        <w:rPr>
          <w:rFonts w:asciiTheme="minorEastAsia" w:eastAsiaTheme="minorEastAsia" w:hAnsiTheme="minorEastAsia"/>
        </w:rPr>
        <w:t>）</w:t>
      </w:r>
      <w:r w:rsidRPr="003307CA">
        <w:rPr>
          <w:rFonts w:asciiTheme="minorEastAsia" w:eastAsiaTheme="minorEastAsia" w:hAnsiTheme="minorEastAsia" w:hint="eastAsia"/>
        </w:rPr>
        <w:t>本基金与其他基金的合并</w:t>
      </w:r>
      <w:r w:rsidRPr="003307CA">
        <w:rPr>
          <w:rFonts w:asciiTheme="minorEastAsia" w:eastAsiaTheme="minorEastAsia" w:hAnsiTheme="minorEastAsia"/>
        </w:rPr>
        <w:t>；</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rPr>
        <w:t>（</w:t>
      </w:r>
      <w:r w:rsidRPr="003307CA">
        <w:rPr>
          <w:rFonts w:asciiTheme="minorEastAsia" w:eastAsiaTheme="minorEastAsia" w:hAnsiTheme="minorEastAsia" w:hint="eastAsia"/>
        </w:rPr>
        <w:t>8</w:t>
      </w:r>
      <w:r w:rsidRPr="003307CA">
        <w:rPr>
          <w:rFonts w:asciiTheme="minorEastAsia" w:eastAsiaTheme="minorEastAsia" w:hAnsiTheme="minorEastAsia"/>
        </w:rPr>
        <w:t>）变更基金投资目标</w:t>
      </w:r>
      <w:r w:rsidRPr="003307CA">
        <w:rPr>
          <w:rFonts w:asciiTheme="minorEastAsia" w:eastAsiaTheme="minorEastAsia" w:hAnsiTheme="minorEastAsia" w:hint="eastAsia"/>
        </w:rPr>
        <w:t>、</w:t>
      </w:r>
      <w:r w:rsidRPr="003307CA">
        <w:rPr>
          <w:rFonts w:asciiTheme="minorEastAsia" w:eastAsiaTheme="minorEastAsia" w:hAnsiTheme="minorEastAsia"/>
        </w:rPr>
        <w:t>范围</w:t>
      </w:r>
      <w:r w:rsidRPr="003307CA">
        <w:rPr>
          <w:rFonts w:asciiTheme="minorEastAsia" w:eastAsiaTheme="minorEastAsia" w:hAnsiTheme="minorEastAsia" w:hint="eastAsia"/>
        </w:rPr>
        <w:t>或策略；</w:t>
      </w:r>
    </w:p>
    <w:p w:rsidR="00785666" w:rsidRPr="003307CA" w:rsidRDefault="00785666"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rPr>
        <w:t>（</w:t>
      </w:r>
      <w:r w:rsidRPr="003307CA">
        <w:rPr>
          <w:rFonts w:asciiTheme="minorEastAsia" w:eastAsiaTheme="minorEastAsia" w:hAnsiTheme="minorEastAsia" w:hint="eastAsia"/>
        </w:rPr>
        <w:t>9</w:t>
      </w:r>
      <w:r w:rsidRPr="003307CA">
        <w:rPr>
          <w:rFonts w:asciiTheme="minorEastAsia" w:eastAsiaTheme="minorEastAsia" w:hAnsiTheme="minorEastAsia"/>
        </w:rPr>
        <w:t>）变更基金份额持有人大会程序；</w:t>
      </w:r>
    </w:p>
    <w:p w:rsidR="00785666" w:rsidRPr="003307CA" w:rsidRDefault="00785666" w:rsidP="00CE3F81">
      <w:pPr>
        <w:autoSpaceDE w:val="0"/>
        <w:autoSpaceDN w:val="0"/>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szCs w:val="21"/>
        </w:rPr>
        <w:t>（10）</w:t>
      </w:r>
      <w:r w:rsidRPr="003307CA">
        <w:rPr>
          <w:rFonts w:asciiTheme="minorEastAsia" w:eastAsiaTheme="minorEastAsia" w:hAnsiTheme="minorEastAsia"/>
        </w:rPr>
        <w:t>对基金当事人权利和义务产生重大影响的</w:t>
      </w:r>
      <w:r w:rsidRPr="003307CA">
        <w:rPr>
          <w:rFonts w:asciiTheme="minorEastAsia" w:eastAsiaTheme="minorEastAsia" w:hAnsiTheme="minorEastAsia" w:hint="eastAsia"/>
        </w:rPr>
        <w:t>其他</w:t>
      </w:r>
      <w:r w:rsidRPr="003307CA">
        <w:rPr>
          <w:rFonts w:asciiTheme="minorEastAsia" w:eastAsiaTheme="minorEastAsia" w:hAnsiTheme="minorEastAsia"/>
        </w:rPr>
        <w:t>事项</w:t>
      </w:r>
      <w:r w:rsidRPr="003307CA">
        <w:rPr>
          <w:rFonts w:asciiTheme="minorEastAsia" w:eastAsiaTheme="minorEastAsia" w:hAnsiTheme="minorEastAsia" w:hint="eastAsia"/>
        </w:rPr>
        <w:t>。</w:t>
      </w:r>
    </w:p>
    <w:p w:rsidR="00785666" w:rsidRPr="003307CA" w:rsidRDefault="00785666" w:rsidP="00CE3F81">
      <w:pPr>
        <w:autoSpaceDE w:val="0"/>
        <w:autoSpaceDN w:val="0"/>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rPr>
        <w:t>但出现下列情况时，可不经基金份额持有人大会决议，由基金管理人和基金托管人同意后变更并公告，并报中国证监会备案：</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（1）调低基金管理费、基金托管费；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（2）法律法规要求增加的基金费用的收取；</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（3）在《基金合同》规定的范围内变更本基金的申购费率、降低赎回费率；</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（4）因相应的法律法规发生变动而应当对《基金合同》进行修改；</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（5）《基金合同》的修改对基金份额持有人利益无实质性不利影响或修改不涉及《基金合同》当事人权利义务关系发生变化；</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（6）除按照法律法规和《基金合同》规定应当召开基金份额持有人大会的以外的其他情形。</w:t>
      </w:r>
    </w:p>
    <w:p w:rsidR="00785666" w:rsidRPr="003307CA" w:rsidRDefault="00785666" w:rsidP="002B105F">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2</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关于《基金合同》变更的基金份额持有人大会决议经中国证监会核准生效后方可执行，</w:t>
      </w:r>
      <w:r w:rsidR="002B105F" w:rsidRPr="003307CA">
        <w:rPr>
          <w:rFonts w:asciiTheme="minorEastAsia" w:eastAsiaTheme="minorEastAsia" w:hAnsiTheme="minorEastAsia" w:hint="eastAsia"/>
        </w:rPr>
        <w:t>自《基金合同》变更生效之日起在指定媒介公告</w:t>
      </w:r>
      <w:r w:rsidRPr="003307CA">
        <w:rPr>
          <w:rFonts w:asciiTheme="minorEastAsia" w:eastAsiaTheme="minorEastAsia" w:hAnsiTheme="minorEastAsia" w:hint="eastAsia"/>
        </w:rPr>
        <w:t>。</w:t>
      </w:r>
    </w:p>
    <w:p w:rsidR="00785666" w:rsidRPr="003307CA" w:rsidRDefault="00785666" w:rsidP="00CE3F81">
      <w:pPr>
        <w:snapToGrid w:val="0"/>
        <w:spacing w:line="360" w:lineRule="auto"/>
        <w:ind w:firstLineChars="200" w:firstLine="422"/>
        <w:rPr>
          <w:rFonts w:asciiTheme="minorEastAsia" w:eastAsiaTheme="minorEastAsia" w:hAnsiTheme="minorEastAsia"/>
          <w:b/>
          <w:bCs/>
        </w:rPr>
      </w:pPr>
      <w:r w:rsidRPr="003307CA">
        <w:rPr>
          <w:rFonts w:asciiTheme="minorEastAsia" w:eastAsiaTheme="minorEastAsia" w:hAnsiTheme="minorEastAsia" w:hint="eastAsia"/>
          <w:b/>
          <w:bCs/>
        </w:rPr>
        <w:t>（二）</w:t>
      </w:r>
      <w:r w:rsidRPr="003307CA">
        <w:rPr>
          <w:rFonts w:asciiTheme="minorEastAsia" w:eastAsiaTheme="minorEastAsia" w:hAnsiTheme="minorEastAsia" w:hint="eastAsia"/>
          <w:b/>
          <w:bCs/>
        </w:rPr>
        <w:tab/>
        <w:t>《基金合同》的终止</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有下列情形之一的，《基金合同》应当终止：</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1</w:t>
      </w:r>
      <w:r w:rsidR="004D1E0F" w:rsidRPr="003307CA">
        <w:rPr>
          <w:rFonts w:asciiTheme="minorEastAsia" w:eastAsiaTheme="minorEastAsia" w:hAnsiTheme="minorEastAsia" w:hint="eastAsia"/>
        </w:rPr>
        <w:t>、</w:t>
      </w:r>
      <w:r w:rsidRPr="003307CA">
        <w:rPr>
          <w:rFonts w:asciiTheme="minorEastAsia" w:eastAsiaTheme="minorEastAsia" w:hAnsiTheme="minorEastAsia" w:hint="eastAsia"/>
        </w:rPr>
        <w:t>基金份额持有人大会决定终止的；</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lastRenderedPageBreak/>
        <w:t>2</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基金管理人、基金托管人职责终止，在6个月内没有新基金管理人、新基金托管人承接的；</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3</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《基金合同》约定的其他情形；</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4</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相关法律法规和中国证监会规定的其他情况。</w:t>
      </w:r>
    </w:p>
    <w:p w:rsidR="00785666" w:rsidRPr="003307CA" w:rsidRDefault="00785666" w:rsidP="00CE3F81">
      <w:pPr>
        <w:snapToGrid w:val="0"/>
        <w:spacing w:line="360" w:lineRule="auto"/>
        <w:ind w:firstLineChars="200" w:firstLine="422"/>
        <w:rPr>
          <w:rFonts w:asciiTheme="minorEastAsia" w:eastAsiaTheme="minorEastAsia" w:hAnsiTheme="minorEastAsia"/>
          <w:b/>
        </w:rPr>
      </w:pPr>
      <w:r w:rsidRPr="003307CA">
        <w:rPr>
          <w:rFonts w:asciiTheme="minorEastAsia" w:eastAsiaTheme="minorEastAsia" w:hAnsiTheme="minorEastAsia"/>
          <w:b/>
        </w:rPr>
        <w:t>四</w:t>
      </w:r>
      <w:r w:rsidR="003E5027" w:rsidRPr="003307CA">
        <w:rPr>
          <w:rFonts w:asciiTheme="minorEastAsia" w:eastAsiaTheme="minorEastAsia" w:hAnsiTheme="minorEastAsia" w:hint="eastAsia"/>
          <w:b/>
        </w:rPr>
        <w:t>、</w:t>
      </w:r>
      <w:r w:rsidRPr="003307CA">
        <w:rPr>
          <w:rFonts w:asciiTheme="minorEastAsia" w:eastAsiaTheme="minorEastAsia" w:hAnsiTheme="minorEastAsia"/>
          <w:b/>
        </w:rPr>
        <w:t>争议解决方式</w:t>
      </w:r>
    </w:p>
    <w:p w:rsidR="00785666" w:rsidRPr="003307CA" w:rsidRDefault="00785666"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785666" w:rsidRPr="003307CA" w:rsidRDefault="00785666" w:rsidP="00CE3F81">
      <w:pPr>
        <w:pStyle w:val="af0"/>
        <w:autoSpaceDE w:val="0"/>
        <w:autoSpaceDN w:val="0"/>
        <w:snapToGrid w:val="0"/>
        <w:spacing w:line="360" w:lineRule="auto"/>
        <w:ind w:firstLineChars="200"/>
        <w:textAlignment w:val="bottom"/>
        <w:rPr>
          <w:rFonts w:asciiTheme="minorEastAsia" w:eastAsiaTheme="minorEastAsia" w:hAnsiTheme="minorEastAsia"/>
        </w:rPr>
      </w:pPr>
      <w:r w:rsidRPr="003307CA">
        <w:rPr>
          <w:rFonts w:asciiTheme="minorEastAsia" w:eastAsiaTheme="minorEastAsia" w:hAnsiTheme="minorEastAsia" w:hint="eastAsia"/>
        </w:rPr>
        <w:t>《基金合同》受中国法律管辖。</w:t>
      </w:r>
    </w:p>
    <w:p w:rsidR="00785666" w:rsidRPr="003307CA" w:rsidRDefault="00785666" w:rsidP="007F6D3E">
      <w:pPr>
        <w:snapToGrid w:val="0"/>
        <w:spacing w:line="360" w:lineRule="auto"/>
        <w:ind w:firstLineChars="200" w:firstLine="422"/>
        <w:rPr>
          <w:rFonts w:asciiTheme="minorEastAsia" w:eastAsiaTheme="minorEastAsia" w:hAnsiTheme="minorEastAsia"/>
        </w:rPr>
      </w:pPr>
      <w:r w:rsidRPr="003307CA">
        <w:rPr>
          <w:rFonts w:asciiTheme="minorEastAsia" w:eastAsiaTheme="minorEastAsia" w:hAnsiTheme="minorEastAsia"/>
          <w:b/>
        </w:rPr>
        <w:t>五</w:t>
      </w:r>
      <w:r w:rsidR="003E5027" w:rsidRPr="003307CA">
        <w:rPr>
          <w:rFonts w:asciiTheme="minorEastAsia" w:eastAsiaTheme="minorEastAsia" w:hAnsiTheme="minorEastAsia" w:hint="eastAsia"/>
          <w:b/>
        </w:rPr>
        <w:t>、</w:t>
      </w:r>
      <w:r w:rsidRPr="003307CA">
        <w:rPr>
          <w:rFonts w:asciiTheme="minorEastAsia" w:eastAsiaTheme="minorEastAsia" w:hAnsiTheme="minorEastAsia"/>
          <w:b/>
        </w:rPr>
        <w:t>基金合同存放地和投资者取得基金合同的方式</w:t>
      </w:r>
      <w:r w:rsidRPr="003307CA">
        <w:rPr>
          <w:rFonts w:asciiTheme="minorEastAsia" w:eastAsiaTheme="minorEastAsia" w:hAnsiTheme="minorEastAsia"/>
          <w:b/>
        </w:rPr>
        <w:br/>
      </w:r>
      <w:r w:rsidRPr="003307CA">
        <w:rPr>
          <w:rFonts w:asciiTheme="minorEastAsia" w:eastAsiaTheme="minorEastAsia" w:hAnsiTheme="minorEastAsia" w:hint="eastAsia"/>
        </w:rPr>
        <w:t>《基金合同》</w:t>
      </w:r>
      <w:r w:rsidRPr="003307CA">
        <w:rPr>
          <w:rFonts w:asciiTheme="minorEastAsia" w:eastAsiaTheme="minorEastAsia" w:hAnsiTheme="minorEastAsia"/>
        </w:rPr>
        <w:t>可印制成册</w:t>
      </w:r>
      <w:r w:rsidRPr="003307CA">
        <w:rPr>
          <w:rFonts w:asciiTheme="minorEastAsia" w:eastAsiaTheme="minorEastAsia" w:hAnsiTheme="minorEastAsia" w:hint="eastAsia"/>
        </w:rPr>
        <w:t>，供投资者在基金管理人、基金托管人、基金代销机构的办公场所和营业场所查阅；投资者也可按工本费购买《基金合同》复制件或复印件，但内容应以《基金合同》正本为准。</w:t>
      </w:r>
    </w:p>
    <w:p w:rsidR="00BD4C5B" w:rsidRPr="003307CA" w:rsidRDefault="00BD4C5B" w:rsidP="007F6D3E">
      <w:pPr>
        <w:snapToGrid w:val="0"/>
        <w:spacing w:line="360" w:lineRule="auto"/>
        <w:rPr>
          <w:rFonts w:asciiTheme="minorEastAsia" w:eastAsiaTheme="minorEastAsia" w:hAnsiTheme="minorEastAsia"/>
          <w:b/>
          <w:bCs/>
        </w:rPr>
        <w:sectPr w:rsidR="00BD4C5B" w:rsidRPr="003307CA" w:rsidSect="00684E94">
          <w:pgSz w:w="11906" w:h="16838" w:code="9"/>
          <w:pgMar w:top="1440" w:right="1800" w:bottom="1440" w:left="1800" w:header="851" w:footer="992" w:gutter="0"/>
          <w:cols w:space="425"/>
          <w:docGrid w:type="lines" w:linePitch="312"/>
        </w:sectPr>
      </w:pPr>
    </w:p>
    <w:p w:rsidR="00351B86" w:rsidRPr="003307CA" w:rsidRDefault="00351B86"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11" w:name="_Toc44351152"/>
      <w:r w:rsidRPr="003307CA">
        <w:rPr>
          <w:rFonts w:asciiTheme="minorEastAsia" w:eastAsiaTheme="minorEastAsia" w:hAnsiTheme="minorEastAsia" w:hint="eastAsia"/>
        </w:rPr>
        <w:lastRenderedPageBreak/>
        <w:t>基金托管协议的内容摘要</w:t>
      </w:r>
      <w:bookmarkEnd w:id="311"/>
    </w:p>
    <w:p w:rsidR="00785666" w:rsidRPr="003307CA" w:rsidRDefault="00785666" w:rsidP="00CE3F81">
      <w:pPr>
        <w:snapToGrid w:val="0"/>
        <w:spacing w:line="360" w:lineRule="auto"/>
        <w:ind w:firstLineChars="200" w:firstLine="422"/>
        <w:rPr>
          <w:rFonts w:asciiTheme="minorEastAsia" w:eastAsiaTheme="minorEastAsia" w:hAnsiTheme="minorEastAsia"/>
          <w:b/>
          <w:szCs w:val="18"/>
        </w:rPr>
      </w:pPr>
      <w:r w:rsidRPr="003307CA">
        <w:rPr>
          <w:rFonts w:asciiTheme="minorEastAsia" w:eastAsiaTheme="minorEastAsia" w:hAnsiTheme="minorEastAsia"/>
          <w:b/>
          <w:szCs w:val="18"/>
        </w:rPr>
        <w:t>一</w:t>
      </w:r>
      <w:r w:rsidRPr="003307CA">
        <w:rPr>
          <w:rFonts w:asciiTheme="minorEastAsia" w:eastAsiaTheme="minorEastAsia" w:hAnsiTheme="minorEastAsia" w:hint="eastAsia"/>
          <w:b/>
          <w:szCs w:val="18"/>
        </w:rPr>
        <w:t>、</w:t>
      </w:r>
      <w:r w:rsidRPr="003307CA">
        <w:rPr>
          <w:rFonts w:asciiTheme="minorEastAsia" w:eastAsiaTheme="minorEastAsia" w:hAnsiTheme="minorEastAsia"/>
          <w:b/>
          <w:szCs w:val="18"/>
        </w:rPr>
        <w:t>托管协议当事人</w:t>
      </w:r>
    </w:p>
    <w:p w:rsidR="00785666" w:rsidRPr="003307CA" w:rsidRDefault="00785666" w:rsidP="00CE3F81">
      <w:pPr>
        <w:snapToGrid w:val="0"/>
        <w:spacing w:line="360" w:lineRule="auto"/>
        <w:ind w:firstLineChars="200" w:firstLine="422"/>
        <w:rPr>
          <w:rFonts w:asciiTheme="minorEastAsia" w:eastAsiaTheme="minorEastAsia" w:hAnsiTheme="minorEastAsia"/>
          <w:b/>
        </w:rPr>
      </w:pPr>
      <w:bookmarkStart w:id="312" w:name="_Toc22454433"/>
      <w:bookmarkStart w:id="313" w:name="_Toc48703885"/>
      <w:bookmarkStart w:id="314" w:name="_Toc174497167"/>
      <w:bookmarkStart w:id="315" w:name="_Toc174501001"/>
      <w:bookmarkStart w:id="316" w:name="_Toc174502373"/>
      <w:bookmarkStart w:id="317" w:name="_Toc174616272"/>
      <w:r w:rsidRPr="003307CA">
        <w:rPr>
          <w:rFonts w:asciiTheme="minorEastAsia" w:eastAsiaTheme="minorEastAsia" w:hAnsiTheme="minorEastAsia" w:hint="eastAsia"/>
          <w:b/>
        </w:rPr>
        <w:t>（一）基金管理人</w:t>
      </w:r>
      <w:bookmarkEnd w:id="312"/>
      <w:bookmarkEnd w:id="313"/>
      <w:bookmarkEnd w:id="314"/>
      <w:bookmarkEnd w:id="315"/>
      <w:bookmarkEnd w:id="316"/>
      <w:bookmarkEnd w:id="317"/>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名称：易方达基金管理有限公司</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住所：</w:t>
      </w:r>
      <w:r w:rsidR="005C0821" w:rsidRPr="003307CA">
        <w:rPr>
          <w:rFonts w:asciiTheme="minorEastAsia" w:eastAsiaTheme="minorEastAsia" w:hAnsiTheme="minorEastAsia"/>
          <w:szCs w:val="21"/>
        </w:rPr>
        <w:t>广东省珠海市横琴新区宝华路6号105室-42891（集中办公区）</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法定代表人：</w:t>
      </w:r>
      <w:r w:rsidR="007C6714" w:rsidRPr="003307CA">
        <w:rPr>
          <w:rFonts w:asciiTheme="minorEastAsia" w:eastAsiaTheme="minorEastAsia" w:hAnsiTheme="minorEastAsia" w:hint="eastAsia"/>
          <w:bCs/>
          <w:szCs w:val="21"/>
        </w:rPr>
        <w:t>刘晓艳</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成立时间：2001年4月17日</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批准设立机关：中国证券监督管理委员会</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批准设立文号：证监基金字[2001</w:t>
      </w:r>
      <w:r w:rsidRPr="003307CA">
        <w:rPr>
          <w:rFonts w:asciiTheme="minorEastAsia" w:eastAsiaTheme="minorEastAsia" w:hAnsiTheme="minorEastAsia"/>
          <w:bCs/>
          <w:szCs w:val="21"/>
        </w:rPr>
        <w:t>]</w:t>
      </w:r>
      <w:r w:rsidRPr="003307CA">
        <w:rPr>
          <w:rFonts w:asciiTheme="minorEastAsia" w:eastAsiaTheme="minorEastAsia" w:hAnsiTheme="minorEastAsia" w:hint="eastAsia"/>
          <w:bCs/>
          <w:szCs w:val="21"/>
        </w:rPr>
        <w:t>4号</w:t>
      </w:r>
    </w:p>
    <w:p w:rsidR="00785666" w:rsidRPr="003307CA" w:rsidRDefault="000E205E"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注册资本：13,244.2万元人民币</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组织形式：</w:t>
      </w:r>
      <w:r w:rsidRPr="003307CA">
        <w:rPr>
          <w:rFonts w:asciiTheme="minorEastAsia" w:eastAsiaTheme="minorEastAsia" w:hAnsiTheme="minorEastAsia" w:hint="eastAsia"/>
          <w:szCs w:val="21"/>
        </w:rPr>
        <w:t>有限责任公司</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经营范围：</w:t>
      </w:r>
      <w:r w:rsidR="00D45389" w:rsidRPr="003307CA">
        <w:rPr>
          <w:rFonts w:asciiTheme="minorEastAsia" w:eastAsiaTheme="minorEastAsia" w:hAnsiTheme="minorEastAsia" w:hint="eastAsia"/>
          <w:szCs w:val="21"/>
        </w:rPr>
        <w:t>公开募集证券投资基金管理、基金销售、特定客户资产管理</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存续期间：</w:t>
      </w:r>
      <w:r w:rsidRPr="003307CA">
        <w:rPr>
          <w:rFonts w:asciiTheme="minorEastAsia" w:eastAsiaTheme="minorEastAsia" w:hAnsiTheme="minorEastAsia" w:hint="eastAsia"/>
        </w:rPr>
        <w:t>持续经营</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电话：</w:t>
      </w:r>
      <w:r w:rsidR="00433683" w:rsidRPr="003307CA">
        <w:rPr>
          <w:rFonts w:asciiTheme="minorEastAsia" w:eastAsiaTheme="minorEastAsia" w:hAnsiTheme="minorEastAsia" w:hint="eastAsia"/>
          <w:szCs w:val="21"/>
        </w:rPr>
        <w:t>4008818088</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bCs/>
          <w:szCs w:val="21"/>
        </w:rPr>
        <w:t>传真：</w:t>
      </w:r>
      <w:r w:rsidRPr="003307CA">
        <w:rPr>
          <w:rFonts w:asciiTheme="minorEastAsia" w:eastAsiaTheme="minorEastAsia" w:hAnsiTheme="minorEastAsia" w:hint="eastAsia"/>
          <w:bCs/>
          <w:szCs w:val="21"/>
        </w:rPr>
        <w:t>020-38799488</w:t>
      </w:r>
    </w:p>
    <w:p w:rsidR="00785666" w:rsidRPr="003307CA" w:rsidRDefault="00785666" w:rsidP="00CE3F81">
      <w:pPr>
        <w:snapToGrid w:val="0"/>
        <w:spacing w:line="360" w:lineRule="auto"/>
        <w:ind w:firstLineChars="200" w:firstLine="422"/>
        <w:rPr>
          <w:rFonts w:asciiTheme="minorEastAsia" w:eastAsiaTheme="minorEastAsia" w:hAnsiTheme="minorEastAsia"/>
          <w:b/>
        </w:rPr>
      </w:pPr>
      <w:bookmarkStart w:id="318" w:name="_Toc174497168"/>
      <w:bookmarkStart w:id="319" w:name="_Toc174501002"/>
      <w:bookmarkStart w:id="320" w:name="_Toc174502374"/>
      <w:bookmarkStart w:id="321" w:name="_Toc174616273"/>
      <w:r w:rsidRPr="003307CA">
        <w:rPr>
          <w:rFonts w:asciiTheme="minorEastAsia" w:eastAsiaTheme="minorEastAsia" w:hAnsiTheme="minorEastAsia" w:hint="eastAsia"/>
          <w:b/>
        </w:rPr>
        <w:t>（二）基金托管人</w:t>
      </w:r>
      <w:bookmarkEnd w:id="318"/>
      <w:bookmarkEnd w:id="319"/>
      <w:bookmarkEnd w:id="320"/>
      <w:bookmarkEnd w:id="321"/>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名称：中国工商银行股份有限公司</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住所：北京市西城区复兴门内大街</w:t>
      </w:r>
      <w:r w:rsidRPr="003307CA">
        <w:rPr>
          <w:rFonts w:asciiTheme="minorEastAsia" w:eastAsiaTheme="minorEastAsia" w:hAnsiTheme="minorEastAsia"/>
          <w:bCs/>
          <w:szCs w:val="21"/>
        </w:rPr>
        <w:t>55</w:t>
      </w:r>
      <w:r w:rsidRPr="003307CA">
        <w:rPr>
          <w:rFonts w:asciiTheme="minorEastAsia" w:eastAsiaTheme="minorEastAsia" w:hAnsiTheme="minorEastAsia" w:hint="eastAsia"/>
          <w:bCs/>
          <w:szCs w:val="21"/>
        </w:rPr>
        <w:t>号（100032）</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法定代表人：</w:t>
      </w:r>
      <w:r w:rsidR="00A55C6A" w:rsidRPr="003307CA">
        <w:rPr>
          <w:rFonts w:asciiTheme="minorEastAsia" w:eastAsiaTheme="minorEastAsia" w:hAnsiTheme="minorEastAsia" w:hint="eastAsia"/>
          <w:szCs w:val="21"/>
          <w:lang w:val="en-GB"/>
        </w:rPr>
        <w:t>陈四清</w:t>
      </w:r>
    </w:p>
    <w:p w:rsidR="00B0479B" w:rsidRPr="003307CA" w:rsidRDefault="00B0479B" w:rsidP="00B0479B">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电话：（</w:t>
      </w:r>
      <w:r w:rsidRPr="003307CA">
        <w:rPr>
          <w:rFonts w:asciiTheme="minorEastAsia" w:eastAsiaTheme="minorEastAsia" w:hAnsiTheme="minorEastAsia"/>
          <w:bCs/>
          <w:szCs w:val="21"/>
        </w:rPr>
        <w:t>010</w:t>
      </w:r>
      <w:r w:rsidRPr="003307CA">
        <w:rPr>
          <w:rFonts w:asciiTheme="minorEastAsia" w:eastAsiaTheme="minorEastAsia" w:hAnsiTheme="minorEastAsia" w:hint="eastAsia"/>
          <w:bCs/>
          <w:szCs w:val="21"/>
        </w:rPr>
        <w:t>）</w:t>
      </w:r>
      <w:r w:rsidRPr="003307CA">
        <w:rPr>
          <w:rFonts w:asciiTheme="minorEastAsia" w:eastAsiaTheme="minorEastAsia" w:hAnsiTheme="minorEastAsia"/>
          <w:bCs/>
          <w:szCs w:val="21"/>
        </w:rPr>
        <w:t>6610</w:t>
      </w:r>
      <w:r w:rsidRPr="003307CA">
        <w:rPr>
          <w:rFonts w:asciiTheme="minorEastAsia" w:eastAsiaTheme="minorEastAsia" w:hAnsiTheme="minorEastAsia" w:hint="eastAsia"/>
          <w:bCs/>
          <w:szCs w:val="21"/>
        </w:rPr>
        <w:t>5799</w:t>
      </w:r>
    </w:p>
    <w:p w:rsidR="00B0479B" w:rsidRPr="003307CA" w:rsidRDefault="00B0479B" w:rsidP="00B0479B">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传真：（</w:t>
      </w:r>
      <w:r w:rsidRPr="003307CA">
        <w:rPr>
          <w:rFonts w:asciiTheme="minorEastAsia" w:eastAsiaTheme="minorEastAsia" w:hAnsiTheme="minorEastAsia"/>
          <w:bCs/>
          <w:szCs w:val="21"/>
        </w:rPr>
        <w:t>010</w:t>
      </w:r>
      <w:r w:rsidRPr="003307CA">
        <w:rPr>
          <w:rFonts w:asciiTheme="minorEastAsia" w:eastAsiaTheme="minorEastAsia" w:hAnsiTheme="minorEastAsia" w:hint="eastAsia"/>
          <w:bCs/>
          <w:szCs w:val="21"/>
        </w:rPr>
        <w:t>）</w:t>
      </w:r>
      <w:r w:rsidRPr="003307CA">
        <w:rPr>
          <w:rFonts w:asciiTheme="minorEastAsia" w:eastAsiaTheme="minorEastAsia" w:hAnsiTheme="minorEastAsia"/>
          <w:bCs/>
          <w:szCs w:val="21"/>
        </w:rPr>
        <w:t>6610</w:t>
      </w:r>
      <w:r w:rsidRPr="003307CA">
        <w:rPr>
          <w:rFonts w:asciiTheme="minorEastAsia" w:eastAsiaTheme="minorEastAsia" w:hAnsiTheme="minorEastAsia" w:hint="eastAsia"/>
          <w:bCs/>
          <w:szCs w:val="21"/>
        </w:rPr>
        <w:t>5798</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联系人：</w:t>
      </w:r>
      <w:r w:rsidR="008A48EB" w:rsidRPr="003307CA">
        <w:rPr>
          <w:rFonts w:asciiTheme="minorEastAsia" w:eastAsiaTheme="minorEastAsia" w:hAnsiTheme="minorEastAsia" w:hint="eastAsia"/>
          <w:szCs w:val="21"/>
        </w:rPr>
        <w:t>郭明</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成立时间：</w:t>
      </w:r>
      <w:r w:rsidR="00D0697C" w:rsidRPr="003307CA">
        <w:rPr>
          <w:rFonts w:asciiTheme="minorEastAsia" w:eastAsiaTheme="minorEastAsia" w:hAnsiTheme="minorEastAsia"/>
          <w:spacing w:val="6"/>
        </w:rPr>
        <w:t>198</w:t>
      </w:r>
      <w:r w:rsidR="00D0697C" w:rsidRPr="003307CA">
        <w:rPr>
          <w:rFonts w:asciiTheme="minorEastAsia" w:eastAsiaTheme="minorEastAsia" w:hAnsiTheme="minorEastAsia" w:hint="eastAsia"/>
          <w:spacing w:val="6"/>
        </w:rPr>
        <w:t>4</w:t>
      </w:r>
      <w:r w:rsidR="00D0697C" w:rsidRPr="003307CA">
        <w:rPr>
          <w:rFonts w:asciiTheme="minorEastAsia" w:eastAsiaTheme="minorEastAsia" w:hAnsiTheme="minorEastAsia"/>
          <w:spacing w:val="6"/>
        </w:rPr>
        <w:t>年</w:t>
      </w:r>
      <w:r w:rsidR="00D0697C" w:rsidRPr="003307CA">
        <w:rPr>
          <w:rFonts w:asciiTheme="minorEastAsia" w:eastAsiaTheme="minorEastAsia" w:hAnsiTheme="minorEastAsia" w:hint="eastAsia"/>
          <w:spacing w:val="6"/>
        </w:rPr>
        <w:t>1</w:t>
      </w:r>
      <w:r w:rsidR="00D0697C" w:rsidRPr="003307CA">
        <w:rPr>
          <w:rFonts w:asciiTheme="minorEastAsia" w:eastAsiaTheme="minorEastAsia" w:hAnsiTheme="minorEastAsia"/>
          <w:spacing w:val="6"/>
        </w:rPr>
        <w:t>月</w:t>
      </w:r>
      <w:r w:rsidR="00D0697C" w:rsidRPr="003307CA">
        <w:rPr>
          <w:rFonts w:asciiTheme="minorEastAsia" w:eastAsiaTheme="minorEastAsia" w:hAnsiTheme="minorEastAsia" w:hint="eastAsia"/>
          <w:spacing w:val="6"/>
        </w:rPr>
        <w:t>1</w:t>
      </w:r>
      <w:r w:rsidR="00D0697C" w:rsidRPr="003307CA">
        <w:rPr>
          <w:rFonts w:asciiTheme="minorEastAsia" w:eastAsiaTheme="minorEastAsia" w:hAnsiTheme="minorEastAsia"/>
          <w:spacing w:val="6"/>
        </w:rPr>
        <w:t>日</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组织形式：股份有限公司</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注册资本：</w:t>
      </w:r>
      <w:r w:rsidR="00D87C43" w:rsidRPr="003307CA">
        <w:rPr>
          <w:rFonts w:asciiTheme="minorEastAsia" w:eastAsiaTheme="minorEastAsia" w:hAnsiTheme="minorEastAsia" w:hint="eastAsia"/>
        </w:rPr>
        <w:t>人民币35,640,625.7089万元</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批准设立机关和设立文号：国务院《关于中国人民银行专门行使中央银行职能的决定》（国发[1983]146号）</w:t>
      </w:r>
    </w:p>
    <w:p w:rsidR="00785666" w:rsidRPr="003307CA"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存续期间：持续经营</w:t>
      </w:r>
    </w:p>
    <w:p w:rsidR="00512721" w:rsidRPr="003307CA" w:rsidRDefault="00512721" w:rsidP="00CE3F81">
      <w:pPr>
        <w:tabs>
          <w:tab w:val="num" w:pos="961"/>
        </w:tabs>
        <w:snapToGrid w:val="0"/>
        <w:spacing w:line="360" w:lineRule="auto"/>
        <w:ind w:firstLineChars="200" w:firstLine="420"/>
        <w:rPr>
          <w:rFonts w:asciiTheme="minorEastAsia" w:eastAsiaTheme="minorEastAsia" w:hAnsiTheme="minorEastAsia"/>
          <w:bCs/>
          <w:szCs w:val="21"/>
        </w:rPr>
      </w:pPr>
      <w:r w:rsidRPr="003307CA">
        <w:rPr>
          <w:rFonts w:asciiTheme="minorEastAsia" w:eastAsiaTheme="minorEastAsia" w:hAnsiTheme="minorEastAsia" w:hint="eastAsia"/>
          <w:bCs/>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w:t>
      </w:r>
      <w:r w:rsidRPr="003307CA">
        <w:rPr>
          <w:rFonts w:asciiTheme="minorEastAsia" w:eastAsiaTheme="minorEastAsia" w:hAnsiTheme="minorEastAsia" w:hint="eastAsia"/>
          <w:bCs/>
          <w:szCs w:val="21"/>
        </w:rPr>
        <w:lastRenderedPageBreak/>
        <w:t>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785666" w:rsidRPr="003307CA" w:rsidRDefault="00785666" w:rsidP="00CE3F81">
      <w:pPr>
        <w:snapToGrid w:val="0"/>
        <w:spacing w:line="360" w:lineRule="auto"/>
        <w:ind w:firstLineChars="200" w:firstLine="422"/>
        <w:rPr>
          <w:rFonts w:asciiTheme="minorEastAsia" w:eastAsiaTheme="minorEastAsia" w:hAnsiTheme="minorEastAsia"/>
          <w:b/>
          <w:szCs w:val="18"/>
        </w:rPr>
      </w:pPr>
      <w:r w:rsidRPr="003307CA">
        <w:rPr>
          <w:rFonts w:asciiTheme="minorEastAsia" w:eastAsiaTheme="minorEastAsia" w:hAnsiTheme="minorEastAsia"/>
          <w:b/>
          <w:szCs w:val="18"/>
        </w:rPr>
        <w:t>二</w:t>
      </w:r>
      <w:r w:rsidRPr="003307CA">
        <w:rPr>
          <w:rFonts w:asciiTheme="minorEastAsia" w:eastAsiaTheme="minorEastAsia" w:hAnsiTheme="minorEastAsia" w:hint="eastAsia"/>
          <w:b/>
          <w:szCs w:val="18"/>
        </w:rPr>
        <w:t>、</w:t>
      </w:r>
      <w:bookmarkStart w:id="322" w:name="_Toc174788854"/>
      <w:bookmarkStart w:id="323" w:name="_Toc174790102"/>
      <w:bookmarkStart w:id="324" w:name="_Toc186274439"/>
      <w:r w:rsidRPr="003307CA">
        <w:rPr>
          <w:rFonts w:asciiTheme="minorEastAsia" w:eastAsiaTheme="minorEastAsia" w:hAnsiTheme="minorEastAsia" w:hint="eastAsia"/>
          <w:b/>
          <w:szCs w:val="18"/>
        </w:rPr>
        <w:t>基金托管人对基金管理人的业务监督和核查</w:t>
      </w:r>
      <w:bookmarkEnd w:id="322"/>
      <w:bookmarkEnd w:id="323"/>
      <w:bookmarkEnd w:id="324"/>
    </w:p>
    <w:p w:rsidR="00785666" w:rsidRPr="003307CA" w:rsidRDefault="00785666" w:rsidP="00CE3F81">
      <w:pPr>
        <w:widowControl/>
        <w:snapToGrid w:val="0"/>
        <w:spacing w:line="360" w:lineRule="auto"/>
        <w:ind w:firstLineChars="200" w:firstLine="422"/>
        <w:jc w:val="left"/>
        <w:rPr>
          <w:rFonts w:asciiTheme="minorEastAsia" w:eastAsiaTheme="minorEastAsia" w:hAnsiTheme="minorEastAsia"/>
          <w:b/>
          <w:szCs w:val="21"/>
        </w:rPr>
      </w:pPr>
      <w:bookmarkStart w:id="325" w:name="_Toc174497178"/>
      <w:bookmarkStart w:id="326" w:name="_Toc174501008"/>
      <w:bookmarkStart w:id="327" w:name="_Toc174502380"/>
      <w:bookmarkStart w:id="328" w:name="_Toc174616279"/>
      <w:r w:rsidRPr="003307CA">
        <w:rPr>
          <w:rFonts w:asciiTheme="minorEastAsia" w:eastAsiaTheme="minorEastAsia" w:hAnsiTheme="minorEastAsia" w:hint="eastAsia"/>
          <w:b/>
          <w:szCs w:val="21"/>
        </w:rPr>
        <w:t>（一）基金托管人对基金管理人的投资行为行使监督权</w:t>
      </w:r>
      <w:bookmarkEnd w:id="325"/>
      <w:bookmarkEnd w:id="326"/>
      <w:bookmarkEnd w:id="327"/>
      <w:bookmarkEnd w:id="328"/>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基金托管人根据有关法律法规的规定和《基金合同》的约定，对下述基金投资范围、投资对象进行监督。</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本基金将投资于以下金融工具：</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本基金的投资范围为：权益类品种，包括</w:t>
      </w:r>
      <w:r w:rsidRPr="003307CA">
        <w:rPr>
          <w:rFonts w:asciiTheme="minorEastAsia" w:eastAsiaTheme="minorEastAsia" w:hAnsiTheme="minorEastAsia"/>
          <w:szCs w:val="21"/>
        </w:rPr>
        <w:t>普通股、</w:t>
      </w:r>
      <w:r w:rsidRPr="003307CA">
        <w:rPr>
          <w:rFonts w:asciiTheme="minorEastAsia" w:eastAsiaTheme="minorEastAsia" w:hAnsiTheme="minorEastAsia" w:hint="eastAsia"/>
          <w:szCs w:val="21"/>
        </w:rPr>
        <w:t>优先股、</w:t>
      </w:r>
      <w:r w:rsidRPr="003307CA">
        <w:rPr>
          <w:rFonts w:asciiTheme="minorEastAsia" w:eastAsiaTheme="minorEastAsia" w:hAnsiTheme="minorEastAsia"/>
          <w:szCs w:val="21"/>
        </w:rPr>
        <w:t>全球</w:t>
      </w:r>
      <w:r w:rsidRPr="003307CA">
        <w:rPr>
          <w:rFonts w:asciiTheme="minorEastAsia" w:eastAsiaTheme="minorEastAsia" w:hAnsiTheme="minorEastAsia" w:hint="eastAsia"/>
          <w:szCs w:val="21"/>
        </w:rPr>
        <w:t>及美国</w:t>
      </w:r>
      <w:r w:rsidRPr="003307CA">
        <w:rPr>
          <w:rFonts w:asciiTheme="minorEastAsia" w:eastAsiaTheme="minorEastAsia" w:hAnsiTheme="minorEastAsia"/>
          <w:szCs w:val="21"/>
        </w:rPr>
        <w:t>存托凭证</w:t>
      </w:r>
      <w:r w:rsidRPr="003307CA">
        <w:rPr>
          <w:rFonts w:asciiTheme="minorEastAsia" w:eastAsiaTheme="minorEastAsia" w:hAnsiTheme="minorEastAsia" w:hint="eastAsia"/>
          <w:szCs w:val="21"/>
        </w:rPr>
        <w:t>、股票型基金等；固定收益类品种，包括</w:t>
      </w:r>
      <w:r w:rsidRPr="003307CA">
        <w:rPr>
          <w:rFonts w:asciiTheme="minorEastAsia" w:eastAsiaTheme="minorEastAsia" w:hAnsiTheme="minorEastAsia"/>
          <w:szCs w:val="21"/>
        </w:rPr>
        <w:t>政府债券、公司债券、可转换债券及经中国证监会认可的国际金融组织发行的</w:t>
      </w:r>
      <w:r w:rsidRPr="003307CA">
        <w:rPr>
          <w:rFonts w:asciiTheme="minorEastAsia" w:eastAsiaTheme="minorEastAsia" w:hAnsiTheme="minorEastAsia" w:hint="eastAsia"/>
          <w:szCs w:val="21"/>
        </w:rPr>
        <w:t>固定收益类</w:t>
      </w:r>
      <w:r w:rsidRPr="003307CA">
        <w:rPr>
          <w:rFonts w:asciiTheme="minorEastAsia" w:eastAsiaTheme="minorEastAsia" w:hAnsiTheme="minorEastAsia"/>
          <w:szCs w:val="21"/>
        </w:rPr>
        <w:t>证券；</w:t>
      </w:r>
      <w:r w:rsidRPr="003307CA">
        <w:rPr>
          <w:rFonts w:asciiTheme="minorEastAsia" w:eastAsiaTheme="minorEastAsia" w:hAnsiTheme="minorEastAsia" w:hint="eastAsia"/>
          <w:szCs w:val="21"/>
        </w:rPr>
        <w:t>银行存款、回购、短期政府债券与货币市场基金等</w:t>
      </w:r>
      <w:r w:rsidRPr="003307CA">
        <w:rPr>
          <w:rFonts w:asciiTheme="minorEastAsia" w:eastAsiaTheme="minorEastAsia" w:hAnsiTheme="minorEastAsia"/>
          <w:szCs w:val="21"/>
        </w:rPr>
        <w:t>货币市场工具</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经中国证监会认可的境外交易所上市交易的金融衍生产品</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以及法律、法规或中国证监会允许基金投资的其</w:t>
      </w:r>
      <w:r w:rsidRPr="003307CA">
        <w:rPr>
          <w:rFonts w:asciiTheme="minorEastAsia" w:eastAsiaTheme="minorEastAsia" w:hAnsiTheme="minorEastAsia" w:hint="eastAsia"/>
          <w:szCs w:val="21"/>
        </w:rPr>
        <w:t>他</w:t>
      </w:r>
      <w:r w:rsidRPr="003307CA">
        <w:rPr>
          <w:rFonts w:asciiTheme="minorEastAsia" w:eastAsiaTheme="minorEastAsia" w:hAnsiTheme="minorEastAsia"/>
          <w:szCs w:val="21"/>
        </w:rPr>
        <w:t>金融工具。</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szCs w:val="21"/>
        </w:rPr>
        <w:t>本基金不得投资于</w:t>
      </w:r>
      <w:r w:rsidRPr="003307CA">
        <w:rPr>
          <w:rFonts w:asciiTheme="minorEastAsia" w:eastAsiaTheme="minorEastAsia" w:hAnsiTheme="minorEastAsia" w:hint="eastAsia"/>
          <w:szCs w:val="21"/>
        </w:rPr>
        <w:t>相关法律法规及《基金合同》禁止投资的投资工具</w:t>
      </w:r>
      <w:r w:rsidRPr="003307CA">
        <w:rPr>
          <w:rFonts w:asciiTheme="minorEastAsia" w:eastAsiaTheme="minorEastAsia" w:hAnsiTheme="minorEastAsia"/>
          <w:szCs w:val="21"/>
        </w:rPr>
        <w:t>。</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基金托管人根据有关法律法规的规定及《基金合同》的约定对下述基金投融资比例进行监督：</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（1）按法律法规的规定及《基金合同》的约定，本基金的投资资产配置比例为：</w:t>
      </w:r>
    </w:p>
    <w:p w:rsidR="008160B1"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本基金投资组合为：</w:t>
      </w:r>
      <w:r w:rsidR="008160B1" w:rsidRPr="003307CA">
        <w:rPr>
          <w:rFonts w:asciiTheme="minorEastAsia" w:eastAsiaTheme="minorEastAsia" w:hAnsiTheme="minorEastAsia" w:hint="eastAsia"/>
          <w:szCs w:val="21"/>
        </w:rPr>
        <w:t>本基金主要投资于在亚洲地区（日本除外）证券市场交易的企业以及在其他证券市场交易的亚洲企业（日本除外），对以上两类企业的投资合计不低于股票资产的80%</w:t>
      </w:r>
      <w:r w:rsidR="00DB012E" w:rsidRPr="003307CA">
        <w:rPr>
          <w:rFonts w:asciiTheme="minorEastAsia" w:eastAsiaTheme="minorEastAsia" w:hAnsiTheme="minorEastAsia" w:hint="eastAsia"/>
          <w:szCs w:val="21"/>
        </w:rPr>
        <w:t>；其他不高于20%的股票资产可以根据投资策略投资于超出前述投资范围的其他市场的企业</w:t>
      </w:r>
      <w:r w:rsidR="008160B1" w:rsidRPr="003307CA">
        <w:rPr>
          <w:rFonts w:asciiTheme="minorEastAsia" w:eastAsiaTheme="minorEastAsia" w:hAnsiTheme="minorEastAsia" w:hint="eastAsia"/>
          <w:szCs w:val="21"/>
        </w:rPr>
        <w:t>。上述亚洲企业指注册登记或者总部在亚洲的企业。</w:t>
      </w:r>
    </w:p>
    <w:p w:rsidR="00785666" w:rsidRPr="003307CA" w:rsidRDefault="008160B1"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本基金投资于股票及其他权益类证券占基金资产的比例不低于60%，</w:t>
      </w:r>
      <w:r w:rsidR="00DB57AC" w:rsidRPr="003307CA">
        <w:rPr>
          <w:rFonts w:asciiTheme="minorEastAsia" w:eastAsiaTheme="minorEastAsia" w:hAnsiTheme="minorEastAsia" w:hint="eastAsia"/>
          <w:szCs w:val="21"/>
        </w:rPr>
        <w:t>现金、债券及中国证监会允许投资的其它金融工具市值占基金资产的比例不高于</w:t>
      </w:r>
      <w:r w:rsidR="00DB57AC" w:rsidRPr="003307CA">
        <w:rPr>
          <w:rFonts w:asciiTheme="minorEastAsia" w:eastAsiaTheme="minorEastAsia" w:hAnsiTheme="minorEastAsia"/>
          <w:szCs w:val="21"/>
        </w:rPr>
        <w:t>40%</w:t>
      </w:r>
      <w:r w:rsidR="00785666" w:rsidRPr="003307CA">
        <w:rPr>
          <w:rFonts w:asciiTheme="minorEastAsia" w:eastAsiaTheme="minorEastAsia" w:hAnsiTheme="minorEastAsia" w:hint="eastAsia"/>
          <w:szCs w:val="21"/>
        </w:rPr>
        <w:t>。</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如与中国证监会签订</w:t>
      </w:r>
      <w:r w:rsidRPr="003307CA">
        <w:rPr>
          <w:rFonts w:asciiTheme="minorEastAsia" w:eastAsiaTheme="minorEastAsia" w:hAnsiTheme="minorEastAsia"/>
          <w:szCs w:val="21"/>
        </w:rPr>
        <w:t>双边监管合作谅解备忘录</w:t>
      </w:r>
      <w:r w:rsidRPr="003307CA">
        <w:rPr>
          <w:rFonts w:asciiTheme="minorEastAsia" w:eastAsiaTheme="minorEastAsia" w:hAnsiTheme="minorEastAsia" w:hint="eastAsia"/>
          <w:szCs w:val="21"/>
        </w:rPr>
        <w:t>的国家</w:t>
      </w:r>
      <w:r w:rsidR="00671302" w:rsidRPr="003307CA">
        <w:rPr>
          <w:rFonts w:asciiTheme="minorEastAsia" w:eastAsiaTheme="minorEastAsia" w:hAnsiTheme="minorEastAsia" w:hint="eastAsia"/>
          <w:szCs w:val="21"/>
        </w:rPr>
        <w:t>/地区</w:t>
      </w:r>
      <w:r w:rsidRPr="003307CA">
        <w:rPr>
          <w:rFonts w:asciiTheme="minorEastAsia" w:eastAsiaTheme="minorEastAsia" w:hAnsiTheme="minorEastAsia" w:hint="eastAsia"/>
          <w:szCs w:val="21"/>
        </w:rPr>
        <w:t>增加、减少或变更，本基金投资的主要证券市场将相应调整。</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因基金规模或市场变化等因素导致投资组合不符合上述规定的，基金管理人应在合理的期限内调整基金的投资组合，以符合上述比例限定。法律法规另有规定时，从其规定。</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如法律法规或监管机构以后允许本基金投资其他品种，基金管理人在履行适当程序后，可以将其纳入投资范围，并可依据届时有效的法律法规适时合理地调整投资范围。</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（2）根据法律法规的规定及《基金合同》的约定，本基金投资组合遵循以下投资限制：</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szCs w:val="21"/>
        </w:rPr>
        <w:lastRenderedPageBreak/>
        <w:t>1</w:t>
      </w: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基金持有同一家银行的存款不得超过基金净值的20%。在基金托管账户的存款可以不受上述限制。</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szCs w:val="21"/>
        </w:rPr>
        <w:t>2</w:t>
      </w: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基金持有同一机构（政府、国际金融组织除外）发行的证券市值不得超过基金</w:t>
      </w:r>
      <w:r w:rsidRPr="003307CA">
        <w:rPr>
          <w:rFonts w:asciiTheme="minorEastAsia" w:eastAsiaTheme="minorEastAsia" w:hAnsiTheme="minorEastAsia" w:hint="eastAsia"/>
          <w:szCs w:val="21"/>
        </w:rPr>
        <w:t>资产</w:t>
      </w:r>
      <w:r w:rsidRPr="003307CA">
        <w:rPr>
          <w:rFonts w:asciiTheme="minorEastAsia" w:eastAsiaTheme="minorEastAsia" w:hAnsiTheme="minorEastAsia"/>
          <w:szCs w:val="21"/>
        </w:rPr>
        <w:t>净值的10%。</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szCs w:val="21"/>
        </w:rPr>
        <w:t>3</w:t>
      </w: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szCs w:val="21"/>
        </w:rPr>
        <w:t>4</w:t>
      </w:r>
      <w:r w:rsidRPr="003307CA">
        <w:rPr>
          <w:rFonts w:asciiTheme="minorEastAsia" w:eastAsiaTheme="minorEastAsia" w:hAnsiTheme="minorEastAsia" w:hint="eastAsia"/>
          <w:szCs w:val="21"/>
        </w:rPr>
        <w:t>）同一基金管理人管理的全部基金不得持有同一机构10</w:t>
      </w:r>
      <w:r w:rsidR="007E1974"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以上具有投票权的证券发行总量。</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上述</w:t>
      </w:r>
      <w:r w:rsidRPr="003307CA">
        <w:rPr>
          <w:rFonts w:asciiTheme="minorEastAsia" w:eastAsiaTheme="minorEastAsia" w:hAnsiTheme="minorEastAsia"/>
          <w:szCs w:val="21"/>
        </w:rPr>
        <w:t>投资比例限制应当合并计算同一机构境内外上市的总股本，同时应当一并计算全球存托凭证和美国存托凭证所代表的基础证券，并假设对持有的股本权证行使转换。</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szCs w:val="21"/>
        </w:rPr>
        <w:t>5</w:t>
      </w:r>
      <w:r w:rsidRPr="003307CA">
        <w:rPr>
          <w:rFonts w:asciiTheme="minorEastAsia" w:eastAsiaTheme="minorEastAsia" w:hAnsiTheme="minorEastAsia" w:hint="eastAsia"/>
          <w:szCs w:val="21"/>
        </w:rPr>
        <w:t>）本</w:t>
      </w:r>
      <w:r w:rsidRPr="003307CA">
        <w:rPr>
          <w:rFonts w:asciiTheme="minorEastAsia" w:eastAsiaTheme="minorEastAsia" w:hAnsiTheme="minorEastAsia"/>
          <w:szCs w:val="21"/>
        </w:rPr>
        <w:t>基金持有非流动性资产市值不得超过基金</w:t>
      </w:r>
      <w:r w:rsidRPr="003307CA">
        <w:rPr>
          <w:rFonts w:asciiTheme="minorEastAsia" w:eastAsiaTheme="minorEastAsia" w:hAnsiTheme="minorEastAsia" w:hint="eastAsia"/>
          <w:szCs w:val="21"/>
        </w:rPr>
        <w:t>资产</w:t>
      </w:r>
      <w:r w:rsidRPr="003307CA">
        <w:rPr>
          <w:rFonts w:asciiTheme="minorEastAsia" w:eastAsiaTheme="minorEastAsia" w:hAnsiTheme="minorEastAsia"/>
          <w:szCs w:val="21"/>
        </w:rPr>
        <w:t>净值的10%。</w:t>
      </w:r>
    </w:p>
    <w:p w:rsidR="00785666" w:rsidRPr="003307CA"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上述</w:t>
      </w:r>
      <w:r w:rsidRPr="003307CA">
        <w:rPr>
          <w:rFonts w:asciiTheme="minorEastAsia" w:eastAsiaTheme="minorEastAsia" w:hAnsiTheme="minorEastAsia"/>
          <w:szCs w:val="21"/>
        </w:rPr>
        <w:t>非流动性资产是指法律或基金合同规定的流通受限证券以及中国证监会认定的其他资产。</w:t>
      </w:r>
    </w:p>
    <w:p w:rsidR="00785666" w:rsidRPr="003307CA" w:rsidRDefault="00785666" w:rsidP="00CE3F81">
      <w:pPr>
        <w:pStyle w:val="af0"/>
        <w:snapToGrid w:val="0"/>
        <w:spacing w:line="360" w:lineRule="auto"/>
        <w:ind w:firstLineChars="200"/>
        <w:rPr>
          <w:rFonts w:asciiTheme="minorEastAsia" w:eastAsiaTheme="minorEastAsia" w:hAnsiTheme="minorEastAsia" w:cs="Arial"/>
          <w:szCs w:val="21"/>
        </w:rPr>
      </w:pPr>
      <w:r w:rsidRPr="003307CA">
        <w:rPr>
          <w:rFonts w:asciiTheme="minorEastAsia" w:eastAsiaTheme="minorEastAsia" w:hAnsiTheme="minorEastAsia" w:hint="eastAsia"/>
        </w:rPr>
        <w:t>6）</w:t>
      </w:r>
      <w:r w:rsidRPr="003307CA">
        <w:rPr>
          <w:rFonts w:asciiTheme="minorEastAsia" w:eastAsiaTheme="minorEastAsia" w:hAnsiTheme="minorEastAsia" w:cs="Arial"/>
          <w:szCs w:val="21"/>
        </w:rPr>
        <w:t>基金持有境外基金的市值合计不得超过基金</w:t>
      </w:r>
      <w:r w:rsidRPr="003307CA">
        <w:rPr>
          <w:rFonts w:asciiTheme="minorEastAsia" w:eastAsiaTheme="minorEastAsia" w:hAnsiTheme="minorEastAsia" w:cs="Arial" w:hint="eastAsia"/>
          <w:szCs w:val="21"/>
        </w:rPr>
        <w:t>资产</w:t>
      </w:r>
      <w:r w:rsidRPr="003307CA">
        <w:rPr>
          <w:rFonts w:asciiTheme="minorEastAsia" w:eastAsiaTheme="minorEastAsia" w:hAnsiTheme="minorEastAsia" w:cs="Arial"/>
          <w:szCs w:val="21"/>
        </w:rPr>
        <w:t>净值的10%。</w:t>
      </w:r>
      <w:r w:rsidRPr="003307CA">
        <w:rPr>
          <w:rFonts w:asciiTheme="minorEastAsia" w:eastAsiaTheme="minorEastAsia" w:hAnsiTheme="minorEastAsia" w:cs="Arial" w:hint="eastAsia"/>
          <w:szCs w:val="21"/>
        </w:rPr>
        <w:t>但</w:t>
      </w:r>
      <w:r w:rsidRPr="003307CA">
        <w:rPr>
          <w:rFonts w:asciiTheme="minorEastAsia" w:eastAsiaTheme="minorEastAsia" w:hAnsiTheme="minorEastAsia" w:cs="Arial"/>
          <w:szCs w:val="21"/>
        </w:rPr>
        <w:t>持有货币市场基金可以不受上述限制。</w:t>
      </w:r>
    </w:p>
    <w:p w:rsidR="00785666" w:rsidRPr="003307CA" w:rsidRDefault="00785666" w:rsidP="00CE3F81">
      <w:pPr>
        <w:pStyle w:val="af0"/>
        <w:snapToGrid w:val="0"/>
        <w:spacing w:line="360" w:lineRule="auto"/>
        <w:ind w:firstLineChars="200"/>
        <w:rPr>
          <w:rFonts w:asciiTheme="minorEastAsia" w:eastAsiaTheme="minorEastAsia" w:hAnsiTheme="minorEastAsia" w:cs="Arial"/>
          <w:szCs w:val="21"/>
        </w:rPr>
      </w:pPr>
      <w:r w:rsidRPr="003307CA">
        <w:rPr>
          <w:rFonts w:asciiTheme="minorEastAsia" w:eastAsiaTheme="minorEastAsia" w:hAnsiTheme="minorEastAsia" w:cs="Arial" w:hint="eastAsia"/>
          <w:szCs w:val="21"/>
        </w:rPr>
        <w:t>7）</w:t>
      </w:r>
      <w:r w:rsidRPr="003307CA">
        <w:rPr>
          <w:rFonts w:asciiTheme="minorEastAsia" w:eastAsiaTheme="minorEastAsia" w:hAnsiTheme="minorEastAsia" w:cs="Arial"/>
          <w:szCs w:val="21"/>
        </w:rPr>
        <w:t>同一</w:t>
      </w:r>
      <w:r w:rsidRPr="003307CA">
        <w:rPr>
          <w:rFonts w:asciiTheme="minorEastAsia" w:eastAsiaTheme="minorEastAsia" w:hAnsiTheme="minorEastAsia" w:cs="Arial" w:hint="eastAsia"/>
          <w:szCs w:val="21"/>
        </w:rPr>
        <w:t>基金管理人</w:t>
      </w:r>
      <w:r w:rsidRPr="003307CA">
        <w:rPr>
          <w:rFonts w:asciiTheme="minorEastAsia" w:eastAsiaTheme="minorEastAsia" w:hAnsiTheme="minorEastAsia" w:cs="Arial"/>
          <w:szCs w:val="21"/>
        </w:rPr>
        <w:t>管理的全部基金持有任何一只境外基金，不得超过该境外基金总份额的20％。</w:t>
      </w:r>
    </w:p>
    <w:p w:rsidR="00AE0B52" w:rsidRPr="003307CA" w:rsidRDefault="00AE0B52" w:rsidP="00AE0B52">
      <w:pPr>
        <w:autoSpaceDE w:val="0"/>
        <w:autoSpaceDN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t>8）</w:t>
      </w:r>
      <w:r w:rsidRPr="003307CA">
        <w:rPr>
          <w:rFonts w:asciiTheme="minorEastAsia" w:eastAsiaTheme="minorEastAsia" w:hAnsiTheme="minorEastAsia" w:cs="宋体" w:hint="eastAsia"/>
          <w:szCs w:val="21"/>
        </w:rPr>
        <w:t>本基金管理人管理且由本基金托管人托管</w:t>
      </w:r>
      <w:r w:rsidRPr="003307CA">
        <w:rPr>
          <w:rFonts w:asciiTheme="minorEastAsia" w:eastAsiaTheme="minorEastAsia" w:hAnsiTheme="minorEastAsia" w:cs="Arial" w:hint="eastAsia"/>
          <w:szCs w:val="21"/>
        </w:rPr>
        <w:t>的全部开放式基金持有一家上市公司发行的可流通股票，不得超过该上市公司可流通股票的</w:t>
      </w:r>
      <w:r w:rsidRPr="003307CA">
        <w:rPr>
          <w:rFonts w:asciiTheme="minorEastAsia" w:eastAsiaTheme="minorEastAsia" w:hAnsiTheme="minorEastAsia" w:cs="Arial"/>
          <w:szCs w:val="21"/>
        </w:rPr>
        <w:t>15%</w:t>
      </w:r>
      <w:r w:rsidRPr="003307CA">
        <w:rPr>
          <w:rFonts w:asciiTheme="minorEastAsia" w:eastAsiaTheme="minorEastAsia" w:hAnsiTheme="minorEastAsia" w:cs="Arial" w:hint="eastAsia"/>
          <w:szCs w:val="21"/>
        </w:rPr>
        <w:t>；本基金管理人管理的全部投资组合持有一家上市公司发行的可流通股票，不得超过该上市公司可流通股票的</w:t>
      </w:r>
      <w:r w:rsidRPr="003307CA">
        <w:rPr>
          <w:rFonts w:asciiTheme="minorEastAsia" w:eastAsiaTheme="minorEastAsia" w:hAnsiTheme="minorEastAsia" w:cs="Arial"/>
          <w:szCs w:val="21"/>
        </w:rPr>
        <w:t>30%</w:t>
      </w:r>
      <w:r w:rsidRPr="003307CA">
        <w:rPr>
          <w:rFonts w:asciiTheme="minorEastAsia" w:eastAsiaTheme="minorEastAsia" w:hAnsiTheme="minorEastAsia" w:cs="Arial" w:hint="eastAsia"/>
          <w:szCs w:val="21"/>
        </w:rPr>
        <w:t>。</w:t>
      </w:r>
    </w:p>
    <w:p w:rsidR="00AE0B52" w:rsidRPr="003307CA" w:rsidRDefault="00AE0B52" w:rsidP="00AE0B52">
      <w:pPr>
        <w:autoSpaceDE w:val="0"/>
        <w:autoSpaceDN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t>9）本基金主动投资于流动性受限资产的市值合计不得超过该基金资产净值的</w:t>
      </w:r>
      <w:r w:rsidRPr="003307CA">
        <w:rPr>
          <w:rFonts w:asciiTheme="minorEastAsia" w:eastAsiaTheme="minorEastAsia" w:hAnsiTheme="minorEastAsia" w:cs="Arial"/>
          <w:szCs w:val="21"/>
        </w:rPr>
        <w:t>15%</w:t>
      </w:r>
      <w:r w:rsidRPr="003307CA">
        <w:rPr>
          <w:rFonts w:asciiTheme="minorEastAsia" w:eastAsiaTheme="minorEastAsia" w:hAnsiTheme="minorEastAsia" w:cs="Arial" w:hint="eastAsia"/>
          <w:szCs w:val="21"/>
        </w:rPr>
        <w:t>。</w:t>
      </w:r>
    </w:p>
    <w:p w:rsidR="00AE0B52" w:rsidRPr="003307CA" w:rsidRDefault="00AE0B52" w:rsidP="00AE0B52">
      <w:pPr>
        <w:autoSpaceDE w:val="0"/>
        <w:autoSpaceDN w:val="0"/>
        <w:spacing w:line="360" w:lineRule="auto"/>
        <w:ind w:firstLineChars="200" w:firstLine="420"/>
        <w:textAlignment w:val="bottom"/>
        <w:rPr>
          <w:rFonts w:asciiTheme="minorEastAsia" w:eastAsiaTheme="minorEastAsia" w:hAnsiTheme="minorEastAsia" w:cs="Arial"/>
          <w:szCs w:val="21"/>
        </w:rPr>
      </w:pPr>
      <w:r w:rsidRPr="003307CA">
        <w:rPr>
          <w:rFonts w:asciiTheme="minorEastAsia" w:eastAsiaTheme="minorEastAsia" w:hAnsiTheme="minorEastAsia" w:cs="Arial" w:hint="eastAsia"/>
          <w:szCs w:val="21"/>
        </w:rPr>
        <w:t>因证券市场波动、上市公司股票停牌、基金规模变动等基金管理人之外的因素致使基金不符合前款所规定比例限制的，基金管理人不得主动新增流动性受限资产的投资。</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若基金超过上述</w:t>
      </w:r>
      <w:r w:rsidRPr="003307CA">
        <w:rPr>
          <w:rFonts w:asciiTheme="minorEastAsia" w:eastAsiaTheme="minorEastAsia" w:hAnsiTheme="minorEastAsia" w:cs="Arial" w:hint="eastAsia"/>
          <w:szCs w:val="21"/>
        </w:rPr>
        <w:t>1</w:t>
      </w:r>
      <w:r w:rsidR="008B47A1" w:rsidRPr="003307CA">
        <w:rPr>
          <w:rFonts w:asciiTheme="minorEastAsia" w:eastAsiaTheme="minorEastAsia" w:hAnsiTheme="minorEastAsia" w:cs="Arial" w:hint="eastAsia"/>
          <w:szCs w:val="21"/>
        </w:rPr>
        <w:t>）</w:t>
      </w:r>
      <w:r w:rsidRPr="003307CA">
        <w:rPr>
          <w:rFonts w:asciiTheme="minorEastAsia" w:eastAsiaTheme="minorEastAsia" w:hAnsiTheme="minorEastAsia" w:cs="Arial" w:hint="eastAsia"/>
          <w:szCs w:val="21"/>
        </w:rPr>
        <w:t>-</w:t>
      </w:r>
      <w:r w:rsidR="008B47A1" w:rsidRPr="003307CA">
        <w:rPr>
          <w:rFonts w:asciiTheme="minorEastAsia" w:eastAsiaTheme="minorEastAsia" w:hAnsiTheme="minorEastAsia" w:cs="Arial" w:hint="eastAsia"/>
          <w:szCs w:val="21"/>
        </w:rPr>
        <w:t>7）</w:t>
      </w:r>
      <w:r w:rsidRPr="003307CA">
        <w:rPr>
          <w:rFonts w:asciiTheme="minorEastAsia" w:eastAsiaTheme="minorEastAsia" w:hAnsiTheme="minorEastAsia" w:cs="Arial" w:hint="eastAsia"/>
          <w:szCs w:val="21"/>
        </w:rPr>
        <w:t>项</w:t>
      </w:r>
      <w:r w:rsidRPr="003307CA">
        <w:rPr>
          <w:rFonts w:asciiTheme="minorEastAsia" w:eastAsiaTheme="minorEastAsia" w:hAnsiTheme="minorEastAsia" w:cs="Arial"/>
          <w:szCs w:val="21"/>
        </w:rPr>
        <w:t>投资比例限制，应当在超过比例后30个工作日内采用合理的商业措施减仓以符合投资比例限制要求。</w:t>
      </w:r>
      <w:r w:rsidR="00AE0B52" w:rsidRPr="003307CA">
        <w:rPr>
          <w:rFonts w:asciiTheme="minorEastAsia" w:eastAsiaTheme="minorEastAsia" w:hAnsiTheme="minorEastAsia" w:hint="eastAsia"/>
        </w:rPr>
        <w:t>因证券市场波动、证券发行人合并、基金规模变动等基金管理人之外的因素致使基金投资比例不符合上述第8</w:t>
      </w:r>
      <w:r w:rsidR="00AE0B52" w:rsidRPr="003307CA">
        <w:rPr>
          <w:rFonts w:asciiTheme="minorEastAsia" w:eastAsiaTheme="minorEastAsia" w:hAnsiTheme="minorEastAsia" w:cs="Arial" w:hint="eastAsia"/>
          <w:szCs w:val="21"/>
        </w:rPr>
        <w:t>）</w:t>
      </w:r>
      <w:r w:rsidR="00AE0B52" w:rsidRPr="003307CA">
        <w:rPr>
          <w:rFonts w:asciiTheme="minorEastAsia" w:eastAsiaTheme="minorEastAsia" w:hAnsiTheme="minorEastAsia" w:hint="eastAsia"/>
        </w:rPr>
        <w:t>项</w:t>
      </w:r>
      <w:r w:rsidR="00AE0B52" w:rsidRPr="003307CA">
        <w:rPr>
          <w:rFonts w:asciiTheme="minorEastAsia" w:eastAsiaTheme="minorEastAsia" w:hAnsiTheme="minorEastAsia"/>
        </w:rPr>
        <w:t>规定投资比例</w:t>
      </w:r>
      <w:r w:rsidR="00AE0B52" w:rsidRPr="003307CA">
        <w:rPr>
          <w:rFonts w:asciiTheme="minorEastAsia" w:eastAsiaTheme="minorEastAsia" w:hAnsiTheme="minorEastAsia" w:hint="eastAsia"/>
        </w:rPr>
        <w:t>的，基金管理人应当在</w:t>
      </w:r>
      <w:r w:rsidR="00AE0B52" w:rsidRPr="003307CA">
        <w:rPr>
          <w:rFonts w:asciiTheme="minorEastAsia" w:eastAsiaTheme="minorEastAsia" w:hAnsiTheme="minorEastAsia"/>
        </w:rPr>
        <w:t>10</w:t>
      </w:r>
      <w:r w:rsidR="00AE0B52" w:rsidRPr="003307CA">
        <w:rPr>
          <w:rFonts w:asciiTheme="minorEastAsia" w:eastAsiaTheme="minorEastAsia" w:hAnsiTheme="minorEastAsia" w:hint="eastAsia"/>
        </w:rPr>
        <w:t>个交易日内进行调整，但中国证监会规定的特殊情形除外。</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rPr>
        <w:t>对于因基金份额拆分、大比例分红等集中持续营销活动引起的基金净资产规模在10个</w:t>
      </w:r>
      <w:r w:rsidRPr="003307CA">
        <w:rPr>
          <w:rFonts w:asciiTheme="minorEastAsia" w:eastAsiaTheme="minorEastAsia" w:hAnsiTheme="minorEastAsia" w:hint="eastAsia"/>
        </w:rPr>
        <w:t>工作</w:t>
      </w:r>
      <w:r w:rsidRPr="003307CA">
        <w:rPr>
          <w:rFonts w:asciiTheme="minorEastAsia" w:eastAsiaTheme="minorEastAsia" w:hAnsiTheme="minorEastAsia"/>
        </w:rPr>
        <w:t>日内增加10亿元以上的情形，而导致证券投资比例低于基金合同约定的，基金管理人同基金托管人协商一致并及时书面报告中国证监会后，可将调整时限从</w:t>
      </w:r>
      <w:r w:rsidRPr="003307CA">
        <w:rPr>
          <w:rFonts w:asciiTheme="minorEastAsia" w:eastAsiaTheme="minorEastAsia" w:hAnsiTheme="minorEastAsia" w:hint="eastAsia"/>
        </w:rPr>
        <w:t>3</w:t>
      </w:r>
      <w:r w:rsidRPr="003307CA">
        <w:rPr>
          <w:rFonts w:asciiTheme="minorEastAsia" w:eastAsiaTheme="minorEastAsia" w:hAnsiTheme="minorEastAsia"/>
        </w:rPr>
        <w:t>0个</w:t>
      </w:r>
      <w:r w:rsidRPr="003307CA">
        <w:rPr>
          <w:rFonts w:asciiTheme="minorEastAsia" w:eastAsiaTheme="minorEastAsia" w:hAnsiTheme="minorEastAsia" w:hint="eastAsia"/>
        </w:rPr>
        <w:t>工作</w:t>
      </w:r>
      <w:r w:rsidRPr="003307CA">
        <w:rPr>
          <w:rFonts w:asciiTheme="minorEastAsia" w:eastAsiaTheme="minorEastAsia" w:hAnsiTheme="minorEastAsia"/>
        </w:rPr>
        <w:t>日延长到</w:t>
      </w:r>
      <w:r w:rsidRPr="003307CA">
        <w:rPr>
          <w:rFonts w:asciiTheme="minorEastAsia" w:eastAsiaTheme="minorEastAsia" w:hAnsiTheme="minorEastAsia"/>
          <w:szCs w:val="21"/>
        </w:rPr>
        <w:t>3个月。</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9）本</w:t>
      </w:r>
      <w:r w:rsidRPr="003307CA">
        <w:rPr>
          <w:rFonts w:asciiTheme="minorEastAsia" w:eastAsiaTheme="minorEastAsia" w:hAnsiTheme="minorEastAsia" w:cs="Arial"/>
          <w:szCs w:val="21"/>
        </w:rPr>
        <w:t>基金投资衍生品应当仅限于投资组合避险或有效管理，不得用于投机或放大交易，</w:t>
      </w:r>
      <w:r w:rsidRPr="003307CA">
        <w:rPr>
          <w:rFonts w:asciiTheme="minorEastAsia" w:eastAsiaTheme="minorEastAsia" w:hAnsiTheme="minorEastAsia" w:cs="Arial"/>
          <w:szCs w:val="21"/>
        </w:rPr>
        <w:lastRenderedPageBreak/>
        <w:t>同时应当严格遵守下列规定：</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A.本</w:t>
      </w:r>
      <w:r w:rsidRPr="003307CA">
        <w:rPr>
          <w:rFonts w:asciiTheme="minorEastAsia" w:eastAsiaTheme="minorEastAsia" w:hAnsiTheme="minorEastAsia" w:cs="Arial"/>
          <w:szCs w:val="21"/>
        </w:rPr>
        <w:t>基金的金融衍生品全部敞口不得高于基金资产净值的100％。</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B.本</w:t>
      </w:r>
      <w:r w:rsidRPr="003307CA">
        <w:rPr>
          <w:rFonts w:asciiTheme="minorEastAsia" w:eastAsiaTheme="minorEastAsia" w:hAnsiTheme="minorEastAsia" w:cs="Arial"/>
          <w:szCs w:val="21"/>
        </w:rPr>
        <w:t>基金投资期货支付的初始保证金、投资期权支付或收取的期权费、投资柜台交易衍生品支付的初始费用的总额不得高于基金资产净值的10％。</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C.本</w:t>
      </w:r>
      <w:r w:rsidRPr="003307CA">
        <w:rPr>
          <w:rFonts w:asciiTheme="minorEastAsia" w:eastAsiaTheme="minorEastAsia" w:hAnsiTheme="minorEastAsia" w:cs="Arial"/>
          <w:szCs w:val="21"/>
        </w:rPr>
        <w:t>基金投资于远期合约、互换等柜台交易金融衍生品，应当符合以下要求：</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a.</w:t>
      </w:r>
      <w:r w:rsidRPr="003307CA">
        <w:rPr>
          <w:rFonts w:asciiTheme="minorEastAsia" w:eastAsiaTheme="minorEastAsia" w:hAnsiTheme="minorEastAsia" w:cs="Arial"/>
          <w:szCs w:val="21"/>
        </w:rPr>
        <w:t>所有参与交易的对手方（中资商业银行除外）应当具有不低于中国证监会认可的信用评级机构评级</w:t>
      </w:r>
      <w:r w:rsidRPr="003307CA">
        <w:rPr>
          <w:rFonts w:asciiTheme="minorEastAsia" w:eastAsiaTheme="minorEastAsia" w:hAnsiTheme="minorEastAsia" w:cs="Arial" w:hint="eastAsia"/>
          <w:szCs w:val="21"/>
        </w:rPr>
        <w:t>；</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b.</w:t>
      </w:r>
      <w:r w:rsidRPr="003307CA">
        <w:rPr>
          <w:rFonts w:asciiTheme="minorEastAsia" w:eastAsiaTheme="minorEastAsia" w:hAnsiTheme="minorEastAsia" w:cs="Arial"/>
          <w:szCs w:val="21"/>
        </w:rPr>
        <w:t>交易对手方应当至少每个工作日对交易进行估值，并且基金可在任何时候以公允价值终止交易</w:t>
      </w:r>
      <w:r w:rsidRPr="003307CA">
        <w:rPr>
          <w:rFonts w:asciiTheme="minorEastAsia" w:eastAsiaTheme="minorEastAsia" w:hAnsiTheme="minorEastAsia" w:cs="Arial" w:hint="eastAsia"/>
          <w:szCs w:val="21"/>
        </w:rPr>
        <w:t>；</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c.</w:t>
      </w:r>
      <w:r w:rsidRPr="003307CA">
        <w:rPr>
          <w:rFonts w:asciiTheme="minorEastAsia" w:eastAsiaTheme="minorEastAsia" w:hAnsiTheme="minorEastAsia" w:cs="Arial"/>
          <w:szCs w:val="21"/>
        </w:rPr>
        <w:t>任一交易对手方的市值计价敞口不得超过基金资产净值的20％</w:t>
      </w:r>
      <w:r w:rsidRPr="003307CA">
        <w:rPr>
          <w:rFonts w:asciiTheme="minorEastAsia" w:eastAsiaTheme="minorEastAsia" w:hAnsiTheme="minorEastAsia" w:cs="Arial" w:hint="eastAsia"/>
          <w:szCs w:val="21"/>
        </w:rPr>
        <w:t>；</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10）本基金可以参与证券借贷交易，并且应当遵守下列规定：</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A.</w:t>
      </w:r>
      <w:r w:rsidRPr="003307CA">
        <w:rPr>
          <w:rFonts w:asciiTheme="minorEastAsia" w:eastAsiaTheme="minorEastAsia" w:hAnsiTheme="minorEastAsia" w:cs="Arial"/>
          <w:szCs w:val="21"/>
        </w:rPr>
        <w:t>所有参与交易的对手方（中资商业银行除外）应当具有中国证监会认可的信用评级机构评级。</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B.</w:t>
      </w:r>
      <w:r w:rsidRPr="003307CA">
        <w:rPr>
          <w:rFonts w:asciiTheme="minorEastAsia" w:eastAsiaTheme="minorEastAsia" w:hAnsiTheme="minorEastAsia" w:cs="Arial"/>
          <w:szCs w:val="21"/>
        </w:rPr>
        <w:t>应当采取市值计价制度进行调整以确保担保物市值不低于已借出证券市值的102％。</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C.</w:t>
      </w:r>
      <w:r w:rsidRPr="003307CA">
        <w:rPr>
          <w:rFonts w:asciiTheme="minorEastAsia" w:eastAsiaTheme="minorEastAsia" w:hAnsiTheme="minorEastAsia" w:cs="Arial"/>
          <w:szCs w:val="21"/>
        </w:rPr>
        <w:t>借方应当在交易期内及时向</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基金支付已借出证券产生的所有股息、利息和分红。一旦借方违约，</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基金根据协议和有关法律有权保留和处置担保物以满足索赔需要。</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D.</w:t>
      </w:r>
      <w:r w:rsidRPr="003307CA">
        <w:rPr>
          <w:rFonts w:asciiTheme="minorEastAsia" w:eastAsiaTheme="minorEastAsia" w:hAnsiTheme="minorEastAsia" w:cs="Arial"/>
          <w:szCs w:val="21"/>
        </w:rPr>
        <w:t>除中国证监会另有规定外，担保物可以是以下金融工具或品种：</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a.</w:t>
      </w:r>
      <w:r w:rsidRPr="003307CA">
        <w:rPr>
          <w:rFonts w:asciiTheme="minorEastAsia" w:eastAsiaTheme="minorEastAsia" w:hAnsiTheme="minorEastAsia" w:cs="Arial"/>
          <w:szCs w:val="21"/>
        </w:rPr>
        <w:t>现金；</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b.</w:t>
      </w:r>
      <w:r w:rsidRPr="003307CA">
        <w:rPr>
          <w:rFonts w:asciiTheme="minorEastAsia" w:eastAsiaTheme="minorEastAsia" w:hAnsiTheme="minorEastAsia" w:cs="Arial"/>
          <w:szCs w:val="21"/>
        </w:rPr>
        <w:t>存款证明；</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c.</w:t>
      </w:r>
      <w:r w:rsidRPr="003307CA">
        <w:rPr>
          <w:rFonts w:asciiTheme="minorEastAsia" w:eastAsiaTheme="minorEastAsia" w:hAnsiTheme="minorEastAsia" w:cs="Arial"/>
          <w:szCs w:val="21"/>
        </w:rPr>
        <w:t>商业票据；</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d.</w:t>
      </w:r>
      <w:r w:rsidRPr="003307CA">
        <w:rPr>
          <w:rFonts w:asciiTheme="minorEastAsia" w:eastAsiaTheme="minorEastAsia" w:hAnsiTheme="minorEastAsia" w:cs="Arial"/>
          <w:szCs w:val="21"/>
        </w:rPr>
        <w:t>政府债券；</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e.</w:t>
      </w:r>
      <w:r w:rsidRPr="003307CA">
        <w:rPr>
          <w:rFonts w:asciiTheme="minorEastAsia" w:eastAsiaTheme="minorEastAsia" w:hAnsiTheme="minorEastAsia" w:cs="Arial"/>
          <w:szCs w:val="21"/>
        </w:rPr>
        <w:t>中资商业银行或由不低于中国证监会认可的信用评级机构评级的境外金融机构（作为交易对手方或其关联方的除外）出具的不可撤销信用证。</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E.本</w:t>
      </w:r>
      <w:r w:rsidRPr="003307CA">
        <w:rPr>
          <w:rFonts w:asciiTheme="minorEastAsia" w:eastAsiaTheme="minorEastAsia" w:hAnsiTheme="minorEastAsia" w:cs="Arial"/>
          <w:szCs w:val="21"/>
        </w:rPr>
        <w:t>基金有权在任何时候终止证券借贷交易并在正常市场惯例的合理期限内要求归还任一或所有已借出的证券。</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F.</w:t>
      </w:r>
      <w:r w:rsidR="00634CA6" w:rsidRPr="003307CA">
        <w:rPr>
          <w:rFonts w:asciiTheme="minorEastAsia" w:eastAsiaTheme="minorEastAsia" w:hAnsiTheme="minorEastAsia" w:cs="Arial" w:hint="eastAsia"/>
          <w:szCs w:val="21"/>
        </w:rPr>
        <w:t>基金管理人</w:t>
      </w:r>
      <w:r w:rsidR="00634CA6" w:rsidRPr="003307CA">
        <w:rPr>
          <w:rFonts w:asciiTheme="minorEastAsia" w:eastAsiaTheme="minorEastAsia" w:hAnsiTheme="minorEastAsia" w:cs="Arial"/>
          <w:szCs w:val="21"/>
        </w:rPr>
        <w:t>应当对基金参与证券借贷交易中发生的任何损失负相应责任</w:t>
      </w:r>
      <w:r w:rsidRPr="003307CA">
        <w:rPr>
          <w:rFonts w:asciiTheme="minorEastAsia" w:eastAsiaTheme="minorEastAsia" w:hAnsiTheme="minorEastAsia" w:cs="Arial"/>
          <w:szCs w:val="21"/>
        </w:rPr>
        <w:t>。</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11）</w:t>
      </w:r>
      <w:r w:rsidRPr="003307CA">
        <w:rPr>
          <w:rFonts w:asciiTheme="minorEastAsia" w:eastAsiaTheme="minorEastAsia" w:hAnsiTheme="minorEastAsia" w:cs="Arial"/>
          <w:szCs w:val="21"/>
        </w:rPr>
        <w:t>基金可以根据正常市场惯例参与正回购交易、逆回购交易，并且应当遵守下列规定：</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A.</w:t>
      </w:r>
      <w:r w:rsidRPr="003307CA">
        <w:rPr>
          <w:rFonts w:asciiTheme="minorEastAsia" w:eastAsiaTheme="minorEastAsia" w:hAnsiTheme="minorEastAsia" w:cs="Arial"/>
          <w:szCs w:val="21"/>
        </w:rPr>
        <w:t>所有参与正回购交易的对手方（中资商业银行除外）应当具有中国证监会认可的信用评级机构信用评级。</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B.</w:t>
      </w:r>
      <w:r w:rsidRPr="003307CA">
        <w:rPr>
          <w:rFonts w:asciiTheme="minorEastAsia" w:eastAsiaTheme="minorEastAsia" w:hAnsiTheme="minorEastAsia" w:cs="Arial"/>
          <w:szCs w:val="21"/>
        </w:rPr>
        <w:t>参与正回购交易，应当采取市值计价制度对卖出收益进行调整以确保现金不低于已售出证券市值的102％。一旦买方违约，</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基金根据协议和有关法律有权保留或处置卖出收益以满足索赔需要。</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C.</w:t>
      </w:r>
      <w:r w:rsidRPr="003307CA">
        <w:rPr>
          <w:rFonts w:asciiTheme="minorEastAsia" w:eastAsiaTheme="minorEastAsia" w:hAnsiTheme="minorEastAsia" w:cs="Arial"/>
          <w:szCs w:val="21"/>
        </w:rPr>
        <w:t>买方应当在正回购交易期内及时向</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基金支付售出证券产生的所有股息、利息和分红。</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D.</w:t>
      </w:r>
      <w:r w:rsidRPr="003307CA">
        <w:rPr>
          <w:rFonts w:asciiTheme="minorEastAsia" w:eastAsiaTheme="minorEastAsia" w:hAnsiTheme="minorEastAsia" w:cs="Arial"/>
          <w:szCs w:val="21"/>
        </w:rPr>
        <w:t>参与逆回购交易，应当对购入证券采取市值计价制度进行调整以确保已购入证券市值</w:t>
      </w:r>
      <w:r w:rsidRPr="003307CA">
        <w:rPr>
          <w:rFonts w:asciiTheme="minorEastAsia" w:eastAsiaTheme="minorEastAsia" w:hAnsiTheme="minorEastAsia" w:cs="Arial"/>
          <w:szCs w:val="21"/>
        </w:rPr>
        <w:lastRenderedPageBreak/>
        <w:t>不低于支付现金的102％。一旦卖方违约，</w:t>
      </w:r>
      <w:r w:rsidRPr="003307CA">
        <w:rPr>
          <w:rFonts w:asciiTheme="minorEastAsia" w:eastAsiaTheme="minorEastAsia" w:hAnsiTheme="minorEastAsia" w:cs="Arial" w:hint="eastAsia"/>
          <w:szCs w:val="21"/>
        </w:rPr>
        <w:t>本</w:t>
      </w:r>
      <w:r w:rsidRPr="003307CA">
        <w:rPr>
          <w:rFonts w:asciiTheme="minorEastAsia" w:eastAsiaTheme="minorEastAsia" w:hAnsiTheme="minorEastAsia" w:cs="Arial"/>
          <w:szCs w:val="21"/>
        </w:rPr>
        <w:t>基金根据协议和有关法律有权保留或处置已购入证券以满足索赔需要。</w:t>
      </w:r>
    </w:p>
    <w:p w:rsidR="00785666" w:rsidRPr="003307CA" w:rsidRDefault="00785666" w:rsidP="00CE3F81">
      <w:pPr>
        <w:pStyle w:val="af0"/>
        <w:snapToGrid w:val="0"/>
        <w:spacing w:line="360" w:lineRule="auto"/>
        <w:ind w:firstLineChars="200"/>
        <w:rPr>
          <w:rFonts w:asciiTheme="minorEastAsia" w:eastAsiaTheme="minorEastAsia" w:hAnsiTheme="minorEastAsia" w:cs="Arial"/>
          <w:b/>
          <w:szCs w:val="21"/>
        </w:rPr>
      </w:pPr>
      <w:r w:rsidRPr="003307CA">
        <w:rPr>
          <w:rFonts w:asciiTheme="minorEastAsia" w:eastAsiaTheme="minorEastAsia" w:hAnsiTheme="minorEastAsia" w:cs="Arial" w:hint="eastAsia"/>
          <w:szCs w:val="21"/>
        </w:rPr>
        <w:t>12）</w:t>
      </w:r>
      <w:r w:rsidRPr="003307CA">
        <w:rPr>
          <w:rFonts w:asciiTheme="minorEastAsia" w:eastAsiaTheme="minorEastAsia" w:hAnsiTheme="minorEastAsia" w:cs="Arial"/>
          <w:szCs w:val="21"/>
        </w:rPr>
        <w:t>基金参与</w:t>
      </w:r>
      <w:r w:rsidRPr="003307CA">
        <w:rPr>
          <w:rFonts w:asciiTheme="minorEastAsia" w:eastAsiaTheme="minorEastAsia" w:hAnsiTheme="minorEastAsia" w:cs="Arial" w:hint="eastAsia"/>
          <w:szCs w:val="21"/>
        </w:rPr>
        <w:t>证券借贷交易、</w:t>
      </w:r>
      <w:r w:rsidRPr="003307CA">
        <w:rPr>
          <w:rFonts w:asciiTheme="minorEastAsia" w:eastAsiaTheme="minorEastAsia" w:hAnsiTheme="minorEastAsia" w:cs="Arial"/>
          <w:szCs w:val="21"/>
        </w:rPr>
        <w:t>正回购交易，所有</w:t>
      </w:r>
      <w:r w:rsidRPr="003307CA">
        <w:rPr>
          <w:rFonts w:asciiTheme="minorEastAsia" w:eastAsiaTheme="minorEastAsia" w:hAnsiTheme="minorEastAsia" w:cs="Arial" w:hint="eastAsia"/>
          <w:szCs w:val="21"/>
        </w:rPr>
        <w:t>已借出而未归还证券总市值或所有</w:t>
      </w:r>
      <w:r w:rsidRPr="003307CA">
        <w:rPr>
          <w:rFonts w:asciiTheme="minorEastAsia" w:eastAsiaTheme="minorEastAsia" w:hAnsiTheme="minorEastAsia" w:cs="Arial"/>
          <w:szCs w:val="21"/>
        </w:rPr>
        <w:t>已售出而未回购证券总市值均不得超过基金总资产的50％。</w:t>
      </w:r>
    </w:p>
    <w:p w:rsidR="00785666" w:rsidRPr="003307CA" w:rsidRDefault="00EF4C77"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cs="Arial" w:hint="eastAsia"/>
          <w:szCs w:val="21"/>
        </w:rPr>
        <w:t>前项比例限制计算，基金因参与证券借贷交易、正回购交易而持有的担保物、现金不得计入基金总资产</w:t>
      </w:r>
      <w:r w:rsidR="00785666" w:rsidRPr="003307CA">
        <w:rPr>
          <w:rFonts w:asciiTheme="minorEastAsia" w:eastAsiaTheme="minorEastAsia" w:hAnsiTheme="minorEastAsia" w:cs="Arial"/>
          <w:szCs w:val="21"/>
        </w:rPr>
        <w:t>。</w:t>
      </w:r>
    </w:p>
    <w:p w:rsidR="00785666" w:rsidRPr="003307CA" w:rsidRDefault="00785666"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szCs w:val="21"/>
        </w:rPr>
        <w:t>《基金法》及其他有关法律法规或监管部门</w:t>
      </w:r>
      <w:r w:rsidRPr="003307CA">
        <w:rPr>
          <w:rFonts w:asciiTheme="minorEastAsia" w:eastAsiaTheme="minorEastAsia" w:hAnsiTheme="minorEastAsia" w:hint="eastAsia"/>
          <w:szCs w:val="21"/>
        </w:rPr>
        <w:t>取消</w:t>
      </w:r>
      <w:r w:rsidRPr="003307CA">
        <w:rPr>
          <w:rFonts w:asciiTheme="minorEastAsia" w:eastAsiaTheme="minorEastAsia" w:hAnsiTheme="minorEastAsia"/>
          <w:szCs w:val="21"/>
        </w:rPr>
        <w:t>上述限制</w:t>
      </w:r>
      <w:r w:rsidRPr="003307CA">
        <w:rPr>
          <w:rFonts w:asciiTheme="minorEastAsia" w:eastAsiaTheme="minorEastAsia" w:hAnsiTheme="minorEastAsia" w:hint="eastAsia"/>
          <w:szCs w:val="21"/>
        </w:rPr>
        <w:t>的</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履行适当程序后，基金不受上述限制</w:t>
      </w:r>
      <w:r w:rsidRPr="003307CA">
        <w:rPr>
          <w:rFonts w:asciiTheme="minorEastAsia" w:eastAsiaTheme="minorEastAsia" w:hAnsiTheme="minorEastAsia"/>
          <w:szCs w:val="21"/>
        </w:rPr>
        <w:t>。</w:t>
      </w:r>
    </w:p>
    <w:p w:rsidR="00785666" w:rsidRPr="003307CA" w:rsidRDefault="00785666" w:rsidP="00CE3F81">
      <w:pPr>
        <w:pStyle w:val="af0"/>
        <w:snapToGrid w:val="0"/>
        <w:spacing w:line="360" w:lineRule="auto"/>
        <w:ind w:firstLineChars="200"/>
        <w:rPr>
          <w:rFonts w:asciiTheme="minorEastAsia" w:eastAsiaTheme="minorEastAsia" w:hAnsiTheme="minorEastAsia"/>
          <w:bCs/>
          <w:kern w:val="0"/>
          <w:szCs w:val="21"/>
        </w:rPr>
      </w:pPr>
      <w:r w:rsidRPr="003307CA">
        <w:rPr>
          <w:rFonts w:asciiTheme="minorEastAsia" w:eastAsiaTheme="minorEastAsia" w:hAnsiTheme="minorEastAsia" w:cs="宋体" w:hint="eastAsia"/>
          <w:kern w:val="0"/>
          <w:szCs w:val="21"/>
        </w:rPr>
        <w:t>除投资资产配置外，基金托管人对基金的投资的监督和检查自本基金合同生效之日起开始。</w:t>
      </w:r>
    </w:p>
    <w:p w:rsidR="00785666" w:rsidRPr="003307CA" w:rsidRDefault="00785666" w:rsidP="00CE3F81">
      <w:pPr>
        <w:pStyle w:val="af0"/>
        <w:snapToGrid w:val="0"/>
        <w:spacing w:line="360" w:lineRule="auto"/>
        <w:ind w:firstLineChars="200"/>
        <w:rPr>
          <w:rFonts w:asciiTheme="minorEastAsia" w:eastAsiaTheme="minorEastAsia" w:hAnsiTheme="minorEastAsia" w:cs="宋体"/>
          <w:kern w:val="0"/>
          <w:szCs w:val="21"/>
        </w:rPr>
      </w:pPr>
      <w:r w:rsidRPr="003307CA">
        <w:rPr>
          <w:rFonts w:asciiTheme="minorEastAsia" w:eastAsiaTheme="minorEastAsia" w:hAnsiTheme="minorEastAsia" w:cs="宋体" w:hint="eastAsia"/>
          <w:kern w:val="0"/>
          <w:szCs w:val="21"/>
        </w:rPr>
        <w:t>（3）相关法律、法规或部门规章规定的其他比例限制。</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基金托管人对基金投资的监督和检查自《基金合同》生效之日起开始。</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基金托管人根据有关法律法规的规定及《基金合同》的约定对下述基金投资禁止行为进行监督：</w:t>
      </w:r>
    </w:p>
    <w:p w:rsidR="00785666" w:rsidRPr="003307CA" w:rsidRDefault="00785666"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根据法律法规的规定及《基金合同》的约定，本基金禁止从事下列行为：</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785666" w:rsidRPr="003307CA">
        <w:rPr>
          <w:rFonts w:asciiTheme="minorEastAsia" w:eastAsiaTheme="minorEastAsia" w:hAnsiTheme="minorEastAsia" w:hint="eastAsia"/>
          <w:szCs w:val="21"/>
        </w:rPr>
        <w:t>承销证券；</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785666" w:rsidRPr="003307CA">
        <w:rPr>
          <w:rFonts w:asciiTheme="minorEastAsia" w:eastAsiaTheme="minorEastAsia" w:hAnsiTheme="minorEastAsia" w:hint="eastAsia"/>
          <w:szCs w:val="21"/>
        </w:rPr>
        <w:t>向他人贷款或提供担保；</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785666" w:rsidRPr="003307CA">
        <w:rPr>
          <w:rFonts w:asciiTheme="minorEastAsia" w:eastAsiaTheme="minorEastAsia" w:hAnsiTheme="minorEastAsia"/>
          <w:szCs w:val="21"/>
        </w:rPr>
        <w:t>从事承担无限责任的投资；</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785666" w:rsidRPr="003307CA">
        <w:rPr>
          <w:rFonts w:asciiTheme="minorEastAsia" w:eastAsiaTheme="minorEastAsia" w:hAnsiTheme="minorEastAsia"/>
          <w:szCs w:val="21"/>
        </w:rPr>
        <w:t>购买不动产</w:t>
      </w:r>
      <w:r w:rsidR="00785666" w:rsidRPr="003307CA">
        <w:rPr>
          <w:rFonts w:asciiTheme="minorEastAsia" w:eastAsiaTheme="minorEastAsia" w:hAnsiTheme="minorEastAsia" w:hint="eastAsia"/>
          <w:szCs w:val="21"/>
        </w:rPr>
        <w:t>；</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785666" w:rsidRPr="003307CA">
        <w:rPr>
          <w:rFonts w:asciiTheme="minorEastAsia" w:eastAsiaTheme="minorEastAsia" w:hAnsiTheme="minorEastAsia"/>
          <w:szCs w:val="21"/>
        </w:rPr>
        <w:t>购买房地产抵押按揭</w:t>
      </w:r>
      <w:r w:rsidR="00785666" w:rsidRPr="003307CA">
        <w:rPr>
          <w:rFonts w:asciiTheme="minorEastAsia" w:eastAsiaTheme="minorEastAsia" w:hAnsiTheme="minorEastAsia" w:hint="eastAsia"/>
          <w:szCs w:val="21"/>
        </w:rPr>
        <w:t>；</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w:t>
      </w:r>
      <w:r w:rsidR="00785666" w:rsidRPr="003307CA">
        <w:rPr>
          <w:rFonts w:asciiTheme="minorEastAsia" w:eastAsiaTheme="minorEastAsia" w:hAnsiTheme="minorEastAsia"/>
          <w:szCs w:val="21"/>
        </w:rPr>
        <w:t>购买贵重金属或代表贵重金属的凭证</w:t>
      </w:r>
      <w:r w:rsidR="00785666" w:rsidRPr="003307CA">
        <w:rPr>
          <w:rFonts w:asciiTheme="minorEastAsia" w:eastAsiaTheme="minorEastAsia" w:hAnsiTheme="minorEastAsia" w:hint="eastAsia"/>
          <w:szCs w:val="21"/>
        </w:rPr>
        <w:t>；</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785666" w:rsidRPr="003307CA">
        <w:rPr>
          <w:rFonts w:asciiTheme="minorEastAsia" w:eastAsiaTheme="minorEastAsia" w:hAnsiTheme="minorEastAsia"/>
          <w:szCs w:val="21"/>
        </w:rPr>
        <w:t>购买实物商品</w:t>
      </w:r>
      <w:r w:rsidR="00785666" w:rsidRPr="003307CA">
        <w:rPr>
          <w:rFonts w:asciiTheme="minorEastAsia" w:eastAsiaTheme="minorEastAsia" w:hAnsiTheme="minorEastAsia" w:hint="eastAsia"/>
          <w:szCs w:val="21"/>
        </w:rPr>
        <w:t>；</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（8）</w:t>
      </w:r>
      <w:r w:rsidR="00785666" w:rsidRPr="003307CA">
        <w:rPr>
          <w:rFonts w:asciiTheme="minorEastAsia" w:eastAsiaTheme="minorEastAsia" w:hAnsiTheme="minorEastAsia"/>
          <w:szCs w:val="21"/>
        </w:rPr>
        <w:t>除应付赎回、交易清算等临时用途以外，借入现金</w:t>
      </w:r>
      <w:r w:rsidR="00785666" w:rsidRPr="003307CA">
        <w:rPr>
          <w:rFonts w:asciiTheme="minorEastAsia" w:eastAsiaTheme="minorEastAsia" w:hAnsiTheme="minorEastAsia" w:hint="eastAsia"/>
          <w:szCs w:val="21"/>
        </w:rPr>
        <w:t>；该临时用途借入现金的比例不得超过基金资产净值的10%；</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（9）</w:t>
      </w:r>
      <w:r w:rsidR="00785666" w:rsidRPr="003307CA">
        <w:rPr>
          <w:rFonts w:asciiTheme="minorEastAsia" w:eastAsiaTheme="minorEastAsia" w:hAnsiTheme="minorEastAsia"/>
          <w:szCs w:val="21"/>
        </w:rPr>
        <w:t>利用融资购买证券，但投资金融衍生品除外</w:t>
      </w:r>
      <w:r w:rsidR="00785666" w:rsidRPr="003307CA">
        <w:rPr>
          <w:rFonts w:asciiTheme="minorEastAsia" w:eastAsiaTheme="minorEastAsia" w:hAnsiTheme="minorEastAsia" w:hint="eastAsia"/>
          <w:szCs w:val="21"/>
        </w:rPr>
        <w:t>；</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（10）</w:t>
      </w:r>
      <w:r w:rsidR="00785666" w:rsidRPr="003307CA">
        <w:rPr>
          <w:rFonts w:asciiTheme="minorEastAsia" w:eastAsiaTheme="minorEastAsia" w:hAnsiTheme="minorEastAsia"/>
          <w:szCs w:val="21"/>
        </w:rPr>
        <w:t>参与未持有基础资产的卖空交易</w:t>
      </w:r>
      <w:r w:rsidR="00785666" w:rsidRPr="003307CA">
        <w:rPr>
          <w:rFonts w:asciiTheme="minorEastAsia" w:eastAsiaTheme="minorEastAsia" w:hAnsiTheme="minorEastAsia" w:hint="eastAsia"/>
          <w:szCs w:val="21"/>
        </w:rPr>
        <w:t>；</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（11）</w:t>
      </w:r>
      <w:r w:rsidR="00785666" w:rsidRPr="003307CA">
        <w:rPr>
          <w:rFonts w:asciiTheme="minorEastAsia" w:eastAsiaTheme="minorEastAsia" w:hAnsiTheme="minorEastAsia" w:hint="eastAsia"/>
          <w:szCs w:val="21"/>
        </w:rPr>
        <w:t>购买证券用于控制或影响发行该证券的机构或其管理层；</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（12）</w:t>
      </w:r>
      <w:r w:rsidR="00785666" w:rsidRPr="003307CA">
        <w:rPr>
          <w:rFonts w:asciiTheme="minorEastAsia" w:eastAsiaTheme="minorEastAsia" w:hAnsiTheme="minorEastAsia" w:hint="eastAsia"/>
          <w:szCs w:val="21"/>
        </w:rPr>
        <w:t>直接投资与实物商品相关的衍生品；</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（13）</w:t>
      </w:r>
      <w:r w:rsidR="00785666" w:rsidRPr="003307CA">
        <w:rPr>
          <w:rFonts w:asciiTheme="minorEastAsia" w:eastAsiaTheme="minorEastAsia" w:hAnsiTheme="minorEastAsia" w:hint="eastAsia"/>
          <w:szCs w:val="21"/>
        </w:rPr>
        <w:t>向基金管理人、基金托管人出资或者买卖其基金管理人、基金托管人发行的股票或债券；</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（14）</w:t>
      </w:r>
      <w:r w:rsidR="00785666" w:rsidRPr="003307CA">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（15）</w:t>
      </w:r>
      <w:r w:rsidR="00785666" w:rsidRPr="003307CA">
        <w:rPr>
          <w:rFonts w:asciiTheme="minorEastAsia" w:eastAsiaTheme="minorEastAsia" w:hAnsiTheme="minorEastAsia" w:hint="eastAsia"/>
          <w:szCs w:val="21"/>
        </w:rPr>
        <w:t>从事内幕交易、操纵证券价格及其他不正当的证券交易活动；</w:t>
      </w:r>
    </w:p>
    <w:p w:rsidR="00785666" w:rsidRPr="003307CA" w:rsidRDefault="007F6D3E" w:rsidP="007F6D3E">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（16）</w:t>
      </w:r>
      <w:r w:rsidR="00785666" w:rsidRPr="003307CA">
        <w:rPr>
          <w:rFonts w:asciiTheme="minorEastAsia" w:eastAsiaTheme="minorEastAsia" w:hAnsiTheme="minorEastAsia" w:hint="eastAsia"/>
          <w:szCs w:val="21"/>
        </w:rPr>
        <w:t>当时有效的法律法规、中国证监会及《基金合同》规定禁止从事的其他行为。</w:t>
      </w:r>
    </w:p>
    <w:p w:rsidR="00785666" w:rsidRPr="003307CA" w:rsidRDefault="007F6D3E" w:rsidP="00CE3F81">
      <w:pPr>
        <w:pStyle w:val="af0"/>
        <w:snapToGrid w:val="0"/>
        <w:spacing w:line="360" w:lineRule="auto"/>
        <w:ind w:firstLineChars="200"/>
        <w:rPr>
          <w:rFonts w:asciiTheme="minorEastAsia" w:eastAsiaTheme="minorEastAsia" w:hAnsiTheme="minorEastAsia"/>
          <w:bCs/>
          <w:kern w:val="0"/>
          <w:szCs w:val="21"/>
        </w:rPr>
      </w:pPr>
      <w:r w:rsidRPr="003307CA">
        <w:rPr>
          <w:rFonts w:asciiTheme="minorEastAsia" w:eastAsiaTheme="minorEastAsia" w:hAnsiTheme="minorEastAsia" w:cs="Arial" w:hint="eastAsia"/>
          <w:szCs w:val="21"/>
        </w:rPr>
        <w:lastRenderedPageBreak/>
        <w:t>（17）</w:t>
      </w:r>
      <w:r w:rsidR="00785666" w:rsidRPr="003307CA">
        <w:rPr>
          <w:rFonts w:asciiTheme="minorEastAsia" w:eastAsiaTheme="minorEastAsia" w:hAnsiTheme="minorEastAsia" w:cs="Arial"/>
          <w:szCs w:val="21"/>
        </w:rPr>
        <w:t>如法律</w:t>
      </w:r>
      <w:r w:rsidR="00785666" w:rsidRPr="003307CA">
        <w:rPr>
          <w:rFonts w:asciiTheme="minorEastAsia" w:eastAsiaTheme="minorEastAsia" w:hAnsiTheme="minorEastAsia"/>
          <w:bCs/>
          <w:kern w:val="0"/>
          <w:szCs w:val="21"/>
        </w:rPr>
        <w:t>法规</w:t>
      </w:r>
      <w:r w:rsidR="00785666" w:rsidRPr="003307CA">
        <w:rPr>
          <w:rFonts w:asciiTheme="minorEastAsia" w:eastAsiaTheme="minorEastAsia" w:hAnsiTheme="minorEastAsia"/>
          <w:szCs w:val="21"/>
        </w:rPr>
        <w:t>或监管部门取消上述禁止性规定，本基金管理人可不受上述规定的限制。</w:t>
      </w:r>
    </w:p>
    <w:p w:rsidR="00785666" w:rsidRPr="003307CA" w:rsidRDefault="00785666"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kern w:val="0"/>
          <w:szCs w:val="21"/>
        </w:rPr>
        <w:t>4</w:t>
      </w:r>
      <w:r w:rsidR="007F6D3E" w:rsidRPr="003307CA">
        <w:rPr>
          <w:rFonts w:asciiTheme="minorEastAsia" w:eastAsiaTheme="minorEastAsia" w:hAnsiTheme="minorEastAsia" w:hint="eastAsia"/>
          <w:kern w:val="0"/>
          <w:szCs w:val="21"/>
        </w:rPr>
        <w:t>、</w:t>
      </w:r>
      <w:r w:rsidRPr="003307CA">
        <w:rPr>
          <w:rFonts w:asciiTheme="minorEastAsia" w:eastAsiaTheme="minorEastAsia" w:hAnsiTheme="minorEastAsia" w:hint="eastAsia"/>
          <w:kern w:val="0"/>
          <w:szCs w:val="21"/>
        </w:rPr>
        <w:t>基金托管人依据有关法律法规的规定和《基金合同》的约定对于基金关联投资限制进行监督。</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785666" w:rsidRPr="003307CA" w:rsidRDefault="00785666" w:rsidP="00CE3F81">
      <w:pPr>
        <w:pStyle w:val="af0"/>
        <w:snapToGrid w:val="0"/>
        <w:spacing w:line="360" w:lineRule="auto"/>
        <w:ind w:firstLineChars="200"/>
        <w:rPr>
          <w:rFonts w:asciiTheme="minorEastAsia" w:eastAsiaTheme="minorEastAsia" w:hAnsiTheme="minorEastAsia"/>
          <w:bCs/>
          <w:kern w:val="0"/>
          <w:szCs w:val="21"/>
        </w:rPr>
      </w:pPr>
      <w:r w:rsidRPr="003307CA">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w:t>
      </w:r>
      <w:r w:rsidRPr="003307CA">
        <w:rPr>
          <w:rFonts w:asciiTheme="minorEastAsia" w:eastAsiaTheme="minorEastAsia" w:hAnsiTheme="minorEastAsia" w:hint="eastAsia"/>
          <w:bCs/>
          <w:kern w:val="0"/>
          <w:szCs w:val="21"/>
        </w:rPr>
        <w:t>告。</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基金托管人对基金管理人选择存款银行进行监督。</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kern w:val="0"/>
          <w:szCs w:val="21"/>
        </w:rPr>
        <w:t>本基金投资银行存款的信用风险主要包括存款银行的信用等级、存款银行的支付能力等涉及到存款银行选择方面的风险。</w:t>
      </w:r>
      <w:r w:rsidRPr="003307CA">
        <w:rPr>
          <w:rFonts w:asciiTheme="minorEastAsia" w:eastAsiaTheme="minorEastAsia" w:hAnsiTheme="minorEastAsia"/>
          <w:szCs w:val="21"/>
        </w:rPr>
        <w:t>基金投资银行存款的，其基金管理人应根据法律法规的规定及基金合同的约定，确定符合条件的所有存款银行的名单，并及时提供给基金托管人，基金托管人应据以对基金投资银行存款的交易对手是否符合有关规定进行监督。</w:t>
      </w:r>
      <w:r w:rsidRPr="003307CA">
        <w:rPr>
          <w:rFonts w:asciiTheme="minorEastAsia" w:eastAsiaTheme="minorEastAsia" w:hAnsiTheme="minorEastAsia" w:hint="eastAsia"/>
          <w:kern w:val="0"/>
          <w:szCs w:val="21"/>
        </w:rPr>
        <w:t>本</w:t>
      </w:r>
      <w:r w:rsidRPr="003307CA">
        <w:rPr>
          <w:rFonts w:asciiTheme="minorEastAsia" w:eastAsiaTheme="minorEastAsia" w:hAnsiTheme="minorEastAsia" w:hint="eastAsia"/>
          <w:szCs w:val="21"/>
        </w:rPr>
        <w:t>基金投资除提供的</w:t>
      </w:r>
      <w:r w:rsidRPr="003307CA">
        <w:rPr>
          <w:rFonts w:asciiTheme="minorEastAsia" w:eastAsiaTheme="minorEastAsia" w:hAnsiTheme="minorEastAsia"/>
          <w:szCs w:val="21"/>
        </w:rPr>
        <w:t>存款银行名单</w:t>
      </w:r>
      <w:r w:rsidRPr="003307CA">
        <w:rPr>
          <w:rFonts w:asciiTheme="minorEastAsia" w:eastAsiaTheme="minorEastAsia" w:hAnsiTheme="minorEastAsia" w:hint="eastAsia"/>
          <w:szCs w:val="21"/>
        </w:rPr>
        <w:t>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bookmarkStart w:id="329" w:name="_Toc174497179"/>
      <w:bookmarkStart w:id="330" w:name="_Toc174501009"/>
      <w:bookmarkStart w:id="331" w:name="_Toc174502381"/>
      <w:r w:rsidRPr="003307CA">
        <w:rPr>
          <w:rFonts w:asciiTheme="minorEastAsia" w:eastAsiaTheme="minorEastAsia" w:hAnsiTheme="minorEastAsia"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329"/>
      <w:bookmarkEnd w:id="330"/>
      <w:bookmarkEnd w:id="331"/>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（三）基金托管人发现基金管理人的投资指令违反关法律法规规定或者违反《基金合同》约定的，应当拒绝执行，立即通知基金管理人，并向中国证监会报告。</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基金托管人发现基金管理人依据交易程序已经生效的投资指令违反法律、行政法规和其他有关规定，或者违反《基金合同》约定的，应当立即通知基金管理人，并报告中国证监会。</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基金托管人发现基金管理人的投资运作违反法律法规或《基金合同》的规定，应及时以书面或电话或双方认可的其他方式通知基金管理人，由基金管理人限期纠正；基金管理人收</w:t>
      </w:r>
      <w:r w:rsidRPr="003307CA">
        <w:rPr>
          <w:rFonts w:asciiTheme="minorEastAsia" w:eastAsiaTheme="minorEastAsia" w:hAnsiTheme="minorEastAsia" w:hint="eastAsia"/>
          <w:szCs w:val="21"/>
        </w:rPr>
        <w:lastRenderedPageBreak/>
        <w:t>到通知后应及时进行核对确认并回函；在限期内，基金托管人有权对通知事项进行复查，如基金管理人未予纠正，基金托管人应报告监管部门。</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基金托管人发现基金管理人或其授权投资机构有重大违法违规行为，应立即报告有关监管机构，同时通知基金管理人；由基金管理人限期纠正，并将纠正结果报告有关监管机构。</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85666" w:rsidRPr="003307CA" w:rsidRDefault="00785666" w:rsidP="00CE3F81">
      <w:pPr>
        <w:pStyle w:val="af0"/>
        <w:snapToGrid w:val="0"/>
        <w:spacing w:line="360" w:lineRule="auto"/>
        <w:ind w:firstLineChars="200"/>
        <w:rPr>
          <w:rFonts w:asciiTheme="minorEastAsia" w:eastAsiaTheme="minorEastAsia" w:hAnsiTheme="minorEastAsia"/>
          <w:bCs/>
          <w:kern w:val="0"/>
          <w:szCs w:val="21"/>
        </w:rPr>
      </w:pPr>
      <w:r w:rsidRPr="003307CA">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85666" w:rsidRPr="003307CA" w:rsidRDefault="00785666"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四）基金管理人认可，合规投资责任方为基金管理人，基金托管人及其境外托管人的合规监管系统的准确性和完整性受限于基金管理人、经纪人及其他中介机构提供用于该系统的数据和信息。在不存在过错的前提下，基金托管人及其境外托管人对这些机构的信息不准确、不完整所引起的损失不负任何责任。</w:t>
      </w:r>
    </w:p>
    <w:p w:rsidR="00785666" w:rsidRPr="003307CA" w:rsidRDefault="00785666"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（五）</w:t>
      </w:r>
      <w:r w:rsidRPr="003307CA">
        <w:rPr>
          <w:rFonts w:asciiTheme="minorEastAsia" w:eastAsiaTheme="minorEastAsia" w:hAnsiTheme="minorEastAsia"/>
          <w:szCs w:val="21"/>
        </w:rPr>
        <w:t>无投资责任</w:t>
      </w:r>
    </w:p>
    <w:p w:rsidR="00785666" w:rsidRPr="003307CA" w:rsidRDefault="00785666"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基金管理人应</w:t>
      </w:r>
      <w:r w:rsidRPr="003307CA">
        <w:rPr>
          <w:rFonts w:asciiTheme="minorEastAsia" w:eastAsiaTheme="minorEastAsia" w:hAnsiTheme="minorEastAsia"/>
          <w:szCs w:val="21"/>
        </w:rPr>
        <w:t>理解，</w:t>
      </w:r>
      <w:r w:rsidRPr="003307CA">
        <w:rPr>
          <w:rFonts w:asciiTheme="minorEastAsia" w:eastAsiaTheme="minorEastAsia" w:hAnsiTheme="minorEastAsia" w:hint="eastAsia"/>
          <w:szCs w:val="21"/>
        </w:rPr>
        <w:t>托管人对于基金管理人的交易监督服务</w:t>
      </w:r>
      <w:r w:rsidRPr="003307CA">
        <w:rPr>
          <w:rFonts w:asciiTheme="minorEastAsia" w:eastAsiaTheme="minorEastAsia" w:hAnsiTheme="minorEastAsia"/>
          <w:szCs w:val="21"/>
        </w:rPr>
        <w:t>是一种加工</w:t>
      </w:r>
      <w:r w:rsidRPr="003307CA">
        <w:rPr>
          <w:rFonts w:asciiTheme="minorEastAsia" w:eastAsiaTheme="minorEastAsia" w:hAnsiTheme="minorEastAsia" w:hint="eastAsia"/>
          <w:szCs w:val="21"/>
        </w:rPr>
        <w:t>应用</w:t>
      </w:r>
      <w:r w:rsidRPr="003307CA">
        <w:rPr>
          <w:rFonts w:asciiTheme="minorEastAsia" w:eastAsiaTheme="minorEastAsia" w:hAnsiTheme="minorEastAsia"/>
          <w:szCs w:val="21"/>
        </w:rPr>
        <w:t>信息</w:t>
      </w:r>
      <w:r w:rsidRPr="003307CA">
        <w:rPr>
          <w:rFonts w:asciiTheme="minorEastAsia" w:eastAsiaTheme="minorEastAsia" w:hAnsiTheme="minorEastAsia" w:hint="eastAsia"/>
          <w:szCs w:val="21"/>
        </w:rPr>
        <w:t>的服务</w:t>
      </w:r>
      <w:r w:rsidRPr="003307CA">
        <w:rPr>
          <w:rFonts w:asciiTheme="minorEastAsia" w:eastAsiaTheme="minorEastAsia" w:hAnsiTheme="minorEastAsia"/>
          <w:szCs w:val="21"/>
        </w:rPr>
        <w:t>，而</w:t>
      </w:r>
      <w:r w:rsidRPr="003307CA">
        <w:rPr>
          <w:rFonts w:asciiTheme="minorEastAsia" w:eastAsiaTheme="minorEastAsia" w:hAnsiTheme="minorEastAsia" w:hint="eastAsia"/>
          <w:szCs w:val="21"/>
        </w:rPr>
        <w:t>非</w:t>
      </w:r>
      <w:r w:rsidRPr="003307CA">
        <w:rPr>
          <w:rFonts w:asciiTheme="minorEastAsia" w:eastAsiaTheme="minorEastAsia" w:hAnsiTheme="minorEastAsia"/>
          <w:szCs w:val="21"/>
        </w:rPr>
        <w:t>投资服务。</w:t>
      </w:r>
      <w:r w:rsidRPr="003307CA">
        <w:rPr>
          <w:rFonts w:asciiTheme="minorEastAsia" w:eastAsiaTheme="minorEastAsia" w:hAnsiTheme="minorEastAsia" w:hint="eastAsia"/>
          <w:szCs w:val="21"/>
        </w:rPr>
        <w:t>除下列第（六）项及法律法规明确另有规定外，基金托管人及其境外托管人</w:t>
      </w:r>
      <w:r w:rsidRPr="003307CA">
        <w:rPr>
          <w:rFonts w:asciiTheme="minorEastAsia" w:eastAsiaTheme="minorEastAsia" w:hAnsiTheme="minorEastAsia"/>
          <w:szCs w:val="21"/>
        </w:rPr>
        <w:t>将不会因为提供</w:t>
      </w:r>
      <w:r w:rsidRPr="003307CA">
        <w:rPr>
          <w:rFonts w:asciiTheme="minorEastAsia" w:eastAsiaTheme="minorEastAsia" w:hAnsiTheme="minorEastAsia" w:hint="eastAsia"/>
          <w:szCs w:val="21"/>
        </w:rPr>
        <w:t>交易监督服务</w:t>
      </w:r>
      <w:r w:rsidRPr="003307CA">
        <w:rPr>
          <w:rFonts w:asciiTheme="minorEastAsia" w:eastAsiaTheme="minorEastAsia" w:hAnsiTheme="minorEastAsia"/>
          <w:szCs w:val="21"/>
        </w:rPr>
        <w:t>而承担任何</w:t>
      </w:r>
      <w:r w:rsidRPr="003307CA">
        <w:rPr>
          <w:rFonts w:asciiTheme="minorEastAsia" w:eastAsiaTheme="minorEastAsia" w:hAnsiTheme="minorEastAsia" w:hint="eastAsia"/>
          <w:szCs w:val="21"/>
        </w:rPr>
        <w:t>因基金管理人违规投资所产生的</w:t>
      </w:r>
      <w:r w:rsidRPr="003307CA">
        <w:rPr>
          <w:rFonts w:asciiTheme="minorEastAsia" w:eastAsiaTheme="minorEastAsia" w:hAnsiTheme="minorEastAsia"/>
          <w:szCs w:val="21"/>
        </w:rPr>
        <w:t>有关责任</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也没有义务去采取任何手段回应任何与</w:t>
      </w:r>
      <w:r w:rsidRPr="003307CA">
        <w:rPr>
          <w:rFonts w:asciiTheme="minorEastAsia" w:eastAsiaTheme="minorEastAsia" w:hAnsiTheme="minorEastAsia" w:hint="eastAsia"/>
          <w:szCs w:val="21"/>
        </w:rPr>
        <w:t>合规分析</w:t>
      </w:r>
      <w:r w:rsidRPr="003307CA">
        <w:rPr>
          <w:rFonts w:asciiTheme="minorEastAsia" w:eastAsiaTheme="minorEastAsia" w:hAnsiTheme="minorEastAsia"/>
          <w:szCs w:val="21"/>
        </w:rPr>
        <w:t>服务有关的信息和报道，除非接到</w:t>
      </w:r>
      <w:r w:rsidRPr="003307CA">
        <w:rPr>
          <w:rFonts w:asciiTheme="minorEastAsia" w:eastAsiaTheme="minorEastAsia" w:hAnsiTheme="minorEastAsia" w:hint="eastAsia"/>
          <w:szCs w:val="21"/>
        </w:rPr>
        <w:t>基金管理人</w:t>
      </w:r>
      <w:r w:rsidRPr="003307CA">
        <w:rPr>
          <w:rFonts w:asciiTheme="minorEastAsia" w:eastAsiaTheme="minorEastAsia" w:hAnsiTheme="minorEastAsia"/>
          <w:szCs w:val="21"/>
        </w:rPr>
        <w:t>或其授权机构</w:t>
      </w:r>
      <w:r w:rsidRPr="003307CA">
        <w:rPr>
          <w:rFonts w:asciiTheme="minorEastAsia" w:eastAsiaTheme="minorEastAsia" w:hAnsiTheme="minorEastAsia" w:hint="eastAsia"/>
          <w:szCs w:val="21"/>
        </w:rPr>
        <w:t>要求基金托管人或其境外托管人</w:t>
      </w:r>
      <w:r w:rsidRPr="003307CA">
        <w:rPr>
          <w:rFonts w:asciiTheme="minorEastAsia" w:eastAsiaTheme="minorEastAsia" w:hAnsiTheme="minorEastAsia"/>
          <w:szCs w:val="21"/>
        </w:rPr>
        <w:t>针对某个信息和报道作回应的书面</w:t>
      </w:r>
      <w:r w:rsidRPr="003307CA">
        <w:rPr>
          <w:rFonts w:asciiTheme="minorEastAsia" w:eastAsiaTheme="minorEastAsia" w:hAnsiTheme="minorEastAsia" w:hint="eastAsia"/>
          <w:szCs w:val="21"/>
        </w:rPr>
        <w:t>指示</w:t>
      </w:r>
      <w:r w:rsidRPr="003307CA">
        <w:rPr>
          <w:rFonts w:asciiTheme="minorEastAsia" w:eastAsiaTheme="minorEastAsia" w:hAnsiTheme="minorEastAsia"/>
          <w:szCs w:val="21"/>
        </w:rPr>
        <w:t>。</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资产或基金管理人造成损失，否则基金托管人或其境外托管人不应就交易监督服务承担任何责任。</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r w:rsidRPr="003307CA">
        <w:rPr>
          <w:rFonts w:asciiTheme="minorEastAsia" w:eastAsiaTheme="minorEastAsia" w:hAnsiTheme="minorEastAsia" w:hint="eastAsia"/>
          <w:b/>
          <w:szCs w:val="21"/>
        </w:rPr>
        <w:t>三、</w:t>
      </w:r>
      <w:bookmarkStart w:id="332" w:name="_Toc186274440"/>
      <w:r w:rsidRPr="003307CA">
        <w:rPr>
          <w:rFonts w:asciiTheme="minorEastAsia" w:eastAsiaTheme="minorEastAsia" w:hAnsiTheme="minorEastAsia" w:hint="eastAsia"/>
          <w:b/>
          <w:szCs w:val="21"/>
        </w:rPr>
        <w:t>基金管理人对基金托管人的业务监督和核查</w:t>
      </w:r>
      <w:bookmarkEnd w:id="332"/>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一）基金管理人有权根据有关法律法规的规定和《基金合同》的约定对基金托管人履行本协议的情况进行必要的监督与检查。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立即对提示内容予以确认，如无异议，应在基金管理人给定的合理期</w:t>
      </w:r>
      <w:r w:rsidRPr="003307CA">
        <w:rPr>
          <w:rFonts w:asciiTheme="minorEastAsia" w:eastAsiaTheme="minorEastAsia" w:hAnsiTheme="minorEastAsia" w:hint="eastAsia"/>
          <w:szCs w:val="21"/>
        </w:rPr>
        <w:lastRenderedPageBreak/>
        <w:t>限内改进，如有异议，应作出书面解释。</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（三）基金托管人应积极配合基金管理人的核查行为，包括但不限于：提交相关资料以供基金管理人核查托管财产的完整性和真实性，在规定时间内答复基金管理人并改正。</w:t>
      </w:r>
    </w:p>
    <w:p w:rsidR="00785666" w:rsidRPr="003307CA" w:rsidRDefault="00785666" w:rsidP="00CE3F81">
      <w:pPr>
        <w:snapToGrid w:val="0"/>
        <w:spacing w:line="360" w:lineRule="auto"/>
        <w:ind w:firstLineChars="200" w:firstLine="420"/>
        <w:rPr>
          <w:rFonts w:asciiTheme="minorEastAsia" w:eastAsiaTheme="minorEastAsia" w:hAnsiTheme="minorEastAsia"/>
          <w:b/>
          <w:szCs w:val="21"/>
        </w:rPr>
      </w:pPr>
      <w:r w:rsidRPr="003307CA">
        <w:rPr>
          <w:rFonts w:asciiTheme="minorEastAsia" w:eastAsiaTheme="minorEastAsia" w:hAnsiTheme="minorEastAsia" w:hint="eastAsia"/>
          <w:szCs w:val="21"/>
        </w:rPr>
        <w:t>（四）基金管理人须尽其最大努力保证其对基金托管人的业务核查不影响基金托管人的正常营业活动。</w:t>
      </w:r>
      <w:r w:rsidRPr="003307CA">
        <w:rPr>
          <w:rFonts w:asciiTheme="minorEastAsia" w:eastAsiaTheme="minorEastAsia" w:hAnsiTheme="minorEastAsia"/>
          <w:b/>
          <w:szCs w:val="21"/>
        </w:rPr>
        <w:br/>
        <w:t xml:space="preserve">　　</w:t>
      </w:r>
      <w:r w:rsidRPr="003307CA">
        <w:rPr>
          <w:rFonts w:asciiTheme="minorEastAsia" w:eastAsiaTheme="minorEastAsia" w:hAnsiTheme="minorEastAsia" w:hint="eastAsia"/>
          <w:b/>
          <w:szCs w:val="21"/>
        </w:rPr>
        <w:t>四、</w:t>
      </w:r>
      <w:r w:rsidRPr="003307CA">
        <w:rPr>
          <w:rFonts w:asciiTheme="minorEastAsia" w:eastAsiaTheme="minorEastAsia" w:hAnsiTheme="minorEastAsia"/>
          <w:b/>
          <w:szCs w:val="21"/>
        </w:rPr>
        <w:t>基金财产的保管</w:t>
      </w:r>
    </w:p>
    <w:p w:rsidR="00785666" w:rsidRPr="003307CA" w:rsidRDefault="00785666" w:rsidP="00CE3F81">
      <w:pPr>
        <w:widowControl/>
        <w:snapToGrid w:val="0"/>
        <w:spacing w:line="360" w:lineRule="auto"/>
        <w:ind w:firstLineChars="200" w:firstLine="422"/>
        <w:jc w:val="left"/>
        <w:rPr>
          <w:rFonts w:asciiTheme="minorEastAsia" w:eastAsiaTheme="minorEastAsia" w:hAnsiTheme="minorEastAsia"/>
          <w:b/>
          <w:szCs w:val="21"/>
        </w:rPr>
      </w:pPr>
      <w:bookmarkStart w:id="333" w:name="_Toc37159173"/>
      <w:bookmarkStart w:id="334" w:name="_Toc174497183"/>
      <w:bookmarkStart w:id="335" w:name="_Toc174501012"/>
      <w:bookmarkStart w:id="336" w:name="_Toc174502384"/>
      <w:bookmarkStart w:id="337" w:name="_Toc174616283"/>
      <w:r w:rsidRPr="003307CA">
        <w:rPr>
          <w:rFonts w:asciiTheme="minorEastAsia" w:eastAsiaTheme="minorEastAsia" w:hAnsiTheme="minorEastAsia" w:hint="eastAsia"/>
          <w:b/>
          <w:szCs w:val="21"/>
        </w:rPr>
        <w:t>（一）基金财产保管的原则</w:t>
      </w:r>
      <w:bookmarkEnd w:id="333"/>
      <w:bookmarkEnd w:id="334"/>
      <w:bookmarkEnd w:id="335"/>
      <w:bookmarkEnd w:id="336"/>
      <w:bookmarkEnd w:id="337"/>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基金财产应独立于基金管理人、基金托管人的固有财产。</w:t>
      </w:r>
    </w:p>
    <w:p w:rsidR="00785666" w:rsidRPr="003307CA"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基金托管人应安全保管基金财产</w:t>
      </w: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基金托管人按照规定开设基金财产的资金账户和证券账户</w:t>
      </w:r>
      <w:r w:rsidRPr="003307CA">
        <w:rPr>
          <w:rFonts w:asciiTheme="minorEastAsia" w:eastAsiaTheme="minorEastAsia" w:hAnsiTheme="minorEastAsia" w:hint="eastAsia"/>
          <w:szCs w:val="21"/>
        </w:rPr>
        <w:t>；</w:t>
      </w:r>
    </w:p>
    <w:p w:rsidR="00785666" w:rsidRPr="003307CA"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基金托管人对所托管的不同基金财产分别设置账户，确保基金财产的完整与独立</w:t>
      </w:r>
      <w:r w:rsidRPr="003307CA">
        <w:rPr>
          <w:rFonts w:asciiTheme="minorEastAsia" w:eastAsiaTheme="minorEastAsia" w:hAnsiTheme="minorEastAsia" w:hint="eastAsia"/>
          <w:szCs w:val="21"/>
        </w:rPr>
        <w:t>；</w:t>
      </w:r>
    </w:p>
    <w:p w:rsidR="00785666" w:rsidRPr="003307CA"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除依据有关法律法规规定和本协议约定外，基金托管人、及其境外托管人不得利用基金财产为自己或第三方谋取利益，违反此义务所得利益归于基金财产，由此造成的直接损失由基金托管人承担，该等责任包括但不限于恢复基金财产的原状、承担因此所引起的直接损失的赔偿责任；</w:t>
      </w:r>
    </w:p>
    <w:p w:rsidR="00785666" w:rsidRPr="003307CA"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基金托管人自身，并尽商业上的合理努力确保境外托管人不得自行运用、处分、分配托管证券；</w:t>
      </w:r>
    </w:p>
    <w:p w:rsidR="00785666" w:rsidRPr="003307CA"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除非根据基金管理人书面同意，基金托管人不得在任何托管资产上设立任何担保权利，包括但不限于抵押、质押、留置等；</w:t>
      </w:r>
    </w:p>
    <w:p w:rsidR="00785666" w:rsidRPr="003307CA"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对于因为基金管理人进行本协议项下基金投资交易产生的应收资产，应由基金管理人负责与有关当事人确定到账日期并通知基金托管人。对于因为基金持有的资产所产生的应收资产，应由基金托管人负责与有关当事人确定到账日期并通知基金管理人。上述应收资产如果在到账日没有到达托管账户，基金托管人应及时通知并配合基金管理人采取措施进行催收或追偿。</w:t>
      </w:r>
    </w:p>
    <w:p w:rsidR="00785666" w:rsidRPr="003307CA" w:rsidRDefault="00785666" w:rsidP="00CE3F81">
      <w:pPr>
        <w:widowControl/>
        <w:snapToGrid w:val="0"/>
        <w:spacing w:line="360" w:lineRule="auto"/>
        <w:ind w:firstLineChars="200" w:firstLine="422"/>
        <w:jc w:val="left"/>
        <w:rPr>
          <w:rFonts w:asciiTheme="minorEastAsia" w:eastAsiaTheme="minorEastAsia" w:hAnsiTheme="minorEastAsia"/>
          <w:b/>
          <w:szCs w:val="21"/>
        </w:rPr>
      </w:pPr>
      <w:bookmarkStart w:id="338" w:name="_Toc37159174"/>
      <w:bookmarkStart w:id="339" w:name="_Toc174497184"/>
      <w:bookmarkStart w:id="340" w:name="_Toc174501013"/>
      <w:bookmarkStart w:id="341" w:name="_Toc174502385"/>
      <w:bookmarkStart w:id="342" w:name="_Toc174616284"/>
      <w:r w:rsidRPr="003307CA">
        <w:rPr>
          <w:rFonts w:asciiTheme="minorEastAsia" w:eastAsiaTheme="minorEastAsia" w:hAnsiTheme="minorEastAsia" w:hint="eastAsia"/>
          <w:b/>
          <w:szCs w:val="21"/>
        </w:rPr>
        <w:t>（二）基金募集期间及募集资金的验资</w:t>
      </w:r>
      <w:bookmarkEnd w:id="338"/>
      <w:bookmarkEnd w:id="339"/>
      <w:bookmarkEnd w:id="340"/>
      <w:bookmarkEnd w:id="341"/>
      <w:bookmarkEnd w:id="342"/>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3307CA">
        <w:rPr>
          <w:rFonts w:asciiTheme="minorEastAsia" w:eastAsiaTheme="minorEastAsia" w:hAnsiTheme="minorEastAsia"/>
          <w:szCs w:val="21"/>
        </w:rPr>
        <w:t>2</w:t>
      </w:r>
      <w:r w:rsidRPr="003307CA">
        <w:rPr>
          <w:rFonts w:asciiTheme="minorEastAsia" w:eastAsiaTheme="minorEastAsia" w:hAnsiTheme="minorEastAsia" w:hint="eastAsia"/>
          <w:szCs w:val="21"/>
        </w:rPr>
        <w:t>名以上（含</w:t>
      </w:r>
      <w:r w:rsidRPr="003307CA">
        <w:rPr>
          <w:rFonts w:asciiTheme="minorEastAsia" w:eastAsiaTheme="minorEastAsia" w:hAnsiTheme="minorEastAsia"/>
          <w:szCs w:val="21"/>
        </w:rPr>
        <w:t>2</w:t>
      </w:r>
      <w:r w:rsidRPr="003307CA">
        <w:rPr>
          <w:rFonts w:asciiTheme="minorEastAsia" w:eastAsiaTheme="minorEastAsia" w:hAnsiTheme="minorEastAsia" w:hint="eastAsia"/>
          <w:szCs w:val="21"/>
        </w:rPr>
        <w:t>名）中国注册会计师签字有效。</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验资完成，基金管理人应将募集的属于本基金财产的全部资金划入基金托管人为基金开立的资产托管专户中，基金托管人在收到资金当日出具确认文件。</w:t>
      </w:r>
    </w:p>
    <w:p w:rsidR="00785666" w:rsidRPr="003307CA" w:rsidRDefault="00785666" w:rsidP="00CE3F81">
      <w:pPr>
        <w:pStyle w:val="ad"/>
        <w:snapToGrid w:val="0"/>
        <w:spacing w:after="0" w:line="360" w:lineRule="auto"/>
        <w:ind w:left="0" w:firstLineChars="200" w:firstLine="420"/>
        <w:rPr>
          <w:rFonts w:asciiTheme="minorEastAsia" w:eastAsiaTheme="minorEastAsia" w:hAnsiTheme="minorEastAsia" w:cs="Arial"/>
          <w:szCs w:val="21"/>
        </w:rPr>
      </w:pPr>
      <w:r w:rsidRPr="003307CA">
        <w:rPr>
          <w:rFonts w:asciiTheme="minorEastAsia" w:eastAsiaTheme="minorEastAsia" w:hAnsiTheme="minorEastAsia" w:cs="Arial"/>
          <w:szCs w:val="21"/>
        </w:rPr>
        <w:t>3</w:t>
      </w:r>
      <w:r w:rsidR="007F6D3E" w:rsidRPr="003307CA">
        <w:rPr>
          <w:rFonts w:asciiTheme="minorEastAsia" w:eastAsiaTheme="minorEastAsia" w:hAnsiTheme="minorEastAsia" w:cs="Arial" w:hint="eastAsia"/>
          <w:szCs w:val="21"/>
        </w:rPr>
        <w:t>、</w:t>
      </w:r>
      <w:r w:rsidRPr="003307CA">
        <w:rPr>
          <w:rFonts w:asciiTheme="minorEastAsia" w:eastAsiaTheme="minorEastAsia" w:hAnsiTheme="minorEastAsia" w:cs="Arial"/>
          <w:szCs w:val="21"/>
        </w:rPr>
        <w:t>若基金募集期限届满，未能达到《基金合同》生效的条件，由基金管理人按规定办理退款事宜。</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43" w:name="_Toc174616285"/>
      <w:r w:rsidRPr="003307CA">
        <w:rPr>
          <w:rFonts w:asciiTheme="minorEastAsia" w:eastAsiaTheme="minorEastAsia" w:hAnsiTheme="minorEastAsia" w:hint="eastAsia"/>
          <w:b/>
          <w:szCs w:val="21"/>
        </w:rPr>
        <w:t>（三）资产保管内容和约定事项</w:t>
      </w:r>
      <w:bookmarkEnd w:id="343"/>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基金管理人同意，现金账户中的现金将由基金托管人或其境外托管人以基金或基金托管人或境外托管人的名义持有。</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除非被授权人按指令程序发送的指令另有规定，否则，基金托管人和其境外托管人应在收到被授权人的指令后，按下述方式支付现金、售出或交付证券：</w:t>
      </w:r>
      <w:r w:rsidRPr="003307CA">
        <w:rPr>
          <w:rFonts w:asciiTheme="minorEastAsia" w:eastAsiaTheme="minorEastAsia" w:hAnsiTheme="minorEastAsia"/>
          <w:szCs w:val="21"/>
        </w:rPr>
        <w:t>(a)</w:t>
      </w:r>
      <w:r w:rsidRPr="003307CA">
        <w:rPr>
          <w:rFonts w:asciiTheme="minorEastAsia" w:eastAsiaTheme="minorEastAsia" w:hAnsiTheme="minorEastAsia" w:hint="eastAsia"/>
          <w:szCs w:val="21"/>
        </w:rPr>
        <w:t>按照交易发生的司法管辖区或市场的有关惯常和既定惯例和程序作出；或</w:t>
      </w:r>
      <w:r w:rsidRPr="003307CA">
        <w:rPr>
          <w:rFonts w:asciiTheme="minorEastAsia" w:eastAsiaTheme="minorEastAsia" w:hAnsiTheme="minorEastAsia"/>
          <w:szCs w:val="21"/>
        </w:rPr>
        <w:t>(b)</w:t>
      </w:r>
      <w:r w:rsidRPr="003307CA">
        <w:rPr>
          <w:rFonts w:asciiTheme="minorEastAsia" w:eastAsiaTheme="minorEastAsia" w:hAnsiTheme="minorEastAsia" w:hint="eastAsia"/>
          <w:szCs w:val="21"/>
        </w:rPr>
        <w:t>就通过证券系统进行的买卖而言，按照管辖该系统运营的规则、条例和条件作出。基金托管人和其境外托管人应不时将该等有关惯例、程序、规则、条例和条件及时通知基金管理人。</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托管人在因依法解散、被依法撤销或者被依法宣告清盘或破产等原因进行终止清算时，不得将基金财产归入其清算财产。基金托管人应自身，并尽商业上的合理努力确保其境外托管人建立安全的数据管理机制，安全完整地保存与基金财产相关的业务数据和信息。</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44" w:name="_Toc174616286"/>
      <w:r w:rsidRPr="003307CA">
        <w:rPr>
          <w:rFonts w:asciiTheme="minorEastAsia" w:eastAsiaTheme="minorEastAsia" w:hAnsiTheme="minorEastAsia" w:hint="eastAsia"/>
          <w:b/>
          <w:szCs w:val="21"/>
        </w:rPr>
        <w:t>（四）基金资金账户的开立和管理</w:t>
      </w:r>
      <w:bookmarkEnd w:id="344"/>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可以基金、基金托管人或其境外托管人的名义在其营业机构或其境外托管人开立基金的资金账户，并根据基金管理人合法合规的指令办理资金收付。基金资金账户的银行预留印鉴由基金托管人或其境外托管人的营业机构保管和使用。</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基金资金账户的开立和使用，限于满足开展基金业务的需要。基金托管人、基金管理人不得假借基金的名义开立任何其他银行账户；亦不得使用基金的任何账户进行基金业务以外的活动。</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基金资金账户的开立和管理应符合账户所在国家或地区相关监管机构的有关规定。</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45" w:name="_Toc174616287"/>
      <w:r w:rsidRPr="003307CA">
        <w:rPr>
          <w:rFonts w:asciiTheme="minorEastAsia" w:eastAsiaTheme="minorEastAsia" w:hAnsiTheme="minorEastAsia" w:hint="eastAsia"/>
          <w:b/>
          <w:szCs w:val="21"/>
        </w:rPr>
        <w:t>（五）</w:t>
      </w:r>
      <w:bookmarkStart w:id="346" w:name="_Toc136455381"/>
      <w:r w:rsidRPr="003307CA">
        <w:rPr>
          <w:rFonts w:asciiTheme="minorEastAsia" w:eastAsiaTheme="minorEastAsia" w:hAnsiTheme="minorEastAsia" w:hint="eastAsia"/>
          <w:b/>
          <w:szCs w:val="21"/>
        </w:rPr>
        <w:t>基金证券账户的开立和管理</w:t>
      </w:r>
      <w:bookmarkEnd w:id="345"/>
      <w:bookmarkEnd w:id="346"/>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在基金所投资市场或证券交易所适用的登记结算机构为基金开立基金托管人或其境外托管人名义或以上任一方与基金联名的证券账户。由基金托管人或其境外托管人负责办理与开立证券账户有关的手续。</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基金证券账户的开立和证券账户相关证明文件的保管由基金托管人负责，账户资产的管理和运用由基金管理人负责。</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管理人投资于合法合规、符合基金合同的其他非交易所市场的投资品种时，在基金合同生效后，基金托管人或其境外托管人根据投资所在市场以及国家或地区的相关规定，开立进行基金的投资活动所需要的各类证券和结算账户。</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基金证券账户的开立和管理应符合账户所在国家或地区有关法律的规定。</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47" w:name="_Toc136455382"/>
      <w:bookmarkStart w:id="348" w:name="_Toc174616288"/>
      <w:r w:rsidRPr="003307CA">
        <w:rPr>
          <w:rFonts w:asciiTheme="minorEastAsia" w:eastAsiaTheme="minorEastAsia" w:hAnsiTheme="minorEastAsia" w:hint="eastAsia"/>
          <w:b/>
          <w:szCs w:val="21"/>
        </w:rPr>
        <w:t>（六）其他账户的开立和管理</w:t>
      </w:r>
      <w:bookmarkEnd w:id="347"/>
      <w:bookmarkEnd w:id="348"/>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因业务发展需要而开立的其他账户，可以根据投资市场所在国家或地区法律法规和基金合同的规定，由基金托管人或其境外托管人负责开立。</w:t>
      </w:r>
    </w:p>
    <w:p w:rsidR="00785666" w:rsidRPr="003307CA" w:rsidRDefault="00785666" w:rsidP="00CE3F81">
      <w:pPr>
        <w:pStyle w:val="AODocTxt"/>
        <w:snapToGrid w:val="0"/>
        <w:spacing w:before="0" w:line="360" w:lineRule="auto"/>
        <w:ind w:firstLineChars="200" w:firstLine="420"/>
        <w:rPr>
          <w:rFonts w:asciiTheme="minorEastAsia" w:eastAsiaTheme="minorEastAsia" w:hAnsiTheme="minorEastAsia"/>
          <w:sz w:val="21"/>
          <w:szCs w:val="21"/>
          <w:lang w:eastAsia="zh-CN"/>
        </w:rPr>
      </w:pPr>
      <w:r w:rsidRPr="003307CA">
        <w:rPr>
          <w:rFonts w:asciiTheme="minorEastAsia" w:eastAsiaTheme="minorEastAsia" w:hAnsiTheme="minorEastAsia" w:hint="eastAsia"/>
          <w:sz w:val="21"/>
          <w:szCs w:val="21"/>
          <w:lang w:eastAsia="zh-CN"/>
        </w:rPr>
        <w:lastRenderedPageBreak/>
        <w:t>2</w:t>
      </w:r>
      <w:r w:rsidR="007F6D3E" w:rsidRPr="003307CA">
        <w:rPr>
          <w:rFonts w:asciiTheme="minorEastAsia" w:eastAsiaTheme="minorEastAsia" w:hAnsiTheme="minorEastAsia" w:hint="eastAsia"/>
          <w:sz w:val="21"/>
          <w:szCs w:val="21"/>
          <w:lang w:eastAsia="zh-CN"/>
        </w:rPr>
        <w:t>、</w:t>
      </w:r>
      <w:r w:rsidRPr="003307CA">
        <w:rPr>
          <w:rFonts w:asciiTheme="minorEastAsia" w:eastAsiaTheme="minorEastAsia" w:hAnsiTheme="minorEastAsia" w:hint="eastAsia"/>
          <w:sz w:val="21"/>
          <w:szCs w:val="21"/>
          <w:lang w:eastAsia="zh-CN"/>
        </w:rPr>
        <w:t>投资市场所在国家或地区法律法规等有关规定对相关账户的开立和管理另有规定的，从其规定办理。</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49" w:name="_Toc174616289"/>
      <w:r w:rsidRPr="003307CA">
        <w:rPr>
          <w:rFonts w:asciiTheme="minorEastAsia" w:eastAsiaTheme="minorEastAsia" w:hAnsiTheme="minorEastAsia" w:hint="eastAsia"/>
          <w:b/>
          <w:szCs w:val="21"/>
        </w:rPr>
        <w:t>（七）证券登记</w:t>
      </w:r>
      <w:bookmarkEnd w:id="349"/>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境外证券的注册登记方式应符合投资当地市场的有关法律、法规和市场惯例。</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基金托管人应确保基金管理人所管理的基金或基金份额持有人始终是所有证券的实益所有人(beneficial</w:t>
      </w:r>
      <w:r w:rsidR="00296722" w:rsidRPr="003307CA">
        <w:rPr>
          <w:rFonts w:asciiTheme="minorEastAsia" w:eastAsiaTheme="minorEastAsia" w:hAnsiTheme="minorEastAsia"/>
          <w:szCs w:val="21"/>
        </w:rPr>
        <w:t xml:space="preserve"> </w:t>
      </w:r>
      <w:r w:rsidRPr="003307CA">
        <w:rPr>
          <w:rFonts w:asciiTheme="minorEastAsia" w:eastAsiaTheme="minorEastAsia" w:hAnsiTheme="minorEastAsia"/>
          <w:szCs w:val="21"/>
        </w:rPr>
        <w:t>owner</w:t>
      </w:r>
      <w:r w:rsidRPr="003307CA">
        <w:rPr>
          <w:rFonts w:asciiTheme="minorEastAsia" w:eastAsiaTheme="minorEastAsia" w:hAnsiTheme="minorEastAsia" w:hint="eastAsia"/>
          <w:szCs w:val="21"/>
        </w:rPr>
        <w:t>)的方式持有基金财产中的所有证券。</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基金托管人应该：</w:t>
      </w:r>
      <w:r w:rsidRPr="003307CA">
        <w:rPr>
          <w:rFonts w:asciiTheme="minorEastAsia" w:eastAsiaTheme="minorEastAsia" w:hAnsiTheme="minorEastAsia"/>
          <w:szCs w:val="21"/>
        </w:rPr>
        <w:t>(a)</w:t>
      </w:r>
      <w:r w:rsidRPr="003307CA">
        <w:rPr>
          <w:rFonts w:asciiTheme="minorEastAsia" w:eastAsiaTheme="minorEastAsia" w:hAnsiTheme="minorEastAsia" w:hint="eastAsia"/>
          <w:szCs w:val="21"/>
        </w:rPr>
        <w:t>在其帐目和记录中单独列记属于本基金的证券，并且</w:t>
      </w:r>
      <w:r w:rsidRPr="003307CA">
        <w:rPr>
          <w:rFonts w:asciiTheme="minorEastAsia" w:eastAsiaTheme="minorEastAsia" w:hAnsiTheme="minorEastAsia"/>
          <w:szCs w:val="21"/>
        </w:rPr>
        <w:t>(b)</w:t>
      </w:r>
      <w:r w:rsidRPr="003307CA">
        <w:rPr>
          <w:rFonts w:asciiTheme="minorEastAsia" w:eastAsiaTheme="minorEastAsia" w:hAnsiTheme="minorEastAsia" w:hint="eastAsia"/>
          <w:szCs w:val="21"/>
        </w:rPr>
        <w:t>要求和尽商业上的合理努力确保其境外托管人在其帐目和记录中单独清楚列记证券不属于境外托管人，不论证券以何人的名义登记。而且，若证券由基金托管人、境外托管人以无记名方式实际持有，要求和尽商业上的合理努力确保其境外托管人将这些证券和基金托管人、其境外托管人自有资产、任何其他人的资产分别独立存放。</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除非基金托管人及其境外托管人存在过失、疏忽、欺诈或故意不当行为，基金托管人将不保证其或其境外托管人所接收基金财产中的证券的所有权、合法性或真实性（包括是否以良好形式转让）。</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基金托管人及其境外托管人应指示存放在证券系统的证券为基金的实益所有人持有，但须遵守管辖该系统运营的规则、条例和条件。</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由基金托管人及其境外托管人为基金的利益而持有的证券</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无记名证券和在证券系统持有的证券除外</w:t>
      </w:r>
      <w:r w:rsidRPr="003307CA">
        <w:rPr>
          <w:rFonts w:asciiTheme="minorEastAsia" w:eastAsiaTheme="minorEastAsia" w:hAnsiTheme="minorEastAsia"/>
          <w:szCs w:val="21"/>
        </w:rPr>
        <w:t>)</w:t>
      </w:r>
      <w:r w:rsidRPr="003307CA">
        <w:rPr>
          <w:rFonts w:asciiTheme="minorEastAsia" w:eastAsiaTheme="minorEastAsia" w:hAnsiTheme="minorEastAsia" w:hint="eastAsia"/>
          <w:szCs w:val="21"/>
        </w:rPr>
        <w:t>应按本协议约定登记。</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托管人及其境外托管人应就其为基金利益而持有证券的市场有关证券登记方式的重大改变通知基金管理人，并应基金管理人要求将这些市场发生的事件或惯例变化通知基金管理人。若基金管理人要求改变本协议约定的证券登记方式，基金托管人及其境外托管人应就此予以充分配合。</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50" w:name="_Toc174497185"/>
      <w:bookmarkStart w:id="351" w:name="_Toc174501014"/>
      <w:bookmarkStart w:id="352" w:name="_Toc174502386"/>
      <w:bookmarkStart w:id="353" w:name="_Toc174616290"/>
      <w:r w:rsidRPr="003307CA">
        <w:rPr>
          <w:rFonts w:asciiTheme="minorEastAsia" w:eastAsiaTheme="minorEastAsia" w:hAnsiTheme="minorEastAsia" w:hint="eastAsia"/>
          <w:b/>
          <w:szCs w:val="21"/>
        </w:rPr>
        <w:t>（八）基金财产投资的有关实物证券、银行定期存款存单等有价凭证的保管</w:t>
      </w:r>
      <w:bookmarkEnd w:id="350"/>
      <w:bookmarkEnd w:id="351"/>
      <w:bookmarkEnd w:id="352"/>
      <w:bookmarkEnd w:id="353"/>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财产投资的有关实物证券由基金托管人存放于基金托管人及其境外托管人的保管库。实物证券的购买和转让，由基金托管人及其境外托管人根据基金管理人的指令办理。属于基金托管人及其境外托管人实际有效控制下的实物证券在基金托管人保管期间的损坏、灭失，由此产生的责任应由基金托管人承担。</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54" w:name="_Toc37159180"/>
      <w:bookmarkStart w:id="355" w:name="_Toc174497186"/>
      <w:bookmarkStart w:id="356" w:name="_Toc174501015"/>
      <w:bookmarkStart w:id="357" w:name="_Toc174502387"/>
      <w:bookmarkStart w:id="358" w:name="_Toc174616291"/>
      <w:r w:rsidRPr="003307CA">
        <w:rPr>
          <w:rFonts w:asciiTheme="minorEastAsia" w:eastAsiaTheme="minorEastAsia" w:hAnsiTheme="minorEastAsia" w:hint="eastAsia"/>
          <w:b/>
          <w:szCs w:val="21"/>
        </w:rPr>
        <w:t>（九）与基金财产有关的重大合同的保管</w:t>
      </w:r>
      <w:bookmarkEnd w:id="354"/>
      <w:bookmarkEnd w:id="355"/>
      <w:bookmarkEnd w:id="356"/>
      <w:bookmarkEnd w:id="357"/>
      <w:bookmarkEnd w:id="358"/>
    </w:p>
    <w:p w:rsidR="00785666" w:rsidRPr="003307CA" w:rsidRDefault="00785666" w:rsidP="00CE3F81">
      <w:pPr>
        <w:pStyle w:val="af0"/>
        <w:snapToGrid w:val="0"/>
        <w:spacing w:line="360" w:lineRule="auto"/>
        <w:ind w:firstLineChars="20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基金管理人应及时向基金托管人提供涉及基金财产投资运作的书面协议的副本或相关证明文件。</w:t>
      </w:r>
    </w:p>
    <w:p w:rsidR="00785666" w:rsidRPr="003307CA" w:rsidRDefault="00785666" w:rsidP="00CE3F81">
      <w:pPr>
        <w:pStyle w:val="af0"/>
        <w:snapToGrid w:val="0"/>
        <w:spacing w:line="360" w:lineRule="auto"/>
        <w:ind w:firstLineChars="200"/>
        <w:rPr>
          <w:rFonts w:asciiTheme="minorEastAsia" w:eastAsiaTheme="minorEastAsia" w:hAnsiTheme="minorEastAsia"/>
          <w:szCs w:val="21"/>
        </w:rPr>
      </w:pPr>
      <w:r w:rsidRPr="003307CA">
        <w:rPr>
          <w:rFonts w:asciiTheme="minorEastAsia" w:eastAsiaTheme="minorEastAsia" w:hAnsiTheme="minorEastAsia"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w:t>
      </w:r>
      <w:r w:rsidRPr="003307CA">
        <w:rPr>
          <w:rFonts w:asciiTheme="minorEastAsia" w:eastAsiaTheme="minorEastAsia" w:hAnsiTheme="minorEastAsia" w:hint="eastAsia"/>
          <w:szCs w:val="21"/>
        </w:rPr>
        <w:lastRenderedPageBreak/>
        <w:t>律、法规要求。</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r w:rsidRPr="003307CA">
        <w:rPr>
          <w:rFonts w:asciiTheme="minorEastAsia" w:eastAsiaTheme="minorEastAsia" w:hAnsiTheme="minorEastAsia" w:hint="eastAsia"/>
          <w:b/>
          <w:szCs w:val="21"/>
        </w:rPr>
        <w:t>五、</w:t>
      </w:r>
      <w:r w:rsidRPr="003307CA">
        <w:rPr>
          <w:rFonts w:asciiTheme="minorEastAsia" w:eastAsiaTheme="minorEastAsia" w:hAnsiTheme="minorEastAsia"/>
          <w:b/>
          <w:szCs w:val="21"/>
        </w:rPr>
        <w:t>基金资产净值计算与复核</w:t>
      </w:r>
    </w:p>
    <w:p w:rsidR="00785666" w:rsidRPr="003307CA" w:rsidRDefault="00785666" w:rsidP="00CE3F81">
      <w:pPr>
        <w:snapToGrid w:val="0"/>
        <w:spacing w:line="360" w:lineRule="auto"/>
        <w:ind w:firstLineChars="200" w:firstLine="422"/>
        <w:rPr>
          <w:rFonts w:asciiTheme="minorEastAsia" w:eastAsiaTheme="minorEastAsia" w:hAnsiTheme="minorEastAsia"/>
          <w:b/>
          <w:kern w:val="0"/>
          <w:szCs w:val="21"/>
        </w:rPr>
      </w:pPr>
      <w:bookmarkStart w:id="359" w:name="_Toc174616309"/>
      <w:r w:rsidRPr="003307CA">
        <w:rPr>
          <w:rFonts w:asciiTheme="minorEastAsia" w:eastAsiaTheme="minorEastAsia" w:hAnsiTheme="minorEastAsia" w:hint="eastAsia"/>
          <w:b/>
          <w:kern w:val="0"/>
          <w:szCs w:val="21"/>
        </w:rPr>
        <w:t>（一）资产定价</w:t>
      </w:r>
      <w:bookmarkEnd w:id="359"/>
    </w:p>
    <w:p w:rsidR="00785666" w:rsidRPr="003307CA" w:rsidRDefault="00785666"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基金托管人、基金管理人负责按照基金合同的约定对基金资产进行定价。在进行基金资产定价时，基金托管人、基金管理人有权本着诚意原则，依赖本协议所约定的经纪人、定价服务机构或其他机构的定价信息，但在不存在过错的前提下，基金托管人、基金管理人对上述机构提供的信息的准确性和完整性不作任何担保，并对这些机构的信息的准确性和完整性所引起的基金份额持有人和基金财产损失不负任何责任。对基金托管人、基金管理人违反</w:t>
      </w:r>
      <w:r w:rsidRPr="003307CA">
        <w:rPr>
          <w:rFonts w:asciiTheme="minorEastAsia" w:eastAsiaTheme="minorEastAsia" w:hAnsiTheme="minorEastAsia" w:hint="eastAsia"/>
          <w:szCs w:val="21"/>
        </w:rPr>
        <w:t>基金管理人和基金托管人</w:t>
      </w:r>
      <w:r w:rsidRPr="003307CA">
        <w:rPr>
          <w:rFonts w:asciiTheme="minorEastAsia" w:eastAsiaTheme="minorEastAsia" w:hAnsiTheme="minorEastAsia" w:hint="eastAsia"/>
          <w:kern w:val="0"/>
          <w:szCs w:val="21"/>
        </w:rPr>
        <w:t>约定的定价原则所引起的直接损失，由责任人承担赔偿责任。</w:t>
      </w:r>
    </w:p>
    <w:p w:rsidR="00785666" w:rsidRPr="003307CA" w:rsidRDefault="00785666" w:rsidP="00CE3F81">
      <w:pPr>
        <w:snapToGrid w:val="0"/>
        <w:spacing w:line="360" w:lineRule="auto"/>
        <w:ind w:firstLineChars="200" w:firstLine="422"/>
        <w:rPr>
          <w:rFonts w:asciiTheme="minorEastAsia" w:eastAsiaTheme="minorEastAsia" w:hAnsiTheme="minorEastAsia"/>
          <w:b/>
          <w:kern w:val="0"/>
          <w:szCs w:val="21"/>
        </w:rPr>
      </w:pPr>
      <w:bookmarkStart w:id="360" w:name="_Toc174616310"/>
      <w:r w:rsidRPr="003307CA">
        <w:rPr>
          <w:rFonts w:asciiTheme="minorEastAsia" w:eastAsiaTheme="minorEastAsia" w:hAnsiTheme="minorEastAsia" w:hint="eastAsia"/>
          <w:b/>
          <w:kern w:val="0"/>
          <w:szCs w:val="21"/>
        </w:rPr>
        <w:t>（二）基金资产估值方法和特殊情形的处理</w:t>
      </w:r>
      <w:bookmarkEnd w:id="360"/>
    </w:p>
    <w:p w:rsidR="00785666" w:rsidRPr="003307CA" w:rsidRDefault="007F6D3E"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1、</w:t>
      </w:r>
      <w:r w:rsidR="00785666" w:rsidRPr="003307CA">
        <w:rPr>
          <w:rFonts w:asciiTheme="minorEastAsia" w:eastAsiaTheme="minorEastAsia" w:hAnsiTheme="minorEastAsia" w:hint="eastAsia"/>
          <w:kern w:val="0"/>
          <w:szCs w:val="21"/>
        </w:rPr>
        <w:t>会计核算和估值的处理原则</w:t>
      </w:r>
    </w:p>
    <w:p w:rsidR="00785666" w:rsidRPr="003307CA" w:rsidRDefault="00785666"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(1)基金资产的会计责任主体为基金管理人，基金管理人应根据与基金托管人协商确定的会计原则和核算方法进行会计处理。监管部门或行业组织另有约定的从其约定。基金托管人应根据与基金管理人协商确定的会计原则和核算方法对本基金进行会计处理、对资产净值计算进行复核。</w:t>
      </w:r>
      <w:r w:rsidRPr="003307CA">
        <w:rPr>
          <w:rFonts w:asciiTheme="minorEastAsia" w:eastAsiaTheme="minorEastAsia" w:hAnsiTheme="minorEastAsia" w:hint="eastAsia"/>
          <w:szCs w:val="21"/>
        </w:rPr>
        <w:t>基金管</w:t>
      </w:r>
      <w:r w:rsidRPr="003307CA">
        <w:rPr>
          <w:rFonts w:asciiTheme="minorEastAsia" w:eastAsiaTheme="minorEastAsia" w:hAnsiTheme="minorEastAsia" w:hint="eastAsia"/>
          <w:kern w:val="0"/>
          <w:szCs w:val="21"/>
        </w:rPr>
        <w:t>理人应向基金托管人提供基金托管人进行本基金的净值计算复核和本基金进行信息披露所需要的相关信息。</w:t>
      </w:r>
    </w:p>
    <w:p w:rsidR="00785666" w:rsidRPr="003307CA" w:rsidRDefault="00785666"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基金托管人、境外托管人应按国家规定和基金管理人要求对基金资产中的证券账户和现金账户进行帐实核对。</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(2)基金管理人有权委托第三方独立机构进行会计核算，并认可其委托的第三方独立机构所计算的基金资产净值，基金托管人对基金管理人认可的第三方独立机构所计算的资产净值进行复核。</w:t>
      </w:r>
    </w:p>
    <w:p w:rsidR="00785666" w:rsidRPr="003307CA" w:rsidRDefault="007F6D3E"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2、</w:t>
      </w:r>
      <w:r w:rsidR="00785666" w:rsidRPr="003307CA">
        <w:rPr>
          <w:rFonts w:asciiTheme="minorEastAsia" w:eastAsiaTheme="minorEastAsia" w:hAnsiTheme="minorEastAsia" w:hint="eastAsia"/>
          <w:kern w:val="0"/>
          <w:szCs w:val="21"/>
        </w:rPr>
        <w:t>基金托管人的会计核算处理</w:t>
      </w:r>
    </w:p>
    <w:p w:rsidR="00785666" w:rsidRPr="003307CA" w:rsidRDefault="00785666" w:rsidP="00CE3F81">
      <w:pPr>
        <w:pStyle w:val="af0"/>
        <w:snapToGrid w:val="0"/>
        <w:spacing w:line="360" w:lineRule="auto"/>
        <w:ind w:firstLineChars="20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(1)在遵守相关会计法律法规的前提下，基金托管人应按</w:t>
      </w:r>
      <w:r w:rsidRPr="003307CA">
        <w:rPr>
          <w:rFonts w:asciiTheme="minorEastAsia" w:eastAsiaTheme="minorEastAsia" w:hAnsiTheme="minorEastAsia" w:hint="eastAsia"/>
          <w:szCs w:val="21"/>
        </w:rPr>
        <w:t>基金管理人和基金托管人</w:t>
      </w:r>
      <w:r w:rsidRPr="003307CA">
        <w:rPr>
          <w:rFonts w:asciiTheme="minorEastAsia" w:eastAsiaTheme="minorEastAsia" w:hAnsiTheme="minorEastAsia" w:hint="eastAsia"/>
          <w:kern w:val="0"/>
          <w:szCs w:val="21"/>
        </w:rPr>
        <w:t>协商确定的会计核算方法和处理原则进行会计核算，对基金财产单独建账、独立核算，并应指定专门人员负责会计核算与会计资料保管。属于</w:t>
      </w:r>
      <w:r w:rsidRPr="003307CA">
        <w:rPr>
          <w:rFonts w:asciiTheme="minorEastAsia" w:eastAsiaTheme="minorEastAsia" w:hAnsiTheme="minorEastAsia" w:cs="宋体" w:hint="eastAsia"/>
          <w:kern w:val="0"/>
          <w:szCs w:val="21"/>
        </w:rPr>
        <w:t>基金财产</w:t>
      </w:r>
      <w:r w:rsidRPr="003307CA">
        <w:rPr>
          <w:rFonts w:asciiTheme="minorEastAsia" w:eastAsiaTheme="minorEastAsia" w:hAnsiTheme="minorEastAsia" w:hint="eastAsia"/>
          <w:kern w:val="0"/>
          <w:szCs w:val="21"/>
        </w:rPr>
        <w:t>的收益应全额计入会计账簿，不得与其他托管资产的收益相混淆。</w:t>
      </w:r>
    </w:p>
    <w:p w:rsidR="00785666" w:rsidRPr="003307CA" w:rsidRDefault="00785666" w:rsidP="00CE3F81">
      <w:pPr>
        <w:pStyle w:val="af0"/>
        <w:snapToGrid w:val="0"/>
        <w:spacing w:line="360" w:lineRule="auto"/>
        <w:ind w:firstLineChars="20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(2)基金资产核算的内容包括但不限于：证券买卖业务的核算、持有资产的付息、兑付、分红等业务的核算、证券发行认购业务的核算、货币市场工具买卖业务的核算、银行存款计息、存款账户间的资金划付业务的核算、支付费用的核算、汇兑损益的核算等。</w:t>
      </w:r>
    </w:p>
    <w:p w:rsidR="00785666" w:rsidRPr="003307CA" w:rsidRDefault="007F6D3E" w:rsidP="00CE3F81">
      <w:pPr>
        <w:snapToGrid w:val="0"/>
        <w:spacing w:line="360" w:lineRule="auto"/>
        <w:ind w:firstLineChars="200" w:firstLine="42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3、</w:t>
      </w:r>
      <w:r w:rsidR="00785666" w:rsidRPr="003307CA">
        <w:rPr>
          <w:rFonts w:asciiTheme="minorEastAsia" w:eastAsiaTheme="minorEastAsia" w:hAnsiTheme="minorEastAsia" w:hint="eastAsia"/>
          <w:kern w:val="0"/>
          <w:szCs w:val="21"/>
        </w:rPr>
        <w:t>净值计算</w:t>
      </w:r>
    </w:p>
    <w:p w:rsidR="00785666" w:rsidRPr="003307CA" w:rsidRDefault="00785666" w:rsidP="00CE3F81">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(1)基金资产净值是指基金资产总值减去负债后的金额。份额净值是指基金资产净值除以份额总数，基金份额净值的计算，精确到0.001</w:t>
      </w:r>
      <w:r w:rsidR="006D47EC" w:rsidRPr="003307CA">
        <w:rPr>
          <w:rFonts w:asciiTheme="minorEastAsia" w:eastAsiaTheme="minorEastAsia" w:hAnsiTheme="minorEastAsia" w:hint="eastAsia"/>
          <w:szCs w:val="21"/>
        </w:rPr>
        <w:t>元</w:t>
      </w:r>
      <w:r w:rsidRPr="003307CA">
        <w:rPr>
          <w:rFonts w:asciiTheme="minorEastAsia" w:eastAsiaTheme="minorEastAsia" w:hAnsiTheme="minorEastAsia" w:hint="eastAsia"/>
          <w:szCs w:val="21"/>
        </w:rPr>
        <w:t>人民币，小数点后第4位四舍五入，国家另有规定的，从其规定。</w:t>
      </w:r>
    </w:p>
    <w:p w:rsidR="00785666" w:rsidRPr="003307CA" w:rsidRDefault="00785666" w:rsidP="00CE3F81">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(2)基金资产净值的计算日为每一工作日，基金管理人和基金托管人在收集净值计算日</w:t>
      </w:r>
      <w:r w:rsidRPr="003307CA">
        <w:rPr>
          <w:rFonts w:asciiTheme="minorEastAsia" w:eastAsiaTheme="minorEastAsia" w:hAnsiTheme="minorEastAsia" w:hint="eastAsia"/>
          <w:szCs w:val="21"/>
        </w:rPr>
        <w:lastRenderedPageBreak/>
        <w:t>估值价格截止时点所估值证券的最近市场价格后，对各类估值资产进行估值，计算出基金资产净值及基金份额净值，并按规定公告。</w:t>
      </w:r>
    </w:p>
    <w:p w:rsidR="00785666" w:rsidRPr="003307CA" w:rsidRDefault="00785666" w:rsidP="00CE3F81">
      <w:pPr>
        <w:snapToGrid w:val="0"/>
        <w:spacing w:line="360" w:lineRule="auto"/>
        <w:ind w:firstLineChars="200" w:firstLine="422"/>
        <w:jc w:val="left"/>
        <w:rPr>
          <w:rFonts w:asciiTheme="minorEastAsia" w:eastAsiaTheme="minorEastAsia" w:hAnsiTheme="minorEastAsia"/>
          <w:b/>
          <w:szCs w:val="21"/>
        </w:rPr>
      </w:pPr>
      <w:bookmarkStart w:id="361" w:name="_Toc136455403"/>
      <w:bookmarkStart w:id="362" w:name="_Toc174616311"/>
      <w:r w:rsidRPr="003307CA">
        <w:rPr>
          <w:rFonts w:asciiTheme="minorEastAsia" w:eastAsiaTheme="minorEastAsia" w:hAnsiTheme="minorEastAsia" w:hint="eastAsia"/>
          <w:b/>
          <w:szCs w:val="21"/>
        </w:rPr>
        <w:t>（三）基金份额净值错误的处理方式</w:t>
      </w:r>
      <w:bookmarkEnd w:id="361"/>
      <w:bookmarkEnd w:id="362"/>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份额净值的计算采用四舍五入的方法保留小数点后3位。当基金份额净值偏差达到基金份额净值的0.5%时，基金管理人应当立即纠正，并采取合理的措施防止损失进一步扩大。当基金份额净值计算差错小于基金份额净值0.5%时，基金管理人与基金托管人应在发现日对账务进行更正调整，不做追溯处理；</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当基金管理人将其义务委托第三方处理时，应当对第三方处理有关基金事务的行为承担责任。</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关于差错处理，</w:t>
      </w:r>
      <w:r w:rsidR="00AE12FE" w:rsidRPr="003307CA">
        <w:rPr>
          <w:rFonts w:asciiTheme="minorEastAsia" w:eastAsiaTheme="minorEastAsia" w:hAnsiTheme="minorEastAsia" w:hint="eastAsia"/>
          <w:szCs w:val="21"/>
        </w:rPr>
        <w:t>基金</w:t>
      </w:r>
      <w:r w:rsidRPr="003307CA">
        <w:rPr>
          <w:rFonts w:asciiTheme="minorEastAsia" w:eastAsiaTheme="minorEastAsia" w:hAnsiTheme="minorEastAsia" w:hint="eastAsia"/>
          <w:szCs w:val="21"/>
        </w:rPr>
        <w:t>合同的当事人按照以下约定处理：</w:t>
      </w:r>
      <w:r w:rsidRPr="003307CA">
        <w:rPr>
          <w:rStyle w:val="afc"/>
          <w:rFonts w:asciiTheme="minorEastAsia" w:eastAsiaTheme="minorEastAsia" w:hAnsiTheme="minorEastAsia" w:hint="eastAsia"/>
          <w:vanish/>
        </w:rPr>
        <w:t xml:space="preserve"> </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差错类型</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差错处理原则</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因基金估值错误给投资者造成损失，在基金管理人可承担的范围内应先由基金管理人承担，基金管理人对不应由其承担的责任，有权根据过错原则，向过错人追偿，本协议的当事人应将按照以下约定处理。</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（3）由于证券交易所，交易市场及登记结算公司及数据供应商发送的数据错误，或由于其他不可抗力原因，基金管理人和基金托管人虽然已经采取必要、适当、合理的措施进行</w:t>
      </w:r>
      <w:r w:rsidRPr="003307CA">
        <w:rPr>
          <w:rFonts w:asciiTheme="minorEastAsia" w:eastAsiaTheme="minorEastAsia" w:hAnsiTheme="minorEastAsia" w:hint="eastAsia"/>
          <w:szCs w:val="21"/>
        </w:rPr>
        <w:lastRenderedPageBreak/>
        <w:t>检查，但是未能发现该错误的，由此造成的基金资产估值错误，基金管理人和基金托管人可以免除赔偿责任。但基金管理人和基金托管人应当积极采取必要的措施消除由此造成的影响。</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4）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（5）法律法规或者监管部门另有规定的，从其规定。如果行业有通行做法，基金管理人和基金托管人双方应本着平等和保护基金持有人利益的原则进行协商。</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6）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（7）差错的责任方对可能导致有关当事人的直接损失予以赔偿，间接损失不予赔偿，并且仅对差错的有关直接当事人负责，不对第三方负责。</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8）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（9）差错调整采用尽量恢复至假设未发生差错的正确情形的方式。</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10）如果因基金管理人过错造成基金财产或基金份额持有人损失时，基金托管人应为基金的利益向基金管理人追偿，如果因基金托管人过错造成基金财产或基金份额持有人损失时，基金管理人应为基金的利益向基金托管人追偿。除基金管理人和托管人之外的第三方造成基金财产或基金份额持有人的损失，并拒绝进行赔偿时，由基金管理人负责向差错方追偿，但该第三方是由托管人委托的情况下，应由基金托管人负责赔偿并向差错方追偿。</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11）如果出现差错的当事人未按规定对受损方进行赔偿，并且依据法律、行政法规、《基金合同》或其他规定，基金管理人自行或依据法院判决、仲裁裁决对受损方承担了赔偿责任，则基金管理人有权向出现差错的当事人进行追索，并有权要求其赔偿或补偿由此发生的费用和遭受的损失。</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（12）按法律法规规定的其他原则处理差错。</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3</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差错处理程序</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差错被发现后，有关的当事人应当及时进行处理，处理的程序如下：</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w:t>
      </w:r>
      <w:r w:rsidRPr="003307CA">
        <w:rPr>
          <w:rFonts w:asciiTheme="minorEastAsia" w:eastAsiaTheme="minorEastAsia" w:hAnsiTheme="minorEastAsia"/>
          <w:szCs w:val="21"/>
        </w:rPr>
        <w:t>1</w:t>
      </w:r>
      <w:r w:rsidRPr="003307CA">
        <w:rPr>
          <w:rFonts w:asciiTheme="minorEastAsia" w:eastAsiaTheme="minorEastAsia" w:hAnsiTheme="minorEastAsia" w:hint="eastAsia"/>
          <w:szCs w:val="21"/>
        </w:rPr>
        <w:t>）查明差错发生的原因，列明所有的当事人，并根据差错发生的原因确定差错的责任方；</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2</w:t>
      </w:r>
      <w:r w:rsidRPr="003307CA">
        <w:rPr>
          <w:rFonts w:asciiTheme="minorEastAsia" w:eastAsiaTheme="minorEastAsia" w:hAnsiTheme="minorEastAsia" w:hint="eastAsia"/>
          <w:szCs w:val="21"/>
        </w:rPr>
        <w:t>）根据差错处理原则或当事人协商的方法对因差错造成的损失进行评估；</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3</w:t>
      </w:r>
      <w:r w:rsidRPr="003307CA">
        <w:rPr>
          <w:rFonts w:asciiTheme="minorEastAsia" w:eastAsiaTheme="minorEastAsia" w:hAnsiTheme="minorEastAsia" w:hint="eastAsia"/>
          <w:szCs w:val="21"/>
        </w:rPr>
        <w:t>）根据差错处理原则或当事人协商的方法由差错的责任方进行更正和赔偿损失；</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4</w:t>
      </w:r>
      <w:r w:rsidRPr="003307CA">
        <w:rPr>
          <w:rFonts w:asciiTheme="minorEastAsia" w:eastAsiaTheme="minorEastAsia" w:hAnsiTheme="minorEastAsia" w:hint="eastAsia"/>
          <w:szCs w:val="21"/>
        </w:rPr>
        <w:t>）根据差错处理的方法，需要修改基金注册登记机构的交易数据的，由基金注册登记机构进行更正，并就差错的更正向有关当事人进行确认；</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w:t>
      </w:r>
      <w:r w:rsidRPr="003307CA">
        <w:rPr>
          <w:rFonts w:asciiTheme="minorEastAsia" w:eastAsiaTheme="minorEastAsia" w:hAnsiTheme="minorEastAsia"/>
          <w:szCs w:val="21"/>
        </w:rPr>
        <w:t>5</w:t>
      </w:r>
      <w:r w:rsidRPr="003307CA">
        <w:rPr>
          <w:rFonts w:asciiTheme="minorEastAsia" w:eastAsiaTheme="minorEastAsia" w:hAnsiTheme="minorEastAsia" w:hint="eastAsia"/>
          <w:szCs w:val="21"/>
        </w:rPr>
        <w:t>）基金管理人及基金托管人基金份额净值计算错误偏差达到基金份额净值的</w:t>
      </w:r>
      <w:r w:rsidRPr="003307CA">
        <w:rPr>
          <w:rFonts w:asciiTheme="minorEastAsia" w:eastAsiaTheme="minorEastAsia" w:hAnsiTheme="minorEastAsia"/>
          <w:szCs w:val="21"/>
        </w:rPr>
        <w:t>0.5%</w:t>
      </w:r>
      <w:r w:rsidRPr="003307CA">
        <w:rPr>
          <w:rFonts w:asciiTheme="minorEastAsia" w:eastAsiaTheme="minorEastAsia" w:hAnsiTheme="minorEastAsia" w:hint="eastAsia"/>
          <w:szCs w:val="21"/>
        </w:rPr>
        <w:t>时，基金管理人应当公告并报中国证监会备案。</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63" w:name="_Toc136455404"/>
      <w:bookmarkStart w:id="364" w:name="_Toc174616312"/>
      <w:r w:rsidRPr="003307CA">
        <w:rPr>
          <w:rFonts w:asciiTheme="minorEastAsia" w:eastAsiaTheme="minorEastAsia" w:hAnsiTheme="minorEastAsia" w:hint="eastAsia"/>
          <w:b/>
          <w:szCs w:val="21"/>
        </w:rPr>
        <w:t>（四）</w:t>
      </w:r>
      <w:r w:rsidR="00692779" w:rsidRPr="003307CA">
        <w:rPr>
          <w:rFonts w:asciiTheme="minorEastAsia" w:eastAsiaTheme="minorEastAsia" w:hAnsiTheme="minorEastAsia" w:hint="eastAsia"/>
          <w:b/>
          <w:szCs w:val="21"/>
        </w:rPr>
        <w:t>可</w:t>
      </w:r>
      <w:r w:rsidRPr="003307CA">
        <w:rPr>
          <w:rFonts w:asciiTheme="minorEastAsia" w:eastAsiaTheme="minorEastAsia" w:hAnsiTheme="minorEastAsia" w:hint="eastAsia"/>
          <w:b/>
          <w:szCs w:val="21"/>
        </w:rPr>
        <w:t>暂停估值的情形</w:t>
      </w:r>
      <w:bookmarkEnd w:id="363"/>
      <w:bookmarkEnd w:id="364"/>
    </w:p>
    <w:p w:rsidR="00785666" w:rsidRPr="003307CA" w:rsidRDefault="00785666" w:rsidP="00CE3F81">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（1）</w:t>
      </w:r>
      <w:r w:rsidRPr="003307CA">
        <w:rPr>
          <w:rFonts w:asciiTheme="minorEastAsia" w:eastAsiaTheme="minorEastAsia" w:hAnsiTheme="minorEastAsia" w:cs="宋体" w:hint="eastAsia"/>
          <w:kern w:val="0"/>
          <w:szCs w:val="21"/>
        </w:rPr>
        <w:t>基金投资所涉及的主要证券交易所或市场或外汇市场遇法定节假日或因其他原因暂停营业时；</w:t>
      </w:r>
    </w:p>
    <w:p w:rsidR="00785666" w:rsidRPr="003307CA" w:rsidRDefault="00785666" w:rsidP="00CE3F81">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（2）因不可抗力或其他情形致使基金管理人、基金托管人无法准确评估基金资产价值时；</w:t>
      </w:r>
    </w:p>
    <w:p w:rsidR="00913708" w:rsidRPr="003307CA" w:rsidRDefault="00913708" w:rsidP="00913708">
      <w:pPr>
        <w:adjustRightInd w:val="0"/>
        <w:snapToGrid w:val="0"/>
        <w:spacing w:line="360" w:lineRule="auto"/>
        <w:ind w:firstLineChars="200" w:firstLine="420"/>
        <w:jc w:val="left"/>
        <w:rPr>
          <w:rFonts w:asciiTheme="minorEastAsia" w:eastAsiaTheme="minorEastAsia" w:hAnsiTheme="minorEastAsia"/>
        </w:rPr>
      </w:pPr>
      <w:r w:rsidRPr="003307CA">
        <w:rPr>
          <w:rFonts w:asciiTheme="minorEastAsia" w:eastAsiaTheme="minorEastAsia" w:hAnsiTheme="minorEastAsia" w:hint="eastAsia"/>
        </w:rPr>
        <w:t>（3）前一估值日基金资产净值50%以上的资产出现无可参考的活跃市场价格且采用估值技术仍导致公允价值存在重大不确定性时，经与基金托管人协商一致的；</w:t>
      </w:r>
    </w:p>
    <w:p w:rsidR="00785666" w:rsidRPr="003307CA" w:rsidRDefault="00913708" w:rsidP="00913708">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rPr>
        <w:t>（4）</w:t>
      </w:r>
      <w:r w:rsidR="00785666" w:rsidRPr="003307CA">
        <w:rPr>
          <w:rFonts w:asciiTheme="minorEastAsia" w:eastAsiaTheme="minorEastAsia" w:hAnsiTheme="minorEastAsia" w:hint="eastAsia"/>
          <w:szCs w:val="21"/>
        </w:rPr>
        <w:t>监管机构认定的其他情形。</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65" w:name="_Toc134845640"/>
      <w:bookmarkStart w:id="366" w:name="_Toc138227584"/>
      <w:bookmarkStart w:id="367" w:name="_Toc152143545"/>
      <w:bookmarkStart w:id="368" w:name="_Toc152223145"/>
      <w:bookmarkStart w:id="369" w:name="_Toc152223626"/>
      <w:bookmarkStart w:id="370" w:name="_Toc174616313"/>
      <w:r w:rsidRPr="003307CA">
        <w:rPr>
          <w:rFonts w:asciiTheme="minorEastAsia" w:eastAsiaTheme="minorEastAsia" w:hAnsiTheme="minorEastAsia" w:hint="eastAsia"/>
          <w:b/>
          <w:szCs w:val="21"/>
        </w:rPr>
        <w:t>（五）</w:t>
      </w:r>
      <w:r w:rsidRPr="003307CA">
        <w:rPr>
          <w:rFonts w:asciiTheme="minorEastAsia" w:eastAsiaTheme="minorEastAsia" w:hAnsiTheme="minorEastAsia"/>
          <w:b/>
          <w:szCs w:val="21"/>
        </w:rPr>
        <w:t>特殊情况的处理</w:t>
      </w:r>
      <w:bookmarkEnd w:id="365"/>
      <w:bookmarkEnd w:id="366"/>
      <w:bookmarkEnd w:id="367"/>
      <w:bookmarkEnd w:id="368"/>
      <w:bookmarkEnd w:id="369"/>
      <w:bookmarkEnd w:id="370"/>
    </w:p>
    <w:p w:rsidR="00785666" w:rsidRPr="003307CA" w:rsidRDefault="00785666" w:rsidP="00CE3F81">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基金管理人</w:t>
      </w:r>
      <w:r w:rsidRPr="003307CA">
        <w:rPr>
          <w:rFonts w:asciiTheme="minorEastAsia" w:eastAsiaTheme="minorEastAsia" w:hAnsiTheme="minorEastAsia"/>
          <w:szCs w:val="21"/>
        </w:rPr>
        <w:t>或</w:t>
      </w:r>
      <w:r w:rsidRPr="003307CA">
        <w:rPr>
          <w:rFonts w:asciiTheme="minorEastAsia" w:eastAsiaTheme="minorEastAsia" w:hAnsiTheme="minorEastAsia" w:hint="eastAsia"/>
          <w:szCs w:val="21"/>
        </w:rPr>
        <w:t>基金托管人</w:t>
      </w:r>
      <w:r w:rsidRPr="003307CA">
        <w:rPr>
          <w:rFonts w:asciiTheme="minorEastAsia" w:eastAsiaTheme="minorEastAsia" w:hAnsiTheme="minorEastAsia"/>
          <w:szCs w:val="21"/>
        </w:rPr>
        <w:t>按</w:t>
      </w:r>
      <w:r w:rsidRPr="003307CA">
        <w:rPr>
          <w:rFonts w:asciiTheme="minorEastAsia" w:eastAsiaTheme="minorEastAsia" w:hAnsiTheme="minorEastAsia" w:hint="eastAsia"/>
          <w:szCs w:val="21"/>
        </w:rPr>
        <w:t>《基金合同》规定</w:t>
      </w:r>
      <w:r w:rsidRPr="003307CA">
        <w:rPr>
          <w:rFonts w:asciiTheme="minorEastAsia" w:eastAsiaTheme="minorEastAsia" w:hAnsiTheme="minorEastAsia"/>
          <w:szCs w:val="21"/>
        </w:rPr>
        <w:t>估值方法进行估值时，所造成的误差不作为</w:t>
      </w:r>
      <w:r w:rsidRPr="003307CA">
        <w:rPr>
          <w:rFonts w:asciiTheme="minorEastAsia" w:eastAsiaTheme="minorEastAsia" w:hAnsiTheme="minorEastAsia" w:hint="eastAsia"/>
          <w:szCs w:val="21"/>
        </w:rPr>
        <w:t>基金</w:t>
      </w:r>
      <w:r w:rsidRPr="003307CA">
        <w:rPr>
          <w:rFonts w:asciiTheme="minorEastAsia" w:eastAsiaTheme="minorEastAsia" w:hAnsiTheme="minorEastAsia"/>
          <w:szCs w:val="21"/>
        </w:rPr>
        <w:t>份额净值错误处理。</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71" w:name="_Toc174616314"/>
      <w:r w:rsidRPr="003307CA">
        <w:rPr>
          <w:rFonts w:asciiTheme="minorEastAsia" w:eastAsiaTheme="minorEastAsia" w:hAnsiTheme="minorEastAsia" w:hint="eastAsia"/>
          <w:b/>
          <w:szCs w:val="21"/>
        </w:rPr>
        <w:t>（六）基金账册的建立</w:t>
      </w:r>
      <w:bookmarkEnd w:id="371"/>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rsidR="00785666" w:rsidRPr="003307CA" w:rsidRDefault="00785666" w:rsidP="00CE3F81">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经对账发现相关各方的账目存在不符的，基金管理人和基金托管人必须及时查明原因并纠正，保证相关各方平行登录的账册记录相符。</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72" w:name="_Toc174616315"/>
      <w:r w:rsidRPr="003307CA">
        <w:rPr>
          <w:rFonts w:asciiTheme="minorEastAsia" w:eastAsiaTheme="minorEastAsia" w:hAnsiTheme="minorEastAsia" w:hint="eastAsia"/>
          <w:b/>
          <w:szCs w:val="21"/>
        </w:rPr>
        <w:t>（七）基金定期报告的编制和复核</w:t>
      </w:r>
      <w:bookmarkEnd w:id="372"/>
    </w:p>
    <w:p w:rsidR="00785666" w:rsidRPr="003307CA" w:rsidRDefault="00785666" w:rsidP="00CE3F81">
      <w:pPr>
        <w:pStyle w:val="af0"/>
        <w:tabs>
          <w:tab w:val="left" w:pos="645"/>
        </w:tabs>
        <w:snapToGrid w:val="0"/>
        <w:spacing w:line="360" w:lineRule="auto"/>
        <w:ind w:firstLineChars="200"/>
        <w:rPr>
          <w:rFonts w:asciiTheme="minorEastAsia" w:eastAsiaTheme="minorEastAsia" w:hAnsiTheme="minorEastAsia"/>
          <w:kern w:val="0"/>
          <w:szCs w:val="21"/>
        </w:rPr>
      </w:pPr>
      <w:r w:rsidRPr="003307CA">
        <w:rPr>
          <w:rFonts w:asciiTheme="minorEastAsia" w:eastAsiaTheme="minorEastAsia" w:hAnsiTheme="minorEastAsia" w:hint="eastAsia"/>
          <w:kern w:val="0"/>
          <w:szCs w:val="21"/>
        </w:rPr>
        <w:t>1</w:t>
      </w:r>
      <w:r w:rsidR="007F6D3E" w:rsidRPr="003307CA">
        <w:rPr>
          <w:rFonts w:asciiTheme="minorEastAsia" w:eastAsiaTheme="minorEastAsia" w:hAnsiTheme="minorEastAsia" w:hint="eastAsia"/>
          <w:kern w:val="0"/>
          <w:szCs w:val="21"/>
        </w:rPr>
        <w:t>、</w:t>
      </w:r>
      <w:r w:rsidRPr="003307CA">
        <w:rPr>
          <w:rFonts w:asciiTheme="minorEastAsia" w:eastAsiaTheme="minorEastAsia" w:hAnsiTheme="minorEastAsia" w:hint="eastAsia"/>
          <w:kern w:val="0"/>
          <w:szCs w:val="21"/>
        </w:rPr>
        <w:t>基金托管人法定报告</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t>基金托管人需根据相关法律法规的规定向监管机构报告相关信息，包括但不限于以下内容：</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t>（1）自开设境外结算账户之日起5日内，将有关账户的详情报告外管局；</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t>（2）每月结束后7个工作日内，向中国证监会和外管局报告基金境外投资情况，并按相关监管规定进行国际收支申报；</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t>（3）发现基金管理人投资指令或资金汇出违法、违规的，及时向中国证监会或外管局报告；</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lastRenderedPageBreak/>
        <w:t>（4）中国证监会和外管局规定的其他报告事项；</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t>上述报告应同时抄送基金管理人，对于基金托管人提供上述报告，基金管理人应予以支持和配合。</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财务报表的编制与复核</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（1）报表的编制</w:t>
      </w:r>
    </w:p>
    <w:p w:rsidR="00746762" w:rsidRPr="003307CA" w:rsidRDefault="00746762" w:rsidP="00746762">
      <w:pPr>
        <w:snapToGrid w:val="0"/>
        <w:spacing w:line="360" w:lineRule="auto"/>
        <w:ind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基金财务报表由基金管理人编制，基金托管人复核。</w:t>
      </w:r>
    </w:p>
    <w:p w:rsidR="00746762" w:rsidRPr="003307CA" w:rsidRDefault="00746762" w:rsidP="00746762">
      <w:pPr>
        <w:snapToGrid w:val="0"/>
        <w:spacing w:line="360" w:lineRule="auto"/>
        <w:ind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应当在上半年结束之日起两个月内完成基金中期报告的编制；在每年结束之日起三个月内完成基金年度报告的编制。基金年度报告的财务会计报告应当经过审计。基金合同生效不足两个月的，基金管理人可以不编制当期中期报告或者年度报告。</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（2）报表的复核</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szCs w:val="21"/>
        </w:rPr>
        <w:t>基金管理人应留足充分的时间，便于基金托管人复核相关报表及报告。</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t>3</w:t>
      </w:r>
      <w:r w:rsidR="007F6D3E" w:rsidRPr="003307CA">
        <w:rPr>
          <w:rFonts w:asciiTheme="minorEastAsia" w:eastAsiaTheme="minorEastAsia" w:hAnsiTheme="minorEastAsia" w:hint="eastAsia"/>
          <w:sz w:val="21"/>
          <w:szCs w:val="21"/>
        </w:rPr>
        <w:t>、</w:t>
      </w:r>
      <w:r w:rsidRPr="003307CA">
        <w:rPr>
          <w:rFonts w:asciiTheme="minorEastAsia" w:eastAsiaTheme="minorEastAsia" w:hAnsiTheme="minorEastAsia"/>
          <w:sz w:val="21"/>
          <w:szCs w:val="21"/>
        </w:rPr>
        <w:t>定期信息和报告</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3307CA">
        <w:rPr>
          <w:rFonts w:asciiTheme="minorEastAsia" w:eastAsiaTheme="minorEastAsia" w:hAnsiTheme="minorEastAsia"/>
          <w:sz w:val="21"/>
          <w:szCs w:val="21"/>
        </w:rPr>
        <w:t>（1）基金托管人应按照本协议及时向基金管理人提供与</w:t>
      </w:r>
      <w:r w:rsidRPr="003307CA">
        <w:rPr>
          <w:rFonts w:asciiTheme="minorEastAsia" w:eastAsiaTheme="minorEastAsia" w:hAnsiTheme="minorEastAsia" w:cs="宋体"/>
          <w:sz w:val="21"/>
          <w:szCs w:val="21"/>
        </w:rPr>
        <w:t>基金财产</w:t>
      </w:r>
      <w:r w:rsidRPr="003307CA">
        <w:rPr>
          <w:rFonts w:asciiTheme="minorEastAsia" w:eastAsiaTheme="minorEastAsia" w:hAnsiTheme="minorEastAsia"/>
          <w:sz w:val="21"/>
          <w:szCs w:val="21"/>
        </w:rPr>
        <w:t>托管业务相关的信息报告，包括但不限于定期报告的基金财产账户的相关评估报告、会计报表、估值报告、监管报告；</w:t>
      </w:r>
    </w:p>
    <w:p w:rsidR="00785666" w:rsidRPr="003307CA" w:rsidRDefault="00785666" w:rsidP="00CE3F81">
      <w:pPr>
        <w:snapToGrid w:val="0"/>
        <w:spacing w:line="360" w:lineRule="auto"/>
        <w:ind w:firstLineChars="200" w:firstLine="420"/>
        <w:jc w:val="left"/>
        <w:rPr>
          <w:rFonts w:asciiTheme="minorEastAsia" w:eastAsiaTheme="minorEastAsia" w:hAnsiTheme="minorEastAsia"/>
          <w:szCs w:val="21"/>
        </w:rPr>
      </w:pPr>
      <w:r w:rsidRPr="003307CA">
        <w:rPr>
          <w:rFonts w:asciiTheme="minorEastAsia" w:eastAsiaTheme="minorEastAsia" w:hAnsiTheme="minorEastAsia" w:hint="eastAsia"/>
          <w:szCs w:val="21"/>
        </w:rPr>
        <w:t>（2）</w:t>
      </w:r>
      <w:r w:rsidRPr="003307CA">
        <w:rPr>
          <w:rFonts w:asciiTheme="minorEastAsia" w:eastAsiaTheme="minorEastAsia" w:hAnsiTheme="minorEastAsia"/>
          <w:szCs w:val="21"/>
        </w:rPr>
        <w:t>应基金管理人要求，基金托管人及境外托管人可以就有关法律规定和市场惯例等事项向咨询机构进行咨询，但应谨慎处理该等咨询事项并向基金管理人报告有关结果。</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bookmarkStart w:id="373" w:name="_Toc136455405"/>
      <w:bookmarkStart w:id="374" w:name="_Toc174616316"/>
      <w:r w:rsidRPr="003307CA">
        <w:rPr>
          <w:rFonts w:asciiTheme="minorEastAsia" w:eastAsiaTheme="minorEastAsia" w:hAnsiTheme="minorEastAsia" w:hint="eastAsia"/>
          <w:b/>
          <w:szCs w:val="21"/>
        </w:rPr>
        <w:t>（八）基金会计制度</w:t>
      </w:r>
      <w:bookmarkEnd w:id="373"/>
      <w:bookmarkEnd w:id="374"/>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按国家有关部门规定的会计制度和准则执行。</w:t>
      </w:r>
    </w:p>
    <w:p w:rsidR="00785666" w:rsidRPr="003307CA" w:rsidRDefault="00785666" w:rsidP="00CE3F81">
      <w:pPr>
        <w:snapToGrid w:val="0"/>
        <w:spacing w:line="360" w:lineRule="auto"/>
        <w:ind w:firstLineChars="200" w:firstLine="422"/>
        <w:rPr>
          <w:rFonts w:asciiTheme="minorEastAsia" w:eastAsiaTheme="minorEastAsia" w:hAnsiTheme="minorEastAsia"/>
          <w:b/>
          <w:szCs w:val="21"/>
        </w:rPr>
      </w:pPr>
      <w:r w:rsidRPr="003307CA">
        <w:rPr>
          <w:rFonts w:asciiTheme="minorEastAsia" w:eastAsiaTheme="minorEastAsia" w:hAnsiTheme="minorEastAsia" w:hint="eastAsia"/>
          <w:b/>
          <w:szCs w:val="21"/>
        </w:rPr>
        <w:t>六、</w:t>
      </w:r>
      <w:r w:rsidRPr="003307CA">
        <w:rPr>
          <w:rFonts w:asciiTheme="minorEastAsia" w:eastAsiaTheme="minorEastAsia" w:hAnsiTheme="minorEastAsia"/>
          <w:b/>
          <w:szCs w:val="21"/>
        </w:rPr>
        <w:t>基金份额持有人名册的登记与保管</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基金管理人和基金托管人须分别妥善保管的基金份额持有人名册，包括</w:t>
      </w:r>
      <w:r w:rsidRPr="003307CA">
        <w:rPr>
          <w:rFonts w:asciiTheme="minorEastAsia" w:eastAsiaTheme="minorEastAsia" w:hAnsiTheme="minorEastAsia" w:cs="Arial" w:hint="eastAsia"/>
          <w:szCs w:val="21"/>
        </w:rPr>
        <w:t>《基金合同》生效日、《基金合同》终止日、基金份额持有人大会权利登记日、每年6月30日、12月31日的基金份额持有人名册。</w:t>
      </w:r>
      <w:r w:rsidRPr="003307CA">
        <w:rPr>
          <w:rFonts w:asciiTheme="minorEastAsia" w:eastAsiaTheme="minorEastAsia" w:hAnsiTheme="minorEastAsia" w:hint="eastAsia"/>
          <w:szCs w:val="21"/>
        </w:rPr>
        <w:t>基金份额持有人名册的内容必须包括基金份额持有人的名称和持有的基金份额。</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hint="eastAsia"/>
          <w:szCs w:val="21"/>
        </w:rPr>
        <w:t>基金份额持有人名册由基金的</w:t>
      </w:r>
      <w:r w:rsidRPr="003307CA">
        <w:rPr>
          <w:rFonts w:asciiTheme="minorEastAsia" w:eastAsiaTheme="minorEastAsia" w:hAnsiTheme="minorEastAsia" w:cs="Arial" w:hint="eastAsia"/>
          <w:szCs w:val="21"/>
        </w:rPr>
        <w:t>基金注册登记机构根据基金管理人的指令编制和保管</w:t>
      </w:r>
      <w:r w:rsidRPr="003307CA">
        <w:rPr>
          <w:rFonts w:asciiTheme="minorEastAsia" w:eastAsiaTheme="minorEastAsia" w:hAnsiTheme="minorEastAsia" w:hint="eastAsia"/>
          <w:szCs w:val="21"/>
        </w:rPr>
        <w:t>，基金管理人和基金托管人应按照目前相关规则分别保管基金份额持有人名册。保管方式可以采用电子或文档的形式。保管期限为法律法规规定的期限。</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cs="Arial" w:hint="eastAsia"/>
          <w:szCs w:val="21"/>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w:t>
      </w:r>
      <w:r w:rsidRPr="003307CA">
        <w:rPr>
          <w:rFonts w:asciiTheme="minorEastAsia" w:eastAsiaTheme="minorEastAsia" w:hAnsiTheme="minorEastAsia" w:cs="Arial" w:hint="eastAsia"/>
          <w:szCs w:val="21"/>
        </w:rPr>
        <w:lastRenderedPageBreak/>
        <w:t>提交；《基金合同》生效日、《基金合同》终止日等涉及到基金重要事项日期的基金份额持有人名册应于发生日后十个工作日内提交。</w:t>
      </w:r>
    </w:p>
    <w:p w:rsidR="00785666" w:rsidRPr="003307CA" w:rsidRDefault="00785666" w:rsidP="00CE3F81">
      <w:pPr>
        <w:snapToGrid w:val="0"/>
        <w:spacing w:line="360" w:lineRule="auto"/>
        <w:ind w:firstLineChars="200" w:firstLine="420"/>
        <w:rPr>
          <w:rFonts w:asciiTheme="minorEastAsia" w:eastAsiaTheme="minorEastAsia" w:hAnsiTheme="minorEastAsia" w:cs="Arial"/>
          <w:szCs w:val="21"/>
        </w:rPr>
      </w:pPr>
      <w:r w:rsidRPr="003307CA">
        <w:rPr>
          <w:rFonts w:asciiTheme="minorEastAsia" w:eastAsiaTheme="minorEastAsia" w:hAnsiTheme="minorEastAsia" w:cs="Arial" w:hint="eastAsia"/>
          <w:szCs w:val="21"/>
        </w:rPr>
        <w:t>基金托管人以电子版形式妥善保管基金份额持有人名册，并定期刻成光盘备份，</w:t>
      </w:r>
      <w:r w:rsidRPr="003307CA">
        <w:rPr>
          <w:rFonts w:asciiTheme="minorEastAsia" w:eastAsiaTheme="minorEastAsia" w:hAnsiTheme="minorEastAsia" w:hint="eastAsia"/>
          <w:szCs w:val="21"/>
        </w:rPr>
        <w:t>保管期限为法律法规规定的期限</w:t>
      </w:r>
      <w:r w:rsidRPr="003307CA">
        <w:rPr>
          <w:rFonts w:asciiTheme="minorEastAsia" w:eastAsiaTheme="minorEastAsia" w:hAnsiTheme="minorEastAsia" w:cs="Arial" w:hint="eastAsia"/>
          <w:szCs w:val="21"/>
        </w:rPr>
        <w:t>。基金托管人不得将所保管的基金份额持有人名册用于基金托管业务以外的其他用途，并应遵守保密义务。</w:t>
      </w:r>
    </w:p>
    <w:p w:rsidR="00785666" w:rsidRPr="003307CA" w:rsidRDefault="00785666" w:rsidP="00CE3F81">
      <w:pPr>
        <w:pStyle w:val="af3"/>
        <w:snapToGrid w:val="0"/>
        <w:spacing w:line="360" w:lineRule="auto"/>
        <w:ind w:firstLineChars="200" w:firstLine="420"/>
        <w:rPr>
          <w:rFonts w:asciiTheme="minorEastAsia" w:eastAsiaTheme="minorEastAsia" w:hAnsiTheme="minorEastAsia"/>
          <w:b/>
          <w:szCs w:val="21"/>
        </w:rPr>
      </w:pPr>
      <w:r w:rsidRPr="003307CA">
        <w:rPr>
          <w:rFonts w:asciiTheme="minorEastAsia" w:eastAsiaTheme="minorEastAsia" w:hAnsiTheme="minorEastAsia" w:cs="Arial"/>
          <w:sz w:val="21"/>
          <w:szCs w:val="21"/>
        </w:rPr>
        <w:t>若基金管理人或基金托管人由于自身原因无法妥善保管基金份额持有人名册，应按有关法规规定各自</w:t>
      </w:r>
      <w:r w:rsidRPr="003307CA">
        <w:rPr>
          <w:rFonts w:asciiTheme="minorEastAsia" w:eastAsiaTheme="minorEastAsia" w:hAnsiTheme="minorEastAsia"/>
          <w:sz w:val="21"/>
          <w:szCs w:val="21"/>
        </w:rPr>
        <w:t>承担相应的责任。</w:t>
      </w:r>
      <w:r w:rsidRPr="003307CA">
        <w:rPr>
          <w:rFonts w:asciiTheme="minorEastAsia" w:eastAsiaTheme="minorEastAsia" w:hAnsiTheme="minorEastAsia"/>
          <w:b/>
          <w:szCs w:val="21"/>
        </w:rPr>
        <w:br/>
        <w:t xml:space="preserve">　　</w:t>
      </w:r>
      <w:r w:rsidRPr="003307CA">
        <w:rPr>
          <w:rFonts w:asciiTheme="minorEastAsia" w:eastAsiaTheme="minorEastAsia" w:hAnsiTheme="minorEastAsia" w:hint="eastAsia"/>
          <w:b/>
          <w:szCs w:val="21"/>
        </w:rPr>
        <w:t>七、</w:t>
      </w:r>
      <w:r w:rsidRPr="003307CA">
        <w:rPr>
          <w:rFonts w:asciiTheme="minorEastAsia" w:eastAsiaTheme="minorEastAsia" w:hAnsiTheme="minorEastAsia"/>
          <w:b/>
          <w:szCs w:val="21"/>
        </w:rPr>
        <w:t>争议解决方式</w:t>
      </w:r>
    </w:p>
    <w:p w:rsidR="00785666" w:rsidRPr="003307CA" w:rsidRDefault="00785666" w:rsidP="00CE3F81">
      <w:pPr>
        <w:autoSpaceDE w:val="0"/>
        <w:autoSpaceDN w:val="0"/>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(一)</w:t>
      </w:r>
      <w:r w:rsidRPr="003307CA">
        <w:rPr>
          <w:rFonts w:asciiTheme="minorEastAsia" w:eastAsiaTheme="minorEastAsia" w:hAnsiTheme="minorEastAsia" w:hint="eastAsia"/>
          <w:kern w:val="0"/>
          <w:szCs w:val="21"/>
        </w:rPr>
        <w:t>本托管协议适用中华人民共和国法律并依照其解释</w:t>
      </w:r>
      <w:r w:rsidRPr="003307CA">
        <w:rPr>
          <w:rFonts w:asciiTheme="minorEastAsia" w:eastAsiaTheme="minorEastAsia" w:hAnsiTheme="minorEastAsia" w:hint="eastAsia"/>
          <w:szCs w:val="21"/>
        </w:rPr>
        <w:t>。相关各方当事人同意，因本协议而产生的或与本协议有关的一切争议，除经友好协商可以解决的，</w:t>
      </w:r>
      <w:r w:rsidRPr="003307CA">
        <w:rPr>
          <w:rFonts w:asciiTheme="minorEastAsia" w:eastAsiaTheme="minorEastAsia" w:hAnsiTheme="minorEastAsia"/>
          <w:szCs w:val="21"/>
        </w:rPr>
        <w:t>均应提交中国国际经济贸易仲裁委员会</w:t>
      </w:r>
      <w:r w:rsidRPr="003307CA">
        <w:rPr>
          <w:rFonts w:asciiTheme="minorEastAsia" w:eastAsiaTheme="minorEastAsia" w:hAnsiTheme="minorEastAsia" w:hint="eastAsia"/>
          <w:szCs w:val="21"/>
        </w:rPr>
        <w:t>在北京仲裁</w:t>
      </w:r>
      <w:r w:rsidRPr="003307CA">
        <w:rPr>
          <w:rFonts w:asciiTheme="minorEastAsia" w:eastAsiaTheme="minorEastAsia" w:hAnsiTheme="minorEastAsia"/>
          <w:szCs w:val="21"/>
        </w:rPr>
        <w:t>，按照申请仲裁时该会现行有效的仲裁规则进行仲裁。仲裁裁决是终局的，对双方均有约束力。</w:t>
      </w:r>
    </w:p>
    <w:p w:rsidR="00785666" w:rsidRPr="003307CA" w:rsidRDefault="00785666" w:rsidP="00CE3F81">
      <w:pPr>
        <w:autoSpaceDE w:val="0"/>
        <w:autoSpaceDN w:val="0"/>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(二)当任何争议发生或任何争议正在进行仲裁时，除争议事项外，双方仍有权行使本协议项下的其它权利并应履行本协议项下的其它义务。</w:t>
      </w:r>
      <w:r w:rsidRPr="003307CA">
        <w:rPr>
          <w:rFonts w:asciiTheme="minorEastAsia" w:eastAsiaTheme="minorEastAsia" w:hAnsiTheme="minorEastAsia"/>
          <w:b/>
          <w:szCs w:val="21"/>
        </w:rPr>
        <w:br/>
        <w:t xml:space="preserve">　　</w:t>
      </w:r>
      <w:r w:rsidRPr="003307CA">
        <w:rPr>
          <w:rFonts w:asciiTheme="minorEastAsia" w:eastAsiaTheme="minorEastAsia" w:hAnsiTheme="minorEastAsia" w:hint="eastAsia"/>
          <w:b/>
          <w:szCs w:val="21"/>
        </w:rPr>
        <w:t>八、</w:t>
      </w:r>
      <w:r w:rsidRPr="003307CA">
        <w:rPr>
          <w:rFonts w:asciiTheme="minorEastAsia" w:eastAsiaTheme="minorEastAsia" w:hAnsiTheme="minorEastAsia"/>
          <w:b/>
          <w:szCs w:val="21"/>
        </w:rPr>
        <w:t>托管协议的修改与终止</w:t>
      </w:r>
      <w:r w:rsidRPr="003307CA">
        <w:rPr>
          <w:rFonts w:asciiTheme="minorEastAsia" w:eastAsiaTheme="minorEastAsia" w:hAnsiTheme="minorEastAsia"/>
          <w:b/>
          <w:szCs w:val="21"/>
        </w:rPr>
        <w:br/>
      </w:r>
      <w:r w:rsidRPr="003307CA">
        <w:rPr>
          <w:rFonts w:asciiTheme="minorEastAsia" w:eastAsiaTheme="minorEastAsia" w:hAnsiTheme="minorEastAsia" w:hint="eastAsia"/>
          <w:szCs w:val="21"/>
        </w:rPr>
        <w:t>（一）托管协议的变更</w:t>
      </w:r>
    </w:p>
    <w:p w:rsidR="00785666" w:rsidRPr="003307CA" w:rsidRDefault="00785666" w:rsidP="00CE3F81">
      <w:pPr>
        <w:pStyle w:val="af0"/>
        <w:snapToGrid w:val="0"/>
        <w:spacing w:line="360" w:lineRule="auto"/>
        <w:ind w:firstLineChars="200"/>
        <w:rPr>
          <w:rStyle w:val="HTML0"/>
          <w:rFonts w:asciiTheme="minorEastAsia" w:eastAsiaTheme="minorEastAsia" w:hAnsiTheme="minorEastAsia"/>
          <w:sz w:val="21"/>
          <w:szCs w:val="21"/>
        </w:rPr>
      </w:pPr>
      <w:r w:rsidRPr="003307CA">
        <w:rPr>
          <w:rFonts w:asciiTheme="minorEastAsia" w:eastAsiaTheme="minorEastAsia" w:hAnsiTheme="minorEastAsia" w:hint="eastAsia"/>
          <w:szCs w:val="21"/>
        </w:rPr>
        <w:t>本协议双方当事人经协商一致，可以书面形式对本协议进行修改。修改后的新协议，其内容不得与《基金合同》的规定有任何冲突。《托管协议》的修改和变更应报送中国证监会核准。</w:t>
      </w:r>
    </w:p>
    <w:p w:rsidR="00785666" w:rsidRPr="003307CA" w:rsidRDefault="00785666" w:rsidP="007F6D3E">
      <w:pPr>
        <w:pStyle w:val="ab"/>
        <w:snapToGrid w:val="0"/>
        <w:spacing w:after="0" w:line="360" w:lineRule="auto"/>
        <w:ind w:firstLineChars="200" w:firstLine="420"/>
        <w:rPr>
          <w:rFonts w:asciiTheme="minorEastAsia" w:eastAsiaTheme="minorEastAsia" w:hAnsiTheme="minorEastAsia"/>
          <w:szCs w:val="21"/>
        </w:rPr>
      </w:pPr>
      <w:bookmarkStart w:id="375" w:name="_Toc174616344"/>
      <w:r w:rsidRPr="003307CA">
        <w:rPr>
          <w:rFonts w:asciiTheme="minorEastAsia" w:eastAsiaTheme="minorEastAsia" w:hAnsiTheme="minorEastAsia" w:hint="eastAsia"/>
          <w:szCs w:val="21"/>
        </w:rPr>
        <w:t>（二）托管协议的终止</w:t>
      </w:r>
      <w:bookmarkEnd w:id="375"/>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发生以下任一情况，本协议终止：</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1</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《基金合同》终止；</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2</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基金管理人或基金托管人职责终止；</w:t>
      </w:r>
    </w:p>
    <w:p w:rsidR="00785666" w:rsidRPr="003307CA" w:rsidRDefault="00785666"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3</w:t>
      </w:r>
      <w:r w:rsidR="007F6D3E" w:rsidRPr="003307CA">
        <w:rPr>
          <w:rFonts w:asciiTheme="minorEastAsia" w:eastAsiaTheme="minorEastAsia" w:hAnsiTheme="minorEastAsia" w:hint="eastAsia"/>
          <w:szCs w:val="21"/>
        </w:rPr>
        <w:t>、</w:t>
      </w:r>
      <w:r w:rsidRPr="003307CA">
        <w:rPr>
          <w:rFonts w:asciiTheme="minorEastAsia" w:eastAsiaTheme="minorEastAsia" w:hAnsiTheme="minorEastAsia" w:hint="eastAsia"/>
          <w:szCs w:val="21"/>
        </w:rPr>
        <w:t>中国证监会</w:t>
      </w:r>
      <w:r w:rsidRPr="003307CA">
        <w:rPr>
          <w:rFonts w:asciiTheme="minorEastAsia" w:eastAsiaTheme="minorEastAsia" w:hAnsiTheme="minorEastAsia"/>
          <w:szCs w:val="21"/>
        </w:rPr>
        <w:t>规定的</w:t>
      </w:r>
      <w:r w:rsidRPr="003307CA">
        <w:rPr>
          <w:rFonts w:asciiTheme="minorEastAsia" w:eastAsiaTheme="minorEastAsia" w:hAnsiTheme="minorEastAsia" w:hint="eastAsia"/>
          <w:szCs w:val="21"/>
        </w:rPr>
        <w:t>其他</w:t>
      </w:r>
      <w:r w:rsidRPr="003307CA">
        <w:rPr>
          <w:rFonts w:asciiTheme="minorEastAsia" w:eastAsiaTheme="minorEastAsia" w:hAnsiTheme="minorEastAsia"/>
          <w:szCs w:val="21"/>
        </w:rPr>
        <w:t>终止</w:t>
      </w:r>
      <w:r w:rsidRPr="003307CA">
        <w:rPr>
          <w:rFonts w:asciiTheme="minorEastAsia" w:eastAsiaTheme="minorEastAsia" w:hAnsiTheme="minorEastAsia" w:hint="eastAsia"/>
          <w:szCs w:val="21"/>
        </w:rPr>
        <w:t>情形。</w:t>
      </w:r>
    </w:p>
    <w:p w:rsidR="00BD4C5B" w:rsidRPr="003307CA" w:rsidRDefault="00BD4C5B" w:rsidP="00CE3F81">
      <w:pPr>
        <w:snapToGrid w:val="0"/>
        <w:spacing w:line="360" w:lineRule="auto"/>
        <w:ind w:firstLineChars="200" w:firstLine="420"/>
        <w:rPr>
          <w:rFonts w:asciiTheme="minorEastAsia" w:eastAsiaTheme="minorEastAsia" w:hAnsiTheme="minorEastAsia"/>
          <w:szCs w:val="21"/>
        </w:rPr>
        <w:sectPr w:rsidR="00BD4C5B" w:rsidRPr="003307CA" w:rsidSect="00684E94">
          <w:pgSz w:w="11906" w:h="16838" w:code="9"/>
          <w:pgMar w:top="1440" w:right="1800" w:bottom="1440" w:left="1800" w:header="851" w:footer="992" w:gutter="0"/>
          <w:cols w:space="425"/>
          <w:docGrid w:type="lines" w:linePitch="312"/>
        </w:sectPr>
      </w:pPr>
    </w:p>
    <w:p w:rsidR="00733014" w:rsidRPr="003307CA" w:rsidRDefault="0073301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76" w:name="_Toc44351153"/>
      <w:bookmarkStart w:id="377" w:name="_Toc38186634"/>
      <w:r w:rsidRPr="003307CA">
        <w:rPr>
          <w:rFonts w:asciiTheme="minorEastAsia" w:eastAsiaTheme="minorEastAsia" w:hAnsiTheme="minorEastAsia" w:hint="eastAsia"/>
        </w:rPr>
        <w:lastRenderedPageBreak/>
        <w:t>对基金份额持有人的服务</w:t>
      </w:r>
      <w:bookmarkEnd w:id="376"/>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（一）基金份额持有人投资交易确认服务</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基金注册登记机构保留基金份额持有人名册上列明的所有基金份额持有人的基金交易记录。</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基金管理人直销</w:t>
      </w:r>
      <w:r w:rsidR="00B866FF" w:rsidRPr="003307CA">
        <w:rPr>
          <w:rFonts w:asciiTheme="minorEastAsia" w:eastAsiaTheme="minorEastAsia" w:hAnsiTheme="minorEastAsia" w:hint="eastAsia"/>
        </w:rPr>
        <w:t>网点</w:t>
      </w:r>
      <w:r w:rsidRPr="003307CA">
        <w:rPr>
          <w:rFonts w:asciiTheme="minorEastAsia" w:eastAsiaTheme="minorEastAsia" w:hAnsiTheme="minorEastAsia" w:hint="eastAsia"/>
        </w:rPr>
        <w:t>应根据在基金管理人直销</w:t>
      </w:r>
      <w:r w:rsidR="00B866FF" w:rsidRPr="003307CA">
        <w:rPr>
          <w:rFonts w:asciiTheme="minorEastAsia" w:eastAsiaTheme="minorEastAsia" w:hAnsiTheme="minorEastAsia" w:hint="eastAsia"/>
        </w:rPr>
        <w:t>网点</w:t>
      </w:r>
      <w:r w:rsidRPr="003307CA">
        <w:rPr>
          <w:rFonts w:asciiTheme="minorEastAsia" w:eastAsiaTheme="minorEastAsia" w:hAnsiTheme="minorEastAsia" w:hint="eastAsia"/>
        </w:rPr>
        <w:t>进行交易的投资者的要求提</w:t>
      </w:r>
      <w:r w:rsidR="00B866FF" w:rsidRPr="003307CA">
        <w:rPr>
          <w:rFonts w:asciiTheme="minorEastAsia" w:eastAsiaTheme="minorEastAsia" w:hAnsiTheme="minorEastAsia" w:hint="eastAsia"/>
        </w:rPr>
        <w:t>供</w:t>
      </w:r>
      <w:r w:rsidRPr="003307CA">
        <w:rPr>
          <w:rFonts w:asciiTheme="minorEastAsia" w:eastAsiaTheme="minorEastAsia" w:hAnsiTheme="minorEastAsia" w:hint="eastAsia"/>
        </w:rPr>
        <w:t>成交确认单。基金</w:t>
      </w:r>
      <w:r w:rsidR="000D6E0C" w:rsidRPr="003307CA">
        <w:rPr>
          <w:rFonts w:asciiTheme="minorEastAsia" w:eastAsiaTheme="minorEastAsia" w:hAnsiTheme="minorEastAsia" w:hint="eastAsia"/>
        </w:rPr>
        <w:t>非直销销售</w:t>
      </w:r>
      <w:r w:rsidRPr="003307CA">
        <w:rPr>
          <w:rFonts w:asciiTheme="minorEastAsia" w:eastAsiaTheme="minorEastAsia" w:hAnsiTheme="minorEastAsia" w:hint="eastAsia"/>
        </w:rPr>
        <w:t>机构应根据在</w:t>
      </w:r>
      <w:r w:rsidR="000D6E0C" w:rsidRPr="003307CA">
        <w:rPr>
          <w:rFonts w:asciiTheme="minorEastAsia" w:eastAsiaTheme="minorEastAsia" w:hAnsiTheme="minorEastAsia" w:hint="eastAsia"/>
        </w:rPr>
        <w:t>销售</w:t>
      </w:r>
      <w:r w:rsidRPr="003307CA">
        <w:rPr>
          <w:rFonts w:asciiTheme="minorEastAsia" w:eastAsiaTheme="minorEastAsia" w:hAnsiTheme="minorEastAsia" w:hint="eastAsia"/>
        </w:rPr>
        <w:t>网点进行交易的投资者的要求提</w:t>
      </w:r>
      <w:r w:rsidR="00B866FF" w:rsidRPr="003307CA">
        <w:rPr>
          <w:rFonts w:asciiTheme="minorEastAsia" w:eastAsiaTheme="minorEastAsia" w:hAnsiTheme="minorEastAsia" w:hint="eastAsia"/>
        </w:rPr>
        <w:t>供</w:t>
      </w:r>
      <w:r w:rsidRPr="003307CA">
        <w:rPr>
          <w:rFonts w:asciiTheme="minorEastAsia" w:eastAsiaTheme="minorEastAsia" w:hAnsiTheme="minorEastAsia" w:hint="eastAsia"/>
        </w:rPr>
        <w:t>成交确认单。</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（二）基金份额持有人交易记录查询服务</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本基金份额持有人可通过基金管理人的客户服务中心查询历史交易记录。</w:t>
      </w:r>
    </w:p>
    <w:p w:rsidR="00D105CC" w:rsidRPr="003307CA" w:rsidRDefault="000C5E26"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（三）</w:t>
      </w:r>
      <w:r w:rsidR="006602F4" w:rsidRPr="003307CA">
        <w:rPr>
          <w:rFonts w:asciiTheme="minorEastAsia" w:eastAsiaTheme="minorEastAsia" w:hAnsiTheme="minorEastAsia" w:hint="eastAsia"/>
        </w:rPr>
        <w:t>基金份额持有人</w:t>
      </w:r>
      <w:r w:rsidR="00D105CC" w:rsidRPr="003307CA">
        <w:rPr>
          <w:rFonts w:asciiTheme="minorEastAsia" w:eastAsiaTheme="minorEastAsia" w:hAnsiTheme="minorEastAsia" w:hint="eastAsia"/>
        </w:rPr>
        <w:t>的对账单服务</w:t>
      </w:r>
    </w:p>
    <w:p w:rsidR="00D105CC" w:rsidRPr="003307CA" w:rsidRDefault="00D105CC"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rPr>
        <w:t>1</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基金份额持有人可登录本公司网站（</w:t>
      </w:r>
      <w:r w:rsidRPr="003307CA">
        <w:rPr>
          <w:rFonts w:asciiTheme="minorEastAsia" w:eastAsiaTheme="minorEastAsia" w:hAnsiTheme="minorEastAsia"/>
        </w:rPr>
        <w:t>http://www.efunds.com.cn</w:t>
      </w:r>
      <w:r w:rsidRPr="003307CA">
        <w:rPr>
          <w:rFonts w:asciiTheme="minorEastAsia" w:eastAsiaTheme="minorEastAsia" w:hAnsiTheme="minorEastAsia" w:hint="eastAsia"/>
        </w:rPr>
        <w:t>）查阅对账单。</w:t>
      </w:r>
    </w:p>
    <w:p w:rsidR="00D105CC" w:rsidRPr="003307CA" w:rsidRDefault="00D105CC"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rPr>
        <w:t>2</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基金份额持有人也可向本公司定制电子对账单。</w:t>
      </w:r>
    </w:p>
    <w:p w:rsidR="006602F4" w:rsidRPr="003307CA" w:rsidRDefault="006602F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具体查阅和定制账单的方法可参见本公司网站或拨打客服热线咨询。</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w:t>
      </w:r>
      <w:r w:rsidR="00B7261D" w:rsidRPr="003307CA">
        <w:rPr>
          <w:rFonts w:asciiTheme="minorEastAsia" w:eastAsiaTheme="minorEastAsia" w:hAnsiTheme="minorEastAsia" w:hint="eastAsia"/>
        </w:rPr>
        <w:t>四</w:t>
      </w:r>
      <w:r w:rsidRPr="003307CA">
        <w:rPr>
          <w:rFonts w:asciiTheme="minorEastAsia" w:eastAsiaTheme="minorEastAsia" w:hAnsiTheme="minorEastAsia" w:hint="eastAsia"/>
        </w:rPr>
        <w:t>）定期定额投资计划</w:t>
      </w:r>
    </w:p>
    <w:p w:rsidR="00703679" w:rsidRPr="003307CA" w:rsidRDefault="00703679"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基金管理人可利用</w:t>
      </w:r>
      <w:r w:rsidR="000D6E0C" w:rsidRPr="003307CA">
        <w:rPr>
          <w:rFonts w:asciiTheme="minorEastAsia" w:eastAsiaTheme="minorEastAsia" w:hAnsiTheme="minorEastAsia" w:hint="eastAsia"/>
        </w:rPr>
        <w:t>非直销销售</w:t>
      </w:r>
      <w:r w:rsidRPr="003307CA">
        <w:rPr>
          <w:rFonts w:asciiTheme="minorEastAsia" w:eastAsiaTheme="minorEastAsia" w:hAnsiTheme="minorEastAsia" w:hint="eastAsia"/>
        </w:rPr>
        <w:t>机构网点和本公司网上交易系统为投资者提供定期定额投资的</w:t>
      </w:r>
      <w:r w:rsidRPr="003307CA">
        <w:rPr>
          <w:rFonts w:asciiTheme="minorEastAsia" w:eastAsiaTheme="minorEastAsia" w:hAnsiTheme="minorEastAsia" w:hint="eastAsia"/>
          <w:szCs w:val="21"/>
        </w:rPr>
        <w:t>服务（本公司网上交易系统的定期定额投资服务目前仅对个人投资者开通）。通过定期定额投资计划，投资者可以通过固定的渠道，定期定额申购基金份额，具体实施方法见相关公告。</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w:t>
      </w:r>
      <w:r w:rsidR="00B7261D" w:rsidRPr="003307CA">
        <w:rPr>
          <w:rFonts w:asciiTheme="minorEastAsia" w:eastAsiaTheme="minorEastAsia" w:hAnsiTheme="minorEastAsia" w:hint="eastAsia"/>
        </w:rPr>
        <w:t>五</w:t>
      </w:r>
      <w:r w:rsidRPr="003307CA">
        <w:rPr>
          <w:rFonts w:asciiTheme="minorEastAsia" w:eastAsiaTheme="minorEastAsia" w:hAnsiTheme="minorEastAsia" w:hint="eastAsia"/>
        </w:rPr>
        <w:t>）资讯服务</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1</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客户服务电话</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投资者如果想了解申购与赎回的交易情况、</w:t>
      </w:r>
      <w:r w:rsidR="000D6E0C" w:rsidRPr="003307CA">
        <w:rPr>
          <w:rFonts w:asciiTheme="minorEastAsia" w:eastAsiaTheme="minorEastAsia" w:hAnsiTheme="minorEastAsia" w:hint="eastAsia"/>
        </w:rPr>
        <w:t>基金账户余额</w:t>
      </w:r>
      <w:r w:rsidRPr="003307CA">
        <w:rPr>
          <w:rFonts w:asciiTheme="minorEastAsia" w:eastAsiaTheme="minorEastAsia" w:hAnsiTheme="minorEastAsia" w:hint="eastAsia"/>
        </w:rPr>
        <w:t>、基金产品与服务等信息</w:t>
      </w:r>
      <w:r w:rsidR="00EF2990" w:rsidRPr="003307CA">
        <w:rPr>
          <w:rFonts w:asciiTheme="minorEastAsia" w:eastAsiaTheme="minorEastAsia" w:hAnsiTheme="minorEastAsia" w:hint="eastAsia"/>
          <w:kern w:val="0"/>
          <w:szCs w:val="21"/>
        </w:rPr>
        <w:t>，</w:t>
      </w:r>
      <w:r w:rsidR="00EF2990" w:rsidRPr="003307CA">
        <w:rPr>
          <w:rFonts w:asciiTheme="minorEastAsia" w:eastAsiaTheme="minorEastAsia" w:hAnsiTheme="minorEastAsia" w:hint="eastAsia"/>
          <w:kern w:val="0"/>
        </w:rPr>
        <w:t>或反馈投资过程中需要投诉与建议的情况</w:t>
      </w:r>
      <w:r w:rsidRPr="003307CA">
        <w:rPr>
          <w:rFonts w:asciiTheme="minorEastAsia" w:eastAsiaTheme="minorEastAsia" w:hAnsiTheme="minorEastAsia" w:hint="eastAsia"/>
        </w:rPr>
        <w:t>，可拨打如下电话：4008818088</w:t>
      </w:r>
      <w:r w:rsidRPr="003307CA">
        <w:rPr>
          <w:rFonts w:asciiTheme="minorEastAsia" w:eastAsiaTheme="minorEastAsia" w:hAnsiTheme="minorEastAsia"/>
        </w:rPr>
        <w:t>（免长途话费）</w:t>
      </w:r>
      <w:r w:rsidRPr="003307CA">
        <w:rPr>
          <w:rFonts w:asciiTheme="minorEastAsia" w:eastAsiaTheme="minorEastAsia" w:hAnsiTheme="minorEastAsia" w:hint="eastAsia"/>
        </w:rPr>
        <w:t>。</w:t>
      </w:r>
      <w:r w:rsidR="003803BE" w:rsidRPr="003307CA">
        <w:rPr>
          <w:rFonts w:asciiTheme="minorEastAsia" w:eastAsiaTheme="minorEastAsia" w:hAnsiTheme="minorEastAsia" w:hint="eastAsia"/>
        </w:rPr>
        <w:t>投资者如果认为自己不能准确理解本基金《招募说明书》、《基金合同》的具体内容，也可拨打上述电话详询。</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2</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互联网站及电子信箱</w:t>
      </w:r>
    </w:p>
    <w:p w:rsidR="004647A8"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网址：</w:t>
      </w:r>
      <w:hyperlink r:id="rId19" w:history="1">
        <w:r w:rsidRPr="003307CA">
          <w:rPr>
            <w:rFonts w:asciiTheme="minorEastAsia" w:eastAsiaTheme="minorEastAsia" w:hAnsiTheme="minorEastAsia" w:hint="eastAsia"/>
          </w:rPr>
          <w:t>http://www.efunds.com.cn</w:t>
        </w:r>
      </w:hyperlink>
    </w:p>
    <w:p w:rsidR="0064594E" w:rsidRPr="003307CA"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电子信箱：</w:t>
      </w:r>
      <w:hyperlink r:id="rId20" w:history="1">
        <w:r w:rsidRPr="003307CA">
          <w:rPr>
            <w:rFonts w:asciiTheme="minorEastAsia" w:eastAsiaTheme="minorEastAsia" w:hAnsiTheme="minorEastAsia" w:hint="eastAsia"/>
          </w:rPr>
          <w:t>service@efunds.com.cn</w:t>
        </w:r>
      </w:hyperlink>
    </w:p>
    <w:p w:rsidR="00BD4C5B" w:rsidRPr="003307CA" w:rsidRDefault="00BD4C5B" w:rsidP="00CE3F81">
      <w:pPr>
        <w:pStyle w:val="ac"/>
        <w:autoSpaceDE w:val="0"/>
        <w:autoSpaceDN w:val="0"/>
        <w:snapToGrid w:val="0"/>
        <w:spacing w:after="0" w:line="360" w:lineRule="auto"/>
        <w:ind w:firstLineChars="200"/>
        <w:rPr>
          <w:rFonts w:asciiTheme="minorEastAsia" w:eastAsiaTheme="minorEastAsia" w:hAnsiTheme="minorEastAsia"/>
        </w:rPr>
        <w:sectPr w:rsidR="00BD4C5B" w:rsidRPr="003307CA" w:rsidSect="00684E94">
          <w:pgSz w:w="11906" w:h="16838" w:code="9"/>
          <w:pgMar w:top="1440" w:right="1800" w:bottom="1440" w:left="1800" w:header="851" w:footer="992" w:gutter="0"/>
          <w:cols w:space="425"/>
          <w:docGrid w:type="lines" w:linePitch="312"/>
        </w:sectPr>
      </w:pPr>
    </w:p>
    <w:p w:rsidR="00FD1D54" w:rsidRPr="003307CA" w:rsidRDefault="00FD1D5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78" w:name="_Toc38438275"/>
      <w:bookmarkStart w:id="379" w:name="_Toc38438612"/>
      <w:bookmarkStart w:id="380" w:name="_Toc38438949"/>
      <w:bookmarkStart w:id="381" w:name="_Toc38439286"/>
      <w:bookmarkStart w:id="382" w:name="_Toc38439623"/>
      <w:bookmarkStart w:id="383" w:name="_Toc38439960"/>
      <w:bookmarkStart w:id="384" w:name="_Toc38440297"/>
      <w:bookmarkStart w:id="385" w:name="_Toc38440630"/>
      <w:bookmarkStart w:id="386" w:name="_Toc38440829"/>
      <w:bookmarkStart w:id="387" w:name="_Toc38441161"/>
      <w:bookmarkStart w:id="388" w:name="_Toc38441493"/>
      <w:bookmarkStart w:id="389" w:name="_Toc38441821"/>
      <w:bookmarkStart w:id="390" w:name="_Toc38442153"/>
      <w:bookmarkStart w:id="391" w:name="_Toc38442485"/>
      <w:bookmarkStart w:id="392" w:name="_Toc38442816"/>
      <w:bookmarkStart w:id="393" w:name="_Toc38443147"/>
      <w:bookmarkStart w:id="394" w:name="_Toc38443478"/>
      <w:bookmarkStart w:id="395" w:name="_Toc38443809"/>
      <w:bookmarkStart w:id="396" w:name="_Toc38438277"/>
      <w:bookmarkStart w:id="397" w:name="_Toc38438614"/>
      <w:bookmarkStart w:id="398" w:name="_Toc38438951"/>
      <w:bookmarkStart w:id="399" w:name="_Toc38439288"/>
      <w:bookmarkStart w:id="400" w:name="_Toc38439625"/>
      <w:bookmarkStart w:id="401" w:name="_Toc38439962"/>
      <w:bookmarkStart w:id="402" w:name="_Toc38440299"/>
      <w:bookmarkStart w:id="403" w:name="_Toc38440632"/>
      <w:bookmarkStart w:id="404" w:name="_Toc38440831"/>
      <w:bookmarkStart w:id="405" w:name="_Toc38441163"/>
      <w:bookmarkStart w:id="406" w:name="_Toc38441495"/>
      <w:bookmarkStart w:id="407" w:name="_Toc38441823"/>
      <w:bookmarkStart w:id="408" w:name="_Toc38442155"/>
      <w:bookmarkStart w:id="409" w:name="_Toc38442487"/>
      <w:bookmarkStart w:id="410" w:name="_Toc38442818"/>
      <w:bookmarkStart w:id="411" w:name="_Toc38443149"/>
      <w:bookmarkStart w:id="412" w:name="_Toc38443480"/>
      <w:bookmarkStart w:id="413" w:name="_Toc38443811"/>
      <w:bookmarkStart w:id="414" w:name="_Toc38438278"/>
      <w:bookmarkStart w:id="415" w:name="_Toc38438615"/>
      <w:bookmarkStart w:id="416" w:name="_Toc38438952"/>
      <w:bookmarkStart w:id="417" w:name="_Toc38439289"/>
      <w:bookmarkStart w:id="418" w:name="_Toc38439626"/>
      <w:bookmarkStart w:id="419" w:name="_Toc38439963"/>
      <w:bookmarkStart w:id="420" w:name="_Toc38440300"/>
      <w:bookmarkStart w:id="421" w:name="_Toc38440633"/>
      <w:bookmarkStart w:id="422" w:name="_Toc38440832"/>
      <w:bookmarkStart w:id="423" w:name="_Toc38441164"/>
      <w:bookmarkStart w:id="424" w:name="_Toc38441496"/>
      <w:bookmarkStart w:id="425" w:name="_Toc38441824"/>
      <w:bookmarkStart w:id="426" w:name="_Toc38442156"/>
      <w:bookmarkStart w:id="427" w:name="_Toc38442488"/>
      <w:bookmarkStart w:id="428" w:name="_Toc38442819"/>
      <w:bookmarkStart w:id="429" w:name="_Toc38443150"/>
      <w:bookmarkStart w:id="430" w:name="_Toc38443481"/>
      <w:bookmarkStart w:id="431" w:name="_Toc38443812"/>
      <w:bookmarkStart w:id="432" w:name="_Toc38438279"/>
      <w:bookmarkStart w:id="433" w:name="_Toc38438616"/>
      <w:bookmarkStart w:id="434" w:name="_Toc38438953"/>
      <w:bookmarkStart w:id="435" w:name="_Toc38439290"/>
      <w:bookmarkStart w:id="436" w:name="_Toc38439627"/>
      <w:bookmarkStart w:id="437" w:name="_Toc38439964"/>
      <w:bookmarkStart w:id="438" w:name="_Toc38440301"/>
      <w:bookmarkStart w:id="439" w:name="_Toc38440634"/>
      <w:bookmarkStart w:id="440" w:name="_Toc38440833"/>
      <w:bookmarkStart w:id="441" w:name="_Toc38441165"/>
      <w:bookmarkStart w:id="442" w:name="_Toc38441497"/>
      <w:bookmarkStart w:id="443" w:name="_Toc38441825"/>
      <w:bookmarkStart w:id="444" w:name="_Toc38442157"/>
      <w:bookmarkStart w:id="445" w:name="_Toc38442489"/>
      <w:bookmarkStart w:id="446" w:name="_Toc38442820"/>
      <w:bookmarkStart w:id="447" w:name="_Toc38443151"/>
      <w:bookmarkStart w:id="448" w:name="_Toc38443482"/>
      <w:bookmarkStart w:id="449" w:name="_Toc38443813"/>
      <w:bookmarkStart w:id="450" w:name="_Toc38438280"/>
      <w:bookmarkStart w:id="451" w:name="_Toc38438617"/>
      <w:bookmarkStart w:id="452" w:name="_Toc38438954"/>
      <w:bookmarkStart w:id="453" w:name="_Toc38439291"/>
      <w:bookmarkStart w:id="454" w:name="_Toc38439628"/>
      <w:bookmarkStart w:id="455" w:name="_Toc38439965"/>
      <w:bookmarkStart w:id="456" w:name="_Toc38440302"/>
      <w:bookmarkStart w:id="457" w:name="_Toc38440635"/>
      <w:bookmarkStart w:id="458" w:name="_Toc38440834"/>
      <w:bookmarkStart w:id="459" w:name="_Toc38441166"/>
      <w:bookmarkStart w:id="460" w:name="_Toc38441498"/>
      <w:bookmarkStart w:id="461" w:name="_Toc38441826"/>
      <w:bookmarkStart w:id="462" w:name="_Toc38442158"/>
      <w:bookmarkStart w:id="463" w:name="_Toc38442490"/>
      <w:bookmarkStart w:id="464" w:name="_Toc38442821"/>
      <w:bookmarkStart w:id="465" w:name="_Toc38443152"/>
      <w:bookmarkStart w:id="466" w:name="_Toc38443483"/>
      <w:bookmarkStart w:id="467" w:name="_Toc38443814"/>
      <w:bookmarkStart w:id="468" w:name="_Toc38438281"/>
      <w:bookmarkStart w:id="469" w:name="_Toc38438618"/>
      <w:bookmarkStart w:id="470" w:name="_Toc38438955"/>
      <w:bookmarkStart w:id="471" w:name="_Toc38439292"/>
      <w:bookmarkStart w:id="472" w:name="_Toc38439629"/>
      <w:bookmarkStart w:id="473" w:name="_Toc38439966"/>
      <w:bookmarkStart w:id="474" w:name="_Toc38440303"/>
      <w:bookmarkStart w:id="475" w:name="_Toc38440636"/>
      <w:bookmarkStart w:id="476" w:name="_Toc38440835"/>
      <w:bookmarkStart w:id="477" w:name="_Toc38441167"/>
      <w:bookmarkStart w:id="478" w:name="_Toc38441499"/>
      <w:bookmarkStart w:id="479" w:name="_Toc38441827"/>
      <w:bookmarkStart w:id="480" w:name="_Toc38442159"/>
      <w:bookmarkStart w:id="481" w:name="_Toc38442491"/>
      <w:bookmarkStart w:id="482" w:name="_Toc38442822"/>
      <w:bookmarkStart w:id="483" w:name="_Toc38443153"/>
      <w:bookmarkStart w:id="484" w:name="_Toc38443484"/>
      <w:bookmarkStart w:id="485" w:name="_Toc38443815"/>
      <w:bookmarkStart w:id="486" w:name="_Toc38438282"/>
      <w:bookmarkStart w:id="487" w:name="_Toc38438619"/>
      <w:bookmarkStart w:id="488" w:name="_Toc38438956"/>
      <w:bookmarkStart w:id="489" w:name="_Toc38439293"/>
      <w:bookmarkStart w:id="490" w:name="_Toc38439630"/>
      <w:bookmarkStart w:id="491" w:name="_Toc38439967"/>
      <w:bookmarkStart w:id="492" w:name="_Toc38440304"/>
      <w:bookmarkStart w:id="493" w:name="_Toc38440637"/>
      <w:bookmarkStart w:id="494" w:name="_Toc38440836"/>
      <w:bookmarkStart w:id="495" w:name="_Toc38441168"/>
      <w:bookmarkStart w:id="496" w:name="_Toc38441500"/>
      <w:bookmarkStart w:id="497" w:name="_Toc38441828"/>
      <w:bookmarkStart w:id="498" w:name="_Toc38442160"/>
      <w:bookmarkStart w:id="499" w:name="_Toc38442492"/>
      <w:bookmarkStart w:id="500" w:name="_Toc38442823"/>
      <w:bookmarkStart w:id="501" w:name="_Toc38443154"/>
      <w:bookmarkStart w:id="502" w:name="_Toc38443485"/>
      <w:bookmarkStart w:id="503" w:name="_Toc38443816"/>
      <w:bookmarkStart w:id="504" w:name="_Toc38438283"/>
      <w:bookmarkStart w:id="505" w:name="_Toc38438620"/>
      <w:bookmarkStart w:id="506" w:name="_Toc38438957"/>
      <w:bookmarkStart w:id="507" w:name="_Toc38439294"/>
      <w:bookmarkStart w:id="508" w:name="_Toc38439631"/>
      <w:bookmarkStart w:id="509" w:name="_Toc38439968"/>
      <w:bookmarkStart w:id="510" w:name="_Toc38440305"/>
      <w:bookmarkStart w:id="511" w:name="_Toc38440638"/>
      <w:bookmarkStart w:id="512" w:name="_Toc38440837"/>
      <w:bookmarkStart w:id="513" w:name="_Toc38441169"/>
      <w:bookmarkStart w:id="514" w:name="_Toc38441501"/>
      <w:bookmarkStart w:id="515" w:name="_Toc38441829"/>
      <w:bookmarkStart w:id="516" w:name="_Toc38442161"/>
      <w:bookmarkStart w:id="517" w:name="_Toc38442493"/>
      <w:bookmarkStart w:id="518" w:name="_Toc38442824"/>
      <w:bookmarkStart w:id="519" w:name="_Toc38443155"/>
      <w:bookmarkStart w:id="520" w:name="_Toc38443486"/>
      <w:bookmarkStart w:id="521" w:name="_Toc38443817"/>
      <w:bookmarkStart w:id="522" w:name="_Toc38438284"/>
      <w:bookmarkStart w:id="523" w:name="_Toc38438621"/>
      <w:bookmarkStart w:id="524" w:name="_Toc38438958"/>
      <w:bookmarkStart w:id="525" w:name="_Toc38439295"/>
      <w:bookmarkStart w:id="526" w:name="_Toc38439632"/>
      <w:bookmarkStart w:id="527" w:name="_Toc38439969"/>
      <w:bookmarkStart w:id="528" w:name="_Toc38440306"/>
      <w:bookmarkStart w:id="529" w:name="_Toc38440639"/>
      <w:bookmarkStart w:id="530" w:name="_Toc38440838"/>
      <w:bookmarkStart w:id="531" w:name="_Toc38441170"/>
      <w:bookmarkStart w:id="532" w:name="_Toc38441502"/>
      <w:bookmarkStart w:id="533" w:name="_Toc38441830"/>
      <w:bookmarkStart w:id="534" w:name="_Toc38442162"/>
      <w:bookmarkStart w:id="535" w:name="_Toc38442494"/>
      <w:bookmarkStart w:id="536" w:name="_Toc38442825"/>
      <w:bookmarkStart w:id="537" w:name="_Toc38443156"/>
      <w:bookmarkStart w:id="538" w:name="_Toc38443487"/>
      <w:bookmarkStart w:id="539" w:name="_Toc38443818"/>
      <w:bookmarkStart w:id="540" w:name="_Toc38438285"/>
      <w:bookmarkStart w:id="541" w:name="_Toc38438622"/>
      <w:bookmarkStart w:id="542" w:name="_Toc38438959"/>
      <w:bookmarkStart w:id="543" w:name="_Toc38439296"/>
      <w:bookmarkStart w:id="544" w:name="_Toc38439633"/>
      <w:bookmarkStart w:id="545" w:name="_Toc38439970"/>
      <w:bookmarkStart w:id="546" w:name="_Toc38440307"/>
      <w:bookmarkStart w:id="547" w:name="_Toc38440640"/>
      <w:bookmarkStart w:id="548" w:name="_Toc38440839"/>
      <w:bookmarkStart w:id="549" w:name="_Toc38441171"/>
      <w:bookmarkStart w:id="550" w:name="_Toc38441503"/>
      <w:bookmarkStart w:id="551" w:name="_Toc38441831"/>
      <w:bookmarkStart w:id="552" w:name="_Toc38442163"/>
      <w:bookmarkStart w:id="553" w:name="_Toc38442495"/>
      <w:bookmarkStart w:id="554" w:name="_Toc38442826"/>
      <w:bookmarkStart w:id="555" w:name="_Toc38443157"/>
      <w:bookmarkStart w:id="556" w:name="_Toc38443488"/>
      <w:bookmarkStart w:id="557" w:name="_Toc38443819"/>
      <w:bookmarkStart w:id="558" w:name="_Toc38438286"/>
      <w:bookmarkStart w:id="559" w:name="_Toc38438623"/>
      <w:bookmarkStart w:id="560" w:name="_Toc38438960"/>
      <w:bookmarkStart w:id="561" w:name="_Toc38439297"/>
      <w:bookmarkStart w:id="562" w:name="_Toc38439634"/>
      <w:bookmarkStart w:id="563" w:name="_Toc38439971"/>
      <w:bookmarkStart w:id="564" w:name="_Toc38440308"/>
      <w:bookmarkStart w:id="565" w:name="_Toc38440641"/>
      <w:bookmarkStart w:id="566" w:name="_Toc38440840"/>
      <w:bookmarkStart w:id="567" w:name="_Toc38441172"/>
      <w:bookmarkStart w:id="568" w:name="_Toc38441504"/>
      <w:bookmarkStart w:id="569" w:name="_Toc38441832"/>
      <w:bookmarkStart w:id="570" w:name="_Toc38442164"/>
      <w:bookmarkStart w:id="571" w:name="_Toc38442496"/>
      <w:bookmarkStart w:id="572" w:name="_Toc38442827"/>
      <w:bookmarkStart w:id="573" w:name="_Toc38443158"/>
      <w:bookmarkStart w:id="574" w:name="_Toc38443489"/>
      <w:bookmarkStart w:id="575" w:name="_Toc38443820"/>
      <w:bookmarkStart w:id="576" w:name="_Toc38438287"/>
      <w:bookmarkStart w:id="577" w:name="_Toc38438624"/>
      <w:bookmarkStart w:id="578" w:name="_Toc38438961"/>
      <w:bookmarkStart w:id="579" w:name="_Toc38439298"/>
      <w:bookmarkStart w:id="580" w:name="_Toc38439635"/>
      <w:bookmarkStart w:id="581" w:name="_Toc38439972"/>
      <w:bookmarkStart w:id="582" w:name="_Toc38440309"/>
      <w:bookmarkStart w:id="583" w:name="_Toc38440642"/>
      <w:bookmarkStart w:id="584" w:name="_Toc38440841"/>
      <w:bookmarkStart w:id="585" w:name="_Toc38441173"/>
      <w:bookmarkStart w:id="586" w:name="_Toc38441505"/>
      <w:bookmarkStart w:id="587" w:name="_Toc38441833"/>
      <w:bookmarkStart w:id="588" w:name="_Toc38442165"/>
      <w:bookmarkStart w:id="589" w:name="_Toc38442497"/>
      <w:bookmarkStart w:id="590" w:name="_Toc38442828"/>
      <w:bookmarkStart w:id="591" w:name="_Toc38443159"/>
      <w:bookmarkStart w:id="592" w:name="_Toc38443490"/>
      <w:bookmarkStart w:id="593" w:name="_Toc38443821"/>
      <w:bookmarkStart w:id="594" w:name="_Toc38438288"/>
      <w:bookmarkStart w:id="595" w:name="_Toc38438625"/>
      <w:bookmarkStart w:id="596" w:name="_Toc38438962"/>
      <w:bookmarkStart w:id="597" w:name="_Toc38439299"/>
      <w:bookmarkStart w:id="598" w:name="_Toc38439636"/>
      <w:bookmarkStart w:id="599" w:name="_Toc38439973"/>
      <w:bookmarkStart w:id="600" w:name="_Toc38440310"/>
      <w:bookmarkStart w:id="601" w:name="_Toc38440643"/>
      <w:bookmarkStart w:id="602" w:name="_Toc38440842"/>
      <w:bookmarkStart w:id="603" w:name="_Toc38441174"/>
      <w:bookmarkStart w:id="604" w:name="_Toc38441506"/>
      <w:bookmarkStart w:id="605" w:name="_Toc38441834"/>
      <w:bookmarkStart w:id="606" w:name="_Toc38442166"/>
      <w:bookmarkStart w:id="607" w:name="_Toc38442498"/>
      <w:bookmarkStart w:id="608" w:name="_Toc38442829"/>
      <w:bookmarkStart w:id="609" w:name="_Toc38443160"/>
      <w:bookmarkStart w:id="610" w:name="_Toc38443491"/>
      <w:bookmarkStart w:id="611" w:name="_Toc38443822"/>
      <w:bookmarkStart w:id="612" w:name="_Toc38438289"/>
      <w:bookmarkStart w:id="613" w:name="_Toc38438626"/>
      <w:bookmarkStart w:id="614" w:name="_Toc38438963"/>
      <w:bookmarkStart w:id="615" w:name="_Toc38439300"/>
      <w:bookmarkStart w:id="616" w:name="_Toc38439637"/>
      <w:bookmarkStart w:id="617" w:name="_Toc38439974"/>
      <w:bookmarkStart w:id="618" w:name="_Toc38440311"/>
      <w:bookmarkStart w:id="619" w:name="_Toc38440644"/>
      <w:bookmarkStart w:id="620" w:name="_Toc38440843"/>
      <w:bookmarkStart w:id="621" w:name="_Toc38441175"/>
      <w:bookmarkStart w:id="622" w:name="_Toc38441507"/>
      <w:bookmarkStart w:id="623" w:name="_Toc38441835"/>
      <w:bookmarkStart w:id="624" w:name="_Toc38442167"/>
      <w:bookmarkStart w:id="625" w:name="_Toc38442499"/>
      <w:bookmarkStart w:id="626" w:name="_Toc38442830"/>
      <w:bookmarkStart w:id="627" w:name="_Toc38443161"/>
      <w:bookmarkStart w:id="628" w:name="_Toc38443492"/>
      <w:bookmarkStart w:id="629" w:name="_Toc38443823"/>
      <w:bookmarkStart w:id="630" w:name="_Toc38438290"/>
      <w:bookmarkStart w:id="631" w:name="_Toc38438627"/>
      <w:bookmarkStart w:id="632" w:name="_Toc38438964"/>
      <w:bookmarkStart w:id="633" w:name="_Toc38439301"/>
      <w:bookmarkStart w:id="634" w:name="_Toc38439638"/>
      <w:bookmarkStart w:id="635" w:name="_Toc38439975"/>
      <w:bookmarkStart w:id="636" w:name="_Toc38440312"/>
      <w:bookmarkStart w:id="637" w:name="_Toc38440645"/>
      <w:bookmarkStart w:id="638" w:name="_Toc38440844"/>
      <w:bookmarkStart w:id="639" w:name="_Toc38441176"/>
      <w:bookmarkStart w:id="640" w:name="_Toc38441508"/>
      <w:bookmarkStart w:id="641" w:name="_Toc38441836"/>
      <w:bookmarkStart w:id="642" w:name="_Toc38442168"/>
      <w:bookmarkStart w:id="643" w:name="_Toc38442500"/>
      <w:bookmarkStart w:id="644" w:name="_Toc38442831"/>
      <w:bookmarkStart w:id="645" w:name="_Toc38443162"/>
      <w:bookmarkStart w:id="646" w:name="_Toc38443493"/>
      <w:bookmarkStart w:id="647" w:name="_Toc38443824"/>
      <w:bookmarkStart w:id="648" w:name="_Toc38438291"/>
      <w:bookmarkStart w:id="649" w:name="_Toc38438628"/>
      <w:bookmarkStart w:id="650" w:name="_Toc38438965"/>
      <w:bookmarkStart w:id="651" w:name="_Toc38439302"/>
      <w:bookmarkStart w:id="652" w:name="_Toc38439639"/>
      <w:bookmarkStart w:id="653" w:name="_Toc38439976"/>
      <w:bookmarkStart w:id="654" w:name="_Toc38440313"/>
      <w:bookmarkStart w:id="655" w:name="_Toc38440646"/>
      <w:bookmarkStart w:id="656" w:name="_Toc38440845"/>
      <w:bookmarkStart w:id="657" w:name="_Toc38441177"/>
      <w:bookmarkStart w:id="658" w:name="_Toc38441509"/>
      <w:bookmarkStart w:id="659" w:name="_Toc38441837"/>
      <w:bookmarkStart w:id="660" w:name="_Toc38442169"/>
      <w:bookmarkStart w:id="661" w:name="_Toc38442501"/>
      <w:bookmarkStart w:id="662" w:name="_Toc38442832"/>
      <w:bookmarkStart w:id="663" w:name="_Toc38443163"/>
      <w:bookmarkStart w:id="664" w:name="_Toc38443494"/>
      <w:bookmarkStart w:id="665" w:name="_Toc38443825"/>
      <w:bookmarkStart w:id="666" w:name="_Toc38438292"/>
      <w:bookmarkStart w:id="667" w:name="_Toc38438629"/>
      <w:bookmarkStart w:id="668" w:name="_Toc38438966"/>
      <w:bookmarkStart w:id="669" w:name="_Toc38439303"/>
      <w:bookmarkStart w:id="670" w:name="_Toc38439640"/>
      <w:bookmarkStart w:id="671" w:name="_Toc38439977"/>
      <w:bookmarkStart w:id="672" w:name="_Toc38440314"/>
      <w:bookmarkStart w:id="673" w:name="_Toc38440647"/>
      <w:bookmarkStart w:id="674" w:name="_Toc38440846"/>
      <w:bookmarkStart w:id="675" w:name="_Toc38441178"/>
      <w:bookmarkStart w:id="676" w:name="_Toc38441510"/>
      <w:bookmarkStart w:id="677" w:name="_Toc38441838"/>
      <w:bookmarkStart w:id="678" w:name="_Toc38442170"/>
      <w:bookmarkStart w:id="679" w:name="_Toc38442502"/>
      <w:bookmarkStart w:id="680" w:name="_Toc38442833"/>
      <w:bookmarkStart w:id="681" w:name="_Toc38443164"/>
      <w:bookmarkStart w:id="682" w:name="_Toc38443495"/>
      <w:bookmarkStart w:id="683" w:name="_Toc38443826"/>
      <w:bookmarkStart w:id="684" w:name="_Toc38438293"/>
      <w:bookmarkStart w:id="685" w:name="_Toc38438630"/>
      <w:bookmarkStart w:id="686" w:name="_Toc38438967"/>
      <w:bookmarkStart w:id="687" w:name="_Toc38439304"/>
      <w:bookmarkStart w:id="688" w:name="_Toc38439641"/>
      <w:bookmarkStart w:id="689" w:name="_Toc38439978"/>
      <w:bookmarkStart w:id="690" w:name="_Toc38440315"/>
      <w:bookmarkStart w:id="691" w:name="_Toc38440648"/>
      <w:bookmarkStart w:id="692" w:name="_Toc38440847"/>
      <w:bookmarkStart w:id="693" w:name="_Toc38441179"/>
      <w:bookmarkStart w:id="694" w:name="_Toc38441511"/>
      <w:bookmarkStart w:id="695" w:name="_Toc38441839"/>
      <w:bookmarkStart w:id="696" w:name="_Toc38442171"/>
      <w:bookmarkStart w:id="697" w:name="_Toc38442503"/>
      <w:bookmarkStart w:id="698" w:name="_Toc38442834"/>
      <w:bookmarkStart w:id="699" w:name="_Toc38443165"/>
      <w:bookmarkStart w:id="700" w:name="_Toc38443496"/>
      <w:bookmarkStart w:id="701" w:name="_Toc38443827"/>
      <w:bookmarkStart w:id="702" w:name="_Toc38438296"/>
      <w:bookmarkStart w:id="703" w:name="_Toc38438633"/>
      <w:bookmarkStart w:id="704" w:name="_Toc38438970"/>
      <w:bookmarkStart w:id="705" w:name="_Toc38439307"/>
      <w:bookmarkStart w:id="706" w:name="_Toc38439644"/>
      <w:bookmarkStart w:id="707" w:name="_Toc38439981"/>
      <w:bookmarkStart w:id="708" w:name="_Toc38440318"/>
      <w:bookmarkStart w:id="709" w:name="_Toc38440651"/>
      <w:bookmarkStart w:id="710" w:name="_Toc38440850"/>
      <w:bookmarkStart w:id="711" w:name="_Toc38441182"/>
      <w:bookmarkStart w:id="712" w:name="_Toc38441514"/>
      <w:bookmarkStart w:id="713" w:name="_Toc38441842"/>
      <w:bookmarkStart w:id="714" w:name="_Toc38442174"/>
      <w:bookmarkStart w:id="715" w:name="_Toc38442506"/>
      <w:bookmarkStart w:id="716" w:name="_Toc38442837"/>
      <w:bookmarkStart w:id="717" w:name="_Toc38443168"/>
      <w:bookmarkStart w:id="718" w:name="_Toc38443499"/>
      <w:bookmarkStart w:id="719" w:name="_Toc38443830"/>
      <w:bookmarkStart w:id="720" w:name="_Toc38438297"/>
      <w:bookmarkStart w:id="721" w:name="_Toc38438634"/>
      <w:bookmarkStart w:id="722" w:name="_Toc38438971"/>
      <w:bookmarkStart w:id="723" w:name="_Toc38439308"/>
      <w:bookmarkStart w:id="724" w:name="_Toc38439645"/>
      <w:bookmarkStart w:id="725" w:name="_Toc38439982"/>
      <w:bookmarkStart w:id="726" w:name="_Toc38440319"/>
      <w:bookmarkStart w:id="727" w:name="_Toc38440652"/>
      <w:bookmarkStart w:id="728" w:name="_Toc38440851"/>
      <w:bookmarkStart w:id="729" w:name="_Toc38441183"/>
      <w:bookmarkStart w:id="730" w:name="_Toc38441515"/>
      <w:bookmarkStart w:id="731" w:name="_Toc38441843"/>
      <w:bookmarkStart w:id="732" w:name="_Toc38442175"/>
      <w:bookmarkStart w:id="733" w:name="_Toc38442507"/>
      <w:bookmarkStart w:id="734" w:name="_Toc38442838"/>
      <w:bookmarkStart w:id="735" w:name="_Toc38443169"/>
      <w:bookmarkStart w:id="736" w:name="_Toc38443500"/>
      <w:bookmarkStart w:id="737" w:name="_Toc38443831"/>
      <w:bookmarkStart w:id="738" w:name="_Toc38438298"/>
      <w:bookmarkStart w:id="739" w:name="_Toc38438635"/>
      <w:bookmarkStart w:id="740" w:name="_Toc38438972"/>
      <w:bookmarkStart w:id="741" w:name="_Toc38439309"/>
      <w:bookmarkStart w:id="742" w:name="_Toc38439646"/>
      <w:bookmarkStart w:id="743" w:name="_Toc38439983"/>
      <w:bookmarkStart w:id="744" w:name="_Toc38440320"/>
      <w:bookmarkStart w:id="745" w:name="_Toc38440653"/>
      <w:bookmarkStart w:id="746" w:name="_Toc38440852"/>
      <w:bookmarkStart w:id="747" w:name="_Toc38441184"/>
      <w:bookmarkStart w:id="748" w:name="_Toc38441516"/>
      <w:bookmarkStart w:id="749" w:name="_Toc38441844"/>
      <w:bookmarkStart w:id="750" w:name="_Toc38442176"/>
      <w:bookmarkStart w:id="751" w:name="_Toc38442508"/>
      <w:bookmarkStart w:id="752" w:name="_Toc38442839"/>
      <w:bookmarkStart w:id="753" w:name="_Toc38443170"/>
      <w:bookmarkStart w:id="754" w:name="_Toc38443501"/>
      <w:bookmarkStart w:id="755" w:name="_Toc38443832"/>
      <w:bookmarkStart w:id="756" w:name="_Toc38438299"/>
      <w:bookmarkStart w:id="757" w:name="_Toc38438636"/>
      <w:bookmarkStart w:id="758" w:name="_Toc38438973"/>
      <w:bookmarkStart w:id="759" w:name="_Toc38439310"/>
      <w:bookmarkStart w:id="760" w:name="_Toc38439647"/>
      <w:bookmarkStart w:id="761" w:name="_Toc38439984"/>
      <w:bookmarkStart w:id="762" w:name="_Toc38440321"/>
      <w:bookmarkStart w:id="763" w:name="_Toc38440654"/>
      <w:bookmarkStart w:id="764" w:name="_Toc38440853"/>
      <w:bookmarkStart w:id="765" w:name="_Toc38441185"/>
      <w:bookmarkStart w:id="766" w:name="_Toc38441517"/>
      <w:bookmarkStart w:id="767" w:name="_Toc38441845"/>
      <w:bookmarkStart w:id="768" w:name="_Toc38442177"/>
      <w:bookmarkStart w:id="769" w:name="_Toc38442509"/>
      <w:bookmarkStart w:id="770" w:name="_Toc38442840"/>
      <w:bookmarkStart w:id="771" w:name="_Toc38443171"/>
      <w:bookmarkStart w:id="772" w:name="_Toc38443502"/>
      <w:bookmarkStart w:id="773" w:name="_Toc38443833"/>
      <w:bookmarkStart w:id="774" w:name="_Toc38438301"/>
      <w:bookmarkStart w:id="775" w:name="_Toc38438638"/>
      <w:bookmarkStart w:id="776" w:name="_Toc38438975"/>
      <w:bookmarkStart w:id="777" w:name="_Toc38439312"/>
      <w:bookmarkStart w:id="778" w:name="_Toc38439649"/>
      <w:bookmarkStart w:id="779" w:name="_Toc38439986"/>
      <w:bookmarkStart w:id="780" w:name="_Toc38440323"/>
      <w:bookmarkStart w:id="781" w:name="_Toc38440656"/>
      <w:bookmarkStart w:id="782" w:name="_Toc38440855"/>
      <w:bookmarkStart w:id="783" w:name="_Toc38441187"/>
      <w:bookmarkStart w:id="784" w:name="_Toc38441519"/>
      <w:bookmarkStart w:id="785" w:name="_Toc38441847"/>
      <w:bookmarkStart w:id="786" w:name="_Toc38442179"/>
      <w:bookmarkStart w:id="787" w:name="_Toc38442511"/>
      <w:bookmarkStart w:id="788" w:name="_Toc38442842"/>
      <w:bookmarkStart w:id="789" w:name="_Toc38443173"/>
      <w:bookmarkStart w:id="790" w:name="_Toc38443504"/>
      <w:bookmarkStart w:id="791" w:name="_Toc38443835"/>
      <w:bookmarkStart w:id="792" w:name="_Toc38438302"/>
      <w:bookmarkStart w:id="793" w:name="_Toc38438639"/>
      <w:bookmarkStart w:id="794" w:name="_Toc38438976"/>
      <w:bookmarkStart w:id="795" w:name="_Toc38439313"/>
      <w:bookmarkStart w:id="796" w:name="_Toc38439650"/>
      <w:bookmarkStart w:id="797" w:name="_Toc38439987"/>
      <w:bookmarkStart w:id="798" w:name="_Toc38440324"/>
      <w:bookmarkStart w:id="799" w:name="_Toc38440657"/>
      <w:bookmarkStart w:id="800" w:name="_Toc38440856"/>
      <w:bookmarkStart w:id="801" w:name="_Toc38441188"/>
      <w:bookmarkStart w:id="802" w:name="_Toc38441520"/>
      <w:bookmarkStart w:id="803" w:name="_Toc38441848"/>
      <w:bookmarkStart w:id="804" w:name="_Toc38442180"/>
      <w:bookmarkStart w:id="805" w:name="_Toc38442512"/>
      <w:bookmarkStart w:id="806" w:name="_Toc38442843"/>
      <w:bookmarkStart w:id="807" w:name="_Toc38443174"/>
      <w:bookmarkStart w:id="808" w:name="_Toc38443505"/>
      <w:bookmarkStart w:id="809" w:name="_Toc38443836"/>
      <w:bookmarkStart w:id="810" w:name="_Toc38438303"/>
      <w:bookmarkStart w:id="811" w:name="_Toc38438640"/>
      <w:bookmarkStart w:id="812" w:name="_Toc38438977"/>
      <w:bookmarkStart w:id="813" w:name="_Toc38439314"/>
      <w:bookmarkStart w:id="814" w:name="_Toc38439651"/>
      <w:bookmarkStart w:id="815" w:name="_Toc38439988"/>
      <w:bookmarkStart w:id="816" w:name="_Toc38440325"/>
      <w:bookmarkStart w:id="817" w:name="_Toc38440658"/>
      <w:bookmarkStart w:id="818" w:name="_Toc38440857"/>
      <w:bookmarkStart w:id="819" w:name="_Toc38441189"/>
      <w:bookmarkStart w:id="820" w:name="_Toc38441521"/>
      <w:bookmarkStart w:id="821" w:name="_Toc38441849"/>
      <w:bookmarkStart w:id="822" w:name="_Toc38442181"/>
      <w:bookmarkStart w:id="823" w:name="_Toc38442513"/>
      <w:bookmarkStart w:id="824" w:name="_Toc38442844"/>
      <w:bookmarkStart w:id="825" w:name="_Toc38443175"/>
      <w:bookmarkStart w:id="826" w:name="_Toc38443506"/>
      <w:bookmarkStart w:id="827" w:name="_Toc38443837"/>
      <w:bookmarkStart w:id="828" w:name="_Toc38438304"/>
      <w:bookmarkStart w:id="829" w:name="_Toc38438641"/>
      <w:bookmarkStart w:id="830" w:name="_Toc38438978"/>
      <w:bookmarkStart w:id="831" w:name="_Toc38439315"/>
      <w:bookmarkStart w:id="832" w:name="_Toc38439652"/>
      <w:bookmarkStart w:id="833" w:name="_Toc38439989"/>
      <w:bookmarkStart w:id="834" w:name="_Toc38440326"/>
      <w:bookmarkStart w:id="835" w:name="_Toc38440659"/>
      <w:bookmarkStart w:id="836" w:name="_Toc38440858"/>
      <w:bookmarkStart w:id="837" w:name="_Toc38441190"/>
      <w:bookmarkStart w:id="838" w:name="_Toc38441522"/>
      <w:bookmarkStart w:id="839" w:name="_Toc38441850"/>
      <w:bookmarkStart w:id="840" w:name="_Toc38442182"/>
      <w:bookmarkStart w:id="841" w:name="_Toc38442514"/>
      <w:bookmarkStart w:id="842" w:name="_Toc38442845"/>
      <w:bookmarkStart w:id="843" w:name="_Toc38443176"/>
      <w:bookmarkStart w:id="844" w:name="_Toc38443507"/>
      <w:bookmarkStart w:id="845" w:name="_Toc38443838"/>
      <w:bookmarkStart w:id="846" w:name="_Toc38438305"/>
      <w:bookmarkStart w:id="847" w:name="_Toc38438642"/>
      <w:bookmarkStart w:id="848" w:name="_Toc38438979"/>
      <w:bookmarkStart w:id="849" w:name="_Toc38439316"/>
      <w:bookmarkStart w:id="850" w:name="_Toc38439653"/>
      <w:bookmarkStart w:id="851" w:name="_Toc38439990"/>
      <w:bookmarkStart w:id="852" w:name="_Toc38440327"/>
      <w:bookmarkStart w:id="853" w:name="_Toc38440660"/>
      <w:bookmarkStart w:id="854" w:name="_Toc38440859"/>
      <w:bookmarkStart w:id="855" w:name="_Toc38441191"/>
      <w:bookmarkStart w:id="856" w:name="_Toc38441523"/>
      <w:bookmarkStart w:id="857" w:name="_Toc38441851"/>
      <w:bookmarkStart w:id="858" w:name="_Toc38442183"/>
      <w:bookmarkStart w:id="859" w:name="_Toc38442515"/>
      <w:bookmarkStart w:id="860" w:name="_Toc38442846"/>
      <w:bookmarkStart w:id="861" w:name="_Toc38443177"/>
      <w:bookmarkStart w:id="862" w:name="_Toc38443508"/>
      <w:bookmarkStart w:id="863" w:name="_Toc38443839"/>
      <w:bookmarkStart w:id="864" w:name="_Toc38438306"/>
      <w:bookmarkStart w:id="865" w:name="_Toc38438643"/>
      <w:bookmarkStart w:id="866" w:name="_Toc38438980"/>
      <w:bookmarkStart w:id="867" w:name="_Toc38439317"/>
      <w:bookmarkStart w:id="868" w:name="_Toc38439654"/>
      <w:bookmarkStart w:id="869" w:name="_Toc38439991"/>
      <w:bookmarkStart w:id="870" w:name="_Toc38440328"/>
      <w:bookmarkStart w:id="871" w:name="_Toc38440661"/>
      <w:bookmarkStart w:id="872" w:name="_Toc38440860"/>
      <w:bookmarkStart w:id="873" w:name="_Toc38441192"/>
      <w:bookmarkStart w:id="874" w:name="_Toc38441524"/>
      <w:bookmarkStart w:id="875" w:name="_Toc38441852"/>
      <w:bookmarkStart w:id="876" w:name="_Toc38442184"/>
      <w:bookmarkStart w:id="877" w:name="_Toc38442516"/>
      <w:bookmarkStart w:id="878" w:name="_Toc38442847"/>
      <w:bookmarkStart w:id="879" w:name="_Toc38443178"/>
      <w:bookmarkStart w:id="880" w:name="_Toc38443509"/>
      <w:bookmarkStart w:id="881" w:name="_Toc38443840"/>
      <w:bookmarkStart w:id="882" w:name="_Toc38438310"/>
      <w:bookmarkStart w:id="883" w:name="_Toc38438647"/>
      <w:bookmarkStart w:id="884" w:name="_Toc38438984"/>
      <w:bookmarkStart w:id="885" w:name="_Toc38439321"/>
      <w:bookmarkStart w:id="886" w:name="_Toc38439658"/>
      <w:bookmarkStart w:id="887" w:name="_Toc38439995"/>
      <w:bookmarkStart w:id="888" w:name="_Toc38440332"/>
      <w:bookmarkStart w:id="889" w:name="_Toc38440665"/>
      <w:bookmarkStart w:id="890" w:name="_Toc38440864"/>
      <w:bookmarkStart w:id="891" w:name="_Toc38441196"/>
      <w:bookmarkStart w:id="892" w:name="_Toc38441528"/>
      <w:bookmarkStart w:id="893" w:name="_Toc38441856"/>
      <w:bookmarkStart w:id="894" w:name="_Toc38442188"/>
      <w:bookmarkStart w:id="895" w:name="_Toc38442520"/>
      <w:bookmarkStart w:id="896" w:name="_Toc38442851"/>
      <w:bookmarkStart w:id="897" w:name="_Toc38443182"/>
      <w:bookmarkStart w:id="898" w:name="_Toc38443513"/>
      <w:bookmarkStart w:id="899" w:name="_Toc38443844"/>
      <w:bookmarkStart w:id="900" w:name="_Toc38438311"/>
      <w:bookmarkStart w:id="901" w:name="_Toc38438648"/>
      <w:bookmarkStart w:id="902" w:name="_Toc38438985"/>
      <w:bookmarkStart w:id="903" w:name="_Toc38439322"/>
      <w:bookmarkStart w:id="904" w:name="_Toc38439659"/>
      <w:bookmarkStart w:id="905" w:name="_Toc38439996"/>
      <w:bookmarkStart w:id="906" w:name="_Toc38440333"/>
      <w:bookmarkStart w:id="907" w:name="_Toc38440666"/>
      <w:bookmarkStart w:id="908" w:name="_Toc38440865"/>
      <w:bookmarkStart w:id="909" w:name="_Toc38441197"/>
      <w:bookmarkStart w:id="910" w:name="_Toc38441529"/>
      <w:bookmarkStart w:id="911" w:name="_Toc38441857"/>
      <w:bookmarkStart w:id="912" w:name="_Toc38442189"/>
      <w:bookmarkStart w:id="913" w:name="_Toc38442521"/>
      <w:bookmarkStart w:id="914" w:name="_Toc38442852"/>
      <w:bookmarkStart w:id="915" w:name="_Toc38443183"/>
      <w:bookmarkStart w:id="916" w:name="_Toc38443514"/>
      <w:bookmarkStart w:id="917" w:name="_Toc38443845"/>
      <w:bookmarkStart w:id="918" w:name="_Toc38438312"/>
      <w:bookmarkStart w:id="919" w:name="_Toc38438649"/>
      <w:bookmarkStart w:id="920" w:name="_Toc38438986"/>
      <w:bookmarkStart w:id="921" w:name="_Toc38439323"/>
      <w:bookmarkStart w:id="922" w:name="_Toc38439660"/>
      <w:bookmarkStart w:id="923" w:name="_Toc38439997"/>
      <w:bookmarkStart w:id="924" w:name="_Toc38440334"/>
      <w:bookmarkStart w:id="925" w:name="_Toc38440667"/>
      <w:bookmarkStart w:id="926" w:name="_Toc38440866"/>
      <w:bookmarkStart w:id="927" w:name="_Toc38441198"/>
      <w:bookmarkStart w:id="928" w:name="_Toc38441530"/>
      <w:bookmarkStart w:id="929" w:name="_Toc38441858"/>
      <w:bookmarkStart w:id="930" w:name="_Toc38442190"/>
      <w:bookmarkStart w:id="931" w:name="_Toc38442522"/>
      <w:bookmarkStart w:id="932" w:name="_Toc38442853"/>
      <w:bookmarkStart w:id="933" w:name="_Toc38443184"/>
      <w:bookmarkStart w:id="934" w:name="_Toc38443515"/>
      <w:bookmarkStart w:id="935" w:name="_Toc38443846"/>
      <w:bookmarkStart w:id="936" w:name="_Toc38438313"/>
      <w:bookmarkStart w:id="937" w:name="_Toc38438650"/>
      <w:bookmarkStart w:id="938" w:name="_Toc38438987"/>
      <w:bookmarkStart w:id="939" w:name="_Toc38439324"/>
      <w:bookmarkStart w:id="940" w:name="_Toc38439661"/>
      <w:bookmarkStart w:id="941" w:name="_Toc38439998"/>
      <w:bookmarkStart w:id="942" w:name="_Toc38440335"/>
      <w:bookmarkStart w:id="943" w:name="_Toc38440668"/>
      <w:bookmarkStart w:id="944" w:name="_Toc38440867"/>
      <w:bookmarkStart w:id="945" w:name="_Toc38441199"/>
      <w:bookmarkStart w:id="946" w:name="_Toc38441531"/>
      <w:bookmarkStart w:id="947" w:name="_Toc38441859"/>
      <w:bookmarkStart w:id="948" w:name="_Toc38442191"/>
      <w:bookmarkStart w:id="949" w:name="_Toc38442523"/>
      <w:bookmarkStart w:id="950" w:name="_Toc38442854"/>
      <w:bookmarkStart w:id="951" w:name="_Toc38443185"/>
      <w:bookmarkStart w:id="952" w:name="_Toc38443516"/>
      <w:bookmarkStart w:id="953" w:name="_Toc38443847"/>
      <w:bookmarkStart w:id="954" w:name="_Toc38438314"/>
      <w:bookmarkStart w:id="955" w:name="_Toc38438651"/>
      <w:bookmarkStart w:id="956" w:name="_Toc38438988"/>
      <w:bookmarkStart w:id="957" w:name="_Toc38439325"/>
      <w:bookmarkStart w:id="958" w:name="_Toc38439662"/>
      <w:bookmarkStart w:id="959" w:name="_Toc38439999"/>
      <w:bookmarkStart w:id="960" w:name="_Toc38440336"/>
      <w:bookmarkStart w:id="961" w:name="_Toc38440669"/>
      <w:bookmarkStart w:id="962" w:name="_Toc38440868"/>
      <w:bookmarkStart w:id="963" w:name="_Toc38441200"/>
      <w:bookmarkStart w:id="964" w:name="_Toc38441532"/>
      <w:bookmarkStart w:id="965" w:name="_Toc38441860"/>
      <w:bookmarkStart w:id="966" w:name="_Toc38442192"/>
      <w:bookmarkStart w:id="967" w:name="_Toc38442524"/>
      <w:bookmarkStart w:id="968" w:name="_Toc38442855"/>
      <w:bookmarkStart w:id="969" w:name="_Toc38443186"/>
      <w:bookmarkStart w:id="970" w:name="_Toc38443517"/>
      <w:bookmarkStart w:id="971" w:name="_Toc38443848"/>
      <w:bookmarkStart w:id="972" w:name="_Toc38438315"/>
      <w:bookmarkStart w:id="973" w:name="_Toc38438652"/>
      <w:bookmarkStart w:id="974" w:name="_Toc38438989"/>
      <w:bookmarkStart w:id="975" w:name="_Toc38439326"/>
      <w:bookmarkStart w:id="976" w:name="_Toc38439663"/>
      <w:bookmarkStart w:id="977" w:name="_Toc38440000"/>
      <w:bookmarkStart w:id="978" w:name="_Toc38440337"/>
      <w:bookmarkStart w:id="979" w:name="_Toc38440670"/>
      <w:bookmarkStart w:id="980" w:name="_Toc38440869"/>
      <w:bookmarkStart w:id="981" w:name="_Toc38441201"/>
      <w:bookmarkStart w:id="982" w:name="_Toc38441533"/>
      <w:bookmarkStart w:id="983" w:name="_Toc38441861"/>
      <w:bookmarkStart w:id="984" w:name="_Toc38442193"/>
      <w:bookmarkStart w:id="985" w:name="_Toc38442525"/>
      <w:bookmarkStart w:id="986" w:name="_Toc38442856"/>
      <w:bookmarkStart w:id="987" w:name="_Toc38443187"/>
      <w:bookmarkStart w:id="988" w:name="_Toc38443518"/>
      <w:bookmarkStart w:id="989" w:name="_Toc38443849"/>
      <w:bookmarkStart w:id="990" w:name="_Toc38438316"/>
      <w:bookmarkStart w:id="991" w:name="_Toc38438653"/>
      <w:bookmarkStart w:id="992" w:name="_Toc38438990"/>
      <w:bookmarkStart w:id="993" w:name="_Toc38439327"/>
      <w:bookmarkStart w:id="994" w:name="_Toc38439664"/>
      <w:bookmarkStart w:id="995" w:name="_Toc38440001"/>
      <w:bookmarkStart w:id="996" w:name="_Toc38440338"/>
      <w:bookmarkStart w:id="997" w:name="_Toc38440671"/>
      <w:bookmarkStart w:id="998" w:name="_Toc38440870"/>
      <w:bookmarkStart w:id="999" w:name="_Toc38441202"/>
      <w:bookmarkStart w:id="1000" w:name="_Toc38441534"/>
      <w:bookmarkStart w:id="1001" w:name="_Toc38441862"/>
      <w:bookmarkStart w:id="1002" w:name="_Toc38442194"/>
      <w:bookmarkStart w:id="1003" w:name="_Toc38442526"/>
      <w:bookmarkStart w:id="1004" w:name="_Toc38442857"/>
      <w:bookmarkStart w:id="1005" w:name="_Toc38443188"/>
      <w:bookmarkStart w:id="1006" w:name="_Toc38443519"/>
      <w:bookmarkStart w:id="1007" w:name="_Toc38443850"/>
      <w:bookmarkStart w:id="1008" w:name="_Toc38438317"/>
      <w:bookmarkStart w:id="1009" w:name="_Toc38438654"/>
      <w:bookmarkStart w:id="1010" w:name="_Toc38438991"/>
      <w:bookmarkStart w:id="1011" w:name="_Toc38439328"/>
      <w:bookmarkStart w:id="1012" w:name="_Toc38439665"/>
      <w:bookmarkStart w:id="1013" w:name="_Toc38440002"/>
      <w:bookmarkStart w:id="1014" w:name="_Toc38440339"/>
      <w:bookmarkStart w:id="1015" w:name="_Toc38440672"/>
      <w:bookmarkStart w:id="1016" w:name="_Toc38440871"/>
      <w:bookmarkStart w:id="1017" w:name="_Toc38441203"/>
      <w:bookmarkStart w:id="1018" w:name="_Toc38441535"/>
      <w:bookmarkStart w:id="1019" w:name="_Toc38441863"/>
      <w:bookmarkStart w:id="1020" w:name="_Toc38442195"/>
      <w:bookmarkStart w:id="1021" w:name="_Toc38442527"/>
      <w:bookmarkStart w:id="1022" w:name="_Toc38442858"/>
      <w:bookmarkStart w:id="1023" w:name="_Toc38443189"/>
      <w:bookmarkStart w:id="1024" w:name="_Toc38443520"/>
      <w:bookmarkStart w:id="1025" w:name="_Toc38443851"/>
      <w:bookmarkStart w:id="1026" w:name="_Toc38438318"/>
      <w:bookmarkStart w:id="1027" w:name="_Toc38438655"/>
      <w:bookmarkStart w:id="1028" w:name="_Toc38438992"/>
      <w:bookmarkStart w:id="1029" w:name="_Toc38439329"/>
      <w:bookmarkStart w:id="1030" w:name="_Toc38439666"/>
      <w:bookmarkStart w:id="1031" w:name="_Toc38440003"/>
      <w:bookmarkStart w:id="1032" w:name="_Toc38440340"/>
      <w:bookmarkStart w:id="1033" w:name="_Toc38440673"/>
      <w:bookmarkStart w:id="1034" w:name="_Toc38440872"/>
      <w:bookmarkStart w:id="1035" w:name="_Toc38441204"/>
      <w:bookmarkStart w:id="1036" w:name="_Toc38441536"/>
      <w:bookmarkStart w:id="1037" w:name="_Toc38441864"/>
      <w:bookmarkStart w:id="1038" w:name="_Toc38442196"/>
      <w:bookmarkStart w:id="1039" w:name="_Toc38442528"/>
      <w:bookmarkStart w:id="1040" w:name="_Toc38442859"/>
      <w:bookmarkStart w:id="1041" w:name="_Toc38443190"/>
      <w:bookmarkStart w:id="1042" w:name="_Toc38443521"/>
      <w:bookmarkStart w:id="1043" w:name="_Toc38443852"/>
      <w:bookmarkStart w:id="1044" w:name="_Toc38438319"/>
      <w:bookmarkStart w:id="1045" w:name="_Toc38438656"/>
      <w:bookmarkStart w:id="1046" w:name="_Toc38438993"/>
      <w:bookmarkStart w:id="1047" w:name="_Toc38439330"/>
      <w:bookmarkStart w:id="1048" w:name="_Toc38439667"/>
      <w:bookmarkStart w:id="1049" w:name="_Toc38440004"/>
      <w:bookmarkStart w:id="1050" w:name="_Toc38440341"/>
      <w:bookmarkStart w:id="1051" w:name="_Toc38440674"/>
      <w:bookmarkStart w:id="1052" w:name="_Toc38440873"/>
      <w:bookmarkStart w:id="1053" w:name="_Toc38441205"/>
      <w:bookmarkStart w:id="1054" w:name="_Toc38441537"/>
      <w:bookmarkStart w:id="1055" w:name="_Toc38441865"/>
      <w:bookmarkStart w:id="1056" w:name="_Toc38442197"/>
      <w:bookmarkStart w:id="1057" w:name="_Toc38442529"/>
      <w:bookmarkStart w:id="1058" w:name="_Toc38442860"/>
      <w:bookmarkStart w:id="1059" w:name="_Toc38443191"/>
      <w:bookmarkStart w:id="1060" w:name="_Toc38443522"/>
      <w:bookmarkStart w:id="1061" w:name="_Toc38443853"/>
      <w:bookmarkStart w:id="1062" w:name="_Toc38438320"/>
      <w:bookmarkStart w:id="1063" w:name="_Toc38438657"/>
      <w:bookmarkStart w:id="1064" w:name="_Toc38438994"/>
      <w:bookmarkStart w:id="1065" w:name="_Toc38439331"/>
      <w:bookmarkStart w:id="1066" w:name="_Toc38439668"/>
      <w:bookmarkStart w:id="1067" w:name="_Toc38440005"/>
      <w:bookmarkStart w:id="1068" w:name="_Toc38440342"/>
      <w:bookmarkStart w:id="1069" w:name="_Toc38440675"/>
      <w:bookmarkStart w:id="1070" w:name="_Toc38440874"/>
      <w:bookmarkStart w:id="1071" w:name="_Toc38441206"/>
      <w:bookmarkStart w:id="1072" w:name="_Toc38441538"/>
      <w:bookmarkStart w:id="1073" w:name="_Toc38441866"/>
      <w:bookmarkStart w:id="1074" w:name="_Toc38442198"/>
      <w:bookmarkStart w:id="1075" w:name="_Toc38442530"/>
      <w:bookmarkStart w:id="1076" w:name="_Toc38442861"/>
      <w:bookmarkStart w:id="1077" w:name="_Toc38443192"/>
      <w:bookmarkStart w:id="1078" w:name="_Toc38443523"/>
      <w:bookmarkStart w:id="1079" w:name="_Toc38443854"/>
      <w:bookmarkStart w:id="1080" w:name="_Toc38438321"/>
      <w:bookmarkStart w:id="1081" w:name="_Toc38438658"/>
      <w:bookmarkStart w:id="1082" w:name="_Toc38438995"/>
      <w:bookmarkStart w:id="1083" w:name="_Toc38439332"/>
      <w:bookmarkStart w:id="1084" w:name="_Toc38439669"/>
      <w:bookmarkStart w:id="1085" w:name="_Toc38440006"/>
      <w:bookmarkStart w:id="1086" w:name="_Toc38440343"/>
      <w:bookmarkStart w:id="1087" w:name="_Toc38440676"/>
      <w:bookmarkStart w:id="1088" w:name="_Toc38440875"/>
      <w:bookmarkStart w:id="1089" w:name="_Toc38441207"/>
      <w:bookmarkStart w:id="1090" w:name="_Toc38441539"/>
      <w:bookmarkStart w:id="1091" w:name="_Toc38441867"/>
      <w:bookmarkStart w:id="1092" w:name="_Toc38442199"/>
      <w:bookmarkStart w:id="1093" w:name="_Toc38442531"/>
      <w:bookmarkStart w:id="1094" w:name="_Toc38442862"/>
      <w:bookmarkStart w:id="1095" w:name="_Toc38443193"/>
      <w:bookmarkStart w:id="1096" w:name="_Toc38443524"/>
      <w:bookmarkStart w:id="1097" w:name="_Toc38443855"/>
      <w:bookmarkStart w:id="1098" w:name="_Toc38438322"/>
      <w:bookmarkStart w:id="1099" w:name="_Toc38438659"/>
      <w:bookmarkStart w:id="1100" w:name="_Toc38438996"/>
      <w:bookmarkStart w:id="1101" w:name="_Toc38439333"/>
      <w:bookmarkStart w:id="1102" w:name="_Toc38439670"/>
      <w:bookmarkStart w:id="1103" w:name="_Toc38440007"/>
      <w:bookmarkStart w:id="1104" w:name="_Toc38440344"/>
      <w:bookmarkStart w:id="1105" w:name="_Toc38440677"/>
      <w:bookmarkStart w:id="1106" w:name="_Toc38440876"/>
      <w:bookmarkStart w:id="1107" w:name="_Toc38441208"/>
      <w:bookmarkStart w:id="1108" w:name="_Toc38441540"/>
      <w:bookmarkStart w:id="1109" w:name="_Toc38441868"/>
      <w:bookmarkStart w:id="1110" w:name="_Toc38442200"/>
      <w:bookmarkStart w:id="1111" w:name="_Toc38442532"/>
      <w:bookmarkStart w:id="1112" w:name="_Toc38442863"/>
      <w:bookmarkStart w:id="1113" w:name="_Toc38443194"/>
      <w:bookmarkStart w:id="1114" w:name="_Toc38443525"/>
      <w:bookmarkStart w:id="1115" w:name="_Toc38443856"/>
      <w:bookmarkStart w:id="1116" w:name="_Toc38438323"/>
      <w:bookmarkStart w:id="1117" w:name="_Toc38438660"/>
      <w:bookmarkStart w:id="1118" w:name="_Toc38438997"/>
      <w:bookmarkStart w:id="1119" w:name="_Toc38439334"/>
      <w:bookmarkStart w:id="1120" w:name="_Toc38439671"/>
      <w:bookmarkStart w:id="1121" w:name="_Toc38440008"/>
      <w:bookmarkStart w:id="1122" w:name="_Toc38440345"/>
      <w:bookmarkStart w:id="1123" w:name="_Toc38440678"/>
      <w:bookmarkStart w:id="1124" w:name="_Toc38440877"/>
      <w:bookmarkStart w:id="1125" w:name="_Toc38441209"/>
      <w:bookmarkStart w:id="1126" w:name="_Toc38441541"/>
      <w:bookmarkStart w:id="1127" w:name="_Toc38441869"/>
      <w:bookmarkStart w:id="1128" w:name="_Toc38442201"/>
      <w:bookmarkStart w:id="1129" w:name="_Toc38442533"/>
      <w:bookmarkStart w:id="1130" w:name="_Toc38442864"/>
      <w:bookmarkStart w:id="1131" w:name="_Toc38443195"/>
      <w:bookmarkStart w:id="1132" w:name="_Toc38443526"/>
      <w:bookmarkStart w:id="1133" w:name="_Toc38443857"/>
      <w:bookmarkStart w:id="1134" w:name="_Toc38438324"/>
      <w:bookmarkStart w:id="1135" w:name="_Toc38438661"/>
      <w:bookmarkStart w:id="1136" w:name="_Toc38438998"/>
      <w:bookmarkStart w:id="1137" w:name="_Toc38439335"/>
      <w:bookmarkStart w:id="1138" w:name="_Toc38439672"/>
      <w:bookmarkStart w:id="1139" w:name="_Toc38440009"/>
      <w:bookmarkStart w:id="1140" w:name="_Toc38440346"/>
      <w:bookmarkStart w:id="1141" w:name="_Toc38440679"/>
      <w:bookmarkStart w:id="1142" w:name="_Toc38440878"/>
      <w:bookmarkStart w:id="1143" w:name="_Toc38441210"/>
      <w:bookmarkStart w:id="1144" w:name="_Toc38441542"/>
      <w:bookmarkStart w:id="1145" w:name="_Toc38441870"/>
      <w:bookmarkStart w:id="1146" w:name="_Toc38442202"/>
      <w:bookmarkStart w:id="1147" w:name="_Toc38442534"/>
      <w:bookmarkStart w:id="1148" w:name="_Toc38442865"/>
      <w:bookmarkStart w:id="1149" w:name="_Toc38443196"/>
      <w:bookmarkStart w:id="1150" w:name="_Toc38443527"/>
      <w:bookmarkStart w:id="1151" w:name="_Toc38443858"/>
      <w:bookmarkStart w:id="1152" w:name="_Toc38438325"/>
      <w:bookmarkStart w:id="1153" w:name="_Toc38438662"/>
      <w:bookmarkStart w:id="1154" w:name="_Toc38438999"/>
      <w:bookmarkStart w:id="1155" w:name="_Toc38439336"/>
      <w:bookmarkStart w:id="1156" w:name="_Toc38439673"/>
      <w:bookmarkStart w:id="1157" w:name="_Toc38440010"/>
      <w:bookmarkStart w:id="1158" w:name="_Toc38440347"/>
      <w:bookmarkStart w:id="1159" w:name="_Toc38440879"/>
      <w:bookmarkStart w:id="1160" w:name="_Toc38441211"/>
      <w:bookmarkStart w:id="1161" w:name="_Toc38441543"/>
      <w:bookmarkStart w:id="1162" w:name="_Toc38441871"/>
      <w:bookmarkStart w:id="1163" w:name="_Toc38442203"/>
      <w:bookmarkStart w:id="1164" w:name="_Toc38442535"/>
      <w:bookmarkStart w:id="1165" w:name="_Toc38442866"/>
      <w:bookmarkStart w:id="1166" w:name="_Toc38443197"/>
      <w:bookmarkStart w:id="1167" w:name="_Toc38443528"/>
      <w:bookmarkStart w:id="1168" w:name="_Toc38443859"/>
      <w:bookmarkStart w:id="1169" w:name="_Toc38438326"/>
      <w:bookmarkStart w:id="1170" w:name="_Toc38438663"/>
      <w:bookmarkStart w:id="1171" w:name="_Toc38439000"/>
      <w:bookmarkStart w:id="1172" w:name="_Toc38439337"/>
      <w:bookmarkStart w:id="1173" w:name="_Toc38439674"/>
      <w:bookmarkStart w:id="1174" w:name="_Toc38440011"/>
      <w:bookmarkStart w:id="1175" w:name="_Toc38440348"/>
      <w:bookmarkStart w:id="1176" w:name="_Toc38440880"/>
      <w:bookmarkStart w:id="1177" w:name="_Toc38441212"/>
      <w:bookmarkStart w:id="1178" w:name="_Toc38441544"/>
      <w:bookmarkStart w:id="1179" w:name="_Toc38441872"/>
      <w:bookmarkStart w:id="1180" w:name="_Toc38442204"/>
      <w:bookmarkStart w:id="1181" w:name="_Toc38442536"/>
      <w:bookmarkStart w:id="1182" w:name="_Toc38442867"/>
      <w:bookmarkStart w:id="1183" w:name="_Toc38443198"/>
      <w:bookmarkStart w:id="1184" w:name="_Toc38443529"/>
      <w:bookmarkStart w:id="1185" w:name="_Toc38443860"/>
      <w:bookmarkStart w:id="1186" w:name="_Toc38438327"/>
      <w:bookmarkStart w:id="1187" w:name="_Toc38438664"/>
      <w:bookmarkStart w:id="1188" w:name="_Toc38439001"/>
      <w:bookmarkStart w:id="1189" w:name="_Toc38439338"/>
      <w:bookmarkStart w:id="1190" w:name="_Toc38439675"/>
      <w:bookmarkStart w:id="1191" w:name="_Toc38440012"/>
      <w:bookmarkStart w:id="1192" w:name="_Toc38440349"/>
      <w:bookmarkStart w:id="1193" w:name="_Toc38440881"/>
      <w:bookmarkStart w:id="1194" w:name="_Toc38441213"/>
      <w:bookmarkStart w:id="1195" w:name="_Toc38441545"/>
      <w:bookmarkStart w:id="1196" w:name="_Toc38441873"/>
      <w:bookmarkStart w:id="1197" w:name="_Toc38442205"/>
      <w:bookmarkStart w:id="1198" w:name="_Toc38442537"/>
      <w:bookmarkStart w:id="1199" w:name="_Toc38442868"/>
      <w:bookmarkStart w:id="1200" w:name="_Toc38443199"/>
      <w:bookmarkStart w:id="1201" w:name="_Toc38443530"/>
      <w:bookmarkStart w:id="1202" w:name="_Toc38443861"/>
      <w:bookmarkStart w:id="1203" w:name="_Toc38438328"/>
      <w:bookmarkStart w:id="1204" w:name="_Toc38438665"/>
      <w:bookmarkStart w:id="1205" w:name="_Toc38439002"/>
      <w:bookmarkStart w:id="1206" w:name="_Toc38439339"/>
      <w:bookmarkStart w:id="1207" w:name="_Toc38439676"/>
      <w:bookmarkStart w:id="1208" w:name="_Toc38440013"/>
      <w:bookmarkStart w:id="1209" w:name="_Toc38440350"/>
      <w:bookmarkStart w:id="1210" w:name="_Toc38440882"/>
      <w:bookmarkStart w:id="1211" w:name="_Toc38441214"/>
      <w:bookmarkStart w:id="1212" w:name="_Toc38441546"/>
      <w:bookmarkStart w:id="1213" w:name="_Toc38441874"/>
      <w:bookmarkStart w:id="1214" w:name="_Toc38442206"/>
      <w:bookmarkStart w:id="1215" w:name="_Toc38442538"/>
      <w:bookmarkStart w:id="1216" w:name="_Toc38442869"/>
      <w:bookmarkStart w:id="1217" w:name="_Toc38443200"/>
      <w:bookmarkStart w:id="1218" w:name="_Toc38443531"/>
      <w:bookmarkStart w:id="1219" w:name="_Toc38443862"/>
      <w:bookmarkStart w:id="1220" w:name="_Toc38438329"/>
      <w:bookmarkStart w:id="1221" w:name="_Toc38438666"/>
      <w:bookmarkStart w:id="1222" w:name="_Toc38439003"/>
      <w:bookmarkStart w:id="1223" w:name="_Toc38439340"/>
      <w:bookmarkStart w:id="1224" w:name="_Toc38439677"/>
      <w:bookmarkStart w:id="1225" w:name="_Toc38440014"/>
      <w:bookmarkStart w:id="1226" w:name="_Toc38440351"/>
      <w:bookmarkStart w:id="1227" w:name="_Toc38440883"/>
      <w:bookmarkStart w:id="1228" w:name="_Toc38441215"/>
      <w:bookmarkStart w:id="1229" w:name="_Toc38441547"/>
      <w:bookmarkStart w:id="1230" w:name="_Toc38441875"/>
      <w:bookmarkStart w:id="1231" w:name="_Toc38442207"/>
      <w:bookmarkStart w:id="1232" w:name="_Toc38442539"/>
      <w:bookmarkStart w:id="1233" w:name="_Toc38442870"/>
      <w:bookmarkStart w:id="1234" w:name="_Toc38443201"/>
      <w:bookmarkStart w:id="1235" w:name="_Toc38443532"/>
      <w:bookmarkStart w:id="1236" w:name="_Toc38443863"/>
      <w:bookmarkStart w:id="1237" w:name="_Toc38438330"/>
      <w:bookmarkStart w:id="1238" w:name="_Toc38438667"/>
      <w:bookmarkStart w:id="1239" w:name="_Toc38439004"/>
      <w:bookmarkStart w:id="1240" w:name="_Toc38439341"/>
      <w:bookmarkStart w:id="1241" w:name="_Toc38439678"/>
      <w:bookmarkStart w:id="1242" w:name="_Toc38440015"/>
      <w:bookmarkStart w:id="1243" w:name="_Toc38440352"/>
      <w:bookmarkStart w:id="1244" w:name="_Toc38440884"/>
      <w:bookmarkStart w:id="1245" w:name="_Toc38441216"/>
      <w:bookmarkStart w:id="1246" w:name="_Toc38441548"/>
      <w:bookmarkStart w:id="1247" w:name="_Toc38441876"/>
      <w:bookmarkStart w:id="1248" w:name="_Toc38442208"/>
      <w:bookmarkStart w:id="1249" w:name="_Toc38442540"/>
      <w:bookmarkStart w:id="1250" w:name="_Toc38442871"/>
      <w:bookmarkStart w:id="1251" w:name="_Toc38443202"/>
      <w:bookmarkStart w:id="1252" w:name="_Toc38443533"/>
      <w:bookmarkStart w:id="1253" w:name="_Toc38443864"/>
      <w:bookmarkStart w:id="1254" w:name="_Toc38438331"/>
      <w:bookmarkStart w:id="1255" w:name="_Toc38438668"/>
      <w:bookmarkStart w:id="1256" w:name="_Toc38439005"/>
      <w:bookmarkStart w:id="1257" w:name="_Toc38439342"/>
      <w:bookmarkStart w:id="1258" w:name="_Toc38439679"/>
      <w:bookmarkStart w:id="1259" w:name="_Toc38440016"/>
      <w:bookmarkStart w:id="1260" w:name="_Toc38440353"/>
      <w:bookmarkStart w:id="1261" w:name="_Toc38440885"/>
      <w:bookmarkStart w:id="1262" w:name="_Toc38441217"/>
      <w:bookmarkStart w:id="1263" w:name="_Toc38441549"/>
      <w:bookmarkStart w:id="1264" w:name="_Toc38441877"/>
      <w:bookmarkStart w:id="1265" w:name="_Toc38442209"/>
      <w:bookmarkStart w:id="1266" w:name="_Toc38442541"/>
      <w:bookmarkStart w:id="1267" w:name="_Toc38442872"/>
      <w:bookmarkStart w:id="1268" w:name="_Toc38443203"/>
      <w:bookmarkStart w:id="1269" w:name="_Toc38443534"/>
      <w:bookmarkStart w:id="1270" w:name="_Toc38443865"/>
      <w:bookmarkStart w:id="1271" w:name="_Toc38438332"/>
      <w:bookmarkStart w:id="1272" w:name="_Toc38438669"/>
      <w:bookmarkStart w:id="1273" w:name="_Toc38439006"/>
      <w:bookmarkStart w:id="1274" w:name="_Toc38439343"/>
      <w:bookmarkStart w:id="1275" w:name="_Toc38439680"/>
      <w:bookmarkStart w:id="1276" w:name="_Toc38440017"/>
      <w:bookmarkStart w:id="1277" w:name="_Toc38440354"/>
      <w:bookmarkStart w:id="1278" w:name="_Toc38440886"/>
      <w:bookmarkStart w:id="1279" w:name="_Toc38441218"/>
      <w:bookmarkStart w:id="1280" w:name="_Toc38441550"/>
      <w:bookmarkStart w:id="1281" w:name="_Toc38441878"/>
      <w:bookmarkStart w:id="1282" w:name="_Toc38442210"/>
      <w:bookmarkStart w:id="1283" w:name="_Toc38442542"/>
      <w:bookmarkStart w:id="1284" w:name="_Toc38442873"/>
      <w:bookmarkStart w:id="1285" w:name="_Toc38443204"/>
      <w:bookmarkStart w:id="1286" w:name="_Toc38443535"/>
      <w:bookmarkStart w:id="1287" w:name="_Toc38443866"/>
      <w:bookmarkStart w:id="1288" w:name="_Toc38438333"/>
      <w:bookmarkStart w:id="1289" w:name="_Toc38438670"/>
      <w:bookmarkStart w:id="1290" w:name="_Toc38439007"/>
      <w:bookmarkStart w:id="1291" w:name="_Toc38439344"/>
      <w:bookmarkStart w:id="1292" w:name="_Toc38439681"/>
      <w:bookmarkStart w:id="1293" w:name="_Toc38440018"/>
      <w:bookmarkStart w:id="1294" w:name="_Toc38440355"/>
      <w:bookmarkStart w:id="1295" w:name="_Toc38440887"/>
      <w:bookmarkStart w:id="1296" w:name="_Toc38441219"/>
      <w:bookmarkStart w:id="1297" w:name="_Toc38441551"/>
      <w:bookmarkStart w:id="1298" w:name="_Toc38441879"/>
      <w:bookmarkStart w:id="1299" w:name="_Toc38442211"/>
      <w:bookmarkStart w:id="1300" w:name="_Toc38442543"/>
      <w:bookmarkStart w:id="1301" w:name="_Toc38442874"/>
      <w:bookmarkStart w:id="1302" w:name="_Toc38443205"/>
      <w:bookmarkStart w:id="1303" w:name="_Toc38443536"/>
      <w:bookmarkStart w:id="1304" w:name="_Toc38443867"/>
      <w:bookmarkStart w:id="1305" w:name="_Toc38438334"/>
      <w:bookmarkStart w:id="1306" w:name="_Toc38438671"/>
      <w:bookmarkStart w:id="1307" w:name="_Toc38439008"/>
      <w:bookmarkStart w:id="1308" w:name="_Toc38439345"/>
      <w:bookmarkStart w:id="1309" w:name="_Toc38439682"/>
      <w:bookmarkStart w:id="1310" w:name="_Toc38440019"/>
      <w:bookmarkStart w:id="1311" w:name="_Toc38440356"/>
      <w:bookmarkStart w:id="1312" w:name="_Toc38440888"/>
      <w:bookmarkStart w:id="1313" w:name="_Toc38441220"/>
      <w:bookmarkStart w:id="1314" w:name="_Toc38441552"/>
      <w:bookmarkStart w:id="1315" w:name="_Toc38441880"/>
      <w:bookmarkStart w:id="1316" w:name="_Toc38442212"/>
      <w:bookmarkStart w:id="1317" w:name="_Toc38442544"/>
      <w:bookmarkStart w:id="1318" w:name="_Toc38442875"/>
      <w:bookmarkStart w:id="1319" w:name="_Toc38443206"/>
      <w:bookmarkStart w:id="1320" w:name="_Toc38443537"/>
      <w:bookmarkStart w:id="1321" w:name="_Toc38443868"/>
      <w:bookmarkStart w:id="1322" w:name="_Toc38438335"/>
      <w:bookmarkStart w:id="1323" w:name="_Toc38438672"/>
      <w:bookmarkStart w:id="1324" w:name="_Toc38439009"/>
      <w:bookmarkStart w:id="1325" w:name="_Toc38439346"/>
      <w:bookmarkStart w:id="1326" w:name="_Toc38439683"/>
      <w:bookmarkStart w:id="1327" w:name="_Toc38440020"/>
      <w:bookmarkStart w:id="1328" w:name="_Toc38440357"/>
      <w:bookmarkStart w:id="1329" w:name="_Toc38440889"/>
      <w:bookmarkStart w:id="1330" w:name="_Toc38441221"/>
      <w:bookmarkStart w:id="1331" w:name="_Toc38441553"/>
      <w:bookmarkStart w:id="1332" w:name="_Toc38441881"/>
      <w:bookmarkStart w:id="1333" w:name="_Toc38442213"/>
      <w:bookmarkStart w:id="1334" w:name="_Toc38442545"/>
      <w:bookmarkStart w:id="1335" w:name="_Toc38442876"/>
      <w:bookmarkStart w:id="1336" w:name="_Toc38443207"/>
      <w:bookmarkStart w:id="1337" w:name="_Toc38443538"/>
      <w:bookmarkStart w:id="1338" w:name="_Toc38443869"/>
      <w:bookmarkStart w:id="1339" w:name="_Toc38438336"/>
      <w:bookmarkStart w:id="1340" w:name="_Toc38438673"/>
      <w:bookmarkStart w:id="1341" w:name="_Toc38439010"/>
      <w:bookmarkStart w:id="1342" w:name="_Toc38439347"/>
      <w:bookmarkStart w:id="1343" w:name="_Toc38439684"/>
      <w:bookmarkStart w:id="1344" w:name="_Toc38440021"/>
      <w:bookmarkStart w:id="1345" w:name="_Toc38440358"/>
      <w:bookmarkStart w:id="1346" w:name="_Toc38440890"/>
      <w:bookmarkStart w:id="1347" w:name="_Toc38441222"/>
      <w:bookmarkStart w:id="1348" w:name="_Toc38441554"/>
      <w:bookmarkStart w:id="1349" w:name="_Toc38441882"/>
      <w:bookmarkStart w:id="1350" w:name="_Toc38442214"/>
      <w:bookmarkStart w:id="1351" w:name="_Toc38442546"/>
      <w:bookmarkStart w:id="1352" w:name="_Toc38442877"/>
      <w:bookmarkStart w:id="1353" w:name="_Toc38443208"/>
      <w:bookmarkStart w:id="1354" w:name="_Toc38443539"/>
      <w:bookmarkStart w:id="1355" w:name="_Toc38443870"/>
      <w:bookmarkStart w:id="1356" w:name="_Toc38438337"/>
      <w:bookmarkStart w:id="1357" w:name="_Toc38438674"/>
      <w:bookmarkStart w:id="1358" w:name="_Toc38439011"/>
      <w:bookmarkStart w:id="1359" w:name="_Toc38439348"/>
      <w:bookmarkStart w:id="1360" w:name="_Toc38439685"/>
      <w:bookmarkStart w:id="1361" w:name="_Toc38440022"/>
      <w:bookmarkStart w:id="1362" w:name="_Toc38440359"/>
      <w:bookmarkStart w:id="1363" w:name="_Toc38440891"/>
      <w:bookmarkStart w:id="1364" w:name="_Toc38441223"/>
      <w:bookmarkStart w:id="1365" w:name="_Toc38441555"/>
      <w:bookmarkStart w:id="1366" w:name="_Toc38441883"/>
      <w:bookmarkStart w:id="1367" w:name="_Toc38442215"/>
      <w:bookmarkStart w:id="1368" w:name="_Toc38442547"/>
      <w:bookmarkStart w:id="1369" w:name="_Toc38442878"/>
      <w:bookmarkStart w:id="1370" w:name="_Toc38443209"/>
      <w:bookmarkStart w:id="1371" w:name="_Toc38443540"/>
      <w:bookmarkStart w:id="1372" w:name="_Toc38443871"/>
      <w:bookmarkStart w:id="1373" w:name="_Toc38438338"/>
      <w:bookmarkStart w:id="1374" w:name="_Toc38438675"/>
      <w:bookmarkStart w:id="1375" w:name="_Toc38439012"/>
      <w:bookmarkStart w:id="1376" w:name="_Toc38439349"/>
      <w:bookmarkStart w:id="1377" w:name="_Toc38439686"/>
      <w:bookmarkStart w:id="1378" w:name="_Toc38440023"/>
      <w:bookmarkStart w:id="1379" w:name="_Toc38440360"/>
      <w:bookmarkStart w:id="1380" w:name="_Toc38440892"/>
      <w:bookmarkStart w:id="1381" w:name="_Toc38441224"/>
      <w:bookmarkStart w:id="1382" w:name="_Toc38441556"/>
      <w:bookmarkStart w:id="1383" w:name="_Toc38441884"/>
      <w:bookmarkStart w:id="1384" w:name="_Toc38442216"/>
      <w:bookmarkStart w:id="1385" w:name="_Toc38442548"/>
      <w:bookmarkStart w:id="1386" w:name="_Toc38442879"/>
      <w:bookmarkStart w:id="1387" w:name="_Toc38443210"/>
      <w:bookmarkStart w:id="1388" w:name="_Toc38443541"/>
      <w:bookmarkStart w:id="1389" w:name="_Toc38443872"/>
      <w:bookmarkStart w:id="1390" w:name="_Toc38438339"/>
      <w:bookmarkStart w:id="1391" w:name="_Toc38438676"/>
      <w:bookmarkStart w:id="1392" w:name="_Toc38439013"/>
      <w:bookmarkStart w:id="1393" w:name="_Toc38439350"/>
      <w:bookmarkStart w:id="1394" w:name="_Toc38439687"/>
      <w:bookmarkStart w:id="1395" w:name="_Toc38440024"/>
      <w:bookmarkStart w:id="1396" w:name="_Toc38440361"/>
      <w:bookmarkStart w:id="1397" w:name="_Toc38440893"/>
      <w:bookmarkStart w:id="1398" w:name="_Toc38441225"/>
      <w:bookmarkStart w:id="1399" w:name="_Toc38441557"/>
      <w:bookmarkStart w:id="1400" w:name="_Toc38441885"/>
      <w:bookmarkStart w:id="1401" w:name="_Toc38442217"/>
      <w:bookmarkStart w:id="1402" w:name="_Toc38442549"/>
      <w:bookmarkStart w:id="1403" w:name="_Toc38442880"/>
      <w:bookmarkStart w:id="1404" w:name="_Toc38443211"/>
      <w:bookmarkStart w:id="1405" w:name="_Toc38443542"/>
      <w:bookmarkStart w:id="1406" w:name="_Toc38443873"/>
      <w:bookmarkStart w:id="1407" w:name="_Toc38438340"/>
      <w:bookmarkStart w:id="1408" w:name="_Toc38438677"/>
      <w:bookmarkStart w:id="1409" w:name="_Toc38439014"/>
      <w:bookmarkStart w:id="1410" w:name="_Toc38439351"/>
      <w:bookmarkStart w:id="1411" w:name="_Toc38439688"/>
      <w:bookmarkStart w:id="1412" w:name="_Toc38440025"/>
      <w:bookmarkStart w:id="1413" w:name="_Toc38440362"/>
      <w:bookmarkStart w:id="1414" w:name="_Toc38440894"/>
      <w:bookmarkStart w:id="1415" w:name="_Toc38441226"/>
      <w:bookmarkStart w:id="1416" w:name="_Toc38441558"/>
      <w:bookmarkStart w:id="1417" w:name="_Toc38441886"/>
      <w:bookmarkStart w:id="1418" w:name="_Toc38442218"/>
      <w:bookmarkStart w:id="1419" w:name="_Toc38442550"/>
      <w:bookmarkStart w:id="1420" w:name="_Toc38442881"/>
      <w:bookmarkStart w:id="1421" w:name="_Toc38443212"/>
      <w:bookmarkStart w:id="1422" w:name="_Toc38443543"/>
      <w:bookmarkStart w:id="1423" w:name="_Toc38443874"/>
      <w:bookmarkStart w:id="1424" w:name="_Toc38438341"/>
      <w:bookmarkStart w:id="1425" w:name="_Toc38438678"/>
      <w:bookmarkStart w:id="1426" w:name="_Toc38439015"/>
      <w:bookmarkStart w:id="1427" w:name="_Toc38439352"/>
      <w:bookmarkStart w:id="1428" w:name="_Toc38439689"/>
      <w:bookmarkStart w:id="1429" w:name="_Toc38440026"/>
      <w:bookmarkStart w:id="1430" w:name="_Toc38440363"/>
      <w:bookmarkStart w:id="1431" w:name="_Toc38440895"/>
      <w:bookmarkStart w:id="1432" w:name="_Toc38441227"/>
      <w:bookmarkStart w:id="1433" w:name="_Toc38441559"/>
      <w:bookmarkStart w:id="1434" w:name="_Toc38441887"/>
      <w:bookmarkStart w:id="1435" w:name="_Toc38442219"/>
      <w:bookmarkStart w:id="1436" w:name="_Toc38442551"/>
      <w:bookmarkStart w:id="1437" w:name="_Toc38442882"/>
      <w:bookmarkStart w:id="1438" w:name="_Toc38443213"/>
      <w:bookmarkStart w:id="1439" w:name="_Toc38443544"/>
      <w:bookmarkStart w:id="1440" w:name="_Toc38443875"/>
      <w:bookmarkStart w:id="1441" w:name="_Toc38438342"/>
      <w:bookmarkStart w:id="1442" w:name="_Toc38438679"/>
      <w:bookmarkStart w:id="1443" w:name="_Toc38439016"/>
      <w:bookmarkStart w:id="1444" w:name="_Toc38439353"/>
      <w:bookmarkStart w:id="1445" w:name="_Toc38439690"/>
      <w:bookmarkStart w:id="1446" w:name="_Toc38440027"/>
      <w:bookmarkStart w:id="1447" w:name="_Toc38440364"/>
      <w:bookmarkStart w:id="1448" w:name="_Toc38440896"/>
      <w:bookmarkStart w:id="1449" w:name="_Toc38441228"/>
      <w:bookmarkStart w:id="1450" w:name="_Toc38441560"/>
      <w:bookmarkStart w:id="1451" w:name="_Toc38441888"/>
      <w:bookmarkStart w:id="1452" w:name="_Toc38442220"/>
      <w:bookmarkStart w:id="1453" w:name="_Toc38442552"/>
      <w:bookmarkStart w:id="1454" w:name="_Toc38442883"/>
      <w:bookmarkStart w:id="1455" w:name="_Toc38443214"/>
      <w:bookmarkStart w:id="1456" w:name="_Toc38443545"/>
      <w:bookmarkStart w:id="1457" w:name="_Toc38443876"/>
      <w:bookmarkStart w:id="1458" w:name="_Toc38438343"/>
      <w:bookmarkStart w:id="1459" w:name="_Toc38438680"/>
      <w:bookmarkStart w:id="1460" w:name="_Toc38439017"/>
      <w:bookmarkStart w:id="1461" w:name="_Toc38439354"/>
      <w:bookmarkStart w:id="1462" w:name="_Toc38439691"/>
      <w:bookmarkStart w:id="1463" w:name="_Toc38440028"/>
      <w:bookmarkStart w:id="1464" w:name="_Toc38440365"/>
      <w:bookmarkStart w:id="1465" w:name="_Toc38440897"/>
      <w:bookmarkStart w:id="1466" w:name="_Toc38441229"/>
      <w:bookmarkStart w:id="1467" w:name="_Toc38441561"/>
      <w:bookmarkStart w:id="1468" w:name="_Toc38441889"/>
      <w:bookmarkStart w:id="1469" w:name="_Toc38442221"/>
      <w:bookmarkStart w:id="1470" w:name="_Toc38442553"/>
      <w:bookmarkStart w:id="1471" w:name="_Toc38442884"/>
      <w:bookmarkStart w:id="1472" w:name="_Toc38443215"/>
      <w:bookmarkStart w:id="1473" w:name="_Toc38443546"/>
      <w:bookmarkStart w:id="1474" w:name="_Toc38443877"/>
      <w:bookmarkStart w:id="1475" w:name="_Toc4435115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Pr="003307CA">
        <w:rPr>
          <w:rFonts w:asciiTheme="minorEastAsia" w:eastAsiaTheme="minorEastAsia" w:hAnsiTheme="minorEastAsia" w:hint="eastAsia"/>
        </w:rPr>
        <w:lastRenderedPageBreak/>
        <w:t>其他应披露事项</w:t>
      </w:r>
      <w:bookmarkEnd w:id="1475"/>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658"/>
      </w:tblGrid>
      <w:tr w:rsidR="006D35EC" w:rsidRPr="003307CA" w:rsidTr="006A620A">
        <w:trPr>
          <w:trHeight w:val="765"/>
        </w:trPr>
        <w:tc>
          <w:tcPr>
            <w:tcW w:w="6771" w:type="dxa"/>
            <w:tcBorders>
              <w:top w:val="single" w:sz="4" w:space="0" w:color="auto"/>
              <w:left w:val="single" w:sz="4" w:space="0" w:color="auto"/>
              <w:bottom w:val="single" w:sz="4" w:space="0" w:color="auto"/>
              <w:right w:val="single" w:sz="4" w:space="0" w:color="auto"/>
            </w:tcBorders>
            <w:vAlign w:val="center"/>
            <w:hideMark/>
          </w:tcPr>
          <w:p w:rsidR="000633A3" w:rsidRPr="003307CA" w:rsidRDefault="002465F1" w:rsidP="001B4D13">
            <w:pPr>
              <w:spacing w:line="360" w:lineRule="auto"/>
              <w:ind w:firstLineChars="200" w:firstLine="420"/>
              <w:jc w:val="center"/>
              <w:rPr>
                <w:rFonts w:asciiTheme="minorEastAsia" w:eastAsiaTheme="minorEastAsia" w:hAnsiTheme="minorEastAsia"/>
                <w:szCs w:val="21"/>
              </w:rPr>
            </w:pPr>
            <w:r w:rsidRPr="003307CA">
              <w:rPr>
                <w:rFonts w:asciiTheme="minorEastAsia" w:eastAsiaTheme="minorEastAsia" w:hAnsiTheme="minorEastAsia" w:hint="eastAsia"/>
                <w:szCs w:val="21"/>
              </w:rPr>
              <w:t>公告事项</w:t>
            </w:r>
          </w:p>
        </w:tc>
        <w:tc>
          <w:tcPr>
            <w:tcW w:w="1658" w:type="dxa"/>
            <w:tcBorders>
              <w:top w:val="single" w:sz="4" w:space="0" w:color="auto"/>
              <w:left w:val="single" w:sz="4" w:space="0" w:color="auto"/>
              <w:bottom w:val="single" w:sz="4" w:space="0" w:color="auto"/>
              <w:right w:val="single" w:sz="4" w:space="0" w:color="auto"/>
            </w:tcBorders>
            <w:vAlign w:val="center"/>
            <w:hideMark/>
          </w:tcPr>
          <w:p w:rsidR="000633A3" w:rsidRPr="003307CA" w:rsidRDefault="002465F1" w:rsidP="00D87C43">
            <w:pPr>
              <w:spacing w:line="360" w:lineRule="auto"/>
              <w:jc w:val="center"/>
              <w:rPr>
                <w:rFonts w:asciiTheme="minorEastAsia" w:eastAsiaTheme="minorEastAsia" w:hAnsiTheme="minorEastAsia"/>
                <w:szCs w:val="21"/>
              </w:rPr>
            </w:pPr>
            <w:r w:rsidRPr="003307CA">
              <w:rPr>
                <w:rFonts w:asciiTheme="minorEastAsia" w:eastAsiaTheme="minorEastAsia" w:hAnsiTheme="minorEastAsia" w:hint="eastAsia"/>
                <w:szCs w:val="21"/>
              </w:rPr>
              <w:t>披露日期</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易方达亚洲精选股票型证券投资基金2019年7月31日暂停申购、赎回、转换及定期定额投资业务的公告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2019-08-01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易方达基金管理有限公司关于旗下部分开放式基金参加海通证券费率优惠活动的公告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2019-08-12</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易方达基金管理有限公司关于旗下部分开放式基金参加销售机构申购费率优惠活动的公告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2019-08-13</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2019-08-13</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2019-08-14</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2019-08-14</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2019-08-14</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2019-08-14</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易方达基金管理有限公司关于旗下部分开放式基金参加潍坊银行费率优惠活动的公告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2019-08-26</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易方达亚洲精选股票型证券投资基金2019年9月2日暂停申购、赎回、转换及定期定额投资业务的公告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2019-08-28</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易方达基金管理有限公司旗下基金季度报告提示性公告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2019-10-24</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易方达基金管理有限公司旗下部分开放式基金参加方正证券费率优惠活动的公告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2019-11-08</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易方达亚洲精选股票型证券投资基金2019年11月28日暂停申购、赎回、转换及定期定额投资业务的公告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2019-11-25</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易方达基金管理有限公司旗下部分开放式基金增加中邮证券为销售机构的公告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2019-12-16</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易方达亚洲精选股票型证券投资基金2019年12月24日至12月26日暂停申购、赎回、转换及定期定额投资业务的公告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2019-12-19</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易方达亚洲精选股票型证券投资基金2019年12月31日暂停申购、赎回、转换及定期定额投资业务的公告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2019-12-26</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2019-12-30</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易方达基金管理有限公司关于公司股权变更的公告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2019-12-31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易方达基金管理有限公司关于易方达亚洲精选股票型证券投资基金根据《公开募集证券投资基金信息披露管理办法》修订基金合同、托管协议部分条款的公告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2019-12-31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易方达基金管理有限公司旗下部分开放式基金参加交通银行手机银行费</w:t>
            </w:r>
            <w:r w:rsidRPr="003307CA">
              <w:rPr>
                <w:rFonts w:asciiTheme="minorEastAsia" w:eastAsiaTheme="minorEastAsia" w:hAnsiTheme="minorEastAsia" w:hint="eastAsia"/>
                <w:szCs w:val="21"/>
              </w:rPr>
              <w:lastRenderedPageBreak/>
              <w:t>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2019-12-31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易方达基金管理有限公司旗下部分开放式基金参加苏州银行费率优惠活动的公告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2019-12-31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2019-12-31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2019-12-31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2019-12-31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易方达基金管理有限公司旗下部分开放式基金参加浦发银行“极客智投”申购费率优惠活动的公告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2020-01-03</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易方达基金管理有限公司旗下部分开放式基金参加中国农业银行费率优惠活动的公告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2020-01-06</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易方达基金管理有限公司旗下部分开放式基金增加微众银行为销售机构、参加微众银行费率优惠活动的公告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2020-01-15</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易方达亚洲精选股票型证券投资基金2020年1月20日暂停申购、赎回、转换及定期定额投资业务的公告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2020-01-15</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易方达基金管理有限公司旗下基金2019年第4季度报告提示性公告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2020-01-18</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易方达基金管理有限公司旗下部分开放式基金参加泉州银行费率优惠活动的公告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2020-01-23</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2020-01-30</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易方达基金管理有限公司关于公司旗下部分基金估值调整情况的公告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2020-02-04</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易方达基金管理有限公司及全资子公司投资旗下基金相关事宜的公告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2020-02-04</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易方达亚洲精选股票型证券投资基金2020年2月17日暂停申购、赎回、转换及定期定额投资业务的公告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2020-02-12</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易方达基金管理有限公司旗下部分开放式基金参加中金公司费率优惠活动的公告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2020-03-05</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易方达基金管理有限公司旗下部分开放式基金参加百度百盈费率优惠活动的公告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2020-03-10</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易方达亚洲精选股票型证券投资基金在直销中心暂停申购及转换转入业务的公告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2020-03-11</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易方达基金管理有限公司关于旗下部分开放式基金参加腾安基金费率优惠活动的公告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2020-03-17</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2020-03-23</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易方达亚洲精选股票型证券投资基金2020年4月10日、4月13日暂停申购、赎回、转换及定期定额投资业务的公告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2020-04-07</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易方达基金管理有限公司关于提醒投资者及时提供或更新身份信息资料的公告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2020-04-10</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易方达基金管理有限公司旗下部分开放式基金参加诺亚正行费率优惠活动的公告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2020-04-17</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易方达基金管理有限公司旗下部分开放式基金参加中国国际期货费率优</w:t>
            </w:r>
            <w:r w:rsidRPr="003307CA">
              <w:rPr>
                <w:rFonts w:asciiTheme="minorEastAsia" w:eastAsiaTheme="minorEastAsia" w:hAnsiTheme="minorEastAsia" w:hint="eastAsia"/>
                <w:szCs w:val="21"/>
              </w:rPr>
              <w:lastRenderedPageBreak/>
              <w:t>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lastRenderedPageBreak/>
              <w:t>2020-04-17</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易方达基金管理有限公司旗下部分开放式基金参加国联证券费率优惠活动的公告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2020-04-22</w:t>
            </w:r>
          </w:p>
        </w:tc>
      </w:tr>
      <w:tr w:rsidR="002465F1" w:rsidRPr="003307CA"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3307CA" w:rsidRDefault="002465F1" w:rsidP="002465F1">
            <w:pPr>
              <w:jc w:val="left"/>
              <w:rPr>
                <w:rFonts w:asciiTheme="minorEastAsia" w:eastAsiaTheme="minorEastAsia" w:hAnsiTheme="minorEastAsia"/>
                <w:szCs w:val="21"/>
              </w:rPr>
            </w:pPr>
            <w:r w:rsidRPr="003307CA">
              <w:rPr>
                <w:rFonts w:asciiTheme="minorEastAsia" w:eastAsiaTheme="minorEastAsia" w:hAnsiTheme="minorEastAsia" w:hint="eastAsia"/>
                <w:szCs w:val="21"/>
              </w:rPr>
              <w:t>易方达亚洲精选股票型证券投资基金2020年4月30日暂停申购、赎回、转换及定期定额投资业务的公告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3307CA" w:rsidRDefault="002465F1" w:rsidP="00721084">
            <w:pPr>
              <w:widowControl/>
              <w:jc w:val="center"/>
              <w:rPr>
                <w:rFonts w:asciiTheme="minorEastAsia" w:eastAsiaTheme="minorEastAsia" w:hAnsiTheme="minorEastAsia"/>
                <w:szCs w:val="21"/>
              </w:rPr>
            </w:pPr>
            <w:r w:rsidRPr="003307CA">
              <w:rPr>
                <w:rFonts w:asciiTheme="minorEastAsia" w:eastAsiaTheme="minorEastAsia" w:hAnsiTheme="minorEastAsia" w:hint="eastAsia"/>
                <w:szCs w:val="21"/>
              </w:rPr>
              <w:t>2020-04-27</w:t>
            </w:r>
          </w:p>
        </w:tc>
      </w:tr>
    </w:tbl>
    <w:p w:rsidR="00DE27D2" w:rsidRPr="003307CA" w:rsidRDefault="00AE1964"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注：以上公告事项披露在指定媒介及基金管理人网站上。</w:t>
      </w:r>
    </w:p>
    <w:p w:rsidR="00BD4C5B" w:rsidRPr="003307CA" w:rsidRDefault="00BD4C5B" w:rsidP="00CE3F81">
      <w:pPr>
        <w:snapToGrid w:val="0"/>
        <w:spacing w:line="360" w:lineRule="auto"/>
        <w:ind w:firstLineChars="200" w:firstLine="420"/>
        <w:rPr>
          <w:rFonts w:asciiTheme="minorEastAsia" w:eastAsiaTheme="minorEastAsia" w:hAnsiTheme="minorEastAsia"/>
          <w:szCs w:val="21"/>
        </w:rPr>
        <w:sectPr w:rsidR="00BD4C5B" w:rsidRPr="003307CA" w:rsidSect="00684E94">
          <w:pgSz w:w="11906" w:h="16838" w:code="9"/>
          <w:pgMar w:top="1440" w:right="1800" w:bottom="1440" w:left="1800" w:header="851" w:footer="992" w:gutter="0"/>
          <w:cols w:space="425"/>
          <w:docGrid w:type="lines" w:linePitch="312"/>
        </w:sectPr>
      </w:pPr>
    </w:p>
    <w:p w:rsidR="00FD1D54" w:rsidRPr="003307CA" w:rsidRDefault="00FD1D5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1476" w:name="_Toc38438350"/>
      <w:bookmarkStart w:id="1477" w:name="_Toc38438687"/>
      <w:bookmarkStart w:id="1478" w:name="_Toc38439024"/>
      <w:bookmarkStart w:id="1479" w:name="_Toc38439361"/>
      <w:bookmarkStart w:id="1480" w:name="_Toc38439698"/>
      <w:bookmarkStart w:id="1481" w:name="_Toc38440035"/>
      <w:bookmarkStart w:id="1482" w:name="_Toc38440372"/>
      <w:bookmarkStart w:id="1483" w:name="_Toc38440904"/>
      <w:bookmarkStart w:id="1484" w:name="_Toc38441236"/>
      <w:bookmarkStart w:id="1485" w:name="_Toc38441568"/>
      <w:bookmarkStart w:id="1486" w:name="_Toc38441896"/>
      <w:bookmarkStart w:id="1487" w:name="_Toc38442228"/>
      <w:bookmarkStart w:id="1488" w:name="_Toc38442560"/>
      <w:bookmarkStart w:id="1489" w:name="_Toc38442891"/>
      <w:bookmarkStart w:id="1490" w:name="_Toc38443222"/>
      <w:bookmarkStart w:id="1491" w:name="_Toc38443553"/>
      <w:bookmarkStart w:id="1492" w:name="_Toc38443883"/>
      <w:bookmarkStart w:id="1493" w:name="_Toc38438351"/>
      <w:bookmarkStart w:id="1494" w:name="_Toc38438688"/>
      <w:bookmarkStart w:id="1495" w:name="_Toc38439025"/>
      <w:bookmarkStart w:id="1496" w:name="_Toc38439362"/>
      <w:bookmarkStart w:id="1497" w:name="_Toc38439699"/>
      <w:bookmarkStart w:id="1498" w:name="_Toc38440036"/>
      <w:bookmarkStart w:id="1499" w:name="_Toc38440373"/>
      <w:bookmarkStart w:id="1500" w:name="_Toc38440905"/>
      <w:bookmarkStart w:id="1501" w:name="_Toc38441237"/>
      <w:bookmarkStart w:id="1502" w:name="_Toc38441569"/>
      <w:bookmarkStart w:id="1503" w:name="_Toc38441897"/>
      <w:bookmarkStart w:id="1504" w:name="_Toc38442229"/>
      <w:bookmarkStart w:id="1505" w:name="_Toc38442561"/>
      <w:bookmarkStart w:id="1506" w:name="_Toc38442892"/>
      <w:bookmarkStart w:id="1507" w:name="_Toc38443223"/>
      <w:bookmarkStart w:id="1508" w:name="_Toc38443554"/>
      <w:bookmarkStart w:id="1509" w:name="_Toc38443884"/>
      <w:bookmarkStart w:id="1510" w:name="_Toc38438352"/>
      <w:bookmarkStart w:id="1511" w:name="_Toc38438689"/>
      <w:bookmarkStart w:id="1512" w:name="_Toc38439026"/>
      <w:bookmarkStart w:id="1513" w:name="_Toc38439363"/>
      <w:bookmarkStart w:id="1514" w:name="_Toc38439700"/>
      <w:bookmarkStart w:id="1515" w:name="_Toc38440037"/>
      <w:bookmarkStart w:id="1516" w:name="_Toc38440374"/>
      <w:bookmarkStart w:id="1517" w:name="_Toc38440906"/>
      <w:bookmarkStart w:id="1518" w:name="_Toc38441238"/>
      <w:bookmarkStart w:id="1519" w:name="_Toc38441570"/>
      <w:bookmarkStart w:id="1520" w:name="_Toc38441898"/>
      <w:bookmarkStart w:id="1521" w:name="_Toc38442230"/>
      <w:bookmarkStart w:id="1522" w:name="_Toc38442562"/>
      <w:bookmarkStart w:id="1523" w:name="_Toc38442893"/>
      <w:bookmarkStart w:id="1524" w:name="_Toc38443224"/>
      <w:bookmarkStart w:id="1525" w:name="_Toc38443555"/>
      <w:bookmarkStart w:id="1526" w:name="_Toc38443885"/>
      <w:bookmarkStart w:id="1527" w:name="_Toc38438353"/>
      <w:bookmarkStart w:id="1528" w:name="_Toc38438690"/>
      <w:bookmarkStart w:id="1529" w:name="_Toc38439027"/>
      <w:bookmarkStart w:id="1530" w:name="_Toc38439364"/>
      <w:bookmarkStart w:id="1531" w:name="_Toc38439701"/>
      <w:bookmarkStart w:id="1532" w:name="_Toc38440038"/>
      <w:bookmarkStart w:id="1533" w:name="_Toc38440375"/>
      <w:bookmarkStart w:id="1534" w:name="_Toc38440907"/>
      <w:bookmarkStart w:id="1535" w:name="_Toc38441239"/>
      <w:bookmarkStart w:id="1536" w:name="_Toc38441571"/>
      <w:bookmarkStart w:id="1537" w:name="_Toc38441899"/>
      <w:bookmarkStart w:id="1538" w:name="_Toc38442231"/>
      <w:bookmarkStart w:id="1539" w:name="_Toc38442563"/>
      <w:bookmarkStart w:id="1540" w:name="_Toc38442894"/>
      <w:bookmarkStart w:id="1541" w:name="_Toc38443225"/>
      <w:bookmarkStart w:id="1542" w:name="_Toc38443556"/>
      <w:bookmarkStart w:id="1543" w:name="_Toc38443886"/>
      <w:bookmarkStart w:id="1544" w:name="_Toc38438354"/>
      <w:bookmarkStart w:id="1545" w:name="_Toc38438691"/>
      <w:bookmarkStart w:id="1546" w:name="_Toc38439028"/>
      <w:bookmarkStart w:id="1547" w:name="_Toc38439365"/>
      <w:bookmarkStart w:id="1548" w:name="_Toc38439702"/>
      <w:bookmarkStart w:id="1549" w:name="_Toc38440039"/>
      <w:bookmarkStart w:id="1550" w:name="_Toc38440376"/>
      <w:bookmarkStart w:id="1551" w:name="_Toc38440908"/>
      <w:bookmarkStart w:id="1552" w:name="_Toc38441240"/>
      <w:bookmarkStart w:id="1553" w:name="_Toc38441572"/>
      <w:bookmarkStart w:id="1554" w:name="_Toc38441900"/>
      <w:bookmarkStart w:id="1555" w:name="_Toc38442232"/>
      <w:bookmarkStart w:id="1556" w:name="_Toc38442564"/>
      <w:bookmarkStart w:id="1557" w:name="_Toc38442895"/>
      <w:bookmarkStart w:id="1558" w:name="_Toc38443226"/>
      <w:bookmarkStart w:id="1559" w:name="_Toc38443557"/>
      <w:bookmarkStart w:id="1560" w:name="_Toc38443887"/>
      <w:bookmarkStart w:id="1561" w:name="_Toc38438355"/>
      <w:bookmarkStart w:id="1562" w:name="_Toc38438692"/>
      <w:bookmarkStart w:id="1563" w:name="_Toc38439029"/>
      <w:bookmarkStart w:id="1564" w:name="_Toc38439366"/>
      <w:bookmarkStart w:id="1565" w:name="_Toc38439703"/>
      <w:bookmarkStart w:id="1566" w:name="_Toc38440040"/>
      <w:bookmarkStart w:id="1567" w:name="_Toc38440377"/>
      <w:bookmarkStart w:id="1568" w:name="_Toc38440909"/>
      <w:bookmarkStart w:id="1569" w:name="_Toc38441241"/>
      <w:bookmarkStart w:id="1570" w:name="_Toc38441573"/>
      <w:bookmarkStart w:id="1571" w:name="_Toc38441901"/>
      <w:bookmarkStart w:id="1572" w:name="_Toc38442233"/>
      <w:bookmarkStart w:id="1573" w:name="_Toc38442565"/>
      <w:bookmarkStart w:id="1574" w:name="_Toc38442896"/>
      <w:bookmarkStart w:id="1575" w:name="_Toc38443227"/>
      <w:bookmarkStart w:id="1576" w:name="_Toc38443558"/>
      <w:bookmarkStart w:id="1577" w:name="_Toc38443888"/>
      <w:bookmarkStart w:id="1578" w:name="_Toc38438356"/>
      <w:bookmarkStart w:id="1579" w:name="_Toc38438693"/>
      <w:bookmarkStart w:id="1580" w:name="_Toc38439030"/>
      <w:bookmarkStart w:id="1581" w:name="_Toc38439367"/>
      <w:bookmarkStart w:id="1582" w:name="_Toc38439704"/>
      <w:bookmarkStart w:id="1583" w:name="_Toc38440041"/>
      <w:bookmarkStart w:id="1584" w:name="_Toc38440378"/>
      <w:bookmarkStart w:id="1585" w:name="_Toc38440910"/>
      <w:bookmarkStart w:id="1586" w:name="_Toc38441242"/>
      <w:bookmarkStart w:id="1587" w:name="_Toc38441574"/>
      <w:bookmarkStart w:id="1588" w:name="_Toc38441902"/>
      <w:bookmarkStart w:id="1589" w:name="_Toc38442234"/>
      <w:bookmarkStart w:id="1590" w:name="_Toc38442566"/>
      <w:bookmarkStart w:id="1591" w:name="_Toc38442897"/>
      <w:bookmarkStart w:id="1592" w:name="_Toc38443228"/>
      <w:bookmarkStart w:id="1593" w:name="_Toc38443559"/>
      <w:bookmarkStart w:id="1594" w:name="_Toc38443889"/>
      <w:bookmarkStart w:id="1595" w:name="_Toc38438357"/>
      <w:bookmarkStart w:id="1596" w:name="_Toc38438694"/>
      <w:bookmarkStart w:id="1597" w:name="_Toc38439031"/>
      <w:bookmarkStart w:id="1598" w:name="_Toc38439368"/>
      <w:bookmarkStart w:id="1599" w:name="_Toc38439705"/>
      <w:bookmarkStart w:id="1600" w:name="_Toc38440042"/>
      <w:bookmarkStart w:id="1601" w:name="_Toc38440379"/>
      <w:bookmarkStart w:id="1602" w:name="_Toc38440911"/>
      <w:bookmarkStart w:id="1603" w:name="_Toc38441243"/>
      <w:bookmarkStart w:id="1604" w:name="_Toc38441575"/>
      <w:bookmarkStart w:id="1605" w:name="_Toc38441903"/>
      <w:bookmarkStart w:id="1606" w:name="_Toc38442235"/>
      <w:bookmarkStart w:id="1607" w:name="_Toc38442567"/>
      <w:bookmarkStart w:id="1608" w:name="_Toc38442898"/>
      <w:bookmarkStart w:id="1609" w:name="_Toc38443229"/>
      <w:bookmarkStart w:id="1610" w:name="_Toc38443560"/>
      <w:bookmarkStart w:id="1611" w:name="_Toc38443890"/>
      <w:bookmarkStart w:id="1612" w:name="_Toc38438358"/>
      <w:bookmarkStart w:id="1613" w:name="_Toc38438695"/>
      <w:bookmarkStart w:id="1614" w:name="_Toc38439032"/>
      <w:bookmarkStart w:id="1615" w:name="_Toc38439369"/>
      <w:bookmarkStart w:id="1616" w:name="_Toc38439706"/>
      <w:bookmarkStart w:id="1617" w:name="_Toc38440043"/>
      <w:bookmarkStart w:id="1618" w:name="_Toc38440380"/>
      <w:bookmarkStart w:id="1619" w:name="_Toc38440912"/>
      <w:bookmarkStart w:id="1620" w:name="_Toc38441244"/>
      <w:bookmarkStart w:id="1621" w:name="_Toc38441576"/>
      <w:bookmarkStart w:id="1622" w:name="_Toc38441904"/>
      <w:bookmarkStart w:id="1623" w:name="_Toc38442236"/>
      <w:bookmarkStart w:id="1624" w:name="_Toc38442568"/>
      <w:bookmarkStart w:id="1625" w:name="_Toc38442899"/>
      <w:bookmarkStart w:id="1626" w:name="_Toc38443230"/>
      <w:bookmarkStart w:id="1627" w:name="_Toc38443561"/>
      <w:bookmarkStart w:id="1628" w:name="_Toc38443891"/>
      <w:bookmarkStart w:id="1629" w:name="_Toc38438359"/>
      <w:bookmarkStart w:id="1630" w:name="_Toc38438696"/>
      <w:bookmarkStart w:id="1631" w:name="_Toc38439033"/>
      <w:bookmarkStart w:id="1632" w:name="_Toc38439370"/>
      <w:bookmarkStart w:id="1633" w:name="_Toc38439707"/>
      <w:bookmarkStart w:id="1634" w:name="_Toc38440044"/>
      <w:bookmarkStart w:id="1635" w:name="_Toc38440381"/>
      <w:bookmarkStart w:id="1636" w:name="_Toc38440913"/>
      <w:bookmarkStart w:id="1637" w:name="_Toc38441245"/>
      <w:bookmarkStart w:id="1638" w:name="_Toc38441577"/>
      <w:bookmarkStart w:id="1639" w:name="_Toc38441905"/>
      <w:bookmarkStart w:id="1640" w:name="_Toc38442237"/>
      <w:bookmarkStart w:id="1641" w:name="_Toc38442569"/>
      <w:bookmarkStart w:id="1642" w:name="_Toc38442900"/>
      <w:bookmarkStart w:id="1643" w:name="_Toc38443231"/>
      <w:bookmarkStart w:id="1644" w:name="_Toc38443562"/>
      <w:bookmarkStart w:id="1645" w:name="_Toc38443892"/>
      <w:bookmarkStart w:id="1646" w:name="_Toc38438360"/>
      <w:bookmarkStart w:id="1647" w:name="_Toc38438697"/>
      <w:bookmarkStart w:id="1648" w:name="_Toc38439034"/>
      <w:bookmarkStart w:id="1649" w:name="_Toc38439371"/>
      <w:bookmarkStart w:id="1650" w:name="_Toc38439708"/>
      <w:bookmarkStart w:id="1651" w:name="_Toc38440045"/>
      <w:bookmarkStart w:id="1652" w:name="_Toc38440382"/>
      <w:bookmarkStart w:id="1653" w:name="_Toc38440914"/>
      <w:bookmarkStart w:id="1654" w:name="_Toc38441246"/>
      <w:bookmarkStart w:id="1655" w:name="_Toc38441578"/>
      <w:bookmarkStart w:id="1656" w:name="_Toc38441906"/>
      <w:bookmarkStart w:id="1657" w:name="_Toc38442238"/>
      <w:bookmarkStart w:id="1658" w:name="_Toc38442570"/>
      <w:bookmarkStart w:id="1659" w:name="_Toc38442901"/>
      <w:bookmarkStart w:id="1660" w:name="_Toc38443232"/>
      <w:bookmarkStart w:id="1661" w:name="_Toc38443563"/>
      <w:bookmarkStart w:id="1662" w:name="_Toc38443893"/>
      <w:bookmarkStart w:id="1663" w:name="_Toc38438361"/>
      <w:bookmarkStart w:id="1664" w:name="_Toc38438698"/>
      <w:bookmarkStart w:id="1665" w:name="_Toc38439035"/>
      <w:bookmarkStart w:id="1666" w:name="_Toc38439372"/>
      <w:bookmarkStart w:id="1667" w:name="_Toc38439709"/>
      <w:bookmarkStart w:id="1668" w:name="_Toc38440046"/>
      <w:bookmarkStart w:id="1669" w:name="_Toc38440383"/>
      <w:bookmarkStart w:id="1670" w:name="_Toc38440915"/>
      <w:bookmarkStart w:id="1671" w:name="_Toc38441247"/>
      <w:bookmarkStart w:id="1672" w:name="_Toc38441579"/>
      <w:bookmarkStart w:id="1673" w:name="_Toc38441907"/>
      <w:bookmarkStart w:id="1674" w:name="_Toc38442239"/>
      <w:bookmarkStart w:id="1675" w:name="_Toc38442571"/>
      <w:bookmarkStart w:id="1676" w:name="_Toc38442902"/>
      <w:bookmarkStart w:id="1677" w:name="_Toc38443233"/>
      <w:bookmarkStart w:id="1678" w:name="_Toc38443564"/>
      <w:bookmarkStart w:id="1679" w:name="_Toc38443894"/>
      <w:bookmarkStart w:id="1680" w:name="_Toc38438362"/>
      <w:bookmarkStart w:id="1681" w:name="_Toc38438699"/>
      <w:bookmarkStart w:id="1682" w:name="_Toc38439036"/>
      <w:bookmarkStart w:id="1683" w:name="_Toc38439373"/>
      <w:bookmarkStart w:id="1684" w:name="_Toc38439710"/>
      <w:bookmarkStart w:id="1685" w:name="_Toc38440047"/>
      <w:bookmarkStart w:id="1686" w:name="_Toc38440384"/>
      <w:bookmarkStart w:id="1687" w:name="_Toc38440916"/>
      <w:bookmarkStart w:id="1688" w:name="_Toc38441248"/>
      <w:bookmarkStart w:id="1689" w:name="_Toc38441580"/>
      <w:bookmarkStart w:id="1690" w:name="_Toc38441908"/>
      <w:bookmarkStart w:id="1691" w:name="_Toc38442240"/>
      <w:bookmarkStart w:id="1692" w:name="_Toc38442572"/>
      <w:bookmarkStart w:id="1693" w:name="_Toc38442903"/>
      <w:bookmarkStart w:id="1694" w:name="_Toc38443234"/>
      <w:bookmarkStart w:id="1695" w:name="_Toc38443565"/>
      <w:bookmarkStart w:id="1696" w:name="_Toc38443895"/>
      <w:bookmarkStart w:id="1697" w:name="_Toc38438363"/>
      <w:bookmarkStart w:id="1698" w:name="_Toc38438700"/>
      <w:bookmarkStart w:id="1699" w:name="_Toc38439037"/>
      <w:bookmarkStart w:id="1700" w:name="_Toc38439374"/>
      <w:bookmarkStart w:id="1701" w:name="_Toc38439711"/>
      <w:bookmarkStart w:id="1702" w:name="_Toc38440048"/>
      <w:bookmarkStart w:id="1703" w:name="_Toc38440385"/>
      <w:bookmarkStart w:id="1704" w:name="_Toc38440917"/>
      <w:bookmarkStart w:id="1705" w:name="_Toc38441249"/>
      <w:bookmarkStart w:id="1706" w:name="_Toc38441581"/>
      <w:bookmarkStart w:id="1707" w:name="_Toc38441909"/>
      <w:bookmarkStart w:id="1708" w:name="_Toc38442241"/>
      <w:bookmarkStart w:id="1709" w:name="_Toc38442573"/>
      <w:bookmarkStart w:id="1710" w:name="_Toc38442904"/>
      <w:bookmarkStart w:id="1711" w:name="_Toc38443235"/>
      <w:bookmarkStart w:id="1712" w:name="_Toc38443566"/>
      <w:bookmarkStart w:id="1713" w:name="_Toc38443896"/>
      <w:bookmarkStart w:id="1714" w:name="_Toc38438364"/>
      <w:bookmarkStart w:id="1715" w:name="_Toc38438701"/>
      <w:bookmarkStart w:id="1716" w:name="_Toc38439038"/>
      <w:bookmarkStart w:id="1717" w:name="_Toc38439375"/>
      <w:bookmarkStart w:id="1718" w:name="_Toc38439712"/>
      <w:bookmarkStart w:id="1719" w:name="_Toc38440049"/>
      <w:bookmarkStart w:id="1720" w:name="_Toc38440386"/>
      <w:bookmarkStart w:id="1721" w:name="_Toc38440918"/>
      <w:bookmarkStart w:id="1722" w:name="_Toc38441250"/>
      <w:bookmarkStart w:id="1723" w:name="_Toc38441582"/>
      <w:bookmarkStart w:id="1724" w:name="_Toc38441910"/>
      <w:bookmarkStart w:id="1725" w:name="_Toc38442242"/>
      <w:bookmarkStart w:id="1726" w:name="_Toc38442574"/>
      <w:bookmarkStart w:id="1727" w:name="_Toc38442905"/>
      <w:bookmarkStart w:id="1728" w:name="_Toc38443236"/>
      <w:bookmarkStart w:id="1729" w:name="_Toc38443567"/>
      <w:bookmarkStart w:id="1730" w:name="_Toc38443897"/>
      <w:bookmarkStart w:id="1731" w:name="_Toc38438365"/>
      <w:bookmarkStart w:id="1732" w:name="_Toc38438702"/>
      <w:bookmarkStart w:id="1733" w:name="_Toc38439039"/>
      <w:bookmarkStart w:id="1734" w:name="_Toc38439376"/>
      <w:bookmarkStart w:id="1735" w:name="_Toc38439713"/>
      <w:bookmarkStart w:id="1736" w:name="_Toc38440050"/>
      <w:bookmarkStart w:id="1737" w:name="_Toc38440387"/>
      <w:bookmarkStart w:id="1738" w:name="_Toc38440919"/>
      <w:bookmarkStart w:id="1739" w:name="_Toc38441251"/>
      <w:bookmarkStart w:id="1740" w:name="_Toc38441583"/>
      <w:bookmarkStart w:id="1741" w:name="_Toc38441911"/>
      <w:bookmarkStart w:id="1742" w:name="_Toc38442243"/>
      <w:bookmarkStart w:id="1743" w:name="_Toc38442575"/>
      <w:bookmarkStart w:id="1744" w:name="_Toc38442906"/>
      <w:bookmarkStart w:id="1745" w:name="_Toc38443237"/>
      <w:bookmarkStart w:id="1746" w:name="_Toc38443568"/>
      <w:bookmarkStart w:id="1747" w:name="_Toc38443898"/>
      <w:bookmarkStart w:id="1748" w:name="_Toc38438366"/>
      <w:bookmarkStart w:id="1749" w:name="_Toc38438703"/>
      <w:bookmarkStart w:id="1750" w:name="_Toc38439040"/>
      <w:bookmarkStart w:id="1751" w:name="_Toc38439377"/>
      <w:bookmarkStart w:id="1752" w:name="_Toc38439714"/>
      <w:bookmarkStart w:id="1753" w:name="_Toc38440051"/>
      <w:bookmarkStart w:id="1754" w:name="_Toc38440388"/>
      <w:bookmarkStart w:id="1755" w:name="_Toc38440920"/>
      <w:bookmarkStart w:id="1756" w:name="_Toc38441252"/>
      <w:bookmarkStart w:id="1757" w:name="_Toc38441584"/>
      <w:bookmarkStart w:id="1758" w:name="_Toc38441912"/>
      <w:bookmarkStart w:id="1759" w:name="_Toc38442244"/>
      <w:bookmarkStart w:id="1760" w:name="_Toc38442576"/>
      <w:bookmarkStart w:id="1761" w:name="_Toc38442907"/>
      <w:bookmarkStart w:id="1762" w:name="_Toc38443238"/>
      <w:bookmarkStart w:id="1763" w:name="_Toc38443569"/>
      <w:bookmarkStart w:id="1764" w:name="_Toc38443899"/>
      <w:bookmarkStart w:id="1765" w:name="_Toc38438367"/>
      <w:bookmarkStart w:id="1766" w:name="_Toc38438704"/>
      <w:bookmarkStart w:id="1767" w:name="_Toc38439041"/>
      <w:bookmarkStart w:id="1768" w:name="_Toc38439378"/>
      <w:bookmarkStart w:id="1769" w:name="_Toc38439715"/>
      <w:bookmarkStart w:id="1770" w:name="_Toc38440052"/>
      <w:bookmarkStart w:id="1771" w:name="_Toc38440389"/>
      <w:bookmarkStart w:id="1772" w:name="_Toc38440921"/>
      <w:bookmarkStart w:id="1773" w:name="_Toc38441253"/>
      <w:bookmarkStart w:id="1774" w:name="_Toc38441585"/>
      <w:bookmarkStart w:id="1775" w:name="_Toc38441913"/>
      <w:bookmarkStart w:id="1776" w:name="_Toc38442245"/>
      <w:bookmarkStart w:id="1777" w:name="_Toc38442577"/>
      <w:bookmarkStart w:id="1778" w:name="_Toc38442908"/>
      <w:bookmarkStart w:id="1779" w:name="_Toc38443239"/>
      <w:bookmarkStart w:id="1780" w:name="_Toc38443570"/>
      <w:bookmarkStart w:id="1781" w:name="_Toc38443900"/>
      <w:bookmarkStart w:id="1782" w:name="_Toc38438368"/>
      <w:bookmarkStart w:id="1783" w:name="_Toc38438705"/>
      <w:bookmarkStart w:id="1784" w:name="_Toc38439042"/>
      <w:bookmarkStart w:id="1785" w:name="_Toc38439379"/>
      <w:bookmarkStart w:id="1786" w:name="_Toc38439716"/>
      <w:bookmarkStart w:id="1787" w:name="_Toc38440053"/>
      <w:bookmarkStart w:id="1788" w:name="_Toc38440390"/>
      <w:bookmarkStart w:id="1789" w:name="_Toc38440922"/>
      <w:bookmarkStart w:id="1790" w:name="_Toc38441254"/>
      <w:bookmarkStart w:id="1791" w:name="_Toc38441586"/>
      <w:bookmarkStart w:id="1792" w:name="_Toc38441914"/>
      <w:bookmarkStart w:id="1793" w:name="_Toc38442246"/>
      <w:bookmarkStart w:id="1794" w:name="_Toc38442578"/>
      <w:bookmarkStart w:id="1795" w:name="_Toc38442909"/>
      <w:bookmarkStart w:id="1796" w:name="_Toc38443240"/>
      <w:bookmarkStart w:id="1797" w:name="_Toc38443571"/>
      <w:bookmarkStart w:id="1798" w:name="_Toc38443901"/>
      <w:bookmarkStart w:id="1799" w:name="_Toc38438369"/>
      <w:bookmarkStart w:id="1800" w:name="_Toc38438706"/>
      <w:bookmarkStart w:id="1801" w:name="_Toc38439043"/>
      <w:bookmarkStart w:id="1802" w:name="_Toc38439380"/>
      <w:bookmarkStart w:id="1803" w:name="_Toc38439717"/>
      <w:bookmarkStart w:id="1804" w:name="_Toc38440054"/>
      <w:bookmarkStart w:id="1805" w:name="_Toc38440391"/>
      <w:bookmarkStart w:id="1806" w:name="_Toc38440923"/>
      <w:bookmarkStart w:id="1807" w:name="_Toc38441255"/>
      <w:bookmarkStart w:id="1808" w:name="_Toc38441587"/>
      <w:bookmarkStart w:id="1809" w:name="_Toc38441915"/>
      <w:bookmarkStart w:id="1810" w:name="_Toc38442247"/>
      <w:bookmarkStart w:id="1811" w:name="_Toc38442579"/>
      <w:bookmarkStart w:id="1812" w:name="_Toc38442910"/>
      <w:bookmarkStart w:id="1813" w:name="_Toc38443241"/>
      <w:bookmarkStart w:id="1814" w:name="_Toc38443572"/>
      <w:bookmarkStart w:id="1815" w:name="_Toc38443902"/>
      <w:bookmarkStart w:id="1816" w:name="_Toc38438371"/>
      <w:bookmarkStart w:id="1817" w:name="_Toc38438708"/>
      <w:bookmarkStart w:id="1818" w:name="_Toc38439045"/>
      <w:bookmarkStart w:id="1819" w:name="_Toc38439382"/>
      <w:bookmarkStart w:id="1820" w:name="_Toc38439719"/>
      <w:bookmarkStart w:id="1821" w:name="_Toc38440056"/>
      <w:bookmarkStart w:id="1822" w:name="_Toc38440393"/>
      <w:bookmarkStart w:id="1823" w:name="_Toc38440925"/>
      <w:bookmarkStart w:id="1824" w:name="_Toc38441257"/>
      <w:bookmarkStart w:id="1825" w:name="_Toc38441589"/>
      <w:bookmarkStart w:id="1826" w:name="_Toc38441917"/>
      <w:bookmarkStart w:id="1827" w:name="_Toc38442249"/>
      <w:bookmarkStart w:id="1828" w:name="_Toc38442581"/>
      <w:bookmarkStart w:id="1829" w:name="_Toc38442912"/>
      <w:bookmarkStart w:id="1830" w:name="_Toc38443243"/>
      <w:bookmarkStart w:id="1831" w:name="_Toc38443574"/>
      <w:bookmarkStart w:id="1832" w:name="_Toc38443904"/>
      <w:bookmarkStart w:id="1833" w:name="_Toc38438372"/>
      <w:bookmarkStart w:id="1834" w:name="_Toc38438709"/>
      <w:bookmarkStart w:id="1835" w:name="_Toc38439046"/>
      <w:bookmarkStart w:id="1836" w:name="_Toc38439383"/>
      <w:bookmarkStart w:id="1837" w:name="_Toc38439720"/>
      <w:bookmarkStart w:id="1838" w:name="_Toc38440057"/>
      <w:bookmarkStart w:id="1839" w:name="_Toc38440394"/>
      <w:bookmarkStart w:id="1840" w:name="_Toc38440926"/>
      <w:bookmarkStart w:id="1841" w:name="_Toc38441258"/>
      <w:bookmarkStart w:id="1842" w:name="_Toc38441590"/>
      <w:bookmarkStart w:id="1843" w:name="_Toc38441918"/>
      <w:bookmarkStart w:id="1844" w:name="_Toc38442250"/>
      <w:bookmarkStart w:id="1845" w:name="_Toc38442582"/>
      <w:bookmarkStart w:id="1846" w:name="_Toc38442913"/>
      <w:bookmarkStart w:id="1847" w:name="_Toc38443244"/>
      <w:bookmarkStart w:id="1848" w:name="_Toc38443575"/>
      <w:bookmarkStart w:id="1849" w:name="_Toc38443905"/>
      <w:bookmarkStart w:id="1850" w:name="_Toc38438373"/>
      <w:bookmarkStart w:id="1851" w:name="_Toc38438710"/>
      <w:bookmarkStart w:id="1852" w:name="_Toc38439047"/>
      <w:bookmarkStart w:id="1853" w:name="_Toc38439384"/>
      <w:bookmarkStart w:id="1854" w:name="_Toc38439721"/>
      <w:bookmarkStart w:id="1855" w:name="_Toc38440058"/>
      <w:bookmarkStart w:id="1856" w:name="_Toc38440395"/>
      <w:bookmarkStart w:id="1857" w:name="_Toc38440927"/>
      <w:bookmarkStart w:id="1858" w:name="_Toc38441259"/>
      <w:bookmarkStart w:id="1859" w:name="_Toc38441591"/>
      <w:bookmarkStart w:id="1860" w:name="_Toc38441919"/>
      <w:bookmarkStart w:id="1861" w:name="_Toc38442251"/>
      <w:bookmarkStart w:id="1862" w:name="_Toc38442583"/>
      <w:bookmarkStart w:id="1863" w:name="_Toc38442914"/>
      <w:bookmarkStart w:id="1864" w:name="_Toc38443245"/>
      <w:bookmarkStart w:id="1865" w:name="_Toc38443576"/>
      <w:bookmarkStart w:id="1866" w:name="_Toc38443906"/>
      <w:bookmarkStart w:id="1867" w:name="_Toc38438374"/>
      <w:bookmarkStart w:id="1868" w:name="_Toc38438711"/>
      <w:bookmarkStart w:id="1869" w:name="_Toc38439048"/>
      <w:bookmarkStart w:id="1870" w:name="_Toc38439385"/>
      <w:bookmarkStart w:id="1871" w:name="_Toc38439722"/>
      <w:bookmarkStart w:id="1872" w:name="_Toc38440059"/>
      <w:bookmarkStart w:id="1873" w:name="_Toc38440396"/>
      <w:bookmarkStart w:id="1874" w:name="_Toc38440928"/>
      <w:bookmarkStart w:id="1875" w:name="_Toc38441260"/>
      <w:bookmarkStart w:id="1876" w:name="_Toc38441592"/>
      <w:bookmarkStart w:id="1877" w:name="_Toc38441920"/>
      <w:bookmarkStart w:id="1878" w:name="_Toc38442252"/>
      <w:bookmarkStart w:id="1879" w:name="_Toc38442584"/>
      <w:bookmarkStart w:id="1880" w:name="_Toc38442915"/>
      <w:bookmarkStart w:id="1881" w:name="_Toc38443246"/>
      <w:bookmarkStart w:id="1882" w:name="_Toc38443577"/>
      <w:bookmarkStart w:id="1883" w:name="_Toc38443907"/>
      <w:bookmarkStart w:id="1884" w:name="_Toc38438375"/>
      <w:bookmarkStart w:id="1885" w:name="_Toc38438712"/>
      <w:bookmarkStart w:id="1886" w:name="_Toc38439049"/>
      <w:bookmarkStart w:id="1887" w:name="_Toc38439386"/>
      <w:bookmarkStart w:id="1888" w:name="_Toc38439723"/>
      <w:bookmarkStart w:id="1889" w:name="_Toc38440060"/>
      <w:bookmarkStart w:id="1890" w:name="_Toc38440397"/>
      <w:bookmarkStart w:id="1891" w:name="_Toc38440929"/>
      <w:bookmarkStart w:id="1892" w:name="_Toc38441261"/>
      <w:bookmarkStart w:id="1893" w:name="_Toc38441593"/>
      <w:bookmarkStart w:id="1894" w:name="_Toc38441921"/>
      <w:bookmarkStart w:id="1895" w:name="_Toc38442253"/>
      <w:bookmarkStart w:id="1896" w:name="_Toc38442585"/>
      <w:bookmarkStart w:id="1897" w:name="_Toc38442916"/>
      <w:bookmarkStart w:id="1898" w:name="_Toc38443247"/>
      <w:bookmarkStart w:id="1899" w:name="_Toc38443578"/>
      <w:bookmarkStart w:id="1900" w:name="_Toc38443908"/>
      <w:bookmarkStart w:id="1901" w:name="_Toc38438376"/>
      <w:bookmarkStart w:id="1902" w:name="_Toc38438713"/>
      <w:bookmarkStart w:id="1903" w:name="_Toc38439050"/>
      <w:bookmarkStart w:id="1904" w:name="_Toc38439387"/>
      <w:bookmarkStart w:id="1905" w:name="_Toc38439724"/>
      <w:bookmarkStart w:id="1906" w:name="_Toc38440061"/>
      <w:bookmarkStart w:id="1907" w:name="_Toc38440398"/>
      <w:bookmarkStart w:id="1908" w:name="_Toc38440930"/>
      <w:bookmarkStart w:id="1909" w:name="_Toc38441262"/>
      <w:bookmarkStart w:id="1910" w:name="_Toc38441594"/>
      <w:bookmarkStart w:id="1911" w:name="_Toc38441922"/>
      <w:bookmarkStart w:id="1912" w:name="_Toc38442254"/>
      <w:bookmarkStart w:id="1913" w:name="_Toc38442586"/>
      <w:bookmarkStart w:id="1914" w:name="_Toc38442917"/>
      <w:bookmarkStart w:id="1915" w:name="_Toc38443248"/>
      <w:bookmarkStart w:id="1916" w:name="_Toc38443579"/>
      <w:bookmarkStart w:id="1917" w:name="_Toc38443909"/>
      <w:bookmarkStart w:id="1918" w:name="_Toc38438377"/>
      <w:bookmarkStart w:id="1919" w:name="_Toc38438714"/>
      <w:bookmarkStart w:id="1920" w:name="_Toc38439051"/>
      <w:bookmarkStart w:id="1921" w:name="_Toc38439388"/>
      <w:bookmarkStart w:id="1922" w:name="_Toc38439725"/>
      <w:bookmarkStart w:id="1923" w:name="_Toc38440062"/>
      <w:bookmarkStart w:id="1924" w:name="_Toc38440399"/>
      <w:bookmarkStart w:id="1925" w:name="_Toc38440931"/>
      <w:bookmarkStart w:id="1926" w:name="_Toc38441263"/>
      <w:bookmarkStart w:id="1927" w:name="_Toc38441595"/>
      <w:bookmarkStart w:id="1928" w:name="_Toc38441923"/>
      <w:bookmarkStart w:id="1929" w:name="_Toc38442255"/>
      <w:bookmarkStart w:id="1930" w:name="_Toc38442587"/>
      <w:bookmarkStart w:id="1931" w:name="_Toc38442918"/>
      <w:bookmarkStart w:id="1932" w:name="_Toc38443249"/>
      <w:bookmarkStart w:id="1933" w:name="_Toc38443580"/>
      <w:bookmarkStart w:id="1934" w:name="_Toc38443910"/>
      <w:bookmarkStart w:id="1935" w:name="_Toc38438378"/>
      <w:bookmarkStart w:id="1936" w:name="_Toc38438715"/>
      <w:bookmarkStart w:id="1937" w:name="_Toc38439052"/>
      <w:bookmarkStart w:id="1938" w:name="_Toc38439389"/>
      <w:bookmarkStart w:id="1939" w:name="_Toc38439726"/>
      <w:bookmarkStart w:id="1940" w:name="_Toc38440063"/>
      <w:bookmarkStart w:id="1941" w:name="_Toc38440400"/>
      <w:bookmarkStart w:id="1942" w:name="_Toc38440932"/>
      <w:bookmarkStart w:id="1943" w:name="_Toc38441264"/>
      <w:bookmarkStart w:id="1944" w:name="_Toc38441596"/>
      <w:bookmarkStart w:id="1945" w:name="_Toc38441924"/>
      <w:bookmarkStart w:id="1946" w:name="_Toc38442256"/>
      <w:bookmarkStart w:id="1947" w:name="_Toc38442588"/>
      <w:bookmarkStart w:id="1948" w:name="_Toc38442919"/>
      <w:bookmarkStart w:id="1949" w:name="_Toc38443250"/>
      <w:bookmarkStart w:id="1950" w:name="_Toc38443581"/>
      <w:bookmarkStart w:id="1951" w:name="_Toc38443911"/>
      <w:bookmarkStart w:id="1952" w:name="_Toc38438379"/>
      <w:bookmarkStart w:id="1953" w:name="_Toc38438716"/>
      <w:bookmarkStart w:id="1954" w:name="_Toc38439053"/>
      <w:bookmarkStart w:id="1955" w:name="_Toc38439390"/>
      <w:bookmarkStart w:id="1956" w:name="_Toc38439727"/>
      <w:bookmarkStart w:id="1957" w:name="_Toc38440064"/>
      <w:bookmarkStart w:id="1958" w:name="_Toc38440401"/>
      <w:bookmarkStart w:id="1959" w:name="_Toc38440933"/>
      <w:bookmarkStart w:id="1960" w:name="_Toc38441265"/>
      <w:bookmarkStart w:id="1961" w:name="_Toc38441597"/>
      <w:bookmarkStart w:id="1962" w:name="_Toc38441925"/>
      <w:bookmarkStart w:id="1963" w:name="_Toc38442257"/>
      <w:bookmarkStart w:id="1964" w:name="_Toc38442589"/>
      <w:bookmarkStart w:id="1965" w:name="_Toc38442920"/>
      <w:bookmarkStart w:id="1966" w:name="_Toc38443251"/>
      <w:bookmarkStart w:id="1967" w:name="_Toc38443582"/>
      <w:bookmarkStart w:id="1968" w:name="_Toc38443912"/>
      <w:bookmarkStart w:id="1969" w:name="_Toc38438380"/>
      <w:bookmarkStart w:id="1970" w:name="_Toc38438717"/>
      <w:bookmarkStart w:id="1971" w:name="_Toc38439054"/>
      <w:bookmarkStart w:id="1972" w:name="_Toc38439391"/>
      <w:bookmarkStart w:id="1973" w:name="_Toc38439728"/>
      <w:bookmarkStart w:id="1974" w:name="_Toc38440065"/>
      <w:bookmarkStart w:id="1975" w:name="_Toc38440402"/>
      <w:bookmarkStart w:id="1976" w:name="_Toc38440934"/>
      <w:bookmarkStart w:id="1977" w:name="_Toc38441266"/>
      <w:bookmarkStart w:id="1978" w:name="_Toc38441598"/>
      <w:bookmarkStart w:id="1979" w:name="_Toc38441926"/>
      <w:bookmarkStart w:id="1980" w:name="_Toc38442258"/>
      <w:bookmarkStart w:id="1981" w:name="_Toc38442590"/>
      <w:bookmarkStart w:id="1982" w:name="_Toc38442921"/>
      <w:bookmarkStart w:id="1983" w:name="_Toc38443252"/>
      <w:bookmarkStart w:id="1984" w:name="_Toc38443583"/>
      <w:bookmarkStart w:id="1985" w:name="_Toc38443913"/>
      <w:bookmarkStart w:id="1986" w:name="_Toc38438381"/>
      <w:bookmarkStart w:id="1987" w:name="_Toc38438718"/>
      <w:bookmarkStart w:id="1988" w:name="_Toc38439055"/>
      <w:bookmarkStart w:id="1989" w:name="_Toc38439392"/>
      <w:bookmarkStart w:id="1990" w:name="_Toc38439729"/>
      <w:bookmarkStart w:id="1991" w:name="_Toc38440066"/>
      <w:bookmarkStart w:id="1992" w:name="_Toc38440403"/>
      <w:bookmarkStart w:id="1993" w:name="_Toc38440935"/>
      <w:bookmarkStart w:id="1994" w:name="_Toc38441267"/>
      <w:bookmarkStart w:id="1995" w:name="_Toc38441599"/>
      <w:bookmarkStart w:id="1996" w:name="_Toc38441927"/>
      <w:bookmarkStart w:id="1997" w:name="_Toc38442259"/>
      <w:bookmarkStart w:id="1998" w:name="_Toc38442591"/>
      <w:bookmarkStart w:id="1999" w:name="_Toc38442922"/>
      <w:bookmarkStart w:id="2000" w:name="_Toc38443253"/>
      <w:bookmarkStart w:id="2001" w:name="_Toc38443584"/>
      <w:bookmarkStart w:id="2002" w:name="_Toc38443914"/>
      <w:bookmarkStart w:id="2003" w:name="_Toc38438382"/>
      <w:bookmarkStart w:id="2004" w:name="_Toc38438719"/>
      <w:bookmarkStart w:id="2005" w:name="_Toc38439056"/>
      <w:bookmarkStart w:id="2006" w:name="_Toc38439393"/>
      <w:bookmarkStart w:id="2007" w:name="_Toc38439730"/>
      <w:bookmarkStart w:id="2008" w:name="_Toc38440067"/>
      <w:bookmarkStart w:id="2009" w:name="_Toc38440404"/>
      <w:bookmarkStart w:id="2010" w:name="_Toc38440936"/>
      <w:bookmarkStart w:id="2011" w:name="_Toc38441268"/>
      <w:bookmarkStart w:id="2012" w:name="_Toc38441600"/>
      <w:bookmarkStart w:id="2013" w:name="_Toc38441928"/>
      <w:bookmarkStart w:id="2014" w:name="_Toc38442260"/>
      <w:bookmarkStart w:id="2015" w:name="_Toc38442592"/>
      <w:bookmarkStart w:id="2016" w:name="_Toc38442923"/>
      <w:bookmarkStart w:id="2017" w:name="_Toc38443254"/>
      <w:bookmarkStart w:id="2018" w:name="_Toc38443585"/>
      <w:bookmarkStart w:id="2019" w:name="_Toc38443915"/>
      <w:bookmarkStart w:id="2020" w:name="_Toc38438383"/>
      <w:bookmarkStart w:id="2021" w:name="_Toc38438720"/>
      <w:bookmarkStart w:id="2022" w:name="_Toc38439057"/>
      <w:bookmarkStart w:id="2023" w:name="_Toc38439394"/>
      <w:bookmarkStart w:id="2024" w:name="_Toc38439731"/>
      <w:bookmarkStart w:id="2025" w:name="_Toc38440068"/>
      <w:bookmarkStart w:id="2026" w:name="_Toc38440405"/>
      <w:bookmarkStart w:id="2027" w:name="_Toc38440937"/>
      <w:bookmarkStart w:id="2028" w:name="_Toc38441269"/>
      <w:bookmarkStart w:id="2029" w:name="_Toc38441601"/>
      <w:bookmarkStart w:id="2030" w:name="_Toc38441929"/>
      <w:bookmarkStart w:id="2031" w:name="_Toc38442261"/>
      <w:bookmarkStart w:id="2032" w:name="_Toc38442593"/>
      <w:bookmarkStart w:id="2033" w:name="_Toc38442924"/>
      <w:bookmarkStart w:id="2034" w:name="_Toc38443255"/>
      <w:bookmarkStart w:id="2035" w:name="_Toc38443586"/>
      <w:bookmarkStart w:id="2036" w:name="_Toc38443916"/>
      <w:bookmarkStart w:id="2037" w:name="_Toc38438384"/>
      <w:bookmarkStart w:id="2038" w:name="_Toc38438721"/>
      <w:bookmarkStart w:id="2039" w:name="_Toc38439058"/>
      <w:bookmarkStart w:id="2040" w:name="_Toc38439395"/>
      <w:bookmarkStart w:id="2041" w:name="_Toc38439732"/>
      <w:bookmarkStart w:id="2042" w:name="_Toc38440069"/>
      <w:bookmarkStart w:id="2043" w:name="_Toc38440406"/>
      <w:bookmarkStart w:id="2044" w:name="_Toc38440938"/>
      <w:bookmarkStart w:id="2045" w:name="_Toc38441270"/>
      <w:bookmarkStart w:id="2046" w:name="_Toc38441602"/>
      <w:bookmarkStart w:id="2047" w:name="_Toc38441930"/>
      <w:bookmarkStart w:id="2048" w:name="_Toc38442262"/>
      <w:bookmarkStart w:id="2049" w:name="_Toc38442594"/>
      <w:bookmarkStart w:id="2050" w:name="_Toc38442925"/>
      <w:bookmarkStart w:id="2051" w:name="_Toc38443256"/>
      <w:bookmarkStart w:id="2052" w:name="_Toc38443587"/>
      <w:bookmarkStart w:id="2053" w:name="_Toc38443917"/>
      <w:bookmarkStart w:id="2054" w:name="_Toc38438385"/>
      <w:bookmarkStart w:id="2055" w:name="_Toc38438722"/>
      <w:bookmarkStart w:id="2056" w:name="_Toc38439059"/>
      <w:bookmarkStart w:id="2057" w:name="_Toc38439396"/>
      <w:bookmarkStart w:id="2058" w:name="_Toc38439733"/>
      <w:bookmarkStart w:id="2059" w:name="_Toc38440070"/>
      <w:bookmarkStart w:id="2060" w:name="_Toc38440407"/>
      <w:bookmarkStart w:id="2061" w:name="_Toc38440939"/>
      <w:bookmarkStart w:id="2062" w:name="_Toc38441271"/>
      <w:bookmarkStart w:id="2063" w:name="_Toc38441603"/>
      <w:bookmarkStart w:id="2064" w:name="_Toc38441931"/>
      <w:bookmarkStart w:id="2065" w:name="_Toc38442263"/>
      <w:bookmarkStart w:id="2066" w:name="_Toc38442595"/>
      <w:bookmarkStart w:id="2067" w:name="_Toc38442926"/>
      <w:bookmarkStart w:id="2068" w:name="_Toc38443257"/>
      <w:bookmarkStart w:id="2069" w:name="_Toc38443588"/>
      <w:bookmarkStart w:id="2070" w:name="_Toc38443918"/>
      <w:bookmarkStart w:id="2071" w:name="_Toc38438386"/>
      <w:bookmarkStart w:id="2072" w:name="_Toc38438723"/>
      <w:bookmarkStart w:id="2073" w:name="_Toc38439060"/>
      <w:bookmarkStart w:id="2074" w:name="_Toc38439397"/>
      <w:bookmarkStart w:id="2075" w:name="_Toc38439734"/>
      <w:bookmarkStart w:id="2076" w:name="_Toc38440071"/>
      <w:bookmarkStart w:id="2077" w:name="_Toc38440408"/>
      <w:bookmarkStart w:id="2078" w:name="_Toc38440940"/>
      <w:bookmarkStart w:id="2079" w:name="_Toc38441272"/>
      <w:bookmarkStart w:id="2080" w:name="_Toc38441604"/>
      <w:bookmarkStart w:id="2081" w:name="_Toc38441932"/>
      <w:bookmarkStart w:id="2082" w:name="_Toc38442264"/>
      <w:bookmarkStart w:id="2083" w:name="_Toc38442596"/>
      <w:bookmarkStart w:id="2084" w:name="_Toc38442927"/>
      <w:bookmarkStart w:id="2085" w:name="_Toc38443258"/>
      <w:bookmarkStart w:id="2086" w:name="_Toc38443589"/>
      <w:bookmarkStart w:id="2087" w:name="_Toc38443919"/>
      <w:bookmarkStart w:id="2088" w:name="_Toc38438387"/>
      <w:bookmarkStart w:id="2089" w:name="_Toc38438724"/>
      <w:bookmarkStart w:id="2090" w:name="_Toc38439061"/>
      <w:bookmarkStart w:id="2091" w:name="_Toc38439398"/>
      <w:bookmarkStart w:id="2092" w:name="_Toc38439735"/>
      <w:bookmarkStart w:id="2093" w:name="_Toc38440072"/>
      <w:bookmarkStart w:id="2094" w:name="_Toc38440409"/>
      <w:bookmarkStart w:id="2095" w:name="_Toc38440941"/>
      <w:bookmarkStart w:id="2096" w:name="_Toc38441273"/>
      <w:bookmarkStart w:id="2097" w:name="_Toc38441605"/>
      <w:bookmarkStart w:id="2098" w:name="_Toc38441933"/>
      <w:bookmarkStart w:id="2099" w:name="_Toc38442265"/>
      <w:bookmarkStart w:id="2100" w:name="_Toc38442597"/>
      <w:bookmarkStart w:id="2101" w:name="_Toc38442928"/>
      <w:bookmarkStart w:id="2102" w:name="_Toc38443259"/>
      <w:bookmarkStart w:id="2103" w:name="_Toc38443590"/>
      <w:bookmarkStart w:id="2104" w:name="_Toc38443920"/>
      <w:bookmarkStart w:id="2105" w:name="_Toc38438388"/>
      <w:bookmarkStart w:id="2106" w:name="_Toc38438725"/>
      <w:bookmarkStart w:id="2107" w:name="_Toc38439062"/>
      <w:bookmarkStart w:id="2108" w:name="_Toc38439399"/>
      <w:bookmarkStart w:id="2109" w:name="_Toc38439736"/>
      <w:bookmarkStart w:id="2110" w:name="_Toc38440073"/>
      <w:bookmarkStart w:id="2111" w:name="_Toc38440410"/>
      <w:bookmarkStart w:id="2112" w:name="_Toc38440942"/>
      <w:bookmarkStart w:id="2113" w:name="_Toc38441274"/>
      <w:bookmarkStart w:id="2114" w:name="_Toc38441606"/>
      <w:bookmarkStart w:id="2115" w:name="_Toc38441934"/>
      <w:bookmarkStart w:id="2116" w:name="_Toc38442266"/>
      <w:bookmarkStart w:id="2117" w:name="_Toc38442598"/>
      <w:bookmarkStart w:id="2118" w:name="_Toc38442929"/>
      <w:bookmarkStart w:id="2119" w:name="_Toc38443260"/>
      <w:bookmarkStart w:id="2120" w:name="_Toc38443591"/>
      <w:bookmarkStart w:id="2121" w:name="_Toc38443921"/>
      <w:bookmarkStart w:id="2122" w:name="_Toc38438389"/>
      <w:bookmarkStart w:id="2123" w:name="_Toc38438726"/>
      <w:bookmarkStart w:id="2124" w:name="_Toc38439063"/>
      <w:bookmarkStart w:id="2125" w:name="_Toc38439400"/>
      <w:bookmarkStart w:id="2126" w:name="_Toc38439737"/>
      <w:bookmarkStart w:id="2127" w:name="_Toc38440074"/>
      <w:bookmarkStart w:id="2128" w:name="_Toc38440411"/>
      <w:bookmarkStart w:id="2129" w:name="_Toc38440943"/>
      <w:bookmarkStart w:id="2130" w:name="_Toc38441275"/>
      <w:bookmarkStart w:id="2131" w:name="_Toc38441607"/>
      <w:bookmarkStart w:id="2132" w:name="_Toc38441935"/>
      <w:bookmarkStart w:id="2133" w:name="_Toc38442267"/>
      <w:bookmarkStart w:id="2134" w:name="_Toc38442599"/>
      <w:bookmarkStart w:id="2135" w:name="_Toc38442930"/>
      <w:bookmarkStart w:id="2136" w:name="_Toc38443261"/>
      <w:bookmarkStart w:id="2137" w:name="_Toc38443592"/>
      <w:bookmarkStart w:id="2138" w:name="_Toc38443922"/>
      <w:bookmarkStart w:id="2139" w:name="_Toc38438390"/>
      <w:bookmarkStart w:id="2140" w:name="_Toc38438727"/>
      <w:bookmarkStart w:id="2141" w:name="_Toc38439064"/>
      <w:bookmarkStart w:id="2142" w:name="_Toc38439401"/>
      <w:bookmarkStart w:id="2143" w:name="_Toc38439738"/>
      <w:bookmarkStart w:id="2144" w:name="_Toc38440075"/>
      <w:bookmarkStart w:id="2145" w:name="_Toc38440412"/>
      <w:bookmarkStart w:id="2146" w:name="_Toc38440944"/>
      <w:bookmarkStart w:id="2147" w:name="_Toc38441276"/>
      <w:bookmarkStart w:id="2148" w:name="_Toc38441608"/>
      <w:bookmarkStart w:id="2149" w:name="_Toc38441936"/>
      <w:bookmarkStart w:id="2150" w:name="_Toc38442268"/>
      <w:bookmarkStart w:id="2151" w:name="_Toc38442600"/>
      <w:bookmarkStart w:id="2152" w:name="_Toc38442931"/>
      <w:bookmarkStart w:id="2153" w:name="_Toc38443262"/>
      <w:bookmarkStart w:id="2154" w:name="_Toc38443593"/>
      <w:bookmarkStart w:id="2155" w:name="_Toc38443923"/>
      <w:bookmarkStart w:id="2156" w:name="_Toc38438391"/>
      <w:bookmarkStart w:id="2157" w:name="_Toc38438728"/>
      <w:bookmarkStart w:id="2158" w:name="_Toc38439065"/>
      <w:bookmarkStart w:id="2159" w:name="_Toc38439402"/>
      <w:bookmarkStart w:id="2160" w:name="_Toc38439739"/>
      <w:bookmarkStart w:id="2161" w:name="_Toc38440076"/>
      <w:bookmarkStart w:id="2162" w:name="_Toc38440413"/>
      <w:bookmarkStart w:id="2163" w:name="_Toc38440945"/>
      <w:bookmarkStart w:id="2164" w:name="_Toc38441277"/>
      <w:bookmarkStart w:id="2165" w:name="_Toc38441609"/>
      <w:bookmarkStart w:id="2166" w:name="_Toc38441937"/>
      <w:bookmarkStart w:id="2167" w:name="_Toc38442269"/>
      <w:bookmarkStart w:id="2168" w:name="_Toc38442601"/>
      <w:bookmarkStart w:id="2169" w:name="_Toc38442932"/>
      <w:bookmarkStart w:id="2170" w:name="_Toc38443263"/>
      <w:bookmarkStart w:id="2171" w:name="_Toc38443594"/>
      <w:bookmarkStart w:id="2172" w:name="_Toc38443924"/>
      <w:bookmarkStart w:id="2173" w:name="_Toc38438392"/>
      <w:bookmarkStart w:id="2174" w:name="_Toc38438729"/>
      <w:bookmarkStart w:id="2175" w:name="_Toc38439066"/>
      <w:bookmarkStart w:id="2176" w:name="_Toc38439403"/>
      <w:bookmarkStart w:id="2177" w:name="_Toc38439740"/>
      <w:bookmarkStart w:id="2178" w:name="_Toc38440077"/>
      <w:bookmarkStart w:id="2179" w:name="_Toc38440414"/>
      <w:bookmarkStart w:id="2180" w:name="_Toc38440946"/>
      <w:bookmarkStart w:id="2181" w:name="_Toc38441278"/>
      <w:bookmarkStart w:id="2182" w:name="_Toc38441610"/>
      <w:bookmarkStart w:id="2183" w:name="_Toc38441938"/>
      <w:bookmarkStart w:id="2184" w:name="_Toc38442270"/>
      <w:bookmarkStart w:id="2185" w:name="_Toc38442602"/>
      <w:bookmarkStart w:id="2186" w:name="_Toc38442933"/>
      <w:bookmarkStart w:id="2187" w:name="_Toc38443264"/>
      <w:bookmarkStart w:id="2188" w:name="_Toc38443595"/>
      <w:bookmarkStart w:id="2189" w:name="_Toc38443925"/>
      <w:bookmarkStart w:id="2190" w:name="_Toc38438393"/>
      <w:bookmarkStart w:id="2191" w:name="_Toc38438730"/>
      <w:bookmarkStart w:id="2192" w:name="_Toc38439067"/>
      <w:bookmarkStart w:id="2193" w:name="_Toc38439404"/>
      <w:bookmarkStart w:id="2194" w:name="_Toc38439741"/>
      <w:bookmarkStart w:id="2195" w:name="_Toc38440078"/>
      <w:bookmarkStart w:id="2196" w:name="_Toc38440415"/>
      <w:bookmarkStart w:id="2197" w:name="_Toc38440947"/>
      <w:bookmarkStart w:id="2198" w:name="_Toc38441279"/>
      <w:bookmarkStart w:id="2199" w:name="_Toc38441611"/>
      <w:bookmarkStart w:id="2200" w:name="_Toc38441939"/>
      <w:bookmarkStart w:id="2201" w:name="_Toc38442271"/>
      <w:bookmarkStart w:id="2202" w:name="_Toc38442603"/>
      <w:bookmarkStart w:id="2203" w:name="_Toc38442934"/>
      <w:bookmarkStart w:id="2204" w:name="_Toc38443265"/>
      <w:bookmarkStart w:id="2205" w:name="_Toc38443596"/>
      <w:bookmarkStart w:id="2206" w:name="_Toc38443926"/>
      <w:bookmarkStart w:id="2207" w:name="_Toc38438394"/>
      <w:bookmarkStart w:id="2208" w:name="_Toc38438731"/>
      <w:bookmarkStart w:id="2209" w:name="_Toc38439068"/>
      <w:bookmarkStart w:id="2210" w:name="_Toc38439405"/>
      <w:bookmarkStart w:id="2211" w:name="_Toc38439742"/>
      <w:bookmarkStart w:id="2212" w:name="_Toc38440079"/>
      <w:bookmarkStart w:id="2213" w:name="_Toc38440416"/>
      <w:bookmarkStart w:id="2214" w:name="_Toc38440948"/>
      <w:bookmarkStart w:id="2215" w:name="_Toc38441280"/>
      <w:bookmarkStart w:id="2216" w:name="_Toc38441612"/>
      <w:bookmarkStart w:id="2217" w:name="_Toc38441940"/>
      <w:bookmarkStart w:id="2218" w:name="_Toc38442272"/>
      <w:bookmarkStart w:id="2219" w:name="_Toc38442604"/>
      <w:bookmarkStart w:id="2220" w:name="_Toc38442935"/>
      <w:bookmarkStart w:id="2221" w:name="_Toc38443266"/>
      <w:bookmarkStart w:id="2222" w:name="_Toc38443597"/>
      <w:bookmarkStart w:id="2223" w:name="_Toc38443927"/>
      <w:bookmarkStart w:id="2224" w:name="_Toc38438395"/>
      <w:bookmarkStart w:id="2225" w:name="_Toc38438732"/>
      <w:bookmarkStart w:id="2226" w:name="_Toc38439069"/>
      <w:bookmarkStart w:id="2227" w:name="_Toc38439406"/>
      <w:bookmarkStart w:id="2228" w:name="_Toc38439743"/>
      <w:bookmarkStart w:id="2229" w:name="_Toc38440080"/>
      <w:bookmarkStart w:id="2230" w:name="_Toc38440417"/>
      <w:bookmarkStart w:id="2231" w:name="_Toc38440949"/>
      <w:bookmarkStart w:id="2232" w:name="_Toc38441281"/>
      <w:bookmarkStart w:id="2233" w:name="_Toc38441613"/>
      <w:bookmarkStart w:id="2234" w:name="_Toc38441941"/>
      <w:bookmarkStart w:id="2235" w:name="_Toc38442273"/>
      <w:bookmarkStart w:id="2236" w:name="_Toc38442605"/>
      <w:bookmarkStart w:id="2237" w:name="_Toc38442936"/>
      <w:bookmarkStart w:id="2238" w:name="_Toc38443267"/>
      <w:bookmarkStart w:id="2239" w:name="_Toc38443598"/>
      <w:bookmarkStart w:id="2240" w:name="_Toc38443928"/>
      <w:bookmarkStart w:id="2241" w:name="_Toc38438396"/>
      <w:bookmarkStart w:id="2242" w:name="_Toc38438733"/>
      <w:bookmarkStart w:id="2243" w:name="_Toc38439070"/>
      <w:bookmarkStart w:id="2244" w:name="_Toc38439407"/>
      <w:bookmarkStart w:id="2245" w:name="_Toc38439744"/>
      <w:bookmarkStart w:id="2246" w:name="_Toc38440081"/>
      <w:bookmarkStart w:id="2247" w:name="_Toc38440418"/>
      <w:bookmarkStart w:id="2248" w:name="_Toc38440950"/>
      <w:bookmarkStart w:id="2249" w:name="_Toc38441282"/>
      <w:bookmarkStart w:id="2250" w:name="_Toc38441614"/>
      <w:bookmarkStart w:id="2251" w:name="_Toc38441942"/>
      <w:bookmarkStart w:id="2252" w:name="_Toc38442274"/>
      <w:bookmarkStart w:id="2253" w:name="_Toc38442606"/>
      <w:bookmarkStart w:id="2254" w:name="_Toc38442937"/>
      <w:bookmarkStart w:id="2255" w:name="_Toc38443268"/>
      <w:bookmarkStart w:id="2256" w:name="_Toc38443599"/>
      <w:bookmarkStart w:id="2257" w:name="_Toc38443929"/>
      <w:bookmarkStart w:id="2258" w:name="_Toc38438397"/>
      <w:bookmarkStart w:id="2259" w:name="_Toc38438734"/>
      <w:bookmarkStart w:id="2260" w:name="_Toc38439071"/>
      <w:bookmarkStart w:id="2261" w:name="_Toc38439408"/>
      <w:bookmarkStart w:id="2262" w:name="_Toc38439745"/>
      <w:bookmarkStart w:id="2263" w:name="_Toc38440082"/>
      <w:bookmarkStart w:id="2264" w:name="_Toc38440419"/>
      <w:bookmarkStart w:id="2265" w:name="_Toc38440951"/>
      <w:bookmarkStart w:id="2266" w:name="_Toc38441283"/>
      <w:bookmarkStart w:id="2267" w:name="_Toc38441615"/>
      <w:bookmarkStart w:id="2268" w:name="_Toc38441943"/>
      <w:bookmarkStart w:id="2269" w:name="_Toc38442275"/>
      <w:bookmarkStart w:id="2270" w:name="_Toc38442607"/>
      <w:bookmarkStart w:id="2271" w:name="_Toc38442938"/>
      <w:bookmarkStart w:id="2272" w:name="_Toc38443269"/>
      <w:bookmarkStart w:id="2273" w:name="_Toc38443600"/>
      <w:bookmarkStart w:id="2274" w:name="_Toc38443930"/>
      <w:bookmarkStart w:id="2275" w:name="_Toc38438398"/>
      <w:bookmarkStart w:id="2276" w:name="_Toc38438735"/>
      <w:bookmarkStart w:id="2277" w:name="_Toc38439072"/>
      <w:bookmarkStart w:id="2278" w:name="_Toc38439409"/>
      <w:bookmarkStart w:id="2279" w:name="_Toc38439746"/>
      <w:bookmarkStart w:id="2280" w:name="_Toc38440083"/>
      <w:bookmarkStart w:id="2281" w:name="_Toc38440420"/>
      <w:bookmarkStart w:id="2282" w:name="_Toc38440952"/>
      <w:bookmarkStart w:id="2283" w:name="_Toc38441284"/>
      <w:bookmarkStart w:id="2284" w:name="_Toc38441616"/>
      <w:bookmarkStart w:id="2285" w:name="_Toc38441944"/>
      <w:bookmarkStart w:id="2286" w:name="_Toc38442276"/>
      <w:bookmarkStart w:id="2287" w:name="_Toc38442608"/>
      <w:bookmarkStart w:id="2288" w:name="_Toc38442939"/>
      <w:bookmarkStart w:id="2289" w:name="_Toc38443270"/>
      <w:bookmarkStart w:id="2290" w:name="_Toc38443601"/>
      <w:bookmarkStart w:id="2291" w:name="_Toc38443931"/>
      <w:bookmarkStart w:id="2292" w:name="_Toc38438400"/>
      <w:bookmarkStart w:id="2293" w:name="_Toc38438737"/>
      <w:bookmarkStart w:id="2294" w:name="_Toc38439074"/>
      <w:bookmarkStart w:id="2295" w:name="_Toc38439411"/>
      <w:bookmarkStart w:id="2296" w:name="_Toc38439748"/>
      <w:bookmarkStart w:id="2297" w:name="_Toc38440085"/>
      <w:bookmarkStart w:id="2298" w:name="_Toc38440422"/>
      <w:bookmarkStart w:id="2299" w:name="_Toc38440954"/>
      <w:bookmarkStart w:id="2300" w:name="_Toc38441286"/>
      <w:bookmarkStart w:id="2301" w:name="_Toc38441618"/>
      <w:bookmarkStart w:id="2302" w:name="_Toc38441946"/>
      <w:bookmarkStart w:id="2303" w:name="_Toc38442278"/>
      <w:bookmarkStart w:id="2304" w:name="_Toc38442610"/>
      <w:bookmarkStart w:id="2305" w:name="_Toc38442941"/>
      <w:bookmarkStart w:id="2306" w:name="_Toc38443272"/>
      <w:bookmarkStart w:id="2307" w:name="_Toc38443603"/>
      <w:bookmarkStart w:id="2308" w:name="_Toc38443933"/>
      <w:bookmarkStart w:id="2309" w:name="_Toc38438401"/>
      <w:bookmarkStart w:id="2310" w:name="_Toc38438738"/>
      <w:bookmarkStart w:id="2311" w:name="_Toc38439075"/>
      <w:bookmarkStart w:id="2312" w:name="_Toc38439412"/>
      <w:bookmarkStart w:id="2313" w:name="_Toc38439749"/>
      <w:bookmarkStart w:id="2314" w:name="_Toc38440086"/>
      <w:bookmarkStart w:id="2315" w:name="_Toc38440423"/>
      <w:bookmarkStart w:id="2316" w:name="_Toc38440955"/>
      <w:bookmarkStart w:id="2317" w:name="_Toc38441287"/>
      <w:bookmarkStart w:id="2318" w:name="_Toc38441619"/>
      <w:bookmarkStart w:id="2319" w:name="_Toc38441947"/>
      <w:bookmarkStart w:id="2320" w:name="_Toc38442279"/>
      <w:bookmarkStart w:id="2321" w:name="_Toc38442611"/>
      <w:bookmarkStart w:id="2322" w:name="_Toc38442942"/>
      <w:bookmarkStart w:id="2323" w:name="_Toc38443273"/>
      <w:bookmarkStart w:id="2324" w:name="_Toc38443604"/>
      <w:bookmarkStart w:id="2325" w:name="_Toc38443934"/>
      <w:bookmarkStart w:id="2326" w:name="_Toc38438402"/>
      <w:bookmarkStart w:id="2327" w:name="_Toc38438739"/>
      <w:bookmarkStart w:id="2328" w:name="_Toc38439076"/>
      <w:bookmarkStart w:id="2329" w:name="_Toc38439413"/>
      <w:bookmarkStart w:id="2330" w:name="_Toc38439750"/>
      <w:bookmarkStart w:id="2331" w:name="_Toc38440087"/>
      <w:bookmarkStart w:id="2332" w:name="_Toc38440424"/>
      <w:bookmarkStart w:id="2333" w:name="_Toc38440956"/>
      <w:bookmarkStart w:id="2334" w:name="_Toc38441288"/>
      <w:bookmarkStart w:id="2335" w:name="_Toc38441620"/>
      <w:bookmarkStart w:id="2336" w:name="_Toc38441948"/>
      <w:bookmarkStart w:id="2337" w:name="_Toc38442280"/>
      <w:bookmarkStart w:id="2338" w:name="_Toc38442612"/>
      <w:bookmarkStart w:id="2339" w:name="_Toc38442943"/>
      <w:bookmarkStart w:id="2340" w:name="_Toc38443274"/>
      <w:bookmarkStart w:id="2341" w:name="_Toc38443605"/>
      <w:bookmarkStart w:id="2342" w:name="_Toc38443935"/>
      <w:bookmarkStart w:id="2343" w:name="_Toc38438404"/>
      <w:bookmarkStart w:id="2344" w:name="_Toc38438741"/>
      <w:bookmarkStart w:id="2345" w:name="_Toc38439078"/>
      <w:bookmarkStart w:id="2346" w:name="_Toc38439415"/>
      <w:bookmarkStart w:id="2347" w:name="_Toc38439752"/>
      <w:bookmarkStart w:id="2348" w:name="_Toc38440089"/>
      <w:bookmarkStart w:id="2349" w:name="_Toc38440426"/>
      <w:bookmarkStart w:id="2350" w:name="_Toc38440958"/>
      <w:bookmarkStart w:id="2351" w:name="_Toc38441290"/>
      <w:bookmarkStart w:id="2352" w:name="_Toc38441622"/>
      <w:bookmarkStart w:id="2353" w:name="_Toc38441950"/>
      <w:bookmarkStart w:id="2354" w:name="_Toc38442282"/>
      <w:bookmarkStart w:id="2355" w:name="_Toc38442614"/>
      <w:bookmarkStart w:id="2356" w:name="_Toc38442945"/>
      <w:bookmarkStart w:id="2357" w:name="_Toc38443276"/>
      <w:bookmarkStart w:id="2358" w:name="_Toc38443607"/>
      <w:bookmarkStart w:id="2359" w:name="_Toc38443937"/>
      <w:bookmarkStart w:id="2360" w:name="_Toc38438405"/>
      <w:bookmarkStart w:id="2361" w:name="_Toc38438742"/>
      <w:bookmarkStart w:id="2362" w:name="_Toc38439079"/>
      <w:bookmarkStart w:id="2363" w:name="_Toc38439416"/>
      <w:bookmarkStart w:id="2364" w:name="_Toc38439753"/>
      <w:bookmarkStart w:id="2365" w:name="_Toc38440090"/>
      <w:bookmarkStart w:id="2366" w:name="_Toc38440427"/>
      <w:bookmarkStart w:id="2367" w:name="_Toc38440959"/>
      <w:bookmarkStart w:id="2368" w:name="_Toc38441291"/>
      <w:bookmarkStart w:id="2369" w:name="_Toc38441623"/>
      <w:bookmarkStart w:id="2370" w:name="_Toc38441951"/>
      <w:bookmarkStart w:id="2371" w:name="_Toc38442283"/>
      <w:bookmarkStart w:id="2372" w:name="_Toc38442615"/>
      <w:bookmarkStart w:id="2373" w:name="_Toc38442946"/>
      <w:bookmarkStart w:id="2374" w:name="_Toc38443277"/>
      <w:bookmarkStart w:id="2375" w:name="_Toc38443608"/>
      <w:bookmarkStart w:id="2376" w:name="_Toc38443938"/>
      <w:bookmarkStart w:id="2377" w:name="_Toc38438406"/>
      <w:bookmarkStart w:id="2378" w:name="_Toc38438743"/>
      <w:bookmarkStart w:id="2379" w:name="_Toc38439080"/>
      <w:bookmarkStart w:id="2380" w:name="_Toc38439417"/>
      <w:bookmarkStart w:id="2381" w:name="_Toc38439754"/>
      <w:bookmarkStart w:id="2382" w:name="_Toc38440091"/>
      <w:bookmarkStart w:id="2383" w:name="_Toc38440428"/>
      <w:bookmarkStart w:id="2384" w:name="_Toc38440960"/>
      <w:bookmarkStart w:id="2385" w:name="_Toc38441292"/>
      <w:bookmarkStart w:id="2386" w:name="_Toc38441624"/>
      <w:bookmarkStart w:id="2387" w:name="_Toc38441952"/>
      <w:bookmarkStart w:id="2388" w:name="_Toc38442284"/>
      <w:bookmarkStart w:id="2389" w:name="_Toc38442616"/>
      <w:bookmarkStart w:id="2390" w:name="_Toc38442947"/>
      <w:bookmarkStart w:id="2391" w:name="_Toc38443278"/>
      <w:bookmarkStart w:id="2392" w:name="_Toc38443609"/>
      <w:bookmarkStart w:id="2393" w:name="_Toc38443939"/>
      <w:bookmarkStart w:id="2394" w:name="_Toc38438407"/>
      <w:bookmarkStart w:id="2395" w:name="_Toc38438744"/>
      <w:bookmarkStart w:id="2396" w:name="_Toc38439081"/>
      <w:bookmarkStart w:id="2397" w:name="_Toc38439418"/>
      <w:bookmarkStart w:id="2398" w:name="_Toc38439755"/>
      <w:bookmarkStart w:id="2399" w:name="_Toc38440092"/>
      <w:bookmarkStart w:id="2400" w:name="_Toc38440429"/>
      <w:bookmarkStart w:id="2401" w:name="_Toc38440961"/>
      <w:bookmarkStart w:id="2402" w:name="_Toc38441293"/>
      <w:bookmarkStart w:id="2403" w:name="_Toc38441625"/>
      <w:bookmarkStart w:id="2404" w:name="_Toc38441953"/>
      <w:bookmarkStart w:id="2405" w:name="_Toc38442285"/>
      <w:bookmarkStart w:id="2406" w:name="_Toc38442617"/>
      <w:bookmarkStart w:id="2407" w:name="_Toc38442948"/>
      <w:bookmarkStart w:id="2408" w:name="_Toc38443279"/>
      <w:bookmarkStart w:id="2409" w:name="_Toc38443610"/>
      <w:bookmarkStart w:id="2410" w:name="_Toc38443940"/>
      <w:bookmarkStart w:id="2411" w:name="_Toc38438408"/>
      <w:bookmarkStart w:id="2412" w:name="_Toc38438745"/>
      <w:bookmarkStart w:id="2413" w:name="_Toc38439082"/>
      <w:bookmarkStart w:id="2414" w:name="_Toc38439419"/>
      <w:bookmarkStart w:id="2415" w:name="_Toc38439756"/>
      <w:bookmarkStart w:id="2416" w:name="_Toc38440093"/>
      <w:bookmarkStart w:id="2417" w:name="_Toc38440430"/>
      <w:bookmarkStart w:id="2418" w:name="_Toc38440962"/>
      <w:bookmarkStart w:id="2419" w:name="_Toc38441294"/>
      <w:bookmarkStart w:id="2420" w:name="_Toc38441626"/>
      <w:bookmarkStart w:id="2421" w:name="_Toc38441954"/>
      <w:bookmarkStart w:id="2422" w:name="_Toc38442286"/>
      <w:bookmarkStart w:id="2423" w:name="_Toc38442618"/>
      <w:bookmarkStart w:id="2424" w:name="_Toc38442949"/>
      <w:bookmarkStart w:id="2425" w:name="_Toc38443280"/>
      <w:bookmarkStart w:id="2426" w:name="_Toc38443611"/>
      <w:bookmarkStart w:id="2427" w:name="_Toc38443941"/>
      <w:bookmarkStart w:id="2428" w:name="_Toc38438409"/>
      <w:bookmarkStart w:id="2429" w:name="_Toc38438746"/>
      <w:bookmarkStart w:id="2430" w:name="_Toc38439083"/>
      <w:bookmarkStart w:id="2431" w:name="_Toc38439420"/>
      <w:bookmarkStart w:id="2432" w:name="_Toc38439757"/>
      <w:bookmarkStart w:id="2433" w:name="_Toc38440094"/>
      <w:bookmarkStart w:id="2434" w:name="_Toc38440431"/>
      <w:bookmarkStart w:id="2435" w:name="_Toc38440963"/>
      <w:bookmarkStart w:id="2436" w:name="_Toc38441295"/>
      <w:bookmarkStart w:id="2437" w:name="_Toc38441627"/>
      <w:bookmarkStart w:id="2438" w:name="_Toc38441955"/>
      <w:bookmarkStart w:id="2439" w:name="_Toc38442287"/>
      <w:bookmarkStart w:id="2440" w:name="_Toc38442619"/>
      <w:bookmarkStart w:id="2441" w:name="_Toc38442950"/>
      <w:bookmarkStart w:id="2442" w:name="_Toc38443281"/>
      <w:bookmarkStart w:id="2443" w:name="_Toc38443612"/>
      <w:bookmarkStart w:id="2444" w:name="_Toc38443942"/>
      <w:bookmarkStart w:id="2445" w:name="_Toc38438410"/>
      <w:bookmarkStart w:id="2446" w:name="_Toc38438747"/>
      <w:bookmarkStart w:id="2447" w:name="_Toc38439084"/>
      <w:bookmarkStart w:id="2448" w:name="_Toc38439421"/>
      <w:bookmarkStart w:id="2449" w:name="_Toc38439758"/>
      <w:bookmarkStart w:id="2450" w:name="_Toc38440095"/>
      <w:bookmarkStart w:id="2451" w:name="_Toc38440432"/>
      <w:bookmarkStart w:id="2452" w:name="_Toc38440964"/>
      <w:bookmarkStart w:id="2453" w:name="_Toc38441296"/>
      <w:bookmarkStart w:id="2454" w:name="_Toc38441628"/>
      <w:bookmarkStart w:id="2455" w:name="_Toc38441956"/>
      <w:bookmarkStart w:id="2456" w:name="_Toc38442288"/>
      <w:bookmarkStart w:id="2457" w:name="_Toc38442620"/>
      <w:bookmarkStart w:id="2458" w:name="_Toc38442951"/>
      <w:bookmarkStart w:id="2459" w:name="_Toc38443282"/>
      <w:bookmarkStart w:id="2460" w:name="_Toc38443613"/>
      <w:bookmarkStart w:id="2461" w:name="_Toc38443943"/>
      <w:bookmarkStart w:id="2462" w:name="_Toc38438411"/>
      <w:bookmarkStart w:id="2463" w:name="_Toc38438748"/>
      <w:bookmarkStart w:id="2464" w:name="_Toc38439085"/>
      <w:bookmarkStart w:id="2465" w:name="_Toc38439422"/>
      <w:bookmarkStart w:id="2466" w:name="_Toc38439759"/>
      <w:bookmarkStart w:id="2467" w:name="_Toc38440096"/>
      <w:bookmarkStart w:id="2468" w:name="_Toc38440433"/>
      <w:bookmarkStart w:id="2469" w:name="_Toc38440965"/>
      <w:bookmarkStart w:id="2470" w:name="_Toc38441297"/>
      <w:bookmarkStart w:id="2471" w:name="_Toc38441629"/>
      <w:bookmarkStart w:id="2472" w:name="_Toc38441957"/>
      <w:bookmarkStart w:id="2473" w:name="_Toc38442289"/>
      <w:bookmarkStart w:id="2474" w:name="_Toc38442621"/>
      <w:bookmarkStart w:id="2475" w:name="_Toc38442952"/>
      <w:bookmarkStart w:id="2476" w:name="_Toc38443283"/>
      <w:bookmarkStart w:id="2477" w:name="_Toc38443614"/>
      <w:bookmarkStart w:id="2478" w:name="_Toc38443944"/>
      <w:bookmarkStart w:id="2479" w:name="_Toc38438412"/>
      <w:bookmarkStart w:id="2480" w:name="_Toc38438749"/>
      <w:bookmarkStart w:id="2481" w:name="_Toc38439086"/>
      <w:bookmarkStart w:id="2482" w:name="_Toc38439423"/>
      <w:bookmarkStart w:id="2483" w:name="_Toc38439760"/>
      <w:bookmarkStart w:id="2484" w:name="_Toc38440097"/>
      <w:bookmarkStart w:id="2485" w:name="_Toc38440434"/>
      <w:bookmarkStart w:id="2486" w:name="_Toc38440966"/>
      <w:bookmarkStart w:id="2487" w:name="_Toc38441298"/>
      <w:bookmarkStart w:id="2488" w:name="_Toc38441630"/>
      <w:bookmarkStart w:id="2489" w:name="_Toc38441958"/>
      <w:bookmarkStart w:id="2490" w:name="_Toc38442290"/>
      <w:bookmarkStart w:id="2491" w:name="_Toc38442622"/>
      <w:bookmarkStart w:id="2492" w:name="_Toc38442953"/>
      <w:bookmarkStart w:id="2493" w:name="_Toc38443284"/>
      <w:bookmarkStart w:id="2494" w:name="_Toc38443615"/>
      <w:bookmarkStart w:id="2495" w:name="_Toc38443945"/>
      <w:bookmarkStart w:id="2496" w:name="_Toc38438413"/>
      <w:bookmarkStart w:id="2497" w:name="_Toc38438750"/>
      <w:bookmarkStart w:id="2498" w:name="_Toc38439087"/>
      <w:bookmarkStart w:id="2499" w:name="_Toc38439424"/>
      <w:bookmarkStart w:id="2500" w:name="_Toc38439761"/>
      <w:bookmarkStart w:id="2501" w:name="_Toc38440098"/>
      <w:bookmarkStart w:id="2502" w:name="_Toc38440435"/>
      <w:bookmarkStart w:id="2503" w:name="_Toc38440967"/>
      <w:bookmarkStart w:id="2504" w:name="_Toc38441299"/>
      <w:bookmarkStart w:id="2505" w:name="_Toc38441631"/>
      <w:bookmarkStart w:id="2506" w:name="_Toc38441959"/>
      <w:bookmarkStart w:id="2507" w:name="_Toc38442291"/>
      <w:bookmarkStart w:id="2508" w:name="_Toc38442623"/>
      <w:bookmarkStart w:id="2509" w:name="_Toc38442954"/>
      <w:bookmarkStart w:id="2510" w:name="_Toc38443285"/>
      <w:bookmarkStart w:id="2511" w:name="_Toc38443616"/>
      <w:bookmarkStart w:id="2512" w:name="_Toc38443946"/>
      <w:bookmarkStart w:id="2513" w:name="_Toc38438414"/>
      <w:bookmarkStart w:id="2514" w:name="_Toc38438751"/>
      <w:bookmarkStart w:id="2515" w:name="_Toc38439088"/>
      <w:bookmarkStart w:id="2516" w:name="_Toc38439425"/>
      <w:bookmarkStart w:id="2517" w:name="_Toc38439762"/>
      <w:bookmarkStart w:id="2518" w:name="_Toc38440099"/>
      <w:bookmarkStart w:id="2519" w:name="_Toc38440436"/>
      <w:bookmarkStart w:id="2520" w:name="_Toc38440968"/>
      <w:bookmarkStart w:id="2521" w:name="_Toc38441300"/>
      <w:bookmarkStart w:id="2522" w:name="_Toc38441632"/>
      <w:bookmarkStart w:id="2523" w:name="_Toc38441960"/>
      <w:bookmarkStart w:id="2524" w:name="_Toc38442292"/>
      <w:bookmarkStart w:id="2525" w:name="_Toc38442624"/>
      <w:bookmarkStart w:id="2526" w:name="_Toc38442955"/>
      <w:bookmarkStart w:id="2527" w:name="_Toc38443286"/>
      <w:bookmarkStart w:id="2528" w:name="_Toc38443617"/>
      <w:bookmarkStart w:id="2529" w:name="_Toc38443947"/>
      <w:bookmarkStart w:id="2530" w:name="_Toc38438415"/>
      <w:bookmarkStart w:id="2531" w:name="_Toc38438752"/>
      <w:bookmarkStart w:id="2532" w:name="_Toc38439089"/>
      <w:bookmarkStart w:id="2533" w:name="_Toc38439426"/>
      <w:bookmarkStart w:id="2534" w:name="_Toc38439763"/>
      <w:bookmarkStart w:id="2535" w:name="_Toc38440100"/>
      <w:bookmarkStart w:id="2536" w:name="_Toc38440437"/>
      <w:bookmarkStart w:id="2537" w:name="_Toc38440969"/>
      <w:bookmarkStart w:id="2538" w:name="_Toc38441301"/>
      <w:bookmarkStart w:id="2539" w:name="_Toc38441633"/>
      <w:bookmarkStart w:id="2540" w:name="_Toc38441961"/>
      <w:bookmarkStart w:id="2541" w:name="_Toc38442293"/>
      <w:bookmarkStart w:id="2542" w:name="_Toc38442625"/>
      <w:bookmarkStart w:id="2543" w:name="_Toc38442956"/>
      <w:bookmarkStart w:id="2544" w:name="_Toc38443287"/>
      <w:bookmarkStart w:id="2545" w:name="_Toc38443618"/>
      <w:bookmarkStart w:id="2546" w:name="_Toc38443948"/>
      <w:bookmarkStart w:id="2547" w:name="_Toc38438416"/>
      <w:bookmarkStart w:id="2548" w:name="_Toc38438753"/>
      <w:bookmarkStart w:id="2549" w:name="_Toc38439090"/>
      <w:bookmarkStart w:id="2550" w:name="_Toc38439427"/>
      <w:bookmarkStart w:id="2551" w:name="_Toc38439764"/>
      <w:bookmarkStart w:id="2552" w:name="_Toc38440101"/>
      <w:bookmarkStart w:id="2553" w:name="_Toc38440438"/>
      <w:bookmarkStart w:id="2554" w:name="_Toc38440970"/>
      <w:bookmarkStart w:id="2555" w:name="_Toc38441302"/>
      <w:bookmarkStart w:id="2556" w:name="_Toc38441634"/>
      <w:bookmarkStart w:id="2557" w:name="_Toc38441962"/>
      <w:bookmarkStart w:id="2558" w:name="_Toc38442294"/>
      <w:bookmarkStart w:id="2559" w:name="_Toc38442626"/>
      <w:bookmarkStart w:id="2560" w:name="_Toc38442957"/>
      <w:bookmarkStart w:id="2561" w:name="_Toc38443288"/>
      <w:bookmarkStart w:id="2562" w:name="_Toc38443619"/>
      <w:bookmarkStart w:id="2563" w:name="_Toc38443949"/>
      <w:bookmarkStart w:id="2564" w:name="_Toc38438417"/>
      <w:bookmarkStart w:id="2565" w:name="_Toc38438754"/>
      <w:bookmarkStart w:id="2566" w:name="_Toc38439091"/>
      <w:bookmarkStart w:id="2567" w:name="_Toc38439428"/>
      <w:bookmarkStart w:id="2568" w:name="_Toc38439765"/>
      <w:bookmarkStart w:id="2569" w:name="_Toc38440102"/>
      <w:bookmarkStart w:id="2570" w:name="_Toc38440439"/>
      <w:bookmarkStart w:id="2571" w:name="_Toc38440971"/>
      <w:bookmarkStart w:id="2572" w:name="_Toc38441303"/>
      <w:bookmarkStart w:id="2573" w:name="_Toc38441635"/>
      <w:bookmarkStart w:id="2574" w:name="_Toc38441963"/>
      <w:bookmarkStart w:id="2575" w:name="_Toc38442295"/>
      <w:bookmarkStart w:id="2576" w:name="_Toc38442627"/>
      <w:bookmarkStart w:id="2577" w:name="_Toc38442958"/>
      <w:bookmarkStart w:id="2578" w:name="_Toc38443289"/>
      <w:bookmarkStart w:id="2579" w:name="_Toc38443620"/>
      <w:bookmarkStart w:id="2580" w:name="_Toc38443950"/>
      <w:bookmarkStart w:id="2581" w:name="_Toc38438418"/>
      <w:bookmarkStart w:id="2582" w:name="_Toc38438755"/>
      <w:bookmarkStart w:id="2583" w:name="_Toc38439092"/>
      <w:bookmarkStart w:id="2584" w:name="_Toc38439429"/>
      <w:bookmarkStart w:id="2585" w:name="_Toc38439766"/>
      <w:bookmarkStart w:id="2586" w:name="_Toc38440103"/>
      <w:bookmarkStart w:id="2587" w:name="_Toc38440440"/>
      <w:bookmarkStart w:id="2588" w:name="_Toc38440972"/>
      <w:bookmarkStart w:id="2589" w:name="_Toc38441304"/>
      <w:bookmarkStart w:id="2590" w:name="_Toc38441636"/>
      <w:bookmarkStart w:id="2591" w:name="_Toc38441964"/>
      <w:bookmarkStart w:id="2592" w:name="_Toc38442296"/>
      <w:bookmarkStart w:id="2593" w:name="_Toc38442628"/>
      <w:bookmarkStart w:id="2594" w:name="_Toc38442959"/>
      <w:bookmarkStart w:id="2595" w:name="_Toc38443290"/>
      <w:bookmarkStart w:id="2596" w:name="_Toc38443621"/>
      <w:bookmarkStart w:id="2597" w:name="_Toc38443951"/>
      <w:bookmarkStart w:id="2598" w:name="_Toc38438419"/>
      <w:bookmarkStart w:id="2599" w:name="_Toc38438756"/>
      <w:bookmarkStart w:id="2600" w:name="_Toc38439093"/>
      <w:bookmarkStart w:id="2601" w:name="_Toc38439430"/>
      <w:bookmarkStart w:id="2602" w:name="_Toc38439767"/>
      <w:bookmarkStart w:id="2603" w:name="_Toc38440104"/>
      <w:bookmarkStart w:id="2604" w:name="_Toc38440441"/>
      <w:bookmarkStart w:id="2605" w:name="_Toc38440973"/>
      <w:bookmarkStart w:id="2606" w:name="_Toc38441305"/>
      <w:bookmarkStart w:id="2607" w:name="_Toc38441637"/>
      <w:bookmarkStart w:id="2608" w:name="_Toc38441965"/>
      <w:bookmarkStart w:id="2609" w:name="_Toc38442297"/>
      <w:bookmarkStart w:id="2610" w:name="_Toc38442629"/>
      <w:bookmarkStart w:id="2611" w:name="_Toc38442960"/>
      <w:bookmarkStart w:id="2612" w:name="_Toc38443291"/>
      <w:bookmarkStart w:id="2613" w:name="_Toc38443622"/>
      <w:bookmarkStart w:id="2614" w:name="_Toc38443952"/>
      <w:bookmarkStart w:id="2615" w:name="_Toc38438420"/>
      <w:bookmarkStart w:id="2616" w:name="_Toc38438757"/>
      <w:bookmarkStart w:id="2617" w:name="_Toc38439094"/>
      <w:bookmarkStart w:id="2618" w:name="_Toc38439431"/>
      <w:bookmarkStart w:id="2619" w:name="_Toc38439768"/>
      <w:bookmarkStart w:id="2620" w:name="_Toc38440105"/>
      <w:bookmarkStart w:id="2621" w:name="_Toc38440442"/>
      <w:bookmarkStart w:id="2622" w:name="_Toc38440974"/>
      <w:bookmarkStart w:id="2623" w:name="_Toc38441306"/>
      <w:bookmarkStart w:id="2624" w:name="_Toc38441638"/>
      <w:bookmarkStart w:id="2625" w:name="_Toc38441966"/>
      <w:bookmarkStart w:id="2626" w:name="_Toc38442298"/>
      <w:bookmarkStart w:id="2627" w:name="_Toc38442630"/>
      <w:bookmarkStart w:id="2628" w:name="_Toc38442961"/>
      <w:bookmarkStart w:id="2629" w:name="_Toc38443292"/>
      <w:bookmarkStart w:id="2630" w:name="_Toc38443623"/>
      <w:bookmarkStart w:id="2631" w:name="_Toc38443953"/>
      <w:bookmarkStart w:id="2632" w:name="_Toc38438421"/>
      <w:bookmarkStart w:id="2633" w:name="_Toc38438758"/>
      <w:bookmarkStart w:id="2634" w:name="_Toc38439095"/>
      <w:bookmarkStart w:id="2635" w:name="_Toc38439432"/>
      <w:bookmarkStart w:id="2636" w:name="_Toc38439769"/>
      <w:bookmarkStart w:id="2637" w:name="_Toc38440106"/>
      <w:bookmarkStart w:id="2638" w:name="_Toc38440443"/>
      <w:bookmarkStart w:id="2639" w:name="_Toc38440975"/>
      <w:bookmarkStart w:id="2640" w:name="_Toc38441307"/>
      <w:bookmarkStart w:id="2641" w:name="_Toc38441639"/>
      <w:bookmarkStart w:id="2642" w:name="_Toc38441967"/>
      <w:bookmarkStart w:id="2643" w:name="_Toc38442299"/>
      <w:bookmarkStart w:id="2644" w:name="_Toc38442631"/>
      <w:bookmarkStart w:id="2645" w:name="_Toc38442962"/>
      <w:bookmarkStart w:id="2646" w:name="_Toc38443293"/>
      <w:bookmarkStart w:id="2647" w:name="_Toc38443624"/>
      <w:bookmarkStart w:id="2648" w:name="_Toc38443954"/>
      <w:bookmarkStart w:id="2649" w:name="_Toc38438422"/>
      <w:bookmarkStart w:id="2650" w:name="_Toc38438759"/>
      <w:bookmarkStart w:id="2651" w:name="_Toc38439096"/>
      <w:bookmarkStart w:id="2652" w:name="_Toc38439433"/>
      <w:bookmarkStart w:id="2653" w:name="_Toc38439770"/>
      <w:bookmarkStart w:id="2654" w:name="_Toc38440107"/>
      <w:bookmarkStart w:id="2655" w:name="_Toc38440444"/>
      <w:bookmarkStart w:id="2656" w:name="_Toc38440976"/>
      <w:bookmarkStart w:id="2657" w:name="_Toc38441308"/>
      <w:bookmarkStart w:id="2658" w:name="_Toc38441640"/>
      <w:bookmarkStart w:id="2659" w:name="_Toc38441968"/>
      <w:bookmarkStart w:id="2660" w:name="_Toc38442300"/>
      <w:bookmarkStart w:id="2661" w:name="_Toc38442632"/>
      <w:bookmarkStart w:id="2662" w:name="_Toc38442963"/>
      <w:bookmarkStart w:id="2663" w:name="_Toc38443294"/>
      <w:bookmarkStart w:id="2664" w:name="_Toc38443625"/>
      <w:bookmarkStart w:id="2665" w:name="_Toc38443955"/>
      <w:bookmarkStart w:id="2666" w:name="_Toc38438423"/>
      <w:bookmarkStart w:id="2667" w:name="_Toc38438760"/>
      <w:bookmarkStart w:id="2668" w:name="_Toc38439097"/>
      <w:bookmarkStart w:id="2669" w:name="_Toc38439434"/>
      <w:bookmarkStart w:id="2670" w:name="_Toc38439771"/>
      <w:bookmarkStart w:id="2671" w:name="_Toc38440108"/>
      <w:bookmarkStart w:id="2672" w:name="_Toc38440445"/>
      <w:bookmarkStart w:id="2673" w:name="_Toc38440977"/>
      <w:bookmarkStart w:id="2674" w:name="_Toc38441309"/>
      <w:bookmarkStart w:id="2675" w:name="_Toc38441641"/>
      <w:bookmarkStart w:id="2676" w:name="_Toc38441969"/>
      <w:bookmarkStart w:id="2677" w:name="_Toc38442301"/>
      <w:bookmarkStart w:id="2678" w:name="_Toc38442633"/>
      <w:bookmarkStart w:id="2679" w:name="_Toc38442964"/>
      <w:bookmarkStart w:id="2680" w:name="_Toc38443295"/>
      <w:bookmarkStart w:id="2681" w:name="_Toc38443626"/>
      <w:bookmarkStart w:id="2682" w:name="_Toc38443956"/>
      <w:bookmarkStart w:id="2683" w:name="_Toc38438424"/>
      <w:bookmarkStart w:id="2684" w:name="_Toc38438761"/>
      <w:bookmarkStart w:id="2685" w:name="_Toc38439098"/>
      <w:bookmarkStart w:id="2686" w:name="_Toc38439435"/>
      <w:bookmarkStart w:id="2687" w:name="_Toc38439772"/>
      <w:bookmarkStart w:id="2688" w:name="_Toc38440109"/>
      <w:bookmarkStart w:id="2689" w:name="_Toc38440446"/>
      <w:bookmarkStart w:id="2690" w:name="_Toc38440978"/>
      <w:bookmarkStart w:id="2691" w:name="_Toc38441310"/>
      <w:bookmarkStart w:id="2692" w:name="_Toc38441642"/>
      <w:bookmarkStart w:id="2693" w:name="_Toc38441970"/>
      <w:bookmarkStart w:id="2694" w:name="_Toc38442302"/>
      <w:bookmarkStart w:id="2695" w:name="_Toc38442634"/>
      <w:bookmarkStart w:id="2696" w:name="_Toc38442965"/>
      <w:bookmarkStart w:id="2697" w:name="_Toc38443296"/>
      <w:bookmarkStart w:id="2698" w:name="_Toc38443627"/>
      <w:bookmarkStart w:id="2699" w:name="_Toc38443957"/>
      <w:bookmarkStart w:id="2700" w:name="_Toc38438425"/>
      <w:bookmarkStart w:id="2701" w:name="_Toc38438762"/>
      <w:bookmarkStart w:id="2702" w:name="_Toc38439099"/>
      <w:bookmarkStart w:id="2703" w:name="_Toc38439436"/>
      <w:bookmarkStart w:id="2704" w:name="_Toc38439773"/>
      <w:bookmarkStart w:id="2705" w:name="_Toc38440110"/>
      <w:bookmarkStart w:id="2706" w:name="_Toc38440447"/>
      <w:bookmarkStart w:id="2707" w:name="_Toc38440979"/>
      <w:bookmarkStart w:id="2708" w:name="_Toc38441311"/>
      <w:bookmarkStart w:id="2709" w:name="_Toc38441643"/>
      <w:bookmarkStart w:id="2710" w:name="_Toc38441971"/>
      <w:bookmarkStart w:id="2711" w:name="_Toc38442303"/>
      <w:bookmarkStart w:id="2712" w:name="_Toc38442635"/>
      <w:bookmarkStart w:id="2713" w:name="_Toc38442966"/>
      <w:bookmarkStart w:id="2714" w:name="_Toc38443297"/>
      <w:bookmarkStart w:id="2715" w:name="_Toc38443628"/>
      <w:bookmarkStart w:id="2716" w:name="_Toc38443958"/>
      <w:bookmarkStart w:id="2717" w:name="_Toc38438426"/>
      <w:bookmarkStart w:id="2718" w:name="_Toc38438763"/>
      <w:bookmarkStart w:id="2719" w:name="_Toc38439100"/>
      <w:bookmarkStart w:id="2720" w:name="_Toc38439437"/>
      <w:bookmarkStart w:id="2721" w:name="_Toc38439774"/>
      <w:bookmarkStart w:id="2722" w:name="_Toc38440111"/>
      <w:bookmarkStart w:id="2723" w:name="_Toc38440448"/>
      <w:bookmarkStart w:id="2724" w:name="_Toc38440980"/>
      <w:bookmarkStart w:id="2725" w:name="_Toc38441312"/>
      <w:bookmarkStart w:id="2726" w:name="_Toc38441644"/>
      <w:bookmarkStart w:id="2727" w:name="_Toc38441972"/>
      <w:bookmarkStart w:id="2728" w:name="_Toc38442304"/>
      <w:bookmarkStart w:id="2729" w:name="_Toc38442636"/>
      <w:bookmarkStart w:id="2730" w:name="_Toc38442967"/>
      <w:bookmarkStart w:id="2731" w:name="_Toc38443298"/>
      <w:bookmarkStart w:id="2732" w:name="_Toc38443629"/>
      <w:bookmarkStart w:id="2733" w:name="_Toc38443959"/>
      <w:bookmarkStart w:id="2734" w:name="_Toc38438427"/>
      <w:bookmarkStart w:id="2735" w:name="_Toc38438764"/>
      <w:bookmarkStart w:id="2736" w:name="_Toc38439101"/>
      <w:bookmarkStart w:id="2737" w:name="_Toc38439438"/>
      <w:bookmarkStart w:id="2738" w:name="_Toc38439775"/>
      <w:bookmarkStart w:id="2739" w:name="_Toc38440112"/>
      <w:bookmarkStart w:id="2740" w:name="_Toc38440449"/>
      <w:bookmarkStart w:id="2741" w:name="_Toc38440981"/>
      <w:bookmarkStart w:id="2742" w:name="_Toc38441313"/>
      <w:bookmarkStart w:id="2743" w:name="_Toc38441645"/>
      <w:bookmarkStart w:id="2744" w:name="_Toc38441973"/>
      <w:bookmarkStart w:id="2745" w:name="_Toc38442305"/>
      <w:bookmarkStart w:id="2746" w:name="_Toc38442637"/>
      <w:bookmarkStart w:id="2747" w:name="_Toc38442968"/>
      <w:bookmarkStart w:id="2748" w:name="_Toc38443299"/>
      <w:bookmarkStart w:id="2749" w:name="_Toc38443630"/>
      <w:bookmarkStart w:id="2750" w:name="_Toc38443960"/>
      <w:bookmarkStart w:id="2751" w:name="_Toc38438428"/>
      <w:bookmarkStart w:id="2752" w:name="_Toc38438765"/>
      <w:bookmarkStart w:id="2753" w:name="_Toc38439102"/>
      <w:bookmarkStart w:id="2754" w:name="_Toc38439439"/>
      <w:bookmarkStart w:id="2755" w:name="_Toc38439776"/>
      <w:bookmarkStart w:id="2756" w:name="_Toc38440113"/>
      <w:bookmarkStart w:id="2757" w:name="_Toc38440450"/>
      <w:bookmarkStart w:id="2758" w:name="_Toc38440982"/>
      <w:bookmarkStart w:id="2759" w:name="_Toc38441314"/>
      <w:bookmarkStart w:id="2760" w:name="_Toc38441646"/>
      <w:bookmarkStart w:id="2761" w:name="_Toc38441974"/>
      <w:bookmarkStart w:id="2762" w:name="_Toc38442306"/>
      <w:bookmarkStart w:id="2763" w:name="_Toc38442638"/>
      <w:bookmarkStart w:id="2764" w:name="_Toc38442969"/>
      <w:bookmarkStart w:id="2765" w:name="_Toc38443300"/>
      <w:bookmarkStart w:id="2766" w:name="_Toc38443631"/>
      <w:bookmarkStart w:id="2767" w:name="_Toc38443961"/>
      <w:bookmarkStart w:id="2768" w:name="_Toc38438429"/>
      <w:bookmarkStart w:id="2769" w:name="_Toc38438766"/>
      <w:bookmarkStart w:id="2770" w:name="_Toc38439103"/>
      <w:bookmarkStart w:id="2771" w:name="_Toc38439440"/>
      <w:bookmarkStart w:id="2772" w:name="_Toc38439777"/>
      <w:bookmarkStart w:id="2773" w:name="_Toc38440114"/>
      <w:bookmarkStart w:id="2774" w:name="_Toc38440451"/>
      <w:bookmarkStart w:id="2775" w:name="_Toc38440983"/>
      <w:bookmarkStart w:id="2776" w:name="_Toc38441315"/>
      <w:bookmarkStart w:id="2777" w:name="_Toc38441647"/>
      <w:bookmarkStart w:id="2778" w:name="_Toc38441975"/>
      <w:bookmarkStart w:id="2779" w:name="_Toc38442307"/>
      <w:bookmarkStart w:id="2780" w:name="_Toc38442639"/>
      <w:bookmarkStart w:id="2781" w:name="_Toc38442970"/>
      <w:bookmarkStart w:id="2782" w:name="_Toc38443301"/>
      <w:bookmarkStart w:id="2783" w:name="_Toc38443632"/>
      <w:bookmarkStart w:id="2784" w:name="_Toc38443962"/>
      <w:bookmarkStart w:id="2785" w:name="_Toc38438430"/>
      <w:bookmarkStart w:id="2786" w:name="_Toc38438767"/>
      <w:bookmarkStart w:id="2787" w:name="_Toc38439104"/>
      <w:bookmarkStart w:id="2788" w:name="_Toc38439441"/>
      <w:bookmarkStart w:id="2789" w:name="_Toc38439778"/>
      <w:bookmarkStart w:id="2790" w:name="_Toc38440115"/>
      <w:bookmarkStart w:id="2791" w:name="_Toc38440452"/>
      <w:bookmarkStart w:id="2792" w:name="_Toc38440984"/>
      <w:bookmarkStart w:id="2793" w:name="_Toc38441316"/>
      <w:bookmarkStart w:id="2794" w:name="_Toc38441648"/>
      <w:bookmarkStart w:id="2795" w:name="_Toc38441976"/>
      <w:bookmarkStart w:id="2796" w:name="_Toc38442308"/>
      <w:bookmarkStart w:id="2797" w:name="_Toc38442640"/>
      <w:bookmarkStart w:id="2798" w:name="_Toc38442971"/>
      <w:bookmarkStart w:id="2799" w:name="_Toc38443302"/>
      <w:bookmarkStart w:id="2800" w:name="_Toc38443633"/>
      <w:bookmarkStart w:id="2801" w:name="_Toc38443963"/>
      <w:bookmarkStart w:id="2802" w:name="_Toc38438431"/>
      <w:bookmarkStart w:id="2803" w:name="_Toc38438768"/>
      <w:bookmarkStart w:id="2804" w:name="_Toc38439105"/>
      <w:bookmarkStart w:id="2805" w:name="_Toc38439442"/>
      <w:bookmarkStart w:id="2806" w:name="_Toc38439779"/>
      <w:bookmarkStart w:id="2807" w:name="_Toc38440116"/>
      <w:bookmarkStart w:id="2808" w:name="_Toc38440453"/>
      <w:bookmarkStart w:id="2809" w:name="_Toc38440985"/>
      <w:bookmarkStart w:id="2810" w:name="_Toc38441317"/>
      <w:bookmarkStart w:id="2811" w:name="_Toc38441649"/>
      <w:bookmarkStart w:id="2812" w:name="_Toc38441977"/>
      <w:bookmarkStart w:id="2813" w:name="_Toc38442309"/>
      <w:bookmarkStart w:id="2814" w:name="_Toc38442641"/>
      <w:bookmarkStart w:id="2815" w:name="_Toc38442972"/>
      <w:bookmarkStart w:id="2816" w:name="_Toc38443303"/>
      <w:bookmarkStart w:id="2817" w:name="_Toc38443634"/>
      <w:bookmarkStart w:id="2818" w:name="_Toc38443964"/>
      <w:bookmarkStart w:id="2819" w:name="_Toc38438432"/>
      <w:bookmarkStart w:id="2820" w:name="_Toc38438769"/>
      <w:bookmarkStart w:id="2821" w:name="_Toc38439106"/>
      <w:bookmarkStart w:id="2822" w:name="_Toc38439443"/>
      <w:bookmarkStart w:id="2823" w:name="_Toc38439780"/>
      <w:bookmarkStart w:id="2824" w:name="_Toc38440117"/>
      <w:bookmarkStart w:id="2825" w:name="_Toc38440454"/>
      <w:bookmarkStart w:id="2826" w:name="_Toc38440986"/>
      <w:bookmarkStart w:id="2827" w:name="_Toc38441318"/>
      <w:bookmarkStart w:id="2828" w:name="_Toc38441650"/>
      <w:bookmarkStart w:id="2829" w:name="_Toc38441978"/>
      <w:bookmarkStart w:id="2830" w:name="_Toc38442310"/>
      <w:bookmarkStart w:id="2831" w:name="_Toc38442642"/>
      <w:bookmarkStart w:id="2832" w:name="_Toc38442973"/>
      <w:bookmarkStart w:id="2833" w:name="_Toc38443304"/>
      <w:bookmarkStart w:id="2834" w:name="_Toc38443635"/>
      <w:bookmarkStart w:id="2835" w:name="_Toc38443965"/>
      <w:bookmarkStart w:id="2836" w:name="_Toc38438433"/>
      <w:bookmarkStart w:id="2837" w:name="_Toc38438770"/>
      <w:bookmarkStart w:id="2838" w:name="_Toc38439107"/>
      <w:bookmarkStart w:id="2839" w:name="_Toc38439444"/>
      <w:bookmarkStart w:id="2840" w:name="_Toc38439781"/>
      <w:bookmarkStart w:id="2841" w:name="_Toc38440118"/>
      <w:bookmarkStart w:id="2842" w:name="_Toc38440455"/>
      <w:bookmarkStart w:id="2843" w:name="_Toc38440987"/>
      <w:bookmarkStart w:id="2844" w:name="_Toc38441319"/>
      <w:bookmarkStart w:id="2845" w:name="_Toc38441651"/>
      <w:bookmarkStart w:id="2846" w:name="_Toc38441979"/>
      <w:bookmarkStart w:id="2847" w:name="_Toc38442311"/>
      <w:bookmarkStart w:id="2848" w:name="_Toc38442643"/>
      <w:bookmarkStart w:id="2849" w:name="_Toc38442974"/>
      <w:bookmarkStart w:id="2850" w:name="_Toc38443305"/>
      <w:bookmarkStart w:id="2851" w:name="_Toc38443636"/>
      <w:bookmarkStart w:id="2852" w:name="_Toc38443966"/>
      <w:bookmarkStart w:id="2853" w:name="_Toc38438434"/>
      <w:bookmarkStart w:id="2854" w:name="_Toc38438771"/>
      <w:bookmarkStart w:id="2855" w:name="_Toc38439108"/>
      <w:bookmarkStart w:id="2856" w:name="_Toc38439445"/>
      <w:bookmarkStart w:id="2857" w:name="_Toc38439782"/>
      <w:bookmarkStart w:id="2858" w:name="_Toc38440119"/>
      <w:bookmarkStart w:id="2859" w:name="_Toc38440456"/>
      <w:bookmarkStart w:id="2860" w:name="_Toc38440988"/>
      <w:bookmarkStart w:id="2861" w:name="_Toc38441320"/>
      <w:bookmarkStart w:id="2862" w:name="_Toc38441652"/>
      <w:bookmarkStart w:id="2863" w:name="_Toc38441980"/>
      <w:bookmarkStart w:id="2864" w:name="_Toc38442312"/>
      <w:bookmarkStart w:id="2865" w:name="_Toc38442644"/>
      <w:bookmarkStart w:id="2866" w:name="_Toc38442975"/>
      <w:bookmarkStart w:id="2867" w:name="_Toc38443306"/>
      <w:bookmarkStart w:id="2868" w:name="_Toc38443637"/>
      <w:bookmarkStart w:id="2869" w:name="_Toc38443967"/>
      <w:bookmarkStart w:id="2870" w:name="_Toc38438435"/>
      <w:bookmarkStart w:id="2871" w:name="_Toc38438772"/>
      <w:bookmarkStart w:id="2872" w:name="_Toc38439109"/>
      <w:bookmarkStart w:id="2873" w:name="_Toc38439446"/>
      <w:bookmarkStart w:id="2874" w:name="_Toc38439783"/>
      <w:bookmarkStart w:id="2875" w:name="_Toc38440120"/>
      <w:bookmarkStart w:id="2876" w:name="_Toc38440457"/>
      <w:bookmarkStart w:id="2877" w:name="_Toc38440989"/>
      <w:bookmarkStart w:id="2878" w:name="_Toc38441321"/>
      <w:bookmarkStart w:id="2879" w:name="_Toc38441653"/>
      <w:bookmarkStart w:id="2880" w:name="_Toc38441981"/>
      <w:bookmarkStart w:id="2881" w:name="_Toc38442313"/>
      <w:bookmarkStart w:id="2882" w:name="_Toc38442645"/>
      <w:bookmarkStart w:id="2883" w:name="_Toc38442976"/>
      <w:bookmarkStart w:id="2884" w:name="_Toc38443307"/>
      <w:bookmarkStart w:id="2885" w:name="_Toc38443638"/>
      <w:bookmarkStart w:id="2886" w:name="_Toc38443968"/>
      <w:bookmarkStart w:id="2887" w:name="_Toc38438436"/>
      <w:bookmarkStart w:id="2888" w:name="_Toc38438773"/>
      <w:bookmarkStart w:id="2889" w:name="_Toc38439110"/>
      <w:bookmarkStart w:id="2890" w:name="_Toc38439447"/>
      <w:bookmarkStart w:id="2891" w:name="_Toc38439784"/>
      <w:bookmarkStart w:id="2892" w:name="_Toc38440121"/>
      <w:bookmarkStart w:id="2893" w:name="_Toc38440458"/>
      <w:bookmarkStart w:id="2894" w:name="_Toc38440990"/>
      <w:bookmarkStart w:id="2895" w:name="_Toc38441322"/>
      <w:bookmarkStart w:id="2896" w:name="_Toc38441654"/>
      <w:bookmarkStart w:id="2897" w:name="_Toc38441982"/>
      <w:bookmarkStart w:id="2898" w:name="_Toc38442314"/>
      <w:bookmarkStart w:id="2899" w:name="_Toc38442646"/>
      <w:bookmarkStart w:id="2900" w:name="_Toc38442977"/>
      <w:bookmarkStart w:id="2901" w:name="_Toc38443308"/>
      <w:bookmarkStart w:id="2902" w:name="_Toc38443639"/>
      <w:bookmarkStart w:id="2903" w:name="_Toc38443969"/>
      <w:bookmarkStart w:id="2904" w:name="_Toc38438437"/>
      <w:bookmarkStart w:id="2905" w:name="_Toc38438774"/>
      <w:bookmarkStart w:id="2906" w:name="_Toc38439111"/>
      <w:bookmarkStart w:id="2907" w:name="_Toc38439448"/>
      <w:bookmarkStart w:id="2908" w:name="_Toc38439785"/>
      <w:bookmarkStart w:id="2909" w:name="_Toc38440122"/>
      <w:bookmarkStart w:id="2910" w:name="_Toc38440459"/>
      <w:bookmarkStart w:id="2911" w:name="_Toc38440991"/>
      <w:bookmarkStart w:id="2912" w:name="_Toc38441323"/>
      <w:bookmarkStart w:id="2913" w:name="_Toc38441655"/>
      <w:bookmarkStart w:id="2914" w:name="_Toc38441983"/>
      <w:bookmarkStart w:id="2915" w:name="_Toc38442315"/>
      <w:bookmarkStart w:id="2916" w:name="_Toc38442647"/>
      <w:bookmarkStart w:id="2917" w:name="_Toc38442978"/>
      <w:bookmarkStart w:id="2918" w:name="_Toc38443309"/>
      <w:bookmarkStart w:id="2919" w:name="_Toc38443640"/>
      <w:bookmarkStart w:id="2920" w:name="_Toc38443970"/>
      <w:bookmarkStart w:id="2921" w:name="_Toc38438438"/>
      <w:bookmarkStart w:id="2922" w:name="_Toc38438775"/>
      <w:bookmarkStart w:id="2923" w:name="_Toc38439112"/>
      <w:bookmarkStart w:id="2924" w:name="_Toc38439449"/>
      <w:bookmarkStart w:id="2925" w:name="_Toc38439786"/>
      <w:bookmarkStart w:id="2926" w:name="_Toc38440123"/>
      <w:bookmarkStart w:id="2927" w:name="_Toc38440460"/>
      <w:bookmarkStart w:id="2928" w:name="_Toc38440992"/>
      <w:bookmarkStart w:id="2929" w:name="_Toc38441324"/>
      <w:bookmarkStart w:id="2930" w:name="_Toc38441656"/>
      <w:bookmarkStart w:id="2931" w:name="_Toc38441984"/>
      <w:bookmarkStart w:id="2932" w:name="_Toc38442316"/>
      <w:bookmarkStart w:id="2933" w:name="_Toc38442648"/>
      <w:bookmarkStart w:id="2934" w:name="_Toc38442979"/>
      <w:bookmarkStart w:id="2935" w:name="_Toc38443310"/>
      <w:bookmarkStart w:id="2936" w:name="_Toc38443641"/>
      <w:bookmarkStart w:id="2937" w:name="_Toc38443971"/>
      <w:bookmarkStart w:id="2938" w:name="_Toc38438439"/>
      <w:bookmarkStart w:id="2939" w:name="_Toc38438776"/>
      <w:bookmarkStart w:id="2940" w:name="_Toc38439113"/>
      <w:bookmarkStart w:id="2941" w:name="_Toc38439450"/>
      <w:bookmarkStart w:id="2942" w:name="_Toc38439787"/>
      <w:bookmarkStart w:id="2943" w:name="_Toc38440124"/>
      <w:bookmarkStart w:id="2944" w:name="_Toc38440461"/>
      <w:bookmarkStart w:id="2945" w:name="_Toc38440993"/>
      <w:bookmarkStart w:id="2946" w:name="_Toc38441325"/>
      <w:bookmarkStart w:id="2947" w:name="_Toc38441657"/>
      <w:bookmarkStart w:id="2948" w:name="_Toc38441985"/>
      <w:bookmarkStart w:id="2949" w:name="_Toc38442317"/>
      <w:bookmarkStart w:id="2950" w:name="_Toc38442649"/>
      <w:bookmarkStart w:id="2951" w:name="_Toc38442980"/>
      <w:bookmarkStart w:id="2952" w:name="_Toc38443311"/>
      <w:bookmarkStart w:id="2953" w:name="_Toc38443642"/>
      <w:bookmarkStart w:id="2954" w:name="_Toc38443972"/>
      <w:bookmarkStart w:id="2955" w:name="_Toc38438440"/>
      <w:bookmarkStart w:id="2956" w:name="_Toc38438777"/>
      <w:bookmarkStart w:id="2957" w:name="_Toc38439114"/>
      <w:bookmarkStart w:id="2958" w:name="_Toc38439451"/>
      <w:bookmarkStart w:id="2959" w:name="_Toc38439788"/>
      <w:bookmarkStart w:id="2960" w:name="_Toc38440125"/>
      <w:bookmarkStart w:id="2961" w:name="_Toc38440462"/>
      <w:bookmarkStart w:id="2962" w:name="_Toc38440994"/>
      <w:bookmarkStart w:id="2963" w:name="_Toc38441326"/>
      <w:bookmarkStart w:id="2964" w:name="_Toc38441658"/>
      <w:bookmarkStart w:id="2965" w:name="_Toc38441986"/>
      <w:bookmarkStart w:id="2966" w:name="_Toc38442318"/>
      <w:bookmarkStart w:id="2967" w:name="_Toc38442650"/>
      <w:bookmarkStart w:id="2968" w:name="_Toc38442981"/>
      <w:bookmarkStart w:id="2969" w:name="_Toc38443312"/>
      <w:bookmarkStart w:id="2970" w:name="_Toc38443643"/>
      <w:bookmarkStart w:id="2971" w:name="_Toc38443973"/>
      <w:bookmarkStart w:id="2972" w:name="_Toc38438441"/>
      <w:bookmarkStart w:id="2973" w:name="_Toc38438778"/>
      <w:bookmarkStart w:id="2974" w:name="_Toc38439115"/>
      <w:bookmarkStart w:id="2975" w:name="_Toc38439452"/>
      <w:bookmarkStart w:id="2976" w:name="_Toc38439789"/>
      <w:bookmarkStart w:id="2977" w:name="_Toc38440126"/>
      <w:bookmarkStart w:id="2978" w:name="_Toc38440463"/>
      <w:bookmarkStart w:id="2979" w:name="_Toc38440995"/>
      <w:bookmarkStart w:id="2980" w:name="_Toc38441327"/>
      <w:bookmarkStart w:id="2981" w:name="_Toc38441659"/>
      <w:bookmarkStart w:id="2982" w:name="_Toc38441987"/>
      <w:bookmarkStart w:id="2983" w:name="_Toc38442319"/>
      <w:bookmarkStart w:id="2984" w:name="_Toc38442651"/>
      <w:bookmarkStart w:id="2985" w:name="_Toc38442982"/>
      <w:bookmarkStart w:id="2986" w:name="_Toc38443313"/>
      <w:bookmarkStart w:id="2987" w:name="_Toc38443644"/>
      <w:bookmarkStart w:id="2988" w:name="_Toc38443974"/>
      <w:bookmarkStart w:id="2989" w:name="_Toc38438442"/>
      <w:bookmarkStart w:id="2990" w:name="_Toc38438779"/>
      <w:bookmarkStart w:id="2991" w:name="_Toc38439116"/>
      <w:bookmarkStart w:id="2992" w:name="_Toc38439453"/>
      <w:bookmarkStart w:id="2993" w:name="_Toc38439790"/>
      <w:bookmarkStart w:id="2994" w:name="_Toc38440127"/>
      <w:bookmarkStart w:id="2995" w:name="_Toc38440464"/>
      <w:bookmarkStart w:id="2996" w:name="_Toc38440996"/>
      <w:bookmarkStart w:id="2997" w:name="_Toc38441328"/>
      <w:bookmarkStart w:id="2998" w:name="_Toc38441660"/>
      <w:bookmarkStart w:id="2999" w:name="_Toc38441988"/>
      <w:bookmarkStart w:id="3000" w:name="_Toc38442320"/>
      <w:bookmarkStart w:id="3001" w:name="_Toc38442652"/>
      <w:bookmarkStart w:id="3002" w:name="_Toc38442983"/>
      <w:bookmarkStart w:id="3003" w:name="_Toc38443314"/>
      <w:bookmarkStart w:id="3004" w:name="_Toc38443645"/>
      <w:bookmarkStart w:id="3005" w:name="_Toc38443975"/>
      <w:bookmarkStart w:id="3006" w:name="_Toc38438443"/>
      <w:bookmarkStart w:id="3007" w:name="_Toc38438780"/>
      <w:bookmarkStart w:id="3008" w:name="_Toc38439117"/>
      <w:bookmarkStart w:id="3009" w:name="_Toc38439454"/>
      <w:bookmarkStart w:id="3010" w:name="_Toc38439791"/>
      <w:bookmarkStart w:id="3011" w:name="_Toc38440128"/>
      <w:bookmarkStart w:id="3012" w:name="_Toc38440465"/>
      <w:bookmarkStart w:id="3013" w:name="_Toc38440997"/>
      <w:bookmarkStart w:id="3014" w:name="_Toc38441329"/>
      <w:bookmarkStart w:id="3015" w:name="_Toc38441661"/>
      <w:bookmarkStart w:id="3016" w:name="_Toc38441989"/>
      <w:bookmarkStart w:id="3017" w:name="_Toc38442321"/>
      <w:bookmarkStart w:id="3018" w:name="_Toc38442653"/>
      <w:bookmarkStart w:id="3019" w:name="_Toc38442984"/>
      <w:bookmarkStart w:id="3020" w:name="_Toc38443315"/>
      <w:bookmarkStart w:id="3021" w:name="_Toc38443646"/>
      <w:bookmarkStart w:id="3022" w:name="_Toc38443976"/>
      <w:bookmarkStart w:id="3023" w:name="_Toc38438444"/>
      <w:bookmarkStart w:id="3024" w:name="_Toc38438781"/>
      <w:bookmarkStart w:id="3025" w:name="_Toc38439118"/>
      <w:bookmarkStart w:id="3026" w:name="_Toc38439455"/>
      <w:bookmarkStart w:id="3027" w:name="_Toc38439792"/>
      <w:bookmarkStart w:id="3028" w:name="_Toc38440129"/>
      <w:bookmarkStart w:id="3029" w:name="_Toc38440466"/>
      <w:bookmarkStart w:id="3030" w:name="_Toc38440998"/>
      <w:bookmarkStart w:id="3031" w:name="_Toc38441330"/>
      <w:bookmarkStart w:id="3032" w:name="_Toc38441662"/>
      <w:bookmarkStart w:id="3033" w:name="_Toc38441990"/>
      <w:bookmarkStart w:id="3034" w:name="_Toc38442322"/>
      <w:bookmarkStart w:id="3035" w:name="_Toc38442654"/>
      <w:bookmarkStart w:id="3036" w:name="_Toc38442985"/>
      <w:bookmarkStart w:id="3037" w:name="_Toc38443316"/>
      <w:bookmarkStart w:id="3038" w:name="_Toc38443647"/>
      <w:bookmarkStart w:id="3039" w:name="_Toc38443977"/>
      <w:bookmarkStart w:id="3040" w:name="_Toc38438445"/>
      <w:bookmarkStart w:id="3041" w:name="_Toc38438782"/>
      <w:bookmarkStart w:id="3042" w:name="_Toc38439119"/>
      <w:bookmarkStart w:id="3043" w:name="_Toc38439456"/>
      <w:bookmarkStart w:id="3044" w:name="_Toc38439793"/>
      <w:bookmarkStart w:id="3045" w:name="_Toc38440130"/>
      <w:bookmarkStart w:id="3046" w:name="_Toc38440467"/>
      <w:bookmarkStart w:id="3047" w:name="_Toc38440999"/>
      <w:bookmarkStart w:id="3048" w:name="_Toc38441331"/>
      <w:bookmarkStart w:id="3049" w:name="_Toc38441663"/>
      <w:bookmarkStart w:id="3050" w:name="_Toc38441991"/>
      <w:bookmarkStart w:id="3051" w:name="_Toc38442323"/>
      <w:bookmarkStart w:id="3052" w:name="_Toc38442655"/>
      <w:bookmarkStart w:id="3053" w:name="_Toc38442986"/>
      <w:bookmarkStart w:id="3054" w:name="_Toc38443317"/>
      <w:bookmarkStart w:id="3055" w:name="_Toc38443648"/>
      <w:bookmarkStart w:id="3056" w:name="_Toc38443978"/>
      <w:bookmarkStart w:id="3057" w:name="_Toc38438446"/>
      <w:bookmarkStart w:id="3058" w:name="_Toc38438783"/>
      <w:bookmarkStart w:id="3059" w:name="_Toc38439120"/>
      <w:bookmarkStart w:id="3060" w:name="_Toc38439457"/>
      <w:bookmarkStart w:id="3061" w:name="_Toc38439794"/>
      <w:bookmarkStart w:id="3062" w:name="_Toc38440131"/>
      <w:bookmarkStart w:id="3063" w:name="_Toc38440468"/>
      <w:bookmarkStart w:id="3064" w:name="_Toc38441000"/>
      <w:bookmarkStart w:id="3065" w:name="_Toc38441332"/>
      <w:bookmarkStart w:id="3066" w:name="_Toc38441664"/>
      <w:bookmarkStart w:id="3067" w:name="_Toc38441992"/>
      <w:bookmarkStart w:id="3068" w:name="_Toc38442324"/>
      <w:bookmarkStart w:id="3069" w:name="_Toc38442656"/>
      <w:bookmarkStart w:id="3070" w:name="_Toc38442987"/>
      <w:bookmarkStart w:id="3071" w:name="_Toc38443318"/>
      <w:bookmarkStart w:id="3072" w:name="_Toc38443649"/>
      <w:bookmarkStart w:id="3073" w:name="_Toc38443979"/>
      <w:bookmarkStart w:id="3074" w:name="_Toc38438447"/>
      <w:bookmarkStart w:id="3075" w:name="_Toc38438784"/>
      <w:bookmarkStart w:id="3076" w:name="_Toc38439121"/>
      <w:bookmarkStart w:id="3077" w:name="_Toc38439458"/>
      <w:bookmarkStart w:id="3078" w:name="_Toc38439795"/>
      <w:bookmarkStart w:id="3079" w:name="_Toc38440132"/>
      <w:bookmarkStart w:id="3080" w:name="_Toc38440469"/>
      <w:bookmarkStart w:id="3081" w:name="_Toc38441001"/>
      <w:bookmarkStart w:id="3082" w:name="_Toc38441333"/>
      <w:bookmarkStart w:id="3083" w:name="_Toc38441665"/>
      <w:bookmarkStart w:id="3084" w:name="_Toc38441993"/>
      <w:bookmarkStart w:id="3085" w:name="_Toc38442325"/>
      <w:bookmarkStart w:id="3086" w:name="_Toc38442657"/>
      <w:bookmarkStart w:id="3087" w:name="_Toc38442988"/>
      <w:bookmarkStart w:id="3088" w:name="_Toc38443319"/>
      <w:bookmarkStart w:id="3089" w:name="_Toc38443650"/>
      <w:bookmarkStart w:id="3090" w:name="_Toc38443980"/>
      <w:bookmarkStart w:id="3091" w:name="_Toc38438448"/>
      <w:bookmarkStart w:id="3092" w:name="_Toc38438785"/>
      <w:bookmarkStart w:id="3093" w:name="_Toc38439122"/>
      <w:bookmarkStart w:id="3094" w:name="_Toc38439459"/>
      <w:bookmarkStart w:id="3095" w:name="_Toc38439796"/>
      <w:bookmarkStart w:id="3096" w:name="_Toc38440133"/>
      <w:bookmarkStart w:id="3097" w:name="_Toc38440470"/>
      <w:bookmarkStart w:id="3098" w:name="_Toc38441002"/>
      <w:bookmarkStart w:id="3099" w:name="_Toc38441334"/>
      <w:bookmarkStart w:id="3100" w:name="_Toc38441666"/>
      <w:bookmarkStart w:id="3101" w:name="_Toc38441994"/>
      <w:bookmarkStart w:id="3102" w:name="_Toc38442326"/>
      <w:bookmarkStart w:id="3103" w:name="_Toc38442658"/>
      <w:bookmarkStart w:id="3104" w:name="_Toc38442989"/>
      <w:bookmarkStart w:id="3105" w:name="_Toc38443320"/>
      <w:bookmarkStart w:id="3106" w:name="_Toc38443651"/>
      <w:bookmarkStart w:id="3107" w:name="_Toc38443981"/>
      <w:bookmarkStart w:id="3108" w:name="_Toc38438449"/>
      <w:bookmarkStart w:id="3109" w:name="_Toc38438786"/>
      <w:bookmarkStart w:id="3110" w:name="_Toc38439123"/>
      <w:bookmarkStart w:id="3111" w:name="_Toc38439460"/>
      <w:bookmarkStart w:id="3112" w:name="_Toc38439797"/>
      <w:bookmarkStart w:id="3113" w:name="_Toc38440134"/>
      <w:bookmarkStart w:id="3114" w:name="_Toc38440471"/>
      <w:bookmarkStart w:id="3115" w:name="_Toc38441003"/>
      <w:bookmarkStart w:id="3116" w:name="_Toc38441335"/>
      <w:bookmarkStart w:id="3117" w:name="_Toc38441667"/>
      <w:bookmarkStart w:id="3118" w:name="_Toc38441995"/>
      <w:bookmarkStart w:id="3119" w:name="_Toc38442327"/>
      <w:bookmarkStart w:id="3120" w:name="_Toc38442659"/>
      <w:bookmarkStart w:id="3121" w:name="_Toc38442990"/>
      <w:bookmarkStart w:id="3122" w:name="_Toc38443321"/>
      <w:bookmarkStart w:id="3123" w:name="_Toc38443652"/>
      <w:bookmarkStart w:id="3124" w:name="_Toc38443982"/>
      <w:bookmarkStart w:id="3125" w:name="_Toc38438450"/>
      <w:bookmarkStart w:id="3126" w:name="_Toc38438787"/>
      <w:bookmarkStart w:id="3127" w:name="_Toc38439124"/>
      <w:bookmarkStart w:id="3128" w:name="_Toc38439461"/>
      <w:bookmarkStart w:id="3129" w:name="_Toc38439798"/>
      <w:bookmarkStart w:id="3130" w:name="_Toc38440135"/>
      <w:bookmarkStart w:id="3131" w:name="_Toc38440472"/>
      <w:bookmarkStart w:id="3132" w:name="_Toc38441004"/>
      <w:bookmarkStart w:id="3133" w:name="_Toc38441336"/>
      <w:bookmarkStart w:id="3134" w:name="_Toc38441668"/>
      <w:bookmarkStart w:id="3135" w:name="_Toc38441996"/>
      <w:bookmarkStart w:id="3136" w:name="_Toc38442328"/>
      <w:bookmarkStart w:id="3137" w:name="_Toc38442660"/>
      <w:bookmarkStart w:id="3138" w:name="_Toc38442991"/>
      <w:bookmarkStart w:id="3139" w:name="_Toc38443322"/>
      <w:bookmarkStart w:id="3140" w:name="_Toc38443653"/>
      <w:bookmarkStart w:id="3141" w:name="_Toc38443983"/>
      <w:bookmarkStart w:id="3142" w:name="_Toc38438451"/>
      <w:bookmarkStart w:id="3143" w:name="_Toc38438788"/>
      <w:bookmarkStart w:id="3144" w:name="_Toc38439125"/>
      <w:bookmarkStart w:id="3145" w:name="_Toc38439462"/>
      <w:bookmarkStart w:id="3146" w:name="_Toc38439799"/>
      <w:bookmarkStart w:id="3147" w:name="_Toc38440136"/>
      <w:bookmarkStart w:id="3148" w:name="_Toc38440473"/>
      <w:bookmarkStart w:id="3149" w:name="_Toc38441005"/>
      <w:bookmarkStart w:id="3150" w:name="_Toc38441337"/>
      <w:bookmarkStart w:id="3151" w:name="_Toc38441669"/>
      <w:bookmarkStart w:id="3152" w:name="_Toc38441997"/>
      <w:bookmarkStart w:id="3153" w:name="_Toc38442329"/>
      <w:bookmarkStart w:id="3154" w:name="_Toc38442661"/>
      <w:bookmarkStart w:id="3155" w:name="_Toc38442992"/>
      <w:bookmarkStart w:id="3156" w:name="_Toc38443323"/>
      <w:bookmarkStart w:id="3157" w:name="_Toc38443654"/>
      <w:bookmarkStart w:id="3158" w:name="_Toc38443984"/>
      <w:bookmarkStart w:id="3159" w:name="_Toc38438452"/>
      <w:bookmarkStart w:id="3160" w:name="_Toc38438789"/>
      <w:bookmarkStart w:id="3161" w:name="_Toc38439126"/>
      <w:bookmarkStart w:id="3162" w:name="_Toc38439463"/>
      <w:bookmarkStart w:id="3163" w:name="_Toc38439800"/>
      <w:bookmarkStart w:id="3164" w:name="_Toc38440137"/>
      <w:bookmarkStart w:id="3165" w:name="_Toc38440474"/>
      <w:bookmarkStart w:id="3166" w:name="_Toc38441006"/>
      <w:bookmarkStart w:id="3167" w:name="_Toc38441338"/>
      <w:bookmarkStart w:id="3168" w:name="_Toc38441670"/>
      <w:bookmarkStart w:id="3169" w:name="_Toc38441998"/>
      <w:bookmarkStart w:id="3170" w:name="_Toc38442330"/>
      <w:bookmarkStart w:id="3171" w:name="_Toc38442662"/>
      <w:bookmarkStart w:id="3172" w:name="_Toc38442993"/>
      <w:bookmarkStart w:id="3173" w:name="_Toc38443324"/>
      <w:bookmarkStart w:id="3174" w:name="_Toc38443655"/>
      <w:bookmarkStart w:id="3175" w:name="_Toc38443985"/>
      <w:bookmarkStart w:id="3176" w:name="_Toc38438453"/>
      <w:bookmarkStart w:id="3177" w:name="_Toc38438790"/>
      <w:bookmarkStart w:id="3178" w:name="_Toc38439127"/>
      <w:bookmarkStart w:id="3179" w:name="_Toc38439464"/>
      <w:bookmarkStart w:id="3180" w:name="_Toc38439801"/>
      <w:bookmarkStart w:id="3181" w:name="_Toc38440138"/>
      <w:bookmarkStart w:id="3182" w:name="_Toc38440475"/>
      <w:bookmarkStart w:id="3183" w:name="_Toc38441007"/>
      <w:bookmarkStart w:id="3184" w:name="_Toc38441339"/>
      <w:bookmarkStart w:id="3185" w:name="_Toc38441671"/>
      <w:bookmarkStart w:id="3186" w:name="_Toc38441999"/>
      <w:bookmarkStart w:id="3187" w:name="_Toc38442331"/>
      <w:bookmarkStart w:id="3188" w:name="_Toc38442663"/>
      <w:bookmarkStart w:id="3189" w:name="_Toc38442994"/>
      <w:bookmarkStart w:id="3190" w:name="_Toc38443325"/>
      <w:bookmarkStart w:id="3191" w:name="_Toc38443656"/>
      <w:bookmarkStart w:id="3192" w:name="_Toc38443986"/>
      <w:bookmarkStart w:id="3193" w:name="_Toc38438454"/>
      <w:bookmarkStart w:id="3194" w:name="_Toc38438791"/>
      <w:bookmarkStart w:id="3195" w:name="_Toc38439128"/>
      <w:bookmarkStart w:id="3196" w:name="_Toc38439465"/>
      <w:bookmarkStart w:id="3197" w:name="_Toc38439802"/>
      <w:bookmarkStart w:id="3198" w:name="_Toc38440139"/>
      <w:bookmarkStart w:id="3199" w:name="_Toc38440476"/>
      <w:bookmarkStart w:id="3200" w:name="_Toc38441008"/>
      <w:bookmarkStart w:id="3201" w:name="_Toc38441340"/>
      <w:bookmarkStart w:id="3202" w:name="_Toc38441672"/>
      <w:bookmarkStart w:id="3203" w:name="_Toc38442000"/>
      <w:bookmarkStart w:id="3204" w:name="_Toc38442332"/>
      <w:bookmarkStart w:id="3205" w:name="_Toc38442664"/>
      <w:bookmarkStart w:id="3206" w:name="_Toc38442995"/>
      <w:bookmarkStart w:id="3207" w:name="_Toc38443326"/>
      <w:bookmarkStart w:id="3208" w:name="_Toc38443657"/>
      <w:bookmarkStart w:id="3209" w:name="_Toc38443987"/>
      <w:bookmarkStart w:id="3210" w:name="_Toc38438455"/>
      <w:bookmarkStart w:id="3211" w:name="_Toc38438792"/>
      <w:bookmarkStart w:id="3212" w:name="_Toc38439129"/>
      <w:bookmarkStart w:id="3213" w:name="_Toc38439466"/>
      <w:bookmarkStart w:id="3214" w:name="_Toc38439803"/>
      <w:bookmarkStart w:id="3215" w:name="_Toc38440140"/>
      <w:bookmarkStart w:id="3216" w:name="_Toc38440477"/>
      <w:bookmarkStart w:id="3217" w:name="_Toc38441009"/>
      <w:bookmarkStart w:id="3218" w:name="_Toc38441341"/>
      <w:bookmarkStart w:id="3219" w:name="_Toc38441673"/>
      <w:bookmarkStart w:id="3220" w:name="_Toc38442001"/>
      <w:bookmarkStart w:id="3221" w:name="_Toc38442333"/>
      <w:bookmarkStart w:id="3222" w:name="_Toc38442665"/>
      <w:bookmarkStart w:id="3223" w:name="_Toc38442996"/>
      <w:bookmarkStart w:id="3224" w:name="_Toc38443327"/>
      <w:bookmarkStart w:id="3225" w:name="_Toc38443658"/>
      <w:bookmarkStart w:id="3226" w:name="_Toc38443988"/>
      <w:bookmarkStart w:id="3227" w:name="_Toc38438456"/>
      <w:bookmarkStart w:id="3228" w:name="_Toc38438793"/>
      <w:bookmarkStart w:id="3229" w:name="_Toc38439130"/>
      <w:bookmarkStart w:id="3230" w:name="_Toc38439467"/>
      <w:bookmarkStart w:id="3231" w:name="_Toc38439804"/>
      <w:bookmarkStart w:id="3232" w:name="_Toc38440141"/>
      <w:bookmarkStart w:id="3233" w:name="_Toc38440478"/>
      <w:bookmarkStart w:id="3234" w:name="_Toc38441010"/>
      <w:bookmarkStart w:id="3235" w:name="_Toc38441342"/>
      <w:bookmarkStart w:id="3236" w:name="_Toc38441674"/>
      <w:bookmarkStart w:id="3237" w:name="_Toc38442002"/>
      <w:bookmarkStart w:id="3238" w:name="_Toc38442334"/>
      <w:bookmarkStart w:id="3239" w:name="_Toc38442666"/>
      <w:bookmarkStart w:id="3240" w:name="_Toc38442997"/>
      <w:bookmarkStart w:id="3241" w:name="_Toc38443328"/>
      <w:bookmarkStart w:id="3242" w:name="_Toc38443659"/>
      <w:bookmarkStart w:id="3243" w:name="_Toc38443989"/>
      <w:bookmarkStart w:id="3244" w:name="_Toc38438457"/>
      <w:bookmarkStart w:id="3245" w:name="_Toc38438794"/>
      <w:bookmarkStart w:id="3246" w:name="_Toc38439131"/>
      <w:bookmarkStart w:id="3247" w:name="_Toc38439468"/>
      <w:bookmarkStart w:id="3248" w:name="_Toc38439805"/>
      <w:bookmarkStart w:id="3249" w:name="_Toc38440142"/>
      <w:bookmarkStart w:id="3250" w:name="_Toc38440479"/>
      <w:bookmarkStart w:id="3251" w:name="_Toc38441011"/>
      <w:bookmarkStart w:id="3252" w:name="_Toc38441343"/>
      <w:bookmarkStart w:id="3253" w:name="_Toc38441675"/>
      <w:bookmarkStart w:id="3254" w:name="_Toc38442003"/>
      <w:bookmarkStart w:id="3255" w:name="_Toc38442335"/>
      <w:bookmarkStart w:id="3256" w:name="_Toc38442667"/>
      <w:bookmarkStart w:id="3257" w:name="_Toc38442998"/>
      <w:bookmarkStart w:id="3258" w:name="_Toc38443329"/>
      <w:bookmarkStart w:id="3259" w:name="_Toc38443660"/>
      <w:bookmarkStart w:id="3260" w:name="_Toc38443990"/>
      <w:bookmarkStart w:id="3261" w:name="_Toc38438458"/>
      <w:bookmarkStart w:id="3262" w:name="_Toc38438795"/>
      <w:bookmarkStart w:id="3263" w:name="_Toc38439132"/>
      <w:bookmarkStart w:id="3264" w:name="_Toc38439469"/>
      <w:bookmarkStart w:id="3265" w:name="_Toc38439806"/>
      <w:bookmarkStart w:id="3266" w:name="_Toc38440143"/>
      <w:bookmarkStart w:id="3267" w:name="_Toc38440480"/>
      <w:bookmarkStart w:id="3268" w:name="_Toc38441012"/>
      <w:bookmarkStart w:id="3269" w:name="_Toc38441344"/>
      <w:bookmarkStart w:id="3270" w:name="_Toc38441676"/>
      <w:bookmarkStart w:id="3271" w:name="_Toc38442004"/>
      <w:bookmarkStart w:id="3272" w:name="_Toc38442336"/>
      <w:bookmarkStart w:id="3273" w:name="_Toc38442668"/>
      <w:bookmarkStart w:id="3274" w:name="_Toc38442999"/>
      <w:bookmarkStart w:id="3275" w:name="_Toc38443330"/>
      <w:bookmarkStart w:id="3276" w:name="_Toc38443661"/>
      <w:bookmarkStart w:id="3277" w:name="_Toc38443991"/>
      <w:bookmarkStart w:id="3278" w:name="_Toc4435115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r w:rsidRPr="003307CA">
        <w:rPr>
          <w:rFonts w:asciiTheme="minorEastAsia" w:eastAsiaTheme="minorEastAsia" w:hAnsiTheme="minorEastAsia" w:hint="eastAsia"/>
        </w:rPr>
        <w:lastRenderedPageBreak/>
        <w:t>招募说明书存放及查阅方式</w:t>
      </w:r>
      <w:bookmarkEnd w:id="3278"/>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本《招募说明书》存放在基金管理人、基金托管人及基金</w:t>
      </w:r>
      <w:r w:rsidR="00000DCB" w:rsidRPr="003307CA">
        <w:rPr>
          <w:rFonts w:asciiTheme="minorEastAsia" w:eastAsiaTheme="minorEastAsia" w:hAnsiTheme="minorEastAsia" w:hint="eastAsia"/>
          <w:szCs w:val="21"/>
        </w:rPr>
        <w:t>销售</w:t>
      </w:r>
      <w:r w:rsidRPr="003307CA">
        <w:rPr>
          <w:rFonts w:asciiTheme="minorEastAsia" w:eastAsiaTheme="minorEastAsia" w:hAnsiTheme="minorEastAsia" w:hint="eastAsia"/>
          <w:szCs w:val="21"/>
        </w:rPr>
        <w:t>机构</w:t>
      </w:r>
      <w:r w:rsidR="00721084" w:rsidRPr="003307CA">
        <w:rPr>
          <w:rFonts w:asciiTheme="minorEastAsia" w:eastAsiaTheme="minorEastAsia" w:hAnsiTheme="minorEastAsia" w:hint="eastAsia"/>
          <w:szCs w:val="21"/>
        </w:rPr>
        <w:t>处</w:t>
      </w:r>
      <w:r w:rsidRPr="003307CA">
        <w:rPr>
          <w:rFonts w:asciiTheme="minorEastAsia" w:eastAsiaTheme="minorEastAsia" w:hAnsiTheme="minorEastAsia" w:hint="eastAsia"/>
          <w:szCs w:val="21"/>
        </w:rPr>
        <w:t>，投资者可在营业时间免费查阅，也可按工本费购买复印件。</w:t>
      </w:r>
      <w:r w:rsidRPr="003307CA">
        <w:rPr>
          <w:rFonts w:asciiTheme="minorEastAsia" w:eastAsiaTheme="minorEastAsia" w:hAnsiTheme="minorEastAsia"/>
        </w:rPr>
        <w:t>基金管理人和基金托管人保证</w:t>
      </w:r>
      <w:r w:rsidRPr="003307CA">
        <w:rPr>
          <w:rFonts w:asciiTheme="minorEastAsia" w:eastAsiaTheme="minorEastAsia" w:hAnsiTheme="minorEastAsia" w:hint="eastAsia"/>
        </w:rPr>
        <w:t>其所提供的</w:t>
      </w:r>
      <w:r w:rsidRPr="003307CA">
        <w:rPr>
          <w:rFonts w:asciiTheme="minorEastAsia" w:eastAsiaTheme="minorEastAsia" w:hAnsiTheme="minorEastAsia"/>
        </w:rPr>
        <w:t>文本的内容与所公告的内容完全一致。</w:t>
      </w:r>
    </w:p>
    <w:p w:rsidR="00566C89" w:rsidRPr="003307CA" w:rsidRDefault="00566C89"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b/>
        </w:rPr>
      </w:pPr>
    </w:p>
    <w:p w:rsidR="007F6D3E" w:rsidRPr="003307CA" w:rsidRDefault="007F6D3E" w:rsidP="007F6D3E">
      <w:pPr>
        <w:snapToGrid w:val="0"/>
        <w:spacing w:line="360" w:lineRule="auto"/>
        <w:rPr>
          <w:rFonts w:asciiTheme="minorEastAsia" w:eastAsiaTheme="minorEastAsia" w:hAnsiTheme="minorEastAsia"/>
        </w:rPr>
      </w:pPr>
    </w:p>
    <w:p w:rsidR="0064594E" w:rsidRPr="003307CA" w:rsidRDefault="00566C89"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279" w:name="_Toc44351156"/>
      <w:r w:rsidRPr="003307CA">
        <w:rPr>
          <w:rFonts w:asciiTheme="minorEastAsia" w:eastAsiaTheme="minorEastAsia" w:hAnsiTheme="minorEastAsia" w:hint="eastAsia"/>
        </w:rPr>
        <w:lastRenderedPageBreak/>
        <w:t>备查文件</w:t>
      </w:r>
      <w:bookmarkEnd w:id="3279"/>
    </w:p>
    <w:p w:rsidR="0064594E" w:rsidRPr="003307CA" w:rsidRDefault="0064594E"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1</w:t>
      </w:r>
      <w:r w:rsidR="007F6D3E" w:rsidRPr="003307CA">
        <w:rPr>
          <w:rFonts w:asciiTheme="minorEastAsia" w:eastAsiaTheme="minorEastAsia" w:hAnsiTheme="minorEastAsia" w:hint="eastAsia"/>
        </w:rPr>
        <w:t>、</w:t>
      </w:r>
      <w:r w:rsidRPr="003307CA">
        <w:rPr>
          <w:rFonts w:asciiTheme="minorEastAsia" w:eastAsiaTheme="minorEastAsia" w:hAnsiTheme="minorEastAsia" w:hint="eastAsia"/>
        </w:rPr>
        <w:t>中国证监会核准易方达</w:t>
      </w:r>
      <w:r w:rsidR="00416014" w:rsidRPr="003307CA">
        <w:rPr>
          <w:rFonts w:asciiTheme="minorEastAsia" w:eastAsiaTheme="minorEastAsia" w:hAnsiTheme="minorEastAsia" w:hint="eastAsia"/>
        </w:rPr>
        <w:t>亚洲精选</w:t>
      </w:r>
      <w:r w:rsidRPr="003307CA">
        <w:rPr>
          <w:rFonts w:asciiTheme="minorEastAsia" w:eastAsiaTheme="minorEastAsia" w:hAnsiTheme="minorEastAsia" w:hint="eastAsia"/>
        </w:rPr>
        <w:t>股票型证券投资基金募集的文件；</w:t>
      </w:r>
    </w:p>
    <w:p w:rsidR="00667495" w:rsidRPr="003307CA" w:rsidRDefault="00667495"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2</w:t>
      </w:r>
      <w:r w:rsidR="007F6D3E" w:rsidRPr="003307CA">
        <w:rPr>
          <w:rFonts w:asciiTheme="minorEastAsia" w:eastAsiaTheme="minorEastAsia" w:hAnsiTheme="minorEastAsia" w:hint="eastAsia"/>
        </w:rPr>
        <w:t>、</w:t>
      </w:r>
      <w:r w:rsidR="00C253EC" w:rsidRPr="003307CA">
        <w:rPr>
          <w:rFonts w:asciiTheme="minorEastAsia" w:eastAsiaTheme="minorEastAsia" w:hAnsiTheme="minorEastAsia" w:hint="eastAsia"/>
        </w:rPr>
        <w:t>中国证监会</w:t>
      </w:r>
      <w:r w:rsidRPr="003307CA">
        <w:rPr>
          <w:rFonts w:asciiTheme="minorEastAsia" w:eastAsiaTheme="minorEastAsia" w:hAnsiTheme="minorEastAsia" w:hint="eastAsia"/>
        </w:rPr>
        <w:t>核准易方达亚洲精选股票型证券投资基金备案的</w:t>
      </w:r>
      <w:r w:rsidR="00C253EC" w:rsidRPr="003307CA">
        <w:rPr>
          <w:rFonts w:asciiTheme="minorEastAsia" w:eastAsiaTheme="minorEastAsia" w:hAnsiTheme="minorEastAsia" w:hint="eastAsia"/>
        </w:rPr>
        <w:t>文件</w:t>
      </w:r>
      <w:r w:rsidRPr="003307CA">
        <w:rPr>
          <w:rFonts w:asciiTheme="minorEastAsia" w:eastAsiaTheme="minorEastAsia" w:hAnsiTheme="minorEastAsia" w:hint="eastAsia"/>
        </w:rPr>
        <w:t>；</w:t>
      </w:r>
    </w:p>
    <w:p w:rsidR="0064594E" w:rsidRPr="003307CA" w:rsidRDefault="00667495"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3</w:t>
      </w:r>
      <w:r w:rsidR="007F6D3E" w:rsidRPr="003307CA">
        <w:rPr>
          <w:rFonts w:asciiTheme="minorEastAsia" w:eastAsiaTheme="minorEastAsia" w:hAnsiTheme="minorEastAsia" w:hint="eastAsia"/>
        </w:rPr>
        <w:t>、</w:t>
      </w:r>
      <w:r w:rsidR="0064594E" w:rsidRPr="003307CA">
        <w:rPr>
          <w:rFonts w:asciiTheme="minorEastAsia" w:eastAsiaTheme="minorEastAsia" w:hAnsiTheme="minorEastAsia" w:hint="eastAsia"/>
        </w:rPr>
        <w:t>《易方达</w:t>
      </w:r>
      <w:r w:rsidR="00416014" w:rsidRPr="003307CA">
        <w:rPr>
          <w:rFonts w:asciiTheme="minorEastAsia" w:eastAsiaTheme="minorEastAsia" w:hAnsiTheme="minorEastAsia" w:hint="eastAsia"/>
        </w:rPr>
        <w:t>亚洲精选</w:t>
      </w:r>
      <w:r w:rsidR="0064594E" w:rsidRPr="003307CA">
        <w:rPr>
          <w:rFonts w:asciiTheme="minorEastAsia" w:eastAsiaTheme="minorEastAsia" w:hAnsiTheme="minorEastAsia" w:hint="eastAsia"/>
        </w:rPr>
        <w:t>股票型证券投资基金基金合同》；</w:t>
      </w:r>
    </w:p>
    <w:p w:rsidR="0064594E" w:rsidRPr="003307CA" w:rsidRDefault="00667495" w:rsidP="00CE3F81">
      <w:pPr>
        <w:pStyle w:val="ac"/>
        <w:autoSpaceDE w:val="0"/>
        <w:autoSpaceDN w:val="0"/>
        <w:snapToGrid w:val="0"/>
        <w:spacing w:after="0" w:line="360" w:lineRule="auto"/>
        <w:ind w:firstLineChars="200"/>
        <w:rPr>
          <w:rFonts w:asciiTheme="minorEastAsia" w:eastAsiaTheme="minorEastAsia" w:hAnsiTheme="minorEastAsia"/>
        </w:rPr>
      </w:pPr>
      <w:r w:rsidRPr="003307CA">
        <w:rPr>
          <w:rFonts w:asciiTheme="minorEastAsia" w:eastAsiaTheme="minorEastAsia" w:hAnsiTheme="minorEastAsia" w:hint="eastAsia"/>
        </w:rPr>
        <w:t>4</w:t>
      </w:r>
      <w:r w:rsidR="007F6D3E" w:rsidRPr="003307CA">
        <w:rPr>
          <w:rFonts w:asciiTheme="minorEastAsia" w:eastAsiaTheme="minorEastAsia" w:hAnsiTheme="minorEastAsia" w:hint="eastAsia"/>
        </w:rPr>
        <w:t>、</w:t>
      </w:r>
      <w:r w:rsidR="0064594E" w:rsidRPr="003307CA">
        <w:rPr>
          <w:rFonts w:asciiTheme="minorEastAsia" w:eastAsiaTheme="minorEastAsia" w:hAnsiTheme="minorEastAsia" w:hint="eastAsia"/>
        </w:rPr>
        <w:t>《易方达基金管理有限公司开放式基金业务规则》；</w:t>
      </w:r>
    </w:p>
    <w:p w:rsidR="0064594E" w:rsidRPr="003307CA" w:rsidRDefault="00667495"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5</w:t>
      </w:r>
      <w:r w:rsidR="007F6D3E" w:rsidRPr="003307CA">
        <w:rPr>
          <w:rFonts w:asciiTheme="minorEastAsia" w:eastAsiaTheme="minorEastAsia" w:hAnsiTheme="minorEastAsia" w:hint="eastAsia"/>
          <w:szCs w:val="21"/>
        </w:rPr>
        <w:t>、</w:t>
      </w:r>
      <w:r w:rsidR="0064594E" w:rsidRPr="003307CA">
        <w:rPr>
          <w:rFonts w:asciiTheme="minorEastAsia" w:eastAsiaTheme="minorEastAsia" w:hAnsiTheme="minorEastAsia" w:hint="eastAsia"/>
          <w:szCs w:val="21"/>
        </w:rPr>
        <w:t>《易方达</w:t>
      </w:r>
      <w:r w:rsidR="00416014" w:rsidRPr="003307CA">
        <w:rPr>
          <w:rFonts w:asciiTheme="minorEastAsia" w:eastAsiaTheme="minorEastAsia" w:hAnsiTheme="minorEastAsia" w:hint="eastAsia"/>
          <w:szCs w:val="21"/>
        </w:rPr>
        <w:t>亚洲精选</w:t>
      </w:r>
      <w:r w:rsidR="0064594E" w:rsidRPr="003307CA">
        <w:rPr>
          <w:rFonts w:asciiTheme="minorEastAsia" w:eastAsiaTheme="minorEastAsia" w:hAnsiTheme="minorEastAsia" w:hint="eastAsia"/>
          <w:szCs w:val="21"/>
        </w:rPr>
        <w:t>股票型证券投资基金托管协议》；</w:t>
      </w:r>
    </w:p>
    <w:p w:rsidR="0064594E" w:rsidRPr="003307CA" w:rsidRDefault="00667495"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rPr>
        <w:t>6</w:t>
      </w:r>
      <w:r w:rsidR="007F6D3E" w:rsidRPr="003307CA">
        <w:rPr>
          <w:rFonts w:asciiTheme="minorEastAsia" w:eastAsiaTheme="minorEastAsia" w:hAnsiTheme="minorEastAsia" w:hint="eastAsia"/>
        </w:rPr>
        <w:t>、</w:t>
      </w:r>
      <w:r w:rsidR="0064594E" w:rsidRPr="003307CA">
        <w:rPr>
          <w:rFonts w:asciiTheme="minorEastAsia" w:eastAsiaTheme="minorEastAsia" w:hAnsiTheme="minorEastAsia" w:hint="eastAsia"/>
        </w:rPr>
        <w:t>法律意见书；</w:t>
      </w:r>
      <w:bookmarkStart w:id="3280" w:name="_GoBack"/>
      <w:bookmarkEnd w:id="3280"/>
    </w:p>
    <w:p w:rsidR="0064594E" w:rsidRPr="003307CA" w:rsidRDefault="00667495"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7</w:t>
      </w:r>
      <w:r w:rsidR="007F6D3E" w:rsidRPr="003307CA">
        <w:rPr>
          <w:rFonts w:asciiTheme="minorEastAsia" w:eastAsiaTheme="minorEastAsia" w:hAnsiTheme="minorEastAsia" w:hint="eastAsia"/>
          <w:szCs w:val="21"/>
        </w:rPr>
        <w:t>、</w:t>
      </w:r>
      <w:r w:rsidR="0064594E" w:rsidRPr="003307CA">
        <w:rPr>
          <w:rFonts w:asciiTheme="minorEastAsia" w:eastAsiaTheme="minorEastAsia" w:hAnsiTheme="minorEastAsia" w:hint="eastAsia"/>
          <w:szCs w:val="21"/>
        </w:rPr>
        <w:t>基金管理人业务资格批件和营业执照；</w:t>
      </w:r>
    </w:p>
    <w:p w:rsidR="0064594E" w:rsidRPr="003307CA" w:rsidRDefault="00667495" w:rsidP="00CE3F81">
      <w:pPr>
        <w:snapToGrid w:val="0"/>
        <w:spacing w:line="360" w:lineRule="auto"/>
        <w:ind w:firstLineChars="200" w:firstLine="420"/>
        <w:rPr>
          <w:rFonts w:asciiTheme="minorEastAsia" w:eastAsiaTheme="minorEastAsia" w:hAnsiTheme="minorEastAsia"/>
          <w:szCs w:val="21"/>
        </w:rPr>
      </w:pPr>
      <w:r w:rsidRPr="003307CA">
        <w:rPr>
          <w:rFonts w:asciiTheme="minorEastAsia" w:eastAsiaTheme="minorEastAsia" w:hAnsiTheme="minorEastAsia" w:hint="eastAsia"/>
          <w:szCs w:val="21"/>
        </w:rPr>
        <w:t>8</w:t>
      </w:r>
      <w:r w:rsidR="007F6D3E" w:rsidRPr="003307CA">
        <w:rPr>
          <w:rFonts w:asciiTheme="minorEastAsia" w:eastAsiaTheme="minorEastAsia" w:hAnsiTheme="minorEastAsia" w:hint="eastAsia"/>
          <w:szCs w:val="21"/>
        </w:rPr>
        <w:t>、</w:t>
      </w:r>
      <w:r w:rsidR="0064594E" w:rsidRPr="003307CA">
        <w:rPr>
          <w:rFonts w:asciiTheme="minorEastAsia" w:eastAsiaTheme="minorEastAsia" w:hAnsiTheme="minorEastAsia" w:hint="eastAsia"/>
          <w:szCs w:val="21"/>
        </w:rPr>
        <w:t>基金托管人业务资格批件和营业执照。</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存放地点：基金管理人、基金托管人处</w:t>
      </w:r>
    </w:p>
    <w:p w:rsidR="0064594E" w:rsidRPr="003307CA" w:rsidRDefault="0064594E" w:rsidP="00CE3F81">
      <w:pPr>
        <w:snapToGrid w:val="0"/>
        <w:spacing w:line="360" w:lineRule="auto"/>
        <w:ind w:firstLineChars="200" w:firstLine="420"/>
        <w:rPr>
          <w:rFonts w:asciiTheme="minorEastAsia" w:eastAsiaTheme="minorEastAsia" w:hAnsiTheme="minorEastAsia"/>
        </w:rPr>
      </w:pPr>
      <w:r w:rsidRPr="003307CA">
        <w:rPr>
          <w:rFonts w:asciiTheme="minorEastAsia" w:eastAsiaTheme="minorEastAsia" w:hAnsiTheme="minorEastAsia" w:hint="eastAsia"/>
        </w:rPr>
        <w:t>查阅方式：投资者可在营业时间免费查阅，也可按工本费购买复印件。</w:t>
      </w:r>
    </w:p>
    <w:p w:rsidR="007F6D3E" w:rsidRPr="003307CA" w:rsidRDefault="007F6D3E" w:rsidP="00CE3F81">
      <w:pPr>
        <w:snapToGrid w:val="0"/>
        <w:spacing w:line="360" w:lineRule="auto"/>
        <w:ind w:firstLineChars="200" w:firstLine="420"/>
        <w:rPr>
          <w:rFonts w:asciiTheme="minorEastAsia" w:eastAsiaTheme="minorEastAsia" w:hAnsiTheme="minorEastAsia"/>
          <w:szCs w:val="21"/>
        </w:rPr>
      </w:pPr>
    </w:p>
    <w:p w:rsidR="0064594E" w:rsidRPr="003307CA" w:rsidRDefault="0064594E" w:rsidP="00CE3F81">
      <w:pPr>
        <w:snapToGrid w:val="0"/>
        <w:spacing w:line="360" w:lineRule="auto"/>
        <w:ind w:firstLineChars="200" w:firstLine="420"/>
        <w:rPr>
          <w:rFonts w:asciiTheme="minorEastAsia" w:eastAsiaTheme="minorEastAsia" w:hAnsiTheme="minorEastAsia"/>
          <w:szCs w:val="21"/>
        </w:rPr>
      </w:pPr>
    </w:p>
    <w:p w:rsidR="00D02AA0" w:rsidRPr="003307CA" w:rsidRDefault="00D02AA0" w:rsidP="00CE3F81">
      <w:pPr>
        <w:snapToGrid w:val="0"/>
        <w:spacing w:line="360" w:lineRule="auto"/>
        <w:ind w:left="360" w:firstLine="480"/>
        <w:jc w:val="right"/>
        <w:rPr>
          <w:rFonts w:asciiTheme="minorEastAsia" w:eastAsiaTheme="minorEastAsia" w:hAnsiTheme="minorEastAsia"/>
        </w:rPr>
      </w:pPr>
      <w:r w:rsidRPr="003307CA">
        <w:rPr>
          <w:rFonts w:asciiTheme="minorEastAsia" w:eastAsiaTheme="minorEastAsia" w:hAnsiTheme="minorEastAsia" w:hint="eastAsia"/>
        </w:rPr>
        <w:t>易方达基金管理有限公司</w:t>
      </w:r>
    </w:p>
    <w:p w:rsidR="00291ABB" w:rsidRPr="003307CA" w:rsidRDefault="002465F1" w:rsidP="007F6D3E">
      <w:pPr>
        <w:wordWrap w:val="0"/>
        <w:snapToGrid w:val="0"/>
        <w:spacing w:line="360" w:lineRule="auto"/>
        <w:ind w:left="360" w:right="315" w:firstLine="480"/>
        <w:jc w:val="right"/>
        <w:rPr>
          <w:rFonts w:asciiTheme="minorEastAsia" w:eastAsiaTheme="minorEastAsia" w:hAnsiTheme="minorEastAsia"/>
        </w:rPr>
      </w:pPr>
      <w:r w:rsidRPr="003307CA">
        <w:rPr>
          <w:rFonts w:asciiTheme="minorEastAsia" w:eastAsiaTheme="minorEastAsia" w:hAnsiTheme="minorEastAsia"/>
        </w:rPr>
        <w:t>2020年</w:t>
      </w:r>
      <w:r w:rsidR="00821FAD" w:rsidRPr="003307CA">
        <w:rPr>
          <w:rFonts w:asciiTheme="minorEastAsia" w:eastAsiaTheme="minorEastAsia" w:hAnsiTheme="minorEastAsia"/>
        </w:rPr>
        <w:t>7</w:t>
      </w:r>
      <w:r w:rsidRPr="003307CA">
        <w:rPr>
          <w:rFonts w:asciiTheme="minorEastAsia" w:eastAsiaTheme="minorEastAsia" w:hAnsiTheme="minorEastAsia"/>
        </w:rPr>
        <w:t>月</w:t>
      </w:r>
      <w:r w:rsidR="00821FAD" w:rsidRPr="003307CA">
        <w:rPr>
          <w:rFonts w:asciiTheme="minorEastAsia" w:eastAsiaTheme="minorEastAsia" w:hAnsiTheme="minorEastAsia"/>
        </w:rPr>
        <w:t>1</w:t>
      </w:r>
      <w:r w:rsidR="00873651" w:rsidRPr="003307CA">
        <w:rPr>
          <w:rFonts w:asciiTheme="minorEastAsia" w:eastAsiaTheme="minorEastAsia" w:hAnsiTheme="minorEastAsia"/>
        </w:rPr>
        <w:t>5</w:t>
      </w:r>
      <w:r w:rsidRPr="003307CA">
        <w:rPr>
          <w:rFonts w:asciiTheme="minorEastAsia" w:eastAsiaTheme="minorEastAsia" w:hAnsiTheme="minorEastAsia"/>
        </w:rPr>
        <w:t>日</w:t>
      </w:r>
    </w:p>
    <w:sectPr w:rsidR="00291ABB" w:rsidRPr="003307CA" w:rsidSect="00684E94">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88" w:rsidRDefault="00506788">
      <w:r>
        <w:separator/>
      </w:r>
    </w:p>
  </w:endnote>
  <w:endnote w:type="continuationSeparator" w:id="0">
    <w:p w:rsidR="00506788" w:rsidRDefault="0050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9E" w:rsidRDefault="0012219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rsidP="00417074">
    <w:pPr>
      <w:pStyle w:val="a5"/>
      <w:ind w:rightChars="171" w:right="359" w:firstLineChars="1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pPr>
      <w:pStyle w:val="a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rsidP="004A5B4B">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3553DB">
      <w:rPr>
        <w:rStyle w:val="a4"/>
        <w:noProof/>
      </w:rPr>
      <w:t>IV</w:t>
    </w:r>
    <w:r>
      <w:rPr>
        <w:rStyle w:val="a4"/>
      </w:rPr>
      <w:fldChar w:fldCharType="end"/>
    </w:r>
  </w:p>
  <w:p w:rsidR="005005C3" w:rsidRDefault="005005C3" w:rsidP="00417074">
    <w:pPr>
      <w:pStyle w:val="a5"/>
      <w:ind w:rightChars="171" w:right="359" w:firstLineChars="1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rsidP="00DA31A9">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3553DB">
      <w:rPr>
        <w:rStyle w:val="a4"/>
        <w:noProof/>
      </w:rPr>
      <w:t>169</w:t>
    </w:r>
    <w:r>
      <w:rPr>
        <w:rStyle w:val="a4"/>
      </w:rPr>
      <w:fldChar w:fldCharType="end"/>
    </w:r>
  </w:p>
  <w:p w:rsidR="005005C3" w:rsidRDefault="005005C3" w:rsidP="00417074">
    <w:pPr>
      <w:pStyle w:val="a5"/>
      <w:ind w:rightChars="171" w:right="359"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88" w:rsidRDefault="00506788">
      <w:r>
        <w:separator/>
      </w:r>
    </w:p>
  </w:footnote>
  <w:footnote w:type="continuationSeparator" w:id="0">
    <w:p w:rsidR="00506788" w:rsidRDefault="0050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9E" w:rsidRDefault="0012219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9E" w:rsidRDefault="0012219E" w:rsidP="006D35E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Pr="003E1DB8" w:rsidRDefault="005005C3" w:rsidP="008169B8">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2E05"/>
    <w:multiLevelType w:val="hybridMultilevel"/>
    <w:tmpl w:val="412A60E8"/>
    <w:lvl w:ilvl="0" w:tplc="12C8DB60">
      <w:start w:val="1"/>
      <w:numFmt w:val="chineseCountingThousand"/>
      <w:lvlText w:val="%1、"/>
      <w:lvlJc w:val="left"/>
      <w:pPr>
        <w:tabs>
          <w:tab w:val="num" w:pos="1140"/>
        </w:tabs>
        <w:ind w:left="1140" w:hanging="720"/>
      </w:pPr>
      <w:rPr>
        <w:rFonts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47F210E"/>
    <w:multiLevelType w:val="hybridMultilevel"/>
    <w:tmpl w:val="264C8C1E"/>
    <w:lvl w:ilvl="0" w:tplc="E2209A48">
      <w:start w:val="1"/>
      <w:numFmt w:val="decimal"/>
      <w:lvlText w:val="%1."/>
      <w:lvlJc w:val="left"/>
      <w:pPr>
        <w:tabs>
          <w:tab w:val="num" w:pos="1003"/>
        </w:tabs>
        <w:ind w:left="1003"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48B05CC"/>
    <w:multiLevelType w:val="hybridMultilevel"/>
    <w:tmpl w:val="18B2D5B2"/>
    <w:lvl w:ilvl="0" w:tplc="9BCA280E">
      <w:start w:val="1"/>
      <w:numFmt w:val="decimal"/>
      <w:lvlText w:val="%1）"/>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5180DE5"/>
    <w:multiLevelType w:val="hybridMultilevel"/>
    <w:tmpl w:val="0906922E"/>
    <w:lvl w:ilvl="0" w:tplc="AAFC0E0A">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05780DA2"/>
    <w:multiLevelType w:val="multilevel"/>
    <w:tmpl w:val="05780DA2"/>
    <w:lvl w:ilvl="0">
      <w:start w:val="1"/>
      <w:numFmt w:val="decimal"/>
      <w:lvlText w:val="(%1)"/>
      <w:lvlJc w:val="left"/>
      <w:pPr>
        <w:ind w:left="840" w:hanging="420"/>
      </w:pPr>
      <w:rPr>
        <w:rFonts w:hint="default"/>
      </w:rPr>
    </w:lvl>
    <w:lvl w:ilvl="1">
      <w:start w:val="1"/>
      <w:numFmt w:val="decimal"/>
      <w:lvlText w:val="%2."/>
      <w:lvlJc w:val="left"/>
      <w:pPr>
        <w:ind w:left="1680" w:hanging="84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57E54C1"/>
    <w:multiLevelType w:val="hybridMultilevel"/>
    <w:tmpl w:val="3C8ACA3A"/>
    <w:lvl w:ilvl="0" w:tplc="04090013">
      <w:start w:val="1"/>
      <w:numFmt w:val="chineseCountingThousand"/>
      <w:lvlText w:val="%1、"/>
      <w:lvlJc w:val="left"/>
      <w:pPr>
        <w:ind w:left="840" w:hanging="420"/>
      </w:pPr>
    </w:lvl>
    <w:lvl w:ilvl="1" w:tplc="BA4436BC">
      <w:start w:val="1"/>
      <w:numFmt w:val="decimal"/>
      <w:lvlText w:val="（%2）"/>
      <w:lvlJc w:val="left"/>
      <w:pPr>
        <w:ind w:left="1785" w:hanging="94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5E376EE"/>
    <w:multiLevelType w:val="hybridMultilevel"/>
    <w:tmpl w:val="4BE4D7DE"/>
    <w:lvl w:ilvl="0" w:tplc="AAFC0E0A">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06175218"/>
    <w:multiLevelType w:val="hybridMultilevel"/>
    <w:tmpl w:val="6CFC5A78"/>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75619C9"/>
    <w:multiLevelType w:val="hybridMultilevel"/>
    <w:tmpl w:val="F4CA9D04"/>
    <w:lvl w:ilvl="0" w:tplc="06C03282">
      <w:start w:val="6"/>
      <w:numFmt w:val="decimal"/>
      <w:lvlText w:val="(%1)"/>
      <w:lvlJc w:val="left"/>
      <w:pPr>
        <w:ind w:left="1161" w:hanging="73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7EE5B24"/>
    <w:multiLevelType w:val="hybridMultilevel"/>
    <w:tmpl w:val="547C6BDE"/>
    <w:lvl w:ilvl="0" w:tplc="F11EC35C">
      <w:start w:val="1"/>
      <w:numFmt w:val="decimal"/>
      <w:lvlText w:val="（%1）"/>
      <w:lvlJc w:val="left"/>
      <w:pPr>
        <w:tabs>
          <w:tab w:val="num" w:pos="0"/>
        </w:tabs>
        <w:ind w:left="0" w:firstLine="0"/>
      </w:pPr>
      <w:rPr>
        <w:rFonts w:ascii="宋体" w:eastAsia="宋体" w:hAnsi="宋体"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0" w15:restartNumberingAfterBreak="0">
    <w:nsid w:val="094C5E14"/>
    <w:multiLevelType w:val="hybridMultilevel"/>
    <w:tmpl w:val="F9BA1D4A"/>
    <w:lvl w:ilvl="0" w:tplc="2A2C6004">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AD8239B"/>
    <w:multiLevelType w:val="hybridMultilevel"/>
    <w:tmpl w:val="6B5C3DB2"/>
    <w:lvl w:ilvl="0" w:tplc="D18EAE40">
      <w:start w:val="1"/>
      <w:numFmt w:val="chineseCountingThousand"/>
      <w:lvlText w:val="%1、"/>
      <w:lvlJc w:val="left"/>
      <w:pPr>
        <w:ind w:left="720" w:hanging="720"/>
      </w:pPr>
      <w:rPr>
        <w:rFonts w:hint="eastAsia"/>
      </w:rPr>
    </w:lvl>
    <w:lvl w:ilvl="1" w:tplc="E5987DAC">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0E323CCD"/>
    <w:multiLevelType w:val="hybridMultilevel"/>
    <w:tmpl w:val="E1E0D5EC"/>
    <w:lvl w:ilvl="0" w:tplc="4A76F1F6">
      <w:start w:val="1"/>
      <w:numFmt w:val="decimal"/>
      <w:lvlText w:val="%1."/>
      <w:lvlJc w:val="left"/>
      <w:pPr>
        <w:tabs>
          <w:tab w:val="num" w:pos="360"/>
        </w:tabs>
        <w:ind w:left="360" w:hanging="36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1AC36EB"/>
    <w:multiLevelType w:val="hybridMultilevel"/>
    <w:tmpl w:val="EB769AF2"/>
    <w:lvl w:ilvl="0" w:tplc="AAC4D57E">
      <w:start w:val="1"/>
      <w:numFmt w:val="decimal"/>
      <w:lvlText w:val="(%1)"/>
      <w:lvlJc w:val="left"/>
      <w:pPr>
        <w:tabs>
          <w:tab w:val="num" w:pos="0"/>
        </w:tabs>
        <w:ind w:left="0" w:firstLine="0"/>
      </w:pPr>
      <w:rPr>
        <w:rFonts w:hint="default"/>
      </w:rPr>
    </w:lvl>
    <w:lvl w:ilvl="1" w:tplc="E39EB42C">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13194FD6"/>
    <w:multiLevelType w:val="hybridMultilevel"/>
    <w:tmpl w:val="F94448A8"/>
    <w:lvl w:ilvl="0" w:tplc="FFB8E43A">
      <w:start w:val="1"/>
      <w:numFmt w:val="decimal"/>
      <w:lvlText w:val="（%1）"/>
      <w:lvlJc w:val="left"/>
      <w:pPr>
        <w:tabs>
          <w:tab w:val="num" w:pos="1560"/>
        </w:tabs>
        <w:ind w:left="156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4B346ED"/>
    <w:multiLevelType w:val="hybridMultilevel"/>
    <w:tmpl w:val="470AB7EA"/>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17" w15:restartNumberingAfterBreak="0">
    <w:nsid w:val="157C7951"/>
    <w:multiLevelType w:val="hybridMultilevel"/>
    <w:tmpl w:val="67826138"/>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6AB585B"/>
    <w:multiLevelType w:val="hybridMultilevel"/>
    <w:tmpl w:val="E42C2BB2"/>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19" w15:restartNumberingAfterBreak="0">
    <w:nsid w:val="170F49A0"/>
    <w:multiLevelType w:val="hybridMultilevel"/>
    <w:tmpl w:val="61022932"/>
    <w:lvl w:ilvl="0" w:tplc="35FEE40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0" w15:restartNumberingAfterBreak="0">
    <w:nsid w:val="18BA49EC"/>
    <w:multiLevelType w:val="hybridMultilevel"/>
    <w:tmpl w:val="251CF70E"/>
    <w:lvl w:ilvl="0" w:tplc="08CE296A">
      <w:start w:val="1"/>
      <w:numFmt w:val="chineseCountingThousand"/>
      <w:lvlText w:val="%1、"/>
      <w:lvlJc w:val="left"/>
      <w:pPr>
        <w:ind w:left="846" w:hanging="420"/>
      </w:pPr>
      <w:rPr>
        <w:rFonts w:hint="eastAsia"/>
        <w:lang w:val="en-US"/>
      </w:rPr>
    </w:lvl>
    <w:lvl w:ilvl="1" w:tplc="6548D432">
      <w:start w:val="1"/>
      <w:numFmt w:val="chineseCountingThousand"/>
      <w:lvlText w:val="%2、"/>
      <w:lvlJc w:val="left"/>
      <w:pPr>
        <w:ind w:left="720" w:hanging="720"/>
      </w:pPr>
      <w:rPr>
        <w:rFonts w:hint="eastAsia"/>
      </w:rPr>
    </w:lvl>
    <w:lvl w:ilvl="2" w:tplc="534845E6">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F81E20"/>
    <w:multiLevelType w:val="hybridMultilevel"/>
    <w:tmpl w:val="1512D33E"/>
    <w:lvl w:ilvl="0" w:tplc="0409000F">
      <w:start w:val="1"/>
      <w:numFmt w:val="decimal"/>
      <w:lvlText w:val="%1."/>
      <w:lvlJc w:val="left"/>
      <w:pPr>
        <w:tabs>
          <w:tab w:val="num" w:pos="0"/>
        </w:tabs>
        <w:ind w:left="0" w:firstLine="0"/>
      </w:pPr>
      <w:rPr>
        <w:rFonts w:hint="default"/>
        <w:lang w:val="en-US"/>
      </w:rPr>
    </w:lvl>
    <w:lvl w:ilvl="1" w:tplc="B0DC8444">
      <w:start w:val="1"/>
      <w:numFmt w:val="decimal"/>
      <w:lvlText w:val="（%2）"/>
      <w:lvlJc w:val="left"/>
      <w:pPr>
        <w:tabs>
          <w:tab w:val="num" w:pos="0"/>
        </w:tabs>
        <w:ind w:left="0" w:firstLine="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2"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1A9A312F"/>
    <w:multiLevelType w:val="hybridMultilevel"/>
    <w:tmpl w:val="2BD03268"/>
    <w:lvl w:ilvl="0" w:tplc="12C8DB60">
      <w:start w:val="1"/>
      <w:numFmt w:val="chineseCountingThousand"/>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1ACC458D"/>
    <w:multiLevelType w:val="hybridMultilevel"/>
    <w:tmpl w:val="AC5E3730"/>
    <w:lvl w:ilvl="0" w:tplc="0409000F">
      <w:start w:val="1"/>
      <w:numFmt w:val="decimal"/>
      <w:lvlText w:val="%1."/>
      <w:lvlJc w:val="left"/>
      <w:pPr>
        <w:tabs>
          <w:tab w:val="num" w:pos="420"/>
        </w:tabs>
        <w:ind w:left="420" w:hanging="420"/>
      </w:pPr>
    </w:lvl>
    <w:lvl w:ilvl="1" w:tplc="43E64C08">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E000D59"/>
    <w:multiLevelType w:val="hybridMultilevel"/>
    <w:tmpl w:val="6FD006D6"/>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22B82E80"/>
    <w:multiLevelType w:val="hybridMultilevel"/>
    <w:tmpl w:val="CD00388C"/>
    <w:lvl w:ilvl="0" w:tplc="04090001">
      <w:start w:val="1"/>
      <w:numFmt w:val="chineseCountingThousand"/>
      <w:lvlText w:val="%1、"/>
      <w:lvlJc w:val="left"/>
      <w:pPr>
        <w:ind w:left="840" w:hanging="420"/>
      </w:pPr>
      <w:rPr>
        <w:rFonts w:hint="eastAsia"/>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7"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8" w15:restartNumberingAfterBreak="0">
    <w:nsid w:val="26FF4223"/>
    <w:multiLevelType w:val="hybridMultilevel"/>
    <w:tmpl w:val="58402642"/>
    <w:lvl w:ilvl="0" w:tplc="CC705FB0">
      <w:start w:val="1"/>
      <w:numFmt w:val="chineseCountingThousand"/>
      <w:lvlText w:val="%1、"/>
      <w:lvlJc w:val="left"/>
      <w:pPr>
        <w:ind w:left="720" w:hanging="720"/>
      </w:pPr>
      <w:rPr>
        <w:rFonts w:hint="eastAsia"/>
      </w:rPr>
    </w:lvl>
    <w:lvl w:ilvl="1" w:tplc="02F84E52" w:tentative="1">
      <w:start w:val="1"/>
      <w:numFmt w:val="lowerLetter"/>
      <w:lvlText w:val="%2)"/>
      <w:lvlJc w:val="left"/>
      <w:pPr>
        <w:ind w:left="1260" w:hanging="420"/>
      </w:pPr>
    </w:lvl>
    <w:lvl w:ilvl="2" w:tplc="EF203AB6" w:tentative="1">
      <w:start w:val="1"/>
      <w:numFmt w:val="lowerRoman"/>
      <w:lvlText w:val="%3."/>
      <w:lvlJc w:val="right"/>
      <w:pPr>
        <w:ind w:left="1680" w:hanging="420"/>
      </w:pPr>
    </w:lvl>
    <w:lvl w:ilvl="3" w:tplc="BFFA85EE" w:tentative="1">
      <w:start w:val="1"/>
      <w:numFmt w:val="decimal"/>
      <w:lvlText w:val="%4."/>
      <w:lvlJc w:val="left"/>
      <w:pPr>
        <w:ind w:left="2100" w:hanging="420"/>
      </w:pPr>
    </w:lvl>
    <w:lvl w:ilvl="4" w:tplc="5F22FBE8" w:tentative="1">
      <w:start w:val="1"/>
      <w:numFmt w:val="lowerLetter"/>
      <w:lvlText w:val="%5)"/>
      <w:lvlJc w:val="left"/>
      <w:pPr>
        <w:ind w:left="2520" w:hanging="420"/>
      </w:pPr>
    </w:lvl>
    <w:lvl w:ilvl="5" w:tplc="83AE4B8E" w:tentative="1">
      <w:start w:val="1"/>
      <w:numFmt w:val="lowerRoman"/>
      <w:lvlText w:val="%6."/>
      <w:lvlJc w:val="right"/>
      <w:pPr>
        <w:ind w:left="2940" w:hanging="420"/>
      </w:pPr>
    </w:lvl>
    <w:lvl w:ilvl="6" w:tplc="14AA123E" w:tentative="1">
      <w:start w:val="1"/>
      <w:numFmt w:val="decimal"/>
      <w:lvlText w:val="%7."/>
      <w:lvlJc w:val="left"/>
      <w:pPr>
        <w:ind w:left="3360" w:hanging="420"/>
      </w:pPr>
    </w:lvl>
    <w:lvl w:ilvl="7" w:tplc="3A46E3D8" w:tentative="1">
      <w:start w:val="1"/>
      <w:numFmt w:val="lowerLetter"/>
      <w:lvlText w:val="%8)"/>
      <w:lvlJc w:val="left"/>
      <w:pPr>
        <w:ind w:left="3780" w:hanging="420"/>
      </w:pPr>
    </w:lvl>
    <w:lvl w:ilvl="8" w:tplc="5540023E" w:tentative="1">
      <w:start w:val="1"/>
      <w:numFmt w:val="lowerRoman"/>
      <w:lvlText w:val="%9."/>
      <w:lvlJc w:val="right"/>
      <w:pPr>
        <w:ind w:left="4200" w:hanging="420"/>
      </w:pPr>
    </w:lvl>
  </w:abstractNum>
  <w:abstractNum w:abstractNumId="29" w15:restartNumberingAfterBreak="0">
    <w:nsid w:val="2B2F7082"/>
    <w:multiLevelType w:val="hybridMultilevel"/>
    <w:tmpl w:val="0CFC9488"/>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D78108E"/>
    <w:multiLevelType w:val="hybridMultilevel"/>
    <w:tmpl w:val="A28C427E"/>
    <w:lvl w:ilvl="0" w:tplc="261C5502">
      <w:start w:val="1"/>
      <w:numFmt w:val="decimal"/>
      <w:lvlText w:val="%1."/>
      <w:lvlJc w:val="left"/>
      <w:pPr>
        <w:tabs>
          <w:tab w:val="num" w:pos="360"/>
        </w:tabs>
        <w:ind w:left="360" w:hanging="360"/>
      </w:pPr>
      <w:rPr>
        <w:rFonts w:eastAsia="宋体" w:hint="eastAsia"/>
      </w:rPr>
    </w:lvl>
    <w:lvl w:ilvl="1" w:tplc="04090019">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31" w15:restartNumberingAfterBreak="0">
    <w:nsid w:val="2F353D7D"/>
    <w:multiLevelType w:val="hybridMultilevel"/>
    <w:tmpl w:val="5B2AC37C"/>
    <w:lvl w:ilvl="0" w:tplc="2D42890E">
      <w:start w:val="1"/>
      <w:numFmt w:val="decimal"/>
      <w:lvlText w:val="%1."/>
      <w:lvlJc w:val="left"/>
      <w:pPr>
        <w:tabs>
          <w:tab w:val="num" w:pos="600"/>
        </w:tabs>
        <w:ind w:left="600" w:hanging="420"/>
      </w:pPr>
      <w:rPr>
        <w:color w:val="FF0000"/>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2" w15:restartNumberingAfterBreak="0">
    <w:nsid w:val="36342792"/>
    <w:multiLevelType w:val="hybridMultilevel"/>
    <w:tmpl w:val="833C208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3" w15:restartNumberingAfterBreak="0">
    <w:nsid w:val="36C67A29"/>
    <w:multiLevelType w:val="hybridMultilevel"/>
    <w:tmpl w:val="DBB8BDAC"/>
    <w:lvl w:ilvl="0" w:tplc="BBE6D9C4">
      <w:start w:val="1"/>
      <w:numFmt w:val="decimal"/>
      <w:lvlText w:val="%1."/>
      <w:lvlJc w:val="left"/>
      <w:pPr>
        <w:ind w:left="1110" w:hanging="360"/>
      </w:pPr>
      <w:rPr>
        <w:rFonts w:ascii="Courier New" w:hAnsi="Courier New" w:cs="Courier New" w:hint="default"/>
        <w:sz w:val="20"/>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4" w15:restartNumberingAfterBreak="0">
    <w:nsid w:val="37E46BB2"/>
    <w:multiLevelType w:val="hybridMultilevel"/>
    <w:tmpl w:val="A3F4567C"/>
    <w:lvl w:ilvl="0" w:tplc="10BA351C">
      <w:start w:val="1"/>
      <w:numFmt w:val="decimal"/>
      <w:lvlText w:val="%1、"/>
      <w:lvlJc w:val="left"/>
      <w:pPr>
        <w:tabs>
          <w:tab w:val="num" w:pos="780"/>
        </w:tabs>
        <w:ind w:left="0" w:firstLine="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396752D9"/>
    <w:multiLevelType w:val="hybridMultilevel"/>
    <w:tmpl w:val="61022932"/>
    <w:lvl w:ilvl="0" w:tplc="11543A8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6" w15:restartNumberingAfterBreak="0">
    <w:nsid w:val="39CB5E54"/>
    <w:multiLevelType w:val="hybridMultilevel"/>
    <w:tmpl w:val="1730D3AE"/>
    <w:lvl w:ilvl="0" w:tplc="FFFFFFFF">
      <w:start w:val="1"/>
      <w:numFmt w:val="japaneseCounting"/>
      <w:lvlText w:val="(%1)"/>
      <w:lvlJc w:val="left"/>
      <w:pPr>
        <w:tabs>
          <w:tab w:val="num" w:pos="360"/>
        </w:tabs>
        <w:ind w:left="360" w:hanging="360"/>
      </w:pPr>
      <w:rPr>
        <w:rFonts w:ascii="Times New Roman" w:eastAsia="宋体" w:hAnsi="Times New Roman" w:cs="Times New Roman" w:hint="default"/>
        <w:b w:val="0"/>
        <w:sz w:val="21"/>
        <w:szCs w:val="21"/>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A5502A3"/>
    <w:multiLevelType w:val="hybridMultilevel"/>
    <w:tmpl w:val="CBECB95C"/>
    <w:lvl w:ilvl="0" w:tplc="3FDE96AA">
      <w:start w:val="1"/>
      <w:numFmt w:val="lowerLetter"/>
      <w:lvlText w:val="%1"/>
      <w:lvlJc w:val="left"/>
      <w:pPr>
        <w:tabs>
          <w:tab w:val="num" w:pos="3537"/>
        </w:tabs>
        <w:ind w:left="3537" w:hanging="7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3A70091D"/>
    <w:multiLevelType w:val="hybridMultilevel"/>
    <w:tmpl w:val="86EC9CE0"/>
    <w:lvl w:ilvl="0" w:tplc="3FDE96AA">
      <w:start w:val="1"/>
      <w:numFmt w:val="decimal"/>
      <w:lvlText w:val="（%1）"/>
      <w:lvlJc w:val="left"/>
      <w:pPr>
        <w:ind w:left="1110" w:hanging="420"/>
      </w:pPr>
      <w:rPr>
        <w:rFonts w:hint="eastAsia"/>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9" w15:restartNumberingAfterBreak="0">
    <w:nsid w:val="3D535FF1"/>
    <w:multiLevelType w:val="hybridMultilevel"/>
    <w:tmpl w:val="D19E2AFE"/>
    <w:lvl w:ilvl="0" w:tplc="B9E2B97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EB55A5A"/>
    <w:multiLevelType w:val="hybridMultilevel"/>
    <w:tmpl w:val="E9006A3E"/>
    <w:lvl w:ilvl="0" w:tplc="4FB6808C">
      <w:start w:val="1"/>
      <w:numFmt w:val="decimal"/>
      <w:lvlText w:val="(%1)"/>
      <w:lvlJc w:val="left"/>
      <w:pPr>
        <w:ind w:left="1217" w:hanging="735"/>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41" w15:restartNumberingAfterBreak="0">
    <w:nsid w:val="4108037F"/>
    <w:multiLevelType w:val="hybridMultilevel"/>
    <w:tmpl w:val="E026A106"/>
    <w:lvl w:ilvl="0" w:tplc="0F602EE8">
      <w:start w:val="1"/>
      <w:numFmt w:val="chineseCountingThousand"/>
      <w:lvlText w:val="第%1节"/>
      <w:lvlJc w:val="left"/>
      <w:pPr>
        <w:tabs>
          <w:tab w:val="num" w:pos="1813"/>
        </w:tabs>
        <w:ind w:left="1813" w:hanging="1170"/>
      </w:pPr>
      <w:rPr>
        <w:rFonts w:hint="default"/>
      </w:rPr>
    </w:lvl>
    <w:lvl w:ilvl="1" w:tplc="12C8DB60">
      <w:start w:val="1"/>
      <w:numFmt w:val="chineseCountingThousand"/>
      <w:lvlText w:val="%2、"/>
      <w:lvlJc w:val="left"/>
      <w:pPr>
        <w:tabs>
          <w:tab w:val="num" w:pos="720"/>
        </w:tabs>
        <w:ind w:left="720" w:hanging="720"/>
      </w:pPr>
      <w:rPr>
        <w:rFonts w:hint="default"/>
        <w:lang w:val="en-US"/>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42" w15:restartNumberingAfterBreak="0">
    <w:nsid w:val="429F092F"/>
    <w:multiLevelType w:val="hybridMultilevel"/>
    <w:tmpl w:val="FCD079BA"/>
    <w:lvl w:ilvl="0" w:tplc="81784470">
      <w:start w:val="1"/>
      <w:numFmt w:val="chineseCountingThousand"/>
      <w:lvlText w:val="%1、"/>
      <w:lvlJc w:val="left"/>
      <w:pPr>
        <w:ind w:left="720" w:hanging="720"/>
      </w:pPr>
      <w:rPr>
        <w:rFonts w:hint="eastAsia"/>
      </w:rPr>
    </w:lvl>
    <w:lvl w:ilvl="1" w:tplc="D06C5DD6"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4311251F"/>
    <w:multiLevelType w:val="hybridMultilevel"/>
    <w:tmpl w:val="05C001E8"/>
    <w:lvl w:ilvl="0" w:tplc="04090013">
      <w:start w:val="1"/>
      <w:numFmt w:val="chineseCountingThousand"/>
      <w:lvlText w:val="%1、"/>
      <w:lvlJc w:val="left"/>
      <w:pPr>
        <w:ind w:left="420" w:hanging="420"/>
      </w:pPr>
      <w:rPr>
        <w:rFonts w:hint="eastAsia"/>
      </w:rPr>
    </w:lvl>
    <w:lvl w:ilvl="1" w:tplc="04090019">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38D4BA0"/>
    <w:multiLevelType w:val="hybridMultilevel"/>
    <w:tmpl w:val="FF46BC1A"/>
    <w:lvl w:ilvl="0" w:tplc="10BA351C">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43B37399"/>
    <w:multiLevelType w:val="hybridMultilevel"/>
    <w:tmpl w:val="9A5055AE"/>
    <w:lvl w:ilvl="0" w:tplc="0409000F">
      <w:start w:val="1"/>
      <w:numFmt w:val="decimal"/>
      <w:lvlText w:val="%1."/>
      <w:lvlJc w:val="left"/>
      <w:pPr>
        <w:tabs>
          <w:tab w:val="num" w:pos="0"/>
        </w:tabs>
        <w:ind w:left="0" w:firstLine="0"/>
      </w:pPr>
      <w:rPr>
        <w:rFonts w:hint="default"/>
        <w:lang w:val="en-US"/>
      </w:rPr>
    </w:lvl>
    <w:lvl w:ilvl="1" w:tplc="B0DC8444">
      <w:start w:val="1"/>
      <w:numFmt w:val="decimal"/>
      <w:lvlText w:val="（%2）"/>
      <w:lvlJc w:val="left"/>
      <w:pPr>
        <w:tabs>
          <w:tab w:val="num" w:pos="0"/>
        </w:tabs>
        <w:ind w:left="0" w:firstLine="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6"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7" w15:restartNumberingAfterBreak="0">
    <w:nsid w:val="45DE0F87"/>
    <w:multiLevelType w:val="hybridMultilevel"/>
    <w:tmpl w:val="FB3EFFF6"/>
    <w:lvl w:ilvl="0" w:tplc="10BA351C">
      <w:start w:val="1"/>
      <w:numFmt w:val="chineseCountingThousand"/>
      <w:lvlText w:val="%1、"/>
      <w:lvlJc w:val="left"/>
      <w:pPr>
        <w:ind w:left="70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4A5B5776"/>
    <w:multiLevelType w:val="hybridMultilevel"/>
    <w:tmpl w:val="5B82EFF4"/>
    <w:lvl w:ilvl="0" w:tplc="1B2CA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B6D5126"/>
    <w:multiLevelType w:val="multilevel"/>
    <w:tmpl w:val="EE2824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15:restartNumberingAfterBreak="0">
    <w:nsid w:val="4C116A79"/>
    <w:multiLevelType w:val="hybridMultilevel"/>
    <w:tmpl w:val="630C3AA0"/>
    <w:lvl w:ilvl="0" w:tplc="9ADC73CC">
      <w:start w:val="1"/>
      <w:numFmt w:val="decimal"/>
      <w:lvlText w:val="（%1）"/>
      <w:lvlJc w:val="left"/>
      <w:pPr>
        <w:tabs>
          <w:tab w:val="num" w:pos="1200"/>
        </w:tabs>
        <w:ind w:left="120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15:restartNumberingAfterBreak="0">
    <w:nsid w:val="4D561378"/>
    <w:multiLevelType w:val="hybridMultilevel"/>
    <w:tmpl w:val="F6DE4366"/>
    <w:lvl w:ilvl="0" w:tplc="00A2C91E">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50B20066"/>
    <w:multiLevelType w:val="hybridMultilevel"/>
    <w:tmpl w:val="99BC5040"/>
    <w:lvl w:ilvl="0" w:tplc="FF40CEBE">
      <w:start w:val="1"/>
      <w:numFmt w:val="decimal"/>
      <w:lvlText w:val="%1."/>
      <w:lvlJc w:val="left"/>
      <w:pPr>
        <w:tabs>
          <w:tab w:val="num" w:pos="360"/>
        </w:tabs>
        <w:ind w:left="360" w:hanging="360"/>
      </w:pPr>
      <w:rPr>
        <w:rFonts w:ascii="宋体" w:eastAsia="宋体" w:hAnsi="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54" w15:restartNumberingAfterBreak="0">
    <w:nsid w:val="53860606"/>
    <w:multiLevelType w:val="hybridMultilevel"/>
    <w:tmpl w:val="DD8AB470"/>
    <w:lvl w:ilvl="0" w:tplc="AEB87138">
      <w:start w:val="1"/>
      <w:numFmt w:val="japaneseCounting"/>
      <w:lvlText w:val="%1、"/>
      <w:lvlJc w:val="left"/>
      <w:pPr>
        <w:ind w:left="495" w:hanging="39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5" w15:restartNumberingAfterBreak="0">
    <w:nsid w:val="548959F9"/>
    <w:multiLevelType w:val="hybridMultilevel"/>
    <w:tmpl w:val="49165390"/>
    <w:lvl w:ilvl="0" w:tplc="CB9CB670">
      <w:start w:val="1"/>
      <w:numFmt w:val="japaneseCounting"/>
      <w:lvlText w:val="%1、"/>
      <w:lvlJc w:val="left"/>
      <w:pPr>
        <w:tabs>
          <w:tab w:val="num" w:pos="420"/>
        </w:tabs>
        <w:ind w:left="420" w:hanging="420"/>
      </w:pPr>
      <w:rPr>
        <w:rFonts w:hint="default"/>
        <w:lang w:val="en-US"/>
      </w:rPr>
    </w:lvl>
    <w:lvl w:ilvl="1" w:tplc="04090017">
      <w:start w:val="1"/>
      <w:numFmt w:val="chineseCountingThousand"/>
      <w:lvlText w:val="(%2)"/>
      <w:lvlJc w:val="left"/>
      <w:pPr>
        <w:tabs>
          <w:tab w:val="num" w:pos="840"/>
        </w:tabs>
        <w:ind w:left="840" w:hanging="420"/>
      </w:pPr>
      <w:rPr>
        <w:rFonts w:hint="default"/>
      </w:rPr>
    </w:lvl>
    <w:lvl w:ilvl="2" w:tplc="FFB8E43A">
      <w:start w:val="1"/>
      <w:numFmt w:val="decimal"/>
      <w:lvlText w:val="（%3）"/>
      <w:lvlJc w:val="left"/>
      <w:pPr>
        <w:tabs>
          <w:tab w:val="num" w:pos="1560"/>
        </w:tabs>
        <w:ind w:left="1560" w:hanging="720"/>
      </w:pPr>
      <w:rPr>
        <w:rFonts w:ascii="宋体" w:eastAsia="宋体" w:hAnsi="宋体" w:hint="default"/>
        <w:lang w:val="en-US"/>
      </w:rPr>
    </w:lvl>
    <w:lvl w:ilvl="3" w:tplc="04090011">
      <w:start w:val="1"/>
      <w:numFmt w:val="decimal"/>
      <w:lvlText w:val="%4)"/>
      <w:lvlJc w:val="left"/>
      <w:pPr>
        <w:tabs>
          <w:tab w:val="num" w:pos="1260"/>
        </w:tabs>
        <w:ind w:left="1260" w:hanging="420"/>
      </w:pPr>
      <w:rPr>
        <w:rFonts w:hint="default"/>
      </w:rPr>
    </w:lvl>
    <w:lvl w:ilvl="4" w:tplc="851AC3A4">
      <w:start w:val="1"/>
      <w:numFmt w:val="decimal"/>
      <w:lvlText w:val="（%5）"/>
      <w:lvlJc w:val="left"/>
      <w:pPr>
        <w:tabs>
          <w:tab w:val="num" w:pos="2400"/>
        </w:tabs>
        <w:ind w:left="2400" w:hanging="720"/>
      </w:pPr>
      <w:rPr>
        <w:rFonts w:hint="default"/>
        <w:lang w:val="en-US"/>
      </w:rPr>
    </w:lvl>
    <w:lvl w:ilvl="5" w:tplc="AD02A9C8">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55206459"/>
    <w:multiLevelType w:val="hybridMultilevel"/>
    <w:tmpl w:val="3EAE29A6"/>
    <w:lvl w:ilvl="0" w:tplc="04090019">
      <w:start w:val="1"/>
      <w:numFmt w:val="japaneseCounting"/>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55D33962"/>
    <w:multiLevelType w:val="hybridMultilevel"/>
    <w:tmpl w:val="5CC8E110"/>
    <w:lvl w:ilvl="0" w:tplc="9DE6F642">
      <w:start w:val="1"/>
      <w:numFmt w:val="decimal"/>
      <w:lvlText w:val="%1."/>
      <w:lvlJc w:val="left"/>
      <w:pPr>
        <w:tabs>
          <w:tab w:val="num" w:pos="1003"/>
        </w:tabs>
        <w:ind w:left="1003" w:hanging="36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55E7444E"/>
    <w:multiLevelType w:val="hybridMultilevel"/>
    <w:tmpl w:val="C9B6E80C"/>
    <w:lvl w:ilvl="0" w:tplc="0F602EE8">
      <w:start w:val="1"/>
      <w:numFmt w:val="chineseCountingThousand"/>
      <w:lvlText w:val="第%1节"/>
      <w:lvlJc w:val="left"/>
      <w:pPr>
        <w:tabs>
          <w:tab w:val="num" w:pos="1813"/>
        </w:tabs>
        <w:ind w:left="1813" w:hanging="1170"/>
      </w:pPr>
      <w:rPr>
        <w:rFonts w:hint="default"/>
      </w:rPr>
    </w:lvl>
    <w:lvl w:ilvl="1" w:tplc="0DC49E38">
      <w:start w:val="1"/>
      <w:numFmt w:val="chineseCountingThousand"/>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15:restartNumberingAfterBreak="0">
    <w:nsid w:val="5D3E6F72"/>
    <w:multiLevelType w:val="multilevel"/>
    <w:tmpl w:val="B434A08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15:restartNumberingAfterBreak="0">
    <w:nsid w:val="5D82141E"/>
    <w:multiLevelType w:val="hybridMultilevel"/>
    <w:tmpl w:val="F7344D52"/>
    <w:lvl w:ilvl="0" w:tplc="8EFCE3D4">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5FF4606B"/>
    <w:multiLevelType w:val="hybridMultilevel"/>
    <w:tmpl w:val="78F6D392"/>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63" w15:restartNumberingAfterBreak="0">
    <w:nsid w:val="60667158"/>
    <w:multiLevelType w:val="hybridMultilevel"/>
    <w:tmpl w:val="D70C626E"/>
    <w:lvl w:ilvl="0" w:tplc="91D2CB2C">
      <w:start w:val="1"/>
      <w:numFmt w:val="decimal"/>
      <w:lvlText w:val="(%1)"/>
      <w:lvlJc w:val="left"/>
      <w:pPr>
        <w:tabs>
          <w:tab w:val="num" w:pos="1260"/>
        </w:tabs>
        <w:ind w:left="1260" w:hanging="420"/>
      </w:pPr>
      <w:rPr>
        <w:rFonts w:ascii="宋体" w:eastAsia="宋体" w:hAnsi="宋体" w:hint="default"/>
      </w:rPr>
    </w:lvl>
    <w:lvl w:ilvl="1" w:tplc="04090019" w:tentative="1">
      <w:start w:val="1"/>
      <w:numFmt w:val="lowerLetter"/>
      <w:lvlText w:val="%2)"/>
      <w:lvlJc w:val="left"/>
      <w:pPr>
        <w:tabs>
          <w:tab w:val="num" w:pos="61"/>
        </w:tabs>
        <w:ind w:left="61" w:hanging="420"/>
      </w:pPr>
    </w:lvl>
    <w:lvl w:ilvl="2" w:tplc="0409001B" w:tentative="1">
      <w:start w:val="1"/>
      <w:numFmt w:val="lowerRoman"/>
      <w:lvlText w:val="%3."/>
      <w:lvlJc w:val="right"/>
      <w:pPr>
        <w:tabs>
          <w:tab w:val="num" w:pos="481"/>
        </w:tabs>
        <w:ind w:left="481" w:hanging="420"/>
      </w:pPr>
    </w:lvl>
    <w:lvl w:ilvl="3" w:tplc="0409000F" w:tentative="1">
      <w:start w:val="1"/>
      <w:numFmt w:val="decimal"/>
      <w:lvlText w:val="%4."/>
      <w:lvlJc w:val="left"/>
      <w:pPr>
        <w:tabs>
          <w:tab w:val="num" w:pos="901"/>
        </w:tabs>
        <w:ind w:left="901" w:hanging="420"/>
      </w:pPr>
    </w:lvl>
    <w:lvl w:ilvl="4" w:tplc="04090019" w:tentative="1">
      <w:start w:val="1"/>
      <w:numFmt w:val="lowerLetter"/>
      <w:lvlText w:val="%5)"/>
      <w:lvlJc w:val="left"/>
      <w:pPr>
        <w:tabs>
          <w:tab w:val="num" w:pos="1321"/>
        </w:tabs>
        <w:ind w:left="1321" w:hanging="420"/>
      </w:pPr>
    </w:lvl>
    <w:lvl w:ilvl="5" w:tplc="0409001B" w:tentative="1">
      <w:start w:val="1"/>
      <w:numFmt w:val="lowerRoman"/>
      <w:lvlText w:val="%6."/>
      <w:lvlJc w:val="right"/>
      <w:pPr>
        <w:tabs>
          <w:tab w:val="num" w:pos="1741"/>
        </w:tabs>
        <w:ind w:left="1741" w:hanging="420"/>
      </w:pPr>
    </w:lvl>
    <w:lvl w:ilvl="6" w:tplc="0409000F" w:tentative="1">
      <w:start w:val="1"/>
      <w:numFmt w:val="decimal"/>
      <w:lvlText w:val="%7."/>
      <w:lvlJc w:val="left"/>
      <w:pPr>
        <w:tabs>
          <w:tab w:val="num" w:pos="2161"/>
        </w:tabs>
        <w:ind w:left="2161" w:hanging="420"/>
      </w:pPr>
    </w:lvl>
    <w:lvl w:ilvl="7" w:tplc="04090019" w:tentative="1">
      <w:start w:val="1"/>
      <w:numFmt w:val="lowerLetter"/>
      <w:lvlText w:val="%8)"/>
      <w:lvlJc w:val="left"/>
      <w:pPr>
        <w:tabs>
          <w:tab w:val="num" w:pos="2581"/>
        </w:tabs>
        <w:ind w:left="2581" w:hanging="420"/>
      </w:pPr>
    </w:lvl>
    <w:lvl w:ilvl="8" w:tplc="0409001B" w:tentative="1">
      <w:start w:val="1"/>
      <w:numFmt w:val="lowerRoman"/>
      <w:lvlText w:val="%9."/>
      <w:lvlJc w:val="right"/>
      <w:pPr>
        <w:tabs>
          <w:tab w:val="num" w:pos="3001"/>
        </w:tabs>
        <w:ind w:left="3001" w:hanging="420"/>
      </w:pPr>
    </w:lvl>
  </w:abstractNum>
  <w:abstractNum w:abstractNumId="64" w15:restartNumberingAfterBreak="0">
    <w:nsid w:val="64887D73"/>
    <w:multiLevelType w:val="hybridMultilevel"/>
    <w:tmpl w:val="97004024"/>
    <w:lvl w:ilvl="0" w:tplc="271E205C">
      <w:start w:val="1"/>
      <w:numFmt w:val="decimal"/>
      <w:lvlText w:val="（%1）"/>
      <w:lvlJc w:val="left"/>
      <w:pPr>
        <w:tabs>
          <w:tab w:val="num" w:pos="147"/>
        </w:tabs>
        <w:ind w:left="567" w:firstLine="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64E14F1F"/>
    <w:multiLevelType w:val="hybridMultilevel"/>
    <w:tmpl w:val="B9B03D50"/>
    <w:lvl w:ilvl="0" w:tplc="2AF8B9E2">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650B2610"/>
    <w:multiLevelType w:val="multilevel"/>
    <w:tmpl w:val="B434A088"/>
    <w:lvl w:ilvl="0">
      <w:start w:val="1"/>
      <w:numFmt w:val="decimal"/>
      <w:lvlText w:val="(%1)"/>
      <w:lvlJc w:val="left"/>
      <w:pPr>
        <w:tabs>
          <w:tab w:val="num" w:pos="780"/>
        </w:tabs>
        <w:ind w:left="7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15:restartNumberingAfterBreak="0">
    <w:nsid w:val="658606FC"/>
    <w:multiLevelType w:val="hybridMultilevel"/>
    <w:tmpl w:val="0B9E301C"/>
    <w:lvl w:ilvl="0" w:tplc="E73CA914">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15:restartNumberingAfterBreak="0">
    <w:nsid w:val="65B6367F"/>
    <w:multiLevelType w:val="hybridMultilevel"/>
    <w:tmpl w:val="E12AAF70"/>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69"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0" w15:restartNumberingAfterBreak="0">
    <w:nsid w:val="69A52F2B"/>
    <w:multiLevelType w:val="hybridMultilevel"/>
    <w:tmpl w:val="5158196C"/>
    <w:lvl w:ilvl="0" w:tplc="A6DE4732">
      <w:start w:val="1"/>
      <w:numFmt w:val="decimal"/>
      <w:lvlText w:val="%1."/>
      <w:lvlJc w:val="left"/>
      <w:pPr>
        <w:tabs>
          <w:tab w:val="num" w:pos="360"/>
        </w:tabs>
        <w:ind w:left="360" w:hanging="360"/>
      </w:pPr>
      <w:rPr>
        <w:rFonts w:ascii="宋体" w:eastAsia="宋体" w:hAnsi="宋体" w:hint="eastAsia"/>
        <w:b w:val="0"/>
        <w:sz w:val="21"/>
        <w:szCs w:val="21"/>
        <w:lang w:val="en-US"/>
      </w:rPr>
    </w:lvl>
    <w:lvl w:ilvl="1" w:tplc="04090011">
      <w:start w:val="1"/>
      <w:numFmt w:val="decimal"/>
      <w:lvlText w:val="%2)"/>
      <w:lvlJc w:val="left"/>
      <w:pPr>
        <w:tabs>
          <w:tab w:val="num" w:pos="840"/>
        </w:tabs>
        <w:ind w:left="840" w:hanging="420"/>
      </w:pPr>
      <w:rPr>
        <w:rFonts w:hint="default"/>
        <w:b/>
        <w:sz w:val="21"/>
        <w:szCs w:val="21"/>
        <w:lang w:val="en-US"/>
      </w:rPr>
    </w:lvl>
    <w:lvl w:ilvl="2" w:tplc="FFFFFFFF">
      <w:start w:val="2"/>
      <w:numFmt w:val="japaneseCounting"/>
      <w:lvlText w:val="第%3章"/>
      <w:lvlJc w:val="left"/>
      <w:pPr>
        <w:tabs>
          <w:tab w:val="num" w:pos="1560"/>
        </w:tabs>
        <w:ind w:left="1560" w:hanging="720"/>
      </w:pPr>
      <w:rPr>
        <w:rFonts w:hint="default"/>
      </w:rPr>
    </w:lvl>
    <w:lvl w:ilvl="3" w:tplc="FFFFFFFF">
      <w:start w:val="1"/>
      <w:numFmt w:val="decimal"/>
      <w:lvlText w:val="%4)"/>
      <w:lvlJc w:val="left"/>
      <w:pPr>
        <w:tabs>
          <w:tab w:val="num" w:pos="1680"/>
        </w:tabs>
        <w:ind w:left="900" w:firstLine="360"/>
      </w:pPr>
      <w:rPr>
        <w:rFonts w:hint="eastAsia"/>
        <w:b/>
        <w:lang w:val="en-US"/>
      </w:rPr>
    </w:lvl>
    <w:lvl w:ilvl="4" w:tplc="FFFFFFFF">
      <w:start w:val="1"/>
      <w:numFmt w:val="decimal"/>
      <w:lvlText w:val="%5）"/>
      <w:lvlJc w:val="left"/>
      <w:pPr>
        <w:tabs>
          <w:tab w:val="num" w:pos="2040"/>
        </w:tabs>
        <w:ind w:left="2040" w:hanging="360"/>
      </w:pPr>
      <w:rPr>
        <w:rFonts w:eastAsia="宋体" w:hint="default"/>
      </w:rPr>
    </w:lvl>
    <w:lvl w:ilvl="5" w:tplc="FFFFFFFF">
      <w:start w:val="7"/>
      <w:numFmt w:val="decimal"/>
      <w:lvlText w:val="%6．"/>
      <w:lvlJc w:val="left"/>
      <w:pPr>
        <w:tabs>
          <w:tab w:val="num" w:pos="2460"/>
        </w:tabs>
        <w:ind w:left="2460" w:hanging="360"/>
      </w:pPr>
      <w:rPr>
        <w:rFonts w:hint="default"/>
      </w:rPr>
    </w:lvl>
    <w:lvl w:ilvl="6" w:tplc="FFFFFFFF">
      <w:start w:val="1"/>
      <w:numFmt w:val="japaneseCounting"/>
      <w:lvlText w:val="(%7)"/>
      <w:lvlJc w:val="left"/>
      <w:pPr>
        <w:tabs>
          <w:tab w:val="num" w:pos="720"/>
        </w:tabs>
        <w:ind w:left="720" w:hanging="360"/>
      </w:pPr>
      <w:rPr>
        <w:rFonts w:ascii="Times New Roman" w:eastAsia="宋体" w:hAnsi="Times New Roman" w:cs="Times New Roman"/>
      </w:rPr>
    </w:lvl>
    <w:lvl w:ilvl="7" w:tplc="FFFFFFFF">
      <w:start w:val="1"/>
      <w:numFmt w:val="ideographDigital"/>
      <w:lvlText w:val="(%8)"/>
      <w:lvlJc w:val="left"/>
      <w:pPr>
        <w:tabs>
          <w:tab w:val="num" w:pos="3360"/>
        </w:tabs>
        <w:ind w:left="3360" w:hanging="420"/>
      </w:pPr>
      <w:rPr>
        <w:rFonts w:hint="eastAsia"/>
        <w:b w:val="0"/>
        <w:lang w:val="en-US"/>
      </w:rPr>
    </w:lvl>
    <w:lvl w:ilvl="8" w:tplc="FFFFFFFF">
      <w:start w:val="1"/>
      <w:numFmt w:val="japaneseCounting"/>
      <w:lvlText w:val="（%9）"/>
      <w:lvlJc w:val="left"/>
      <w:pPr>
        <w:tabs>
          <w:tab w:val="num" w:pos="4200"/>
        </w:tabs>
        <w:ind w:left="4200" w:hanging="840"/>
      </w:pPr>
      <w:rPr>
        <w:rFonts w:hint="default"/>
      </w:rPr>
    </w:lvl>
  </w:abstractNum>
  <w:abstractNum w:abstractNumId="71" w15:restartNumberingAfterBreak="0">
    <w:nsid w:val="6A726416"/>
    <w:multiLevelType w:val="multilevel"/>
    <w:tmpl w:val="6A7264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15:restartNumberingAfterBreak="0">
    <w:nsid w:val="6F0C5F25"/>
    <w:multiLevelType w:val="hybridMultilevel"/>
    <w:tmpl w:val="CB029A4A"/>
    <w:lvl w:ilvl="0" w:tplc="04090019">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74" w15:restartNumberingAfterBreak="0">
    <w:nsid w:val="727C540E"/>
    <w:multiLevelType w:val="multilevel"/>
    <w:tmpl w:val="B434A088"/>
    <w:lvl w:ilvl="0">
      <w:start w:val="1"/>
      <w:numFmt w:val="decimal"/>
      <w:lvlText w:val="(%1)"/>
      <w:lvlJc w:val="left"/>
      <w:pPr>
        <w:tabs>
          <w:tab w:val="num" w:pos="780"/>
        </w:tabs>
        <w:ind w:left="7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15:restartNumberingAfterBreak="0">
    <w:nsid w:val="73346218"/>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74181C13"/>
    <w:multiLevelType w:val="hybridMultilevel"/>
    <w:tmpl w:val="66A4FD16"/>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77" w15:restartNumberingAfterBreak="0">
    <w:nsid w:val="7465198C"/>
    <w:multiLevelType w:val="hybridMultilevel"/>
    <w:tmpl w:val="B0AA079C"/>
    <w:lvl w:ilvl="0" w:tplc="2D8A59BA">
      <w:start w:val="1"/>
      <w:numFmt w:val="decimal"/>
      <w:lvlText w:val="（%1）"/>
      <w:lvlJc w:val="left"/>
      <w:pPr>
        <w:ind w:left="846" w:hanging="420"/>
      </w:pPr>
      <w:rPr>
        <w:rFonts w:hint="eastAsia"/>
      </w:rPr>
    </w:lvl>
    <w:lvl w:ilvl="1" w:tplc="C75829C2">
      <w:start w:val="1"/>
      <w:numFmt w:val="decimal"/>
      <w:lvlText w:val="%2、"/>
      <w:lvlJc w:val="left"/>
      <w:pPr>
        <w:ind w:left="1213" w:hanging="375"/>
      </w:pPr>
      <w:rPr>
        <w:rFonts w:hAnsi="Times New Roman" w:hint="default"/>
      </w:rPr>
    </w:lvl>
    <w:lvl w:ilvl="2" w:tplc="5532E580" w:tentative="1">
      <w:start w:val="1"/>
      <w:numFmt w:val="lowerRoman"/>
      <w:lvlText w:val="%3."/>
      <w:lvlJc w:val="right"/>
      <w:pPr>
        <w:ind w:left="1678" w:hanging="420"/>
      </w:pPr>
    </w:lvl>
    <w:lvl w:ilvl="3" w:tplc="01D22E6A" w:tentative="1">
      <w:start w:val="1"/>
      <w:numFmt w:val="decimal"/>
      <w:lvlText w:val="%4."/>
      <w:lvlJc w:val="left"/>
      <w:pPr>
        <w:ind w:left="2098" w:hanging="420"/>
      </w:pPr>
    </w:lvl>
    <w:lvl w:ilvl="4" w:tplc="DEEE01F8" w:tentative="1">
      <w:start w:val="1"/>
      <w:numFmt w:val="lowerLetter"/>
      <w:lvlText w:val="%5)"/>
      <w:lvlJc w:val="left"/>
      <w:pPr>
        <w:ind w:left="2518" w:hanging="420"/>
      </w:pPr>
    </w:lvl>
    <w:lvl w:ilvl="5" w:tplc="026E82CA" w:tentative="1">
      <w:start w:val="1"/>
      <w:numFmt w:val="lowerRoman"/>
      <w:lvlText w:val="%6."/>
      <w:lvlJc w:val="right"/>
      <w:pPr>
        <w:ind w:left="2938" w:hanging="420"/>
      </w:pPr>
    </w:lvl>
    <w:lvl w:ilvl="6" w:tplc="086C6042" w:tentative="1">
      <w:start w:val="1"/>
      <w:numFmt w:val="decimal"/>
      <w:lvlText w:val="%7."/>
      <w:lvlJc w:val="left"/>
      <w:pPr>
        <w:ind w:left="3358" w:hanging="420"/>
      </w:pPr>
    </w:lvl>
    <w:lvl w:ilvl="7" w:tplc="3320D30C" w:tentative="1">
      <w:start w:val="1"/>
      <w:numFmt w:val="lowerLetter"/>
      <w:lvlText w:val="%8)"/>
      <w:lvlJc w:val="left"/>
      <w:pPr>
        <w:ind w:left="3778" w:hanging="420"/>
      </w:pPr>
    </w:lvl>
    <w:lvl w:ilvl="8" w:tplc="10E21586" w:tentative="1">
      <w:start w:val="1"/>
      <w:numFmt w:val="lowerRoman"/>
      <w:lvlText w:val="%9."/>
      <w:lvlJc w:val="right"/>
      <w:pPr>
        <w:ind w:left="4198" w:hanging="420"/>
      </w:pPr>
    </w:lvl>
  </w:abstractNum>
  <w:abstractNum w:abstractNumId="78" w15:restartNumberingAfterBreak="0">
    <w:nsid w:val="75F74D1A"/>
    <w:multiLevelType w:val="hybridMultilevel"/>
    <w:tmpl w:val="15B2A43E"/>
    <w:lvl w:ilvl="0" w:tplc="22FEB792">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765E4C60"/>
    <w:multiLevelType w:val="hybridMultilevel"/>
    <w:tmpl w:val="E19A5E84"/>
    <w:lvl w:ilvl="0" w:tplc="D3528780">
      <w:start w:val="1"/>
      <w:numFmt w:val="decimal"/>
      <w:lvlText w:val="%1）"/>
      <w:lvlJc w:val="left"/>
      <w:pPr>
        <w:tabs>
          <w:tab w:val="num" w:pos="0"/>
        </w:tabs>
        <w:ind w:left="0" w:firstLine="84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15:restartNumberingAfterBreak="0">
    <w:nsid w:val="77B4748A"/>
    <w:multiLevelType w:val="hybridMultilevel"/>
    <w:tmpl w:val="806C3D62"/>
    <w:lvl w:ilvl="0" w:tplc="99AA8908">
      <w:start w:val="1"/>
      <w:numFmt w:val="decimal"/>
      <w:lvlText w:val="%1."/>
      <w:lvlJc w:val="left"/>
      <w:pPr>
        <w:tabs>
          <w:tab w:val="num" w:pos="1070"/>
        </w:tabs>
        <w:ind w:left="71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15:restartNumberingAfterBreak="0">
    <w:nsid w:val="783C7759"/>
    <w:multiLevelType w:val="hybridMultilevel"/>
    <w:tmpl w:val="DA50ECFE"/>
    <w:lvl w:ilvl="0" w:tplc="58FC3F26">
      <w:start w:val="1"/>
      <w:numFmt w:val="decimal"/>
      <w:lvlText w:val="（%1）"/>
      <w:lvlJc w:val="left"/>
      <w:pPr>
        <w:tabs>
          <w:tab w:val="num" w:pos="851"/>
        </w:tabs>
        <w:ind w:left="851" w:hanging="567"/>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15:restartNumberingAfterBreak="0">
    <w:nsid w:val="78855797"/>
    <w:multiLevelType w:val="hybridMultilevel"/>
    <w:tmpl w:val="C5B8DB76"/>
    <w:lvl w:ilvl="0" w:tplc="87C2BABC">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78965417"/>
    <w:multiLevelType w:val="multilevel"/>
    <w:tmpl w:val="7896541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4" w15:restartNumberingAfterBreak="0">
    <w:nsid w:val="79894A28"/>
    <w:multiLevelType w:val="hybridMultilevel"/>
    <w:tmpl w:val="A75CEFA0"/>
    <w:lvl w:ilvl="0" w:tplc="99AA8908">
      <w:start w:val="1"/>
      <w:numFmt w:val="decimal"/>
      <w:lvlText w:val="(%1)"/>
      <w:lvlJc w:val="left"/>
      <w:pPr>
        <w:ind w:left="1161" w:hanging="735"/>
      </w:pPr>
    </w:lvl>
    <w:lvl w:ilvl="1" w:tplc="271E205C">
      <w:start w:val="1"/>
      <w:numFmt w:val="decimal"/>
      <w:lvlText w:val="(%2)"/>
      <w:lvlJc w:val="left"/>
      <w:pPr>
        <w:ind w:left="1155" w:hanging="735"/>
      </w:pPr>
    </w:lvl>
    <w:lvl w:ilvl="2" w:tplc="23888C08">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7BA65790"/>
    <w:multiLevelType w:val="hybridMultilevel"/>
    <w:tmpl w:val="05CA7C80"/>
    <w:lvl w:ilvl="0" w:tplc="841C8DC8">
      <w:start w:val="1"/>
      <w:numFmt w:val="decimal"/>
      <w:lvlText w:val="（%1）"/>
      <w:lvlJc w:val="left"/>
      <w:pPr>
        <w:tabs>
          <w:tab w:val="num" w:pos="1134"/>
        </w:tabs>
        <w:ind w:left="1134" w:hanging="71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7D1F6586"/>
    <w:multiLevelType w:val="hybridMultilevel"/>
    <w:tmpl w:val="28D6DEC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7" w15:restartNumberingAfterBreak="0">
    <w:nsid w:val="7D671B5B"/>
    <w:multiLevelType w:val="hybridMultilevel"/>
    <w:tmpl w:val="38FEC73C"/>
    <w:lvl w:ilvl="0" w:tplc="0DC49E38">
      <w:start w:val="1"/>
      <w:numFmt w:val="chineseCountingThousand"/>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8" w15:restartNumberingAfterBreak="0">
    <w:nsid w:val="7DAB5D99"/>
    <w:multiLevelType w:val="hybridMultilevel"/>
    <w:tmpl w:val="F98E6ABC"/>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89" w15:restartNumberingAfterBreak="0">
    <w:nsid w:val="7DF03319"/>
    <w:multiLevelType w:val="hybridMultilevel"/>
    <w:tmpl w:val="E9365C7C"/>
    <w:lvl w:ilvl="0" w:tplc="12C8DB60">
      <w:start w:val="1"/>
      <w:numFmt w:val="chineseCountingThousand"/>
      <w:lvlText w:val="%1、"/>
      <w:lvlJc w:val="left"/>
      <w:pPr>
        <w:tabs>
          <w:tab w:val="num" w:pos="1140"/>
        </w:tabs>
        <w:ind w:left="1140" w:hanging="720"/>
      </w:pPr>
      <w:rPr>
        <w:rFonts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0" w15:restartNumberingAfterBreak="0">
    <w:nsid w:val="7F5C31ED"/>
    <w:multiLevelType w:val="hybridMultilevel"/>
    <w:tmpl w:val="D19E2AFE"/>
    <w:lvl w:ilvl="0" w:tplc="10BA351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69"/>
  </w:num>
  <w:num w:numId="3">
    <w:abstractNumId w:val="80"/>
  </w:num>
  <w:num w:numId="4">
    <w:abstractNumId w:val="81"/>
  </w:num>
  <w:num w:numId="5">
    <w:abstractNumId w:val="48"/>
  </w:num>
  <w:num w:numId="6">
    <w:abstractNumId w:val="22"/>
  </w:num>
  <w:num w:numId="7">
    <w:abstractNumId w:val="55"/>
  </w:num>
  <w:num w:numId="8">
    <w:abstractNumId w:val="51"/>
  </w:num>
  <w:num w:numId="9">
    <w:abstractNumId w:val="70"/>
  </w:num>
  <w:num w:numId="10">
    <w:abstractNumId w:val="14"/>
  </w:num>
  <w:num w:numId="11">
    <w:abstractNumId w:val="24"/>
  </w:num>
  <w:num w:numId="12">
    <w:abstractNumId w:val="25"/>
  </w:num>
  <w:num w:numId="13">
    <w:abstractNumId w:val="12"/>
  </w:num>
  <w:num w:numId="14">
    <w:abstractNumId w:val="9"/>
  </w:num>
  <w:num w:numId="15">
    <w:abstractNumId w:val="41"/>
  </w:num>
  <w:num w:numId="16">
    <w:abstractNumId w:val="57"/>
  </w:num>
  <w:num w:numId="17">
    <w:abstractNumId w:val="37"/>
  </w:num>
  <w:num w:numId="18">
    <w:abstractNumId w:val="79"/>
  </w:num>
  <w:num w:numId="19">
    <w:abstractNumId w:val="63"/>
  </w:num>
  <w:num w:numId="20">
    <w:abstractNumId w:val="59"/>
  </w:num>
  <w:num w:numId="21">
    <w:abstractNumId w:val="87"/>
  </w:num>
  <w:num w:numId="22">
    <w:abstractNumId w:val="23"/>
  </w:num>
  <w:num w:numId="23">
    <w:abstractNumId w:val="0"/>
  </w:num>
  <w:num w:numId="24">
    <w:abstractNumId w:val="89"/>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8"/>
  </w:num>
  <w:num w:numId="28">
    <w:abstractNumId w:val="1"/>
  </w:num>
  <w:num w:numId="29">
    <w:abstractNumId w:val="53"/>
  </w:num>
  <w:num w:numId="30">
    <w:abstractNumId w:val="88"/>
  </w:num>
  <w:num w:numId="31">
    <w:abstractNumId w:val="68"/>
  </w:num>
  <w:num w:numId="32">
    <w:abstractNumId w:val="30"/>
  </w:num>
  <w:num w:numId="33">
    <w:abstractNumId w:val="76"/>
  </w:num>
  <w:num w:numId="34">
    <w:abstractNumId w:val="62"/>
  </w:num>
  <w:num w:numId="35">
    <w:abstractNumId w:val="31"/>
  </w:num>
  <w:num w:numId="36">
    <w:abstractNumId w:val="50"/>
  </w:num>
  <w:num w:numId="37">
    <w:abstractNumId w:val="60"/>
  </w:num>
  <w:num w:numId="38">
    <w:abstractNumId w:val="86"/>
  </w:num>
  <w:num w:numId="39">
    <w:abstractNumId w:val="66"/>
  </w:num>
  <w:num w:numId="40">
    <w:abstractNumId w:val="74"/>
  </w:num>
  <w:num w:numId="41">
    <w:abstractNumId w:val="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 w:numId="45">
    <w:abstractNumId w:val="2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num>
  <w:num w:numId="49">
    <w:abstractNumId w:val="64"/>
  </w:num>
  <w:num w:numId="50">
    <w:abstractNumId w:val="45"/>
  </w:num>
  <w:num w:numId="51">
    <w:abstractNumId w:val="64"/>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54"/>
  </w:num>
  <w:num w:numId="57">
    <w:abstractNumId w:val="32"/>
  </w:num>
  <w:num w:numId="58">
    <w:abstractNumId w:val="3"/>
  </w:num>
  <w:num w:numId="59">
    <w:abstractNumId w:val="6"/>
  </w:num>
  <w:num w:numId="60">
    <w:abstractNumId w:val="26"/>
  </w:num>
  <w:num w:numId="61">
    <w:abstractNumId w:val="20"/>
  </w:num>
  <w:num w:numId="62">
    <w:abstractNumId w:val="42"/>
  </w:num>
  <w:num w:numId="63">
    <w:abstractNumId w:val="10"/>
  </w:num>
  <w:num w:numId="64">
    <w:abstractNumId w:val="65"/>
  </w:num>
  <w:num w:numId="65">
    <w:abstractNumId w:val="61"/>
  </w:num>
  <w:num w:numId="66">
    <w:abstractNumId w:val="11"/>
  </w:num>
  <w:num w:numId="67">
    <w:abstractNumId w:val="28"/>
  </w:num>
  <w:num w:numId="68">
    <w:abstractNumId w:val="47"/>
  </w:num>
  <w:num w:numId="69">
    <w:abstractNumId w:val="67"/>
  </w:num>
  <w:num w:numId="70">
    <w:abstractNumId w:val="52"/>
  </w:num>
  <w:num w:numId="71">
    <w:abstractNumId w:val="19"/>
  </w:num>
  <w:num w:numId="72">
    <w:abstractNumId w:val="39"/>
  </w:num>
  <w:num w:numId="73">
    <w:abstractNumId w:val="35"/>
  </w:num>
  <w:num w:numId="74">
    <w:abstractNumId w:val="90"/>
  </w:num>
  <w:num w:numId="75">
    <w:abstractNumId w:val="77"/>
  </w:num>
  <w:num w:numId="76">
    <w:abstractNumId w:val="38"/>
  </w:num>
  <w:num w:numId="77">
    <w:abstractNumId w:val="43"/>
  </w:num>
  <w:num w:numId="78">
    <w:abstractNumId w:val="5"/>
  </w:num>
  <w:num w:numId="79">
    <w:abstractNumId w:val="4"/>
  </w:num>
  <w:num w:numId="80">
    <w:abstractNumId w:val="83"/>
  </w:num>
  <w:num w:numId="81">
    <w:abstractNumId w:val="34"/>
  </w:num>
  <w:num w:numId="82">
    <w:abstractNumId w:val="44"/>
  </w:num>
  <w:num w:numId="83">
    <w:abstractNumId w:val="71"/>
  </w:num>
  <w:num w:numId="84">
    <w:abstractNumId w:val="73"/>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num>
  <w:num w:numId="87">
    <w:abstractNumId w:val="7"/>
  </w:num>
  <w:num w:numId="88">
    <w:abstractNumId w:val="56"/>
  </w:num>
  <w:num w:numId="89">
    <w:abstractNumId w:val="72"/>
  </w:num>
  <w:num w:numId="90">
    <w:abstractNumId w:val="75"/>
  </w:num>
  <w:num w:numId="91">
    <w:abstractNumId w:val="17"/>
  </w:num>
  <w:num w:numId="92">
    <w:abstractNumId w:val="29"/>
  </w:num>
  <w:num w:numId="93">
    <w:abstractNumId w:val="16"/>
  </w:num>
  <w:num w:numId="94">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A8F"/>
    <w:rsid w:val="00000DCB"/>
    <w:rsid w:val="00001E15"/>
    <w:rsid w:val="00001E34"/>
    <w:rsid w:val="000022DB"/>
    <w:rsid w:val="000042A0"/>
    <w:rsid w:val="00004CB9"/>
    <w:rsid w:val="000051D5"/>
    <w:rsid w:val="000055B6"/>
    <w:rsid w:val="00007729"/>
    <w:rsid w:val="00010F4B"/>
    <w:rsid w:val="00010FE8"/>
    <w:rsid w:val="000110E8"/>
    <w:rsid w:val="00011968"/>
    <w:rsid w:val="00014443"/>
    <w:rsid w:val="00015BC6"/>
    <w:rsid w:val="00015BEC"/>
    <w:rsid w:val="00022438"/>
    <w:rsid w:val="00022CF2"/>
    <w:rsid w:val="000270DD"/>
    <w:rsid w:val="00027A0C"/>
    <w:rsid w:val="00030A48"/>
    <w:rsid w:val="00031D02"/>
    <w:rsid w:val="00033207"/>
    <w:rsid w:val="000332DF"/>
    <w:rsid w:val="000347BF"/>
    <w:rsid w:val="00035C24"/>
    <w:rsid w:val="0004070B"/>
    <w:rsid w:val="00040D6B"/>
    <w:rsid w:val="000415F9"/>
    <w:rsid w:val="00041761"/>
    <w:rsid w:val="00042011"/>
    <w:rsid w:val="000423F3"/>
    <w:rsid w:val="000429FF"/>
    <w:rsid w:val="00042FDC"/>
    <w:rsid w:val="000441CF"/>
    <w:rsid w:val="00045CBE"/>
    <w:rsid w:val="000476E5"/>
    <w:rsid w:val="00050A8C"/>
    <w:rsid w:val="00050E60"/>
    <w:rsid w:val="000513E2"/>
    <w:rsid w:val="00052B90"/>
    <w:rsid w:val="00053E44"/>
    <w:rsid w:val="00055239"/>
    <w:rsid w:val="00055DC5"/>
    <w:rsid w:val="00056E49"/>
    <w:rsid w:val="00056EBE"/>
    <w:rsid w:val="00060947"/>
    <w:rsid w:val="000624A9"/>
    <w:rsid w:val="000633A3"/>
    <w:rsid w:val="000635A0"/>
    <w:rsid w:val="000665EB"/>
    <w:rsid w:val="00066EB3"/>
    <w:rsid w:val="00070F6A"/>
    <w:rsid w:val="0007151D"/>
    <w:rsid w:val="000735A5"/>
    <w:rsid w:val="00073C69"/>
    <w:rsid w:val="0007456D"/>
    <w:rsid w:val="00074F60"/>
    <w:rsid w:val="00075621"/>
    <w:rsid w:val="00076907"/>
    <w:rsid w:val="000769FC"/>
    <w:rsid w:val="00076A0B"/>
    <w:rsid w:val="00082479"/>
    <w:rsid w:val="00082864"/>
    <w:rsid w:val="00082C42"/>
    <w:rsid w:val="00083C6A"/>
    <w:rsid w:val="000844DD"/>
    <w:rsid w:val="00084F69"/>
    <w:rsid w:val="000850BF"/>
    <w:rsid w:val="00087A19"/>
    <w:rsid w:val="00087B88"/>
    <w:rsid w:val="00092365"/>
    <w:rsid w:val="000949D6"/>
    <w:rsid w:val="00095857"/>
    <w:rsid w:val="000964B0"/>
    <w:rsid w:val="000A0DA0"/>
    <w:rsid w:val="000A0EC0"/>
    <w:rsid w:val="000A2357"/>
    <w:rsid w:val="000A2714"/>
    <w:rsid w:val="000A35EA"/>
    <w:rsid w:val="000A3B29"/>
    <w:rsid w:val="000A4233"/>
    <w:rsid w:val="000A4885"/>
    <w:rsid w:val="000A52B8"/>
    <w:rsid w:val="000A5890"/>
    <w:rsid w:val="000A7D89"/>
    <w:rsid w:val="000B0139"/>
    <w:rsid w:val="000B1575"/>
    <w:rsid w:val="000B1CA0"/>
    <w:rsid w:val="000B2832"/>
    <w:rsid w:val="000B2873"/>
    <w:rsid w:val="000B2FFD"/>
    <w:rsid w:val="000B3B9A"/>
    <w:rsid w:val="000B3CCB"/>
    <w:rsid w:val="000B761B"/>
    <w:rsid w:val="000C1A10"/>
    <w:rsid w:val="000C2077"/>
    <w:rsid w:val="000C3A8A"/>
    <w:rsid w:val="000C4718"/>
    <w:rsid w:val="000C55C8"/>
    <w:rsid w:val="000C5A9D"/>
    <w:rsid w:val="000C5E26"/>
    <w:rsid w:val="000C65BF"/>
    <w:rsid w:val="000C6962"/>
    <w:rsid w:val="000C71E2"/>
    <w:rsid w:val="000C7A12"/>
    <w:rsid w:val="000C7CD1"/>
    <w:rsid w:val="000D0FD5"/>
    <w:rsid w:val="000D1356"/>
    <w:rsid w:val="000D3836"/>
    <w:rsid w:val="000D4C97"/>
    <w:rsid w:val="000D5124"/>
    <w:rsid w:val="000D5843"/>
    <w:rsid w:val="000D6077"/>
    <w:rsid w:val="000D6088"/>
    <w:rsid w:val="000D6E0C"/>
    <w:rsid w:val="000D6E4A"/>
    <w:rsid w:val="000E11E7"/>
    <w:rsid w:val="000E205E"/>
    <w:rsid w:val="000E2AED"/>
    <w:rsid w:val="000E3083"/>
    <w:rsid w:val="000E45B1"/>
    <w:rsid w:val="000E5478"/>
    <w:rsid w:val="000E5A70"/>
    <w:rsid w:val="000E5F6B"/>
    <w:rsid w:val="000E631B"/>
    <w:rsid w:val="000F07E0"/>
    <w:rsid w:val="000F110E"/>
    <w:rsid w:val="000F15C9"/>
    <w:rsid w:val="000F1E00"/>
    <w:rsid w:val="000F1F19"/>
    <w:rsid w:val="000F2B81"/>
    <w:rsid w:val="000F2C9A"/>
    <w:rsid w:val="000F6441"/>
    <w:rsid w:val="000F6FD0"/>
    <w:rsid w:val="00100276"/>
    <w:rsid w:val="00100CB6"/>
    <w:rsid w:val="00101DE7"/>
    <w:rsid w:val="00102893"/>
    <w:rsid w:val="001029C6"/>
    <w:rsid w:val="00102B3B"/>
    <w:rsid w:val="001037BB"/>
    <w:rsid w:val="00104727"/>
    <w:rsid w:val="00106BAE"/>
    <w:rsid w:val="001074FD"/>
    <w:rsid w:val="001107ED"/>
    <w:rsid w:val="00110A55"/>
    <w:rsid w:val="0011213E"/>
    <w:rsid w:val="00112376"/>
    <w:rsid w:val="00112DB1"/>
    <w:rsid w:val="00114078"/>
    <w:rsid w:val="00114134"/>
    <w:rsid w:val="00114D89"/>
    <w:rsid w:val="0011551D"/>
    <w:rsid w:val="0011576F"/>
    <w:rsid w:val="00117144"/>
    <w:rsid w:val="001175AA"/>
    <w:rsid w:val="00117DB7"/>
    <w:rsid w:val="0012219E"/>
    <w:rsid w:val="001223DA"/>
    <w:rsid w:val="0012288F"/>
    <w:rsid w:val="00122A64"/>
    <w:rsid w:val="00123A5D"/>
    <w:rsid w:val="00123C1B"/>
    <w:rsid w:val="00124817"/>
    <w:rsid w:val="00124E4C"/>
    <w:rsid w:val="00124EF5"/>
    <w:rsid w:val="00125009"/>
    <w:rsid w:val="00126382"/>
    <w:rsid w:val="001271BB"/>
    <w:rsid w:val="00127248"/>
    <w:rsid w:val="00127541"/>
    <w:rsid w:val="001279B5"/>
    <w:rsid w:val="00127DBB"/>
    <w:rsid w:val="001305D7"/>
    <w:rsid w:val="00132358"/>
    <w:rsid w:val="00133050"/>
    <w:rsid w:val="00133BB5"/>
    <w:rsid w:val="00133DDB"/>
    <w:rsid w:val="00134354"/>
    <w:rsid w:val="00135317"/>
    <w:rsid w:val="00135950"/>
    <w:rsid w:val="00136957"/>
    <w:rsid w:val="00137C27"/>
    <w:rsid w:val="00140F0C"/>
    <w:rsid w:val="00141B21"/>
    <w:rsid w:val="00142B90"/>
    <w:rsid w:val="00142D24"/>
    <w:rsid w:val="0014420B"/>
    <w:rsid w:val="001442FD"/>
    <w:rsid w:val="00144DC8"/>
    <w:rsid w:val="00145BBD"/>
    <w:rsid w:val="001466DF"/>
    <w:rsid w:val="00147D38"/>
    <w:rsid w:val="00147F41"/>
    <w:rsid w:val="00150CC8"/>
    <w:rsid w:val="001517FC"/>
    <w:rsid w:val="0015186D"/>
    <w:rsid w:val="001541BA"/>
    <w:rsid w:val="00154534"/>
    <w:rsid w:val="00154556"/>
    <w:rsid w:val="00155BE8"/>
    <w:rsid w:val="00156526"/>
    <w:rsid w:val="00156AC4"/>
    <w:rsid w:val="0016066F"/>
    <w:rsid w:val="0016085B"/>
    <w:rsid w:val="00161615"/>
    <w:rsid w:val="00162D16"/>
    <w:rsid w:val="00163012"/>
    <w:rsid w:val="00163767"/>
    <w:rsid w:val="00163A8A"/>
    <w:rsid w:val="0016507D"/>
    <w:rsid w:val="00165121"/>
    <w:rsid w:val="0016530B"/>
    <w:rsid w:val="0016546D"/>
    <w:rsid w:val="001657E3"/>
    <w:rsid w:val="00167070"/>
    <w:rsid w:val="0016717C"/>
    <w:rsid w:val="001674D5"/>
    <w:rsid w:val="001703AF"/>
    <w:rsid w:val="001705E7"/>
    <w:rsid w:val="001707CF"/>
    <w:rsid w:val="001720F6"/>
    <w:rsid w:val="00172966"/>
    <w:rsid w:val="00172E3C"/>
    <w:rsid w:val="0017421C"/>
    <w:rsid w:val="00174628"/>
    <w:rsid w:val="001749DC"/>
    <w:rsid w:val="001754B2"/>
    <w:rsid w:val="00175CC1"/>
    <w:rsid w:val="00175D5A"/>
    <w:rsid w:val="00176D12"/>
    <w:rsid w:val="00180A79"/>
    <w:rsid w:val="001827B6"/>
    <w:rsid w:val="00182AC7"/>
    <w:rsid w:val="00182D83"/>
    <w:rsid w:val="00184AA0"/>
    <w:rsid w:val="00184C44"/>
    <w:rsid w:val="001854D5"/>
    <w:rsid w:val="00187844"/>
    <w:rsid w:val="00192544"/>
    <w:rsid w:val="0019292F"/>
    <w:rsid w:val="001962A7"/>
    <w:rsid w:val="0019659B"/>
    <w:rsid w:val="00196D15"/>
    <w:rsid w:val="00196D5A"/>
    <w:rsid w:val="0019727C"/>
    <w:rsid w:val="0019747C"/>
    <w:rsid w:val="001A0334"/>
    <w:rsid w:val="001A118E"/>
    <w:rsid w:val="001A2171"/>
    <w:rsid w:val="001A329A"/>
    <w:rsid w:val="001A448F"/>
    <w:rsid w:val="001A6F41"/>
    <w:rsid w:val="001A71C0"/>
    <w:rsid w:val="001B0854"/>
    <w:rsid w:val="001B1337"/>
    <w:rsid w:val="001B1BE0"/>
    <w:rsid w:val="001B2837"/>
    <w:rsid w:val="001B2AB9"/>
    <w:rsid w:val="001B365E"/>
    <w:rsid w:val="001B3D1F"/>
    <w:rsid w:val="001B4D13"/>
    <w:rsid w:val="001B53FB"/>
    <w:rsid w:val="001B5880"/>
    <w:rsid w:val="001B5B11"/>
    <w:rsid w:val="001B6447"/>
    <w:rsid w:val="001B6743"/>
    <w:rsid w:val="001B6C4C"/>
    <w:rsid w:val="001B6E9A"/>
    <w:rsid w:val="001B7150"/>
    <w:rsid w:val="001C01FD"/>
    <w:rsid w:val="001C1197"/>
    <w:rsid w:val="001C277D"/>
    <w:rsid w:val="001C289A"/>
    <w:rsid w:val="001C531C"/>
    <w:rsid w:val="001C5DC8"/>
    <w:rsid w:val="001C61F8"/>
    <w:rsid w:val="001C6DE0"/>
    <w:rsid w:val="001C6FA2"/>
    <w:rsid w:val="001C7366"/>
    <w:rsid w:val="001C78CC"/>
    <w:rsid w:val="001D0401"/>
    <w:rsid w:val="001D04EC"/>
    <w:rsid w:val="001D14AF"/>
    <w:rsid w:val="001D16AE"/>
    <w:rsid w:val="001D3377"/>
    <w:rsid w:val="001D495E"/>
    <w:rsid w:val="001D596D"/>
    <w:rsid w:val="001D6126"/>
    <w:rsid w:val="001D6546"/>
    <w:rsid w:val="001D71EA"/>
    <w:rsid w:val="001E16F5"/>
    <w:rsid w:val="001E1792"/>
    <w:rsid w:val="001E3471"/>
    <w:rsid w:val="001E36A9"/>
    <w:rsid w:val="001E3952"/>
    <w:rsid w:val="001E4C7B"/>
    <w:rsid w:val="001E50B3"/>
    <w:rsid w:val="001E6F1F"/>
    <w:rsid w:val="001E75CF"/>
    <w:rsid w:val="001E7C29"/>
    <w:rsid w:val="001F0C75"/>
    <w:rsid w:val="001F1B2F"/>
    <w:rsid w:val="001F1DCF"/>
    <w:rsid w:val="001F2F83"/>
    <w:rsid w:val="001F3544"/>
    <w:rsid w:val="001F581A"/>
    <w:rsid w:val="001F5CD7"/>
    <w:rsid w:val="001F660D"/>
    <w:rsid w:val="001F69CB"/>
    <w:rsid w:val="00203483"/>
    <w:rsid w:val="0020552D"/>
    <w:rsid w:val="0020799E"/>
    <w:rsid w:val="00211724"/>
    <w:rsid w:val="00214F10"/>
    <w:rsid w:val="00215040"/>
    <w:rsid w:val="00215790"/>
    <w:rsid w:val="00216D16"/>
    <w:rsid w:val="00217C18"/>
    <w:rsid w:val="00217F6F"/>
    <w:rsid w:val="002232FF"/>
    <w:rsid w:val="00223430"/>
    <w:rsid w:val="002234B2"/>
    <w:rsid w:val="00223CF3"/>
    <w:rsid w:val="00224621"/>
    <w:rsid w:val="00225F40"/>
    <w:rsid w:val="002264A5"/>
    <w:rsid w:val="00226590"/>
    <w:rsid w:val="00230E78"/>
    <w:rsid w:val="0023109B"/>
    <w:rsid w:val="0023144C"/>
    <w:rsid w:val="00231AFF"/>
    <w:rsid w:val="00232942"/>
    <w:rsid w:val="002331C4"/>
    <w:rsid w:val="002362B6"/>
    <w:rsid w:val="00243AFA"/>
    <w:rsid w:val="0024606B"/>
    <w:rsid w:val="002465F1"/>
    <w:rsid w:val="00247B4F"/>
    <w:rsid w:val="00247BE0"/>
    <w:rsid w:val="00250B1E"/>
    <w:rsid w:val="002511C5"/>
    <w:rsid w:val="00252FED"/>
    <w:rsid w:val="0025311C"/>
    <w:rsid w:val="00253B5C"/>
    <w:rsid w:val="002554EC"/>
    <w:rsid w:val="00256D1B"/>
    <w:rsid w:val="002572C4"/>
    <w:rsid w:val="00260641"/>
    <w:rsid w:val="002609AA"/>
    <w:rsid w:val="00262010"/>
    <w:rsid w:val="002628B4"/>
    <w:rsid w:val="002634CE"/>
    <w:rsid w:val="002636E9"/>
    <w:rsid w:val="0026465F"/>
    <w:rsid w:val="002670C8"/>
    <w:rsid w:val="002705FB"/>
    <w:rsid w:val="00271439"/>
    <w:rsid w:val="002716A8"/>
    <w:rsid w:val="002742CC"/>
    <w:rsid w:val="002743F7"/>
    <w:rsid w:val="0027469F"/>
    <w:rsid w:val="00274877"/>
    <w:rsid w:val="002758F6"/>
    <w:rsid w:val="00275FBD"/>
    <w:rsid w:val="00277639"/>
    <w:rsid w:val="002778AD"/>
    <w:rsid w:val="00280583"/>
    <w:rsid w:val="00280B42"/>
    <w:rsid w:val="00281E73"/>
    <w:rsid w:val="00282042"/>
    <w:rsid w:val="00282B1D"/>
    <w:rsid w:val="002843F6"/>
    <w:rsid w:val="002845A7"/>
    <w:rsid w:val="002850CA"/>
    <w:rsid w:val="00285275"/>
    <w:rsid w:val="00286242"/>
    <w:rsid w:val="0028729B"/>
    <w:rsid w:val="00291398"/>
    <w:rsid w:val="002916E8"/>
    <w:rsid w:val="00291ABB"/>
    <w:rsid w:val="00292FFB"/>
    <w:rsid w:val="0029380B"/>
    <w:rsid w:val="0029412A"/>
    <w:rsid w:val="002948E3"/>
    <w:rsid w:val="00295430"/>
    <w:rsid w:val="0029614C"/>
    <w:rsid w:val="00296722"/>
    <w:rsid w:val="00297EFE"/>
    <w:rsid w:val="002A0444"/>
    <w:rsid w:val="002A0A29"/>
    <w:rsid w:val="002A386D"/>
    <w:rsid w:val="002A3B1B"/>
    <w:rsid w:val="002A40AE"/>
    <w:rsid w:val="002A504B"/>
    <w:rsid w:val="002A547E"/>
    <w:rsid w:val="002A6347"/>
    <w:rsid w:val="002A7EB0"/>
    <w:rsid w:val="002B0C93"/>
    <w:rsid w:val="002B105F"/>
    <w:rsid w:val="002B2B4C"/>
    <w:rsid w:val="002B348F"/>
    <w:rsid w:val="002B41BD"/>
    <w:rsid w:val="002B6994"/>
    <w:rsid w:val="002C2F26"/>
    <w:rsid w:val="002C395A"/>
    <w:rsid w:val="002C41D8"/>
    <w:rsid w:val="002C4EB6"/>
    <w:rsid w:val="002C63E2"/>
    <w:rsid w:val="002C6B65"/>
    <w:rsid w:val="002D0939"/>
    <w:rsid w:val="002D0A71"/>
    <w:rsid w:val="002D3DDA"/>
    <w:rsid w:val="002D4057"/>
    <w:rsid w:val="002D6D3D"/>
    <w:rsid w:val="002D6DA6"/>
    <w:rsid w:val="002D7A44"/>
    <w:rsid w:val="002E05F2"/>
    <w:rsid w:val="002E1423"/>
    <w:rsid w:val="002E3038"/>
    <w:rsid w:val="002E367F"/>
    <w:rsid w:val="002E518C"/>
    <w:rsid w:val="002E5396"/>
    <w:rsid w:val="002E6CCE"/>
    <w:rsid w:val="002E73ED"/>
    <w:rsid w:val="002F00C3"/>
    <w:rsid w:val="002F595F"/>
    <w:rsid w:val="002F59A6"/>
    <w:rsid w:val="002F6A59"/>
    <w:rsid w:val="00300087"/>
    <w:rsid w:val="0030056B"/>
    <w:rsid w:val="003012AE"/>
    <w:rsid w:val="0030168F"/>
    <w:rsid w:val="00302DDB"/>
    <w:rsid w:val="00302E8D"/>
    <w:rsid w:val="00303371"/>
    <w:rsid w:val="0030350E"/>
    <w:rsid w:val="00303715"/>
    <w:rsid w:val="00303900"/>
    <w:rsid w:val="003045E2"/>
    <w:rsid w:val="00305955"/>
    <w:rsid w:val="00307EB1"/>
    <w:rsid w:val="00310EB6"/>
    <w:rsid w:val="003117A7"/>
    <w:rsid w:val="00311EA4"/>
    <w:rsid w:val="00313BE0"/>
    <w:rsid w:val="00316404"/>
    <w:rsid w:val="00321F49"/>
    <w:rsid w:val="003247F4"/>
    <w:rsid w:val="0032521E"/>
    <w:rsid w:val="00325EF5"/>
    <w:rsid w:val="00327C48"/>
    <w:rsid w:val="00330156"/>
    <w:rsid w:val="003307CA"/>
    <w:rsid w:val="00330AB9"/>
    <w:rsid w:val="00332836"/>
    <w:rsid w:val="003330DC"/>
    <w:rsid w:val="00340826"/>
    <w:rsid w:val="00341234"/>
    <w:rsid w:val="00341CF3"/>
    <w:rsid w:val="00343DC1"/>
    <w:rsid w:val="0034430A"/>
    <w:rsid w:val="00345B13"/>
    <w:rsid w:val="00347BEE"/>
    <w:rsid w:val="0035078F"/>
    <w:rsid w:val="003510DD"/>
    <w:rsid w:val="00351377"/>
    <w:rsid w:val="0035158E"/>
    <w:rsid w:val="00351B86"/>
    <w:rsid w:val="00352D25"/>
    <w:rsid w:val="0035376D"/>
    <w:rsid w:val="00354370"/>
    <w:rsid w:val="003543A9"/>
    <w:rsid w:val="003553DB"/>
    <w:rsid w:val="00360815"/>
    <w:rsid w:val="0036157F"/>
    <w:rsid w:val="00361B57"/>
    <w:rsid w:val="00361D0F"/>
    <w:rsid w:val="00362F97"/>
    <w:rsid w:val="003672B3"/>
    <w:rsid w:val="00367525"/>
    <w:rsid w:val="00367FC8"/>
    <w:rsid w:val="00370F15"/>
    <w:rsid w:val="00371105"/>
    <w:rsid w:val="00372A35"/>
    <w:rsid w:val="00372BE5"/>
    <w:rsid w:val="00373F1A"/>
    <w:rsid w:val="0037466D"/>
    <w:rsid w:val="00375E52"/>
    <w:rsid w:val="00375F69"/>
    <w:rsid w:val="00376340"/>
    <w:rsid w:val="00376B80"/>
    <w:rsid w:val="003803BE"/>
    <w:rsid w:val="0038273C"/>
    <w:rsid w:val="00383278"/>
    <w:rsid w:val="003841EA"/>
    <w:rsid w:val="0038582B"/>
    <w:rsid w:val="00386DF3"/>
    <w:rsid w:val="003905CE"/>
    <w:rsid w:val="00390986"/>
    <w:rsid w:val="00390D62"/>
    <w:rsid w:val="00390EC5"/>
    <w:rsid w:val="0039181F"/>
    <w:rsid w:val="00391FFB"/>
    <w:rsid w:val="0039445C"/>
    <w:rsid w:val="003946BD"/>
    <w:rsid w:val="00394A08"/>
    <w:rsid w:val="00394FBC"/>
    <w:rsid w:val="00395EA3"/>
    <w:rsid w:val="003966EA"/>
    <w:rsid w:val="00396F5C"/>
    <w:rsid w:val="00397B0F"/>
    <w:rsid w:val="00397BD2"/>
    <w:rsid w:val="003A0F14"/>
    <w:rsid w:val="003A13C6"/>
    <w:rsid w:val="003A2171"/>
    <w:rsid w:val="003A24D1"/>
    <w:rsid w:val="003A2FCF"/>
    <w:rsid w:val="003A3D5B"/>
    <w:rsid w:val="003A54EA"/>
    <w:rsid w:val="003A5714"/>
    <w:rsid w:val="003A663A"/>
    <w:rsid w:val="003B24AE"/>
    <w:rsid w:val="003B4B67"/>
    <w:rsid w:val="003B51C5"/>
    <w:rsid w:val="003B5B2E"/>
    <w:rsid w:val="003B70E8"/>
    <w:rsid w:val="003B767D"/>
    <w:rsid w:val="003B79F7"/>
    <w:rsid w:val="003C14C5"/>
    <w:rsid w:val="003C2B9D"/>
    <w:rsid w:val="003C519D"/>
    <w:rsid w:val="003C6EF2"/>
    <w:rsid w:val="003D1651"/>
    <w:rsid w:val="003D31D3"/>
    <w:rsid w:val="003D5041"/>
    <w:rsid w:val="003D55AE"/>
    <w:rsid w:val="003D6B71"/>
    <w:rsid w:val="003D7E6A"/>
    <w:rsid w:val="003E0224"/>
    <w:rsid w:val="003E0A6E"/>
    <w:rsid w:val="003E1C9C"/>
    <w:rsid w:val="003E1DB8"/>
    <w:rsid w:val="003E39EA"/>
    <w:rsid w:val="003E5027"/>
    <w:rsid w:val="003E5AE2"/>
    <w:rsid w:val="003E66A8"/>
    <w:rsid w:val="003F11EE"/>
    <w:rsid w:val="003F196C"/>
    <w:rsid w:val="003F2361"/>
    <w:rsid w:val="003F562F"/>
    <w:rsid w:val="003F5DAB"/>
    <w:rsid w:val="003F60AE"/>
    <w:rsid w:val="003F6461"/>
    <w:rsid w:val="003F6979"/>
    <w:rsid w:val="003F6B23"/>
    <w:rsid w:val="003F76E7"/>
    <w:rsid w:val="00401324"/>
    <w:rsid w:val="004043DE"/>
    <w:rsid w:val="00406B14"/>
    <w:rsid w:val="00406DBF"/>
    <w:rsid w:val="00407282"/>
    <w:rsid w:val="004100AA"/>
    <w:rsid w:val="00411054"/>
    <w:rsid w:val="004114A0"/>
    <w:rsid w:val="0041348F"/>
    <w:rsid w:val="00413D23"/>
    <w:rsid w:val="00414238"/>
    <w:rsid w:val="004147EB"/>
    <w:rsid w:val="00414CBF"/>
    <w:rsid w:val="00415871"/>
    <w:rsid w:val="00416014"/>
    <w:rsid w:val="00417074"/>
    <w:rsid w:val="004200B2"/>
    <w:rsid w:val="0042128C"/>
    <w:rsid w:val="00422422"/>
    <w:rsid w:val="004234EB"/>
    <w:rsid w:val="0042447E"/>
    <w:rsid w:val="00424767"/>
    <w:rsid w:val="0042497A"/>
    <w:rsid w:val="00424E63"/>
    <w:rsid w:val="00430B3A"/>
    <w:rsid w:val="00431120"/>
    <w:rsid w:val="00431525"/>
    <w:rsid w:val="00431CBE"/>
    <w:rsid w:val="00433683"/>
    <w:rsid w:val="0043530A"/>
    <w:rsid w:val="00437239"/>
    <w:rsid w:val="004373DD"/>
    <w:rsid w:val="00437626"/>
    <w:rsid w:val="00440779"/>
    <w:rsid w:val="0044387D"/>
    <w:rsid w:val="0044554B"/>
    <w:rsid w:val="00446558"/>
    <w:rsid w:val="00446867"/>
    <w:rsid w:val="00446B98"/>
    <w:rsid w:val="00447FA4"/>
    <w:rsid w:val="0045081E"/>
    <w:rsid w:val="00450FBC"/>
    <w:rsid w:val="00451496"/>
    <w:rsid w:val="00451A8B"/>
    <w:rsid w:val="00451DB8"/>
    <w:rsid w:val="0045276E"/>
    <w:rsid w:val="004538FF"/>
    <w:rsid w:val="00453ED2"/>
    <w:rsid w:val="004552B6"/>
    <w:rsid w:val="00457735"/>
    <w:rsid w:val="00457C3A"/>
    <w:rsid w:val="00457FC4"/>
    <w:rsid w:val="004600C0"/>
    <w:rsid w:val="0046028D"/>
    <w:rsid w:val="00460B54"/>
    <w:rsid w:val="00461843"/>
    <w:rsid w:val="00461A15"/>
    <w:rsid w:val="00462C95"/>
    <w:rsid w:val="00463A84"/>
    <w:rsid w:val="004647A8"/>
    <w:rsid w:val="004669D0"/>
    <w:rsid w:val="00466A14"/>
    <w:rsid w:val="00466CE9"/>
    <w:rsid w:val="00467093"/>
    <w:rsid w:val="0047296D"/>
    <w:rsid w:val="0047316B"/>
    <w:rsid w:val="0047485F"/>
    <w:rsid w:val="0047610A"/>
    <w:rsid w:val="004770A6"/>
    <w:rsid w:val="00480FBD"/>
    <w:rsid w:val="00481C63"/>
    <w:rsid w:val="0048231F"/>
    <w:rsid w:val="004832F1"/>
    <w:rsid w:val="00483E5B"/>
    <w:rsid w:val="004852D7"/>
    <w:rsid w:val="00490186"/>
    <w:rsid w:val="0049137A"/>
    <w:rsid w:val="004917BF"/>
    <w:rsid w:val="00492011"/>
    <w:rsid w:val="00492685"/>
    <w:rsid w:val="004928D8"/>
    <w:rsid w:val="00493502"/>
    <w:rsid w:val="004952B8"/>
    <w:rsid w:val="00495655"/>
    <w:rsid w:val="00497166"/>
    <w:rsid w:val="00497CA7"/>
    <w:rsid w:val="004A0D56"/>
    <w:rsid w:val="004A1A1D"/>
    <w:rsid w:val="004A552E"/>
    <w:rsid w:val="004A5B4B"/>
    <w:rsid w:val="004A6021"/>
    <w:rsid w:val="004B2AE1"/>
    <w:rsid w:val="004B352F"/>
    <w:rsid w:val="004B4111"/>
    <w:rsid w:val="004B6555"/>
    <w:rsid w:val="004B78D9"/>
    <w:rsid w:val="004B7D74"/>
    <w:rsid w:val="004C199A"/>
    <w:rsid w:val="004C4020"/>
    <w:rsid w:val="004C595F"/>
    <w:rsid w:val="004C607C"/>
    <w:rsid w:val="004C62CC"/>
    <w:rsid w:val="004D0458"/>
    <w:rsid w:val="004D06C4"/>
    <w:rsid w:val="004D1E0F"/>
    <w:rsid w:val="004D36EE"/>
    <w:rsid w:val="004D3B5A"/>
    <w:rsid w:val="004D53AB"/>
    <w:rsid w:val="004D5CA5"/>
    <w:rsid w:val="004E08F6"/>
    <w:rsid w:val="004E0D1F"/>
    <w:rsid w:val="004E218B"/>
    <w:rsid w:val="004E2E20"/>
    <w:rsid w:val="004E37A0"/>
    <w:rsid w:val="004E5A69"/>
    <w:rsid w:val="004E6379"/>
    <w:rsid w:val="004E7738"/>
    <w:rsid w:val="004E7D0C"/>
    <w:rsid w:val="004F0949"/>
    <w:rsid w:val="004F22C8"/>
    <w:rsid w:val="004F2353"/>
    <w:rsid w:val="004F2540"/>
    <w:rsid w:val="004F2AD8"/>
    <w:rsid w:val="004F4088"/>
    <w:rsid w:val="004F41CD"/>
    <w:rsid w:val="004F51E0"/>
    <w:rsid w:val="004F5638"/>
    <w:rsid w:val="004F5B1B"/>
    <w:rsid w:val="004F675F"/>
    <w:rsid w:val="004F73AC"/>
    <w:rsid w:val="005005C3"/>
    <w:rsid w:val="005028A8"/>
    <w:rsid w:val="00502E18"/>
    <w:rsid w:val="00503079"/>
    <w:rsid w:val="00503B1D"/>
    <w:rsid w:val="00503EE8"/>
    <w:rsid w:val="005041E4"/>
    <w:rsid w:val="00506788"/>
    <w:rsid w:val="00507006"/>
    <w:rsid w:val="0051048B"/>
    <w:rsid w:val="005118CA"/>
    <w:rsid w:val="00511D24"/>
    <w:rsid w:val="00512721"/>
    <w:rsid w:val="00512792"/>
    <w:rsid w:val="005127C5"/>
    <w:rsid w:val="00512872"/>
    <w:rsid w:val="00515775"/>
    <w:rsid w:val="00516892"/>
    <w:rsid w:val="0051725E"/>
    <w:rsid w:val="00517C3D"/>
    <w:rsid w:val="00517E44"/>
    <w:rsid w:val="005200A0"/>
    <w:rsid w:val="00520DEC"/>
    <w:rsid w:val="00521102"/>
    <w:rsid w:val="005223A6"/>
    <w:rsid w:val="00524967"/>
    <w:rsid w:val="00524A7F"/>
    <w:rsid w:val="005250FF"/>
    <w:rsid w:val="00525249"/>
    <w:rsid w:val="00525715"/>
    <w:rsid w:val="00525C4E"/>
    <w:rsid w:val="00525EBD"/>
    <w:rsid w:val="00526990"/>
    <w:rsid w:val="00526EA5"/>
    <w:rsid w:val="0053041F"/>
    <w:rsid w:val="005320EA"/>
    <w:rsid w:val="00532823"/>
    <w:rsid w:val="00533205"/>
    <w:rsid w:val="00534AAC"/>
    <w:rsid w:val="00534B38"/>
    <w:rsid w:val="0053538D"/>
    <w:rsid w:val="00535631"/>
    <w:rsid w:val="005357C7"/>
    <w:rsid w:val="005374BF"/>
    <w:rsid w:val="005406CD"/>
    <w:rsid w:val="005418BF"/>
    <w:rsid w:val="00541D9B"/>
    <w:rsid w:val="00542DFB"/>
    <w:rsid w:val="00543023"/>
    <w:rsid w:val="005435DD"/>
    <w:rsid w:val="0054364B"/>
    <w:rsid w:val="005446BE"/>
    <w:rsid w:val="005470C7"/>
    <w:rsid w:val="00550158"/>
    <w:rsid w:val="00550D90"/>
    <w:rsid w:val="00553354"/>
    <w:rsid w:val="00553643"/>
    <w:rsid w:val="005556C4"/>
    <w:rsid w:val="0055619F"/>
    <w:rsid w:val="00556F3C"/>
    <w:rsid w:val="0056179A"/>
    <w:rsid w:val="005628EA"/>
    <w:rsid w:val="00564795"/>
    <w:rsid w:val="00564E46"/>
    <w:rsid w:val="00564EE6"/>
    <w:rsid w:val="0056575A"/>
    <w:rsid w:val="00566BF9"/>
    <w:rsid w:val="00566C89"/>
    <w:rsid w:val="00567A44"/>
    <w:rsid w:val="0057074A"/>
    <w:rsid w:val="005719A6"/>
    <w:rsid w:val="00576267"/>
    <w:rsid w:val="005805A8"/>
    <w:rsid w:val="0058124B"/>
    <w:rsid w:val="0058187B"/>
    <w:rsid w:val="00581D5A"/>
    <w:rsid w:val="005833DA"/>
    <w:rsid w:val="005856CE"/>
    <w:rsid w:val="005859DE"/>
    <w:rsid w:val="00590C62"/>
    <w:rsid w:val="00591303"/>
    <w:rsid w:val="005936A9"/>
    <w:rsid w:val="005938E7"/>
    <w:rsid w:val="005956DD"/>
    <w:rsid w:val="00596412"/>
    <w:rsid w:val="005964CB"/>
    <w:rsid w:val="00597353"/>
    <w:rsid w:val="0059743F"/>
    <w:rsid w:val="00597D00"/>
    <w:rsid w:val="00597E45"/>
    <w:rsid w:val="00597FF3"/>
    <w:rsid w:val="005A1B88"/>
    <w:rsid w:val="005A37B8"/>
    <w:rsid w:val="005A3AE4"/>
    <w:rsid w:val="005A3EE0"/>
    <w:rsid w:val="005A4B84"/>
    <w:rsid w:val="005A4FA9"/>
    <w:rsid w:val="005A622C"/>
    <w:rsid w:val="005A6383"/>
    <w:rsid w:val="005A7908"/>
    <w:rsid w:val="005B07DC"/>
    <w:rsid w:val="005B1C6A"/>
    <w:rsid w:val="005B213F"/>
    <w:rsid w:val="005B27F1"/>
    <w:rsid w:val="005B5FE0"/>
    <w:rsid w:val="005B6184"/>
    <w:rsid w:val="005B769E"/>
    <w:rsid w:val="005B78E6"/>
    <w:rsid w:val="005B7F53"/>
    <w:rsid w:val="005C0186"/>
    <w:rsid w:val="005C037A"/>
    <w:rsid w:val="005C0821"/>
    <w:rsid w:val="005C1AE8"/>
    <w:rsid w:val="005C1ED7"/>
    <w:rsid w:val="005C1F89"/>
    <w:rsid w:val="005C2BE1"/>
    <w:rsid w:val="005C3ABC"/>
    <w:rsid w:val="005C4636"/>
    <w:rsid w:val="005C4C63"/>
    <w:rsid w:val="005C7171"/>
    <w:rsid w:val="005D1EFE"/>
    <w:rsid w:val="005D4BAF"/>
    <w:rsid w:val="005D632A"/>
    <w:rsid w:val="005D7193"/>
    <w:rsid w:val="005D7755"/>
    <w:rsid w:val="005E01E6"/>
    <w:rsid w:val="005E0E82"/>
    <w:rsid w:val="005E15E0"/>
    <w:rsid w:val="005E2802"/>
    <w:rsid w:val="005E2CA4"/>
    <w:rsid w:val="005E369C"/>
    <w:rsid w:val="005E3C9E"/>
    <w:rsid w:val="005E5157"/>
    <w:rsid w:val="005E526F"/>
    <w:rsid w:val="005E57C3"/>
    <w:rsid w:val="005E7D57"/>
    <w:rsid w:val="005F029B"/>
    <w:rsid w:val="005F053E"/>
    <w:rsid w:val="005F1EFE"/>
    <w:rsid w:val="005F4850"/>
    <w:rsid w:val="005F52CA"/>
    <w:rsid w:val="005F5571"/>
    <w:rsid w:val="005F5B54"/>
    <w:rsid w:val="005F62C4"/>
    <w:rsid w:val="005F6375"/>
    <w:rsid w:val="005F71D4"/>
    <w:rsid w:val="00600807"/>
    <w:rsid w:val="006013B3"/>
    <w:rsid w:val="006019FD"/>
    <w:rsid w:val="00602034"/>
    <w:rsid w:val="00603D84"/>
    <w:rsid w:val="006052B3"/>
    <w:rsid w:val="00605B4F"/>
    <w:rsid w:val="00611BA6"/>
    <w:rsid w:val="00611CC2"/>
    <w:rsid w:val="00613572"/>
    <w:rsid w:val="00613C23"/>
    <w:rsid w:val="00613EBD"/>
    <w:rsid w:val="00614B68"/>
    <w:rsid w:val="006152E4"/>
    <w:rsid w:val="00615AD0"/>
    <w:rsid w:val="006162AE"/>
    <w:rsid w:val="0061630F"/>
    <w:rsid w:val="006175E5"/>
    <w:rsid w:val="00617979"/>
    <w:rsid w:val="006204F3"/>
    <w:rsid w:val="00621DE7"/>
    <w:rsid w:val="0062403A"/>
    <w:rsid w:val="006258CE"/>
    <w:rsid w:val="00627F7D"/>
    <w:rsid w:val="00632C9B"/>
    <w:rsid w:val="00634141"/>
    <w:rsid w:val="0063480F"/>
    <w:rsid w:val="00634972"/>
    <w:rsid w:val="006349B4"/>
    <w:rsid w:val="00634CA6"/>
    <w:rsid w:val="00635B9A"/>
    <w:rsid w:val="0063753E"/>
    <w:rsid w:val="00637852"/>
    <w:rsid w:val="00637D14"/>
    <w:rsid w:val="00637E33"/>
    <w:rsid w:val="00640CFD"/>
    <w:rsid w:val="00640DDF"/>
    <w:rsid w:val="0064206D"/>
    <w:rsid w:val="00642B75"/>
    <w:rsid w:val="00643707"/>
    <w:rsid w:val="006438ED"/>
    <w:rsid w:val="00643BD9"/>
    <w:rsid w:val="00644525"/>
    <w:rsid w:val="0064594E"/>
    <w:rsid w:val="00646115"/>
    <w:rsid w:val="00646FFD"/>
    <w:rsid w:val="00647BDB"/>
    <w:rsid w:val="00650584"/>
    <w:rsid w:val="006527D0"/>
    <w:rsid w:val="00653DA4"/>
    <w:rsid w:val="006541A1"/>
    <w:rsid w:val="00654D15"/>
    <w:rsid w:val="00655570"/>
    <w:rsid w:val="00656304"/>
    <w:rsid w:val="00660126"/>
    <w:rsid w:val="006602F4"/>
    <w:rsid w:val="0066166E"/>
    <w:rsid w:val="00662702"/>
    <w:rsid w:val="006638C9"/>
    <w:rsid w:val="00663C71"/>
    <w:rsid w:val="0066417F"/>
    <w:rsid w:val="0066437C"/>
    <w:rsid w:val="00664810"/>
    <w:rsid w:val="00664D47"/>
    <w:rsid w:val="006665AC"/>
    <w:rsid w:val="00667063"/>
    <w:rsid w:val="00667495"/>
    <w:rsid w:val="00667E3F"/>
    <w:rsid w:val="00671302"/>
    <w:rsid w:val="00671AC8"/>
    <w:rsid w:val="0068076D"/>
    <w:rsid w:val="00680DE0"/>
    <w:rsid w:val="00680F83"/>
    <w:rsid w:val="006823CA"/>
    <w:rsid w:val="00682E14"/>
    <w:rsid w:val="006846E1"/>
    <w:rsid w:val="00684B74"/>
    <w:rsid w:val="00684E94"/>
    <w:rsid w:val="00685A3A"/>
    <w:rsid w:val="00687F2B"/>
    <w:rsid w:val="00690414"/>
    <w:rsid w:val="00690866"/>
    <w:rsid w:val="006923A2"/>
    <w:rsid w:val="00692779"/>
    <w:rsid w:val="00693898"/>
    <w:rsid w:val="0069426D"/>
    <w:rsid w:val="00696B4C"/>
    <w:rsid w:val="006974AF"/>
    <w:rsid w:val="006A13AC"/>
    <w:rsid w:val="006A14B5"/>
    <w:rsid w:val="006A16DD"/>
    <w:rsid w:val="006A1D96"/>
    <w:rsid w:val="006A1E63"/>
    <w:rsid w:val="006A2C15"/>
    <w:rsid w:val="006A613F"/>
    <w:rsid w:val="006A620A"/>
    <w:rsid w:val="006A682F"/>
    <w:rsid w:val="006B09EE"/>
    <w:rsid w:val="006B0B17"/>
    <w:rsid w:val="006B0E59"/>
    <w:rsid w:val="006B30AB"/>
    <w:rsid w:val="006B3C71"/>
    <w:rsid w:val="006B4627"/>
    <w:rsid w:val="006B49C3"/>
    <w:rsid w:val="006B4C91"/>
    <w:rsid w:val="006B56D0"/>
    <w:rsid w:val="006B6817"/>
    <w:rsid w:val="006C0841"/>
    <w:rsid w:val="006C08E8"/>
    <w:rsid w:val="006C3584"/>
    <w:rsid w:val="006C4EB9"/>
    <w:rsid w:val="006C6292"/>
    <w:rsid w:val="006C66BC"/>
    <w:rsid w:val="006C74ED"/>
    <w:rsid w:val="006C7DBC"/>
    <w:rsid w:val="006D20D9"/>
    <w:rsid w:val="006D22AC"/>
    <w:rsid w:val="006D25A3"/>
    <w:rsid w:val="006D3568"/>
    <w:rsid w:val="006D35EC"/>
    <w:rsid w:val="006D47EC"/>
    <w:rsid w:val="006D79B3"/>
    <w:rsid w:val="006D7B7A"/>
    <w:rsid w:val="006E0D4A"/>
    <w:rsid w:val="006E1559"/>
    <w:rsid w:val="006E2804"/>
    <w:rsid w:val="006E410A"/>
    <w:rsid w:val="006E5158"/>
    <w:rsid w:val="006E5A26"/>
    <w:rsid w:val="006E5AFB"/>
    <w:rsid w:val="006E5DEF"/>
    <w:rsid w:val="006E6514"/>
    <w:rsid w:val="006E734C"/>
    <w:rsid w:val="006F0F11"/>
    <w:rsid w:val="006F2988"/>
    <w:rsid w:val="006F2F30"/>
    <w:rsid w:val="006F49BD"/>
    <w:rsid w:val="006F5A68"/>
    <w:rsid w:val="006F6595"/>
    <w:rsid w:val="006F6A78"/>
    <w:rsid w:val="006F73CB"/>
    <w:rsid w:val="00700F59"/>
    <w:rsid w:val="007026DE"/>
    <w:rsid w:val="00702942"/>
    <w:rsid w:val="00703185"/>
    <w:rsid w:val="00703679"/>
    <w:rsid w:val="00703E46"/>
    <w:rsid w:val="00704424"/>
    <w:rsid w:val="00704D2B"/>
    <w:rsid w:val="007054AA"/>
    <w:rsid w:val="0070659E"/>
    <w:rsid w:val="00707628"/>
    <w:rsid w:val="007078FC"/>
    <w:rsid w:val="00707F1B"/>
    <w:rsid w:val="007100DC"/>
    <w:rsid w:val="0071189C"/>
    <w:rsid w:val="00712150"/>
    <w:rsid w:val="0071243F"/>
    <w:rsid w:val="00713A03"/>
    <w:rsid w:val="00713A73"/>
    <w:rsid w:val="00717557"/>
    <w:rsid w:val="007206A5"/>
    <w:rsid w:val="00721084"/>
    <w:rsid w:val="007214E0"/>
    <w:rsid w:val="00721E94"/>
    <w:rsid w:val="00723631"/>
    <w:rsid w:val="0072483E"/>
    <w:rsid w:val="00725219"/>
    <w:rsid w:val="007252B2"/>
    <w:rsid w:val="00726131"/>
    <w:rsid w:val="00726833"/>
    <w:rsid w:val="00726B6F"/>
    <w:rsid w:val="00732370"/>
    <w:rsid w:val="00732ECC"/>
    <w:rsid w:val="00733014"/>
    <w:rsid w:val="0073455C"/>
    <w:rsid w:val="00734BFC"/>
    <w:rsid w:val="0073574C"/>
    <w:rsid w:val="00736AED"/>
    <w:rsid w:val="007379F8"/>
    <w:rsid w:val="00737B2A"/>
    <w:rsid w:val="007407C3"/>
    <w:rsid w:val="00740AD0"/>
    <w:rsid w:val="00740EEC"/>
    <w:rsid w:val="007413F4"/>
    <w:rsid w:val="00742EF7"/>
    <w:rsid w:val="00742FEA"/>
    <w:rsid w:val="0074325A"/>
    <w:rsid w:val="00743A93"/>
    <w:rsid w:val="007443E0"/>
    <w:rsid w:val="0074591E"/>
    <w:rsid w:val="007461FC"/>
    <w:rsid w:val="00746762"/>
    <w:rsid w:val="00746B0A"/>
    <w:rsid w:val="0074708B"/>
    <w:rsid w:val="0074728F"/>
    <w:rsid w:val="00752D69"/>
    <w:rsid w:val="007555A3"/>
    <w:rsid w:val="00755A13"/>
    <w:rsid w:val="00756907"/>
    <w:rsid w:val="00756F9A"/>
    <w:rsid w:val="0075733C"/>
    <w:rsid w:val="007574F9"/>
    <w:rsid w:val="00757C5A"/>
    <w:rsid w:val="00757ECC"/>
    <w:rsid w:val="007601FB"/>
    <w:rsid w:val="00763027"/>
    <w:rsid w:val="00763330"/>
    <w:rsid w:val="007634D0"/>
    <w:rsid w:val="007638A2"/>
    <w:rsid w:val="0076419D"/>
    <w:rsid w:val="0076422A"/>
    <w:rsid w:val="00764FB0"/>
    <w:rsid w:val="007657B8"/>
    <w:rsid w:val="00765916"/>
    <w:rsid w:val="007721F8"/>
    <w:rsid w:val="00773EEB"/>
    <w:rsid w:val="00774152"/>
    <w:rsid w:val="007741A4"/>
    <w:rsid w:val="00775478"/>
    <w:rsid w:val="0077646E"/>
    <w:rsid w:val="00776B59"/>
    <w:rsid w:val="00776BEB"/>
    <w:rsid w:val="00777156"/>
    <w:rsid w:val="00777389"/>
    <w:rsid w:val="007774B1"/>
    <w:rsid w:val="00777A4A"/>
    <w:rsid w:val="00780085"/>
    <w:rsid w:val="007805A4"/>
    <w:rsid w:val="00781059"/>
    <w:rsid w:val="00781D3C"/>
    <w:rsid w:val="00782D81"/>
    <w:rsid w:val="007839AD"/>
    <w:rsid w:val="00784687"/>
    <w:rsid w:val="00785666"/>
    <w:rsid w:val="00785833"/>
    <w:rsid w:val="007869B0"/>
    <w:rsid w:val="00787275"/>
    <w:rsid w:val="0078778C"/>
    <w:rsid w:val="0079120E"/>
    <w:rsid w:val="00791EC9"/>
    <w:rsid w:val="00792A8C"/>
    <w:rsid w:val="00793F21"/>
    <w:rsid w:val="00797387"/>
    <w:rsid w:val="007A0EDD"/>
    <w:rsid w:val="007A0F7F"/>
    <w:rsid w:val="007A13DD"/>
    <w:rsid w:val="007A18CE"/>
    <w:rsid w:val="007A22BD"/>
    <w:rsid w:val="007A2523"/>
    <w:rsid w:val="007A2594"/>
    <w:rsid w:val="007A2720"/>
    <w:rsid w:val="007A2AF3"/>
    <w:rsid w:val="007A3DD1"/>
    <w:rsid w:val="007A5E65"/>
    <w:rsid w:val="007A62E0"/>
    <w:rsid w:val="007A67E3"/>
    <w:rsid w:val="007A72E3"/>
    <w:rsid w:val="007A7DFA"/>
    <w:rsid w:val="007B03BD"/>
    <w:rsid w:val="007B0BDC"/>
    <w:rsid w:val="007B211A"/>
    <w:rsid w:val="007B71C3"/>
    <w:rsid w:val="007C39E3"/>
    <w:rsid w:val="007C6714"/>
    <w:rsid w:val="007D1AAB"/>
    <w:rsid w:val="007D20F5"/>
    <w:rsid w:val="007D2985"/>
    <w:rsid w:val="007D3E23"/>
    <w:rsid w:val="007D677F"/>
    <w:rsid w:val="007D6E19"/>
    <w:rsid w:val="007D70A3"/>
    <w:rsid w:val="007E10F5"/>
    <w:rsid w:val="007E1974"/>
    <w:rsid w:val="007E1A7D"/>
    <w:rsid w:val="007E1CDB"/>
    <w:rsid w:val="007E3748"/>
    <w:rsid w:val="007E405E"/>
    <w:rsid w:val="007E5F95"/>
    <w:rsid w:val="007E6E51"/>
    <w:rsid w:val="007F4A09"/>
    <w:rsid w:val="007F4E93"/>
    <w:rsid w:val="007F5476"/>
    <w:rsid w:val="007F5809"/>
    <w:rsid w:val="007F6D3E"/>
    <w:rsid w:val="007F7BA8"/>
    <w:rsid w:val="0080121B"/>
    <w:rsid w:val="008018CC"/>
    <w:rsid w:val="008029DC"/>
    <w:rsid w:val="008037E1"/>
    <w:rsid w:val="00803DEA"/>
    <w:rsid w:val="00803F98"/>
    <w:rsid w:val="00804FAE"/>
    <w:rsid w:val="008061E2"/>
    <w:rsid w:val="00806397"/>
    <w:rsid w:val="00806C0D"/>
    <w:rsid w:val="008106A9"/>
    <w:rsid w:val="00810E86"/>
    <w:rsid w:val="00811EFA"/>
    <w:rsid w:val="00812A58"/>
    <w:rsid w:val="0081481A"/>
    <w:rsid w:val="00814859"/>
    <w:rsid w:val="008160B1"/>
    <w:rsid w:val="008165DD"/>
    <w:rsid w:val="008169B8"/>
    <w:rsid w:val="00816B58"/>
    <w:rsid w:val="00817875"/>
    <w:rsid w:val="0082058E"/>
    <w:rsid w:val="00821FAD"/>
    <w:rsid w:val="00822F01"/>
    <w:rsid w:val="008242AC"/>
    <w:rsid w:val="00825DDA"/>
    <w:rsid w:val="00826348"/>
    <w:rsid w:val="00826784"/>
    <w:rsid w:val="0082776A"/>
    <w:rsid w:val="00827F22"/>
    <w:rsid w:val="0083039C"/>
    <w:rsid w:val="0083047C"/>
    <w:rsid w:val="008307FE"/>
    <w:rsid w:val="008322F9"/>
    <w:rsid w:val="008337A1"/>
    <w:rsid w:val="00834E98"/>
    <w:rsid w:val="0083681C"/>
    <w:rsid w:val="00836D72"/>
    <w:rsid w:val="00837482"/>
    <w:rsid w:val="0083796A"/>
    <w:rsid w:val="0084006F"/>
    <w:rsid w:val="008418B2"/>
    <w:rsid w:val="008424C3"/>
    <w:rsid w:val="008444BD"/>
    <w:rsid w:val="00844767"/>
    <w:rsid w:val="00844814"/>
    <w:rsid w:val="00844A13"/>
    <w:rsid w:val="00844F02"/>
    <w:rsid w:val="008467E3"/>
    <w:rsid w:val="0085175A"/>
    <w:rsid w:val="008524DF"/>
    <w:rsid w:val="00854070"/>
    <w:rsid w:val="0085577A"/>
    <w:rsid w:val="00855F9E"/>
    <w:rsid w:val="00856A3A"/>
    <w:rsid w:val="00861985"/>
    <w:rsid w:val="00861B10"/>
    <w:rsid w:val="00863C8F"/>
    <w:rsid w:val="008649C2"/>
    <w:rsid w:val="00865013"/>
    <w:rsid w:val="0086568F"/>
    <w:rsid w:val="00865C8A"/>
    <w:rsid w:val="00867FF9"/>
    <w:rsid w:val="0087013B"/>
    <w:rsid w:val="00870742"/>
    <w:rsid w:val="008708F9"/>
    <w:rsid w:val="0087130E"/>
    <w:rsid w:val="0087167A"/>
    <w:rsid w:val="00871761"/>
    <w:rsid w:val="00872DEC"/>
    <w:rsid w:val="00872FBE"/>
    <w:rsid w:val="008730F5"/>
    <w:rsid w:val="00873651"/>
    <w:rsid w:val="00874EFE"/>
    <w:rsid w:val="008750F0"/>
    <w:rsid w:val="00876733"/>
    <w:rsid w:val="008800BC"/>
    <w:rsid w:val="00880ED2"/>
    <w:rsid w:val="008812E4"/>
    <w:rsid w:val="00882457"/>
    <w:rsid w:val="008829D2"/>
    <w:rsid w:val="00882CB4"/>
    <w:rsid w:val="008833B3"/>
    <w:rsid w:val="008852CD"/>
    <w:rsid w:val="00885D50"/>
    <w:rsid w:val="00886BE7"/>
    <w:rsid w:val="00887A5F"/>
    <w:rsid w:val="00890390"/>
    <w:rsid w:val="00891769"/>
    <w:rsid w:val="00894E8D"/>
    <w:rsid w:val="00894F8B"/>
    <w:rsid w:val="008956A5"/>
    <w:rsid w:val="00896286"/>
    <w:rsid w:val="008A1B63"/>
    <w:rsid w:val="008A2373"/>
    <w:rsid w:val="008A2C56"/>
    <w:rsid w:val="008A33A1"/>
    <w:rsid w:val="008A4287"/>
    <w:rsid w:val="008A48EB"/>
    <w:rsid w:val="008A4D95"/>
    <w:rsid w:val="008A525A"/>
    <w:rsid w:val="008A532F"/>
    <w:rsid w:val="008A5FE7"/>
    <w:rsid w:val="008A73E3"/>
    <w:rsid w:val="008B0AB0"/>
    <w:rsid w:val="008B128A"/>
    <w:rsid w:val="008B47A1"/>
    <w:rsid w:val="008B4B01"/>
    <w:rsid w:val="008B59C2"/>
    <w:rsid w:val="008B7F1C"/>
    <w:rsid w:val="008C32BC"/>
    <w:rsid w:val="008C40A3"/>
    <w:rsid w:val="008C4196"/>
    <w:rsid w:val="008C48A1"/>
    <w:rsid w:val="008C48AA"/>
    <w:rsid w:val="008C4B4C"/>
    <w:rsid w:val="008C50DB"/>
    <w:rsid w:val="008C7ADA"/>
    <w:rsid w:val="008D4F51"/>
    <w:rsid w:val="008D556B"/>
    <w:rsid w:val="008D7555"/>
    <w:rsid w:val="008D7E64"/>
    <w:rsid w:val="008E13AC"/>
    <w:rsid w:val="008E1679"/>
    <w:rsid w:val="008E4017"/>
    <w:rsid w:val="008E5346"/>
    <w:rsid w:val="008E6297"/>
    <w:rsid w:val="008E661B"/>
    <w:rsid w:val="008E75B6"/>
    <w:rsid w:val="008F00A2"/>
    <w:rsid w:val="008F05AD"/>
    <w:rsid w:val="008F0DC0"/>
    <w:rsid w:val="008F2EBA"/>
    <w:rsid w:val="008F7658"/>
    <w:rsid w:val="009002FF"/>
    <w:rsid w:val="009009AB"/>
    <w:rsid w:val="00900E0C"/>
    <w:rsid w:val="009037E5"/>
    <w:rsid w:val="009078A9"/>
    <w:rsid w:val="009117B2"/>
    <w:rsid w:val="00912596"/>
    <w:rsid w:val="00912838"/>
    <w:rsid w:val="00913708"/>
    <w:rsid w:val="00914C98"/>
    <w:rsid w:val="00915957"/>
    <w:rsid w:val="00916B7B"/>
    <w:rsid w:val="009177CA"/>
    <w:rsid w:val="00917F07"/>
    <w:rsid w:val="00920324"/>
    <w:rsid w:val="00920631"/>
    <w:rsid w:val="00920BDE"/>
    <w:rsid w:val="00920FA6"/>
    <w:rsid w:val="009231FE"/>
    <w:rsid w:val="00923311"/>
    <w:rsid w:val="0092370E"/>
    <w:rsid w:val="00923A51"/>
    <w:rsid w:val="00924AAD"/>
    <w:rsid w:val="0092630D"/>
    <w:rsid w:val="00926459"/>
    <w:rsid w:val="009278E3"/>
    <w:rsid w:val="009339BE"/>
    <w:rsid w:val="009358EC"/>
    <w:rsid w:val="00935B86"/>
    <w:rsid w:val="00936564"/>
    <w:rsid w:val="00941464"/>
    <w:rsid w:val="00942BA0"/>
    <w:rsid w:val="00945688"/>
    <w:rsid w:val="00945A6E"/>
    <w:rsid w:val="00946336"/>
    <w:rsid w:val="00946B62"/>
    <w:rsid w:val="00946E0E"/>
    <w:rsid w:val="00947EB3"/>
    <w:rsid w:val="0095006C"/>
    <w:rsid w:val="009501B2"/>
    <w:rsid w:val="0095200F"/>
    <w:rsid w:val="00952771"/>
    <w:rsid w:val="009537C5"/>
    <w:rsid w:val="00953816"/>
    <w:rsid w:val="009558DC"/>
    <w:rsid w:val="00955BCF"/>
    <w:rsid w:val="00955DED"/>
    <w:rsid w:val="00956C21"/>
    <w:rsid w:val="009573FD"/>
    <w:rsid w:val="009574E2"/>
    <w:rsid w:val="00957D0C"/>
    <w:rsid w:val="009607CB"/>
    <w:rsid w:val="00962AC9"/>
    <w:rsid w:val="0096487B"/>
    <w:rsid w:val="009654E2"/>
    <w:rsid w:val="009655FE"/>
    <w:rsid w:val="009668CD"/>
    <w:rsid w:val="0096748D"/>
    <w:rsid w:val="00970322"/>
    <w:rsid w:val="0097058D"/>
    <w:rsid w:val="00971F71"/>
    <w:rsid w:val="0097267F"/>
    <w:rsid w:val="00972BC4"/>
    <w:rsid w:val="00973136"/>
    <w:rsid w:val="00974298"/>
    <w:rsid w:val="009744B4"/>
    <w:rsid w:val="009746BD"/>
    <w:rsid w:val="00974FCA"/>
    <w:rsid w:val="00975452"/>
    <w:rsid w:val="00975B3D"/>
    <w:rsid w:val="00977A8B"/>
    <w:rsid w:val="00980978"/>
    <w:rsid w:val="00981C05"/>
    <w:rsid w:val="0098280C"/>
    <w:rsid w:val="0098363C"/>
    <w:rsid w:val="00984FF5"/>
    <w:rsid w:val="00985B6F"/>
    <w:rsid w:val="0098727F"/>
    <w:rsid w:val="00987C26"/>
    <w:rsid w:val="00987C90"/>
    <w:rsid w:val="00990CD4"/>
    <w:rsid w:val="00992564"/>
    <w:rsid w:val="00992D40"/>
    <w:rsid w:val="00994F6C"/>
    <w:rsid w:val="009958A8"/>
    <w:rsid w:val="00995E72"/>
    <w:rsid w:val="009A025D"/>
    <w:rsid w:val="009A2AD5"/>
    <w:rsid w:val="009A31C3"/>
    <w:rsid w:val="009A3621"/>
    <w:rsid w:val="009A4115"/>
    <w:rsid w:val="009A4342"/>
    <w:rsid w:val="009A4551"/>
    <w:rsid w:val="009A4616"/>
    <w:rsid w:val="009A4E61"/>
    <w:rsid w:val="009A5BEF"/>
    <w:rsid w:val="009A6430"/>
    <w:rsid w:val="009A6DDE"/>
    <w:rsid w:val="009A6FE1"/>
    <w:rsid w:val="009A77E0"/>
    <w:rsid w:val="009B0E2F"/>
    <w:rsid w:val="009B2869"/>
    <w:rsid w:val="009B28F6"/>
    <w:rsid w:val="009B3D07"/>
    <w:rsid w:val="009B40A2"/>
    <w:rsid w:val="009B47AE"/>
    <w:rsid w:val="009B4925"/>
    <w:rsid w:val="009B4BCD"/>
    <w:rsid w:val="009B4EDA"/>
    <w:rsid w:val="009B5EF2"/>
    <w:rsid w:val="009B70D6"/>
    <w:rsid w:val="009B7454"/>
    <w:rsid w:val="009B7533"/>
    <w:rsid w:val="009C0462"/>
    <w:rsid w:val="009C047A"/>
    <w:rsid w:val="009C1769"/>
    <w:rsid w:val="009C20B9"/>
    <w:rsid w:val="009C4B2D"/>
    <w:rsid w:val="009C5BCE"/>
    <w:rsid w:val="009C6B21"/>
    <w:rsid w:val="009C7732"/>
    <w:rsid w:val="009D06F0"/>
    <w:rsid w:val="009D23AC"/>
    <w:rsid w:val="009D2F8E"/>
    <w:rsid w:val="009D3193"/>
    <w:rsid w:val="009D370E"/>
    <w:rsid w:val="009D3F2F"/>
    <w:rsid w:val="009D4B37"/>
    <w:rsid w:val="009D76FC"/>
    <w:rsid w:val="009E0C7B"/>
    <w:rsid w:val="009E0EF8"/>
    <w:rsid w:val="009E1882"/>
    <w:rsid w:val="009E1C23"/>
    <w:rsid w:val="009E2424"/>
    <w:rsid w:val="009E2978"/>
    <w:rsid w:val="009E562F"/>
    <w:rsid w:val="009F0CAC"/>
    <w:rsid w:val="009F3591"/>
    <w:rsid w:val="009F4975"/>
    <w:rsid w:val="009F534D"/>
    <w:rsid w:val="009F5BA4"/>
    <w:rsid w:val="009F5CB3"/>
    <w:rsid w:val="009F5DE5"/>
    <w:rsid w:val="009F7987"/>
    <w:rsid w:val="00A0123B"/>
    <w:rsid w:val="00A01D9B"/>
    <w:rsid w:val="00A020A7"/>
    <w:rsid w:val="00A029FE"/>
    <w:rsid w:val="00A04E2B"/>
    <w:rsid w:val="00A06794"/>
    <w:rsid w:val="00A068C7"/>
    <w:rsid w:val="00A13951"/>
    <w:rsid w:val="00A1405E"/>
    <w:rsid w:val="00A156EF"/>
    <w:rsid w:val="00A158C5"/>
    <w:rsid w:val="00A15A6F"/>
    <w:rsid w:val="00A166BF"/>
    <w:rsid w:val="00A16F40"/>
    <w:rsid w:val="00A17246"/>
    <w:rsid w:val="00A17B90"/>
    <w:rsid w:val="00A17E9D"/>
    <w:rsid w:val="00A17F75"/>
    <w:rsid w:val="00A20147"/>
    <w:rsid w:val="00A219FF"/>
    <w:rsid w:val="00A22382"/>
    <w:rsid w:val="00A2345B"/>
    <w:rsid w:val="00A25E10"/>
    <w:rsid w:val="00A260B1"/>
    <w:rsid w:val="00A26547"/>
    <w:rsid w:val="00A26905"/>
    <w:rsid w:val="00A26A39"/>
    <w:rsid w:val="00A27A05"/>
    <w:rsid w:val="00A27B1F"/>
    <w:rsid w:val="00A300B7"/>
    <w:rsid w:val="00A30D58"/>
    <w:rsid w:val="00A31C61"/>
    <w:rsid w:val="00A33B64"/>
    <w:rsid w:val="00A33C63"/>
    <w:rsid w:val="00A33C92"/>
    <w:rsid w:val="00A352AC"/>
    <w:rsid w:val="00A418EC"/>
    <w:rsid w:val="00A42A47"/>
    <w:rsid w:val="00A42D6E"/>
    <w:rsid w:val="00A4329B"/>
    <w:rsid w:val="00A441F1"/>
    <w:rsid w:val="00A466F8"/>
    <w:rsid w:val="00A47680"/>
    <w:rsid w:val="00A54A43"/>
    <w:rsid w:val="00A55836"/>
    <w:rsid w:val="00A55C6A"/>
    <w:rsid w:val="00A56100"/>
    <w:rsid w:val="00A57618"/>
    <w:rsid w:val="00A604E0"/>
    <w:rsid w:val="00A617C0"/>
    <w:rsid w:val="00A6235D"/>
    <w:rsid w:val="00A626C0"/>
    <w:rsid w:val="00A63323"/>
    <w:rsid w:val="00A64359"/>
    <w:rsid w:val="00A664DC"/>
    <w:rsid w:val="00A67058"/>
    <w:rsid w:val="00A671D5"/>
    <w:rsid w:val="00A73AE4"/>
    <w:rsid w:val="00A73D9C"/>
    <w:rsid w:val="00A74D05"/>
    <w:rsid w:val="00A75AFA"/>
    <w:rsid w:val="00A75B59"/>
    <w:rsid w:val="00A75D88"/>
    <w:rsid w:val="00A75E32"/>
    <w:rsid w:val="00A775A2"/>
    <w:rsid w:val="00A80436"/>
    <w:rsid w:val="00A81677"/>
    <w:rsid w:val="00A821A7"/>
    <w:rsid w:val="00A8330D"/>
    <w:rsid w:val="00A837E6"/>
    <w:rsid w:val="00A84C96"/>
    <w:rsid w:val="00A86A1B"/>
    <w:rsid w:val="00A87729"/>
    <w:rsid w:val="00A90789"/>
    <w:rsid w:val="00A9363F"/>
    <w:rsid w:val="00A93FB4"/>
    <w:rsid w:val="00A96209"/>
    <w:rsid w:val="00A96758"/>
    <w:rsid w:val="00AA1AB8"/>
    <w:rsid w:val="00AA1D58"/>
    <w:rsid w:val="00AA30F9"/>
    <w:rsid w:val="00AA424B"/>
    <w:rsid w:val="00AA53F7"/>
    <w:rsid w:val="00AA758B"/>
    <w:rsid w:val="00AA7AE9"/>
    <w:rsid w:val="00AA7D5D"/>
    <w:rsid w:val="00AB0018"/>
    <w:rsid w:val="00AB0735"/>
    <w:rsid w:val="00AB18AC"/>
    <w:rsid w:val="00AB2622"/>
    <w:rsid w:val="00AB2A46"/>
    <w:rsid w:val="00AB36B5"/>
    <w:rsid w:val="00AB3A0C"/>
    <w:rsid w:val="00AB4533"/>
    <w:rsid w:val="00AB5030"/>
    <w:rsid w:val="00AB533D"/>
    <w:rsid w:val="00AB5A18"/>
    <w:rsid w:val="00AB6ACC"/>
    <w:rsid w:val="00AB77B4"/>
    <w:rsid w:val="00AB786F"/>
    <w:rsid w:val="00AC0BF7"/>
    <w:rsid w:val="00AC0F4C"/>
    <w:rsid w:val="00AC157F"/>
    <w:rsid w:val="00AC1DD3"/>
    <w:rsid w:val="00AC2385"/>
    <w:rsid w:val="00AC2C21"/>
    <w:rsid w:val="00AC337F"/>
    <w:rsid w:val="00AC573B"/>
    <w:rsid w:val="00AD0912"/>
    <w:rsid w:val="00AD1B62"/>
    <w:rsid w:val="00AD1BC0"/>
    <w:rsid w:val="00AD6A9B"/>
    <w:rsid w:val="00AD7040"/>
    <w:rsid w:val="00AD7A36"/>
    <w:rsid w:val="00AE0B52"/>
    <w:rsid w:val="00AE12FE"/>
    <w:rsid w:val="00AE1964"/>
    <w:rsid w:val="00AE2DDE"/>
    <w:rsid w:val="00AE6279"/>
    <w:rsid w:val="00AE68B8"/>
    <w:rsid w:val="00AE6A3C"/>
    <w:rsid w:val="00AE7672"/>
    <w:rsid w:val="00AF0493"/>
    <w:rsid w:val="00AF2670"/>
    <w:rsid w:val="00AF2DDB"/>
    <w:rsid w:val="00AF383C"/>
    <w:rsid w:val="00B002A0"/>
    <w:rsid w:val="00B00F54"/>
    <w:rsid w:val="00B03607"/>
    <w:rsid w:val="00B036A1"/>
    <w:rsid w:val="00B0479B"/>
    <w:rsid w:val="00B0554E"/>
    <w:rsid w:val="00B057F9"/>
    <w:rsid w:val="00B06CE4"/>
    <w:rsid w:val="00B071AE"/>
    <w:rsid w:val="00B07886"/>
    <w:rsid w:val="00B104F5"/>
    <w:rsid w:val="00B10593"/>
    <w:rsid w:val="00B11D89"/>
    <w:rsid w:val="00B12831"/>
    <w:rsid w:val="00B1375C"/>
    <w:rsid w:val="00B13B2D"/>
    <w:rsid w:val="00B154AE"/>
    <w:rsid w:val="00B15BDE"/>
    <w:rsid w:val="00B20DC3"/>
    <w:rsid w:val="00B20E00"/>
    <w:rsid w:val="00B23635"/>
    <w:rsid w:val="00B23FAB"/>
    <w:rsid w:val="00B245BA"/>
    <w:rsid w:val="00B24D94"/>
    <w:rsid w:val="00B305D8"/>
    <w:rsid w:val="00B31347"/>
    <w:rsid w:val="00B31372"/>
    <w:rsid w:val="00B33C3C"/>
    <w:rsid w:val="00B34819"/>
    <w:rsid w:val="00B3583A"/>
    <w:rsid w:val="00B36154"/>
    <w:rsid w:val="00B36E32"/>
    <w:rsid w:val="00B37604"/>
    <w:rsid w:val="00B37C68"/>
    <w:rsid w:val="00B40BB3"/>
    <w:rsid w:val="00B414CD"/>
    <w:rsid w:val="00B420B0"/>
    <w:rsid w:val="00B4237B"/>
    <w:rsid w:val="00B435AA"/>
    <w:rsid w:val="00B45031"/>
    <w:rsid w:val="00B459C8"/>
    <w:rsid w:val="00B45D7B"/>
    <w:rsid w:val="00B46043"/>
    <w:rsid w:val="00B46B6B"/>
    <w:rsid w:val="00B46E4B"/>
    <w:rsid w:val="00B47655"/>
    <w:rsid w:val="00B50644"/>
    <w:rsid w:val="00B508E9"/>
    <w:rsid w:val="00B52D8C"/>
    <w:rsid w:val="00B534D4"/>
    <w:rsid w:val="00B53CB0"/>
    <w:rsid w:val="00B54A91"/>
    <w:rsid w:val="00B5631F"/>
    <w:rsid w:val="00B56632"/>
    <w:rsid w:val="00B56CE0"/>
    <w:rsid w:val="00B5751A"/>
    <w:rsid w:val="00B57593"/>
    <w:rsid w:val="00B61728"/>
    <w:rsid w:val="00B61A21"/>
    <w:rsid w:val="00B6239D"/>
    <w:rsid w:val="00B62A18"/>
    <w:rsid w:val="00B65DA6"/>
    <w:rsid w:val="00B65DE6"/>
    <w:rsid w:val="00B66611"/>
    <w:rsid w:val="00B704EE"/>
    <w:rsid w:val="00B711F5"/>
    <w:rsid w:val="00B7140E"/>
    <w:rsid w:val="00B7146D"/>
    <w:rsid w:val="00B7261D"/>
    <w:rsid w:val="00B73703"/>
    <w:rsid w:val="00B745FB"/>
    <w:rsid w:val="00B76D74"/>
    <w:rsid w:val="00B77B8A"/>
    <w:rsid w:val="00B77E83"/>
    <w:rsid w:val="00B8191A"/>
    <w:rsid w:val="00B81F9D"/>
    <w:rsid w:val="00B828C1"/>
    <w:rsid w:val="00B82F51"/>
    <w:rsid w:val="00B84E2B"/>
    <w:rsid w:val="00B85E09"/>
    <w:rsid w:val="00B866FF"/>
    <w:rsid w:val="00B8678B"/>
    <w:rsid w:val="00B87B4B"/>
    <w:rsid w:val="00B87B5C"/>
    <w:rsid w:val="00B87FEE"/>
    <w:rsid w:val="00B90395"/>
    <w:rsid w:val="00B90624"/>
    <w:rsid w:val="00B917BD"/>
    <w:rsid w:val="00B919A5"/>
    <w:rsid w:val="00B91B2F"/>
    <w:rsid w:val="00B93212"/>
    <w:rsid w:val="00B946D9"/>
    <w:rsid w:val="00B94933"/>
    <w:rsid w:val="00B951FB"/>
    <w:rsid w:val="00B96018"/>
    <w:rsid w:val="00B96A06"/>
    <w:rsid w:val="00BA046C"/>
    <w:rsid w:val="00BA0BFF"/>
    <w:rsid w:val="00BA131E"/>
    <w:rsid w:val="00BA208C"/>
    <w:rsid w:val="00BA3014"/>
    <w:rsid w:val="00BA5D62"/>
    <w:rsid w:val="00BA6312"/>
    <w:rsid w:val="00BA6684"/>
    <w:rsid w:val="00BA752B"/>
    <w:rsid w:val="00BB1D3C"/>
    <w:rsid w:val="00BB2124"/>
    <w:rsid w:val="00BB3647"/>
    <w:rsid w:val="00BB3736"/>
    <w:rsid w:val="00BB47D2"/>
    <w:rsid w:val="00BB4C3E"/>
    <w:rsid w:val="00BB6441"/>
    <w:rsid w:val="00BB6BE4"/>
    <w:rsid w:val="00BB712D"/>
    <w:rsid w:val="00BB72A7"/>
    <w:rsid w:val="00BB77D9"/>
    <w:rsid w:val="00BC09CE"/>
    <w:rsid w:val="00BC0A05"/>
    <w:rsid w:val="00BC156A"/>
    <w:rsid w:val="00BC2E14"/>
    <w:rsid w:val="00BC3080"/>
    <w:rsid w:val="00BC3EEB"/>
    <w:rsid w:val="00BC44C8"/>
    <w:rsid w:val="00BC51E5"/>
    <w:rsid w:val="00BC5EE6"/>
    <w:rsid w:val="00BC6718"/>
    <w:rsid w:val="00BD00F8"/>
    <w:rsid w:val="00BD0B00"/>
    <w:rsid w:val="00BD134C"/>
    <w:rsid w:val="00BD136D"/>
    <w:rsid w:val="00BD19CA"/>
    <w:rsid w:val="00BD1A85"/>
    <w:rsid w:val="00BD209B"/>
    <w:rsid w:val="00BD2537"/>
    <w:rsid w:val="00BD3F77"/>
    <w:rsid w:val="00BD4059"/>
    <w:rsid w:val="00BD4C5B"/>
    <w:rsid w:val="00BD556F"/>
    <w:rsid w:val="00BD589F"/>
    <w:rsid w:val="00BD6124"/>
    <w:rsid w:val="00BD6632"/>
    <w:rsid w:val="00BD70FA"/>
    <w:rsid w:val="00BD717F"/>
    <w:rsid w:val="00BE097D"/>
    <w:rsid w:val="00BE0AE2"/>
    <w:rsid w:val="00BE20F1"/>
    <w:rsid w:val="00BE2826"/>
    <w:rsid w:val="00BE285F"/>
    <w:rsid w:val="00BE2886"/>
    <w:rsid w:val="00BE301D"/>
    <w:rsid w:val="00BF0E3C"/>
    <w:rsid w:val="00BF2D8E"/>
    <w:rsid w:val="00BF55F0"/>
    <w:rsid w:val="00BF65A5"/>
    <w:rsid w:val="00BF79B6"/>
    <w:rsid w:val="00BF7F46"/>
    <w:rsid w:val="00C02449"/>
    <w:rsid w:val="00C02CA2"/>
    <w:rsid w:val="00C0348D"/>
    <w:rsid w:val="00C05BDE"/>
    <w:rsid w:val="00C108A8"/>
    <w:rsid w:val="00C13DAB"/>
    <w:rsid w:val="00C148F8"/>
    <w:rsid w:val="00C14DE4"/>
    <w:rsid w:val="00C163A5"/>
    <w:rsid w:val="00C17565"/>
    <w:rsid w:val="00C20ADA"/>
    <w:rsid w:val="00C2141E"/>
    <w:rsid w:val="00C21904"/>
    <w:rsid w:val="00C22DA9"/>
    <w:rsid w:val="00C23652"/>
    <w:rsid w:val="00C239C8"/>
    <w:rsid w:val="00C248B3"/>
    <w:rsid w:val="00C248D4"/>
    <w:rsid w:val="00C253EC"/>
    <w:rsid w:val="00C27968"/>
    <w:rsid w:val="00C27E22"/>
    <w:rsid w:val="00C3156F"/>
    <w:rsid w:val="00C31D4A"/>
    <w:rsid w:val="00C33967"/>
    <w:rsid w:val="00C33ECB"/>
    <w:rsid w:val="00C352B5"/>
    <w:rsid w:val="00C3590F"/>
    <w:rsid w:val="00C36EB8"/>
    <w:rsid w:val="00C378A6"/>
    <w:rsid w:val="00C40973"/>
    <w:rsid w:val="00C41EDD"/>
    <w:rsid w:val="00C42F3D"/>
    <w:rsid w:val="00C44EC1"/>
    <w:rsid w:val="00C45C91"/>
    <w:rsid w:val="00C46015"/>
    <w:rsid w:val="00C47D68"/>
    <w:rsid w:val="00C5091A"/>
    <w:rsid w:val="00C50A97"/>
    <w:rsid w:val="00C51E67"/>
    <w:rsid w:val="00C5256A"/>
    <w:rsid w:val="00C54BA7"/>
    <w:rsid w:val="00C559A5"/>
    <w:rsid w:val="00C56F47"/>
    <w:rsid w:val="00C62B29"/>
    <w:rsid w:val="00C62BA8"/>
    <w:rsid w:val="00C62FA8"/>
    <w:rsid w:val="00C634B4"/>
    <w:rsid w:val="00C638A9"/>
    <w:rsid w:val="00C64329"/>
    <w:rsid w:val="00C64AD5"/>
    <w:rsid w:val="00C65D6B"/>
    <w:rsid w:val="00C70142"/>
    <w:rsid w:val="00C708EC"/>
    <w:rsid w:val="00C71037"/>
    <w:rsid w:val="00C723F3"/>
    <w:rsid w:val="00C749B2"/>
    <w:rsid w:val="00C74E6E"/>
    <w:rsid w:val="00C752F0"/>
    <w:rsid w:val="00C763DA"/>
    <w:rsid w:val="00C7734A"/>
    <w:rsid w:val="00C821FF"/>
    <w:rsid w:val="00C8266F"/>
    <w:rsid w:val="00C82E46"/>
    <w:rsid w:val="00C8354A"/>
    <w:rsid w:val="00C83703"/>
    <w:rsid w:val="00C83D3D"/>
    <w:rsid w:val="00C848C4"/>
    <w:rsid w:val="00C8678B"/>
    <w:rsid w:val="00C877CA"/>
    <w:rsid w:val="00C90662"/>
    <w:rsid w:val="00C91220"/>
    <w:rsid w:val="00C917C5"/>
    <w:rsid w:val="00C92433"/>
    <w:rsid w:val="00C92FB1"/>
    <w:rsid w:val="00C931B9"/>
    <w:rsid w:val="00C93A82"/>
    <w:rsid w:val="00C95BB3"/>
    <w:rsid w:val="00CA09BE"/>
    <w:rsid w:val="00CA0CEF"/>
    <w:rsid w:val="00CA1DC4"/>
    <w:rsid w:val="00CA2929"/>
    <w:rsid w:val="00CA2C36"/>
    <w:rsid w:val="00CA35DB"/>
    <w:rsid w:val="00CA4FF6"/>
    <w:rsid w:val="00CA5178"/>
    <w:rsid w:val="00CA5DB3"/>
    <w:rsid w:val="00CA6D11"/>
    <w:rsid w:val="00CA6E6D"/>
    <w:rsid w:val="00CB0283"/>
    <w:rsid w:val="00CB0385"/>
    <w:rsid w:val="00CB0C64"/>
    <w:rsid w:val="00CB101E"/>
    <w:rsid w:val="00CB255A"/>
    <w:rsid w:val="00CB3211"/>
    <w:rsid w:val="00CB3E95"/>
    <w:rsid w:val="00CB5EBC"/>
    <w:rsid w:val="00CB6016"/>
    <w:rsid w:val="00CB61F2"/>
    <w:rsid w:val="00CB7345"/>
    <w:rsid w:val="00CC02CB"/>
    <w:rsid w:val="00CC0597"/>
    <w:rsid w:val="00CC1C06"/>
    <w:rsid w:val="00CC200F"/>
    <w:rsid w:val="00CC329E"/>
    <w:rsid w:val="00CC50DD"/>
    <w:rsid w:val="00CC5EC1"/>
    <w:rsid w:val="00CC63A5"/>
    <w:rsid w:val="00CC64E4"/>
    <w:rsid w:val="00CD0A27"/>
    <w:rsid w:val="00CD116B"/>
    <w:rsid w:val="00CD1EA9"/>
    <w:rsid w:val="00CD3B3A"/>
    <w:rsid w:val="00CD6710"/>
    <w:rsid w:val="00CD7AD1"/>
    <w:rsid w:val="00CE0D15"/>
    <w:rsid w:val="00CE1006"/>
    <w:rsid w:val="00CE35F8"/>
    <w:rsid w:val="00CE3F81"/>
    <w:rsid w:val="00CE49DC"/>
    <w:rsid w:val="00CE52DE"/>
    <w:rsid w:val="00CE5E04"/>
    <w:rsid w:val="00CE6A11"/>
    <w:rsid w:val="00CE6B29"/>
    <w:rsid w:val="00CE743F"/>
    <w:rsid w:val="00CF2938"/>
    <w:rsid w:val="00CF3967"/>
    <w:rsid w:val="00CF4339"/>
    <w:rsid w:val="00CF504A"/>
    <w:rsid w:val="00CF5E13"/>
    <w:rsid w:val="00CF7EA6"/>
    <w:rsid w:val="00D016C3"/>
    <w:rsid w:val="00D02AA0"/>
    <w:rsid w:val="00D03249"/>
    <w:rsid w:val="00D03C02"/>
    <w:rsid w:val="00D0697C"/>
    <w:rsid w:val="00D07298"/>
    <w:rsid w:val="00D07FE1"/>
    <w:rsid w:val="00D100B3"/>
    <w:rsid w:val="00D10378"/>
    <w:rsid w:val="00D105CC"/>
    <w:rsid w:val="00D11BD7"/>
    <w:rsid w:val="00D11E29"/>
    <w:rsid w:val="00D12532"/>
    <w:rsid w:val="00D133EE"/>
    <w:rsid w:val="00D13E39"/>
    <w:rsid w:val="00D151DB"/>
    <w:rsid w:val="00D15B77"/>
    <w:rsid w:val="00D1771B"/>
    <w:rsid w:val="00D17ADD"/>
    <w:rsid w:val="00D21387"/>
    <w:rsid w:val="00D2154B"/>
    <w:rsid w:val="00D218EB"/>
    <w:rsid w:val="00D24030"/>
    <w:rsid w:val="00D25627"/>
    <w:rsid w:val="00D2655A"/>
    <w:rsid w:val="00D303F5"/>
    <w:rsid w:val="00D30B60"/>
    <w:rsid w:val="00D3216C"/>
    <w:rsid w:val="00D33258"/>
    <w:rsid w:val="00D333B5"/>
    <w:rsid w:val="00D346BB"/>
    <w:rsid w:val="00D35C95"/>
    <w:rsid w:val="00D36D64"/>
    <w:rsid w:val="00D37BBA"/>
    <w:rsid w:val="00D4006B"/>
    <w:rsid w:val="00D4060E"/>
    <w:rsid w:val="00D4174A"/>
    <w:rsid w:val="00D428FD"/>
    <w:rsid w:val="00D449F0"/>
    <w:rsid w:val="00D45389"/>
    <w:rsid w:val="00D453C0"/>
    <w:rsid w:val="00D463DF"/>
    <w:rsid w:val="00D46DB2"/>
    <w:rsid w:val="00D47AD9"/>
    <w:rsid w:val="00D47EAD"/>
    <w:rsid w:val="00D504DF"/>
    <w:rsid w:val="00D516DD"/>
    <w:rsid w:val="00D539E9"/>
    <w:rsid w:val="00D53AC2"/>
    <w:rsid w:val="00D544BD"/>
    <w:rsid w:val="00D54B99"/>
    <w:rsid w:val="00D55A91"/>
    <w:rsid w:val="00D578EB"/>
    <w:rsid w:val="00D60694"/>
    <w:rsid w:val="00D6140A"/>
    <w:rsid w:val="00D619B5"/>
    <w:rsid w:val="00D61AA5"/>
    <w:rsid w:val="00D63286"/>
    <w:rsid w:val="00D6345D"/>
    <w:rsid w:val="00D642FF"/>
    <w:rsid w:val="00D668E6"/>
    <w:rsid w:val="00D67412"/>
    <w:rsid w:val="00D67C9E"/>
    <w:rsid w:val="00D715B8"/>
    <w:rsid w:val="00D71A8F"/>
    <w:rsid w:val="00D73916"/>
    <w:rsid w:val="00D73B40"/>
    <w:rsid w:val="00D74B8B"/>
    <w:rsid w:val="00D75269"/>
    <w:rsid w:val="00D75566"/>
    <w:rsid w:val="00D755E4"/>
    <w:rsid w:val="00D80190"/>
    <w:rsid w:val="00D8167E"/>
    <w:rsid w:val="00D8205F"/>
    <w:rsid w:val="00D8241A"/>
    <w:rsid w:val="00D830ED"/>
    <w:rsid w:val="00D8456C"/>
    <w:rsid w:val="00D84573"/>
    <w:rsid w:val="00D84BDE"/>
    <w:rsid w:val="00D86406"/>
    <w:rsid w:val="00D87C43"/>
    <w:rsid w:val="00D911B4"/>
    <w:rsid w:val="00D91310"/>
    <w:rsid w:val="00D92F74"/>
    <w:rsid w:val="00D934D2"/>
    <w:rsid w:val="00D950D7"/>
    <w:rsid w:val="00D9658E"/>
    <w:rsid w:val="00D972A4"/>
    <w:rsid w:val="00D97F4C"/>
    <w:rsid w:val="00DA140B"/>
    <w:rsid w:val="00DA3005"/>
    <w:rsid w:val="00DA31A9"/>
    <w:rsid w:val="00DA3EF4"/>
    <w:rsid w:val="00DA4EB1"/>
    <w:rsid w:val="00DA6187"/>
    <w:rsid w:val="00DA75E6"/>
    <w:rsid w:val="00DB012E"/>
    <w:rsid w:val="00DB11A1"/>
    <w:rsid w:val="00DB22B9"/>
    <w:rsid w:val="00DB270D"/>
    <w:rsid w:val="00DB2E49"/>
    <w:rsid w:val="00DB3080"/>
    <w:rsid w:val="00DB31F8"/>
    <w:rsid w:val="00DB3698"/>
    <w:rsid w:val="00DB3CBA"/>
    <w:rsid w:val="00DB485F"/>
    <w:rsid w:val="00DB4DC7"/>
    <w:rsid w:val="00DB4DF3"/>
    <w:rsid w:val="00DB4E92"/>
    <w:rsid w:val="00DB57AC"/>
    <w:rsid w:val="00DB7F72"/>
    <w:rsid w:val="00DC0AB5"/>
    <w:rsid w:val="00DC0D89"/>
    <w:rsid w:val="00DC2191"/>
    <w:rsid w:val="00DC35EC"/>
    <w:rsid w:val="00DC48B8"/>
    <w:rsid w:val="00DC48F6"/>
    <w:rsid w:val="00DC4E08"/>
    <w:rsid w:val="00DC5138"/>
    <w:rsid w:val="00DC64C7"/>
    <w:rsid w:val="00DC7E78"/>
    <w:rsid w:val="00DD17B6"/>
    <w:rsid w:val="00DD30BC"/>
    <w:rsid w:val="00DD351C"/>
    <w:rsid w:val="00DD65DD"/>
    <w:rsid w:val="00DD6640"/>
    <w:rsid w:val="00DD67E9"/>
    <w:rsid w:val="00DE05B9"/>
    <w:rsid w:val="00DE1B41"/>
    <w:rsid w:val="00DE2517"/>
    <w:rsid w:val="00DE27D2"/>
    <w:rsid w:val="00DE3342"/>
    <w:rsid w:val="00DE5FF4"/>
    <w:rsid w:val="00DE61F7"/>
    <w:rsid w:val="00DE64DB"/>
    <w:rsid w:val="00DE6574"/>
    <w:rsid w:val="00DE6C85"/>
    <w:rsid w:val="00DE726E"/>
    <w:rsid w:val="00DE7834"/>
    <w:rsid w:val="00DF4AE8"/>
    <w:rsid w:val="00DF5680"/>
    <w:rsid w:val="00DF5BED"/>
    <w:rsid w:val="00DF799A"/>
    <w:rsid w:val="00E01F7D"/>
    <w:rsid w:val="00E0211B"/>
    <w:rsid w:val="00E02154"/>
    <w:rsid w:val="00E03505"/>
    <w:rsid w:val="00E039D3"/>
    <w:rsid w:val="00E042DD"/>
    <w:rsid w:val="00E0450F"/>
    <w:rsid w:val="00E04644"/>
    <w:rsid w:val="00E04CA8"/>
    <w:rsid w:val="00E05164"/>
    <w:rsid w:val="00E052A0"/>
    <w:rsid w:val="00E06CC2"/>
    <w:rsid w:val="00E104E0"/>
    <w:rsid w:val="00E113C1"/>
    <w:rsid w:val="00E12D74"/>
    <w:rsid w:val="00E156BF"/>
    <w:rsid w:val="00E15D7F"/>
    <w:rsid w:val="00E166EA"/>
    <w:rsid w:val="00E169DA"/>
    <w:rsid w:val="00E16FC1"/>
    <w:rsid w:val="00E172A4"/>
    <w:rsid w:val="00E202A0"/>
    <w:rsid w:val="00E20649"/>
    <w:rsid w:val="00E214AF"/>
    <w:rsid w:val="00E21A02"/>
    <w:rsid w:val="00E21C9E"/>
    <w:rsid w:val="00E22927"/>
    <w:rsid w:val="00E22C5F"/>
    <w:rsid w:val="00E23A35"/>
    <w:rsid w:val="00E2589D"/>
    <w:rsid w:val="00E26AC6"/>
    <w:rsid w:val="00E26DB5"/>
    <w:rsid w:val="00E2715A"/>
    <w:rsid w:val="00E27BC1"/>
    <w:rsid w:val="00E27CAF"/>
    <w:rsid w:val="00E27F93"/>
    <w:rsid w:val="00E310CD"/>
    <w:rsid w:val="00E319A5"/>
    <w:rsid w:val="00E3308D"/>
    <w:rsid w:val="00E33100"/>
    <w:rsid w:val="00E33EC8"/>
    <w:rsid w:val="00E3482F"/>
    <w:rsid w:val="00E3553C"/>
    <w:rsid w:val="00E36519"/>
    <w:rsid w:val="00E37EF0"/>
    <w:rsid w:val="00E40655"/>
    <w:rsid w:val="00E420EA"/>
    <w:rsid w:val="00E42330"/>
    <w:rsid w:val="00E4389F"/>
    <w:rsid w:val="00E4430F"/>
    <w:rsid w:val="00E452BC"/>
    <w:rsid w:val="00E45BF2"/>
    <w:rsid w:val="00E47410"/>
    <w:rsid w:val="00E50ECC"/>
    <w:rsid w:val="00E51E70"/>
    <w:rsid w:val="00E55364"/>
    <w:rsid w:val="00E60039"/>
    <w:rsid w:val="00E63C75"/>
    <w:rsid w:val="00E64044"/>
    <w:rsid w:val="00E643BD"/>
    <w:rsid w:val="00E647D3"/>
    <w:rsid w:val="00E663BE"/>
    <w:rsid w:val="00E6718C"/>
    <w:rsid w:val="00E70905"/>
    <w:rsid w:val="00E71C50"/>
    <w:rsid w:val="00E7281D"/>
    <w:rsid w:val="00E7288F"/>
    <w:rsid w:val="00E734A9"/>
    <w:rsid w:val="00E7425E"/>
    <w:rsid w:val="00E74B9E"/>
    <w:rsid w:val="00E74BE2"/>
    <w:rsid w:val="00E766F5"/>
    <w:rsid w:val="00E80EA1"/>
    <w:rsid w:val="00E82ED4"/>
    <w:rsid w:val="00E83050"/>
    <w:rsid w:val="00E84618"/>
    <w:rsid w:val="00E856E5"/>
    <w:rsid w:val="00E86A81"/>
    <w:rsid w:val="00E87D36"/>
    <w:rsid w:val="00E9019D"/>
    <w:rsid w:val="00E90694"/>
    <w:rsid w:val="00E90755"/>
    <w:rsid w:val="00E90ED2"/>
    <w:rsid w:val="00E91C4B"/>
    <w:rsid w:val="00E927F5"/>
    <w:rsid w:val="00E92F08"/>
    <w:rsid w:val="00E9473A"/>
    <w:rsid w:val="00E96060"/>
    <w:rsid w:val="00E96608"/>
    <w:rsid w:val="00E976D4"/>
    <w:rsid w:val="00E977C8"/>
    <w:rsid w:val="00EA0445"/>
    <w:rsid w:val="00EA0C3B"/>
    <w:rsid w:val="00EA0FA9"/>
    <w:rsid w:val="00EA18E7"/>
    <w:rsid w:val="00EA28CE"/>
    <w:rsid w:val="00EA2C45"/>
    <w:rsid w:val="00EA319A"/>
    <w:rsid w:val="00EA4817"/>
    <w:rsid w:val="00EB0318"/>
    <w:rsid w:val="00EB154D"/>
    <w:rsid w:val="00EB184C"/>
    <w:rsid w:val="00EB1C69"/>
    <w:rsid w:val="00EB218A"/>
    <w:rsid w:val="00EB2909"/>
    <w:rsid w:val="00EB292A"/>
    <w:rsid w:val="00EB29FB"/>
    <w:rsid w:val="00EB485C"/>
    <w:rsid w:val="00EB5003"/>
    <w:rsid w:val="00EB76F4"/>
    <w:rsid w:val="00EB7E95"/>
    <w:rsid w:val="00EC2CB7"/>
    <w:rsid w:val="00EC2EFA"/>
    <w:rsid w:val="00EC2F95"/>
    <w:rsid w:val="00EC3FDE"/>
    <w:rsid w:val="00EC40C6"/>
    <w:rsid w:val="00EC4BAC"/>
    <w:rsid w:val="00EC5511"/>
    <w:rsid w:val="00EC6408"/>
    <w:rsid w:val="00EC64C9"/>
    <w:rsid w:val="00EC653C"/>
    <w:rsid w:val="00EC79FF"/>
    <w:rsid w:val="00EC7A4E"/>
    <w:rsid w:val="00EC7BEC"/>
    <w:rsid w:val="00ED13B2"/>
    <w:rsid w:val="00ED2A64"/>
    <w:rsid w:val="00ED3916"/>
    <w:rsid w:val="00ED5205"/>
    <w:rsid w:val="00ED5FD8"/>
    <w:rsid w:val="00ED62CD"/>
    <w:rsid w:val="00ED64F9"/>
    <w:rsid w:val="00ED7534"/>
    <w:rsid w:val="00EE0E71"/>
    <w:rsid w:val="00EE1353"/>
    <w:rsid w:val="00EE1CEE"/>
    <w:rsid w:val="00EE2743"/>
    <w:rsid w:val="00EE4632"/>
    <w:rsid w:val="00EF128F"/>
    <w:rsid w:val="00EF2990"/>
    <w:rsid w:val="00EF3CFC"/>
    <w:rsid w:val="00EF4912"/>
    <w:rsid w:val="00EF4C77"/>
    <w:rsid w:val="00EF5A3D"/>
    <w:rsid w:val="00EF63B5"/>
    <w:rsid w:val="00EF6F26"/>
    <w:rsid w:val="00EF7012"/>
    <w:rsid w:val="00EF71F2"/>
    <w:rsid w:val="00EF7582"/>
    <w:rsid w:val="00F0050A"/>
    <w:rsid w:val="00F02595"/>
    <w:rsid w:val="00F027AA"/>
    <w:rsid w:val="00F03C3D"/>
    <w:rsid w:val="00F052DF"/>
    <w:rsid w:val="00F05A4A"/>
    <w:rsid w:val="00F06C6C"/>
    <w:rsid w:val="00F1004E"/>
    <w:rsid w:val="00F1033D"/>
    <w:rsid w:val="00F10D1B"/>
    <w:rsid w:val="00F10FA6"/>
    <w:rsid w:val="00F11091"/>
    <w:rsid w:val="00F11485"/>
    <w:rsid w:val="00F114A7"/>
    <w:rsid w:val="00F1176F"/>
    <w:rsid w:val="00F13D43"/>
    <w:rsid w:val="00F22190"/>
    <w:rsid w:val="00F227F1"/>
    <w:rsid w:val="00F23C7E"/>
    <w:rsid w:val="00F26839"/>
    <w:rsid w:val="00F26D1A"/>
    <w:rsid w:val="00F32420"/>
    <w:rsid w:val="00F3301F"/>
    <w:rsid w:val="00F336B6"/>
    <w:rsid w:val="00F35C33"/>
    <w:rsid w:val="00F3651F"/>
    <w:rsid w:val="00F374C9"/>
    <w:rsid w:val="00F37C64"/>
    <w:rsid w:val="00F40998"/>
    <w:rsid w:val="00F420DF"/>
    <w:rsid w:val="00F4522D"/>
    <w:rsid w:val="00F46EA0"/>
    <w:rsid w:val="00F51292"/>
    <w:rsid w:val="00F5216D"/>
    <w:rsid w:val="00F525BF"/>
    <w:rsid w:val="00F5273A"/>
    <w:rsid w:val="00F55D67"/>
    <w:rsid w:val="00F56660"/>
    <w:rsid w:val="00F618D1"/>
    <w:rsid w:val="00F6393C"/>
    <w:rsid w:val="00F642C6"/>
    <w:rsid w:val="00F64848"/>
    <w:rsid w:val="00F64B1C"/>
    <w:rsid w:val="00F651FF"/>
    <w:rsid w:val="00F66F60"/>
    <w:rsid w:val="00F67470"/>
    <w:rsid w:val="00F67D1F"/>
    <w:rsid w:val="00F708F2"/>
    <w:rsid w:val="00F7512F"/>
    <w:rsid w:val="00F75DD3"/>
    <w:rsid w:val="00F76B93"/>
    <w:rsid w:val="00F77E18"/>
    <w:rsid w:val="00F800EE"/>
    <w:rsid w:val="00F806A1"/>
    <w:rsid w:val="00F81D48"/>
    <w:rsid w:val="00F83E06"/>
    <w:rsid w:val="00F857BE"/>
    <w:rsid w:val="00F86A56"/>
    <w:rsid w:val="00F87710"/>
    <w:rsid w:val="00F90C14"/>
    <w:rsid w:val="00F912B0"/>
    <w:rsid w:val="00F914E3"/>
    <w:rsid w:val="00F917C7"/>
    <w:rsid w:val="00F92D52"/>
    <w:rsid w:val="00F939B1"/>
    <w:rsid w:val="00F93EF3"/>
    <w:rsid w:val="00F949DC"/>
    <w:rsid w:val="00F94FBE"/>
    <w:rsid w:val="00F96AEA"/>
    <w:rsid w:val="00F96D95"/>
    <w:rsid w:val="00FA0A50"/>
    <w:rsid w:val="00FA1388"/>
    <w:rsid w:val="00FA151C"/>
    <w:rsid w:val="00FA280C"/>
    <w:rsid w:val="00FA28DD"/>
    <w:rsid w:val="00FA2B50"/>
    <w:rsid w:val="00FA2E6C"/>
    <w:rsid w:val="00FA434F"/>
    <w:rsid w:val="00FB1F6D"/>
    <w:rsid w:val="00FB2428"/>
    <w:rsid w:val="00FB2904"/>
    <w:rsid w:val="00FB2A4E"/>
    <w:rsid w:val="00FB585A"/>
    <w:rsid w:val="00FC064F"/>
    <w:rsid w:val="00FC097C"/>
    <w:rsid w:val="00FC127E"/>
    <w:rsid w:val="00FC14F9"/>
    <w:rsid w:val="00FC27E4"/>
    <w:rsid w:val="00FC29B7"/>
    <w:rsid w:val="00FC375A"/>
    <w:rsid w:val="00FC39D5"/>
    <w:rsid w:val="00FC5A7E"/>
    <w:rsid w:val="00FC61EB"/>
    <w:rsid w:val="00FC6B38"/>
    <w:rsid w:val="00FC772B"/>
    <w:rsid w:val="00FD1D54"/>
    <w:rsid w:val="00FD2183"/>
    <w:rsid w:val="00FD4A22"/>
    <w:rsid w:val="00FD5C47"/>
    <w:rsid w:val="00FD6E0E"/>
    <w:rsid w:val="00FE0135"/>
    <w:rsid w:val="00FE0713"/>
    <w:rsid w:val="00FE1594"/>
    <w:rsid w:val="00FE15D5"/>
    <w:rsid w:val="00FE2C8B"/>
    <w:rsid w:val="00FE4975"/>
    <w:rsid w:val="00FE5BCB"/>
    <w:rsid w:val="00FE6EE1"/>
    <w:rsid w:val="00FF0504"/>
    <w:rsid w:val="00FF05F7"/>
    <w:rsid w:val="00FF17BA"/>
    <w:rsid w:val="00FF27F7"/>
    <w:rsid w:val="00FF34C9"/>
    <w:rsid w:val="00FF5681"/>
    <w:rsid w:val="00FF5D39"/>
    <w:rsid w:val="00FF5FE8"/>
    <w:rsid w:val="00FF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A06E6E-82EE-467A-9E1D-A0898ECB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E94"/>
    <w:pPr>
      <w:widowControl w:val="0"/>
      <w:jc w:val="both"/>
    </w:pPr>
    <w:rPr>
      <w:kern w:val="2"/>
      <w:sz w:val="21"/>
      <w:szCs w:val="24"/>
    </w:rPr>
  </w:style>
  <w:style w:type="paragraph" w:styleId="1">
    <w:name w:val="heading 1"/>
    <w:basedOn w:val="a"/>
    <w:next w:val="a"/>
    <w:link w:val="1Char"/>
    <w:qFormat/>
    <w:rsid w:val="00684E94"/>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684E94"/>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link w:val="3Char"/>
    <w:qFormat/>
    <w:rsid w:val="00684E94"/>
    <w:pPr>
      <w:numPr>
        <w:ilvl w:val="2"/>
        <w:numId w:val="2"/>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684E9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84E94"/>
    <w:pPr>
      <w:keepNext/>
      <w:keepLines/>
      <w:numPr>
        <w:ilvl w:val="4"/>
        <w:numId w:val="1"/>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684E94"/>
    <w:pPr>
      <w:keepNext/>
      <w:keepLines/>
      <w:numPr>
        <w:ilvl w:val="5"/>
        <w:numId w:val="1"/>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684E94"/>
    <w:pPr>
      <w:keepNext/>
      <w:keepLines/>
      <w:numPr>
        <w:ilvl w:val="6"/>
        <w:numId w:val="1"/>
      </w:numPr>
      <w:spacing w:before="240" w:after="64" w:line="320" w:lineRule="auto"/>
      <w:ind w:firstLineChars="200" w:firstLine="200"/>
      <w:outlineLvl w:val="6"/>
    </w:pPr>
    <w:rPr>
      <w:b/>
      <w:bCs/>
      <w:sz w:val="24"/>
    </w:rPr>
  </w:style>
  <w:style w:type="paragraph" w:styleId="8">
    <w:name w:val="heading 8"/>
    <w:basedOn w:val="a"/>
    <w:next w:val="a"/>
    <w:link w:val="8Char"/>
    <w:qFormat/>
    <w:rsid w:val="00684E94"/>
    <w:pPr>
      <w:keepNext/>
      <w:keepLines/>
      <w:numPr>
        <w:ilvl w:val="7"/>
        <w:numId w:val="1"/>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684E94"/>
    <w:pPr>
      <w:keepNext/>
      <w:keepLines/>
      <w:numPr>
        <w:ilvl w:val="8"/>
        <w:numId w:val="1"/>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autoRedefine/>
    <w:rsid w:val="00684E94"/>
    <w:pPr>
      <w:tabs>
        <w:tab w:val="num" w:pos="360"/>
      </w:tabs>
    </w:pPr>
    <w:rPr>
      <w:sz w:val="24"/>
    </w:rPr>
  </w:style>
  <w:style w:type="paragraph" w:customStyle="1" w:styleId="211">
    <w:name w:val="样式 标题 2 + 段前: 1 行 段后: 1 行"/>
    <w:basedOn w:val="2"/>
    <w:rsid w:val="00684E94"/>
    <w:pPr>
      <w:tabs>
        <w:tab w:val="num" w:pos="3243"/>
      </w:tabs>
      <w:spacing w:before="447" w:after="447"/>
      <w:ind w:left="3243" w:hanging="720"/>
    </w:pPr>
    <w:rPr>
      <w:b w:val="0"/>
      <w:szCs w:val="20"/>
    </w:rPr>
  </w:style>
  <w:style w:type="paragraph" w:customStyle="1" w:styleId="CharCharCharCharCharCharChar">
    <w:name w:val="正文文字 Char Char Char Char Char Char Char"/>
    <w:basedOn w:val="a"/>
    <w:next w:val="30"/>
    <w:rsid w:val="00684E94"/>
    <w:pPr>
      <w:tabs>
        <w:tab w:val="num" w:pos="780"/>
      </w:tabs>
      <w:spacing w:after="120"/>
      <w:ind w:left="780" w:hanging="360"/>
    </w:pPr>
    <w:rPr>
      <w:sz w:val="16"/>
      <w:szCs w:val="16"/>
    </w:rPr>
  </w:style>
  <w:style w:type="paragraph" w:styleId="30">
    <w:name w:val="Body Text 3"/>
    <w:basedOn w:val="a"/>
    <w:link w:val="3Char0"/>
    <w:rsid w:val="00684E94"/>
    <w:pPr>
      <w:spacing w:after="120"/>
    </w:pPr>
    <w:rPr>
      <w:sz w:val="16"/>
      <w:szCs w:val="16"/>
    </w:rPr>
  </w:style>
  <w:style w:type="paragraph" w:styleId="10">
    <w:name w:val="toc 1"/>
    <w:basedOn w:val="a"/>
    <w:next w:val="a"/>
    <w:autoRedefine/>
    <w:uiPriority w:val="39"/>
    <w:rsid w:val="00684E94"/>
    <w:pPr>
      <w:tabs>
        <w:tab w:val="right" w:leader="dot" w:pos="8296"/>
      </w:tabs>
      <w:jc w:val="left"/>
    </w:pPr>
    <w:rPr>
      <w:rFonts w:ascii="宋体" w:eastAsia="黑体" w:hAnsi="宋体"/>
      <w:caps/>
      <w:noProof/>
      <w:sz w:val="24"/>
      <w:szCs w:val="28"/>
    </w:rPr>
  </w:style>
  <w:style w:type="paragraph" w:styleId="20">
    <w:name w:val="toc 2"/>
    <w:basedOn w:val="a"/>
    <w:next w:val="a"/>
    <w:autoRedefine/>
    <w:uiPriority w:val="39"/>
    <w:rsid w:val="00923A51"/>
    <w:pPr>
      <w:tabs>
        <w:tab w:val="left" w:pos="2100"/>
        <w:tab w:val="right" w:leader="dot" w:pos="8268"/>
      </w:tabs>
      <w:snapToGrid w:val="0"/>
      <w:spacing w:line="360" w:lineRule="auto"/>
      <w:ind w:leftChars="152" w:left="319" w:firstLineChars="348" w:firstLine="731"/>
      <w:jc w:val="left"/>
    </w:pPr>
    <w:rPr>
      <w:rFonts w:eastAsia="仿宋_GB2312"/>
      <w:smallCaps/>
      <w:noProof/>
      <w:szCs w:val="20"/>
    </w:rPr>
  </w:style>
  <w:style w:type="paragraph" w:customStyle="1" w:styleId="11">
    <w:name w:val="样式 标题 1 + 黑体 非加粗"/>
    <w:basedOn w:val="1"/>
    <w:rsid w:val="00684E94"/>
    <w:pPr>
      <w:pageBreakBefore/>
    </w:pPr>
    <w:rPr>
      <w:rFonts w:hAnsi="黑体"/>
      <w:b/>
    </w:rPr>
  </w:style>
  <w:style w:type="paragraph" w:customStyle="1" w:styleId="111">
    <w:name w:val="样式 标题 1 + 段前: 1 行 段后: 1 行"/>
    <w:basedOn w:val="1"/>
    <w:rsid w:val="00684E94"/>
    <w:pPr>
      <w:pageBreakBefore/>
    </w:pPr>
    <w:rPr>
      <w:szCs w:val="20"/>
    </w:rPr>
  </w:style>
  <w:style w:type="paragraph" w:customStyle="1" w:styleId="115">
    <w:name w:val="样式 标题 1 + 段前: 1.5 行"/>
    <w:basedOn w:val="a"/>
    <w:rsid w:val="00684E94"/>
    <w:pPr>
      <w:tabs>
        <w:tab w:val="num" w:pos="990"/>
      </w:tabs>
      <w:ind w:left="990" w:hanging="840"/>
    </w:pPr>
    <w:rPr>
      <w:sz w:val="24"/>
      <w:szCs w:val="20"/>
    </w:rPr>
  </w:style>
  <w:style w:type="paragraph" w:customStyle="1" w:styleId="21">
    <w:name w:val="样式 首行缩进:  2 字符"/>
    <w:basedOn w:val="a"/>
    <w:rsid w:val="00684E94"/>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684E94"/>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4">
    <w:name w:val="page number"/>
    <w:basedOn w:val="a0"/>
    <w:rsid w:val="00684E94"/>
  </w:style>
  <w:style w:type="paragraph" w:styleId="a5">
    <w:name w:val="footer"/>
    <w:basedOn w:val="a"/>
    <w:link w:val="Char0"/>
    <w:uiPriority w:val="99"/>
    <w:rsid w:val="00684E94"/>
    <w:pPr>
      <w:tabs>
        <w:tab w:val="center" w:pos="4153"/>
        <w:tab w:val="right" w:pos="8306"/>
      </w:tabs>
      <w:snapToGrid w:val="0"/>
      <w:ind w:firstLineChars="200" w:firstLine="200"/>
      <w:jc w:val="left"/>
    </w:pPr>
    <w:rPr>
      <w:rFonts w:eastAsia="仿宋_GB2312"/>
      <w:sz w:val="18"/>
      <w:szCs w:val="20"/>
    </w:rPr>
  </w:style>
  <w:style w:type="paragraph" w:customStyle="1" w:styleId="2111111">
    <w:name w:val="样式 样式 样式 标题 2 + 段前: 1 行 段后: 1 行1 + 段前: 1 行 段后: 1 行 + 段前: 1 行 段后..."/>
    <w:basedOn w:val="a"/>
    <w:rsid w:val="00684E94"/>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684E94"/>
    <w:pPr>
      <w:ind w:firstLineChars="0" w:firstLine="0"/>
    </w:pPr>
    <w:rPr>
      <w:bCs/>
      <w:szCs w:val="20"/>
    </w:rPr>
  </w:style>
  <w:style w:type="paragraph" w:customStyle="1" w:styleId="211111">
    <w:name w:val="样式 样式 标题 2 + 段前: 1 行 段后: 1 行1 + 段前: 1 行 段后: 1 行"/>
    <w:basedOn w:val="2111"/>
    <w:rsid w:val="00684E94"/>
  </w:style>
  <w:style w:type="character" w:customStyle="1" w:styleId="big1">
    <w:name w:val="big1"/>
    <w:rsid w:val="00684E94"/>
    <w:rPr>
      <w:sz w:val="22"/>
      <w:szCs w:val="22"/>
    </w:rPr>
  </w:style>
  <w:style w:type="character" w:customStyle="1" w:styleId="read1">
    <w:name w:val="read1"/>
    <w:rsid w:val="00684E94"/>
    <w:rPr>
      <w:rFonts w:ascii="ˎ̥" w:hAnsi="ˎ̥" w:hint="default"/>
      <w:strike w:val="0"/>
      <w:dstrike w:val="0"/>
      <w:color w:val="000000"/>
      <w:u w:val="none"/>
      <w:effect w:val="none"/>
    </w:rPr>
  </w:style>
  <w:style w:type="paragraph" w:styleId="a6">
    <w:name w:val="Title"/>
    <w:basedOn w:val="a"/>
    <w:link w:val="Char1"/>
    <w:qFormat/>
    <w:rsid w:val="00684E94"/>
    <w:pPr>
      <w:spacing w:before="240" w:after="60"/>
      <w:jc w:val="center"/>
      <w:outlineLvl w:val="0"/>
    </w:pPr>
    <w:rPr>
      <w:rFonts w:ascii="Arial" w:hAnsi="Arial" w:cs="Arial"/>
      <w:b/>
      <w:bCs/>
      <w:sz w:val="32"/>
      <w:szCs w:val="32"/>
    </w:rPr>
  </w:style>
  <w:style w:type="paragraph" w:styleId="a7">
    <w:name w:val="Closing"/>
    <w:basedOn w:val="a"/>
    <w:link w:val="Char2"/>
    <w:rsid w:val="00684E94"/>
    <w:pPr>
      <w:ind w:leftChars="2100" w:left="100"/>
    </w:pPr>
  </w:style>
  <w:style w:type="paragraph" w:styleId="a8">
    <w:name w:val="List Number"/>
    <w:basedOn w:val="a"/>
    <w:rsid w:val="00684E94"/>
    <w:pPr>
      <w:tabs>
        <w:tab w:val="num" w:pos="360"/>
      </w:tabs>
      <w:ind w:left="360" w:hangingChars="200" w:hanging="360"/>
    </w:pPr>
  </w:style>
  <w:style w:type="paragraph" w:styleId="22">
    <w:name w:val="List Number 2"/>
    <w:basedOn w:val="a"/>
    <w:rsid w:val="00684E94"/>
    <w:pPr>
      <w:tabs>
        <w:tab w:val="num" w:pos="780"/>
      </w:tabs>
      <w:ind w:leftChars="200" w:left="780" w:hangingChars="200" w:hanging="360"/>
    </w:pPr>
  </w:style>
  <w:style w:type="paragraph" w:styleId="31">
    <w:name w:val="List Number 3"/>
    <w:basedOn w:val="a"/>
    <w:rsid w:val="00684E94"/>
    <w:pPr>
      <w:tabs>
        <w:tab w:val="num" w:pos="1200"/>
      </w:tabs>
      <w:ind w:leftChars="400" w:left="1200" w:hangingChars="200" w:hanging="360"/>
    </w:pPr>
  </w:style>
  <w:style w:type="paragraph" w:styleId="40">
    <w:name w:val="List Number 4"/>
    <w:basedOn w:val="a"/>
    <w:rsid w:val="00684E94"/>
    <w:pPr>
      <w:tabs>
        <w:tab w:val="num" w:pos="1620"/>
      </w:tabs>
      <w:ind w:leftChars="600" w:left="1620" w:hangingChars="200" w:hanging="360"/>
    </w:pPr>
  </w:style>
  <w:style w:type="paragraph" w:styleId="50">
    <w:name w:val="List Number 5"/>
    <w:basedOn w:val="a"/>
    <w:rsid w:val="00684E94"/>
    <w:pPr>
      <w:tabs>
        <w:tab w:val="num" w:pos="2040"/>
      </w:tabs>
      <w:ind w:leftChars="800" w:left="2040" w:hangingChars="200" w:hanging="360"/>
    </w:pPr>
  </w:style>
  <w:style w:type="paragraph" w:styleId="a9">
    <w:name w:val="List Bullet"/>
    <w:basedOn w:val="a"/>
    <w:autoRedefine/>
    <w:rsid w:val="00684E94"/>
    <w:pPr>
      <w:tabs>
        <w:tab w:val="num" w:pos="360"/>
      </w:tabs>
      <w:ind w:left="360" w:hangingChars="200" w:hanging="360"/>
    </w:pPr>
  </w:style>
  <w:style w:type="paragraph" w:styleId="23">
    <w:name w:val="List Bullet 2"/>
    <w:basedOn w:val="a"/>
    <w:autoRedefine/>
    <w:rsid w:val="00684E94"/>
    <w:pPr>
      <w:tabs>
        <w:tab w:val="num" w:pos="780"/>
      </w:tabs>
      <w:ind w:leftChars="200" w:left="780" w:hangingChars="200" w:hanging="360"/>
    </w:pPr>
  </w:style>
  <w:style w:type="paragraph" w:styleId="32">
    <w:name w:val="List Bullet 3"/>
    <w:basedOn w:val="a"/>
    <w:autoRedefine/>
    <w:rsid w:val="00684E94"/>
    <w:pPr>
      <w:tabs>
        <w:tab w:val="num" w:pos="1200"/>
      </w:tabs>
      <w:ind w:leftChars="400" w:left="1200" w:hangingChars="200" w:hanging="360"/>
    </w:pPr>
  </w:style>
  <w:style w:type="paragraph" w:styleId="41">
    <w:name w:val="List Bullet 4"/>
    <w:basedOn w:val="a"/>
    <w:autoRedefine/>
    <w:rsid w:val="00684E94"/>
    <w:pPr>
      <w:tabs>
        <w:tab w:val="num" w:pos="1620"/>
      </w:tabs>
      <w:ind w:leftChars="600" w:left="1620" w:hangingChars="200" w:hanging="360"/>
    </w:pPr>
  </w:style>
  <w:style w:type="paragraph" w:styleId="51">
    <w:name w:val="List Bullet 5"/>
    <w:basedOn w:val="a"/>
    <w:autoRedefine/>
    <w:rsid w:val="00684E94"/>
    <w:pPr>
      <w:tabs>
        <w:tab w:val="num" w:pos="2040"/>
      </w:tabs>
      <w:ind w:leftChars="800" w:left="2040" w:hangingChars="200" w:hanging="360"/>
    </w:pPr>
  </w:style>
  <w:style w:type="paragraph" w:styleId="aa">
    <w:name w:val="table of figures"/>
    <w:basedOn w:val="a"/>
    <w:next w:val="a"/>
    <w:semiHidden/>
    <w:rsid w:val="00684E94"/>
    <w:pPr>
      <w:ind w:leftChars="200" w:left="840" w:hangingChars="200" w:hanging="420"/>
    </w:pPr>
  </w:style>
  <w:style w:type="paragraph" w:styleId="ab">
    <w:name w:val="Body Text"/>
    <w:basedOn w:val="a"/>
    <w:link w:val="Char3"/>
    <w:rsid w:val="00684E94"/>
    <w:pPr>
      <w:spacing w:after="120"/>
    </w:pPr>
  </w:style>
  <w:style w:type="paragraph" w:styleId="ac">
    <w:name w:val="Body Text First Indent"/>
    <w:basedOn w:val="ab"/>
    <w:link w:val="Char4"/>
    <w:rsid w:val="00684E94"/>
    <w:pPr>
      <w:ind w:firstLineChars="100" w:firstLine="420"/>
    </w:pPr>
  </w:style>
  <w:style w:type="paragraph" w:styleId="ad">
    <w:name w:val="Body Text Indent"/>
    <w:basedOn w:val="a"/>
    <w:link w:val="Char5"/>
    <w:rsid w:val="00684E94"/>
    <w:pPr>
      <w:spacing w:after="120"/>
      <w:ind w:left="420"/>
    </w:pPr>
  </w:style>
  <w:style w:type="paragraph" w:styleId="ae">
    <w:name w:val="Note Heading"/>
    <w:basedOn w:val="a"/>
    <w:next w:val="a"/>
    <w:link w:val="Char6"/>
    <w:rsid w:val="00684E94"/>
    <w:pPr>
      <w:jc w:val="center"/>
    </w:pPr>
  </w:style>
  <w:style w:type="character" w:customStyle="1" w:styleId="font141">
    <w:name w:val="font141"/>
    <w:rsid w:val="00684E94"/>
    <w:rPr>
      <w:rFonts w:ascii="宋体" w:eastAsia="宋体" w:hAnsi="宋体" w:hint="eastAsia"/>
      <w:sz w:val="21"/>
      <w:szCs w:val="21"/>
    </w:rPr>
  </w:style>
  <w:style w:type="character" w:customStyle="1" w:styleId="da">
    <w:name w:val="da"/>
    <w:basedOn w:val="a0"/>
    <w:qFormat/>
    <w:rsid w:val="00684E94"/>
  </w:style>
  <w:style w:type="paragraph" w:customStyle="1" w:styleId="af">
    <w:name w:val="特点"/>
    <w:aliases w:val="表正文,正文非缩进,段1"/>
    <w:basedOn w:val="a"/>
    <w:next w:val="af0"/>
    <w:rsid w:val="00684E94"/>
    <w:pPr>
      <w:ind w:firstLine="420"/>
    </w:pPr>
    <w:rPr>
      <w:szCs w:val="20"/>
    </w:rPr>
  </w:style>
  <w:style w:type="paragraph" w:styleId="af0">
    <w:name w:val="Normal Indent"/>
    <w:aliases w:val="正文缩进1,ALT+Z"/>
    <w:basedOn w:val="a"/>
    <w:rsid w:val="00684E94"/>
    <w:pPr>
      <w:ind w:firstLine="420"/>
    </w:pPr>
  </w:style>
  <w:style w:type="paragraph" w:styleId="33">
    <w:name w:val="Body Text Indent 3"/>
    <w:basedOn w:val="a"/>
    <w:link w:val="3Char1"/>
    <w:rsid w:val="00684E94"/>
    <w:pPr>
      <w:spacing w:after="120"/>
      <w:ind w:left="420"/>
    </w:pPr>
    <w:rPr>
      <w:sz w:val="16"/>
      <w:szCs w:val="16"/>
    </w:rPr>
  </w:style>
  <w:style w:type="paragraph" w:styleId="af1">
    <w:name w:val="Plain Text"/>
    <w:basedOn w:val="a"/>
    <w:link w:val="Char7"/>
    <w:rsid w:val="00684E94"/>
    <w:rPr>
      <w:rFonts w:ascii="宋体" w:hAnsi="Courier New" w:cs="Courier New"/>
      <w:szCs w:val="21"/>
    </w:rPr>
  </w:style>
  <w:style w:type="character" w:styleId="af2">
    <w:name w:val="Hyperlink"/>
    <w:uiPriority w:val="99"/>
    <w:rsid w:val="00684E94"/>
    <w:rPr>
      <w:color w:val="0000FF"/>
      <w:u w:val="single"/>
    </w:rPr>
  </w:style>
  <w:style w:type="paragraph" w:styleId="24">
    <w:name w:val="Body Text Indent 2"/>
    <w:basedOn w:val="a"/>
    <w:link w:val="2Char0"/>
    <w:rsid w:val="00684E94"/>
    <w:pPr>
      <w:spacing w:after="120" w:line="480" w:lineRule="auto"/>
      <w:ind w:left="420"/>
    </w:pPr>
  </w:style>
  <w:style w:type="paragraph" w:styleId="25">
    <w:name w:val="Body Text 2"/>
    <w:basedOn w:val="a"/>
    <w:link w:val="2Char1"/>
    <w:rsid w:val="00684E94"/>
    <w:pPr>
      <w:spacing w:after="120" w:line="480" w:lineRule="auto"/>
    </w:pPr>
  </w:style>
  <w:style w:type="character" w:customStyle="1" w:styleId="12">
    <w:name w:val="已访问的超链接1"/>
    <w:rsid w:val="00684E94"/>
    <w:rPr>
      <w:color w:val="800080"/>
      <w:u w:val="single"/>
    </w:rPr>
  </w:style>
  <w:style w:type="paragraph" w:styleId="HTML">
    <w:name w:val="HTML Preformatted"/>
    <w:basedOn w:val="a"/>
    <w:link w:val="HTMLChar"/>
    <w:uiPriority w:val="99"/>
    <w:rsid w:val="00684E94"/>
    <w:rPr>
      <w:rFonts w:ascii="Courier New" w:hAnsi="Courier New" w:cs="Courier New"/>
      <w:sz w:val="20"/>
      <w:szCs w:val="20"/>
    </w:rPr>
  </w:style>
  <w:style w:type="paragraph" w:styleId="af3">
    <w:name w:val="Normal (Web)"/>
    <w:basedOn w:val="a"/>
    <w:rsid w:val="00684E94"/>
    <w:rPr>
      <w:sz w:val="24"/>
    </w:rPr>
  </w:style>
  <w:style w:type="paragraph" w:styleId="af4">
    <w:name w:val="Subtitle"/>
    <w:basedOn w:val="a"/>
    <w:link w:val="Char8"/>
    <w:qFormat/>
    <w:rsid w:val="00684E94"/>
    <w:pPr>
      <w:spacing w:before="240" w:after="60" w:line="312" w:lineRule="auto"/>
      <w:jc w:val="center"/>
      <w:outlineLvl w:val="1"/>
    </w:pPr>
    <w:rPr>
      <w:rFonts w:ascii="Arial" w:hAnsi="Arial" w:cs="Arial"/>
      <w:b/>
      <w:bCs/>
      <w:kern w:val="28"/>
      <w:sz w:val="32"/>
      <w:szCs w:val="32"/>
    </w:rPr>
  </w:style>
  <w:style w:type="paragraph" w:styleId="af5">
    <w:name w:val="Block Text"/>
    <w:basedOn w:val="a"/>
    <w:rsid w:val="00684E94"/>
    <w:pPr>
      <w:spacing w:after="120"/>
      <w:ind w:left="1440" w:right="1440"/>
    </w:pPr>
  </w:style>
  <w:style w:type="character" w:styleId="af6">
    <w:name w:val="Strong"/>
    <w:uiPriority w:val="99"/>
    <w:qFormat/>
    <w:rsid w:val="00684E94"/>
    <w:rPr>
      <w:b/>
      <w:bCs/>
    </w:rPr>
  </w:style>
  <w:style w:type="paragraph" w:styleId="af7">
    <w:name w:val="Document Map"/>
    <w:basedOn w:val="a"/>
    <w:link w:val="Char9"/>
    <w:semiHidden/>
    <w:rsid w:val="00684E94"/>
    <w:pPr>
      <w:shd w:val="clear" w:color="auto" w:fill="000080"/>
    </w:pPr>
  </w:style>
  <w:style w:type="character" w:styleId="af8">
    <w:name w:val="footnote reference"/>
    <w:semiHidden/>
    <w:rsid w:val="00684E94"/>
    <w:rPr>
      <w:vertAlign w:val="superscript"/>
    </w:rPr>
  </w:style>
  <w:style w:type="paragraph" w:customStyle="1" w:styleId="26">
    <w:name w:val="列表2"/>
    <w:basedOn w:val="a"/>
    <w:next w:val="a6"/>
    <w:rsid w:val="00684E94"/>
    <w:pPr>
      <w:tabs>
        <w:tab w:val="num" w:pos="360"/>
      </w:tabs>
      <w:spacing w:line="360" w:lineRule="auto"/>
    </w:pPr>
    <w:rPr>
      <w:rFonts w:ascii="宋体"/>
      <w:szCs w:val="20"/>
    </w:rPr>
  </w:style>
  <w:style w:type="paragraph" w:customStyle="1" w:styleId="13">
    <w:name w:val="列表1"/>
    <w:basedOn w:val="a"/>
    <w:next w:val="a"/>
    <w:rsid w:val="00684E94"/>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684E94"/>
    <w:pPr>
      <w:tabs>
        <w:tab w:val="num" w:pos="1276"/>
      </w:tabs>
      <w:spacing w:beforeLines="0" w:afterLines="0"/>
      <w:ind w:left="851" w:firstLineChars="0" w:firstLine="0"/>
    </w:pPr>
    <w:rPr>
      <w:szCs w:val="20"/>
    </w:rPr>
  </w:style>
  <w:style w:type="paragraph" w:styleId="af9">
    <w:name w:val="Balloon Text"/>
    <w:basedOn w:val="a"/>
    <w:link w:val="Chara"/>
    <w:semiHidden/>
    <w:rsid w:val="00684E94"/>
    <w:rPr>
      <w:sz w:val="18"/>
      <w:szCs w:val="18"/>
    </w:rPr>
  </w:style>
  <w:style w:type="character" w:customStyle="1" w:styleId="read">
    <w:name w:val="read"/>
    <w:basedOn w:val="a0"/>
    <w:rsid w:val="00684E94"/>
  </w:style>
  <w:style w:type="paragraph" w:styleId="afa">
    <w:name w:val="annotation subject"/>
    <w:basedOn w:val="afb"/>
    <w:next w:val="afb"/>
    <w:link w:val="Charb"/>
    <w:semiHidden/>
    <w:rsid w:val="00684E94"/>
    <w:rPr>
      <w:b/>
      <w:bCs/>
    </w:rPr>
  </w:style>
  <w:style w:type="paragraph" w:styleId="afb">
    <w:name w:val="annotation text"/>
    <w:basedOn w:val="a"/>
    <w:link w:val="Charc"/>
    <w:rsid w:val="00684E94"/>
    <w:pPr>
      <w:jc w:val="left"/>
    </w:pPr>
  </w:style>
  <w:style w:type="paragraph" w:customStyle="1" w:styleId="14">
    <w:name w:val="1"/>
    <w:basedOn w:val="a"/>
    <w:rsid w:val="00684E94"/>
    <w:pPr>
      <w:spacing w:before="100" w:beforeAutospacing="1" w:after="120" w:afterAutospacing="1" w:line="360" w:lineRule="auto"/>
      <w:ind w:leftChars="200" w:left="420"/>
    </w:pPr>
  </w:style>
  <w:style w:type="character" w:styleId="afc">
    <w:name w:val="annotation reference"/>
    <w:rsid w:val="00684E94"/>
    <w:rPr>
      <w:sz w:val="21"/>
      <w:szCs w:val="21"/>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autoRedefine/>
    <w:rsid w:val="00684E94"/>
    <w:pPr>
      <w:tabs>
        <w:tab w:val="num" w:pos="987"/>
      </w:tabs>
      <w:ind w:left="987" w:hanging="283"/>
    </w:pPr>
    <w:rPr>
      <w:sz w:val="24"/>
    </w:rPr>
  </w:style>
  <w:style w:type="paragraph" w:customStyle="1" w:styleId="afd">
    <w:name w:val="正文所"/>
    <w:basedOn w:val="a"/>
    <w:rsid w:val="006923A2"/>
    <w:pPr>
      <w:spacing w:line="360" w:lineRule="auto"/>
      <w:ind w:firstLineChars="200" w:firstLine="420"/>
    </w:pPr>
  </w:style>
  <w:style w:type="paragraph" w:customStyle="1" w:styleId="ParaChar">
    <w:name w:val="默认段落字体 Para Char"/>
    <w:basedOn w:val="a"/>
    <w:autoRedefine/>
    <w:rsid w:val="00684E94"/>
    <w:pPr>
      <w:tabs>
        <w:tab w:val="num" w:pos="990"/>
      </w:tabs>
      <w:ind w:left="990" w:hanging="840"/>
    </w:pPr>
    <w:rPr>
      <w:sz w:val="24"/>
    </w:rPr>
  </w:style>
  <w:style w:type="paragraph" w:customStyle="1" w:styleId="Chard">
    <w:name w:val="Char"/>
    <w:basedOn w:val="a"/>
    <w:autoRedefine/>
    <w:rsid w:val="00684E94"/>
    <w:pPr>
      <w:tabs>
        <w:tab w:val="num" w:pos="990"/>
      </w:tabs>
      <w:ind w:left="990" w:hanging="840"/>
    </w:pPr>
    <w:rPr>
      <w:sz w:val="24"/>
    </w:rPr>
  </w:style>
  <w:style w:type="paragraph" w:styleId="34">
    <w:name w:val="toc 3"/>
    <w:basedOn w:val="a"/>
    <w:next w:val="a"/>
    <w:autoRedefine/>
    <w:uiPriority w:val="39"/>
    <w:rsid w:val="00AB77B4"/>
    <w:pPr>
      <w:ind w:leftChars="400" w:left="840"/>
    </w:pPr>
  </w:style>
  <w:style w:type="paragraph" w:styleId="42">
    <w:name w:val="toc 4"/>
    <w:basedOn w:val="a"/>
    <w:next w:val="a"/>
    <w:autoRedefine/>
    <w:uiPriority w:val="39"/>
    <w:rsid w:val="00AB77B4"/>
    <w:pPr>
      <w:ind w:leftChars="600" w:left="1260"/>
    </w:pPr>
  </w:style>
  <w:style w:type="paragraph" w:styleId="52">
    <w:name w:val="toc 5"/>
    <w:basedOn w:val="a"/>
    <w:next w:val="a"/>
    <w:autoRedefine/>
    <w:uiPriority w:val="39"/>
    <w:rsid w:val="00AB77B4"/>
    <w:pPr>
      <w:ind w:leftChars="800" w:left="1680"/>
    </w:pPr>
  </w:style>
  <w:style w:type="paragraph" w:styleId="60">
    <w:name w:val="toc 6"/>
    <w:basedOn w:val="a"/>
    <w:next w:val="a"/>
    <w:autoRedefine/>
    <w:uiPriority w:val="39"/>
    <w:rsid w:val="00AB77B4"/>
    <w:pPr>
      <w:ind w:leftChars="1000" w:left="2100"/>
    </w:pPr>
  </w:style>
  <w:style w:type="paragraph" w:styleId="70">
    <w:name w:val="toc 7"/>
    <w:basedOn w:val="a"/>
    <w:next w:val="a"/>
    <w:autoRedefine/>
    <w:uiPriority w:val="39"/>
    <w:rsid w:val="00AB77B4"/>
    <w:pPr>
      <w:ind w:leftChars="1200" w:left="2520"/>
    </w:pPr>
  </w:style>
  <w:style w:type="paragraph" w:styleId="80">
    <w:name w:val="toc 8"/>
    <w:basedOn w:val="a"/>
    <w:next w:val="a"/>
    <w:autoRedefine/>
    <w:uiPriority w:val="39"/>
    <w:rsid w:val="00AB77B4"/>
    <w:pPr>
      <w:ind w:leftChars="1400" w:left="2940"/>
    </w:pPr>
  </w:style>
  <w:style w:type="paragraph" w:styleId="90">
    <w:name w:val="toc 9"/>
    <w:basedOn w:val="a"/>
    <w:next w:val="a"/>
    <w:autoRedefine/>
    <w:uiPriority w:val="39"/>
    <w:rsid w:val="00AB77B4"/>
    <w:pPr>
      <w:ind w:leftChars="1600" w:left="3360"/>
    </w:pPr>
  </w:style>
  <w:style w:type="paragraph" w:customStyle="1" w:styleId="AODocTxt">
    <w:name w:val="AODocTxt"/>
    <w:basedOn w:val="a"/>
    <w:rsid w:val="00785666"/>
    <w:pPr>
      <w:widowControl/>
      <w:spacing w:before="240" w:line="260" w:lineRule="atLeast"/>
      <w:jc w:val="left"/>
    </w:pPr>
    <w:rPr>
      <w:kern w:val="0"/>
      <w:sz w:val="22"/>
      <w:szCs w:val="22"/>
      <w:lang w:val="en-GB" w:eastAsia="en-US"/>
    </w:rPr>
  </w:style>
  <w:style w:type="character" w:styleId="HTML0">
    <w:name w:val="HTML Typewriter"/>
    <w:uiPriority w:val="99"/>
    <w:rsid w:val="00785666"/>
    <w:rPr>
      <w:rFonts w:ascii="Arial Unicode MS" w:eastAsia="Arial Unicode MS" w:hAnsi="Arial Unicode MS" w:cs="Arial Unicode MS"/>
      <w:kern w:val="2"/>
      <w:sz w:val="20"/>
      <w:szCs w:val="20"/>
      <w:lang w:val="en-US" w:eastAsia="zh-CN" w:bidi="ar-SA"/>
    </w:rPr>
  </w:style>
  <w:style w:type="table" w:styleId="afe">
    <w:name w:val="Table Grid"/>
    <w:basedOn w:val="a1"/>
    <w:uiPriority w:val="99"/>
    <w:rsid w:val="00DE27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a"/>
    <w:basedOn w:val="a0"/>
    <w:rsid w:val="00A166BF"/>
  </w:style>
  <w:style w:type="character" w:customStyle="1" w:styleId="text1">
    <w:name w:val="text1"/>
    <w:rsid w:val="00A166BF"/>
    <w:rPr>
      <w:rFonts w:hint="default"/>
      <w:b w:val="0"/>
      <w:bCs w:val="0"/>
      <w:i w:val="0"/>
      <w:iCs w:val="0"/>
      <w:smallCaps w:val="0"/>
      <w:strike w:val="0"/>
      <w:dstrike w:val="0"/>
      <w:color w:val="000000"/>
      <w:sz w:val="18"/>
      <w:szCs w:val="18"/>
      <w:u w:val="none"/>
      <w:effect w:val="none"/>
    </w:rPr>
  </w:style>
  <w:style w:type="character" w:customStyle="1" w:styleId="style21">
    <w:name w:val="style21"/>
    <w:rsid w:val="00A166BF"/>
    <w:rPr>
      <w:rFonts w:ascii="Arial" w:hAnsi="Arial" w:cs="Arial" w:hint="default"/>
    </w:rPr>
  </w:style>
  <w:style w:type="character" w:customStyle="1" w:styleId="fontcolor3">
    <w:name w:val="fontcolor3"/>
    <w:rsid w:val="00A166BF"/>
    <w:rPr>
      <w:color w:val="6C057B"/>
    </w:rPr>
  </w:style>
  <w:style w:type="paragraph" w:customStyle="1" w:styleId="CharCharCharChar1">
    <w:name w:val="Char Char Char Char1"/>
    <w:basedOn w:val="a"/>
    <w:autoRedefine/>
    <w:rsid w:val="00A166BF"/>
    <w:pPr>
      <w:tabs>
        <w:tab w:val="num" w:pos="360"/>
      </w:tabs>
      <w:spacing w:before="312" w:after="312" w:line="360" w:lineRule="auto"/>
    </w:pPr>
    <w:rPr>
      <w:sz w:val="24"/>
    </w:rPr>
  </w:style>
  <w:style w:type="character" w:customStyle="1" w:styleId="15">
    <w:name w:val="15"/>
    <w:basedOn w:val="a0"/>
    <w:rsid w:val="00A166BF"/>
  </w:style>
  <w:style w:type="paragraph" w:customStyle="1" w:styleId="CharCharCharCharCharCharChar0">
    <w:name w:val="Char Char Char Char Char Char Char"/>
    <w:basedOn w:val="a"/>
    <w:rsid w:val="00A166BF"/>
  </w:style>
  <w:style w:type="character" w:customStyle="1" w:styleId="Char">
    <w:name w:val="页眉 Char"/>
    <w:link w:val="a3"/>
    <w:uiPriority w:val="99"/>
    <w:rsid w:val="003E1DB8"/>
    <w:rPr>
      <w:rFonts w:eastAsia="仿宋_GB2312"/>
      <w:kern w:val="2"/>
      <w:sz w:val="18"/>
      <w:lang w:val="en-US" w:eastAsia="zh-CN" w:bidi="ar-SA"/>
    </w:rPr>
  </w:style>
  <w:style w:type="character" w:customStyle="1" w:styleId="Char7">
    <w:name w:val="纯文本 Char"/>
    <w:link w:val="af1"/>
    <w:locked/>
    <w:rsid w:val="009B4925"/>
    <w:rPr>
      <w:rFonts w:ascii="宋体" w:eastAsia="宋体" w:hAnsi="Courier New" w:cs="Courier New"/>
      <w:kern w:val="2"/>
      <w:sz w:val="21"/>
      <w:szCs w:val="21"/>
      <w:lang w:val="en-US" w:eastAsia="zh-CN" w:bidi="ar-SA"/>
    </w:rPr>
  </w:style>
  <w:style w:type="character" w:customStyle="1" w:styleId="CharChar">
    <w:name w:val="Char Char"/>
    <w:semiHidden/>
    <w:locked/>
    <w:rsid w:val="00B82F51"/>
    <w:rPr>
      <w:rFonts w:ascii="宋体" w:eastAsia="宋体" w:hAnsi="Courier New" w:cs="Courier New"/>
      <w:kern w:val="2"/>
      <w:sz w:val="21"/>
      <w:szCs w:val="21"/>
      <w:lang w:val="en-US" w:eastAsia="zh-CN" w:bidi="ar-SA"/>
    </w:rPr>
  </w:style>
  <w:style w:type="character" w:customStyle="1" w:styleId="bluemain1">
    <w:name w:val="bluemain1"/>
    <w:rsid w:val="007D20F5"/>
    <w:rPr>
      <w:strike w:val="0"/>
      <w:dstrike w:val="0"/>
      <w:spacing w:val="23"/>
      <w:sz w:val="18"/>
      <w:szCs w:val="18"/>
      <w:u w:val="none"/>
      <w:effect w:val="none"/>
    </w:rPr>
  </w:style>
  <w:style w:type="paragraph" w:styleId="aff0">
    <w:name w:val="Revision"/>
    <w:hidden/>
    <w:uiPriority w:val="99"/>
    <w:semiHidden/>
    <w:rsid w:val="00632C9B"/>
    <w:rPr>
      <w:kern w:val="2"/>
      <w:sz w:val="21"/>
      <w:szCs w:val="24"/>
    </w:rPr>
  </w:style>
  <w:style w:type="character" w:customStyle="1" w:styleId="CharChar11">
    <w:name w:val="Char Char11"/>
    <w:locked/>
    <w:rsid w:val="001B2837"/>
    <w:rPr>
      <w:rFonts w:ascii="宋体" w:eastAsia="宋体" w:hAnsi="Courier New" w:cs="Courier New"/>
      <w:kern w:val="2"/>
      <w:sz w:val="21"/>
      <w:szCs w:val="21"/>
      <w:lang w:val="en-US" w:eastAsia="zh-CN" w:bidi="ar-SA"/>
    </w:rPr>
  </w:style>
  <w:style w:type="character" w:customStyle="1" w:styleId="Char10">
    <w:name w:val="纯文本 Char1"/>
    <w:semiHidden/>
    <w:locked/>
    <w:rsid w:val="00FA28DD"/>
    <w:rPr>
      <w:rFonts w:ascii="宋体" w:hAnsi="Courier New" w:cs="Courier New"/>
      <w:kern w:val="2"/>
      <w:sz w:val="21"/>
      <w:szCs w:val="21"/>
    </w:rPr>
  </w:style>
  <w:style w:type="character" w:customStyle="1" w:styleId="Char4">
    <w:name w:val="正文首行缩进 Char"/>
    <w:link w:val="ac"/>
    <w:rsid w:val="00E27BC1"/>
    <w:rPr>
      <w:kern w:val="2"/>
      <w:sz w:val="21"/>
      <w:szCs w:val="24"/>
    </w:rPr>
  </w:style>
  <w:style w:type="paragraph" w:customStyle="1" w:styleId="Default">
    <w:name w:val="Default"/>
    <w:rsid w:val="006A16DD"/>
    <w:pPr>
      <w:autoSpaceDE w:val="0"/>
      <w:autoSpaceDN w:val="0"/>
      <w:adjustRightInd w:val="0"/>
    </w:pPr>
    <w:rPr>
      <w:rFonts w:ascii="宋体" w:hAnsi="Arial" w:cs="宋体"/>
      <w:color w:val="000000"/>
      <w:sz w:val="24"/>
      <w:szCs w:val="24"/>
      <w:lang w:val="en-GB"/>
    </w:rPr>
  </w:style>
  <w:style w:type="paragraph" w:styleId="aff1">
    <w:name w:val="List Paragraph"/>
    <w:basedOn w:val="a"/>
    <w:uiPriority w:val="34"/>
    <w:qFormat/>
    <w:rsid w:val="006A16DD"/>
    <w:pPr>
      <w:widowControl/>
      <w:ind w:left="720"/>
      <w:jc w:val="left"/>
    </w:pPr>
    <w:rPr>
      <w:rFonts w:ascii="宋体" w:hAnsi="宋体" w:cs="宋体"/>
      <w:kern w:val="0"/>
      <w:sz w:val="24"/>
      <w:lang w:val="en-GB"/>
    </w:rPr>
  </w:style>
  <w:style w:type="character" w:customStyle="1" w:styleId="1Char">
    <w:name w:val="标题 1 Char"/>
    <w:link w:val="1"/>
    <w:rsid w:val="005C0821"/>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link w:val="2"/>
    <w:rsid w:val="005C0821"/>
    <w:rPr>
      <w:rFonts w:ascii="Arial" w:hAnsi="Arial"/>
      <w:b/>
      <w:kern w:val="2"/>
      <w:sz w:val="28"/>
      <w:szCs w:val="28"/>
    </w:rPr>
  </w:style>
  <w:style w:type="character" w:customStyle="1" w:styleId="3Char">
    <w:name w:val="标题 3 Char"/>
    <w:link w:val="3"/>
    <w:rsid w:val="005C0821"/>
    <w:rPr>
      <w:rFonts w:ascii="仿宋_GB2312" w:eastAsia="仿宋_GB2312"/>
      <w:kern w:val="2"/>
      <w:sz w:val="24"/>
    </w:rPr>
  </w:style>
  <w:style w:type="character" w:customStyle="1" w:styleId="4Char">
    <w:name w:val="标题 4 Char"/>
    <w:link w:val="4"/>
    <w:rsid w:val="005C0821"/>
    <w:rPr>
      <w:rFonts w:ascii="Arial" w:eastAsia="黑体" w:hAnsi="Arial"/>
      <w:b/>
      <w:bCs/>
      <w:kern w:val="2"/>
      <w:sz w:val="28"/>
      <w:szCs w:val="28"/>
    </w:rPr>
  </w:style>
  <w:style w:type="character" w:customStyle="1" w:styleId="5Char">
    <w:name w:val="标题 5 Char"/>
    <w:link w:val="5"/>
    <w:rsid w:val="005C0821"/>
    <w:rPr>
      <w:b/>
      <w:bCs/>
      <w:kern w:val="2"/>
      <w:sz w:val="28"/>
      <w:szCs w:val="28"/>
    </w:rPr>
  </w:style>
  <w:style w:type="character" w:customStyle="1" w:styleId="6Char">
    <w:name w:val="标题 6 Char"/>
    <w:link w:val="6"/>
    <w:rsid w:val="005C0821"/>
    <w:rPr>
      <w:rFonts w:ascii="Arial" w:eastAsia="黑体" w:hAnsi="Arial"/>
      <w:b/>
      <w:bCs/>
      <w:kern w:val="2"/>
      <w:sz w:val="24"/>
      <w:szCs w:val="24"/>
    </w:rPr>
  </w:style>
  <w:style w:type="character" w:customStyle="1" w:styleId="7Char">
    <w:name w:val="标题 7 Char"/>
    <w:link w:val="7"/>
    <w:rsid w:val="005C0821"/>
    <w:rPr>
      <w:b/>
      <w:bCs/>
      <w:kern w:val="2"/>
      <w:sz w:val="24"/>
      <w:szCs w:val="24"/>
    </w:rPr>
  </w:style>
  <w:style w:type="character" w:customStyle="1" w:styleId="8Char">
    <w:name w:val="标题 8 Char"/>
    <w:link w:val="8"/>
    <w:rsid w:val="005C0821"/>
    <w:rPr>
      <w:rFonts w:ascii="Arial" w:eastAsia="黑体" w:hAnsi="Arial"/>
      <w:kern w:val="2"/>
      <w:sz w:val="24"/>
      <w:szCs w:val="24"/>
    </w:rPr>
  </w:style>
  <w:style w:type="character" w:customStyle="1" w:styleId="9Char">
    <w:name w:val="标题 9 Char"/>
    <w:link w:val="9"/>
    <w:rsid w:val="005C0821"/>
    <w:rPr>
      <w:rFonts w:ascii="Arial" w:eastAsia="黑体" w:hAnsi="Arial"/>
      <w:kern w:val="2"/>
      <w:sz w:val="24"/>
      <w:szCs w:val="21"/>
    </w:rPr>
  </w:style>
  <w:style w:type="character" w:customStyle="1" w:styleId="3Char0">
    <w:name w:val="正文文本 3 Char"/>
    <w:link w:val="30"/>
    <w:rsid w:val="005C0821"/>
    <w:rPr>
      <w:kern w:val="2"/>
      <w:sz w:val="16"/>
      <w:szCs w:val="16"/>
    </w:rPr>
  </w:style>
  <w:style w:type="character" w:customStyle="1" w:styleId="Char0">
    <w:name w:val="页脚 Char"/>
    <w:link w:val="a5"/>
    <w:uiPriority w:val="99"/>
    <w:rsid w:val="005C0821"/>
    <w:rPr>
      <w:rFonts w:eastAsia="仿宋_GB2312"/>
      <w:kern w:val="2"/>
      <w:sz w:val="18"/>
    </w:rPr>
  </w:style>
  <w:style w:type="character" w:customStyle="1" w:styleId="Char1">
    <w:name w:val="标题 Char"/>
    <w:link w:val="a6"/>
    <w:rsid w:val="005C0821"/>
    <w:rPr>
      <w:rFonts w:ascii="Arial" w:hAnsi="Arial" w:cs="Arial"/>
      <w:b/>
      <w:bCs/>
      <w:kern w:val="2"/>
      <w:sz w:val="32"/>
      <w:szCs w:val="32"/>
    </w:rPr>
  </w:style>
  <w:style w:type="character" w:customStyle="1" w:styleId="Char2">
    <w:name w:val="结束语 Char"/>
    <w:link w:val="a7"/>
    <w:rsid w:val="005C0821"/>
    <w:rPr>
      <w:kern w:val="2"/>
      <w:sz w:val="21"/>
      <w:szCs w:val="24"/>
    </w:rPr>
  </w:style>
  <w:style w:type="character" w:customStyle="1" w:styleId="Char3">
    <w:name w:val="正文文本 Char"/>
    <w:link w:val="ab"/>
    <w:rsid w:val="005C0821"/>
    <w:rPr>
      <w:kern w:val="2"/>
      <w:sz w:val="21"/>
      <w:szCs w:val="24"/>
    </w:rPr>
  </w:style>
  <w:style w:type="character" w:customStyle="1" w:styleId="Char5">
    <w:name w:val="正文文本缩进 Char"/>
    <w:link w:val="ad"/>
    <w:rsid w:val="005C0821"/>
    <w:rPr>
      <w:kern w:val="2"/>
      <w:sz w:val="21"/>
      <w:szCs w:val="24"/>
    </w:rPr>
  </w:style>
  <w:style w:type="character" w:customStyle="1" w:styleId="Char6">
    <w:name w:val="注释标题 Char"/>
    <w:link w:val="ae"/>
    <w:rsid w:val="005C0821"/>
    <w:rPr>
      <w:kern w:val="2"/>
      <w:sz w:val="21"/>
      <w:szCs w:val="24"/>
    </w:rPr>
  </w:style>
  <w:style w:type="character" w:customStyle="1" w:styleId="3Char1">
    <w:name w:val="正文文本缩进 3 Char"/>
    <w:link w:val="33"/>
    <w:rsid w:val="005C0821"/>
    <w:rPr>
      <w:kern w:val="2"/>
      <w:sz w:val="16"/>
      <w:szCs w:val="16"/>
    </w:rPr>
  </w:style>
  <w:style w:type="character" w:customStyle="1" w:styleId="2Char0">
    <w:name w:val="正文文本缩进 2 Char"/>
    <w:link w:val="24"/>
    <w:rsid w:val="005C0821"/>
    <w:rPr>
      <w:kern w:val="2"/>
      <w:sz w:val="21"/>
      <w:szCs w:val="24"/>
    </w:rPr>
  </w:style>
  <w:style w:type="character" w:customStyle="1" w:styleId="2Char1">
    <w:name w:val="正文文本 2 Char"/>
    <w:link w:val="25"/>
    <w:rsid w:val="005C0821"/>
    <w:rPr>
      <w:kern w:val="2"/>
      <w:sz w:val="21"/>
      <w:szCs w:val="24"/>
    </w:rPr>
  </w:style>
  <w:style w:type="character" w:customStyle="1" w:styleId="HTMLChar">
    <w:name w:val="HTML 预设格式 Char"/>
    <w:link w:val="HTML"/>
    <w:uiPriority w:val="99"/>
    <w:rsid w:val="005C0821"/>
    <w:rPr>
      <w:rFonts w:ascii="Courier New" w:hAnsi="Courier New" w:cs="Courier New"/>
      <w:kern w:val="2"/>
    </w:rPr>
  </w:style>
  <w:style w:type="character" w:customStyle="1" w:styleId="Char8">
    <w:name w:val="副标题 Char"/>
    <w:link w:val="af4"/>
    <w:rsid w:val="005C0821"/>
    <w:rPr>
      <w:rFonts w:ascii="Arial" w:hAnsi="Arial" w:cs="Arial"/>
      <w:b/>
      <w:bCs/>
      <w:kern w:val="28"/>
      <w:sz w:val="32"/>
      <w:szCs w:val="32"/>
    </w:rPr>
  </w:style>
  <w:style w:type="character" w:customStyle="1" w:styleId="Char9">
    <w:name w:val="文档结构图 Char"/>
    <w:link w:val="af7"/>
    <w:semiHidden/>
    <w:rsid w:val="005C0821"/>
    <w:rPr>
      <w:kern w:val="2"/>
      <w:sz w:val="21"/>
      <w:szCs w:val="24"/>
      <w:shd w:val="clear" w:color="auto" w:fill="000080"/>
    </w:rPr>
  </w:style>
  <w:style w:type="character" w:customStyle="1" w:styleId="Chara">
    <w:name w:val="批注框文本 Char"/>
    <w:link w:val="af9"/>
    <w:semiHidden/>
    <w:rsid w:val="005C0821"/>
    <w:rPr>
      <w:kern w:val="2"/>
      <w:sz w:val="18"/>
      <w:szCs w:val="18"/>
    </w:rPr>
  </w:style>
  <w:style w:type="character" w:customStyle="1" w:styleId="Charc">
    <w:name w:val="批注文字 Char"/>
    <w:link w:val="afb"/>
    <w:rsid w:val="005C0821"/>
    <w:rPr>
      <w:kern w:val="2"/>
      <w:sz w:val="21"/>
      <w:szCs w:val="24"/>
    </w:rPr>
  </w:style>
  <w:style w:type="character" w:customStyle="1" w:styleId="Charb">
    <w:name w:val="批注主题 Char"/>
    <w:link w:val="afa"/>
    <w:semiHidden/>
    <w:rsid w:val="005C0821"/>
    <w:rPr>
      <w:b/>
      <w:bCs/>
      <w:kern w:val="2"/>
      <w:sz w:val="21"/>
      <w:szCs w:val="24"/>
    </w:rPr>
  </w:style>
  <w:style w:type="paragraph" w:customStyle="1" w:styleId="CM59">
    <w:name w:val="CM59"/>
    <w:basedOn w:val="a"/>
    <w:next w:val="a"/>
    <w:rsid w:val="005C0821"/>
    <w:pPr>
      <w:autoSpaceDE w:val="0"/>
      <w:autoSpaceDN w:val="0"/>
      <w:adjustRightInd w:val="0"/>
      <w:spacing w:after="110"/>
      <w:jc w:val="left"/>
    </w:pPr>
    <w:rPr>
      <w:rFonts w:ascii="宋体"/>
      <w:kern w:val="0"/>
      <w:sz w:val="24"/>
    </w:rPr>
  </w:style>
  <w:style w:type="paragraph" w:customStyle="1" w:styleId="CM55">
    <w:name w:val="CM55"/>
    <w:basedOn w:val="a"/>
    <w:next w:val="a"/>
    <w:rsid w:val="005C0821"/>
    <w:pPr>
      <w:autoSpaceDE w:val="0"/>
      <w:autoSpaceDN w:val="0"/>
      <w:adjustRightInd w:val="0"/>
      <w:spacing w:after="270"/>
      <w:jc w:val="left"/>
    </w:pPr>
    <w:rPr>
      <w:rFonts w:asci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3142">
      <w:bodyDiv w:val="1"/>
      <w:marLeft w:val="0"/>
      <w:marRight w:val="0"/>
      <w:marTop w:val="0"/>
      <w:marBottom w:val="0"/>
      <w:divBdr>
        <w:top w:val="none" w:sz="0" w:space="0" w:color="auto"/>
        <w:left w:val="none" w:sz="0" w:space="0" w:color="auto"/>
        <w:bottom w:val="none" w:sz="0" w:space="0" w:color="auto"/>
        <w:right w:val="none" w:sz="0" w:space="0" w:color="auto"/>
      </w:divBdr>
    </w:div>
    <w:div w:id="59987647">
      <w:bodyDiv w:val="1"/>
      <w:marLeft w:val="0"/>
      <w:marRight w:val="0"/>
      <w:marTop w:val="0"/>
      <w:marBottom w:val="0"/>
      <w:divBdr>
        <w:top w:val="none" w:sz="0" w:space="0" w:color="auto"/>
        <w:left w:val="none" w:sz="0" w:space="0" w:color="auto"/>
        <w:bottom w:val="none" w:sz="0" w:space="0" w:color="auto"/>
        <w:right w:val="none" w:sz="0" w:space="0" w:color="auto"/>
      </w:divBdr>
    </w:div>
    <w:div w:id="61177724">
      <w:bodyDiv w:val="1"/>
      <w:marLeft w:val="0"/>
      <w:marRight w:val="0"/>
      <w:marTop w:val="0"/>
      <w:marBottom w:val="0"/>
      <w:divBdr>
        <w:top w:val="none" w:sz="0" w:space="0" w:color="auto"/>
        <w:left w:val="none" w:sz="0" w:space="0" w:color="auto"/>
        <w:bottom w:val="none" w:sz="0" w:space="0" w:color="auto"/>
        <w:right w:val="none" w:sz="0" w:space="0" w:color="auto"/>
      </w:divBdr>
    </w:div>
    <w:div w:id="93526885">
      <w:bodyDiv w:val="1"/>
      <w:marLeft w:val="0"/>
      <w:marRight w:val="0"/>
      <w:marTop w:val="0"/>
      <w:marBottom w:val="0"/>
      <w:divBdr>
        <w:top w:val="none" w:sz="0" w:space="0" w:color="auto"/>
        <w:left w:val="none" w:sz="0" w:space="0" w:color="auto"/>
        <w:bottom w:val="none" w:sz="0" w:space="0" w:color="auto"/>
        <w:right w:val="none" w:sz="0" w:space="0" w:color="auto"/>
      </w:divBdr>
    </w:div>
    <w:div w:id="101002926">
      <w:bodyDiv w:val="1"/>
      <w:marLeft w:val="0"/>
      <w:marRight w:val="0"/>
      <w:marTop w:val="0"/>
      <w:marBottom w:val="0"/>
      <w:divBdr>
        <w:top w:val="none" w:sz="0" w:space="0" w:color="auto"/>
        <w:left w:val="none" w:sz="0" w:space="0" w:color="auto"/>
        <w:bottom w:val="none" w:sz="0" w:space="0" w:color="auto"/>
        <w:right w:val="none" w:sz="0" w:space="0" w:color="auto"/>
      </w:divBdr>
    </w:div>
    <w:div w:id="108935976">
      <w:bodyDiv w:val="1"/>
      <w:marLeft w:val="0"/>
      <w:marRight w:val="0"/>
      <w:marTop w:val="0"/>
      <w:marBottom w:val="0"/>
      <w:divBdr>
        <w:top w:val="none" w:sz="0" w:space="0" w:color="auto"/>
        <w:left w:val="none" w:sz="0" w:space="0" w:color="auto"/>
        <w:bottom w:val="none" w:sz="0" w:space="0" w:color="auto"/>
        <w:right w:val="none" w:sz="0" w:space="0" w:color="auto"/>
      </w:divBdr>
    </w:div>
    <w:div w:id="122769878">
      <w:bodyDiv w:val="1"/>
      <w:marLeft w:val="0"/>
      <w:marRight w:val="0"/>
      <w:marTop w:val="0"/>
      <w:marBottom w:val="0"/>
      <w:divBdr>
        <w:top w:val="none" w:sz="0" w:space="0" w:color="auto"/>
        <w:left w:val="none" w:sz="0" w:space="0" w:color="auto"/>
        <w:bottom w:val="none" w:sz="0" w:space="0" w:color="auto"/>
        <w:right w:val="none" w:sz="0" w:space="0" w:color="auto"/>
      </w:divBdr>
    </w:div>
    <w:div w:id="130834308">
      <w:bodyDiv w:val="1"/>
      <w:marLeft w:val="0"/>
      <w:marRight w:val="0"/>
      <w:marTop w:val="0"/>
      <w:marBottom w:val="0"/>
      <w:divBdr>
        <w:top w:val="none" w:sz="0" w:space="0" w:color="auto"/>
        <w:left w:val="none" w:sz="0" w:space="0" w:color="auto"/>
        <w:bottom w:val="none" w:sz="0" w:space="0" w:color="auto"/>
        <w:right w:val="none" w:sz="0" w:space="0" w:color="auto"/>
      </w:divBdr>
    </w:div>
    <w:div w:id="135605281">
      <w:bodyDiv w:val="1"/>
      <w:marLeft w:val="0"/>
      <w:marRight w:val="0"/>
      <w:marTop w:val="0"/>
      <w:marBottom w:val="0"/>
      <w:divBdr>
        <w:top w:val="none" w:sz="0" w:space="0" w:color="auto"/>
        <w:left w:val="none" w:sz="0" w:space="0" w:color="auto"/>
        <w:bottom w:val="none" w:sz="0" w:space="0" w:color="auto"/>
        <w:right w:val="none" w:sz="0" w:space="0" w:color="auto"/>
      </w:divBdr>
    </w:div>
    <w:div w:id="150799665">
      <w:bodyDiv w:val="1"/>
      <w:marLeft w:val="0"/>
      <w:marRight w:val="0"/>
      <w:marTop w:val="0"/>
      <w:marBottom w:val="0"/>
      <w:divBdr>
        <w:top w:val="none" w:sz="0" w:space="0" w:color="auto"/>
        <w:left w:val="none" w:sz="0" w:space="0" w:color="auto"/>
        <w:bottom w:val="none" w:sz="0" w:space="0" w:color="auto"/>
        <w:right w:val="none" w:sz="0" w:space="0" w:color="auto"/>
      </w:divBdr>
    </w:div>
    <w:div w:id="161242065">
      <w:bodyDiv w:val="1"/>
      <w:marLeft w:val="0"/>
      <w:marRight w:val="0"/>
      <w:marTop w:val="0"/>
      <w:marBottom w:val="0"/>
      <w:divBdr>
        <w:top w:val="none" w:sz="0" w:space="0" w:color="auto"/>
        <w:left w:val="none" w:sz="0" w:space="0" w:color="auto"/>
        <w:bottom w:val="none" w:sz="0" w:space="0" w:color="auto"/>
        <w:right w:val="none" w:sz="0" w:space="0" w:color="auto"/>
      </w:divBdr>
    </w:div>
    <w:div w:id="170072222">
      <w:bodyDiv w:val="1"/>
      <w:marLeft w:val="0"/>
      <w:marRight w:val="0"/>
      <w:marTop w:val="0"/>
      <w:marBottom w:val="0"/>
      <w:divBdr>
        <w:top w:val="none" w:sz="0" w:space="0" w:color="auto"/>
        <w:left w:val="none" w:sz="0" w:space="0" w:color="auto"/>
        <w:bottom w:val="none" w:sz="0" w:space="0" w:color="auto"/>
        <w:right w:val="none" w:sz="0" w:space="0" w:color="auto"/>
      </w:divBdr>
    </w:div>
    <w:div w:id="178089315">
      <w:bodyDiv w:val="1"/>
      <w:marLeft w:val="0"/>
      <w:marRight w:val="0"/>
      <w:marTop w:val="0"/>
      <w:marBottom w:val="0"/>
      <w:divBdr>
        <w:top w:val="none" w:sz="0" w:space="0" w:color="auto"/>
        <w:left w:val="none" w:sz="0" w:space="0" w:color="auto"/>
        <w:bottom w:val="none" w:sz="0" w:space="0" w:color="auto"/>
        <w:right w:val="none" w:sz="0" w:space="0" w:color="auto"/>
      </w:divBdr>
    </w:div>
    <w:div w:id="185020697">
      <w:bodyDiv w:val="1"/>
      <w:marLeft w:val="0"/>
      <w:marRight w:val="0"/>
      <w:marTop w:val="0"/>
      <w:marBottom w:val="0"/>
      <w:divBdr>
        <w:top w:val="none" w:sz="0" w:space="0" w:color="auto"/>
        <w:left w:val="none" w:sz="0" w:space="0" w:color="auto"/>
        <w:bottom w:val="none" w:sz="0" w:space="0" w:color="auto"/>
        <w:right w:val="none" w:sz="0" w:space="0" w:color="auto"/>
      </w:divBdr>
    </w:div>
    <w:div w:id="185752343">
      <w:bodyDiv w:val="1"/>
      <w:marLeft w:val="0"/>
      <w:marRight w:val="0"/>
      <w:marTop w:val="0"/>
      <w:marBottom w:val="0"/>
      <w:divBdr>
        <w:top w:val="none" w:sz="0" w:space="0" w:color="auto"/>
        <w:left w:val="none" w:sz="0" w:space="0" w:color="auto"/>
        <w:bottom w:val="none" w:sz="0" w:space="0" w:color="auto"/>
        <w:right w:val="none" w:sz="0" w:space="0" w:color="auto"/>
      </w:divBdr>
    </w:div>
    <w:div w:id="210073654">
      <w:bodyDiv w:val="1"/>
      <w:marLeft w:val="0"/>
      <w:marRight w:val="0"/>
      <w:marTop w:val="0"/>
      <w:marBottom w:val="0"/>
      <w:divBdr>
        <w:top w:val="none" w:sz="0" w:space="0" w:color="auto"/>
        <w:left w:val="none" w:sz="0" w:space="0" w:color="auto"/>
        <w:bottom w:val="none" w:sz="0" w:space="0" w:color="auto"/>
        <w:right w:val="none" w:sz="0" w:space="0" w:color="auto"/>
      </w:divBdr>
    </w:div>
    <w:div w:id="240064510">
      <w:bodyDiv w:val="1"/>
      <w:marLeft w:val="0"/>
      <w:marRight w:val="0"/>
      <w:marTop w:val="0"/>
      <w:marBottom w:val="0"/>
      <w:divBdr>
        <w:top w:val="none" w:sz="0" w:space="0" w:color="auto"/>
        <w:left w:val="none" w:sz="0" w:space="0" w:color="auto"/>
        <w:bottom w:val="none" w:sz="0" w:space="0" w:color="auto"/>
        <w:right w:val="none" w:sz="0" w:space="0" w:color="auto"/>
      </w:divBdr>
    </w:div>
    <w:div w:id="246430499">
      <w:bodyDiv w:val="1"/>
      <w:marLeft w:val="0"/>
      <w:marRight w:val="0"/>
      <w:marTop w:val="0"/>
      <w:marBottom w:val="0"/>
      <w:divBdr>
        <w:top w:val="none" w:sz="0" w:space="0" w:color="auto"/>
        <w:left w:val="none" w:sz="0" w:space="0" w:color="auto"/>
        <w:bottom w:val="none" w:sz="0" w:space="0" w:color="auto"/>
        <w:right w:val="none" w:sz="0" w:space="0" w:color="auto"/>
      </w:divBdr>
    </w:div>
    <w:div w:id="267352272">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7613666">
      <w:bodyDiv w:val="1"/>
      <w:marLeft w:val="0"/>
      <w:marRight w:val="0"/>
      <w:marTop w:val="0"/>
      <w:marBottom w:val="0"/>
      <w:divBdr>
        <w:top w:val="none" w:sz="0" w:space="0" w:color="auto"/>
        <w:left w:val="none" w:sz="0" w:space="0" w:color="auto"/>
        <w:bottom w:val="none" w:sz="0" w:space="0" w:color="auto"/>
        <w:right w:val="none" w:sz="0" w:space="0" w:color="auto"/>
      </w:divBdr>
    </w:div>
    <w:div w:id="306133357">
      <w:bodyDiv w:val="1"/>
      <w:marLeft w:val="0"/>
      <w:marRight w:val="0"/>
      <w:marTop w:val="0"/>
      <w:marBottom w:val="0"/>
      <w:divBdr>
        <w:top w:val="none" w:sz="0" w:space="0" w:color="auto"/>
        <w:left w:val="none" w:sz="0" w:space="0" w:color="auto"/>
        <w:bottom w:val="none" w:sz="0" w:space="0" w:color="auto"/>
        <w:right w:val="none" w:sz="0" w:space="0" w:color="auto"/>
      </w:divBdr>
    </w:div>
    <w:div w:id="352344729">
      <w:bodyDiv w:val="1"/>
      <w:marLeft w:val="0"/>
      <w:marRight w:val="0"/>
      <w:marTop w:val="0"/>
      <w:marBottom w:val="0"/>
      <w:divBdr>
        <w:top w:val="none" w:sz="0" w:space="0" w:color="auto"/>
        <w:left w:val="none" w:sz="0" w:space="0" w:color="auto"/>
        <w:bottom w:val="none" w:sz="0" w:space="0" w:color="auto"/>
        <w:right w:val="none" w:sz="0" w:space="0" w:color="auto"/>
      </w:divBdr>
    </w:div>
    <w:div w:id="357851100">
      <w:bodyDiv w:val="1"/>
      <w:marLeft w:val="0"/>
      <w:marRight w:val="0"/>
      <w:marTop w:val="0"/>
      <w:marBottom w:val="0"/>
      <w:divBdr>
        <w:top w:val="none" w:sz="0" w:space="0" w:color="auto"/>
        <w:left w:val="none" w:sz="0" w:space="0" w:color="auto"/>
        <w:bottom w:val="none" w:sz="0" w:space="0" w:color="auto"/>
        <w:right w:val="none" w:sz="0" w:space="0" w:color="auto"/>
      </w:divBdr>
    </w:div>
    <w:div w:id="364406898">
      <w:bodyDiv w:val="1"/>
      <w:marLeft w:val="0"/>
      <w:marRight w:val="0"/>
      <w:marTop w:val="0"/>
      <w:marBottom w:val="0"/>
      <w:divBdr>
        <w:top w:val="none" w:sz="0" w:space="0" w:color="auto"/>
        <w:left w:val="none" w:sz="0" w:space="0" w:color="auto"/>
        <w:bottom w:val="none" w:sz="0" w:space="0" w:color="auto"/>
        <w:right w:val="none" w:sz="0" w:space="0" w:color="auto"/>
      </w:divBdr>
    </w:div>
    <w:div w:id="379862188">
      <w:bodyDiv w:val="1"/>
      <w:marLeft w:val="0"/>
      <w:marRight w:val="0"/>
      <w:marTop w:val="0"/>
      <w:marBottom w:val="0"/>
      <w:divBdr>
        <w:top w:val="none" w:sz="0" w:space="0" w:color="auto"/>
        <w:left w:val="none" w:sz="0" w:space="0" w:color="auto"/>
        <w:bottom w:val="none" w:sz="0" w:space="0" w:color="auto"/>
        <w:right w:val="none" w:sz="0" w:space="0" w:color="auto"/>
      </w:divBdr>
    </w:div>
    <w:div w:id="382288647">
      <w:bodyDiv w:val="1"/>
      <w:marLeft w:val="0"/>
      <w:marRight w:val="0"/>
      <w:marTop w:val="0"/>
      <w:marBottom w:val="0"/>
      <w:divBdr>
        <w:top w:val="none" w:sz="0" w:space="0" w:color="auto"/>
        <w:left w:val="none" w:sz="0" w:space="0" w:color="auto"/>
        <w:bottom w:val="none" w:sz="0" w:space="0" w:color="auto"/>
        <w:right w:val="none" w:sz="0" w:space="0" w:color="auto"/>
      </w:divBdr>
    </w:div>
    <w:div w:id="383068394">
      <w:bodyDiv w:val="1"/>
      <w:marLeft w:val="0"/>
      <w:marRight w:val="0"/>
      <w:marTop w:val="0"/>
      <w:marBottom w:val="0"/>
      <w:divBdr>
        <w:top w:val="none" w:sz="0" w:space="0" w:color="auto"/>
        <w:left w:val="none" w:sz="0" w:space="0" w:color="auto"/>
        <w:bottom w:val="none" w:sz="0" w:space="0" w:color="auto"/>
        <w:right w:val="none" w:sz="0" w:space="0" w:color="auto"/>
      </w:divBdr>
    </w:div>
    <w:div w:id="393699328">
      <w:bodyDiv w:val="1"/>
      <w:marLeft w:val="0"/>
      <w:marRight w:val="0"/>
      <w:marTop w:val="0"/>
      <w:marBottom w:val="0"/>
      <w:divBdr>
        <w:top w:val="none" w:sz="0" w:space="0" w:color="auto"/>
        <w:left w:val="none" w:sz="0" w:space="0" w:color="auto"/>
        <w:bottom w:val="none" w:sz="0" w:space="0" w:color="auto"/>
        <w:right w:val="none" w:sz="0" w:space="0" w:color="auto"/>
      </w:divBdr>
    </w:div>
    <w:div w:id="396054661">
      <w:bodyDiv w:val="1"/>
      <w:marLeft w:val="0"/>
      <w:marRight w:val="0"/>
      <w:marTop w:val="0"/>
      <w:marBottom w:val="0"/>
      <w:divBdr>
        <w:top w:val="none" w:sz="0" w:space="0" w:color="auto"/>
        <w:left w:val="none" w:sz="0" w:space="0" w:color="auto"/>
        <w:bottom w:val="none" w:sz="0" w:space="0" w:color="auto"/>
        <w:right w:val="none" w:sz="0" w:space="0" w:color="auto"/>
      </w:divBdr>
    </w:div>
    <w:div w:id="398526050">
      <w:bodyDiv w:val="1"/>
      <w:marLeft w:val="0"/>
      <w:marRight w:val="0"/>
      <w:marTop w:val="0"/>
      <w:marBottom w:val="0"/>
      <w:divBdr>
        <w:top w:val="none" w:sz="0" w:space="0" w:color="auto"/>
        <w:left w:val="none" w:sz="0" w:space="0" w:color="auto"/>
        <w:bottom w:val="none" w:sz="0" w:space="0" w:color="auto"/>
        <w:right w:val="none" w:sz="0" w:space="0" w:color="auto"/>
      </w:divBdr>
    </w:div>
    <w:div w:id="398938093">
      <w:bodyDiv w:val="1"/>
      <w:marLeft w:val="0"/>
      <w:marRight w:val="0"/>
      <w:marTop w:val="0"/>
      <w:marBottom w:val="0"/>
      <w:divBdr>
        <w:top w:val="none" w:sz="0" w:space="0" w:color="auto"/>
        <w:left w:val="none" w:sz="0" w:space="0" w:color="auto"/>
        <w:bottom w:val="none" w:sz="0" w:space="0" w:color="auto"/>
        <w:right w:val="none" w:sz="0" w:space="0" w:color="auto"/>
      </w:divBdr>
    </w:div>
    <w:div w:id="413866225">
      <w:bodyDiv w:val="1"/>
      <w:marLeft w:val="0"/>
      <w:marRight w:val="0"/>
      <w:marTop w:val="0"/>
      <w:marBottom w:val="0"/>
      <w:divBdr>
        <w:top w:val="none" w:sz="0" w:space="0" w:color="auto"/>
        <w:left w:val="none" w:sz="0" w:space="0" w:color="auto"/>
        <w:bottom w:val="none" w:sz="0" w:space="0" w:color="auto"/>
        <w:right w:val="none" w:sz="0" w:space="0" w:color="auto"/>
      </w:divBdr>
    </w:div>
    <w:div w:id="414522339">
      <w:bodyDiv w:val="1"/>
      <w:marLeft w:val="0"/>
      <w:marRight w:val="0"/>
      <w:marTop w:val="0"/>
      <w:marBottom w:val="0"/>
      <w:divBdr>
        <w:top w:val="none" w:sz="0" w:space="0" w:color="auto"/>
        <w:left w:val="none" w:sz="0" w:space="0" w:color="auto"/>
        <w:bottom w:val="none" w:sz="0" w:space="0" w:color="auto"/>
        <w:right w:val="none" w:sz="0" w:space="0" w:color="auto"/>
      </w:divBdr>
    </w:div>
    <w:div w:id="417556477">
      <w:bodyDiv w:val="1"/>
      <w:marLeft w:val="0"/>
      <w:marRight w:val="0"/>
      <w:marTop w:val="0"/>
      <w:marBottom w:val="0"/>
      <w:divBdr>
        <w:top w:val="none" w:sz="0" w:space="0" w:color="auto"/>
        <w:left w:val="none" w:sz="0" w:space="0" w:color="auto"/>
        <w:bottom w:val="none" w:sz="0" w:space="0" w:color="auto"/>
        <w:right w:val="none" w:sz="0" w:space="0" w:color="auto"/>
      </w:divBdr>
    </w:div>
    <w:div w:id="462773368">
      <w:bodyDiv w:val="1"/>
      <w:marLeft w:val="0"/>
      <w:marRight w:val="0"/>
      <w:marTop w:val="0"/>
      <w:marBottom w:val="0"/>
      <w:divBdr>
        <w:top w:val="none" w:sz="0" w:space="0" w:color="auto"/>
        <w:left w:val="none" w:sz="0" w:space="0" w:color="auto"/>
        <w:bottom w:val="none" w:sz="0" w:space="0" w:color="auto"/>
        <w:right w:val="none" w:sz="0" w:space="0" w:color="auto"/>
      </w:divBdr>
    </w:div>
    <w:div w:id="468942170">
      <w:bodyDiv w:val="1"/>
      <w:marLeft w:val="0"/>
      <w:marRight w:val="0"/>
      <w:marTop w:val="0"/>
      <w:marBottom w:val="0"/>
      <w:divBdr>
        <w:top w:val="none" w:sz="0" w:space="0" w:color="auto"/>
        <w:left w:val="none" w:sz="0" w:space="0" w:color="auto"/>
        <w:bottom w:val="none" w:sz="0" w:space="0" w:color="auto"/>
        <w:right w:val="none" w:sz="0" w:space="0" w:color="auto"/>
      </w:divBdr>
    </w:div>
    <w:div w:id="474840483">
      <w:bodyDiv w:val="1"/>
      <w:marLeft w:val="0"/>
      <w:marRight w:val="0"/>
      <w:marTop w:val="0"/>
      <w:marBottom w:val="0"/>
      <w:divBdr>
        <w:top w:val="none" w:sz="0" w:space="0" w:color="auto"/>
        <w:left w:val="none" w:sz="0" w:space="0" w:color="auto"/>
        <w:bottom w:val="none" w:sz="0" w:space="0" w:color="auto"/>
        <w:right w:val="none" w:sz="0" w:space="0" w:color="auto"/>
      </w:divBdr>
    </w:div>
    <w:div w:id="490684674">
      <w:bodyDiv w:val="1"/>
      <w:marLeft w:val="0"/>
      <w:marRight w:val="0"/>
      <w:marTop w:val="0"/>
      <w:marBottom w:val="0"/>
      <w:divBdr>
        <w:top w:val="none" w:sz="0" w:space="0" w:color="auto"/>
        <w:left w:val="none" w:sz="0" w:space="0" w:color="auto"/>
        <w:bottom w:val="none" w:sz="0" w:space="0" w:color="auto"/>
        <w:right w:val="none" w:sz="0" w:space="0" w:color="auto"/>
      </w:divBdr>
    </w:div>
    <w:div w:id="547112620">
      <w:bodyDiv w:val="1"/>
      <w:marLeft w:val="0"/>
      <w:marRight w:val="0"/>
      <w:marTop w:val="0"/>
      <w:marBottom w:val="0"/>
      <w:divBdr>
        <w:top w:val="none" w:sz="0" w:space="0" w:color="auto"/>
        <w:left w:val="none" w:sz="0" w:space="0" w:color="auto"/>
        <w:bottom w:val="none" w:sz="0" w:space="0" w:color="auto"/>
        <w:right w:val="none" w:sz="0" w:space="0" w:color="auto"/>
      </w:divBdr>
    </w:div>
    <w:div w:id="556358619">
      <w:bodyDiv w:val="1"/>
      <w:marLeft w:val="0"/>
      <w:marRight w:val="0"/>
      <w:marTop w:val="0"/>
      <w:marBottom w:val="0"/>
      <w:divBdr>
        <w:top w:val="none" w:sz="0" w:space="0" w:color="auto"/>
        <w:left w:val="none" w:sz="0" w:space="0" w:color="auto"/>
        <w:bottom w:val="none" w:sz="0" w:space="0" w:color="auto"/>
        <w:right w:val="none" w:sz="0" w:space="0" w:color="auto"/>
      </w:divBdr>
    </w:div>
    <w:div w:id="562063877">
      <w:bodyDiv w:val="1"/>
      <w:marLeft w:val="0"/>
      <w:marRight w:val="0"/>
      <w:marTop w:val="0"/>
      <w:marBottom w:val="0"/>
      <w:divBdr>
        <w:top w:val="none" w:sz="0" w:space="0" w:color="auto"/>
        <w:left w:val="none" w:sz="0" w:space="0" w:color="auto"/>
        <w:bottom w:val="none" w:sz="0" w:space="0" w:color="auto"/>
        <w:right w:val="none" w:sz="0" w:space="0" w:color="auto"/>
      </w:divBdr>
    </w:div>
    <w:div w:id="569464529">
      <w:bodyDiv w:val="1"/>
      <w:marLeft w:val="0"/>
      <w:marRight w:val="0"/>
      <w:marTop w:val="0"/>
      <w:marBottom w:val="0"/>
      <w:divBdr>
        <w:top w:val="none" w:sz="0" w:space="0" w:color="auto"/>
        <w:left w:val="none" w:sz="0" w:space="0" w:color="auto"/>
        <w:bottom w:val="none" w:sz="0" w:space="0" w:color="auto"/>
        <w:right w:val="none" w:sz="0" w:space="0" w:color="auto"/>
      </w:divBdr>
    </w:div>
    <w:div w:id="575164264">
      <w:bodyDiv w:val="1"/>
      <w:marLeft w:val="0"/>
      <w:marRight w:val="0"/>
      <w:marTop w:val="0"/>
      <w:marBottom w:val="0"/>
      <w:divBdr>
        <w:top w:val="none" w:sz="0" w:space="0" w:color="auto"/>
        <w:left w:val="none" w:sz="0" w:space="0" w:color="auto"/>
        <w:bottom w:val="none" w:sz="0" w:space="0" w:color="auto"/>
        <w:right w:val="none" w:sz="0" w:space="0" w:color="auto"/>
      </w:divBdr>
    </w:div>
    <w:div w:id="578901236">
      <w:bodyDiv w:val="1"/>
      <w:marLeft w:val="0"/>
      <w:marRight w:val="0"/>
      <w:marTop w:val="0"/>
      <w:marBottom w:val="0"/>
      <w:divBdr>
        <w:top w:val="none" w:sz="0" w:space="0" w:color="auto"/>
        <w:left w:val="none" w:sz="0" w:space="0" w:color="auto"/>
        <w:bottom w:val="none" w:sz="0" w:space="0" w:color="auto"/>
        <w:right w:val="none" w:sz="0" w:space="0" w:color="auto"/>
      </w:divBdr>
    </w:div>
    <w:div w:id="597448959">
      <w:bodyDiv w:val="1"/>
      <w:marLeft w:val="0"/>
      <w:marRight w:val="0"/>
      <w:marTop w:val="0"/>
      <w:marBottom w:val="0"/>
      <w:divBdr>
        <w:top w:val="none" w:sz="0" w:space="0" w:color="auto"/>
        <w:left w:val="none" w:sz="0" w:space="0" w:color="auto"/>
        <w:bottom w:val="none" w:sz="0" w:space="0" w:color="auto"/>
        <w:right w:val="none" w:sz="0" w:space="0" w:color="auto"/>
      </w:divBdr>
    </w:div>
    <w:div w:id="601302106">
      <w:bodyDiv w:val="1"/>
      <w:marLeft w:val="0"/>
      <w:marRight w:val="0"/>
      <w:marTop w:val="0"/>
      <w:marBottom w:val="0"/>
      <w:divBdr>
        <w:top w:val="none" w:sz="0" w:space="0" w:color="auto"/>
        <w:left w:val="none" w:sz="0" w:space="0" w:color="auto"/>
        <w:bottom w:val="none" w:sz="0" w:space="0" w:color="auto"/>
        <w:right w:val="none" w:sz="0" w:space="0" w:color="auto"/>
      </w:divBdr>
    </w:div>
    <w:div w:id="602803999">
      <w:bodyDiv w:val="1"/>
      <w:marLeft w:val="0"/>
      <w:marRight w:val="0"/>
      <w:marTop w:val="0"/>
      <w:marBottom w:val="0"/>
      <w:divBdr>
        <w:top w:val="none" w:sz="0" w:space="0" w:color="auto"/>
        <w:left w:val="none" w:sz="0" w:space="0" w:color="auto"/>
        <w:bottom w:val="none" w:sz="0" w:space="0" w:color="auto"/>
        <w:right w:val="none" w:sz="0" w:space="0" w:color="auto"/>
      </w:divBdr>
    </w:div>
    <w:div w:id="645477487">
      <w:bodyDiv w:val="1"/>
      <w:marLeft w:val="0"/>
      <w:marRight w:val="0"/>
      <w:marTop w:val="0"/>
      <w:marBottom w:val="0"/>
      <w:divBdr>
        <w:top w:val="none" w:sz="0" w:space="0" w:color="auto"/>
        <w:left w:val="none" w:sz="0" w:space="0" w:color="auto"/>
        <w:bottom w:val="none" w:sz="0" w:space="0" w:color="auto"/>
        <w:right w:val="none" w:sz="0" w:space="0" w:color="auto"/>
      </w:divBdr>
    </w:div>
    <w:div w:id="668868458">
      <w:bodyDiv w:val="1"/>
      <w:marLeft w:val="0"/>
      <w:marRight w:val="0"/>
      <w:marTop w:val="0"/>
      <w:marBottom w:val="0"/>
      <w:divBdr>
        <w:top w:val="none" w:sz="0" w:space="0" w:color="auto"/>
        <w:left w:val="none" w:sz="0" w:space="0" w:color="auto"/>
        <w:bottom w:val="none" w:sz="0" w:space="0" w:color="auto"/>
        <w:right w:val="none" w:sz="0" w:space="0" w:color="auto"/>
      </w:divBdr>
    </w:div>
    <w:div w:id="677924194">
      <w:bodyDiv w:val="1"/>
      <w:marLeft w:val="0"/>
      <w:marRight w:val="0"/>
      <w:marTop w:val="0"/>
      <w:marBottom w:val="0"/>
      <w:divBdr>
        <w:top w:val="none" w:sz="0" w:space="0" w:color="auto"/>
        <w:left w:val="none" w:sz="0" w:space="0" w:color="auto"/>
        <w:bottom w:val="none" w:sz="0" w:space="0" w:color="auto"/>
        <w:right w:val="none" w:sz="0" w:space="0" w:color="auto"/>
      </w:divBdr>
    </w:div>
    <w:div w:id="683097800">
      <w:bodyDiv w:val="1"/>
      <w:marLeft w:val="0"/>
      <w:marRight w:val="0"/>
      <w:marTop w:val="0"/>
      <w:marBottom w:val="0"/>
      <w:divBdr>
        <w:top w:val="none" w:sz="0" w:space="0" w:color="auto"/>
        <w:left w:val="none" w:sz="0" w:space="0" w:color="auto"/>
        <w:bottom w:val="none" w:sz="0" w:space="0" w:color="auto"/>
        <w:right w:val="none" w:sz="0" w:space="0" w:color="auto"/>
      </w:divBdr>
    </w:div>
    <w:div w:id="702512756">
      <w:bodyDiv w:val="1"/>
      <w:marLeft w:val="0"/>
      <w:marRight w:val="0"/>
      <w:marTop w:val="0"/>
      <w:marBottom w:val="0"/>
      <w:divBdr>
        <w:top w:val="none" w:sz="0" w:space="0" w:color="auto"/>
        <w:left w:val="none" w:sz="0" w:space="0" w:color="auto"/>
        <w:bottom w:val="none" w:sz="0" w:space="0" w:color="auto"/>
        <w:right w:val="none" w:sz="0" w:space="0" w:color="auto"/>
      </w:divBdr>
    </w:div>
    <w:div w:id="730231391">
      <w:bodyDiv w:val="1"/>
      <w:marLeft w:val="0"/>
      <w:marRight w:val="0"/>
      <w:marTop w:val="0"/>
      <w:marBottom w:val="0"/>
      <w:divBdr>
        <w:top w:val="none" w:sz="0" w:space="0" w:color="auto"/>
        <w:left w:val="none" w:sz="0" w:space="0" w:color="auto"/>
        <w:bottom w:val="none" w:sz="0" w:space="0" w:color="auto"/>
        <w:right w:val="none" w:sz="0" w:space="0" w:color="auto"/>
      </w:divBdr>
    </w:div>
    <w:div w:id="735007268">
      <w:bodyDiv w:val="1"/>
      <w:marLeft w:val="0"/>
      <w:marRight w:val="0"/>
      <w:marTop w:val="0"/>
      <w:marBottom w:val="0"/>
      <w:divBdr>
        <w:top w:val="none" w:sz="0" w:space="0" w:color="auto"/>
        <w:left w:val="none" w:sz="0" w:space="0" w:color="auto"/>
        <w:bottom w:val="none" w:sz="0" w:space="0" w:color="auto"/>
        <w:right w:val="none" w:sz="0" w:space="0" w:color="auto"/>
      </w:divBdr>
    </w:div>
    <w:div w:id="741215604">
      <w:bodyDiv w:val="1"/>
      <w:marLeft w:val="0"/>
      <w:marRight w:val="0"/>
      <w:marTop w:val="0"/>
      <w:marBottom w:val="0"/>
      <w:divBdr>
        <w:top w:val="none" w:sz="0" w:space="0" w:color="auto"/>
        <w:left w:val="none" w:sz="0" w:space="0" w:color="auto"/>
        <w:bottom w:val="none" w:sz="0" w:space="0" w:color="auto"/>
        <w:right w:val="none" w:sz="0" w:space="0" w:color="auto"/>
      </w:divBdr>
    </w:div>
    <w:div w:id="765345425">
      <w:bodyDiv w:val="1"/>
      <w:marLeft w:val="0"/>
      <w:marRight w:val="0"/>
      <w:marTop w:val="0"/>
      <w:marBottom w:val="0"/>
      <w:divBdr>
        <w:top w:val="none" w:sz="0" w:space="0" w:color="auto"/>
        <w:left w:val="none" w:sz="0" w:space="0" w:color="auto"/>
        <w:bottom w:val="none" w:sz="0" w:space="0" w:color="auto"/>
        <w:right w:val="none" w:sz="0" w:space="0" w:color="auto"/>
      </w:divBdr>
    </w:div>
    <w:div w:id="769590839">
      <w:bodyDiv w:val="1"/>
      <w:marLeft w:val="0"/>
      <w:marRight w:val="0"/>
      <w:marTop w:val="0"/>
      <w:marBottom w:val="0"/>
      <w:divBdr>
        <w:top w:val="none" w:sz="0" w:space="0" w:color="auto"/>
        <w:left w:val="none" w:sz="0" w:space="0" w:color="auto"/>
        <w:bottom w:val="none" w:sz="0" w:space="0" w:color="auto"/>
        <w:right w:val="none" w:sz="0" w:space="0" w:color="auto"/>
      </w:divBdr>
    </w:div>
    <w:div w:id="770391465">
      <w:bodyDiv w:val="1"/>
      <w:marLeft w:val="0"/>
      <w:marRight w:val="0"/>
      <w:marTop w:val="0"/>
      <w:marBottom w:val="0"/>
      <w:divBdr>
        <w:top w:val="none" w:sz="0" w:space="0" w:color="auto"/>
        <w:left w:val="none" w:sz="0" w:space="0" w:color="auto"/>
        <w:bottom w:val="none" w:sz="0" w:space="0" w:color="auto"/>
        <w:right w:val="none" w:sz="0" w:space="0" w:color="auto"/>
      </w:divBdr>
    </w:div>
    <w:div w:id="780301280">
      <w:bodyDiv w:val="1"/>
      <w:marLeft w:val="0"/>
      <w:marRight w:val="0"/>
      <w:marTop w:val="0"/>
      <w:marBottom w:val="0"/>
      <w:divBdr>
        <w:top w:val="none" w:sz="0" w:space="0" w:color="auto"/>
        <w:left w:val="none" w:sz="0" w:space="0" w:color="auto"/>
        <w:bottom w:val="none" w:sz="0" w:space="0" w:color="auto"/>
        <w:right w:val="none" w:sz="0" w:space="0" w:color="auto"/>
      </w:divBdr>
    </w:div>
    <w:div w:id="792359007">
      <w:bodyDiv w:val="1"/>
      <w:marLeft w:val="0"/>
      <w:marRight w:val="0"/>
      <w:marTop w:val="0"/>
      <w:marBottom w:val="0"/>
      <w:divBdr>
        <w:top w:val="none" w:sz="0" w:space="0" w:color="auto"/>
        <w:left w:val="none" w:sz="0" w:space="0" w:color="auto"/>
        <w:bottom w:val="none" w:sz="0" w:space="0" w:color="auto"/>
        <w:right w:val="none" w:sz="0" w:space="0" w:color="auto"/>
      </w:divBdr>
    </w:div>
    <w:div w:id="807088470">
      <w:bodyDiv w:val="1"/>
      <w:marLeft w:val="0"/>
      <w:marRight w:val="0"/>
      <w:marTop w:val="0"/>
      <w:marBottom w:val="0"/>
      <w:divBdr>
        <w:top w:val="none" w:sz="0" w:space="0" w:color="auto"/>
        <w:left w:val="none" w:sz="0" w:space="0" w:color="auto"/>
        <w:bottom w:val="none" w:sz="0" w:space="0" w:color="auto"/>
        <w:right w:val="none" w:sz="0" w:space="0" w:color="auto"/>
      </w:divBdr>
    </w:div>
    <w:div w:id="815608408">
      <w:bodyDiv w:val="1"/>
      <w:marLeft w:val="0"/>
      <w:marRight w:val="0"/>
      <w:marTop w:val="0"/>
      <w:marBottom w:val="0"/>
      <w:divBdr>
        <w:top w:val="none" w:sz="0" w:space="0" w:color="auto"/>
        <w:left w:val="none" w:sz="0" w:space="0" w:color="auto"/>
        <w:bottom w:val="none" w:sz="0" w:space="0" w:color="auto"/>
        <w:right w:val="none" w:sz="0" w:space="0" w:color="auto"/>
      </w:divBdr>
    </w:div>
    <w:div w:id="830800578">
      <w:bodyDiv w:val="1"/>
      <w:marLeft w:val="0"/>
      <w:marRight w:val="0"/>
      <w:marTop w:val="0"/>
      <w:marBottom w:val="0"/>
      <w:divBdr>
        <w:top w:val="none" w:sz="0" w:space="0" w:color="auto"/>
        <w:left w:val="none" w:sz="0" w:space="0" w:color="auto"/>
        <w:bottom w:val="none" w:sz="0" w:space="0" w:color="auto"/>
        <w:right w:val="none" w:sz="0" w:space="0" w:color="auto"/>
      </w:divBdr>
    </w:div>
    <w:div w:id="838495751">
      <w:bodyDiv w:val="1"/>
      <w:marLeft w:val="0"/>
      <w:marRight w:val="0"/>
      <w:marTop w:val="0"/>
      <w:marBottom w:val="0"/>
      <w:divBdr>
        <w:top w:val="none" w:sz="0" w:space="0" w:color="auto"/>
        <w:left w:val="none" w:sz="0" w:space="0" w:color="auto"/>
        <w:bottom w:val="none" w:sz="0" w:space="0" w:color="auto"/>
        <w:right w:val="none" w:sz="0" w:space="0" w:color="auto"/>
      </w:divBdr>
    </w:div>
    <w:div w:id="844826177">
      <w:bodyDiv w:val="1"/>
      <w:marLeft w:val="0"/>
      <w:marRight w:val="0"/>
      <w:marTop w:val="0"/>
      <w:marBottom w:val="0"/>
      <w:divBdr>
        <w:top w:val="none" w:sz="0" w:space="0" w:color="auto"/>
        <w:left w:val="none" w:sz="0" w:space="0" w:color="auto"/>
        <w:bottom w:val="none" w:sz="0" w:space="0" w:color="auto"/>
        <w:right w:val="none" w:sz="0" w:space="0" w:color="auto"/>
      </w:divBdr>
    </w:div>
    <w:div w:id="856623438">
      <w:bodyDiv w:val="1"/>
      <w:marLeft w:val="0"/>
      <w:marRight w:val="0"/>
      <w:marTop w:val="0"/>
      <w:marBottom w:val="0"/>
      <w:divBdr>
        <w:top w:val="none" w:sz="0" w:space="0" w:color="auto"/>
        <w:left w:val="none" w:sz="0" w:space="0" w:color="auto"/>
        <w:bottom w:val="none" w:sz="0" w:space="0" w:color="auto"/>
        <w:right w:val="none" w:sz="0" w:space="0" w:color="auto"/>
      </w:divBdr>
    </w:div>
    <w:div w:id="869293479">
      <w:bodyDiv w:val="1"/>
      <w:marLeft w:val="0"/>
      <w:marRight w:val="0"/>
      <w:marTop w:val="0"/>
      <w:marBottom w:val="0"/>
      <w:divBdr>
        <w:top w:val="none" w:sz="0" w:space="0" w:color="auto"/>
        <w:left w:val="none" w:sz="0" w:space="0" w:color="auto"/>
        <w:bottom w:val="none" w:sz="0" w:space="0" w:color="auto"/>
        <w:right w:val="none" w:sz="0" w:space="0" w:color="auto"/>
      </w:divBdr>
    </w:div>
    <w:div w:id="870149138">
      <w:bodyDiv w:val="1"/>
      <w:marLeft w:val="0"/>
      <w:marRight w:val="0"/>
      <w:marTop w:val="0"/>
      <w:marBottom w:val="0"/>
      <w:divBdr>
        <w:top w:val="none" w:sz="0" w:space="0" w:color="auto"/>
        <w:left w:val="none" w:sz="0" w:space="0" w:color="auto"/>
        <w:bottom w:val="none" w:sz="0" w:space="0" w:color="auto"/>
        <w:right w:val="none" w:sz="0" w:space="0" w:color="auto"/>
      </w:divBdr>
    </w:div>
    <w:div w:id="883180135">
      <w:bodyDiv w:val="1"/>
      <w:marLeft w:val="0"/>
      <w:marRight w:val="0"/>
      <w:marTop w:val="0"/>
      <w:marBottom w:val="0"/>
      <w:divBdr>
        <w:top w:val="none" w:sz="0" w:space="0" w:color="auto"/>
        <w:left w:val="none" w:sz="0" w:space="0" w:color="auto"/>
        <w:bottom w:val="none" w:sz="0" w:space="0" w:color="auto"/>
        <w:right w:val="none" w:sz="0" w:space="0" w:color="auto"/>
      </w:divBdr>
    </w:div>
    <w:div w:id="885070075">
      <w:bodyDiv w:val="1"/>
      <w:marLeft w:val="0"/>
      <w:marRight w:val="0"/>
      <w:marTop w:val="0"/>
      <w:marBottom w:val="0"/>
      <w:divBdr>
        <w:top w:val="none" w:sz="0" w:space="0" w:color="auto"/>
        <w:left w:val="none" w:sz="0" w:space="0" w:color="auto"/>
        <w:bottom w:val="none" w:sz="0" w:space="0" w:color="auto"/>
        <w:right w:val="none" w:sz="0" w:space="0" w:color="auto"/>
      </w:divBdr>
    </w:div>
    <w:div w:id="892540439">
      <w:bodyDiv w:val="1"/>
      <w:marLeft w:val="0"/>
      <w:marRight w:val="0"/>
      <w:marTop w:val="0"/>
      <w:marBottom w:val="0"/>
      <w:divBdr>
        <w:top w:val="none" w:sz="0" w:space="0" w:color="auto"/>
        <w:left w:val="none" w:sz="0" w:space="0" w:color="auto"/>
        <w:bottom w:val="none" w:sz="0" w:space="0" w:color="auto"/>
        <w:right w:val="none" w:sz="0" w:space="0" w:color="auto"/>
      </w:divBdr>
    </w:div>
    <w:div w:id="892616256">
      <w:bodyDiv w:val="1"/>
      <w:marLeft w:val="0"/>
      <w:marRight w:val="0"/>
      <w:marTop w:val="0"/>
      <w:marBottom w:val="0"/>
      <w:divBdr>
        <w:top w:val="none" w:sz="0" w:space="0" w:color="auto"/>
        <w:left w:val="none" w:sz="0" w:space="0" w:color="auto"/>
        <w:bottom w:val="none" w:sz="0" w:space="0" w:color="auto"/>
        <w:right w:val="none" w:sz="0" w:space="0" w:color="auto"/>
      </w:divBdr>
    </w:div>
    <w:div w:id="894508995">
      <w:bodyDiv w:val="1"/>
      <w:marLeft w:val="0"/>
      <w:marRight w:val="0"/>
      <w:marTop w:val="0"/>
      <w:marBottom w:val="0"/>
      <w:divBdr>
        <w:top w:val="none" w:sz="0" w:space="0" w:color="auto"/>
        <w:left w:val="none" w:sz="0" w:space="0" w:color="auto"/>
        <w:bottom w:val="none" w:sz="0" w:space="0" w:color="auto"/>
        <w:right w:val="none" w:sz="0" w:space="0" w:color="auto"/>
      </w:divBdr>
    </w:div>
    <w:div w:id="909075193">
      <w:bodyDiv w:val="1"/>
      <w:marLeft w:val="0"/>
      <w:marRight w:val="0"/>
      <w:marTop w:val="0"/>
      <w:marBottom w:val="0"/>
      <w:divBdr>
        <w:top w:val="none" w:sz="0" w:space="0" w:color="auto"/>
        <w:left w:val="none" w:sz="0" w:space="0" w:color="auto"/>
        <w:bottom w:val="none" w:sz="0" w:space="0" w:color="auto"/>
        <w:right w:val="none" w:sz="0" w:space="0" w:color="auto"/>
      </w:divBdr>
    </w:div>
    <w:div w:id="912620572">
      <w:bodyDiv w:val="1"/>
      <w:marLeft w:val="0"/>
      <w:marRight w:val="0"/>
      <w:marTop w:val="0"/>
      <w:marBottom w:val="0"/>
      <w:divBdr>
        <w:top w:val="none" w:sz="0" w:space="0" w:color="auto"/>
        <w:left w:val="none" w:sz="0" w:space="0" w:color="auto"/>
        <w:bottom w:val="none" w:sz="0" w:space="0" w:color="auto"/>
        <w:right w:val="none" w:sz="0" w:space="0" w:color="auto"/>
      </w:divBdr>
    </w:div>
    <w:div w:id="917177262">
      <w:bodyDiv w:val="1"/>
      <w:marLeft w:val="0"/>
      <w:marRight w:val="0"/>
      <w:marTop w:val="0"/>
      <w:marBottom w:val="0"/>
      <w:divBdr>
        <w:top w:val="none" w:sz="0" w:space="0" w:color="auto"/>
        <w:left w:val="none" w:sz="0" w:space="0" w:color="auto"/>
        <w:bottom w:val="none" w:sz="0" w:space="0" w:color="auto"/>
        <w:right w:val="none" w:sz="0" w:space="0" w:color="auto"/>
      </w:divBdr>
    </w:div>
    <w:div w:id="926154884">
      <w:bodyDiv w:val="1"/>
      <w:marLeft w:val="0"/>
      <w:marRight w:val="0"/>
      <w:marTop w:val="0"/>
      <w:marBottom w:val="0"/>
      <w:divBdr>
        <w:top w:val="none" w:sz="0" w:space="0" w:color="auto"/>
        <w:left w:val="none" w:sz="0" w:space="0" w:color="auto"/>
        <w:bottom w:val="none" w:sz="0" w:space="0" w:color="auto"/>
        <w:right w:val="none" w:sz="0" w:space="0" w:color="auto"/>
      </w:divBdr>
    </w:div>
    <w:div w:id="938684067">
      <w:bodyDiv w:val="1"/>
      <w:marLeft w:val="0"/>
      <w:marRight w:val="0"/>
      <w:marTop w:val="0"/>
      <w:marBottom w:val="0"/>
      <w:divBdr>
        <w:top w:val="none" w:sz="0" w:space="0" w:color="auto"/>
        <w:left w:val="none" w:sz="0" w:space="0" w:color="auto"/>
        <w:bottom w:val="none" w:sz="0" w:space="0" w:color="auto"/>
        <w:right w:val="none" w:sz="0" w:space="0" w:color="auto"/>
      </w:divBdr>
    </w:div>
    <w:div w:id="954556661">
      <w:bodyDiv w:val="1"/>
      <w:marLeft w:val="0"/>
      <w:marRight w:val="0"/>
      <w:marTop w:val="0"/>
      <w:marBottom w:val="0"/>
      <w:divBdr>
        <w:top w:val="none" w:sz="0" w:space="0" w:color="auto"/>
        <w:left w:val="none" w:sz="0" w:space="0" w:color="auto"/>
        <w:bottom w:val="none" w:sz="0" w:space="0" w:color="auto"/>
        <w:right w:val="none" w:sz="0" w:space="0" w:color="auto"/>
      </w:divBdr>
    </w:div>
    <w:div w:id="959066566">
      <w:bodyDiv w:val="1"/>
      <w:marLeft w:val="0"/>
      <w:marRight w:val="0"/>
      <w:marTop w:val="0"/>
      <w:marBottom w:val="0"/>
      <w:divBdr>
        <w:top w:val="none" w:sz="0" w:space="0" w:color="auto"/>
        <w:left w:val="none" w:sz="0" w:space="0" w:color="auto"/>
        <w:bottom w:val="none" w:sz="0" w:space="0" w:color="auto"/>
        <w:right w:val="none" w:sz="0" w:space="0" w:color="auto"/>
      </w:divBdr>
    </w:div>
    <w:div w:id="965426488">
      <w:bodyDiv w:val="1"/>
      <w:marLeft w:val="0"/>
      <w:marRight w:val="0"/>
      <w:marTop w:val="0"/>
      <w:marBottom w:val="0"/>
      <w:divBdr>
        <w:top w:val="none" w:sz="0" w:space="0" w:color="auto"/>
        <w:left w:val="none" w:sz="0" w:space="0" w:color="auto"/>
        <w:bottom w:val="none" w:sz="0" w:space="0" w:color="auto"/>
        <w:right w:val="none" w:sz="0" w:space="0" w:color="auto"/>
      </w:divBdr>
    </w:div>
    <w:div w:id="970017671">
      <w:bodyDiv w:val="1"/>
      <w:marLeft w:val="0"/>
      <w:marRight w:val="0"/>
      <w:marTop w:val="0"/>
      <w:marBottom w:val="0"/>
      <w:divBdr>
        <w:top w:val="none" w:sz="0" w:space="0" w:color="auto"/>
        <w:left w:val="none" w:sz="0" w:space="0" w:color="auto"/>
        <w:bottom w:val="none" w:sz="0" w:space="0" w:color="auto"/>
        <w:right w:val="none" w:sz="0" w:space="0" w:color="auto"/>
      </w:divBdr>
    </w:div>
    <w:div w:id="974288949">
      <w:bodyDiv w:val="1"/>
      <w:marLeft w:val="0"/>
      <w:marRight w:val="0"/>
      <w:marTop w:val="0"/>
      <w:marBottom w:val="0"/>
      <w:divBdr>
        <w:top w:val="none" w:sz="0" w:space="0" w:color="auto"/>
        <w:left w:val="none" w:sz="0" w:space="0" w:color="auto"/>
        <w:bottom w:val="none" w:sz="0" w:space="0" w:color="auto"/>
        <w:right w:val="none" w:sz="0" w:space="0" w:color="auto"/>
      </w:divBdr>
    </w:div>
    <w:div w:id="1029329920">
      <w:bodyDiv w:val="1"/>
      <w:marLeft w:val="0"/>
      <w:marRight w:val="0"/>
      <w:marTop w:val="0"/>
      <w:marBottom w:val="0"/>
      <w:divBdr>
        <w:top w:val="none" w:sz="0" w:space="0" w:color="auto"/>
        <w:left w:val="none" w:sz="0" w:space="0" w:color="auto"/>
        <w:bottom w:val="none" w:sz="0" w:space="0" w:color="auto"/>
        <w:right w:val="none" w:sz="0" w:space="0" w:color="auto"/>
      </w:divBdr>
    </w:div>
    <w:div w:id="1035543867">
      <w:bodyDiv w:val="1"/>
      <w:marLeft w:val="0"/>
      <w:marRight w:val="0"/>
      <w:marTop w:val="0"/>
      <w:marBottom w:val="0"/>
      <w:divBdr>
        <w:top w:val="none" w:sz="0" w:space="0" w:color="auto"/>
        <w:left w:val="none" w:sz="0" w:space="0" w:color="auto"/>
        <w:bottom w:val="none" w:sz="0" w:space="0" w:color="auto"/>
        <w:right w:val="none" w:sz="0" w:space="0" w:color="auto"/>
      </w:divBdr>
    </w:div>
    <w:div w:id="1063983924">
      <w:bodyDiv w:val="1"/>
      <w:marLeft w:val="0"/>
      <w:marRight w:val="0"/>
      <w:marTop w:val="0"/>
      <w:marBottom w:val="0"/>
      <w:divBdr>
        <w:top w:val="none" w:sz="0" w:space="0" w:color="auto"/>
        <w:left w:val="none" w:sz="0" w:space="0" w:color="auto"/>
        <w:bottom w:val="none" w:sz="0" w:space="0" w:color="auto"/>
        <w:right w:val="none" w:sz="0" w:space="0" w:color="auto"/>
      </w:divBdr>
    </w:div>
    <w:div w:id="1136096426">
      <w:bodyDiv w:val="1"/>
      <w:marLeft w:val="0"/>
      <w:marRight w:val="0"/>
      <w:marTop w:val="0"/>
      <w:marBottom w:val="0"/>
      <w:divBdr>
        <w:top w:val="none" w:sz="0" w:space="0" w:color="auto"/>
        <w:left w:val="none" w:sz="0" w:space="0" w:color="auto"/>
        <w:bottom w:val="none" w:sz="0" w:space="0" w:color="auto"/>
        <w:right w:val="none" w:sz="0" w:space="0" w:color="auto"/>
      </w:divBdr>
    </w:div>
    <w:div w:id="1191534357">
      <w:bodyDiv w:val="1"/>
      <w:marLeft w:val="0"/>
      <w:marRight w:val="0"/>
      <w:marTop w:val="0"/>
      <w:marBottom w:val="0"/>
      <w:divBdr>
        <w:top w:val="none" w:sz="0" w:space="0" w:color="auto"/>
        <w:left w:val="none" w:sz="0" w:space="0" w:color="auto"/>
        <w:bottom w:val="none" w:sz="0" w:space="0" w:color="auto"/>
        <w:right w:val="none" w:sz="0" w:space="0" w:color="auto"/>
      </w:divBdr>
    </w:div>
    <w:div w:id="1196699693">
      <w:bodyDiv w:val="1"/>
      <w:marLeft w:val="0"/>
      <w:marRight w:val="0"/>
      <w:marTop w:val="0"/>
      <w:marBottom w:val="0"/>
      <w:divBdr>
        <w:top w:val="none" w:sz="0" w:space="0" w:color="auto"/>
        <w:left w:val="none" w:sz="0" w:space="0" w:color="auto"/>
        <w:bottom w:val="none" w:sz="0" w:space="0" w:color="auto"/>
        <w:right w:val="none" w:sz="0" w:space="0" w:color="auto"/>
      </w:divBdr>
    </w:div>
    <w:div w:id="1207252594">
      <w:bodyDiv w:val="1"/>
      <w:marLeft w:val="0"/>
      <w:marRight w:val="0"/>
      <w:marTop w:val="0"/>
      <w:marBottom w:val="0"/>
      <w:divBdr>
        <w:top w:val="none" w:sz="0" w:space="0" w:color="auto"/>
        <w:left w:val="none" w:sz="0" w:space="0" w:color="auto"/>
        <w:bottom w:val="none" w:sz="0" w:space="0" w:color="auto"/>
        <w:right w:val="none" w:sz="0" w:space="0" w:color="auto"/>
      </w:divBdr>
    </w:div>
    <w:div w:id="1217862280">
      <w:bodyDiv w:val="1"/>
      <w:marLeft w:val="0"/>
      <w:marRight w:val="0"/>
      <w:marTop w:val="0"/>
      <w:marBottom w:val="0"/>
      <w:divBdr>
        <w:top w:val="none" w:sz="0" w:space="0" w:color="auto"/>
        <w:left w:val="none" w:sz="0" w:space="0" w:color="auto"/>
        <w:bottom w:val="none" w:sz="0" w:space="0" w:color="auto"/>
        <w:right w:val="none" w:sz="0" w:space="0" w:color="auto"/>
      </w:divBdr>
    </w:div>
    <w:div w:id="1256208531">
      <w:bodyDiv w:val="1"/>
      <w:marLeft w:val="0"/>
      <w:marRight w:val="0"/>
      <w:marTop w:val="0"/>
      <w:marBottom w:val="0"/>
      <w:divBdr>
        <w:top w:val="none" w:sz="0" w:space="0" w:color="auto"/>
        <w:left w:val="none" w:sz="0" w:space="0" w:color="auto"/>
        <w:bottom w:val="none" w:sz="0" w:space="0" w:color="auto"/>
        <w:right w:val="none" w:sz="0" w:space="0" w:color="auto"/>
      </w:divBdr>
    </w:div>
    <w:div w:id="1269504348">
      <w:bodyDiv w:val="1"/>
      <w:marLeft w:val="0"/>
      <w:marRight w:val="0"/>
      <w:marTop w:val="0"/>
      <w:marBottom w:val="0"/>
      <w:divBdr>
        <w:top w:val="none" w:sz="0" w:space="0" w:color="auto"/>
        <w:left w:val="none" w:sz="0" w:space="0" w:color="auto"/>
        <w:bottom w:val="none" w:sz="0" w:space="0" w:color="auto"/>
        <w:right w:val="none" w:sz="0" w:space="0" w:color="auto"/>
      </w:divBdr>
    </w:div>
    <w:div w:id="1269655329">
      <w:bodyDiv w:val="1"/>
      <w:marLeft w:val="0"/>
      <w:marRight w:val="0"/>
      <w:marTop w:val="0"/>
      <w:marBottom w:val="0"/>
      <w:divBdr>
        <w:top w:val="none" w:sz="0" w:space="0" w:color="auto"/>
        <w:left w:val="none" w:sz="0" w:space="0" w:color="auto"/>
        <w:bottom w:val="none" w:sz="0" w:space="0" w:color="auto"/>
        <w:right w:val="none" w:sz="0" w:space="0" w:color="auto"/>
      </w:divBdr>
    </w:div>
    <w:div w:id="1272013246">
      <w:bodyDiv w:val="1"/>
      <w:marLeft w:val="0"/>
      <w:marRight w:val="0"/>
      <w:marTop w:val="0"/>
      <w:marBottom w:val="0"/>
      <w:divBdr>
        <w:top w:val="none" w:sz="0" w:space="0" w:color="auto"/>
        <w:left w:val="none" w:sz="0" w:space="0" w:color="auto"/>
        <w:bottom w:val="none" w:sz="0" w:space="0" w:color="auto"/>
        <w:right w:val="none" w:sz="0" w:space="0" w:color="auto"/>
      </w:divBdr>
    </w:div>
    <w:div w:id="1291278793">
      <w:bodyDiv w:val="1"/>
      <w:marLeft w:val="0"/>
      <w:marRight w:val="0"/>
      <w:marTop w:val="0"/>
      <w:marBottom w:val="0"/>
      <w:divBdr>
        <w:top w:val="none" w:sz="0" w:space="0" w:color="auto"/>
        <w:left w:val="none" w:sz="0" w:space="0" w:color="auto"/>
        <w:bottom w:val="none" w:sz="0" w:space="0" w:color="auto"/>
        <w:right w:val="none" w:sz="0" w:space="0" w:color="auto"/>
      </w:divBdr>
    </w:div>
    <w:div w:id="1292520318">
      <w:bodyDiv w:val="1"/>
      <w:marLeft w:val="0"/>
      <w:marRight w:val="0"/>
      <w:marTop w:val="0"/>
      <w:marBottom w:val="0"/>
      <w:divBdr>
        <w:top w:val="none" w:sz="0" w:space="0" w:color="auto"/>
        <w:left w:val="none" w:sz="0" w:space="0" w:color="auto"/>
        <w:bottom w:val="none" w:sz="0" w:space="0" w:color="auto"/>
        <w:right w:val="none" w:sz="0" w:space="0" w:color="auto"/>
      </w:divBdr>
    </w:div>
    <w:div w:id="1310748337">
      <w:bodyDiv w:val="1"/>
      <w:marLeft w:val="0"/>
      <w:marRight w:val="0"/>
      <w:marTop w:val="0"/>
      <w:marBottom w:val="0"/>
      <w:divBdr>
        <w:top w:val="none" w:sz="0" w:space="0" w:color="auto"/>
        <w:left w:val="none" w:sz="0" w:space="0" w:color="auto"/>
        <w:bottom w:val="none" w:sz="0" w:space="0" w:color="auto"/>
        <w:right w:val="none" w:sz="0" w:space="0" w:color="auto"/>
      </w:divBdr>
    </w:div>
    <w:div w:id="1334650194">
      <w:bodyDiv w:val="1"/>
      <w:marLeft w:val="0"/>
      <w:marRight w:val="0"/>
      <w:marTop w:val="0"/>
      <w:marBottom w:val="0"/>
      <w:divBdr>
        <w:top w:val="none" w:sz="0" w:space="0" w:color="auto"/>
        <w:left w:val="none" w:sz="0" w:space="0" w:color="auto"/>
        <w:bottom w:val="none" w:sz="0" w:space="0" w:color="auto"/>
        <w:right w:val="none" w:sz="0" w:space="0" w:color="auto"/>
      </w:divBdr>
    </w:div>
    <w:div w:id="1345397910">
      <w:bodyDiv w:val="1"/>
      <w:marLeft w:val="0"/>
      <w:marRight w:val="0"/>
      <w:marTop w:val="0"/>
      <w:marBottom w:val="0"/>
      <w:divBdr>
        <w:top w:val="none" w:sz="0" w:space="0" w:color="auto"/>
        <w:left w:val="none" w:sz="0" w:space="0" w:color="auto"/>
        <w:bottom w:val="none" w:sz="0" w:space="0" w:color="auto"/>
        <w:right w:val="none" w:sz="0" w:space="0" w:color="auto"/>
      </w:divBdr>
    </w:div>
    <w:div w:id="1356539460">
      <w:bodyDiv w:val="1"/>
      <w:marLeft w:val="0"/>
      <w:marRight w:val="0"/>
      <w:marTop w:val="0"/>
      <w:marBottom w:val="0"/>
      <w:divBdr>
        <w:top w:val="none" w:sz="0" w:space="0" w:color="auto"/>
        <w:left w:val="none" w:sz="0" w:space="0" w:color="auto"/>
        <w:bottom w:val="none" w:sz="0" w:space="0" w:color="auto"/>
        <w:right w:val="none" w:sz="0" w:space="0" w:color="auto"/>
      </w:divBdr>
    </w:div>
    <w:div w:id="1365062082">
      <w:bodyDiv w:val="1"/>
      <w:marLeft w:val="0"/>
      <w:marRight w:val="0"/>
      <w:marTop w:val="0"/>
      <w:marBottom w:val="0"/>
      <w:divBdr>
        <w:top w:val="none" w:sz="0" w:space="0" w:color="auto"/>
        <w:left w:val="none" w:sz="0" w:space="0" w:color="auto"/>
        <w:bottom w:val="none" w:sz="0" w:space="0" w:color="auto"/>
        <w:right w:val="none" w:sz="0" w:space="0" w:color="auto"/>
      </w:divBdr>
    </w:div>
    <w:div w:id="1374040980">
      <w:bodyDiv w:val="1"/>
      <w:marLeft w:val="0"/>
      <w:marRight w:val="0"/>
      <w:marTop w:val="0"/>
      <w:marBottom w:val="0"/>
      <w:divBdr>
        <w:top w:val="none" w:sz="0" w:space="0" w:color="auto"/>
        <w:left w:val="none" w:sz="0" w:space="0" w:color="auto"/>
        <w:bottom w:val="none" w:sz="0" w:space="0" w:color="auto"/>
        <w:right w:val="none" w:sz="0" w:space="0" w:color="auto"/>
      </w:divBdr>
    </w:div>
    <w:div w:id="1376001728">
      <w:bodyDiv w:val="1"/>
      <w:marLeft w:val="0"/>
      <w:marRight w:val="0"/>
      <w:marTop w:val="0"/>
      <w:marBottom w:val="0"/>
      <w:divBdr>
        <w:top w:val="none" w:sz="0" w:space="0" w:color="auto"/>
        <w:left w:val="none" w:sz="0" w:space="0" w:color="auto"/>
        <w:bottom w:val="none" w:sz="0" w:space="0" w:color="auto"/>
        <w:right w:val="none" w:sz="0" w:space="0" w:color="auto"/>
      </w:divBdr>
    </w:div>
    <w:div w:id="1438911994">
      <w:bodyDiv w:val="1"/>
      <w:marLeft w:val="0"/>
      <w:marRight w:val="0"/>
      <w:marTop w:val="0"/>
      <w:marBottom w:val="0"/>
      <w:divBdr>
        <w:top w:val="none" w:sz="0" w:space="0" w:color="auto"/>
        <w:left w:val="none" w:sz="0" w:space="0" w:color="auto"/>
        <w:bottom w:val="none" w:sz="0" w:space="0" w:color="auto"/>
        <w:right w:val="none" w:sz="0" w:space="0" w:color="auto"/>
      </w:divBdr>
    </w:div>
    <w:div w:id="1442840740">
      <w:bodyDiv w:val="1"/>
      <w:marLeft w:val="0"/>
      <w:marRight w:val="0"/>
      <w:marTop w:val="0"/>
      <w:marBottom w:val="0"/>
      <w:divBdr>
        <w:top w:val="none" w:sz="0" w:space="0" w:color="auto"/>
        <w:left w:val="none" w:sz="0" w:space="0" w:color="auto"/>
        <w:bottom w:val="none" w:sz="0" w:space="0" w:color="auto"/>
        <w:right w:val="none" w:sz="0" w:space="0" w:color="auto"/>
      </w:divBdr>
    </w:div>
    <w:div w:id="1444495666">
      <w:bodyDiv w:val="1"/>
      <w:marLeft w:val="0"/>
      <w:marRight w:val="0"/>
      <w:marTop w:val="0"/>
      <w:marBottom w:val="0"/>
      <w:divBdr>
        <w:top w:val="none" w:sz="0" w:space="0" w:color="auto"/>
        <w:left w:val="none" w:sz="0" w:space="0" w:color="auto"/>
        <w:bottom w:val="none" w:sz="0" w:space="0" w:color="auto"/>
        <w:right w:val="none" w:sz="0" w:space="0" w:color="auto"/>
      </w:divBdr>
    </w:div>
    <w:div w:id="1445029424">
      <w:bodyDiv w:val="1"/>
      <w:marLeft w:val="0"/>
      <w:marRight w:val="0"/>
      <w:marTop w:val="0"/>
      <w:marBottom w:val="0"/>
      <w:divBdr>
        <w:top w:val="none" w:sz="0" w:space="0" w:color="auto"/>
        <w:left w:val="none" w:sz="0" w:space="0" w:color="auto"/>
        <w:bottom w:val="none" w:sz="0" w:space="0" w:color="auto"/>
        <w:right w:val="none" w:sz="0" w:space="0" w:color="auto"/>
      </w:divBdr>
    </w:div>
    <w:div w:id="1483808969">
      <w:bodyDiv w:val="1"/>
      <w:marLeft w:val="0"/>
      <w:marRight w:val="0"/>
      <w:marTop w:val="0"/>
      <w:marBottom w:val="0"/>
      <w:divBdr>
        <w:top w:val="none" w:sz="0" w:space="0" w:color="auto"/>
        <w:left w:val="none" w:sz="0" w:space="0" w:color="auto"/>
        <w:bottom w:val="none" w:sz="0" w:space="0" w:color="auto"/>
        <w:right w:val="none" w:sz="0" w:space="0" w:color="auto"/>
      </w:divBdr>
    </w:div>
    <w:div w:id="1487667601">
      <w:bodyDiv w:val="1"/>
      <w:marLeft w:val="0"/>
      <w:marRight w:val="0"/>
      <w:marTop w:val="0"/>
      <w:marBottom w:val="0"/>
      <w:divBdr>
        <w:top w:val="none" w:sz="0" w:space="0" w:color="auto"/>
        <w:left w:val="none" w:sz="0" w:space="0" w:color="auto"/>
        <w:bottom w:val="none" w:sz="0" w:space="0" w:color="auto"/>
        <w:right w:val="none" w:sz="0" w:space="0" w:color="auto"/>
      </w:divBdr>
    </w:div>
    <w:div w:id="1493180596">
      <w:bodyDiv w:val="1"/>
      <w:marLeft w:val="0"/>
      <w:marRight w:val="0"/>
      <w:marTop w:val="0"/>
      <w:marBottom w:val="0"/>
      <w:divBdr>
        <w:top w:val="none" w:sz="0" w:space="0" w:color="auto"/>
        <w:left w:val="none" w:sz="0" w:space="0" w:color="auto"/>
        <w:bottom w:val="none" w:sz="0" w:space="0" w:color="auto"/>
        <w:right w:val="none" w:sz="0" w:space="0" w:color="auto"/>
      </w:divBdr>
    </w:div>
    <w:div w:id="1508863027">
      <w:bodyDiv w:val="1"/>
      <w:marLeft w:val="0"/>
      <w:marRight w:val="0"/>
      <w:marTop w:val="0"/>
      <w:marBottom w:val="0"/>
      <w:divBdr>
        <w:top w:val="none" w:sz="0" w:space="0" w:color="auto"/>
        <w:left w:val="none" w:sz="0" w:space="0" w:color="auto"/>
        <w:bottom w:val="none" w:sz="0" w:space="0" w:color="auto"/>
        <w:right w:val="none" w:sz="0" w:space="0" w:color="auto"/>
      </w:divBdr>
    </w:div>
    <w:div w:id="1511600140">
      <w:bodyDiv w:val="1"/>
      <w:marLeft w:val="0"/>
      <w:marRight w:val="0"/>
      <w:marTop w:val="0"/>
      <w:marBottom w:val="0"/>
      <w:divBdr>
        <w:top w:val="none" w:sz="0" w:space="0" w:color="auto"/>
        <w:left w:val="none" w:sz="0" w:space="0" w:color="auto"/>
        <w:bottom w:val="none" w:sz="0" w:space="0" w:color="auto"/>
        <w:right w:val="none" w:sz="0" w:space="0" w:color="auto"/>
      </w:divBdr>
    </w:div>
    <w:div w:id="1540968924">
      <w:bodyDiv w:val="1"/>
      <w:marLeft w:val="0"/>
      <w:marRight w:val="0"/>
      <w:marTop w:val="0"/>
      <w:marBottom w:val="0"/>
      <w:divBdr>
        <w:top w:val="none" w:sz="0" w:space="0" w:color="auto"/>
        <w:left w:val="none" w:sz="0" w:space="0" w:color="auto"/>
        <w:bottom w:val="none" w:sz="0" w:space="0" w:color="auto"/>
        <w:right w:val="none" w:sz="0" w:space="0" w:color="auto"/>
      </w:divBdr>
    </w:div>
    <w:div w:id="1552185935">
      <w:bodyDiv w:val="1"/>
      <w:marLeft w:val="0"/>
      <w:marRight w:val="0"/>
      <w:marTop w:val="0"/>
      <w:marBottom w:val="0"/>
      <w:divBdr>
        <w:top w:val="none" w:sz="0" w:space="0" w:color="auto"/>
        <w:left w:val="none" w:sz="0" w:space="0" w:color="auto"/>
        <w:bottom w:val="none" w:sz="0" w:space="0" w:color="auto"/>
        <w:right w:val="none" w:sz="0" w:space="0" w:color="auto"/>
      </w:divBdr>
    </w:div>
    <w:div w:id="1560896848">
      <w:bodyDiv w:val="1"/>
      <w:marLeft w:val="0"/>
      <w:marRight w:val="0"/>
      <w:marTop w:val="0"/>
      <w:marBottom w:val="0"/>
      <w:divBdr>
        <w:top w:val="none" w:sz="0" w:space="0" w:color="auto"/>
        <w:left w:val="none" w:sz="0" w:space="0" w:color="auto"/>
        <w:bottom w:val="none" w:sz="0" w:space="0" w:color="auto"/>
        <w:right w:val="none" w:sz="0" w:space="0" w:color="auto"/>
      </w:divBdr>
    </w:div>
    <w:div w:id="1563518849">
      <w:bodyDiv w:val="1"/>
      <w:marLeft w:val="0"/>
      <w:marRight w:val="0"/>
      <w:marTop w:val="0"/>
      <w:marBottom w:val="0"/>
      <w:divBdr>
        <w:top w:val="none" w:sz="0" w:space="0" w:color="auto"/>
        <w:left w:val="none" w:sz="0" w:space="0" w:color="auto"/>
        <w:bottom w:val="none" w:sz="0" w:space="0" w:color="auto"/>
        <w:right w:val="none" w:sz="0" w:space="0" w:color="auto"/>
      </w:divBdr>
    </w:div>
    <w:div w:id="1577934192">
      <w:bodyDiv w:val="1"/>
      <w:marLeft w:val="0"/>
      <w:marRight w:val="0"/>
      <w:marTop w:val="0"/>
      <w:marBottom w:val="0"/>
      <w:divBdr>
        <w:top w:val="none" w:sz="0" w:space="0" w:color="auto"/>
        <w:left w:val="none" w:sz="0" w:space="0" w:color="auto"/>
        <w:bottom w:val="none" w:sz="0" w:space="0" w:color="auto"/>
        <w:right w:val="none" w:sz="0" w:space="0" w:color="auto"/>
      </w:divBdr>
    </w:div>
    <w:div w:id="1586111153">
      <w:bodyDiv w:val="1"/>
      <w:marLeft w:val="0"/>
      <w:marRight w:val="0"/>
      <w:marTop w:val="0"/>
      <w:marBottom w:val="0"/>
      <w:divBdr>
        <w:top w:val="none" w:sz="0" w:space="0" w:color="auto"/>
        <w:left w:val="none" w:sz="0" w:space="0" w:color="auto"/>
        <w:bottom w:val="none" w:sz="0" w:space="0" w:color="auto"/>
        <w:right w:val="none" w:sz="0" w:space="0" w:color="auto"/>
      </w:divBdr>
    </w:div>
    <w:div w:id="1588490814">
      <w:bodyDiv w:val="1"/>
      <w:marLeft w:val="0"/>
      <w:marRight w:val="0"/>
      <w:marTop w:val="0"/>
      <w:marBottom w:val="0"/>
      <w:divBdr>
        <w:top w:val="none" w:sz="0" w:space="0" w:color="auto"/>
        <w:left w:val="none" w:sz="0" w:space="0" w:color="auto"/>
        <w:bottom w:val="none" w:sz="0" w:space="0" w:color="auto"/>
        <w:right w:val="none" w:sz="0" w:space="0" w:color="auto"/>
      </w:divBdr>
    </w:div>
    <w:div w:id="1599292948">
      <w:bodyDiv w:val="1"/>
      <w:marLeft w:val="0"/>
      <w:marRight w:val="0"/>
      <w:marTop w:val="0"/>
      <w:marBottom w:val="0"/>
      <w:divBdr>
        <w:top w:val="none" w:sz="0" w:space="0" w:color="auto"/>
        <w:left w:val="none" w:sz="0" w:space="0" w:color="auto"/>
        <w:bottom w:val="none" w:sz="0" w:space="0" w:color="auto"/>
        <w:right w:val="none" w:sz="0" w:space="0" w:color="auto"/>
      </w:divBdr>
    </w:div>
    <w:div w:id="1624000025">
      <w:bodyDiv w:val="1"/>
      <w:marLeft w:val="0"/>
      <w:marRight w:val="0"/>
      <w:marTop w:val="0"/>
      <w:marBottom w:val="0"/>
      <w:divBdr>
        <w:top w:val="none" w:sz="0" w:space="0" w:color="auto"/>
        <w:left w:val="none" w:sz="0" w:space="0" w:color="auto"/>
        <w:bottom w:val="none" w:sz="0" w:space="0" w:color="auto"/>
        <w:right w:val="none" w:sz="0" w:space="0" w:color="auto"/>
      </w:divBdr>
    </w:div>
    <w:div w:id="1646159235">
      <w:bodyDiv w:val="1"/>
      <w:marLeft w:val="0"/>
      <w:marRight w:val="0"/>
      <w:marTop w:val="0"/>
      <w:marBottom w:val="0"/>
      <w:divBdr>
        <w:top w:val="none" w:sz="0" w:space="0" w:color="auto"/>
        <w:left w:val="none" w:sz="0" w:space="0" w:color="auto"/>
        <w:bottom w:val="none" w:sz="0" w:space="0" w:color="auto"/>
        <w:right w:val="none" w:sz="0" w:space="0" w:color="auto"/>
      </w:divBdr>
    </w:div>
    <w:div w:id="1668054309">
      <w:bodyDiv w:val="1"/>
      <w:marLeft w:val="0"/>
      <w:marRight w:val="0"/>
      <w:marTop w:val="0"/>
      <w:marBottom w:val="0"/>
      <w:divBdr>
        <w:top w:val="none" w:sz="0" w:space="0" w:color="auto"/>
        <w:left w:val="none" w:sz="0" w:space="0" w:color="auto"/>
        <w:bottom w:val="none" w:sz="0" w:space="0" w:color="auto"/>
        <w:right w:val="none" w:sz="0" w:space="0" w:color="auto"/>
      </w:divBdr>
    </w:div>
    <w:div w:id="1672102073">
      <w:bodyDiv w:val="1"/>
      <w:marLeft w:val="0"/>
      <w:marRight w:val="0"/>
      <w:marTop w:val="0"/>
      <w:marBottom w:val="0"/>
      <w:divBdr>
        <w:top w:val="none" w:sz="0" w:space="0" w:color="auto"/>
        <w:left w:val="none" w:sz="0" w:space="0" w:color="auto"/>
        <w:bottom w:val="none" w:sz="0" w:space="0" w:color="auto"/>
        <w:right w:val="none" w:sz="0" w:space="0" w:color="auto"/>
      </w:divBdr>
    </w:div>
    <w:div w:id="1686785716">
      <w:bodyDiv w:val="1"/>
      <w:marLeft w:val="0"/>
      <w:marRight w:val="0"/>
      <w:marTop w:val="0"/>
      <w:marBottom w:val="0"/>
      <w:divBdr>
        <w:top w:val="none" w:sz="0" w:space="0" w:color="auto"/>
        <w:left w:val="none" w:sz="0" w:space="0" w:color="auto"/>
        <w:bottom w:val="none" w:sz="0" w:space="0" w:color="auto"/>
        <w:right w:val="none" w:sz="0" w:space="0" w:color="auto"/>
      </w:divBdr>
    </w:div>
    <w:div w:id="1696156317">
      <w:bodyDiv w:val="1"/>
      <w:marLeft w:val="0"/>
      <w:marRight w:val="0"/>
      <w:marTop w:val="0"/>
      <w:marBottom w:val="0"/>
      <w:divBdr>
        <w:top w:val="none" w:sz="0" w:space="0" w:color="auto"/>
        <w:left w:val="none" w:sz="0" w:space="0" w:color="auto"/>
        <w:bottom w:val="none" w:sz="0" w:space="0" w:color="auto"/>
        <w:right w:val="none" w:sz="0" w:space="0" w:color="auto"/>
      </w:divBdr>
    </w:div>
    <w:div w:id="1720664874">
      <w:bodyDiv w:val="1"/>
      <w:marLeft w:val="0"/>
      <w:marRight w:val="0"/>
      <w:marTop w:val="0"/>
      <w:marBottom w:val="0"/>
      <w:divBdr>
        <w:top w:val="none" w:sz="0" w:space="0" w:color="auto"/>
        <w:left w:val="none" w:sz="0" w:space="0" w:color="auto"/>
        <w:bottom w:val="none" w:sz="0" w:space="0" w:color="auto"/>
        <w:right w:val="none" w:sz="0" w:space="0" w:color="auto"/>
      </w:divBdr>
    </w:div>
    <w:div w:id="1727147227">
      <w:bodyDiv w:val="1"/>
      <w:marLeft w:val="0"/>
      <w:marRight w:val="0"/>
      <w:marTop w:val="0"/>
      <w:marBottom w:val="0"/>
      <w:divBdr>
        <w:top w:val="none" w:sz="0" w:space="0" w:color="auto"/>
        <w:left w:val="none" w:sz="0" w:space="0" w:color="auto"/>
        <w:bottom w:val="none" w:sz="0" w:space="0" w:color="auto"/>
        <w:right w:val="none" w:sz="0" w:space="0" w:color="auto"/>
      </w:divBdr>
    </w:div>
    <w:div w:id="1762800208">
      <w:bodyDiv w:val="1"/>
      <w:marLeft w:val="0"/>
      <w:marRight w:val="0"/>
      <w:marTop w:val="0"/>
      <w:marBottom w:val="0"/>
      <w:divBdr>
        <w:top w:val="none" w:sz="0" w:space="0" w:color="auto"/>
        <w:left w:val="none" w:sz="0" w:space="0" w:color="auto"/>
        <w:bottom w:val="none" w:sz="0" w:space="0" w:color="auto"/>
        <w:right w:val="none" w:sz="0" w:space="0" w:color="auto"/>
      </w:divBdr>
    </w:div>
    <w:div w:id="1767075541">
      <w:bodyDiv w:val="1"/>
      <w:marLeft w:val="0"/>
      <w:marRight w:val="0"/>
      <w:marTop w:val="0"/>
      <w:marBottom w:val="0"/>
      <w:divBdr>
        <w:top w:val="none" w:sz="0" w:space="0" w:color="auto"/>
        <w:left w:val="none" w:sz="0" w:space="0" w:color="auto"/>
        <w:bottom w:val="none" w:sz="0" w:space="0" w:color="auto"/>
        <w:right w:val="none" w:sz="0" w:space="0" w:color="auto"/>
      </w:divBdr>
    </w:div>
    <w:div w:id="1771660265">
      <w:bodyDiv w:val="1"/>
      <w:marLeft w:val="0"/>
      <w:marRight w:val="0"/>
      <w:marTop w:val="0"/>
      <w:marBottom w:val="0"/>
      <w:divBdr>
        <w:top w:val="none" w:sz="0" w:space="0" w:color="auto"/>
        <w:left w:val="none" w:sz="0" w:space="0" w:color="auto"/>
        <w:bottom w:val="none" w:sz="0" w:space="0" w:color="auto"/>
        <w:right w:val="none" w:sz="0" w:space="0" w:color="auto"/>
      </w:divBdr>
    </w:div>
    <w:div w:id="1785810574">
      <w:bodyDiv w:val="1"/>
      <w:marLeft w:val="0"/>
      <w:marRight w:val="0"/>
      <w:marTop w:val="0"/>
      <w:marBottom w:val="0"/>
      <w:divBdr>
        <w:top w:val="none" w:sz="0" w:space="0" w:color="auto"/>
        <w:left w:val="none" w:sz="0" w:space="0" w:color="auto"/>
        <w:bottom w:val="none" w:sz="0" w:space="0" w:color="auto"/>
        <w:right w:val="none" w:sz="0" w:space="0" w:color="auto"/>
      </w:divBdr>
    </w:div>
    <w:div w:id="1800411415">
      <w:bodyDiv w:val="1"/>
      <w:marLeft w:val="0"/>
      <w:marRight w:val="0"/>
      <w:marTop w:val="0"/>
      <w:marBottom w:val="0"/>
      <w:divBdr>
        <w:top w:val="none" w:sz="0" w:space="0" w:color="auto"/>
        <w:left w:val="none" w:sz="0" w:space="0" w:color="auto"/>
        <w:bottom w:val="none" w:sz="0" w:space="0" w:color="auto"/>
        <w:right w:val="none" w:sz="0" w:space="0" w:color="auto"/>
      </w:divBdr>
    </w:div>
    <w:div w:id="1803503231">
      <w:bodyDiv w:val="1"/>
      <w:marLeft w:val="0"/>
      <w:marRight w:val="0"/>
      <w:marTop w:val="0"/>
      <w:marBottom w:val="0"/>
      <w:divBdr>
        <w:top w:val="none" w:sz="0" w:space="0" w:color="auto"/>
        <w:left w:val="none" w:sz="0" w:space="0" w:color="auto"/>
        <w:bottom w:val="none" w:sz="0" w:space="0" w:color="auto"/>
        <w:right w:val="none" w:sz="0" w:space="0" w:color="auto"/>
      </w:divBdr>
    </w:div>
    <w:div w:id="1809978657">
      <w:bodyDiv w:val="1"/>
      <w:marLeft w:val="0"/>
      <w:marRight w:val="0"/>
      <w:marTop w:val="0"/>
      <w:marBottom w:val="0"/>
      <w:divBdr>
        <w:top w:val="none" w:sz="0" w:space="0" w:color="auto"/>
        <w:left w:val="none" w:sz="0" w:space="0" w:color="auto"/>
        <w:bottom w:val="none" w:sz="0" w:space="0" w:color="auto"/>
        <w:right w:val="none" w:sz="0" w:space="0" w:color="auto"/>
      </w:divBdr>
    </w:div>
    <w:div w:id="1822774011">
      <w:bodyDiv w:val="1"/>
      <w:marLeft w:val="0"/>
      <w:marRight w:val="0"/>
      <w:marTop w:val="0"/>
      <w:marBottom w:val="0"/>
      <w:divBdr>
        <w:top w:val="none" w:sz="0" w:space="0" w:color="auto"/>
        <w:left w:val="none" w:sz="0" w:space="0" w:color="auto"/>
        <w:bottom w:val="none" w:sz="0" w:space="0" w:color="auto"/>
        <w:right w:val="none" w:sz="0" w:space="0" w:color="auto"/>
      </w:divBdr>
    </w:div>
    <w:div w:id="1838810775">
      <w:bodyDiv w:val="1"/>
      <w:marLeft w:val="0"/>
      <w:marRight w:val="0"/>
      <w:marTop w:val="0"/>
      <w:marBottom w:val="0"/>
      <w:divBdr>
        <w:top w:val="none" w:sz="0" w:space="0" w:color="auto"/>
        <w:left w:val="none" w:sz="0" w:space="0" w:color="auto"/>
        <w:bottom w:val="none" w:sz="0" w:space="0" w:color="auto"/>
        <w:right w:val="none" w:sz="0" w:space="0" w:color="auto"/>
      </w:divBdr>
    </w:div>
    <w:div w:id="1840198182">
      <w:bodyDiv w:val="1"/>
      <w:marLeft w:val="0"/>
      <w:marRight w:val="0"/>
      <w:marTop w:val="0"/>
      <w:marBottom w:val="0"/>
      <w:divBdr>
        <w:top w:val="none" w:sz="0" w:space="0" w:color="auto"/>
        <w:left w:val="none" w:sz="0" w:space="0" w:color="auto"/>
        <w:bottom w:val="none" w:sz="0" w:space="0" w:color="auto"/>
        <w:right w:val="none" w:sz="0" w:space="0" w:color="auto"/>
      </w:divBdr>
    </w:div>
    <w:div w:id="1841962064">
      <w:bodyDiv w:val="1"/>
      <w:marLeft w:val="0"/>
      <w:marRight w:val="0"/>
      <w:marTop w:val="0"/>
      <w:marBottom w:val="0"/>
      <w:divBdr>
        <w:top w:val="none" w:sz="0" w:space="0" w:color="auto"/>
        <w:left w:val="none" w:sz="0" w:space="0" w:color="auto"/>
        <w:bottom w:val="none" w:sz="0" w:space="0" w:color="auto"/>
        <w:right w:val="none" w:sz="0" w:space="0" w:color="auto"/>
      </w:divBdr>
    </w:div>
    <w:div w:id="1870529724">
      <w:bodyDiv w:val="1"/>
      <w:marLeft w:val="0"/>
      <w:marRight w:val="0"/>
      <w:marTop w:val="0"/>
      <w:marBottom w:val="0"/>
      <w:divBdr>
        <w:top w:val="none" w:sz="0" w:space="0" w:color="auto"/>
        <w:left w:val="none" w:sz="0" w:space="0" w:color="auto"/>
        <w:bottom w:val="none" w:sz="0" w:space="0" w:color="auto"/>
        <w:right w:val="none" w:sz="0" w:space="0" w:color="auto"/>
      </w:divBdr>
    </w:div>
    <w:div w:id="1874343928">
      <w:bodyDiv w:val="1"/>
      <w:marLeft w:val="0"/>
      <w:marRight w:val="0"/>
      <w:marTop w:val="0"/>
      <w:marBottom w:val="0"/>
      <w:divBdr>
        <w:top w:val="none" w:sz="0" w:space="0" w:color="auto"/>
        <w:left w:val="none" w:sz="0" w:space="0" w:color="auto"/>
        <w:bottom w:val="none" w:sz="0" w:space="0" w:color="auto"/>
        <w:right w:val="none" w:sz="0" w:space="0" w:color="auto"/>
      </w:divBdr>
    </w:div>
    <w:div w:id="1875385138">
      <w:bodyDiv w:val="1"/>
      <w:marLeft w:val="0"/>
      <w:marRight w:val="0"/>
      <w:marTop w:val="0"/>
      <w:marBottom w:val="0"/>
      <w:divBdr>
        <w:top w:val="none" w:sz="0" w:space="0" w:color="auto"/>
        <w:left w:val="none" w:sz="0" w:space="0" w:color="auto"/>
        <w:bottom w:val="none" w:sz="0" w:space="0" w:color="auto"/>
        <w:right w:val="none" w:sz="0" w:space="0" w:color="auto"/>
      </w:divBdr>
    </w:div>
    <w:div w:id="1893610344">
      <w:bodyDiv w:val="1"/>
      <w:marLeft w:val="0"/>
      <w:marRight w:val="0"/>
      <w:marTop w:val="0"/>
      <w:marBottom w:val="0"/>
      <w:divBdr>
        <w:top w:val="none" w:sz="0" w:space="0" w:color="auto"/>
        <w:left w:val="none" w:sz="0" w:space="0" w:color="auto"/>
        <w:bottom w:val="none" w:sz="0" w:space="0" w:color="auto"/>
        <w:right w:val="none" w:sz="0" w:space="0" w:color="auto"/>
      </w:divBdr>
    </w:div>
    <w:div w:id="1894462118">
      <w:bodyDiv w:val="1"/>
      <w:marLeft w:val="0"/>
      <w:marRight w:val="0"/>
      <w:marTop w:val="0"/>
      <w:marBottom w:val="0"/>
      <w:divBdr>
        <w:top w:val="none" w:sz="0" w:space="0" w:color="auto"/>
        <w:left w:val="none" w:sz="0" w:space="0" w:color="auto"/>
        <w:bottom w:val="none" w:sz="0" w:space="0" w:color="auto"/>
        <w:right w:val="none" w:sz="0" w:space="0" w:color="auto"/>
      </w:divBdr>
    </w:div>
    <w:div w:id="1903561422">
      <w:bodyDiv w:val="1"/>
      <w:marLeft w:val="0"/>
      <w:marRight w:val="0"/>
      <w:marTop w:val="0"/>
      <w:marBottom w:val="0"/>
      <w:divBdr>
        <w:top w:val="none" w:sz="0" w:space="0" w:color="auto"/>
        <w:left w:val="none" w:sz="0" w:space="0" w:color="auto"/>
        <w:bottom w:val="none" w:sz="0" w:space="0" w:color="auto"/>
        <w:right w:val="none" w:sz="0" w:space="0" w:color="auto"/>
      </w:divBdr>
    </w:div>
    <w:div w:id="1906574088">
      <w:bodyDiv w:val="1"/>
      <w:marLeft w:val="0"/>
      <w:marRight w:val="0"/>
      <w:marTop w:val="0"/>
      <w:marBottom w:val="0"/>
      <w:divBdr>
        <w:top w:val="none" w:sz="0" w:space="0" w:color="auto"/>
        <w:left w:val="none" w:sz="0" w:space="0" w:color="auto"/>
        <w:bottom w:val="none" w:sz="0" w:space="0" w:color="auto"/>
        <w:right w:val="none" w:sz="0" w:space="0" w:color="auto"/>
      </w:divBdr>
    </w:div>
    <w:div w:id="1910654317">
      <w:bodyDiv w:val="1"/>
      <w:marLeft w:val="0"/>
      <w:marRight w:val="0"/>
      <w:marTop w:val="0"/>
      <w:marBottom w:val="0"/>
      <w:divBdr>
        <w:top w:val="none" w:sz="0" w:space="0" w:color="auto"/>
        <w:left w:val="none" w:sz="0" w:space="0" w:color="auto"/>
        <w:bottom w:val="none" w:sz="0" w:space="0" w:color="auto"/>
        <w:right w:val="none" w:sz="0" w:space="0" w:color="auto"/>
      </w:divBdr>
    </w:div>
    <w:div w:id="1945990181">
      <w:bodyDiv w:val="1"/>
      <w:marLeft w:val="0"/>
      <w:marRight w:val="0"/>
      <w:marTop w:val="0"/>
      <w:marBottom w:val="0"/>
      <w:divBdr>
        <w:top w:val="none" w:sz="0" w:space="0" w:color="auto"/>
        <w:left w:val="none" w:sz="0" w:space="0" w:color="auto"/>
        <w:bottom w:val="none" w:sz="0" w:space="0" w:color="auto"/>
        <w:right w:val="none" w:sz="0" w:space="0" w:color="auto"/>
      </w:divBdr>
    </w:div>
    <w:div w:id="1977680065">
      <w:bodyDiv w:val="1"/>
      <w:marLeft w:val="0"/>
      <w:marRight w:val="0"/>
      <w:marTop w:val="0"/>
      <w:marBottom w:val="0"/>
      <w:divBdr>
        <w:top w:val="none" w:sz="0" w:space="0" w:color="auto"/>
        <w:left w:val="none" w:sz="0" w:space="0" w:color="auto"/>
        <w:bottom w:val="none" w:sz="0" w:space="0" w:color="auto"/>
        <w:right w:val="none" w:sz="0" w:space="0" w:color="auto"/>
      </w:divBdr>
    </w:div>
    <w:div w:id="1997609359">
      <w:bodyDiv w:val="1"/>
      <w:marLeft w:val="0"/>
      <w:marRight w:val="0"/>
      <w:marTop w:val="0"/>
      <w:marBottom w:val="0"/>
      <w:divBdr>
        <w:top w:val="none" w:sz="0" w:space="0" w:color="auto"/>
        <w:left w:val="none" w:sz="0" w:space="0" w:color="auto"/>
        <w:bottom w:val="none" w:sz="0" w:space="0" w:color="auto"/>
        <w:right w:val="none" w:sz="0" w:space="0" w:color="auto"/>
      </w:divBdr>
    </w:div>
    <w:div w:id="2013684351">
      <w:bodyDiv w:val="1"/>
      <w:marLeft w:val="0"/>
      <w:marRight w:val="0"/>
      <w:marTop w:val="0"/>
      <w:marBottom w:val="0"/>
      <w:divBdr>
        <w:top w:val="none" w:sz="0" w:space="0" w:color="auto"/>
        <w:left w:val="none" w:sz="0" w:space="0" w:color="auto"/>
        <w:bottom w:val="none" w:sz="0" w:space="0" w:color="auto"/>
        <w:right w:val="none" w:sz="0" w:space="0" w:color="auto"/>
      </w:divBdr>
    </w:div>
    <w:div w:id="2019456126">
      <w:bodyDiv w:val="1"/>
      <w:marLeft w:val="0"/>
      <w:marRight w:val="0"/>
      <w:marTop w:val="0"/>
      <w:marBottom w:val="0"/>
      <w:divBdr>
        <w:top w:val="none" w:sz="0" w:space="0" w:color="auto"/>
        <w:left w:val="none" w:sz="0" w:space="0" w:color="auto"/>
        <w:bottom w:val="none" w:sz="0" w:space="0" w:color="auto"/>
        <w:right w:val="none" w:sz="0" w:space="0" w:color="auto"/>
      </w:divBdr>
    </w:div>
    <w:div w:id="2021345960">
      <w:bodyDiv w:val="1"/>
      <w:marLeft w:val="0"/>
      <w:marRight w:val="0"/>
      <w:marTop w:val="0"/>
      <w:marBottom w:val="0"/>
      <w:divBdr>
        <w:top w:val="none" w:sz="0" w:space="0" w:color="auto"/>
        <w:left w:val="none" w:sz="0" w:space="0" w:color="auto"/>
        <w:bottom w:val="none" w:sz="0" w:space="0" w:color="auto"/>
        <w:right w:val="none" w:sz="0" w:space="0" w:color="auto"/>
      </w:divBdr>
    </w:div>
    <w:div w:id="2053268244">
      <w:bodyDiv w:val="1"/>
      <w:marLeft w:val="0"/>
      <w:marRight w:val="0"/>
      <w:marTop w:val="0"/>
      <w:marBottom w:val="0"/>
      <w:divBdr>
        <w:top w:val="none" w:sz="0" w:space="0" w:color="auto"/>
        <w:left w:val="none" w:sz="0" w:space="0" w:color="auto"/>
        <w:bottom w:val="none" w:sz="0" w:space="0" w:color="auto"/>
        <w:right w:val="none" w:sz="0" w:space="0" w:color="auto"/>
      </w:divBdr>
    </w:div>
    <w:div w:id="2054495384">
      <w:bodyDiv w:val="1"/>
      <w:marLeft w:val="0"/>
      <w:marRight w:val="0"/>
      <w:marTop w:val="0"/>
      <w:marBottom w:val="0"/>
      <w:divBdr>
        <w:top w:val="none" w:sz="0" w:space="0" w:color="auto"/>
        <w:left w:val="none" w:sz="0" w:space="0" w:color="auto"/>
        <w:bottom w:val="none" w:sz="0" w:space="0" w:color="auto"/>
        <w:right w:val="none" w:sz="0" w:space="0" w:color="auto"/>
      </w:divBdr>
    </w:div>
    <w:div w:id="2055501712">
      <w:bodyDiv w:val="1"/>
      <w:marLeft w:val="0"/>
      <w:marRight w:val="0"/>
      <w:marTop w:val="0"/>
      <w:marBottom w:val="0"/>
      <w:divBdr>
        <w:top w:val="none" w:sz="0" w:space="0" w:color="auto"/>
        <w:left w:val="none" w:sz="0" w:space="0" w:color="auto"/>
        <w:bottom w:val="none" w:sz="0" w:space="0" w:color="auto"/>
        <w:right w:val="none" w:sz="0" w:space="0" w:color="auto"/>
      </w:divBdr>
    </w:div>
    <w:div w:id="2056392723">
      <w:bodyDiv w:val="1"/>
      <w:marLeft w:val="0"/>
      <w:marRight w:val="0"/>
      <w:marTop w:val="0"/>
      <w:marBottom w:val="0"/>
      <w:divBdr>
        <w:top w:val="none" w:sz="0" w:space="0" w:color="auto"/>
        <w:left w:val="none" w:sz="0" w:space="0" w:color="auto"/>
        <w:bottom w:val="none" w:sz="0" w:space="0" w:color="auto"/>
        <w:right w:val="none" w:sz="0" w:space="0" w:color="auto"/>
      </w:divBdr>
    </w:div>
    <w:div w:id="2065447505">
      <w:bodyDiv w:val="1"/>
      <w:marLeft w:val="0"/>
      <w:marRight w:val="0"/>
      <w:marTop w:val="0"/>
      <w:marBottom w:val="0"/>
      <w:divBdr>
        <w:top w:val="none" w:sz="0" w:space="0" w:color="auto"/>
        <w:left w:val="none" w:sz="0" w:space="0" w:color="auto"/>
        <w:bottom w:val="none" w:sz="0" w:space="0" w:color="auto"/>
        <w:right w:val="none" w:sz="0" w:space="0" w:color="auto"/>
      </w:divBdr>
    </w:div>
    <w:div w:id="2066172684">
      <w:bodyDiv w:val="1"/>
      <w:marLeft w:val="0"/>
      <w:marRight w:val="0"/>
      <w:marTop w:val="0"/>
      <w:marBottom w:val="0"/>
      <w:divBdr>
        <w:top w:val="none" w:sz="0" w:space="0" w:color="auto"/>
        <w:left w:val="none" w:sz="0" w:space="0" w:color="auto"/>
        <w:bottom w:val="none" w:sz="0" w:space="0" w:color="auto"/>
        <w:right w:val="none" w:sz="0" w:space="0" w:color="auto"/>
      </w:divBdr>
    </w:div>
    <w:div w:id="2088769024">
      <w:bodyDiv w:val="1"/>
      <w:marLeft w:val="0"/>
      <w:marRight w:val="0"/>
      <w:marTop w:val="0"/>
      <w:marBottom w:val="0"/>
      <w:divBdr>
        <w:top w:val="none" w:sz="0" w:space="0" w:color="auto"/>
        <w:left w:val="none" w:sz="0" w:space="0" w:color="auto"/>
        <w:bottom w:val="none" w:sz="0" w:space="0" w:color="auto"/>
        <w:right w:val="none" w:sz="0" w:space="0" w:color="auto"/>
      </w:divBdr>
    </w:div>
    <w:div w:id="2099908884">
      <w:bodyDiv w:val="1"/>
      <w:marLeft w:val="0"/>
      <w:marRight w:val="0"/>
      <w:marTop w:val="0"/>
      <w:marBottom w:val="0"/>
      <w:divBdr>
        <w:top w:val="none" w:sz="0" w:space="0" w:color="auto"/>
        <w:left w:val="none" w:sz="0" w:space="0" w:color="auto"/>
        <w:bottom w:val="none" w:sz="0" w:space="0" w:color="auto"/>
        <w:right w:val="none" w:sz="0" w:space="0" w:color="auto"/>
      </w:divBdr>
    </w:div>
    <w:div w:id="2102486164">
      <w:bodyDiv w:val="1"/>
      <w:marLeft w:val="0"/>
      <w:marRight w:val="0"/>
      <w:marTop w:val="0"/>
      <w:marBottom w:val="0"/>
      <w:divBdr>
        <w:top w:val="none" w:sz="0" w:space="0" w:color="auto"/>
        <w:left w:val="none" w:sz="0" w:space="0" w:color="auto"/>
        <w:bottom w:val="none" w:sz="0" w:space="0" w:color="auto"/>
        <w:right w:val="none" w:sz="0" w:space="0" w:color="auto"/>
      </w:divBdr>
    </w:div>
    <w:div w:id="2122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qcc.com/firm_54813a9d966ad1869761c8afeaa0002e.html"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hyperlink" Target="mailto:service@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012168-2858-48E1-8968-BCF5A801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176</Pages>
  <Words>20901</Words>
  <Characters>119136</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易方达现金收益证券投资基金</vt:lpstr>
    </vt:vector>
  </TitlesOfParts>
  <Company>efund</Company>
  <LinksUpToDate>false</LinksUpToDate>
  <CharactersWithSpaces>139758</CharactersWithSpaces>
  <SharedDoc>false</SharedDoc>
  <HLinks>
    <vt:vector size="624" baseType="variant">
      <vt:variant>
        <vt:i4>1704044</vt:i4>
      </vt:variant>
      <vt:variant>
        <vt:i4>609</vt:i4>
      </vt:variant>
      <vt:variant>
        <vt:i4>0</vt:i4>
      </vt:variant>
      <vt:variant>
        <vt:i4>5</vt:i4>
      </vt:variant>
      <vt:variant>
        <vt:lpwstr>mailto:service@efunds.com.cn</vt:lpwstr>
      </vt:variant>
      <vt:variant>
        <vt:lpwstr/>
      </vt:variant>
      <vt:variant>
        <vt:i4>6160454</vt:i4>
      </vt:variant>
      <vt:variant>
        <vt:i4>606</vt:i4>
      </vt:variant>
      <vt:variant>
        <vt:i4>0</vt:i4>
      </vt:variant>
      <vt:variant>
        <vt:i4>5</vt:i4>
      </vt:variant>
      <vt:variant>
        <vt:lpwstr>http://www.efunds.com.cn/</vt:lpwstr>
      </vt:variant>
      <vt:variant>
        <vt:lpwstr/>
      </vt:variant>
      <vt:variant>
        <vt:i4>6160454</vt:i4>
      </vt:variant>
      <vt:variant>
        <vt:i4>603</vt:i4>
      </vt:variant>
      <vt:variant>
        <vt:i4>0</vt:i4>
      </vt:variant>
      <vt:variant>
        <vt:i4>5</vt:i4>
      </vt:variant>
      <vt:variant>
        <vt:lpwstr>http://www.efunds.com.cn/</vt:lpwstr>
      </vt:variant>
      <vt:variant>
        <vt:lpwstr/>
      </vt:variant>
      <vt:variant>
        <vt:i4>6160454</vt:i4>
      </vt:variant>
      <vt:variant>
        <vt:i4>600</vt:i4>
      </vt:variant>
      <vt:variant>
        <vt:i4>0</vt:i4>
      </vt:variant>
      <vt:variant>
        <vt:i4>5</vt:i4>
      </vt:variant>
      <vt:variant>
        <vt:lpwstr>http://www.efunds.com.cn/</vt:lpwstr>
      </vt:variant>
      <vt:variant>
        <vt:lpwstr/>
      </vt:variant>
      <vt:variant>
        <vt:i4>6357030</vt:i4>
      </vt:variant>
      <vt:variant>
        <vt:i4>597</vt:i4>
      </vt:variant>
      <vt:variant>
        <vt:i4>0</vt:i4>
      </vt:variant>
      <vt:variant>
        <vt:i4>5</vt:i4>
      </vt:variant>
      <vt:variant>
        <vt:lpwstr>https://www.sc.com/global/av/hk-e-scb-interim-report2016-with-signature.pdf</vt:lpwstr>
      </vt:variant>
      <vt:variant>
        <vt:lpwstr/>
      </vt:variant>
      <vt:variant>
        <vt:i4>1310779</vt:i4>
      </vt:variant>
      <vt:variant>
        <vt:i4>590</vt:i4>
      </vt:variant>
      <vt:variant>
        <vt:i4>0</vt:i4>
      </vt:variant>
      <vt:variant>
        <vt:i4>5</vt:i4>
      </vt:variant>
      <vt:variant>
        <vt:lpwstr/>
      </vt:variant>
      <vt:variant>
        <vt:lpwstr>_Toc476584155</vt:lpwstr>
      </vt:variant>
      <vt:variant>
        <vt:i4>1310779</vt:i4>
      </vt:variant>
      <vt:variant>
        <vt:i4>584</vt:i4>
      </vt:variant>
      <vt:variant>
        <vt:i4>0</vt:i4>
      </vt:variant>
      <vt:variant>
        <vt:i4>5</vt:i4>
      </vt:variant>
      <vt:variant>
        <vt:lpwstr/>
      </vt:variant>
      <vt:variant>
        <vt:lpwstr>_Toc476584154</vt:lpwstr>
      </vt:variant>
      <vt:variant>
        <vt:i4>1310779</vt:i4>
      </vt:variant>
      <vt:variant>
        <vt:i4>578</vt:i4>
      </vt:variant>
      <vt:variant>
        <vt:i4>0</vt:i4>
      </vt:variant>
      <vt:variant>
        <vt:i4>5</vt:i4>
      </vt:variant>
      <vt:variant>
        <vt:lpwstr/>
      </vt:variant>
      <vt:variant>
        <vt:lpwstr>_Toc476584153</vt:lpwstr>
      </vt:variant>
      <vt:variant>
        <vt:i4>1310779</vt:i4>
      </vt:variant>
      <vt:variant>
        <vt:i4>572</vt:i4>
      </vt:variant>
      <vt:variant>
        <vt:i4>0</vt:i4>
      </vt:variant>
      <vt:variant>
        <vt:i4>5</vt:i4>
      </vt:variant>
      <vt:variant>
        <vt:lpwstr/>
      </vt:variant>
      <vt:variant>
        <vt:lpwstr>_Toc476584152</vt:lpwstr>
      </vt:variant>
      <vt:variant>
        <vt:i4>1310779</vt:i4>
      </vt:variant>
      <vt:variant>
        <vt:i4>566</vt:i4>
      </vt:variant>
      <vt:variant>
        <vt:i4>0</vt:i4>
      </vt:variant>
      <vt:variant>
        <vt:i4>5</vt:i4>
      </vt:variant>
      <vt:variant>
        <vt:lpwstr/>
      </vt:variant>
      <vt:variant>
        <vt:lpwstr>_Toc476584151</vt:lpwstr>
      </vt:variant>
      <vt:variant>
        <vt:i4>1310779</vt:i4>
      </vt:variant>
      <vt:variant>
        <vt:i4>560</vt:i4>
      </vt:variant>
      <vt:variant>
        <vt:i4>0</vt:i4>
      </vt:variant>
      <vt:variant>
        <vt:i4>5</vt:i4>
      </vt:variant>
      <vt:variant>
        <vt:lpwstr/>
      </vt:variant>
      <vt:variant>
        <vt:lpwstr>_Toc476584150</vt:lpwstr>
      </vt:variant>
      <vt:variant>
        <vt:i4>1376315</vt:i4>
      </vt:variant>
      <vt:variant>
        <vt:i4>554</vt:i4>
      </vt:variant>
      <vt:variant>
        <vt:i4>0</vt:i4>
      </vt:variant>
      <vt:variant>
        <vt:i4>5</vt:i4>
      </vt:variant>
      <vt:variant>
        <vt:lpwstr/>
      </vt:variant>
      <vt:variant>
        <vt:lpwstr>_Toc476584149</vt:lpwstr>
      </vt:variant>
      <vt:variant>
        <vt:i4>1376315</vt:i4>
      </vt:variant>
      <vt:variant>
        <vt:i4>548</vt:i4>
      </vt:variant>
      <vt:variant>
        <vt:i4>0</vt:i4>
      </vt:variant>
      <vt:variant>
        <vt:i4>5</vt:i4>
      </vt:variant>
      <vt:variant>
        <vt:lpwstr/>
      </vt:variant>
      <vt:variant>
        <vt:lpwstr>_Toc476584148</vt:lpwstr>
      </vt:variant>
      <vt:variant>
        <vt:i4>1376315</vt:i4>
      </vt:variant>
      <vt:variant>
        <vt:i4>542</vt:i4>
      </vt:variant>
      <vt:variant>
        <vt:i4>0</vt:i4>
      </vt:variant>
      <vt:variant>
        <vt:i4>5</vt:i4>
      </vt:variant>
      <vt:variant>
        <vt:lpwstr/>
      </vt:variant>
      <vt:variant>
        <vt:lpwstr>_Toc476584147</vt:lpwstr>
      </vt:variant>
      <vt:variant>
        <vt:i4>1376315</vt:i4>
      </vt:variant>
      <vt:variant>
        <vt:i4>536</vt:i4>
      </vt:variant>
      <vt:variant>
        <vt:i4>0</vt:i4>
      </vt:variant>
      <vt:variant>
        <vt:i4>5</vt:i4>
      </vt:variant>
      <vt:variant>
        <vt:lpwstr/>
      </vt:variant>
      <vt:variant>
        <vt:lpwstr>_Toc476584146</vt:lpwstr>
      </vt:variant>
      <vt:variant>
        <vt:i4>1376315</vt:i4>
      </vt:variant>
      <vt:variant>
        <vt:i4>530</vt:i4>
      </vt:variant>
      <vt:variant>
        <vt:i4>0</vt:i4>
      </vt:variant>
      <vt:variant>
        <vt:i4>5</vt:i4>
      </vt:variant>
      <vt:variant>
        <vt:lpwstr/>
      </vt:variant>
      <vt:variant>
        <vt:lpwstr>_Toc476584145</vt:lpwstr>
      </vt:variant>
      <vt:variant>
        <vt:i4>1376315</vt:i4>
      </vt:variant>
      <vt:variant>
        <vt:i4>524</vt:i4>
      </vt:variant>
      <vt:variant>
        <vt:i4>0</vt:i4>
      </vt:variant>
      <vt:variant>
        <vt:i4>5</vt:i4>
      </vt:variant>
      <vt:variant>
        <vt:lpwstr/>
      </vt:variant>
      <vt:variant>
        <vt:lpwstr>_Toc476584144</vt:lpwstr>
      </vt:variant>
      <vt:variant>
        <vt:i4>1376315</vt:i4>
      </vt:variant>
      <vt:variant>
        <vt:i4>518</vt:i4>
      </vt:variant>
      <vt:variant>
        <vt:i4>0</vt:i4>
      </vt:variant>
      <vt:variant>
        <vt:i4>5</vt:i4>
      </vt:variant>
      <vt:variant>
        <vt:lpwstr/>
      </vt:variant>
      <vt:variant>
        <vt:lpwstr>_Toc476584143</vt:lpwstr>
      </vt:variant>
      <vt:variant>
        <vt:i4>1376315</vt:i4>
      </vt:variant>
      <vt:variant>
        <vt:i4>512</vt:i4>
      </vt:variant>
      <vt:variant>
        <vt:i4>0</vt:i4>
      </vt:variant>
      <vt:variant>
        <vt:i4>5</vt:i4>
      </vt:variant>
      <vt:variant>
        <vt:lpwstr/>
      </vt:variant>
      <vt:variant>
        <vt:lpwstr>_Toc476584142</vt:lpwstr>
      </vt:variant>
      <vt:variant>
        <vt:i4>1376315</vt:i4>
      </vt:variant>
      <vt:variant>
        <vt:i4>506</vt:i4>
      </vt:variant>
      <vt:variant>
        <vt:i4>0</vt:i4>
      </vt:variant>
      <vt:variant>
        <vt:i4>5</vt:i4>
      </vt:variant>
      <vt:variant>
        <vt:lpwstr/>
      </vt:variant>
      <vt:variant>
        <vt:lpwstr>_Toc476584141</vt:lpwstr>
      </vt:variant>
      <vt:variant>
        <vt:i4>1376315</vt:i4>
      </vt:variant>
      <vt:variant>
        <vt:i4>500</vt:i4>
      </vt:variant>
      <vt:variant>
        <vt:i4>0</vt:i4>
      </vt:variant>
      <vt:variant>
        <vt:i4>5</vt:i4>
      </vt:variant>
      <vt:variant>
        <vt:lpwstr/>
      </vt:variant>
      <vt:variant>
        <vt:lpwstr>_Toc476584140</vt:lpwstr>
      </vt:variant>
      <vt:variant>
        <vt:i4>1179707</vt:i4>
      </vt:variant>
      <vt:variant>
        <vt:i4>494</vt:i4>
      </vt:variant>
      <vt:variant>
        <vt:i4>0</vt:i4>
      </vt:variant>
      <vt:variant>
        <vt:i4>5</vt:i4>
      </vt:variant>
      <vt:variant>
        <vt:lpwstr/>
      </vt:variant>
      <vt:variant>
        <vt:lpwstr>_Toc476584139</vt:lpwstr>
      </vt:variant>
      <vt:variant>
        <vt:i4>1179707</vt:i4>
      </vt:variant>
      <vt:variant>
        <vt:i4>488</vt:i4>
      </vt:variant>
      <vt:variant>
        <vt:i4>0</vt:i4>
      </vt:variant>
      <vt:variant>
        <vt:i4>5</vt:i4>
      </vt:variant>
      <vt:variant>
        <vt:lpwstr/>
      </vt:variant>
      <vt:variant>
        <vt:lpwstr>_Toc476584138</vt:lpwstr>
      </vt:variant>
      <vt:variant>
        <vt:i4>1179707</vt:i4>
      </vt:variant>
      <vt:variant>
        <vt:i4>482</vt:i4>
      </vt:variant>
      <vt:variant>
        <vt:i4>0</vt:i4>
      </vt:variant>
      <vt:variant>
        <vt:i4>5</vt:i4>
      </vt:variant>
      <vt:variant>
        <vt:lpwstr/>
      </vt:variant>
      <vt:variant>
        <vt:lpwstr>_Toc476584137</vt:lpwstr>
      </vt:variant>
      <vt:variant>
        <vt:i4>1179707</vt:i4>
      </vt:variant>
      <vt:variant>
        <vt:i4>476</vt:i4>
      </vt:variant>
      <vt:variant>
        <vt:i4>0</vt:i4>
      </vt:variant>
      <vt:variant>
        <vt:i4>5</vt:i4>
      </vt:variant>
      <vt:variant>
        <vt:lpwstr/>
      </vt:variant>
      <vt:variant>
        <vt:lpwstr>_Toc476584136</vt:lpwstr>
      </vt:variant>
      <vt:variant>
        <vt:i4>1179707</vt:i4>
      </vt:variant>
      <vt:variant>
        <vt:i4>470</vt:i4>
      </vt:variant>
      <vt:variant>
        <vt:i4>0</vt:i4>
      </vt:variant>
      <vt:variant>
        <vt:i4>5</vt:i4>
      </vt:variant>
      <vt:variant>
        <vt:lpwstr/>
      </vt:variant>
      <vt:variant>
        <vt:lpwstr>_Toc476584135</vt:lpwstr>
      </vt:variant>
      <vt:variant>
        <vt:i4>1179707</vt:i4>
      </vt:variant>
      <vt:variant>
        <vt:i4>464</vt:i4>
      </vt:variant>
      <vt:variant>
        <vt:i4>0</vt:i4>
      </vt:variant>
      <vt:variant>
        <vt:i4>5</vt:i4>
      </vt:variant>
      <vt:variant>
        <vt:lpwstr/>
      </vt:variant>
      <vt:variant>
        <vt:lpwstr>_Toc476584134</vt:lpwstr>
      </vt:variant>
      <vt:variant>
        <vt:i4>1179707</vt:i4>
      </vt:variant>
      <vt:variant>
        <vt:i4>458</vt:i4>
      </vt:variant>
      <vt:variant>
        <vt:i4>0</vt:i4>
      </vt:variant>
      <vt:variant>
        <vt:i4>5</vt:i4>
      </vt:variant>
      <vt:variant>
        <vt:lpwstr/>
      </vt:variant>
      <vt:variant>
        <vt:lpwstr>_Toc476584133</vt:lpwstr>
      </vt:variant>
      <vt:variant>
        <vt:i4>1179707</vt:i4>
      </vt:variant>
      <vt:variant>
        <vt:i4>452</vt:i4>
      </vt:variant>
      <vt:variant>
        <vt:i4>0</vt:i4>
      </vt:variant>
      <vt:variant>
        <vt:i4>5</vt:i4>
      </vt:variant>
      <vt:variant>
        <vt:lpwstr/>
      </vt:variant>
      <vt:variant>
        <vt:lpwstr>_Toc476584132</vt:lpwstr>
      </vt:variant>
      <vt:variant>
        <vt:i4>1179707</vt:i4>
      </vt:variant>
      <vt:variant>
        <vt:i4>446</vt:i4>
      </vt:variant>
      <vt:variant>
        <vt:i4>0</vt:i4>
      </vt:variant>
      <vt:variant>
        <vt:i4>5</vt:i4>
      </vt:variant>
      <vt:variant>
        <vt:lpwstr/>
      </vt:variant>
      <vt:variant>
        <vt:lpwstr>_Toc476584131</vt:lpwstr>
      </vt:variant>
      <vt:variant>
        <vt:i4>1179707</vt:i4>
      </vt:variant>
      <vt:variant>
        <vt:i4>440</vt:i4>
      </vt:variant>
      <vt:variant>
        <vt:i4>0</vt:i4>
      </vt:variant>
      <vt:variant>
        <vt:i4>5</vt:i4>
      </vt:variant>
      <vt:variant>
        <vt:lpwstr/>
      </vt:variant>
      <vt:variant>
        <vt:lpwstr>_Toc476584130</vt:lpwstr>
      </vt:variant>
      <vt:variant>
        <vt:i4>1245243</vt:i4>
      </vt:variant>
      <vt:variant>
        <vt:i4>434</vt:i4>
      </vt:variant>
      <vt:variant>
        <vt:i4>0</vt:i4>
      </vt:variant>
      <vt:variant>
        <vt:i4>5</vt:i4>
      </vt:variant>
      <vt:variant>
        <vt:lpwstr/>
      </vt:variant>
      <vt:variant>
        <vt:lpwstr>_Toc476584129</vt:lpwstr>
      </vt:variant>
      <vt:variant>
        <vt:i4>1245243</vt:i4>
      </vt:variant>
      <vt:variant>
        <vt:i4>428</vt:i4>
      </vt:variant>
      <vt:variant>
        <vt:i4>0</vt:i4>
      </vt:variant>
      <vt:variant>
        <vt:i4>5</vt:i4>
      </vt:variant>
      <vt:variant>
        <vt:lpwstr/>
      </vt:variant>
      <vt:variant>
        <vt:lpwstr>_Toc476584128</vt:lpwstr>
      </vt:variant>
      <vt:variant>
        <vt:i4>1245243</vt:i4>
      </vt:variant>
      <vt:variant>
        <vt:i4>422</vt:i4>
      </vt:variant>
      <vt:variant>
        <vt:i4>0</vt:i4>
      </vt:variant>
      <vt:variant>
        <vt:i4>5</vt:i4>
      </vt:variant>
      <vt:variant>
        <vt:lpwstr/>
      </vt:variant>
      <vt:variant>
        <vt:lpwstr>_Toc476584127</vt:lpwstr>
      </vt:variant>
      <vt:variant>
        <vt:i4>1245243</vt:i4>
      </vt:variant>
      <vt:variant>
        <vt:i4>416</vt:i4>
      </vt:variant>
      <vt:variant>
        <vt:i4>0</vt:i4>
      </vt:variant>
      <vt:variant>
        <vt:i4>5</vt:i4>
      </vt:variant>
      <vt:variant>
        <vt:lpwstr/>
      </vt:variant>
      <vt:variant>
        <vt:lpwstr>_Toc476584126</vt:lpwstr>
      </vt:variant>
      <vt:variant>
        <vt:i4>1245243</vt:i4>
      </vt:variant>
      <vt:variant>
        <vt:i4>410</vt:i4>
      </vt:variant>
      <vt:variant>
        <vt:i4>0</vt:i4>
      </vt:variant>
      <vt:variant>
        <vt:i4>5</vt:i4>
      </vt:variant>
      <vt:variant>
        <vt:lpwstr/>
      </vt:variant>
      <vt:variant>
        <vt:lpwstr>_Toc476584125</vt:lpwstr>
      </vt:variant>
      <vt:variant>
        <vt:i4>1245243</vt:i4>
      </vt:variant>
      <vt:variant>
        <vt:i4>404</vt:i4>
      </vt:variant>
      <vt:variant>
        <vt:i4>0</vt:i4>
      </vt:variant>
      <vt:variant>
        <vt:i4>5</vt:i4>
      </vt:variant>
      <vt:variant>
        <vt:lpwstr/>
      </vt:variant>
      <vt:variant>
        <vt:lpwstr>_Toc476584124</vt:lpwstr>
      </vt:variant>
      <vt:variant>
        <vt:i4>1245243</vt:i4>
      </vt:variant>
      <vt:variant>
        <vt:i4>398</vt:i4>
      </vt:variant>
      <vt:variant>
        <vt:i4>0</vt:i4>
      </vt:variant>
      <vt:variant>
        <vt:i4>5</vt:i4>
      </vt:variant>
      <vt:variant>
        <vt:lpwstr/>
      </vt:variant>
      <vt:variant>
        <vt:lpwstr>_Toc476584123</vt:lpwstr>
      </vt:variant>
      <vt:variant>
        <vt:i4>1245243</vt:i4>
      </vt:variant>
      <vt:variant>
        <vt:i4>392</vt:i4>
      </vt:variant>
      <vt:variant>
        <vt:i4>0</vt:i4>
      </vt:variant>
      <vt:variant>
        <vt:i4>5</vt:i4>
      </vt:variant>
      <vt:variant>
        <vt:lpwstr/>
      </vt:variant>
      <vt:variant>
        <vt:lpwstr>_Toc476584122</vt:lpwstr>
      </vt:variant>
      <vt:variant>
        <vt:i4>1245243</vt:i4>
      </vt:variant>
      <vt:variant>
        <vt:i4>386</vt:i4>
      </vt:variant>
      <vt:variant>
        <vt:i4>0</vt:i4>
      </vt:variant>
      <vt:variant>
        <vt:i4>5</vt:i4>
      </vt:variant>
      <vt:variant>
        <vt:lpwstr/>
      </vt:variant>
      <vt:variant>
        <vt:lpwstr>_Toc476584121</vt:lpwstr>
      </vt:variant>
      <vt:variant>
        <vt:i4>1245243</vt:i4>
      </vt:variant>
      <vt:variant>
        <vt:i4>380</vt:i4>
      </vt:variant>
      <vt:variant>
        <vt:i4>0</vt:i4>
      </vt:variant>
      <vt:variant>
        <vt:i4>5</vt:i4>
      </vt:variant>
      <vt:variant>
        <vt:lpwstr/>
      </vt:variant>
      <vt:variant>
        <vt:lpwstr>_Toc476584120</vt:lpwstr>
      </vt:variant>
      <vt:variant>
        <vt:i4>1048635</vt:i4>
      </vt:variant>
      <vt:variant>
        <vt:i4>374</vt:i4>
      </vt:variant>
      <vt:variant>
        <vt:i4>0</vt:i4>
      </vt:variant>
      <vt:variant>
        <vt:i4>5</vt:i4>
      </vt:variant>
      <vt:variant>
        <vt:lpwstr/>
      </vt:variant>
      <vt:variant>
        <vt:lpwstr>_Toc476584119</vt:lpwstr>
      </vt:variant>
      <vt:variant>
        <vt:i4>1048635</vt:i4>
      </vt:variant>
      <vt:variant>
        <vt:i4>368</vt:i4>
      </vt:variant>
      <vt:variant>
        <vt:i4>0</vt:i4>
      </vt:variant>
      <vt:variant>
        <vt:i4>5</vt:i4>
      </vt:variant>
      <vt:variant>
        <vt:lpwstr/>
      </vt:variant>
      <vt:variant>
        <vt:lpwstr>_Toc476584118</vt:lpwstr>
      </vt:variant>
      <vt:variant>
        <vt:i4>1048635</vt:i4>
      </vt:variant>
      <vt:variant>
        <vt:i4>362</vt:i4>
      </vt:variant>
      <vt:variant>
        <vt:i4>0</vt:i4>
      </vt:variant>
      <vt:variant>
        <vt:i4>5</vt:i4>
      </vt:variant>
      <vt:variant>
        <vt:lpwstr/>
      </vt:variant>
      <vt:variant>
        <vt:lpwstr>_Toc476584117</vt:lpwstr>
      </vt:variant>
      <vt:variant>
        <vt:i4>1048635</vt:i4>
      </vt:variant>
      <vt:variant>
        <vt:i4>356</vt:i4>
      </vt:variant>
      <vt:variant>
        <vt:i4>0</vt:i4>
      </vt:variant>
      <vt:variant>
        <vt:i4>5</vt:i4>
      </vt:variant>
      <vt:variant>
        <vt:lpwstr/>
      </vt:variant>
      <vt:variant>
        <vt:lpwstr>_Toc476584116</vt:lpwstr>
      </vt:variant>
      <vt:variant>
        <vt:i4>1048635</vt:i4>
      </vt:variant>
      <vt:variant>
        <vt:i4>350</vt:i4>
      </vt:variant>
      <vt:variant>
        <vt:i4>0</vt:i4>
      </vt:variant>
      <vt:variant>
        <vt:i4>5</vt:i4>
      </vt:variant>
      <vt:variant>
        <vt:lpwstr/>
      </vt:variant>
      <vt:variant>
        <vt:lpwstr>_Toc476584115</vt:lpwstr>
      </vt:variant>
      <vt:variant>
        <vt:i4>1048635</vt:i4>
      </vt:variant>
      <vt:variant>
        <vt:i4>344</vt:i4>
      </vt:variant>
      <vt:variant>
        <vt:i4>0</vt:i4>
      </vt:variant>
      <vt:variant>
        <vt:i4>5</vt:i4>
      </vt:variant>
      <vt:variant>
        <vt:lpwstr/>
      </vt:variant>
      <vt:variant>
        <vt:lpwstr>_Toc476584114</vt:lpwstr>
      </vt:variant>
      <vt:variant>
        <vt:i4>1048635</vt:i4>
      </vt:variant>
      <vt:variant>
        <vt:i4>338</vt:i4>
      </vt:variant>
      <vt:variant>
        <vt:i4>0</vt:i4>
      </vt:variant>
      <vt:variant>
        <vt:i4>5</vt:i4>
      </vt:variant>
      <vt:variant>
        <vt:lpwstr/>
      </vt:variant>
      <vt:variant>
        <vt:lpwstr>_Toc476584113</vt:lpwstr>
      </vt:variant>
      <vt:variant>
        <vt:i4>1048635</vt:i4>
      </vt:variant>
      <vt:variant>
        <vt:i4>332</vt:i4>
      </vt:variant>
      <vt:variant>
        <vt:i4>0</vt:i4>
      </vt:variant>
      <vt:variant>
        <vt:i4>5</vt:i4>
      </vt:variant>
      <vt:variant>
        <vt:lpwstr/>
      </vt:variant>
      <vt:variant>
        <vt:lpwstr>_Toc476584112</vt:lpwstr>
      </vt:variant>
      <vt:variant>
        <vt:i4>1048635</vt:i4>
      </vt:variant>
      <vt:variant>
        <vt:i4>326</vt:i4>
      </vt:variant>
      <vt:variant>
        <vt:i4>0</vt:i4>
      </vt:variant>
      <vt:variant>
        <vt:i4>5</vt:i4>
      </vt:variant>
      <vt:variant>
        <vt:lpwstr/>
      </vt:variant>
      <vt:variant>
        <vt:lpwstr>_Toc476584111</vt:lpwstr>
      </vt:variant>
      <vt:variant>
        <vt:i4>1048635</vt:i4>
      </vt:variant>
      <vt:variant>
        <vt:i4>320</vt:i4>
      </vt:variant>
      <vt:variant>
        <vt:i4>0</vt:i4>
      </vt:variant>
      <vt:variant>
        <vt:i4>5</vt:i4>
      </vt:variant>
      <vt:variant>
        <vt:lpwstr/>
      </vt:variant>
      <vt:variant>
        <vt:lpwstr>_Toc476584110</vt:lpwstr>
      </vt:variant>
      <vt:variant>
        <vt:i4>1114171</vt:i4>
      </vt:variant>
      <vt:variant>
        <vt:i4>314</vt:i4>
      </vt:variant>
      <vt:variant>
        <vt:i4>0</vt:i4>
      </vt:variant>
      <vt:variant>
        <vt:i4>5</vt:i4>
      </vt:variant>
      <vt:variant>
        <vt:lpwstr/>
      </vt:variant>
      <vt:variant>
        <vt:lpwstr>_Toc476584109</vt:lpwstr>
      </vt:variant>
      <vt:variant>
        <vt:i4>1114171</vt:i4>
      </vt:variant>
      <vt:variant>
        <vt:i4>308</vt:i4>
      </vt:variant>
      <vt:variant>
        <vt:i4>0</vt:i4>
      </vt:variant>
      <vt:variant>
        <vt:i4>5</vt:i4>
      </vt:variant>
      <vt:variant>
        <vt:lpwstr/>
      </vt:variant>
      <vt:variant>
        <vt:lpwstr>_Toc476584108</vt:lpwstr>
      </vt:variant>
      <vt:variant>
        <vt:i4>1114171</vt:i4>
      </vt:variant>
      <vt:variant>
        <vt:i4>302</vt:i4>
      </vt:variant>
      <vt:variant>
        <vt:i4>0</vt:i4>
      </vt:variant>
      <vt:variant>
        <vt:i4>5</vt:i4>
      </vt:variant>
      <vt:variant>
        <vt:lpwstr/>
      </vt:variant>
      <vt:variant>
        <vt:lpwstr>_Toc476584107</vt:lpwstr>
      </vt:variant>
      <vt:variant>
        <vt:i4>1114171</vt:i4>
      </vt:variant>
      <vt:variant>
        <vt:i4>296</vt:i4>
      </vt:variant>
      <vt:variant>
        <vt:i4>0</vt:i4>
      </vt:variant>
      <vt:variant>
        <vt:i4>5</vt:i4>
      </vt:variant>
      <vt:variant>
        <vt:lpwstr/>
      </vt:variant>
      <vt:variant>
        <vt:lpwstr>_Toc476584106</vt:lpwstr>
      </vt:variant>
      <vt:variant>
        <vt:i4>1114171</vt:i4>
      </vt:variant>
      <vt:variant>
        <vt:i4>290</vt:i4>
      </vt:variant>
      <vt:variant>
        <vt:i4>0</vt:i4>
      </vt:variant>
      <vt:variant>
        <vt:i4>5</vt:i4>
      </vt:variant>
      <vt:variant>
        <vt:lpwstr/>
      </vt:variant>
      <vt:variant>
        <vt:lpwstr>_Toc476584105</vt:lpwstr>
      </vt:variant>
      <vt:variant>
        <vt:i4>1114171</vt:i4>
      </vt:variant>
      <vt:variant>
        <vt:i4>284</vt:i4>
      </vt:variant>
      <vt:variant>
        <vt:i4>0</vt:i4>
      </vt:variant>
      <vt:variant>
        <vt:i4>5</vt:i4>
      </vt:variant>
      <vt:variant>
        <vt:lpwstr/>
      </vt:variant>
      <vt:variant>
        <vt:lpwstr>_Toc476584104</vt:lpwstr>
      </vt:variant>
      <vt:variant>
        <vt:i4>1114171</vt:i4>
      </vt:variant>
      <vt:variant>
        <vt:i4>278</vt:i4>
      </vt:variant>
      <vt:variant>
        <vt:i4>0</vt:i4>
      </vt:variant>
      <vt:variant>
        <vt:i4>5</vt:i4>
      </vt:variant>
      <vt:variant>
        <vt:lpwstr/>
      </vt:variant>
      <vt:variant>
        <vt:lpwstr>_Toc476584103</vt:lpwstr>
      </vt:variant>
      <vt:variant>
        <vt:i4>1114171</vt:i4>
      </vt:variant>
      <vt:variant>
        <vt:i4>272</vt:i4>
      </vt:variant>
      <vt:variant>
        <vt:i4>0</vt:i4>
      </vt:variant>
      <vt:variant>
        <vt:i4>5</vt:i4>
      </vt:variant>
      <vt:variant>
        <vt:lpwstr/>
      </vt:variant>
      <vt:variant>
        <vt:lpwstr>_Toc476584102</vt:lpwstr>
      </vt:variant>
      <vt:variant>
        <vt:i4>1114171</vt:i4>
      </vt:variant>
      <vt:variant>
        <vt:i4>266</vt:i4>
      </vt:variant>
      <vt:variant>
        <vt:i4>0</vt:i4>
      </vt:variant>
      <vt:variant>
        <vt:i4>5</vt:i4>
      </vt:variant>
      <vt:variant>
        <vt:lpwstr/>
      </vt:variant>
      <vt:variant>
        <vt:lpwstr>_Toc476584101</vt:lpwstr>
      </vt:variant>
      <vt:variant>
        <vt:i4>1114171</vt:i4>
      </vt:variant>
      <vt:variant>
        <vt:i4>260</vt:i4>
      </vt:variant>
      <vt:variant>
        <vt:i4>0</vt:i4>
      </vt:variant>
      <vt:variant>
        <vt:i4>5</vt:i4>
      </vt:variant>
      <vt:variant>
        <vt:lpwstr/>
      </vt:variant>
      <vt:variant>
        <vt:lpwstr>_Toc476584100</vt:lpwstr>
      </vt:variant>
      <vt:variant>
        <vt:i4>1572922</vt:i4>
      </vt:variant>
      <vt:variant>
        <vt:i4>254</vt:i4>
      </vt:variant>
      <vt:variant>
        <vt:i4>0</vt:i4>
      </vt:variant>
      <vt:variant>
        <vt:i4>5</vt:i4>
      </vt:variant>
      <vt:variant>
        <vt:lpwstr/>
      </vt:variant>
      <vt:variant>
        <vt:lpwstr>_Toc476584099</vt:lpwstr>
      </vt:variant>
      <vt:variant>
        <vt:i4>1572922</vt:i4>
      </vt:variant>
      <vt:variant>
        <vt:i4>248</vt:i4>
      </vt:variant>
      <vt:variant>
        <vt:i4>0</vt:i4>
      </vt:variant>
      <vt:variant>
        <vt:i4>5</vt:i4>
      </vt:variant>
      <vt:variant>
        <vt:lpwstr/>
      </vt:variant>
      <vt:variant>
        <vt:lpwstr>_Toc476584098</vt:lpwstr>
      </vt:variant>
      <vt:variant>
        <vt:i4>1572922</vt:i4>
      </vt:variant>
      <vt:variant>
        <vt:i4>242</vt:i4>
      </vt:variant>
      <vt:variant>
        <vt:i4>0</vt:i4>
      </vt:variant>
      <vt:variant>
        <vt:i4>5</vt:i4>
      </vt:variant>
      <vt:variant>
        <vt:lpwstr/>
      </vt:variant>
      <vt:variant>
        <vt:lpwstr>_Toc476584097</vt:lpwstr>
      </vt:variant>
      <vt:variant>
        <vt:i4>1572922</vt:i4>
      </vt:variant>
      <vt:variant>
        <vt:i4>236</vt:i4>
      </vt:variant>
      <vt:variant>
        <vt:i4>0</vt:i4>
      </vt:variant>
      <vt:variant>
        <vt:i4>5</vt:i4>
      </vt:variant>
      <vt:variant>
        <vt:lpwstr/>
      </vt:variant>
      <vt:variant>
        <vt:lpwstr>_Toc476584096</vt:lpwstr>
      </vt:variant>
      <vt:variant>
        <vt:i4>1572922</vt:i4>
      </vt:variant>
      <vt:variant>
        <vt:i4>230</vt:i4>
      </vt:variant>
      <vt:variant>
        <vt:i4>0</vt:i4>
      </vt:variant>
      <vt:variant>
        <vt:i4>5</vt:i4>
      </vt:variant>
      <vt:variant>
        <vt:lpwstr/>
      </vt:variant>
      <vt:variant>
        <vt:lpwstr>_Toc476584095</vt:lpwstr>
      </vt:variant>
      <vt:variant>
        <vt:i4>1572922</vt:i4>
      </vt:variant>
      <vt:variant>
        <vt:i4>224</vt:i4>
      </vt:variant>
      <vt:variant>
        <vt:i4>0</vt:i4>
      </vt:variant>
      <vt:variant>
        <vt:i4>5</vt:i4>
      </vt:variant>
      <vt:variant>
        <vt:lpwstr/>
      </vt:variant>
      <vt:variant>
        <vt:lpwstr>_Toc476584094</vt:lpwstr>
      </vt:variant>
      <vt:variant>
        <vt:i4>1572922</vt:i4>
      </vt:variant>
      <vt:variant>
        <vt:i4>218</vt:i4>
      </vt:variant>
      <vt:variant>
        <vt:i4>0</vt:i4>
      </vt:variant>
      <vt:variant>
        <vt:i4>5</vt:i4>
      </vt:variant>
      <vt:variant>
        <vt:lpwstr/>
      </vt:variant>
      <vt:variant>
        <vt:lpwstr>_Toc476584093</vt:lpwstr>
      </vt:variant>
      <vt:variant>
        <vt:i4>1572922</vt:i4>
      </vt:variant>
      <vt:variant>
        <vt:i4>212</vt:i4>
      </vt:variant>
      <vt:variant>
        <vt:i4>0</vt:i4>
      </vt:variant>
      <vt:variant>
        <vt:i4>5</vt:i4>
      </vt:variant>
      <vt:variant>
        <vt:lpwstr/>
      </vt:variant>
      <vt:variant>
        <vt:lpwstr>_Toc476584092</vt:lpwstr>
      </vt:variant>
      <vt:variant>
        <vt:i4>1572922</vt:i4>
      </vt:variant>
      <vt:variant>
        <vt:i4>206</vt:i4>
      </vt:variant>
      <vt:variant>
        <vt:i4>0</vt:i4>
      </vt:variant>
      <vt:variant>
        <vt:i4>5</vt:i4>
      </vt:variant>
      <vt:variant>
        <vt:lpwstr/>
      </vt:variant>
      <vt:variant>
        <vt:lpwstr>_Toc476584091</vt:lpwstr>
      </vt:variant>
      <vt:variant>
        <vt:i4>1572922</vt:i4>
      </vt:variant>
      <vt:variant>
        <vt:i4>200</vt:i4>
      </vt:variant>
      <vt:variant>
        <vt:i4>0</vt:i4>
      </vt:variant>
      <vt:variant>
        <vt:i4>5</vt:i4>
      </vt:variant>
      <vt:variant>
        <vt:lpwstr/>
      </vt:variant>
      <vt:variant>
        <vt:lpwstr>_Toc476584090</vt:lpwstr>
      </vt:variant>
      <vt:variant>
        <vt:i4>1638458</vt:i4>
      </vt:variant>
      <vt:variant>
        <vt:i4>194</vt:i4>
      </vt:variant>
      <vt:variant>
        <vt:i4>0</vt:i4>
      </vt:variant>
      <vt:variant>
        <vt:i4>5</vt:i4>
      </vt:variant>
      <vt:variant>
        <vt:lpwstr/>
      </vt:variant>
      <vt:variant>
        <vt:lpwstr>_Toc476584089</vt:lpwstr>
      </vt:variant>
      <vt:variant>
        <vt:i4>1638458</vt:i4>
      </vt:variant>
      <vt:variant>
        <vt:i4>188</vt:i4>
      </vt:variant>
      <vt:variant>
        <vt:i4>0</vt:i4>
      </vt:variant>
      <vt:variant>
        <vt:i4>5</vt:i4>
      </vt:variant>
      <vt:variant>
        <vt:lpwstr/>
      </vt:variant>
      <vt:variant>
        <vt:lpwstr>_Toc476584088</vt:lpwstr>
      </vt:variant>
      <vt:variant>
        <vt:i4>1638458</vt:i4>
      </vt:variant>
      <vt:variant>
        <vt:i4>182</vt:i4>
      </vt:variant>
      <vt:variant>
        <vt:i4>0</vt:i4>
      </vt:variant>
      <vt:variant>
        <vt:i4>5</vt:i4>
      </vt:variant>
      <vt:variant>
        <vt:lpwstr/>
      </vt:variant>
      <vt:variant>
        <vt:lpwstr>_Toc476584087</vt:lpwstr>
      </vt:variant>
      <vt:variant>
        <vt:i4>1638458</vt:i4>
      </vt:variant>
      <vt:variant>
        <vt:i4>176</vt:i4>
      </vt:variant>
      <vt:variant>
        <vt:i4>0</vt:i4>
      </vt:variant>
      <vt:variant>
        <vt:i4>5</vt:i4>
      </vt:variant>
      <vt:variant>
        <vt:lpwstr/>
      </vt:variant>
      <vt:variant>
        <vt:lpwstr>_Toc476584086</vt:lpwstr>
      </vt:variant>
      <vt:variant>
        <vt:i4>1638458</vt:i4>
      </vt:variant>
      <vt:variant>
        <vt:i4>170</vt:i4>
      </vt:variant>
      <vt:variant>
        <vt:i4>0</vt:i4>
      </vt:variant>
      <vt:variant>
        <vt:i4>5</vt:i4>
      </vt:variant>
      <vt:variant>
        <vt:lpwstr/>
      </vt:variant>
      <vt:variant>
        <vt:lpwstr>_Toc476584085</vt:lpwstr>
      </vt:variant>
      <vt:variant>
        <vt:i4>1638458</vt:i4>
      </vt:variant>
      <vt:variant>
        <vt:i4>164</vt:i4>
      </vt:variant>
      <vt:variant>
        <vt:i4>0</vt:i4>
      </vt:variant>
      <vt:variant>
        <vt:i4>5</vt:i4>
      </vt:variant>
      <vt:variant>
        <vt:lpwstr/>
      </vt:variant>
      <vt:variant>
        <vt:lpwstr>_Toc476584084</vt:lpwstr>
      </vt:variant>
      <vt:variant>
        <vt:i4>1638458</vt:i4>
      </vt:variant>
      <vt:variant>
        <vt:i4>158</vt:i4>
      </vt:variant>
      <vt:variant>
        <vt:i4>0</vt:i4>
      </vt:variant>
      <vt:variant>
        <vt:i4>5</vt:i4>
      </vt:variant>
      <vt:variant>
        <vt:lpwstr/>
      </vt:variant>
      <vt:variant>
        <vt:lpwstr>_Toc476584083</vt:lpwstr>
      </vt:variant>
      <vt:variant>
        <vt:i4>1638458</vt:i4>
      </vt:variant>
      <vt:variant>
        <vt:i4>152</vt:i4>
      </vt:variant>
      <vt:variant>
        <vt:i4>0</vt:i4>
      </vt:variant>
      <vt:variant>
        <vt:i4>5</vt:i4>
      </vt:variant>
      <vt:variant>
        <vt:lpwstr/>
      </vt:variant>
      <vt:variant>
        <vt:lpwstr>_Toc476584082</vt:lpwstr>
      </vt:variant>
      <vt:variant>
        <vt:i4>1638458</vt:i4>
      </vt:variant>
      <vt:variant>
        <vt:i4>146</vt:i4>
      </vt:variant>
      <vt:variant>
        <vt:i4>0</vt:i4>
      </vt:variant>
      <vt:variant>
        <vt:i4>5</vt:i4>
      </vt:variant>
      <vt:variant>
        <vt:lpwstr/>
      </vt:variant>
      <vt:variant>
        <vt:lpwstr>_Toc476584081</vt:lpwstr>
      </vt:variant>
      <vt:variant>
        <vt:i4>1638458</vt:i4>
      </vt:variant>
      <vt:variant>
        <vt:i4>140</vt:i4>
      </vt:variant>
      <vt:variant>
        <vt:i4>0</vt:i4>
      </vt:variant>
      <vt:variant>
        <vt:i4>5</vt:i4>
      </vt:variant>
      <vt:variant>
        <vt:lpwstr/>
      </vt:variant>
      <vt:variant>
        <vt:lpwstr>_Toc476584080</vt:lpwstr>
      </vt:variant>
      <vt:variant>
        <vt:i4>1441850</vt:i4>
      </vt:variant>
      <vt:variant>
        <vt:i4>134</vt:i4>
      </vt:variant>
      <vt:variant>
        <vt:i4>0</vt:i4>
      </vt:variant>
      <vt:variant>
        <vt:i4>5</vt:i4>
      </vt:variant>
      <vt:variant>
        <vt:lpwstr/>
      </vt:variant>
      <vt:variant>
        <vt:lpwstr>_Toc476584079</vt:lpwstr>
      </vt:variant>
      <vt:variant>
        <vt:i4>1441850</vt:i4>
      </vt:variant>
      <vt:variant>
        <vt:i4>128</vt:i4>
      </vt:variant>
      <vt:variant>
        <vt:i4>0</vt:i4>
      </vt:variant>
      <vt:variant>
        <vt:i4>5</vt:i4>
      </vt:variant>
      <vt:variant>
        <vt:lpwstr/>
      </vt:variant>
      <vt:variant>
        <vt:lpwstr>_Toc476584078</vt:lpwstr>
      </vt:variant>
      <vt:variant>
        <vt:i4>1441850</vt:i4>
      </vt:variant>
      <vt:variant>
        <vt:i4>122</vt:i4>
      </vt:variant>
      <vt:variant>
        <vt:i4>0</vt:i4>
      </vt:variant>
      <vt:variant>
        <vt:i4>5</vt:i4>
      </vt:variant>
      <vt:variant>
        <vt:lpwstr/>
      </vt:variant>
      <vt:variant>
        <vt:lpwstr>_Toc476584077</vt:lpwstr>
      </vt:variant>
      <vt:variant>
        <vt:i4>1441850</vt:i4>
      </vt:variant>
      <vt:variant>
        <vt:i4>116</vt:i4>
      </vt:variant>
      <vt:variant>
        <vt:i4>0</vt:i4>
      </vt:variant>
      <vt:variant>
        <vt:i4>5</vt:i4>
      </vt:variant>
      <vt:variant>
        <vt:lpwstr/>
      </vt:variant>
      <vt:variant>
        <vt:lpwstr>_Toc476584076</vt:lpwstr>
      </vt:variant>
      <vt:variant>
        <vt:i4>1441850</vt:i4>
      </vt:variant>
      <vt:variant>
        <vt:i4>110</vt:i4>
      </vt:variant>
      <vt:variant>
        <vt:i4>0</vt:i4>
      </vt:variant>
      <vt:variant>
        <vt:i4>5</vt:i4>
      </vt:variant>
      <vt:variant>
        <vt:lpwstr/>
      </vt:variant>
      <vt:variant>
        <vt:lpwstr>_Toc476584075</vt:lpwstr>
      </vt:variant>
      <vt:variant>
        <vt:i4>1441850</vt:i4>
      </vt:variant>
      <vt:variant>
        <vt:i4>104</vt:i4>
      </vt:variant>
      <vt:variant>
        <vt:i4>0</vt:i4>
      </vt:variant>
      <vt:variant>
        <vt:i4>5</vt:i4>
      </vt:variant>
      <vt:variant>
        <vt:lpwstr/>
      </vt:variant>
      <vt:variant>
        <vt:lpwstr>_Toc476584074</vt:lpwstr>
      </vt:variant>
      <vt:variant>
        <vt:i4>1441850</vt:i4>
      </vt:variant>
      <vt:variant>
        <vt:i4>98</vt:i4>
      </vt:variant>
      <vt:variant>
        <vt:i4>0</vt:i4>
      </vt:variant>
      <vt:variant>
        <vt:i4>5</vt:i4>
      </vt:variant>
      <vt:variant>
        <vt:lpwstr/>
      </vt:variant>
      <vt:variant>
        <vt:lpwstr>_Toc476584073</vt:lpwstr>
      </vt:variant>
      <vt:variant>
        <vt:i4>1441850</vt:i4>
      </vt:variant>
      <vt:variant>
        <vt:i4>92</vt:i4>
      </vt:variant>
      <vt:variant>
        <vt:i4>0</vt:i4>
      </vt:variant>
      <vt:variant>
        <vt:i4>5</vt:i4>
      </vt:variant>
      <vt:variant>
        <vt:lpwstr/>
      </vt:variant>
      <vt:variant>
        <vt:lpwstr>_Toc476584072</vt:lpwstr>
      </vt:variant>
      <vt:variant>
        <vt:i4>1441850</vt:i4>
      </vt:variant>
      <vt:variant>
        <vt:i4>86</vt:i4>
      </vt:variant>
      <vt:variant>
        <vt:i4>0</vt:i4>
      </vt:variant>
      <vt:variant>
        <vt:i4>5</vt:i4>
      </vt:variant>
      <vt:variant>
        <vt:lpwstr/>
      </vt:variant>
      <vt:variant>
        <vt:lpwstr>_Toc476584071</vt:lpwstr>
      </vt:variant>
      <vt:variant>
        <vt:i4>1441850</vt:i4>
      </vt:variant>
      <vt:variant>
        <vt:i4>80</vt:i4>
      </vt:variant>
      <vt:variant>
        <vt:i4>0</vt:i4>
      </vt:variant>
      <vt:variant>
        <vt:i4>5</vt:i4>
      </vt:variant>
      <vt:variant>
        <vt:lpwstr/>
      </vt:variant>
      <vt:variant>
        <vt:lpwstr>_Toc476584070</vt:lpwstr>
      </vt:variant>
      <vt:variant>
        <vt:i4>1507386</vt:i4>
      </vt:variant>
      <vt:variant>
        <vt:i4>74</vt:i4>
      </vt:variant>
      <vt:variant>
        <vt:i4>0</vt:i4>
      </vt:variant>
      <vt:variant>
        <vt:i4>5</vt:i4>
      </vt:variant>
      <vt:variant>
        <vt:lpwstr/>
      </vt:variant>
      <vt:variant>
        <vt:lpwstr>_Toc476584069</vt:lpwstr>
      </vt:variant>
      <vt:variant>
        <vt:i4>1507386</vt:i4>
      </vt:variant>
      <vt:variant>
        <vt:i4>68</vt:i4>
      </vt:variant>
      <vt:variant>
        <vt:i4>0</vt:i4>
      </vt:variant>
      <vt:variant>
        <vt:i4>5</vt:i4>
      </vt:variant>
      <vt:variant>
        <vt:lpwstr/>
      </vt:variant>
      <vt:variant>
        <vt:lpwstr>_Toc476584068</vt:lpwstr>
      </vt:variant>
      <vt:variant>
        <vt:i4>1507386</vt:i4>
      </vt:variant>
      <vt:variant>
        <vt:i4>62</vt:i4>
      </vt:variant>
      <vt:variant>
        <vt:i4>0</vt:i4>
      </vt:variant>
      <vt:variant>
        <vt:i4>5</vt:i4>
      </vt:variant>
      <vt:variant>
        <vt:lpwstr/>
      </vt:variant>
      <vt:variant>
        <vt:lpwstr>_Toc476584067</vt:lpwstr>
      </vt:variant>
      <vt:variant>
        <vt:i4>1507386</vt:i4>
      </vt:variant>
      <vt:variant>
        <vt:i4>56</vt:i4>
      </vt:variant>
      <vt:variant>
        <vt:i4>0</vt:i4>
      </vt:variant>
      <vt:variant>
        <vt:i4>5</vt:i4>
      </vt:variant>
      <vt:variant>
        <vt:lpwstr/>
      </vt:variant>
      <vt:variant>
        <vt:lpwstr>_Toc476584066</vt:lpwstr>
      </vt:variant>
      <vt:variant>
        <vt:i4>1507386</vt:i4>
      </vt:variant>
      <vt:variant>
        <vt:i4>50</vt:i4>
      </vt:variant>
      <vt:variant>
        <vt:i4>0</vt:i4>
      </vt:variant>
      <vt:variant>
        <vt:i4>5</vt:i4>
      </vt:variant>
      <vt:variant>
        <vt:lpwstr/>
      </vt:variant>
      <vt:variant>
        <vt:lpwstr>_Toc476584065</vt:lpwstr>
      </vt:variant>
      <vt:variant>
        <vt:i4>1507386</vt:i4>
      </vt:variant>
      <vt:variant>
        <vt:i4>44</vt:i4>
      </vt:variant>
      <vt:variant>
        <vt:i4>0</vt:i4>
      </vt:variant>
      <vt:variant>
        <vt:i4>5</vt:i4>
      </vt:variant>
      <vt:variant>
        <vt:lpwstr/>
      </vt:variant>
      <vt:variant>
        <vt:lpwstr>_Toc476584064</vt:lpwstr>
      </vt:variant>
      <vt:variant>
        <vt:i4>1507386</vt:i4>
      </vt:variant>
      <vt:variant>
        <vt:i4>38</vt:i4>
      </vt:variant>
      <vt:variant>
        <vt:i4>0</vt:i4>
      </vt:variant>
      <vt:variant>
        <vt:i4>5</vt:i4>
      </vt:variant>
      <vt:variant>
        <vt:lpwstr/>
      </vt:variant>
      <vt:variant>
        <vt:lpwstr>_Toc476584063</vt:lpwstr>
      </vt:variant>
      <vt:variant>
        <vt:i4>1507386</vt:i4>
      </vt:variant>
      <vt:variant>
        <vt:i4>32</vt:i4>
      </vt:variant>
      <vt:variant>
        <vt:i4>0</vt:i4>
      </vt:variant>
      <vt:variant>
        <vt:i4>5</vt:i4>
      </vt:variant>
      <vt:variant>
        <vt:lpwstr/>
      </vt:variant>
      <vt:variant>
        <vt:lpwstr>_Toc476584062</vt:lpwstr>
      </vt:variant>
      <vt:variant>
        <vt:i4>1507386</vt:i4>
      </vt:variant>
      <vt:variant>
        <vt:i4>26</vt:i4>
      </vt:variant>
      <vt:variant>
        <vt:i4>0</vt:i4>
      </vt:variant>
      <vt:variant>
        <vt:i4>5</vt:i4>
      </vt:variant>
      <vt:variant>
        <vt:lpwstr/>
      </vt:variant>
      <vt:variant>
        <vt:lpwstr>_Toc476584061</vt:lpwstr>
      </vt:variant>
      <vt:variant>
        <vt:i4>1507386</vt:i4>
      </vt:variant>
      <vt:variant>
        <vt:i4>20</vt:i4>
      </vt:variant>
      <vt:variant>
        <vt:i4>0</vt:i4>
      </vt:variant>
      <vt:variant>
        <vt:i4>5</vt:i4>
      </vt:variant>
      <vt:variant>
        <vt:lpwstr/>
      </vt:variant>
      <vt:variant>
        <vt:lpwstr>_Toc476584060</vt:lpwstr>
      </vt:variant>
      <vt:variant>
        <vt:i4>1310778</vt:i4>
      </vt:variant>
      <vt:variant>
        <vt:i4>14</vt:i4>
      </vt:variant>
      <vt:variant>
        <vt:i4>0</vt:i4>
      </vt:variant>
      <vt:variant>
        <vt:i4>5</vt:i4>
      </vt:variant>
      <vt:variant>
        <vt:lpwstr/>
      </vt:variant>
      <vt:variant>
        <vt:lpwstr>_Toc476584059</vt:lpwstr>
      </vt:variant>
      <vt:variant>
        <vt:i4>1310778</vt:i4>
      </vt:variant>
      <vt:variant>
        <vt:i4>8</vt:i4>
      </vt:variant>
      <vt:variant>
        <vt:i4>0</vt:i4>
      </vt:variant>
      <vt:variant>
        <vt:i4>5</vt:i4>
      </vt:variant>
      <vt:variant>
        <vt:lpwstr/>
      </vt:variant>
      <vt:variant>
        <vt:lpwstr>_Toc476584058</vt:lpwstr>
      </vt:variant>
      <vt:variant>
        <vt:i4>1310778</vt:i4>
      </vt:variant>
      <vt:variant>
        <vt:i4>2</vt:i4>
      </vt:variant>
      <vt:variant>
        <vt:i4>0</vt:i4>
      </vt:variant>
      <vt:variant>
        <vt:i4>5</vt:i4>
      </vt:variant>
      <vt:variant>
        <vt:lpwstr/>
      </vt:variant>
      <vt:variant>
        <vt:lpwstr>_Toc476584057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wqq</dc:creator>
  <cp:keywords/>
  <cp:lastModifiedBy>陈红</cp:lastModifiedBy>
  <cp:revision>19</cp:revision>
  <cp:lastPrinted>2019-09-03T09:10:00Z</cp:lastPrinted>
  <dcterms:created xsi:type="dcterms:W3CDTF">2020-06-24T04:09:00Z</dcterms:created>
  <dcterms:modified xsi:type="dcterms:W3CDTF">2020-07-14T08:00:00Z</dcterms:modified>
</cp:coreProperties>
</file>