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BC5" w:rsidRPr="00565E0D" w:rsidRDefault="00C35BC5" w:rsidP="00552BE1">
      <w:pPr>
        <w:snapToGrid w:val="0"/>
        <w:spacing w:line="360" w:lineRule="auto"/>
        <w:jc w:val="center"/>
        <w:rPr>
          <w:rFonts w:asciiTheme="minorEastAsia" w:eastAsiaTheme="minorEastAsia" w:hAnsiTheme="minorEastAsia"/>
          <w:b/>
          <w:sz w:val="44"/>
        </w:rPr>
      </w:pPr>
    </w:p>
    <w:p w:rsidR="000F5B9D" w:rsidRPr="00565E0D" w:rsidRDefault="000F5B9D" w:rsidP="00552BE1">
      <w:pPr>
        <w:snapToGrid w:val="0"/>
        <w:spacing w:line="360" w:lineRule="auto"/>
        <w:jc w:val="center"/>
        <w:rPr>
          <w:rFonts w:asciiTheme="minorEastAsia" w:eastAsiaTheme="minorEastAsia" w:hAnsiTheme="minorEastAsia"/>
          <w:b/>
          <w:sz w:val="44"/>
        </w:rPr>
      </w:pPr>
    </w:p>
    <w:p w:rsidR="00552BE1" w:rsidRPr="00565E0D" w:rsidRDefault="00552BE1" w:rsidP="00552BE1">
      <w:pPr>
        <w:snapToGrid w:val="0"/>
        <w:spacing w:line="360" w:lineRule="auto"/>
        <w:jc w:val="center"/>
        <w:rPr>
          <w:rFonts w:asciiTheme="minorEastAsia" w:eastAsiaTheme="minorEastAsia" w:hAnsiTheme="minorEastAsia"/>
          <w:b/>
          <w:sz w:val="44"/>
        </w:rPr>
      </w:pPr>
    </w:p>
    <w:p w:rsidR="00552BE1" w:rsidRPr="00565E0D" w:rsidRDefault="00552BE1" w:rsidP="00552BE1">
      <w:pPr>
        <w:snapToGrid w:val="0"/>
        <w:spacing w:line="360" w:lineRule="auto"/>
        <w:jc w:val="center"/>
        <w:rPr>
          <w:rFonts w:asciiTheme="minorEastAsia" w:eastAsiaTheme="minorEastAsia" w:hAnsiTheme="minorEastAsia"/>
          <w:b/>
          <w:sz w:val="44"/>
        </w:rPr>
      </w:pPr>
    </w:p>
    <w:p w:rsidR="000F5B9D" w:rsidRPr="00565E0D" w:rsidRDefault="00C35BC5" w:rsidP="00552BE1">
      <w:pPr>
        <w:snapToGrid w:val="0"/>
        <w:spacing w:line="360" w:lineRule="auto"/>
        <w:jc w:val="center"/>
        <w:rPr>
          <w:rFonts w:asciiTheme="minorEastAsia" w:eastAsiaTheme="minorEastAsia" w:hAnsiTheme="minorEastAsia"/>
          <w:b/>
          <w:sz w:val="44"/>
        </w:rPr>
      </w:pPr>
      <w:r w:rsidRPr="00565E0D">
        <w:rPr>
          <w:rFonts w:asciiTheme="minorEastAsia" w:eastAsiaTheme="minorEastAsia" w:hAnsiTheme="minorEastAsia" w:hint="eastAsia"/>
          <w:b/>
          <w:sz w:val="44"/>
        </w:rPr>
        <w:t>易方达价值成长混合型证券投资基金</w:t>
      </w:r>
    </w:p>
    <w:p w:rsidR="00C35BC5" w:rsidRPr="00565E0D" w:rsidRDefault="00C35BC5" w:rsidP="00552BE1">
      <w:pPr>
        <w:snapToGrid w:val="0"/>
        <w:spacing w:line="360" w:lineRule="auto"/>
        <w:jc w:val="center"/>
        <w:rPr>
          <w:rFonts w:asciiTheme="minorEastAsia" w:eastAsiaTheme="minorEastAsia" w:hAnsiTheme="minorEastAsia"/>
          <w:b/>
          <w:sz w:val="44"/>
        </w:rPr>
      </w:pPr>
      <w:r w:rsidRPr="00565E0D">
        <w:rPr>
          <w:rFonts w:asciiTheme="minorEastAsia" w:eastAsiaTheme="minorEastAsia" w:hAnsiTheme="minorEastAsia" w:hint="eastAsia"/>
          <w:b/>
          <w:sz w:val="44"/>
        </w:rPr>
        <w:t>更新的招募说明书</w:t>
      </w:r>
    </w:p>
    <w:p w:rsidR="00C35BC5" w:rsidRPr="00565E0D" w:rsidRDefault="00C35BC5" w:rsidP="00552BE1">
      <w:pPr>
        <w:snapToGrid w:val="0"/>
        <w:spacing w:line="360" w:lineRule="auto"/>
        <w:ind w:firstLine="600"/>
        <w:jc w:val="center"/>
        <w:rPr>
          <w:rFonts w:asciiTheme="minorEastAsia" w:eastAsiaTheme="minorEastAsia" w:hAnsiTheme="minorEastAsia"/>
          <w:sz w:val="24"/>
        </w:rPr>
      </w:pPr>
    </w:p>
    <w:p w:rsidR="00C35BC5" w:rsidRPr="00565E0D" w:rsidRDefault="00C35BC5" w:rsidP="00552BE1">
      <w:pPr>
        <w:snapToGrid w:val="0"/>
        <w:spacing w:line="360" w:lineRule="auto"/>
        <w:ind w:leftChars="800" w:left="1680"/>
        <w:rPr>
          <w:rFonts w:asciiTheme="minorEastAsia" w:eastAsiaTheme="minorEastAsia" w:hAnsiTheme="minorEastAsia"/>
          <w:sz w:val="30"/>
          <w:szCs w:val="30"/>
        </w:rPr>
      </w:pPr>
    </w:p>
    <w:p w:rsidR="00552BE1" w:rsidRPr="00565E0D" w:rsidRDefault="00552BE1" w:rsidP="00552BE1">
      <w:pPr>
        <w:snapToGrid w:val="0"/>
        <w:spacing w:line="360" w:lineRule="auto"/>
        <w:ind w:leftChars="800" w:left="1680"/>
        <w:rPr>
          <w:rFonts w:asciiTheme="minorEastAsia" w:eastAsiaTheme="minorEastAsia" w:hAnsiTheme="minorEastAsia"/>
          <w:sz w:val="30"/>
          <w:szCs w:val="30"/>
        </w:rPr>
      </w:pPr>
    </w:p>
    <w:p w:rsidR="00552BE1" w:rsidRPr="00565E0D" w:rsidRDefault="00552BE1" w:rsidP="00552BE1">
      <w:pPr>
        <w:snapToGrid w:val="0"/>
        <w:spacing w:line="360" w:lineRule="auto"/>
        <w:ind w:leftChars="800" w:left="1680"/>
        <w:rPr>
          <w:rFonts w:asciiTheme="minorEastAsia" w:eastAsiaTheme="minorEastAsia" w:hAnsiTheme="minorEastAsia"/>
          <w:sz w:val="30"/>
          <w:szCs w:val="30"/>
        </w:rPr>
      </w:pPr>
    </w:p>
    <w:p w:rsidR="00552BE1" w:rsidRPr="00565E0D" w:rsidRDefault="00552BE1" w:rsidP="00552BE1">
      <w:pPr>
        <w:snapToGrid w:val="0"/>
        <w:spacing w:line="360" w:lineRule="auto"/>
        <w:ind w:leftChars="800" w:left="1680"/>
        <w:rPr>
          <w:rFonts w:asciiTheme="minorEastAsia" w:eastAsiaTheme="minorEastAsia" w:hAnsiTheme="minorEastAsia"/>
          <w:sz w:val="30"/>
          <w:szCs w:val="30"/>
        </w:rPr>
      </w:pPr>
    </w:p>
    <w:p w:rsidR="00C35BC5" w:rsidRPr="00565E0D" w:rsidRDefault="00C35BC5" w:rsidP="00552BE1">
      <w:pPr>
        <w:snapToGrid w:val="0"/>
        <w:spacing w:line="360" w:lineRule="auto"/>
        <w:ind w:leftChars="800" w:left="1680"/>
        <w:rPr>
          <w:rFonts w:asciiTheme="minorEastAsia" w:eastAsiaTheme="minorEastAsia" w:hAnsiTheme="minorEastAsia"/>
          <w:sz w:val="30"/>
          <w:szCs w:val="30"/>
        </w:rPr>
      </w:pPr>
    </w:p>
    <w:p w:rsidR="00C35BC5" w:rsidRPr="00565E0D" w:rsidRDefault="00C35BC5" w:rsidP="00552BE1">
      <w:pPr>
        <w:snapToGrid w:val="0"/>
        <w:spacing w:line="360" w:lineRule="auto"/>
        <w:ind w:leftChars="800" w:left="1680"/>
        <w:rPr>
          <w:rFonts w:asciiTheme="minorEastAsia" w:eastAsiaTheme="minorEastAsia" w:hAnsiTheme="minorEastAsia"/>
          <w:sz w:val="30"/>
          <w:szCs w:val="30"/>
        </w:rPr>
      </w:pPr>
    </w:p>
    <w:p w:rsidR="00C35BC5" w:rsidRPr="00565E0D" w:rsidRDefault="00C35BC5" w:rsidP="00552BE1">
      <w:pPr>
        <w:snapToGrid w:val="0"/>
        <w:spacing w:line="360" w:lineRule="auto"/>
        <w:ind w:leftChars="800" w:left="1680"/>
        <w:rPr>
          <w:rFonts w:asciiTheme="minorEastAsia" w:eastAsiaTheme="minorEastAsia" w:hAnsiTheme="minorEastAsia"/>
          <w:sz w:val="30"/>
          <w:szCs w:val="30"/>
        </w:rPr>
      </w:pPr>
    </w:p>
    <w:p w:rsidR="00C35BC5" w:rsidRPr="00565E0D" w:rsidRDefault="00C35BC5" w:rsidP="00552BE1">
      <w:pPr>
        <w:snapToGrid w:val="0"/>
        <w:spacing w:line="360" w:lineRule="auto"/>
        <w:ind w:leftChars="800" w:left="1680"/>
        <w:rPr>
          <w:rFonts w:asciiTheme="minorEastAsia" w:eastAsiaTheme="minorEastAsia" w:hAnsiTheme="minorEastAsia"/>
          <w:sz w:val="30"/>
          <w:szCs w:val="30"/>
        </w:rPr>
      </w:pPr>
    </w:p>
    <w:p w:rsidR="00C35BC5" w:rsidRPr="00565E0D" w:rsidRDefault="00C35BC5" w:rsidP="00552BE1">
      <w:pPr>
        <w:snapToGrid w:val="0"/>
        <w:spacing w:line="360" w:lineRule="auto"/>
        <w:ind w:leftChars="800" w:left="1680"/>
        <w:rPr>
          <w:rFonts w:asciiTheme="minorEastAsia" w:eastAsiaTheme="minorEastAsia" w:hAnsiTheme="minorEastAsia"/>
          <w:sz w:val="30"/>
          <w:szCs w:val="30"/>
        </w:rPr>
      </w:pPr>
    </w:p>
    <w:p w:rsidR="00C35BC5" w:rsidRPr="00565E0D" w:rsidRDefault="00C35BC5" w:rsidP="00552BE1">
      <w:pPr>
        <w:snapToGrid w:val="0"/>
        <w:spacing w:line="360" w:lineRule="auto"/>
        <w:jc w:val="center"/>
        <w:rPr>
          <w:rFonts w:asciiTheme="minorEastAsia" w:eastAsiaTheme="minorEastAsia" w:hAnsiTheme="minorEastAsia"/>
          <w:b/>
          <w:sz w:val="32"/>
          <w:szCs w:val="32"/>
        </w:rPr>
      </w:pPr>
      <w:r w:rsidRPr="00565E0D">
        <w:rPr>
          <w:rFonts w:asciiTheme="minorEastAsia" w:eastAsiaTheme="minorEastAsia" w:hAnsiTheme="minorEastAsia" w:hint="eastAsia"/>
          <w:b/>
          <w:sz w:val="32"/>
          <w:szCs w:val="32"/>
        </w:rPr>
        <w:t>基金管理人：易方达基金管理有限公司</w:t>
      </w:r>
    </w:p>
    <w:p w:rsidR="00C35BC5" w:rsidRPr="00565E0D" w:rsidRDefault="00C35BC5" w:rsidP="00552BE1">
      <w:pPr>
        <w:snapToGrid w:val="0"/>
        <w:spacing w:line="360" w:lineRule="auto"/>
        <w:jc w:val="center"/>
        <w:rPr>
          <w:rFonts w:asciiTheme="minorEastAsia" w:eastAsiaTheme="minorEastAsia" w:hAnsiTheme="minorEastAsia"/>
          <w:sz w:val="32"/>
          <w:szCs w:val="32"/>
        </w:rPr>
      </w:pPr>
      <w:r w:rsidRPr="00565E0D">
        <w:rPr>
          <w:rFonts w:asciiTheme="minorEastAsia" w:eastAsiaTheme="minorEastAsia" w:hAnsiTheme="minorEastAsia" w:hint="eastAsia"/>
          <w:b/>
          <w:sz w:val="32"/>
          <w:szCs w:val="32"/>
        </w:rPr>
        <w:t>基金托管人：中国工商银行股份有限公司</w:t>
      </w:r>
    </w:p>
    <w:p w:rsidR="00C35BC5" w:rsidRPr="00565E0D" w:rsidRDefault="00C35BC5" w:rsidP="00552BE1">
      <w:pPr>
        <w:snapToGrid w:val="0"/>
        <w:spacing w:line="360" w:lineRule="auto"/>
        <w:ind w:firstLine="561"/>
        <w:rPr>
          <w:rFonts w:asciiTheme="minorEastAsia" w:eastAsiaTheme="minorEastAsia" w:hAnsiTheme="minorEastAsia"/>
          <w:b/>
          <w:sz w:val="32"/>
          <w:szCs w:val="32"/>
        </w:rPr>
      </w:pPr>
    </w:p>
    <w:p w:rsidR="007417EC" w:rsidRPr="00565E0D" w:rsidRDefault="007417EC" w:rsidP="00552BE1">
      <w:pPr>
        <w:snapToGrid w:val="0"/>
        <w:spacing w:line="360" w:lineRule="auto"/>
        <w:ind w:firstLine="641"/>
        <w:jc w:val="center"/>
        <w:rPr>
          <w:rFonts w:asciiTheme="minorEastAsia" w:eastAsiaTheme="minorEastAsia" w:hAnsiTheme="minorEastAsia"/>
          <w:b/>
          <w:sz w:val="32"/>
          <w:szCs w:val="32"/>
        </w:rPr>
      </w:pPr>
      <w:r w:rsidRPr="00565E0D">
        <w:rPr>
          <w:rFonts w:asciiTheme="minorEastAsia" w:eastAsiaTheme="minorEastAsia" w:hAnsiTheme="minorEastAsia" w:hint="eastAsia"/>
          <w:b/>
          <w:sz w:val="32"/>
          <w:szCs w:val="32"/>
        </w:rPr>
        <w:t>二○二○年</w:t>
      </w:r>
      <w:r w:rsidR="00F266E3" w:rsidRPr="00565E0D">
        <w:rPr>
          <w:rFonts w:asciiTheme="minorEastAsia" w:eastAsiaTheme="minorEastAsia" w:hAnsiTheme="minorEastAsia"/>
          <w:b/>
          <w:sz w:val="32"/>
          <w:szCs w:val="32"/>
        </w:rPr>
        <w:t>七</w:t>
      </w:r>
      <w:r w:rsidRPr="00565E0D">
        <w:rPr>
          <w:rFonts w:asciiTheme="minorEastAsia" w:eastAsiaTheme="minorEastAsia" w:hAnsiTheme="minorEastAsia" w:hint="eastAsia"/>
          <w:b/>
          <w:sz w:val="32"/>
          <w:szCs w:val="32"/>
        </w:rPr>
        <w:t>月</w:t>
      </w:r>
    </w:p>
    <w:p w:rsidR="00C35BC5" w:rsidRPr="00565E0D" w:rsidRDefault="00C35BC5" w:rsidP="00552BE1">
      <w:pPr>
        <w:snapToGrid w:val="0"/>
        <w:spacing w:line="360" w:lineRule="auto"/>
        <w:ind w:firstLine="641"/>
        <w:jc w:val="center"/>
        <w:rPr>
          <w:rFonts w:asciiTheme="minorEastAsia" w:eastAsiaTheme="minorEastAsia" w:hAnsiTheme="minorEastAsia"/>
          <w:b/>
          <w:sz w:val="32"/>
        </w:rPr>
        <w:sectPr w:rsidR="00C35BC5" w:rsidRPr="00565E0D" w:rsidSect="002A0168">
          <w:headerReference w:type="even" r:id="rId9"/>
          <w:headerReference w:type="default" r:id="rId10"/>
          <w:footerReference w:type="even" r:id="rId11"/>
          <w:footerReference w:type="default" r:id="rId12"/>
          <w:headerReference w:type="first" r:id="rId13"/>
          <w:footerReference w:type="first" r:id="rId14"/>
          <w:pgSz w:w="11906" w:h="16838" w:code="9"/>
          <w:pgMar w:top="1440" w:right="1797" w:bottom="1440" w:left="1797" w:header="1134" w:footer="1247" w:gutter="0"/>
          <w:pgNumType w:fmt="upperRoman"/>
          <w:cols w:space="425"/>
          <w:titlePg/>
          <w:docGrid w:type="lines" w:linePitch="447"/>
        </w:sectPr>
      </w:pPr>
    </w:p>
    <w:p w:rsidR="00C35BC5" w:rsidRPr="00565E0D" w:rsidRDefault="00C35BC5" w:rsidP="00552BE1">
      <w:pPr>
        <w:snapToGrid w:val="0"/>
        <w:spacing w:line="360" w:lineRule="auto"/>
        <w:ind w:firstLine="641"/>
        <w:jc w:val="center"/>
        <w:rPr>
          <w:rFonts w:asciiTheme="minorEastAsia" w:eastAsiaTheme="minorEastAsia" w:hAnsiTheme="minorEastAsia"/>
          <w:b/>
          <w:sz w:val="32"/>
        </w:rPr>
      </w:pPr>
      <w:r w:rsidRPr="00565E0D">
        <w:rPr>
          <w:rFonts w:asciiTheme="minorEastAsia" w:eastAsiaTheme="minorEastAsia" w:hAnsiTheme="minorEastAsia" w:hint="eastAsia"/>
          <w:b/>
          <w:sz w:val="32"/>
        </w:rPr>
        <w:lastRenderedPageBreak/>
        <w:t>重要提示</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本基金根据2007年3月15日中国证券监督管理委员会《关于同意易方达价值成长混合型证券投资基金募集的批复》（证监基金字</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2007</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69号）和2007年3月23日《关于同意易方达价值成长混合型证券投资基金募集时间安排的函》（基金部函</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2007</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72号）的核准，进行募集。</w:t>
      </w:r>
      <w:r w:rsidRPr="00565E0D">
        <w:rPr>
          <w:rFonts w:asciiTheme="minorEastAsia" w:eastAsiaTheme="minorEastAsia" w:hAnsiTheme="minorEastAsia" w:hint="eastAsia"/>
        </w:rPr>
        <w:t>本基金的基金合同于2007年4月2日正式生效。</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保证本招募说明书的内容真实、准确、完整。本招募说明书经中国证监会核准，但中国证监会对本基金募集的核准，并不表明其对本基金的价值和收益作出实质性判断或保证，也不表明投资于本基金没有风险。</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投资有风险,投资者</w:t>
      </w:r>
      <w:r w:rsidRPr="00565E0D">
        <w:rPr>
          <w:rFonts w:asciiTheme="minorEastAsia" w:eastAsiaTheme="minorEastAsia" w:hAnsiTheme="minorEastAsia" w:hint="eastAsia"/>
        </w:rPr>
        <w:t>投资本</w:t>
      </w:r>
      <w:r w:rsidRPr="00565E0D">
        <w:rPr>
          <w:rFonts w:asciiTheme="minorEastAsia" w:eastAsiaTheme="minorEastAsia" w:hAnsiTheme="minorEastAsia"/>
        </w:rPr>
        <w:t>基金时应认真阅读本招募说明书。</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rPr>
        <w:t>基金的过往业绩并不预示其未来表现</w:t>
      </w:r>
      <w:r w:rsidRPr="00565E0D">
        <w:rPr>
          <w:rFonts w:asciiTheme="minorEastAsia" w:eastAsiaTheme="minorEastAsia" w:hAnsiTheme="minorEastAsia" w:hint="eastAsia"/>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基金管理人依照恪尽职守、诚实信用、谨慎勤勉的原则管理和运用基金</w:t>
      </w:r>
      <w:r w:rsidRPr="00565E0D">
        <w:rPr>
          <w:rFonts w:asciiTheme="minorEastAsia" w:eastAsiaTheme="minorEastAsia" w:hAnsiTheme="minorEastAsia" w:hint="eastAsia"/>
          <w:szCs w:val="21"/>
        </w:rPr>
        <w:t>财产</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但</w:t>
      </w:r>
      <w:r w:rsidRPr="00565E0D">
        <w:rPr>
          <w:rFonts w:asciiTheme="minorEastAsia" w:eastAsiaTheme="minorEastAsia" w:hAnsiTheme="minorEastAsia"/>
          <w:szCs w:val="21"/>
        </w:rPr>
        <w:t>不保证基金一定盈利，也不保证最低收益</w:t>
      </w:r>
      <w:r w:rsidRPr="00565E0D">
        <w:rPr>
          <w:rFonts w:asciiTheme="minorEastAsia" w:eastAsiaTheme="minorEastAsia" w:hAnsiTheme="minorEastAsia" w:hint="eastAsia"/>
          <w:szCs w:val="21"/>
        </w:rPr>
        <w:t>。</w:t>
      </w:r>
    </w:p>
    <w:p w:rsidR="00B04B02" w:rsidRPr="00565E0D" w:rsidRDefault="00C35BC5" w:rsidP="00B04B02">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本基金投资于证券市场，基金净值会因为证券市场波动等因素产生波动，投资者在投资本基金前，需充分了解本基金的产品特性，并承担基金投资中出现的各类风险，包括：因政治、经济、社会等环境因素对证券价格产生影响而形成的系统性风险、个别证券特有的非系统性风险、由于基金投资人连续大量赎回基金产生的流动性风险、</w:t>
      </w:r>
      <w:r w:rsidR="00820053" w:rsidRPr="00565E0D">
        <w:rPr>
          <w:rFonts w:asciiTheme="minorEastAsia" w:eastAsiaTheme="minorEastAsia" w:hAnsiTheme="minorEastAsia" w:hint="eastAsia"/>
          <w:szCs w:val="21"/>
        </w:rPr>
        <w:t>本基金法律文件中涉及基金风险特征的表述与销售机构对基金的风险评级可能不一致的风险、</w:t>
      </w:r>
      <w:r w:rsidRPr="00565E0D">
        <w:rPr>
          <w:rFonts w:asciiTheme="minorEastAsia" w:eastAsiaTheme="minorEastAsia" w:hAnsiTheme="minorEastAsia" w:hint="eastAsia"/>
          <w:szCs w:val="21"/>
        </w:rPr>
        <w:t>基金管理人在基金管理实施过程中产生的基金管理风险、本基金的特定风险等等。投资者在进行投资决策前，请仔细阅读本基金的</w:t>
      </w:r>
      <w:r w:rsidR="005C20C2" w:rsidRPr="00565E0D">
        <w:rPr>
          <w:rFonts w:asciiTheme="minorEastAsia" w:eastAsiaTheme="minorEastAsia" w:hAnsiTheme="minorEastAsia" w:hint="eastAsia"/>
          <w:szCs w:val="21"/>
        </w:rPr>
        <w:t>招募说明书、基金合同和基金产品资料概要等信息披露文件</w:t>
      </w:r>
      <w:r w:rsidRPr="00565E0D">
        <w:rPr>
          <w:rFonts w:asciiTheme="minorEastAsia" w:eastAsiaTheme="minorEastAsia" w:hAnsiTheme="minorEastAsia" w:hint="eastAsia"/>
          <w:szCs w:val="21"/>
        </w:rPr>
        <w:t>。</w:t>
      </w:r>
    </w:p>
    <w:p w:rsidR="007A30B3" w:rsidRPr="00565E0D" w:rsidRDefault="007A30B3" w:rsidP="00F266E3">
      <w:pPr>
        <w:snapToGrid w:val="0"/>
        <w:spacing w:line="360" w:lineRule="auto"/>
        <w:ind w:firstLineChars="200" w:firstLine="420"/>
        <w:rPr>
          <w:rFonts w:asciiTheme="minorEastAsia" w:eastAsiaTheme="minorEastAsia" w:hAnsiTheme="minorEastAsia"/>
          <w:szCs w:val="21"/>
        </w:rPr>
      </w:pPr>
      <w:r w:rsidRPr="00565E0D">
        <w:rPr>
          <w:rStyle w:val="da"/>
          <w:rFonts w:asciiTheme="minorEastAsia" w:eastAsiaTheme="minorEastAsia" w:hAnsiTheme="minorEastAsia" w:hint="eastAsia"/>
        </w:rPr>
        <w:t>基金合同约定的基金产品资料概要编制、披露与更新要求，自《信息披露办法》实施之日起</w:t>
      </w:r>
      <w:r w:rsidRPr="00565E0D">
        <w:rPr>
          <w:rFonts w:asciiTheme="minorEastAsia" w:eastAsiaTheme="minorEastAsia" w:hAnsiTheme="minorEastAsia" w:hint="eastAsia"/>
          <w:szCs w:val="21"/>
        </w:rPr>
        <w:t>一年后开始执行。</w:t>
      </w:r>
    </w:p>
    <w:p w:rsidR="00C35BC5" w:rsidRPr="00565E0D" w:rsidRDefault="00A53E47" w:rsidP="0060156A">
      <w:pPr>
        <w:snapToGrid w:val="0"/>
        <w:spacing w:line="360" w:lineRule="auto"/>
        <w:ind w:firstLineChars="200" w:firstLine="420"/>
        <w:rPr>
          <w:rFonts w:asciiTheme="minorEastAsia" w:eastAsiaTheme="minorEastAsia" w:hAnsiTheme="minorEastAsia"/>
          <w:b/>
          <w:bCs/>
          <w:szCs w:val="21"/>
        </w:rPr>
      </w:pPr>
      <w:r w:rsidRPr="00565E0D">
        <w:rPr>
          <w:rFonts w:asciiTheme="minorEastAsia" w:eastAsiaTheme="minorEastAsia" w:hAnsiTheme="minorEastAsia" w:hint="eastAsia"/>
          <w:szCs w:val="21"/>
        </w:rPr>
        <w:t>本基金本次更新招募说明书</w:t>
      </w:r>
      <w:r w:rsidR="00F266E3" w:rsidRPr="00565E0D">
        <w:rPr>
          <w:rFonts w:asciiTheme="minorEastAsia" w:eastAsiaTheme="minorEastAsia" w:hAnsiTheme="minorEastAsia" w:hint="eastAsia"/>
          <w:szCs w:val="21"/>
        </w:rPr>
        <w:t>对基金合同修订和董事、监事、高级管理人员相关信息进行更新，相关信息更新截止日为</w:t>
      </w:r>
      <w:r w:rsidR="00F266E3" w:rsidRPr="00565E0D">
        <w:rPr>
          <w:rFonts w:asciiTheme="minorEastAsia" w:eastAsiaTheme="minorEastAsia" w:hAnsiTheme="minorEastAsia"/>
          <w:szCs w:val="21"/>
        </w:rPr>
        <w:t>2020年7月11日。</w:t>
      </w:r>
      <w:r w:rsidR="0018727C" w:rsidRPr="00565E0D">
        <w:rPr>
          <w:rFonts w:asciiTheme="minorEastAsia" w:eastAsiaTheme="minorEastAsia" w:hAnsiTheme="minorEastAsia" w:hint="eastAsia"/>
          <w:szCs w:val="21"/>
        </w:rPr>
        <w:t>除非另有说明，</w:t>
      </w:r>
      <w:r w:rsidR="007417EC" w:rsidRPr="00565E0D">
        <w:rPr>
          <w:rFonts w:asciiTheme="minorEastAsia" w:eastAsiaTheme="minorEastAsia" w:hAnsiTheme="minorEastAsia" w:hint="eastAsia"/>
          <w:szCs w:val="21"/>
        </w:rPr>
        <w:t>本招募说明书</w:t>
      </w:r>
      <w:r w:rsidR="00F266E3" w:rsidRPr="00565E0D">
        <w:rPr>
          <w:rFonts w:asciiTheme="minorEastAsia" w:eastAsiaTheme="minorEastAsia" w:hAnsiTheme="minorEastAsia" w:hint="eastAsia"/>
          <w:szCs w:val="21"/>
        </w:rPr>
        <w:t>其他</w:t>
      </w:r>
      <w:r w:rsidR="007417EC" w:rsidRPr="00565E0D">
        <w:rPr>
          <w:rFonts w:asciiTheme="minorEastAsia" w:eastAsiaTheme="minorEastAsia" w:hAnsiTheme="minorEastAsia" w:hint="eastAsia"/>
          <w:szCs w:val="21"/>
        </w:rPr>
        <w:t>所载内容截止日为2020年3月16日</w:t>
      </w:r>
      <w:r w:rsidR="0018727C" w:rsidRPr="00565E0D">
        <w:rPr>
          <w:rFonts w:asciiTheme="minorEastAsia" w:eastAsiaTheme="minorEastAsia" w:hAnsiTheme="minorEastAsia" w:hint="eastAsia"/>
          <w:szCs w:val="21"/>
        </w:rPr>
        <w:t>，</w:t>
      </w:r>
      <w:r w:rsidR="007417EC" w:rsidRPr="00565E0D">
        <w:rPr>
          <w:rFonts w:asciiTheme="minorEastAsia" w:eastAsiaTheme="minorEastAsia" w:hAnsiTheme="minorEastAsia" w:hint="eastAsia"/>
          <w:szCs w:val="21"/>
        </w:rPr>
        <w:t>有关财务数据截止日为2019年12月31日</w:t>
      </w:r>
      <w:r w:rsidR="0018727C" w:rsidRPr="00565E0D">
        <w:rPr>
          <w:rFonts w:asciiTheme="minorEastAsia" w:eastAsiaTheme="minorEastAsia" w:hAnsiTheme="minorEastAsia" w:hint="eastAsia"/>
          <w:szCs w:val="21"/>
        </w:rPr>
        <w:t>，</w:t>
      </w:r>
      <w:r w:rsidR="007417EC" w:rsidRPr="00565E0D">
        <w:rPr>
          <w:rFonts w:asciiTheme="minorEastAsia" w:eastAsiaTheme="minorEastAsia" w:hAnsiTheme="minorEastAsia" w:hint="eastAsia"/>
          <w:szCs w:val="21"/>
        </w:rPr>
        <w:t>净值表现截止日为2019年12月31日</w:t>
      </w:r>
      <w:r w:rsidR="0018727C" w:rsidRPr="00565E0D">
        <w:rPr>
          <w:rFonts w:asciiTheme="minorEastAsia" w:eastAsiaTheme="minorEastAsia" w:hAnsiTheme="minorEastAsia" w:hint="eastAsia"/>
          <w:szCs w:val="21"/>
        </w:rPr>
        <w:t>。（本报告中财务数据未经审计）</w:t>
      </w:r>
    </w:p>
    <w:p w:rsidR="00C35BC5" w:rsidRPr="00565E0D" w:rsidRDefault="00C35BC5" w:rsidP="00552BE1">
      <w:pPr>
        <w:adjustRightInd w:val="0"/>
        <w:snapToGrid w:val="0"/>
        <w:spacing w:line="360" w:lineRule="auto"/>
        <w:ind w:firstLine="480"/>
        <w:jc w:val="center"/>
        <w:rPr>
          <w:rFonts w:asciiTheme="minorEastAsia" w:eastAsiaTheme="minorEastAsia" w:hAnsiTheme="minorEastAsia"/>
          <w:b/>
          <w:sz w:val="28"/>
          <w:szCs w:val="28"/>
        </w:rPr>
        <w:sectPr w:rsidR="00C35BC5" w:rsidRPr="00565E0D" w:rsidSect="002A0168">
          <w:headerReference w:type="first" r:id="rId15"/>
          <w:pgSz w:w="11906" w:h="16838" w:code="9"/>
          <w:pgMar w:top="1440" w:right="1797" w:bottom="1440" w:left="1797" w:header="1134" w:footer="1247" w:gutter="0"/>
          <w:pgNumType w:fmt="upperRoman"/>
          <w:cols w:space="425"/>
          <w:titlePg/>
          <w:docGrid w:type="lines" w:linePitch="447"/>
        </w:sectPr>
      </w:pPr>
    </w:p>
    <w:p w:rsidR="00C35BC5" w:rsidRPr="00565E0D" w:rsidRDefault="00C35BC5" w:rsidP="00552BE1">
      <w:pPr>
        <w:adjustRightInd w:val="0"/>
        <w:snapToGrid w:val="0"/>
        <w:spacing w:line="360" w:lineRule="auto"/>
        <w:ind w:firstLine="480"/>
        <w:jc w:val="center"/>
        <w:rPr>
          <w:rFonts w:asciiTheme="minorEastAsia" w:eastAsiaTheme="minorEastAsia" w:hAnsiTheme="minorEastAsia"/>
          <w:b/>
          <w:szCs w:val="21"/>
        </w:rPr>
      </w:pPr>
      <w:r w:rsidRPr="00565E0D">
        <w:rPr>
          <w:rFonts w:asciiTheme="minorEastAsia" w:eastAsiaTheme="minorEastAsia" w:hAnsiTheme="minorEastAsia" w:hint="eastAsia"/>
          <w:b/>
          <w:sz w:val="28"/>
          <w:szCs w:val="28"/>
        </w:rPr>
        <w:lastRenderedPageBreak/>
        <w:t>目录</w:t>
      </w:r>
    </w:p>
    <w:p w:rsidR="00D7714F" w:rsidRPr="00565E0D" w:rsidRDefault="002B0131">
      <w:pPr>
        <w:pStyle w:val="10"/>
        <w:rPr>
          <w:rFonts w:asciiTheme="minorEastAsia" w:eastAsiaTheme="minorEastAsia" w:hAnsiTheme="minorEastAsia" w:cstheme="minorBidi"/>
          <w:caps w:val="0"/>
          <w:sz w:val="21"/>
          <w:szCs w:val="22"/>
        </w:rPr>
      </w:pPr>
      <w:r w:rsidRPr="00565E0D">
        <w:rPr>
          <w:rFonts w:asciiTheme="minorEastAsia" w:eastAsiaTheme="minorEastAsia" w:hAnsiTheme="minorEastAsia"/>
          <w:b/>
          <w:szCs w:val="21"/>
        </w:rPr>
        <w:fldChar w:fldCharType="begin"/>
      </w:r>
      <w:r w:rsidR="00C35BC5" w:rsidRPr="00565E0D">
        <w:rPr>
          <w:rFonts w:asciiTheme="minorEastAsia" w:eastAsiaTheme="minorEastAsia" w:hAnsiTheme="minorEastAsia"/>
          <w:b/>
          <w:szCs w:val="21"/>
        </w:rPr>
        <w:instrText xml:space="preserve"> TOC \o "1-3" \h \z \u </w:instrText>
      </w:r>
      <w:r w:rsidRPr="00565E0D">
        <w:rPr>
          <w:rFonts w:asciiTheme="minorEastAsia" w:eastAsiaTheme="minorEastAsia" w:hAnsiTheme="minorEastAsia"/>
          <w:b/>
          <w:szCs w:val="21"/>
        </w:rPr>
        <w:fldChar w:fldCharType="separate"/>
      </w:r>
      <w:hyperlink w:anchor="_Toc38551160" w:history="1">
        <w:r w:rsidR="00D7714F" w:rsidRPr="00565E0D">
          <w:rPr>
            <w:rStyle w:val="af3"/>
            <w:rFonts w:asciiTheme="minorEastAsia" w:eastAsiaTheme="minorEastAsia" w:hAnsiTheme="minorEastAsia" w:hint="eastAsia"/>
            <w:color w:val="auto"/>
            <w:u w:val="none"/>
          </w:rPr>
          <w:t>一、绪言</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_Toc38551160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161" w:history="1">
        <w:r w:rsidR="00D7714F" w:rsidRPr="00565E0D">
          <w:rPr>
            <w:rStyle w:val="af3"/>
            <w:rFonts w:asciiTheme="minorEastAsia" w:eastAsiaTheme="minorEastAsia" w:hAnsiTheme="minorEastAsia" w:hint="eastAsia"/>
            <w:b/>
            <w:color w:val="auto"/>
            <w:u w:val="none"/>
          </w:rPr>
          <w:t>二、释义</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_Toc38551161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2</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162" w:history="1">
        <w:r w:rsidR="00D7714F" w:rsidRPr="00565E0D">
          <w:rPr>
            <w:rStyle w:val="af3"/>
            <w:rFonts w:asciiTheme="minorEastAsia" w:eastAsiaTheme="minorEastAsia" w:hAnsiTheme="minorEastAsia" w:hint="eastAsia"/>
            <w:b/>
            <w:bCs/>
            <w:color w:val="auto"/>
            <w:u w:val="none"/>
          </w:rPr>
          <w:t>三、基金管理人</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_Toc38551162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5</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63" w:history="1">
        <w:r w:rsidR="00D7714F" w:rsidRPr="00565E0D">
          <w:rPr>
            <w:rStyle w:val="af3"/>
            <w:rFonts w:asciiTheme="minorEastAsia" w:eastAsiaTheme="minorEastAsia" w:hAnsiTheme="minorEastAsia" w:hint="eastAsia"/>
            <w:bCs/>
            <w:color w:val="auto"/>
            <w:u w:val="none"/>
          </w:rPr>
          <w:t>（一）基金管理人基本情况</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_Toc38551163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5</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64" w:history="1">
        <w:r w:rsidR="00D7714F" w:rsidRPr="00565E0D">
          <w:rPr>
            <w:rStyle w:val="af3"/>
            <w:rFonts w:asciiTheme="minorEastAsia" w:eastAsiaTheme="minorEastAsia" w:hAnsiTheme="minorEastAsia" w:hint="eastAsia"/>
            <w:bCs/>
            <w:color w:val="auto"/>
            <w:u w:val="none"/>
          </w:rPr>
          <w:t>（二）主要人员情况</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_Toc38551164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5</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65" w:history="1">
        <w:r w:rsidR="00D7714F" w:rsidRPr="00565E0D">
          <w:rPr>
            <w:rStyle w:val="af3"/>
            <w:rFonts w:asciiTheme="minorEastAsia" w:eastAsiaTheme="minorEastAsia" w:hAnsiTheme="minorEastAsia" w:hint="eastAsia"/>
            <w:bCs/>
            <w:color w:val="auto"/>
            <w:u w:val="none"/>
          </w:rPr>
          <w:t>（三）基金管理人的职责</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_Toc38551165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66" w:history="1">
        <w:r w:rsidR="00D7714F" w:rsidRPr="00565E0D">
          <w:rPr>
            <w:rStyle w:val="af3"/>
            <w:rFonts w:asciiTheme="minorEastAsia" w:eastAsiaTheme="minorEastAsia" w:hAnsiTheme="minorEastAsia" w:hint="eastAsia"/>
            <w:bCs/>
            <w:color w:val="auto"/>
            <w:u w:val="none"/>
          </w:rPr>
          <w:t>（四）基金管理人的承诺</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_Toc38551166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67" w:history="1">
        <w:r w:rsidR="00D7714F" w:rsidRPr="00565E0D">
          <w:rPr>
            <w:rStyle w:val="af3"/>
            <w:rFonts w:asciiTheme="minorEastAsia" w:eastAsiaTheme="minorEastAsia" w:hAnsiTheme="minorEastAsia" w:hint="eastAsia"/>
            <w:bCs/>
            <w:color w:val="auto"/>
            <w:u w:val="none"/>
          </w:rPr>
          <w:t>（五）基金管理人的内部控制制度</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_Toc38551167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13</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168" w:history="1">
        <w:r w:rsidR="00D7714F" w:rsidRPr="00565E0D">
          <w:rPr>
            <w:rStyle w:val="af3"/>
            <w:rFonts w:asciiTheme="minorEastAsia" w:eastAsiaTheme="minorEastAsia" w:hAnsiTheme="minorEastAsia" w:hint="eastAsia"/>
            <w:b/>
            <w:bCs/>
            <w:color w:val="auto"/>
            <w:u w:val="none"/>
          </w:rPr>
          <w:t>四、基金托管人</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_Toc38551168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16</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169" w:history="1">
        <w:r w:rsidR="00D7714F" w:rsidRPr="00565E0D">
          <w:rPr>
            <w:rStyle w:val="af3"/>
            <w:rFonts w:asciiTheme="minorEastAsia" w:eastAsiaTheme="minorEastAsia" w:hAnsiTheme="minorEastAsia" w:hint="eastAsia"/>
            <w:b/>
            <w:color w:val="auto"/>
            <w:u w:val="none"/>
          </w:rPr>
          <w:t>五、相关服务机构</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_Toc38551169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20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70" w:history="1">
        <w:r w:rsidR="00D7714F" w:rsidRPr="00565E0D">
          <w:rPr>
            <w:rStyle w:val="af3"/>
            <w:rFonts w:asciiTheme="minorEastAsia" w:eastAsiaTheme="minorEastAsia" w:hAnsiTheme="minorEastAsia" w:hint="eastAsia"/>
            <w:color w:val="auto"/>
            <w:u w:val="none"/>
          </w:rPr>
          <w:t>（一）基金份额销售机构</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_Toc38551170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20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71" w:history="1">
        <w:r w:rsidR="00D7714F" w:rsidRPr="00565E0D">
          <w:rPr>
            <w:rStyle w:val="af3"/>
            <w:rFonts w:asciiTheme="minorEastAsia" w:eastAsiaTheme="minorEastAsia" w:hAnsiTheme="minorEastAsia" w:hint="eastAsia"/>
            <w:color w:val="auto"/>
            <w:u w:val="none"/>
          </w:rPr>
          <w:t>（二）基金注册登记机构</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_Toc38551171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78</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72" w:history="1">
        <w:r w:rsidR="00D7714F" w:rsidRPr="00565E0D">
          <w:rPr>
            <w:rStyle w:val="af3"/>
            <w:rFonts w:asciiTheme="minorEastAsia" w:eastAsiaTheme="minorEastAsia" w:hAnsiTheme="minorEastAsia" w:hint="eastAsia"/>
            <w:color w:val="auto"/>
            <w:u w:val="none"/>
          </w:rPr>
          <w:t>（三）律师事务所和经办律师</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_Toc38551172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78</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73" w:history="1">
        <w:r w:rsidR="00D7714F" w:rsidRPr="00565E0D">
          <w:rPr>
            <w:rStyle w:val="af3"/>
            <w:rFonts w:asciiTheme="minorEastAsia" w:eastAsiaTheme="minorEastAsia" w:hAnsiTheme="minorEastAsia" w:hint="eastAsia"/>
            <w:color w:val="auto"/>
            <w:u w:val="none"/>
          </w:rPr>
          <w:t>（四）会计师事务所和经办注册会计师</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_Toc38551173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79</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174" w:history="1">
        <w:r w:rsidR="00D7714F" w:rsidRPr="00565E0D">
          <w:rPr>
            <w:rStyle w:val="af3"/>
            <w:rFonts w:asciiTheme="minorEastAsia" w:eastAsiaTheme="minorEastAsia" w:hAnsiTheme="minorEastAsia" w:hint="eastAsia"/>
            <w:b/>
            <w:bCs/>
            <w:color w:val="auto"/>
            <w:u w:val="none"/>
          </w:rPr>
          <w:t>六、基金的募集</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_Toc38551174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80</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175" w:history="1">
        <w:r w:rsidR="00D7714F" w:rsidRPr="00565E0D">
          <w:rPr>
            <w:rStyle w:val="af3"/>
            <w:rFonts w:asciiTheme="minorEastAsia" w:eastAsiaTheme="minorEastAsia" w:hAnsiTheme="minorEastAsia" w:hint="eastAsia"/>
            <w:b/>
            <w:bCs/>
            <w:color w:val="auto"/>
            <w:u w:val="none"/>
          </w:rPr>
          <w:t>七、基金合同的生效</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_Toc38551175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76" w:history="1">
        <w:r w:rsidR="00D7714F" w:rsidRPr="00565E0D">
          <w:rPr>
            <w:rStyle w:val="af3"/>
            <w:rFonts w:asciiTheme="minorEastAsia" w:eastAsiaTheme="minorEastAsia" w:hAnsiTheme="minorEastAsia" w:hint="eastAsia"/>
            <w:color w:val="auto"/>
            <w:u w:val="none"/>
          </w:rPr>
          <w:t>（一）基金合同的生效</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_Toc38551176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77" w:history="1">
        <w:r w:rsidR="00D7714F" w:rsidRPr="00565E0D">
          <w:rPr>
            <w:rStyle w:val="af3"/>
            <w:rFonts w:asciiTheme="minorEastAsia" w:eastAsiaTheme="minorEastAsia" w:hAnsiTheme="minorEastAsia" w:hint="eastAsia"/>
            <w:color w:val="auto"/>
            <w:u w:val="none"/>
          </w:rPr>
          <w:t>（二）基金存续期内的基金份额持有人数量和资产规模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_Toc38551177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81</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178" w:history="1">
        <w:r w:rsidR="00D7714F" w:rsidRPr="00565E0D">
          <w:rPr>
            <w:rStyle w:val="af3"/>
            <w:rFonts w:asciiTheme="minorEastAsia" w:eastAsiaTheme="minorEastAsia" w:hAnsiTheme="minorEastAsia" w:hint="eastAsia"/>
            <w:b/>
            <w:bCs/>
            <w:color w:val="auto"/>
            <w:u w:val="none"/>
          </w:rPr>
          <w:t>八、基金份额的申购、赎回</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_Toc38551178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82</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79" w:history="1">
        <w:r w:rsidR="00D7714F" w:rsidRPr="00565E0D">
          <w:rPr>
            <w:rStyle w:val="af3"/>
            <w:rFonts w:asciiTheme="minorEastAsia" w:eastAsiaTheme="minorEastAsia" w:hAnsiTheme="minorEastAsia" w:hint="eastAsia"/>
            <w:color w:val="auto"/>
            <w:u w:val="none"/>
          </w:rPr>
          <w:t>（一）基金投资者范围</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_Toc38551179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82</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80" w:history="1">
        <w:r w:rsidR="00D7714F" w:rsidRPr="00565E0D">
          <w:rPr>
            <w:rStyle w:val="af3"/>
            <w:rFonts w:asciiTheme="minorEastAsia" w:eastAsiaTheme="minorEastAsia" w:hAnsiTheme="minorEastAsia" w:hint="eastAsia"/>
            <w:color w:val="auto"/>
            <w:u w:val="none"/>
          </w:rPr>
          <w:t>（二）申购、赎回的场所</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_Toc38551180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82</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81" w:history="1">
        <w:r w:rsidR="00D7714F" w:rsidRPr="00565E0D">
          <w:rPr>
            <w:rStyle w:val="af3"/>
            <w:rFonts w:asciiTheme="minorEastAsia" w:eastAsiaTheme="minorEastAsia" w:hAnsiTheme="minorEastAsia" w:hint="eastAsia"/>
            <w:color w:val="auto"/>
            <w:u w:val="none"/>
          </w:rPr>
          <w:t>（三）申购、赎回的时间</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_Toc38551181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82</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82" w:history="1">
        <w:r w:rsidR="00D7714F" w:rsidRPr="00565E0D">
          <w:rPr>
            <w:rStyle w:val="af3"/>
            <w:rFonts w:asciiTheme="minorEastAsia" w:eastAsiaTheme="minorEastAsia" w:hAnsiTheme="minorEastAsia" w:hint="eastAsia"/>
            <w:bCs/>
            <w:color w:val="auto"/>
            <w:u w:val="none"/>
          </w:rPr>
          <w:t>（四）申购、赎回的原则</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_Toc38551182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82</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83" w:history="1">
        <w:r w:rsidR="00D7714F" w:rsidRPr="00565E0D">
          <w:rPr>
            <w:rStyle w:val="af3"/>
            <w:rFonts w:asciiTheme="minorEastAsia" w:eastAsiaTheme="minorEastAsia" w:hAnsiTheme="minorEastAsia" w:hint="eastAsia"/>
            <w:color w:val="auto"/>
            <w:u w:val="none"/>
          </w:rPr>
          <w:t>（五）申购、赎回的程序</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_Toc38551183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82</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84" w:history="1">
        <w:r w:rsidR="00D7714F" w:rsidRPr="00565E0D">
          <w:rPr>
            <w:rStyle w:val="af3"/>
            <w:rFonts w:asciiTheme="minorEastAsia" w:eastAsiaTheme="minorEastAsia" w:hAnsiTheme="minorEastAsia" w:hint="eastAsia"/>
            <w:color w:val="auto"/>
            <w:u w:val="none"/>
          </w:rPr>
          <w:t>（六）申购、赎回的数额限制</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_Toc38551184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83</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85" w:history="1">
        <w:r w:rsidR="00D7714F" w:rsidRPr="00565E0D">
          <w:rPr>
            <w:rStyle w:val="af3"/>
            <w:rFonts w:asciiTheme="minorEastAsia" w:eastAsiaTheme="minorEastAsia" w:hAnsiTheme="minorEastAsia" w:hint="eastAsia"/>
            <w:color w:val="auto"/>
            <w:u w:val="none"/>
          </w:rPr>
          <w:t>（七）申购、赎回的费率</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_Toc38551185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84</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86" w:history="1">
        <w:r w:rsidR="00D7714F" w:rsidRPr="00565E0D">
          <w:rPr>
            <w:rStyle w:val="af3"/>
            <w:rFonts w:asciiTheme="minorEastAsia" w:eastAsiaTheme="minorEastAsia" w:hAnsiTheme="minorEastAsia" w:hint="eastAsia"/>
            <w:color w:val="auto"/>
            <w:u w:val="none"/>
          </w:rPr>
          <w:t>（八）申购份额、赎回金额的计算方式</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_Toc38551186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85</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87" w:history="1">
        <w:r w:rsidR="00D7714F" w:rsidRPr="00565E0D">
          <w:rPr>
            <w:rStyle w:val="af3"/>
            <w:rFonts w:asciiTheme="minorEastAsia" w:eastAsiaTheme="minorEastAsia" w:hAnsiTheme="minorEastAsia" w:hint="eastAsia"/>
            <w:color w:val="auto"/>
            <w:u w:val="none"/>
          </w:rPr>
          <w:t>（九）申购、赎回的注册登记</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_Toc38551187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86</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88" w:history="1">
        <w:r w:rsidR="00D7714F" w:rsidRPr="00565E0D">
          <w:rPr>
            <w:rStyle w:val="af3"/>
            <w:rFonts w:asciiTheme="minorEastAsia" w:eastAsiaTheme="minorEastAsia" w:hAnsiTheme="minorEastAsia" w:hint="eastAsia"/>
            <w:color w:val="auto"/>
            <w:u w:val="none"/>
          </w:rPr>
          <w:t>（十）巨额赎回的认定及处理方式</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_Toc38551188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86</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89" w:history="1">
        <w:r w:rsidR="00D7714F" w:rsidRPr="00565E0D">
          <w:rPr>
            <w:rStyle w:val="af3"/>
            <w:rFonts w:asciiTheme="minorEastAsia" w:eastAsiaTheme="minorEastAsia" w:hAnsiTheme="minorEastAsia" w:hint="eastAsia"/>
            <w:color w:val="auto"/>
            <w:u w:val="none"/>
          </w:rPr>
          <w:t>（十一）拒绝或暂停申购、赎回的情形及处理方式</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_Toc38551189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87</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190" w:history="1">
        <w:r w:rsidR="00D7714F" w:rsidRPr="00565E0D">
          <w:rPr>
            <w:rStyle w:val="af3"/>
            <w:rFonts w:asciiTheme="minorEastAsia" w:eastAsiaTheme="minorEastAsia" w:hAnsiTheme="minorEastAsia" w:hint="eastAsia"/>
            <w:b/>
            <w:bCs/>
            <w:color w:val="auto"/>
            <w:u w:val="none"/>
          </w:rPr>
          <w:t>九、基金转换</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_Toc38551190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91" w:history="1">
        <w:r w:rsidR="00D7714F" w:rsidRPr="00565E0D">
          <w:rPr>
            <w:rStyle w:val="af3"/>
            <w:rFonts w:asciiTheme="minorEastAsia" w:eastAsiaTheme="minorEastAsia" w:hAnsiTheme="minorEastAsia" w:hint="eastAsia"/>
            <w:color w:val="auto"/>
            <w:u w:val="none"/>
          </w:rPr>
          <w:t>（一）基金转换开始日及时间</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_Toc38551191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92" w:history="1">
        <w:r w:rsidR="00D7714F" w:rsidRPr="00565E0D">
          <w:rPr>
            <w:rStyle w:val="af3"/>
            <w:rFonts w:asciiTheme="minorEastAsia" w:eastAsiaTheme="minorEastAsia" w:hAnsiTheme="minorEastAsia" w:hint="eastAsia"/>
            <w:color w:val="auto"/>
            <w:u w:val="none"/>
          </w:rPr>
          <w:t>（二）基金转换的原则</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_Toc38551192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93" w:history="1">
        <w:r w:rsidR="00D7714F" w:rsidRPr="00565E0D">
          <w:rPr>
            <w:rStyle w:val="af3"/>
            <w:rFonts w:asciiTheme="minorEastAsia" w:eastAsiaTheme="minorEastAsia" w:hAnsiTheme="minorEastAsia" w:hint="eastAsia"/>
            <w:color w:val="auto"/>
            <w:u w:val="none"/>
          </w:rPr>
          <w:t>（三）基金转换的程序</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_Toc38551193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89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94" w:history="1">
        <w:r w:rsidR="00D7714F" w:rsidRPr="00565E0D">
          <w:rPr>
            <w:rStyle w:val="af3"/>
            <w:rFonts w:asciiTheme="minorEastAsia" w:eastAsiaTheme="minorEastAsia" w:hAnsiTheme="minorEastAsia" w:hint="eastAsia"/>
            <w:color w:val="auto"/>
            <w:u w:val="none"/>
          </w:rPr>
          <w:t>（四）基金转换的数额限制</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_Toc38551194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95" w:history="1">
        <w:r w:rsidR="00D7714F" w:rsidRPr="00565E0D">
          <w:rPr>
            <w:rStyle w:val="af3"/>
            <w:rFonts w:asciiTheme="minorEastAsia" w:eastAsiaTheme="minorEastAsia" w:hAnsiTheme="minorEastAsia" w:hint="eastAsia"/>
            <w:color w:val="auto"/>
            <w:u w:val="none"/>
          </w:rPr>
          <w:t>（五）基金转换费率</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_Toc38551195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96" w:history="1">
        <w:r w:rsidR="00D7714F" w:rsidRPr="00565E0D">
          <w:rPr>
            <w:rStyle w:val="af3"/>
            <w:rFonts w:asciiTheme="minorEastAsia" w:eastAsiaTheme="minorEastAsia" w:hAnsiTheme="minorEastAsia" w:hint="eastAsia"/>
            <w:color w:val="auto"/>
            <w:u w:val="none"/>
          </w:rPr>
          <w:t>（六）基金转换份额的计算方式</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_Toc38551196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97" w:history="1">
        <w:r w:rsidR="00D7714F" w:rsidRPr="00565E0D">
          <w:rPr>
            <w:rStyle w:val="af3"/>
            <w:rFonts w:asciiTheme="minorEastAsia" w:eastAsiaTheme="minorEastAsia" w:hAnsiTheme="minorEastAsia" w:hint="eastAsia"/>
            <w:color w:val="auto"/>
            <w:u w:val="none"/>
          </w:rPr>
          <w:t>（七）基金转换的注册登记</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_Toc38551197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93</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98" w:history="1">
        <w:r w:rsidR="00D7714F" w:rsidRPr="00565E0D">
          <w:rPr>
            <w:rStyle w:val="af3"/>
            <w:rFonts w:asciiTheme="minorEastAsia" w:eastAsiaTheme="minorEastAsia" w:hAnsiTheme="minorEastAsia" w:hint="eastAsia"/>
            <w:color w:val="auto"/>
            <w:u w:val="none"/>
          </w:rPr>
          <w:t>（八）基金转换与巨额赎回</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_Toc38551198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93</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199" w:history="1">
        <w:r w:rsidR="00D7714F" w:rsidRPr="00565E0D">
          <w:rPr>
            <w:rStyle w:val="af3"/>
            <w:rFonts w:asciiTheme="minorEastAsia" w:eastAsiaTheme="minorEastAsia" w:hAnsiTheme="minorEastAsia" w:hint="eastAsia"/>
            <w:color w:val="auto"/>
            <w:u w:val="none"/>
          </w:rPr>
          <w:t>（九）暂停基金转换的情形</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_Toc38551199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93</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00" w:history="1">
        <w:r w:rsidR="00D7714F" w:rsidRPr="00565E0D">
          <w:rPr>
            <w:rStyle w:val="af3"/>
            <w:rFonts w:asciiTheme="minorEastAsia" w:eastAsiaTheme="minorEastAsia" w:hAnsiTheme="minorEastAsia" w:hint="eastAsia"/>
            <w:b/>
            <w:bCs/>
            <w:color w:val="auto"/>
            <w:u w:val="none"/>
          </w:rPr>
          <w:t>十、基金的非交易过户、转托管、冻结与质押</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_Toc38551200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95</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01" w:history="1">
        <w:r w:rsidR="00D7714F" w:rsidRPr="00565E0D">
          <w:rPr>
            <w:rStyle w:val="af3"/>
            <w:rFonts w:asciiTheme="minorEastAsia" w:eastAsiaTheme="minorEastAsia" w:hAnsiTheme="minorEastAsia" w:hint="eastAsia"/>
            <w:b/>
            <w:bCs/>
            <w:color w:val="auto"/>
            <w:u w:val="none"/>
          </w:rPr>
          <w:t>十一、基金的投资</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_Toc38551201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96</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02" w:history="1">
        <w:r w:rsidR="00D7714F" w:rsidRPr="00565E0D">
          <w:rPr>
            <w:rStyle w:val="af3"/>
            <w:rFonts w:asciiTheme="minorEastAsia" w:eastAsiaTheme="minorEastAsia" w:hAnsiTheme="minorEastAsia" w:hint="eastAsia"/>
            <w:color w:val="auto"/>
            <w:u w:val="none"/>
          </w:rPr>
          <w:t>（一）投资目标</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_Toc38551202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96</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03" w:history="1">
        <w:r w:rsidR="00D7714F" w:rsidRPr="00565E0D">
          <w:rPr>
            <w:rStyle w:val="af3"/>
            <w:rFonts w:asciiTheme="minorEastAsia" w:eastAsiaTheme="minorEastAsia" w:hAnsiTheme="minorEastAsia" w:hint="eastAsia"/>
            <w:color w:val="auto"/>
            <w:u w:val="none"/>
          </w:rPr>
          <w:t>（</w:t>
        </w:r>
        <w:r w:rsidR="00D7714F" w:rsidRPr="00565E0D">
          <w:rPr>
            <w:rStyle w:val="af3"/>
            <w:rFonts w:asciiTheme="minorEastAsia" w:eastAsiaTheme="minorEastAsia" w:hAnsiTheme="minorEastAsia" w:hint="eastAsia"/>
            <w:bCs/>
            <w:color w:val="auto"/>
            <w:u w:val="none"/>
          </w:rPr>
          <w:t>二</w:t>
        </w:r>
        <w:r w:rsidR="00D7714F" w:rsidRPr="00565E0D">
          <w:rPr>
            <w:rStyle w:val="af3"/>
            <w:rFonts w:asciiTheme="minorEastAsia" w:eastAsiaTheme="minorEastAsia" w:hAnsiTheme="minorEastAsia" w:hint="eastAsia"/>
            <w:color w:val="auto"/>
            <w:u w:val="none"/>
          </w:rPr>
          <w:t>）</w:t>
        </w:r>
        <w:r w:rsidR="00D7714F" w:rsidRPr="00565E0D">
          <w:rPr>
            <w:rStyle w:val="af3"/>
            <w:rFonts w:asciiTheme="minorEastAsia" w:eastAsiaTheme="minorEastAsia" w:hAnsiTheme="minorEastAsia" w:hint="eastAsia"/>
            <w:bCs/>
            <w:color w:val="auto"/>
            <w:u w:val="none"/>
          </w:rPr>
          <w:t>投资范围</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_Toc38551203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96</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04" w:history="1">
        <w:r w:rsidR="00D7714F" w:rsidRPr="00565E0D">
          <w:rPr>
            <w:rStyle w:val="af3"/>
            <w:rFonts w:asciiTheme="minorEastAsia" w:eastAsiaTheme="minorEastAsia" w:hAnsiTheme="minorEastAsia" w:hint="eastAsia"/>
            <w:bCs/>
            <w:color w:val="auto"/>
            <w:u w:val="none"/>
          </w:rPr>
          <w:t>（三）投资理念</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_Toc38551204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96</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05" w:history="1">
        <w:r w:rsidR="00D7714F" w:rsidRPr="00565E0D">
          <w:rPr>
            <w:rStyle w:val="af3"/>
            <w:rFonts w:asciiTheme="minorEastAsia" w:eastAsiaTheme="minorEastAsia" w:hAnsiTheme="minorEastAsia" w:hint="eastAsia"/>
            <w:bCs/>
            <w:color w:val="auto"/>
            <w:u w:val="none"/>
          </w:rPr>
          <w:t>（四）投资策略</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_Toc38551205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96</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06" w:history="1">
        <w:r w:rsidR="00D7714F" w:rsidRPr="00565E0D">
          <w:rPr>
            <w:rStyle w:val="af3"/>
            <w:rFonts w:asciiTheme="minorEastAsia" w:eastAsiaTheme="minorEastAsia" w:hAnsiTheme="minorEastAsia" w:hint="eastAsia"/>
            <w:bCs/>
            <w:color w:val="auto"/>
            <w:u w:val="none"/>
          </w:rPr>
          <w:t>（五）业绩比较基准</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_Toc38551206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07" w:history="1">
        <w:r w:rsidR="00D7714F" w:rsidRPr="00565E0D">
          <w:rPr>
            <w:rStyle w:val="af3"/>
            <w:rFonts w:asciiTheme="minorEastAsia" w:eastAsiaTheme="minorEastAsia" w:hAnsiTheme="minorEastAsia" w:hint="eastAsia"/>
            <w:bCs/>
            <w:color w:val="auto"/>
            <w:u w:val="none"/>
          </w:rPr>
          <w:t>（六）风险收益特征</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_Toc38551207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08" w:history="1">
        <w:r w:rsidR="00D7714F" w:rsidRPr="00565E0D">
          <w:rPr>
            <w:rStyle w:val="af3"/>
            <w:rFonts w:asciiTheme="minorEastAsia" w:eastAsiaTheme="minorEastAsia" w:hAnsiTheme="minorEastAsia" w:hint="eastAsia"/>
            <w:bCs/>
            <w:color w:val="auto"/>
            <w:u w:val="none"/>
          </w:rPr>
          <w:t>（七）投资决策</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_Toc38551208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09" w:history="1">
        <w:r w:rsidR="00D7714F" w:rsidRPr="00565E0D">
          <w:rPr>
            <w:rStyle w:val="af3"/>
            <w:rFonts w:asciiTheme="minorEastAsia" w:eastAsiaTheme="minorEastAsia" w:hAnsiTheme="minorEastAsia" w:hint="eastAsia"/>
            <w:bCs/>
            <w:color w:val="auto"/>
            <w:u w:val="none"/>
          </w:rPr>
          <w:t>（八）投资限制</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_Toc38551209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10" w:history="1">
        <w:r w:rsidR="00D7714F" w:rsidRPr="00565E0D">
          <w:rPr>
            <w:rStyle w:val="af3"/>
            <w:rFonts w:asciiTheme="minorEastAsia" w:eastAsiaTheme="minorEastAsia" w:hAnsiTheme="minorEastAsia" w:hint="eastAsia"/>
            <w:bCs/>
            <w:color w:val="auto"/>
            <w:u w:val="none"/>
          </w:rPr>
          <w:t>（九）禁止行为</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_Toc38551210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102</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11" w:history="1">
        <w:r w:rsidR="00D7714F" w:rsidRPr="00565E0D">
          <w:rPr>
            <w:rStyle w:val="af3"/>
            <w:rFonts w:asciiTheme="minorEastAsia" w:eastAsiaTheme="minorEastAsia" w:hAnsiTheme="minorEastAsia" w:hint="eastAsia"/>
            <w:bCs/>
            <w:color w:val="auto"/>
            <w:u w:val="none"/>
          </w:rPr>
          <w:t>（十）基金管理人代表基金行使所投资证券产生权利的处理原则及方法</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_Toc38551211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102</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12" w:history="1">
        <w:r w:rsidR="00D7714F" w:rsidRPr="00565E0D">
          <w:rPr>
            <w:rStyle w:val="af3"/>
            <w:rFonts w:asciiTheme="minorEastAsia" w:eastAsiaTheme="minorEastAsia" w:hAnsiTheme="minorEastAsia" w:hint="eastAsia"/>
            <w:bCs/>
            <w:color w:val="auto"/>
            <w:u w:val="none"/>
          </w:rPr>
          <w:t>（十</w:t>
        </w:r>
        <w:r w:rsidR="00D7714F" w:rsidRPr="00565E0D">
          <w:rPr>
            <w:rStyle w:val="af3"/>
            <w:rFonts w:asciiTheme="minorEastAsia" w:eastAsiaTheme="minorEastAsia" w:hAnsiTheme="minorEastAsia" w:hint="eastAsia"/>
            <w:color w:val="auto"/>
            <w:u w:val="none"/>
          </w:rPr>
          <w:t>一</w:t>
        </w:r>
        <w:r w:rsidR="00D7714F" w:rsidRPr="00565E0D">
          <w:rPr>
            <w:rStyle w:val="af3"/>
            <w:rFonts w:asciiTheme="minorEastAsia" w:eastAsiaTheme="minorEastAsia" w:hAnsiTheme="minorEastAsia" w:hint="eastAsia"/>
            <w:bCs/>
            <w:color w:val="auto"/>
            <w:u w:val="none"/>
          </w:rPr>
          <w:t>）基金的融资</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_Toc38551212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103</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13" w:history="1">
        <w:r w:rsidR="00D7714F" w:rsidRPr="00565E0D">
          <w:rPr>
            <w:rStyle w:val="af3"/>
            <w:rFonts w:asciiTheme="minorEastAsia" w:eastAsiaTheme="minorEastAsia" w:hAnsiTheme="minorEastAsia" w:hint="eastAsia"/>
            <w:bCs/>
            <w:color w:val="auto"/>
            <w:u w:val="none"/>
          </w:rPr>
          <w:t>（十</w:t>
        </w:r>
        <w:r w:rsidR="00D7714F" w:rsidRPr="00565E0D">
          <w:rPr>
            <w:rStyle w:val="af3"/>
            <w:rFonts w:asciiTheme="minorEastAsia" w:eastAsiaTheme="minorEastAsia" w:hAnsiTheme="minorEastAsia" w:hint="eastAsia"/>
            <w:color w:val="auto"/>
            <w:u w:val="none"/>
          </w:rPr>
          <w:t>二</w:t>
        </w:r>
        <w:r w:rsidR="00D7714F" w:rsidRPr="00565E0D">
          <w:rPr>
            <w:rStyle w:val="af3"/>
            <w:rFonts w:asciiTheme="minorEastAsia" w:eastAsiaTheme="minorEastAsia" w:hAnsiTheme="minorEastAsia" w:hint="eastAsia"/>
            <w:bCs/>
            <w:color w:val="auto"/>
            <w:u w:val="none"/>
          </w:rPr>
          <w:t>）基金投资组合报告（未经审计）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_Toc38551213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103</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14" w:history="1">
        <w:r w:rsidR="00D7714F" w:rsidRPr="00565E0D">
          <w:rPr>
            <w:rStyle w:val="af3"/>
            <w:rFonts w:asciiTheme="minorEastAsia" w:eastAsiaTheme="minorEastAsia" w:hAnsiTheme="minorEastAsia" w:hint="eastAsia"/>
            <w:b/>
            <w:bCs/>
            <w:color w:val="auto"/>
            <w:u w:val="none"/>
          </w:rPr>
          <w:t>十二、基金的业绩</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_Toc38551214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107</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15" w:history="1">
        <w:r w:rsidR="00D7714F" w:rsidRPr="00565E0D">
          <w:rPr>
            <w:rStyle w:val="af3"/>
            <w:rFonts w:asciiTheme="minorEastAsia" w:eastAsiaTheme="minorEastAsia" w:hAnsiTheme="minorEastAsia" w:hint="eastAsia"/>
            <w:b/>
            <w:bCs/>
            <w:color w:val="auto"/>
            <w:u w:val="none"/>
          </w:rPr>
          <w:t>十三、基金的财产</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_Toc38551215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16" w:history="1">
        <w:r w:rsidR="00D7714F" w:rsidRPr="00565E0D">
          <w:rPr>
            <w:rStyle w:val="af3"/>
            <w:rFonts w:asciiTheme="minorEastAsia" w:eastAsiaTheme="minorEastAsia" w:hAnsiTheme="minorEastAsia" w:hint="eastAsia"/>
            <w:color w:val="auto"/>
            <w:u w:val="none"/>
          </w:rPr>
          <w:t>（一）基金资产总值</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_Toc38551216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17" w:history="1">
        <w:r w:rsidR="00D7714F" w:rsidRPr="00565E0D">
          <w:rPr>
            <w:rStyle w:val="af3"/>
            <w:rFonts w:asciiTheme="minorEastAsia" w:eastAsiaTheme="minorEastAsia" w:hAnsiTheme="minorEastAsia" w:hint="eastAsia"/>
            <w:color w:val="auto"/>
            <w:u w:val="none"/>
          </w:rPr>
          <w:t>（二）基金资产净值</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_Toc38551217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18" w:history="1">
        <w:r w:rsidR="00D7714F" w:rsidRPr="00565E0D">
          <w:rPr>
            <w:rStyle w:val="af3"/>
            <w:rFonts w:asciiTheme="minorEastAsia" w:eastAsiaTheme="minorEastAsia" w:hAnsiTheme="minorEastAsia" w:hint="eastAsia"/>
            <w:color w:val="auto"/>
            <w:u w:val="none"/>
          </w:rPr>
          <w:t>（三）基金财产的账户</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_Toc38551218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19" w:history="1">
        <w:r w:rsidR="00D7714F" w:rsidRPr="00565E0D">
          <w:rPr>
            <w:rStyle w:val="af3"/>
            <w:rFonts w:asciiTheme="minorEastAsia" w:eastAsiaTheme="minorEastAsia" w:hAnsiTheme="minorEastAsia" w:hint="eastAsia"/>
            <w:color w:val="auto"/>
            <w:u w:val="none"/>
          </w:rPr>
          <w:t>（四）基金财产的保管和处分</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_Toc38551219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109</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20" w:history="1">
        <w:r w:rsidR="00D7714F" w:rsidRPr="00565E0D">
          <w:rPr>
            <w:rStyle w:val="af3"/>
            <w:rFonts w:asciiTheme="minorEastAsia" w:eastAsiaTheme="minorEastAsia" w:hAnsiTheme="minorEastAsia" w:hint="eastAsia"/>
            <w:b/>
            <w:bCs/>
            <w:color w:val="auto"/>
            <w:u w:val="none"/>
          </w:rPr>
          <w:t>十四、基金资产估值</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_Toc38551220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21" w:history="1">
        <w:r w:rsidR="00D7714F" w:rsidRPr="00565E0D">
          <w:rPr>
            <w:rStyle w:val="af3"/>
            <w:rFonts w:asciiTheme="minorEastAsia" w:eastAsiaTheme="minorEastAsia" w:hAnsiTheme="minorEastAsia" w:hint="eastAsia"/>
            <w:color w:val="auto"/>
            <w:u w:val="none"/>
          </w:rPr>
          <w:t>（一）估值目的</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_Toc38551221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22" w:history="1">
        <w:r w:rsidR="00D7714F" w:rsidRPr="00565E0D">
          <w:rPr>
            <w:rStyle w:val="af3"/>
            <w:rFonts w:asciiTheme="minorEastAsia" w:eastAsiaTheme="minorEastAsia" w:hAnsiTheme="minorEastAsia" w:hint="eastAsia"/>
            <w:color w:val="auto"/>
            <w:u w:val="none"/>
          </w:rPr>
          <w:t>（二）估值日</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_Toc38551222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23" w:history="1">
        <w:r w:rsidR="00D7714F" w:rsidRPr="00565E0D">
          <w:rPr>
            <w:rStyle w:val="af3"/>
            <w:rFonts w:asciiTheme="minorEastAsia" w:eastAsiaTheme="minorEastAsia" w:hAnsiTheme="minorEastAsia" w:hint="eastAsia"/>
            <w:color w:val="auto"/>
            <w:u w:val="none"/>
          </w:rPr>
          <w:t>（三）估值对象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_Toc38551223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24" w:history="1">
        <w:r w:rsidR="00D7714F" w:rsidRPr="00565E0D">
          <w:rPr>
            <w:rStyle w:val="af3"/>
            <w:rFonts w:asciiTheme="minorEastAsia" w:eastAsiaTheme="minorEastAsia" w:hAnsiTheme="minorEastAsia" w:hint="eastAsia"/>
            <w:color w:val="auto"/>
            <w:u w:val="none"/>
          </w:rPr>
          <w:t>（四）估值程序</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_Toc38551224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25" w:history="1">
        <w:r w:rsidR="00D7714F" w:rsidRPr="00565E0D">
          <w:rPr>
            <w:rStyle w:val="af3"/>
            <w:rFonts w:asciiTheme="minorEastAsia" w:eastAsiaTheme="minorEastAsia" w:hAnsiTheme="minorEastAsia" w:hint="eastAsia"/>
            <w:color w:val="auto"/>
            <w:u w:val="none"/>
          </w:rPr>
          <w:t>（五）估值方法</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_Toc38551225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26" w:history="1">
        <w:r w:rsidR="00D7714F" w:rsidRPr="00565E0D">
          <w:rPr>
            <w:rStyle w:val="af3"/>
            <w:rFonts w:asciiTheme="minorEastAsia" w:eastAsiaTheme="minorEastAsia" w:hAnsiTheme="minorEastAsia" w:hint="eastAsia"/>
            <w:color w:val="auto"/>
            <w:u w:val="none"/>
          </w:rPr>
          <w:t>（六）暂停公告净值的情形</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_Toc38551226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27" w:history="1">
        <w:r w:rsidR="00D7714F" w:rsidRPr="00565E0D">
          <w:rPr>
            <w:rStyle w:val="af3"/>
            <w:rFonts w:asciiTheme="minorEastAsia" w:eastAsiaTheme="minorEastAsia" w:hAnsiTheme="minorEastAsia" w:hint="eastAsia"/>
            <w:color w:val="auto"/>
            <w:u w:val="none"/>
          </w:rPr>
          <w:t>（七）基金份额净值的确认和估值错误处理</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_Toc38551227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28" w:history="1">
        <w:r w:rsidR="00D7714F" w:rsidRPr="00565E0D">
          <w:rPr>
            <w:rStyle w:val="af3"/>
            <w:rFonts w:asciiTheme="minorEastAsia" w:eastAsiaTheme="minorEastAsia" w:hAnsiTheme="minorEastAsia" w:hint="eastAsia"/>
            <w:color w:val="auto"/>
            <w:u w:val="none"/>
          </w:rPr>
          <w:t>（八）特殊情形的处理</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_Toc38551228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113</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29" w:history="1">
        <w:r w:rsidR="00D7714F" w:rsidRPr="00565E0D">
          <w:rPr>
            <w:rStyle w:val="af3"/>
            <w:rFonts w:asciiTheme="minorEastAsia" w:eastAsiaTheme="minorEastAsia" w:hAnsiTheme="minorEastAsia" w:hint="eastAsia"/>
            <w:b/>
            <w:bCs/>
            <w:color w:val="auto"/>
            <w:u w:val="none"/>
          </w:rPr>
          <w:t>十五、基金的收益与分配</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_Toc38551229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114</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30" w:history="1">
        <w:r w:rsidR="00D7714F" w:rsidRPr="00565E0D">
          <w:rPr>
            <w:rStyle w:val="af3"/>
            <w:rFonts w:asciiTheme="minorEastAsia" w:eastAsiaTheme="minorEastAsia" w:hAnsiTheme="minorEastAsia" w:hint="eastAsia"/>
            <w:color w:val="auto"/>
            <w:u w:val="none"/>
          </w:rPr>
          <w:t>（一）收益的构成</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_Toc38551230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114</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31" w:history="1">
        <w:r w:rsidR="00D7714F" w:rsidRPr="00565E0D">
          <w:rPr>
            <w:rStyle w:val="af3"/>
            <w:rFonts w:asciiTheme="minorEastAsia" w:eastAsiaTheme="minorEastAsia" w:hAnsiTheme="minorEastAsia" w:hint="eastAsia"/>
            <w:color w:val="auto"/>
            <w:u w:val="none"/>
          </w:rPr>
          <w:t>（二）收益分配原则</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_Toc38551231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114</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32" w:history="1">
        <w:r w:rsidR="00D7714F" w:rsidRPr="00565E0D">
          <w:rPr>
            <w:rStyle w:val="af3"/>
            <w:rFonts w:asciiTheme="minorEastAsia" w:eastAsiaTheme="minorEastAsia" w:hAnsiTheme="minorEastAsia" w:hint="eastAsia"/>
            <w:color w:val="auto"/>
            <w:u w:val="none"/>
          </w:rPr>
          <w:t>（三）收益分配方案的确定与公告</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_Toc38551232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114</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33" w:history="1">
        <w:r w:rsidR="00D7714F" w:rsidRPr="00565E0D">
          <w:rPr>
            <w:rStyle w:val="af3"/>
            <w:rFonts w:asciiTheme="minorEastAsia" w:eastAsiaTheme="minorEastAsia" w:hAnsiTheme="minorEastAsia" w:hint="eastAsia"/>
            <w:color w:val="auto"/>
            <w:u w:val="none"/>
          </w:rPr>
          <w:t>（四）收益分配中发生的费用</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_Toc38551233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114</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34" w:history="1">
        <w:r w:rsidR="00D7714F" w:rsidRPr="00565E0D">
          <w:rPr>
            <w:rStyle w:val="af3"/>
            <w:rFonts w:asciiTheme="minorEastAsia" w:eastAsiaTheme="minorEastAsia" w:hAnsiTheme="minorEastAsia" w:hint="eastAsia"/>
            <w:b/>
            <w:bCs/>
            <w:color w:val="auto"/>
            <w:u w:val="none"/>
          </w:rPr>
          <w:t>十六、基金的费用与税收</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_Toc38551234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115</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35" w:history="1">
        <w:r w:rsidR="00D7714F" w:rsidRPr="00565E0D">
          <w:rPr>
            <w:rStyle w:val="af3"/>
            <w:rFonts w:asciiTheme="minorEastAsia" w:eastAsiaTheme="minorEastAsia" w:hAnsiTheme="minorEastAsia" w:hint="eastAsia"/>
            <w:color w:val="auto"/>
            <w:u w:val="none"/>
          </w:rPr>
          <w:t>（一）与基金运作相关的费用</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_Toc38551235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115</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36" w:history="1">
        <w:r w:rsidR="00D7714F" w:rsidRPr="00565E0D">
          <w:rPr>
            <w:rStyle w:val="af3"/>
            <w:rFonts w:asciiTheme="minorEastAsia" w:eastAsiaTheme="minorEastAsia" w:hAnsiTheme="minorEastAsia" w:hint="eastAsia"/>
            <w:color w:val="auto"/>
            <w:u w:val="none"/>
          </w:rPr>
          <w:t>（二）与基金销售有关的费用</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_Toc38551236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116</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37" w:history="1">
        <w:r w:rsidR="00D7714F" w:rsidRPr="00565E0D">
          <w:rPr>
            <w:rStyle w:val="af3"/>
            <w:rFonts w:asciiTheme="minorEastAsia" w:eastAsiaTheme="minorEastAsia" w:hAnsiTheme="minorEastAsia" w:hint="eastAsia"/>
            <w:color w:val="auto"/>
            <w:u w:val="none"/>
          </w:rPr>
          <w:t>（三）基金税收</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_Toc38551237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117</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38" w:history="1">
        <w:r w:rsidR="00D7714F" w:rsidRPr="00565E0D">
          <w:rPr>
            <w:rStyle w:val="af3"/>
            <w:rFonts w:asciiTheme="minorEastAsia" w:eastAsiaTheme="minorEastAsia" w:hAnsiTheme="minorEastAsia" w:hint="eastAsia"/>
            <w:b/>
            <w:bCs/>
            <w:color w:val="auto"/>
            <w:u w:val="none"/>
          </w:rPr>
          <w:t>十七、基金的会计与审计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_Toc38551238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118</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39" w:history="1">
        <w:r w:rsidR="00D7714F" w:rsidRPr="00565E0D">
          <w:rPr>
            <w:rStyle w:val="af3"/>
            <w:rFonts w:asciiTheme="minorEastAsia" w:eastAsiaTheme="minorEastAsia" w:hAnsiTheme="minorEastAsia" w:hint="eastAsia"/>
            <w:color w:val="auto"/>
            <w:u w:val="none"/>
          </w:rPr>
          <w:t>（一）基金会计政策</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_Toc38551239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118</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40" w:history="1">
        <w:r w:rsidR="00D7714F" w:rsidRPr="00565E0D">
          <w:rPr>
            <w:rStyle w:val="af3"/>
            <w:rFonts w:asciiTheme="minorEastAsia" w:eastAsiaTheme="minorEastAsia" w:hAnsiTheme="minorEastAsia" w:hint="eastAsia"/>
            <w:color w:val="auto"/>
            <w:u w:val="none"/>
          </w:rPr>
          <w:t>（二）基金年度审计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_Toc38551240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118</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41" w:history="1">
        <w:r w:rsidR="00D7714F" w:rsidRPr="00565E0D">
          <w:rPr>
            <w:rStyle w:val="af3"/>
            <w:rFonts w:asciiTheme="minorEastAsia" w:eastAsiaTheme="minorEastAsia" w:hAnsiTheme="minorEastAsia" w:hint="eastAsia"/>
            <w:b/>
            <w:bCs/>
            <w:color w:val="auto"/>
            <w:u w:val="none"/>
          </w:rPr>
          <w:t>十八、基金的信息披露</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_Toc38551241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119</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42" w:history="1">
        <w:r w:rsidR="00D7714F" w:rsidRPr="00565E0D">
          <w:rPr>
            <w:rStyle w:val="af3"/>
            <w:rFonts w:asciiTheme="minorEastAsia" w:eastAsiaTheme="minorEastAsia" w:hAnsiTheme="minorEastAsia" w:hint="eastAsia"/>
            <w:b/>
            <w:bCs/>
            <w:color w:val="auto"/>
            <w:u w:val="none"/>
          </w:rPr>
          <w:t>十九、风险揭示</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_Toc38551242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124</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43" w:history="1">
        <w:r w:rsidR="00D7714F" w:rsidRPr="00565E0D">
          <w:rPr>
            <w:rStyle w:val="af3"/>
            <w:rFonts w:asciiTheme="minorEastAsia" w:eastAsiaTheme="minorEastAsia" w:hAnsiTheme="minorEastAsia" w:hint="eastAsia"/>
            <w:color w:val="auto"/>
            <w:u w:val="none"/>
          </w:rPr>
          <w:t>（一）市场风险</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_Toc38551243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124</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44" w:history="1">
        <w:r w:rsidR="00D7714F" w:rsidRPr="00565E0D">
          <w:rPr>
            <w:rStyle w:val="af3"/>
            <w:rFonts w:asciiTheme="minorEastAsia" w:eastAsiaTheme="minorEastAsia" w:hAnsiTheme="minorEastAsia" w:hint="eastAsia"/>
            <w:color w:val="auto"/>
            <w:u w:val="none"/>
          </w:rPr>
          <w:t>（二）管理风险</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_Toc38551244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124</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45" w:history="1">
        <w:r w:rsidR="00D7714F" w:rsidRPr="00565E0D">
          <w:rPr>
            <w:rStyle w:val="af3"/>
            <w:rFonts w:asciiTheme="minorEastAsia" w:eastAsiaTheme="minorEastAsia" w:hAnsiTheme="minorEastAsia" w:hint="eastAsia"/>
            <w:color w:val="auto"/>
            <w:u w:val="none"/>
          </w:rPr>
          <w:t>（三）流动性风险</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_Toc38551245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124</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46" w:history="1">
        <w:r w:rsidR="00D7714F" w:rsidRPr="00565E0D">
          <w:rPr>
            <w:rStyle w:val="af3"/>
            <w:rFonts w:asciiTheme="minorEastAsia" w:eastAsiaTheme="minorEastAsia" w:hAnsiTheme="minorEastAsia" w:hint="eastAsia"/>
            <w:color w:val="auto"/>
            <w:u w:val="none"/>
          </w:rPr>
          <w:t>（四）本基金法律文件中涉及基金风险特征的表述与销售机构对基金的风险评级可能不一致的风险</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_Toc38551246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125</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47" w:history="1">
        <w:r w:rsidR="00D7714F" w:rsidRPr="00565E0D">
          <w:rPr>
            <w:rStyle w:val="af3"/>
            <w:rFonts w:asciiTheme="minorEastAsia" w:eastAsiaTheme="minorEastAsia" w:hAnsiTheme="minorEastAsia" w:hint="eastAsia"/>
            <w:color w:val="auto"/>
            <w:u w:val="none"/>
          </w:rPr>
          <w:t>（五）本基金特有的风险</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_Toc38551247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126</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48" w:history="1">
        <w:r w:rsidR="00D7714F" w:rsidRPr="00565E0D">
          <w:rPr>
            <w:rStyle w:val="af3"/>
            <w:rFonts w:asciiTheme="minorEastAsia" w:eastAsiaTheme="minorEastAsia" w:hAnsiTheme="minorEastAsia" w:hint="eastAsia"/>
            <w:color w:val="auto"/>
            <w:u w:val="none"/>
          </w:rPr>
          <w:t>（六）其他风险</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_Toc38551248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126</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49" w:history="1">
        <w:r w:rsidR="00D7714F" w:rsidRPr="00565E0D">
          <w:rPr>
            <w:rStyle w:val="af3"/>
            <w:rFonts w:asciiTheme="minorEastAsia" w:eastAsiaTheme="minorEastAsia" w:hAnsiTheme="minorEastAsia" w:hint="eastAsia"/>
            <w:b/>
            <w:bCs/>
            <w:color w:val="auto"/>
            <w:u w:val="none"/>
          </w:rPr>
          <w:t>二十、基金合同的终止与基金财产的清算</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_Toc38551249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127</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50" w:history="1">
        <w:r w:rsidR="00D7714F" w:rsidRPr="00565E0D">
          <w:rPr>
            <w:rStyle w:val="af3"/>
            <w:rFonts w:asciiTheme="minorEastAsia" w:eastAsiaTheme="minorEastAsia" w:hAnsiTheme="minorEastAsia" w:hint="eastAsia"/>
            <w:color w:val="auto"/>
            <w:u w:val="none"/>
          </w:rPr>
          <w:t>（一）基金合同的终止</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_Toc38551250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127</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51" w:history="1">
        <w:r w:rsidR="00D7714F" w:rsidRPr="00565E0D">
          <w:rPr>
            <w:rStyle w:val="af3"/>
            <w:rFonts w:asciiTheme="minorEastAsia" w:eastAsiaTheme="minorEastAsia" w:hAnsiTheme="minorEastAsia" w:hint="eastAsia"/>
            <w:color w:val="auto"/>
            <w:u w:val="none"/>
          </w:rPr>
          <w:t>（二）基金财产的清算</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_Toc38551251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127</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52" w:history="1">
        <w:r w:rsidR="00D7714F" w:rsidRPr="00565E0D">
          <w:rPr>
            <w:rStyle w:val="af3"/>
            <w:rFonts w:asciiTheme="minorEastAsia" w:eastAsiaTheme="minorEastAsia" w:hAnsiTheme="minorEastAsia" w:hint="eastAsia"/>
            <w:b/>
            <w:bCs/>
            <w:color w:val="auto"/>
            <w:u w:val="none"/>
          </w:rPr>
          <w:t>二十一、基金合同内容摘要</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_Toc38551252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53" w:history="1">
        <w:r w:rsidR="00D7714F" w:rsidRPr="00565E0D">
          <w:rPr>
            <w:rStyle w:val="af3"/>
            <w:rFonts w:asciiTheme="minorEastAsia" w:eastAsiaTheme="minorEastAsia" w:hAnsiTheme="minorEastAsia" w:hint="eastAsia"/>
            <w:bCs/>
            <w:color w:val="auto"/>
            <w:u w:val="none"/>
          </w:rPr>
          <w:t>（一）前言</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_Toc38551253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54" w:history="1">
        <w:r w:rsidR="00D7714F" w:rsidRPr="00565E0D">
          <w:rPr>
            <w:rStyle w:val="af3"/>
            <w:rFonts w:asciiTheme="minorEastAsia" w:eastAsiaTheme="minorEastAsia" w:hAnsiTheme="minorEastAsia" w:hint="eastAsia"/>
            <w:bCs/>
            <w:color w:val="auto"/>
            <w:u w:val="none"/>
          </w:rPr>
          <w:t>（二）基金管理人的权利与义务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_Toc38551254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129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55" w:history="1">
        <w:r w:rsidR="00D7714F" w:rsidRPr="00565E0D">
          <w:rPr>
            <w:rStyle w:val="af3"/>
            <w:rFonts w:asciiTheme="minorEastAsia" w:eastAsiaTheme="minorEastAsia" w:hAnsiTheme="minorEastAsia" w:hint="eastAsia"/>
            <w:bCs/>
            <w:color w:val="auto"/>
            <w:u w:val="none"/>
          </w:rPr>
          <w:t>（三）基金托管人的权利与义务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_Toc38551255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132</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56" w:history="1">
        <w:r w:rsidR="00D7714F" w:rsidRPr="00565E0D">
          <w:rPr>
            <w:rStyle w:val="af3"/>
            <w:rFonts w:asciiTheme="minorEastAsia" w:eastAsiaTheme="minorEastAsia" w:hAnsiTheme="minorEastAsia" w:hint="eastAsia"/>
            <w:bCs/>
            <w:color w:val="auto"/>
            <w:u w:val="none"/>
          </w:rPr>
          <w:t>（四）基金份额持有人的权利与义务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_Toc38551256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133</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57" w:history="1">
        <w:r w:rsidR="00D7714F" w:rsidRPr="00565E0D">
          <w:rPr>
            <w:rStyle w:val="af3"/>
            <w:rFonts w:asciiTheme="minorEastAsia" w:eastAsiaTheme="minorEastAsia" w:hAnsiTheme="minorEastAsia" w:hint="eastAsia"/>
            <w:bCs/>
            <w:color w:val="auto"/>
            <w:u w:val="none"/>
          </w:rPr>
          <w:t>（五）基金份额持有人大会</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_Toc38551257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134</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58" w:history="1">
        <w:r w:rsidR="00D7714F" w:rsidRPr="00565E0D">
          <w:rPr>
            <w:rStyle w:val="af3"/>
            <w:rFonts w:asciiTheme="minorEastAsia" w:eastAsiaTheme="minorEastAsia" w:hAnsiTheme="minorEastAsia" w:hint="eastAsia"/>
            <w:bCs/>
            <w:color w:val="auto"/>
            <w:u w:val="none"/>
          </w:rPr>
          <w:t>（六）基金合同的变更和终止</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_Toc38551258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139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59" w:history="1">
        <w:r w:rsidR="00D7714F" w:rsidRPr="00565E0D">
          <w:rPr>
            <w:rStyle w:val="af3"/>
            <w:rFonts w:asciiTheme="minorEastAsia" w:eastAsiaTheme="minorEastAsia" w:hAnsiTheme="minorEastAsia" w:hint="eastAsia"/>
            <w:bCs/>
            <w:color w:val="auto"/>
            <w:u w:val="none"/>
          </w:rPr>
          <w:t>（七）争议的处理</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_Toc38551259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140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60" w:history="1">
        <w:r w:rsidR="00D7714F" w:rsidRPr="00565E0D">
          <w:rPr>
            <w:rStyle w:val="af3"/>
            <w:rFonts w:asciiTheme="minorEastAsia" w:eastAsiaTheme="minorEastAsia" w:hAnsiTheme="minorEastAsia" w:hint="eastAsia"/>
            <w:bCs/>
            <w:color w:val="auto"/>
            <w:u w:val="none"/>
          </w:rPr>
          <w:t>（八）基金合同的存放及查阅方式</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_Toc38551260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140</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61" w:history="1">
        <w:r w:rsidR="00D7714F" w:rsidRPr="00565E0D">
          <w:rPr>
            <w:rStyle w:val="af3"/>
            <w:rFonts w:asciiTheme="minorEastAsia" w:eastAsiaTheme="minorEastAsia" w:hAnsiTheme="minorEastAsia" w:hint="eastAsia"/>
            <w:b/>
            <w:bCs/>
            <w:color w:val="auto"/>
            <w:u w:val="none"/>
          </w:rPr>
          <w:t>二十二、基金托管协议的内容摘要</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_Toc38551261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141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62" w:history="1">
        <w:r w:rsidR="00D7714F" w:rsidRPr="00565E0D">
          <w:rPr>
            <w:rStyle w:val="af3"/>
            <w:rFonts w:asciiTheme="minorEastAsia" w:eastAsiaTheme="minorEastAsia" w:hAnsiTheme="minorEastAsia" w:hint="eastAsia"/>
            <w:bCs/>
            <w:color w:val="auto"/>
            <w:u w:val="none"/>
          </w:rPr>
          <w:t>（一）托管协议当事人</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_Toc38551262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141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63" w:history="1">
        <w:r w:rsidR="00D7714F" w:rsidRPr="00565E0D">
          <w:rPr>
            <w:rStyle w:val="af3"/>
            <w:rFonts w:asciiTheme="minorEastAsia" w:eastAsiaTheme="minorEastAsia" w:hAnsiTheme="minorEastAsia" w:hint="eastAsia"/>
            <w:bCs/>
            <w:color w:val="auto"/>
            <w:u w:val="none"/>
          </w:rPr>
          <w:t>（二）基金托管人对基金管理人的业务监督和核查</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_Toc38551263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142</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64" w:history="1">
        <w:r w:rsidR="00D7714F" w:rsidRPr="00565E0D">
          <w:rPr>
            <w:rStyle w:val="af3"/>
            <w:rFonts w:asciiTheme="minorEastAsia" w:eastAsiaTheme="minorEastAsia" w:hAnsiTheme="minorEastAsia" w:hint="eastAsia"/>
            <w:bCs/>
            <w:color w:val="auto"/>
            <w:u w:val="none"/>
          </w:rPr>
          <w:t>（三）基金管理人对基金托管人的业务核查</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_Toc38551264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145</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65" w:history="1">
        <w:r w:rsidR="00D7714F" w:rsidRPr="00565E0D">
          <w:rPr>
            <w:rStyle w:val="af3"/>
            <w:rFonts w:asciiTheme="minorEastAsia" w:eastAsiaTheme="minorEastAsia" w:hAnsiTheme="minorEastAsia" w:hint="eastAsia"/>
            <w:bCs/>
            <w:color w:val="auto"/>
            <w:u w:val="none"/>
          </w:rPr>
          <w:t>（四）基金财产保管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_Toc38551265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146</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66" w:history="1">
        <w:r w:rsidR="00D7714F" w:rsidRPr="00565E0D">
          <w:rPr>
            <w:rStyle w:val="af3"/>
            <w:rFonts w:asciiTheme="minorEastAsia" w:eastAsiaTheme="minorEastAsia" w:hAnsiTheme="minorEastAsia" w:hint="eastAsia"/>
            <w:bCs/>
            <w:color w:val="auto"/>
            <w:u w:val="none"/>
          </w:rPr>
          <w:t>（五）基金资产净值计算与复核</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_Toc38551266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148</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67" w:history="1">
        <w:r w:rsidR="00D7714F" w:rsidRPr="00565E0D">
          <w:rPr>
            <w:rStyle w:val="af3"/>
            <w:rFonts w:asciiTheme="minorEastAsia" w:eastAsiaTheme="minorEastAsia" w:hAnsiTheme="minorEastAsia" w:hint="eastAsia"/>
            <w:bCs/>
            <w:color w:val="auto"/>
            <w:u w:val="none"/>
          </w:rPr>
          <w:t>（六）基金份额持有人名册的保管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_Toc38551267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149</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68" w:history="1">
        <w:r w:rsidR="00D7714F" w:rsidRPr="00565E0D">
          <w:rPr>
            <w:rStyle w:val="af3"/>
            <w:rFonts w:asciiTheme="minorEastAsia" w:eastAsiaTheme="minorEastAsia" w:hAnsiTheme="minorEastAsia" w:hint="eastAsia"/>
            <w:bCs/>
            <w:color w:val="auto"/>
            <w:u w:val="none"/>
          </w:rPr>
          <w:t>（七）争议解决方式</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_Toc38551268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150</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69" w:history="1">
        <w:r w:rsidR="00D7714F" w:rsidRPr="00565E0D">
          <w:rPr>
            <w:rStyle w:val="af3"/>
            <w:rFonts w:asciiTheme="minorEastAsia" w:eastAsiaTheme="minorEastAsia" w:hAnsiTheme="minorEastAsia" w:hint="eastAsia"/>
            <w:bCs/>
            <w:color w:val="auto"/>
            <w:u w:val="none"/>
          </w:rPr>
          <w:t>（八）托管协议的变更与终止</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_Toc38551269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150</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70" w:history="1">
        <w:r w:rsidR="00D7714F" w:rsidRPr="00565E0D">
          <w:rPr>
            <w:rStyle w:val="af3"/>
            <w:rFonts w:asciiTheme="minorEastAsia" w:eastAsiaTheme="minorEastAsia" w:hAnsiTheme="minorEastAsia" w:hint="eastAsia"/>
            <w:b/>
            <w:bCs/>
            <w:color w:val="auto"/>
            <w:u w:val="none"/>
          </w:rPr>
          <w:t>二十三、对基金份额持有人的服务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_Toc38551270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151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71" w:history="1">
        <w:r w:rsidR="00D7714F" w:rsidRPr="00565E0D">
          <w:rPr>
            <w:rStyle w:val="af3"/>
            <w:rFonts w:asciiTheme="minorEastAsia" w:eastAsiaTheme="minorEastAsia" w:hAnsiTheme="minorEastAsia" w:hint="eastAsia"/>
            <w:bCs/>
            <w:color w:val="auto"/>
            <w:u w:val="none"/>
          </w:rPr>
          <w:t>（一）基金份额持有人投资交易确认服务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_Toc38551271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151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72" w:history="1">
        <w:r w:rsidR="00D7714F" w:rsidRPr="00565E0D">
          <w:rPr>
            <w:rStyle w:val="af3"/>
            <w:rFonts w:asciiTheme="minorEastAsia" w:eastAsiaTheme="minorEastAsia" w:hAnsiTheme="minorEastAsia" w:hint="eastAsia"/>
            <w:bCs/>
            <w:color w:val="auto"/>
            <w:u w:val="none"/>
          </w:rPr>
          <w:t>（二）基金份额持有人交易记录查询服务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_Toc38551272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151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73" w:history="1">
        <w:r w:rsidR="00D7714F" w:rsidRPr="00565E0D">
          <w:rPr>
            <w:rStyle w:val="af3"/>
            <w:rFonts w:asciiTheme="minorEastAsia" w:eastAsiaTheme="minorEastAsia" w:hAnsiTheme="minorEastAsia" w:hint="eastAsia"/>
            <w:bCs/>
            <w:color w:val="auto"/>
            <w:u w:val="none"/>
          </w:rPr>
          <w:t>（三）基金份额持有人的对账单服务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_Toc38551273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151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74" w:history="1">
        <w:r w:rsidR="00D7714F" w:rsidRPr="00565E0D">
          <w:rPr>
            <w:rStyle w:val="af3"/>
            <w:rFonts w:asciiTheme="minorEastAsia" w:eastAsiaTheme="minorEastAsia" w:hAnsiTheme="minorEastAsia" w:hint="eastAsia"/>
            <w:bCs/>
            <w:color w:val="auto"/>
            <w:u w:val="none"/>
          </w:rPr>
          <w:t>（四）定期定额投资计划</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_Toc38551274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151</w:t>
        </w:r>
        <w:r w:rsidR="00D7714F" w:rsidRPr="00565E0D">
          <w:rPr>
            <w:rFonts w:asciiTheme="minorEastAsia" w:eastAsiaTheme="minorEastAsia" w:hAnsiTheme="minorEastAsia"/>
            <w:webHidden/>
          </w:rPr>
          <w:fldChar w:fldCharType="end"/>
        </w:r>
      </w:hyperlink>
    </w:p>
    <w:p w:rsidR="00D7714F" w:rsidRPr="00565E0D" w:rsidRDefault="00BE4425">
      <w:pPr>
        <w:pStyle w:val="20"/>
        <w:rPr>
          <w:rFonts w:asciiTheme="minorEastAsia" w:eastAsiaTheme="minorEastAsia" w:hAnsiTheme="minorEastAsia" w:cstheme="minorBidi"/>
          <w:smallCaps w:val="0"/>
          <w:szCs w:val="22"/>
        </w:rPr>
      </w:pPr>
      <w:hyperlink w:anchor="_Toc38551275" w:history="1">
        <w:r w:rsidR="00D7714F" w:rsidRPr="00565E0D">
          <w:rPr>
            <w:rStyle w:val="af3"/>
            <w:rFonts w:asciiTheme="minorEastAsia" w:eastAsiaTheme="minorEastAsia" w:hAnsiTheme="minorEastAsia" w:hint="eastAsia"/>
            <w:bCs/>
            <w:color w:val="auto"/>
            <w:u w:val="none"/>
          </w:rPr>
          <w:t>（五）资讯服务</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_Toc38551275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151</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76" w:history="1">
        <w:r w:rsidR="00D7714F" w:rsidRPr="00565E0D">
          <w:rPr>
            <w:rStyle w:val="af3"/>
            <w:rFonts w:asciiTheme="minorEastAsia" w:eastAsiaTheme="minorEastAsia" w:hAnsiTheme="minorEastAsia" w:hint="eastAsia"/>
            <w:b/>
            <w:bCs/>
            <w:color w:val="auto"/>
            <w:u w:val="none"/>
          </w:rPr>
          <w:t>二十四、其他应披露事项</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_Toc38551276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152</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77" w:history="1">
        <w:r w:rsidR="00D7714F" w:rsidRPr="00565E0D">
          <w:rPr>
            <w:rStyle w:val="af3"/>
            <w:rFonts w:asciiTheme="minorEastAsia" w:eastAsiaTheme="minorEastAsia" w:hAnsiTheme="minorEastAsia" w:hint="eastAsia"/>
            <w:b/>
            <w:bCs/>
            <w:color w:val="auto"/>
            <w:u w:val="none"/>
          </w:rPr>
          <w:t>二十五、招募说明书存放及查阅方式</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_Toc38551277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155</w:t>
        </w:r>
        <w:r w:rsidR="00D7714F" w:rsidRPr="00565E0D">
          <w:rPr>
            <w:rFonts w:asciiTheme="minorEastAsia" w:eastAsiaTheme="minorEastAsia" w:hAnsiTheme="minorEastAsia"/>
            <w:webHidden/>
          </w:rPr>
          <w:fldChar w:fldCharType="end"/>
        </w:r>
      </w:hyperlink>
    </w:p>
    <w:p w:rsidR="00D7714F" w:rsidRPr="00565E0D" w:rsidRDefault="00BE4425">
      <w:pPr>
        <w:pStyle w:val="10"/>
        <w:rPr>
          <w:rFonts w:asciiTheme="minorEastAsia" w:eastAsiaTheme="minorEastAsia" w:hAnsiTheme="minorEastAsia" w:cstheme="minorBidi"/>
          <w:caps w:val="0"/>
          <w:sz w:val="21"/>
          <w:szCs w:val="22"/>
        </w:rPr>
      </w:pPr>
      <w:hyperlink w:anchor="_Toc38551278" w:history="1">
        <w:r w:rsidR="00D7714F" w:rsidRPr="00565E0D">
          <w:rPr>
            <w:rStyle w:val="af3"/>
            <w:rFonts w:asciiTheme="minorEastAsia" w:eastAsiaTheme="minorEastAsia" w:hAnsiTheme="minorEastAsia" w:hint="eastAsia"/>
            <w:b/>
            <w:color w:val="auto"/>
            <w:u w:val="none"/>
          </w:rPr>
          <w:t>二十六、备查文</w:t>
        </w:r>
        <w:r w:rsidR="00D7714F" w:rsidRPr="00565E0D">
          <w:rPr>
            <w:rStyle w:val="af3"/>
            <w:rFonts w:asciiTheme="minorEastAsia" w:eastAsiaTheme="minorEastAsia" w:hAnsiTheme="minorEastAsia" w:hint="eastAsia"/>
            <w:b/>
            <w:color w:val="auto"/>
            <w:u w:val="none"/>
          </w:rPr>
          <w:t>件</w:t>
        </w:r>
        <w:r w:rsidR="00D7714F" w:rsidRPr="00565E0D">
          <w:rPr>
            <w:rFonts w:asciiTheme="minorEastAsia" w:eastAsiaTheme="minorEastAsia" w:hAnsiTheme="minorEastAsia"/>
            <w:webHidden/>
          </w:rPr>
          <w:tab/>
        </w:r>
        <w:r w:rsidR="00D7714F" w:rsidRPr="00565E0D">
          <w:rPr>
            <w:rFonts w:asciiTheme="minorEastAsia" w:eastAsiaTheme="minorEastAsia" w:hAnsiTheme="minorEastAsia"/>
            <w:webHidden/>
          </w:rPr>
          <w:fldChar w:fldCharType="begin"/>
        </w:r>
        <w:r w:rsidR="00D7714F" w:rsidRPr="00565E0D">
          <w:rPr>
            <w:rFonts w:asciiTheme="minorEastAsia" w:eastAsiaTheme="minorEastAsia" w:hAnsiTheme="minorEastAsia"/>
            <w:webHidden/>
          </w:rPr>
          <w:instrText xml:space="preserve"> PAGEREF _Toc38551278 \h </w:instrText>
        </w:r>
        <w:r w:rsidR="00D7714F" w:rsidRPr="00565E0D">
          <w:rPr>
            <w:rFonts w:asciiTheme="minorEastAsia" w:eastAsiaTheme="minorEastAsia" w:hAnsiTheme="minorEastAsia"/>
            <w:webHidden/>
          </w:rPr>
        </w:r>
        <w:r w:rsidR="00D7714F" w:rsidRPr="00565E0D">
          <w:rPr>
            <w:rFonts w:asciiTheme="minorEastAsia" w:eastAsiaTheme="minorEastAsia" w:hAnsiTheme="minorEastAsia"/>
            <w:webHidden/>
          </w:rPr>
          <w:fldChar w:fldCharType="separate"/>
        </w:r>
        <w:r w:rsidR="00565E0D">
          <w:rPr>
            <w:rFonts w:asciiTheme="minorEastAsia" w:eastAsiaTheme="minorEastAsia" w:hAnsiTheme="minorEastAsia"/>
            <w:webHidden/>
          </w:rPr>
          <w:t>156</w:t>
        </w:r>
        <w:r w:rsidR="00D7714F" w:rsidRPr="00565E0D">
          <w:rPr>
            <w:rFonts w:asciiTheme="minorEastAsia" w:eastAsiaTheme="minorEastAsia" w:hAnsiTheme="minorEastAsia"/>
            <w:webHidden/>
          </w:rPr>
          <w:fldChar w:fldCharType="end"/>
        </w:r>
      </w:hyperlink>
    </w:p>
    <w:p w:rsidR="00C35BC5" w:rsidRPr="00565E0D" w:rsidRDefault="002B0131" w:rsidP="00552BE1">
      <w:pPr>
        <w:pStyle w:val="10"/>
        <w:snapToGrid w:val="0"/>
        <w:spacing w:line="360" w:lineRule="auto"/>
        <w:rPr>
          <w:rFonts w:asciiTheme="minorEastAsia" w:eastAsiaTheme="minorEastAsia" w:hAnsiTheme="minorEastAsia"/>
        </w:rPr>
        <w:sectPr w:rsidR="00C35BC5" w:rsidRPr="00565E0D" w:rsidSect="002A0168">
          <w:footerReference w:type="default" r:id="rId16"/>
          <w:pgSz w:w="11906" w:h="16838" w:code="9"/>
          <w:pgMar w:top="1440" w:right="1797" w:bottom="1440" w:left="1797" w:header="1134" w:footer="1247" w:gutter="0"/>
          <w:pgNumType w:fmt="upperRoman" w:start="1"/>
          <w:cols w:space="425"/>
          <w:docGrid w:type="lines" w:linePitch="447"/>
        </w:sectPr>
      </w:pPr>
      <w:r w:rsidRPr="00565E0D">
        <w:rPr>
          <w:rFonts w:asciiTheme="minorEastAsia" w:eastAsiaTheme="minorEastAsia" w:hAnsiTheme="minorEastAsia"/>
        </w:rPr>
        <w:fldChar w:fldCharType="end"/>
      </w:r>
    </w:p>
    <w:p w:rsidR="00C35BC5" w:rsidRPr="00565E0D" w:rsidRDefault="00C35BC5" w:rsidP="00552BE1">
      <w:pPr>
        <w:pStyle w:val="11"/>
        <w:snapToGrid w:val="0"/>
        <w:spacing w:beforeLines="0" w:afterLines="0" w:line="360" w:lineRule="auto"/>
        <w:ind w:firstLine="643"/>
        <w:rPr>
          <w:rFonts w:asciiTheme="minorEastAsia" w:eastAsiaTheme="minorEastAsia" w:hAnsiTheme="minorEastAsia"/>
        </w:rPr>
      </w:pPr>
      <w:bookmarkStart w:id="0" w:name="_Toc38432421"/>
      <w:bookmarkStart w:id="1" w:name="_Toc38551160"/>
      <w:r w:rsidRPr="00565E0D">
        <w:rPr>
          <w:rFonts w:asciiTheme="minorEastAsia" w:eastAsiaTheme="minorEastAsia" w:hAnsiTheme="minorEastAsia" w:hint="eastAsia"/>
        </w:rPr>
        <w:lastRenderedPageBreak/>
        <w:t>一、绪言</w:t>
      </w:r>
      <w:bookmarkEnd w:id="0"/>
      <w:bookmarkEnd w:id="1"/>
    </w:p>
    <w:p w:rsidR="00C35BC5" w:rsidRPr="00565E0D" w:rsidRDefault="00C35BC5" w:rsidP="00552BE1">
      <w:pPr>
        <w:snapToGrid w:val="0"/>
        <w:spacing w:line="360" w:lineRule="auto"/>
        <w:ind w:firstLine="482"/>
        <w:rPr>
          <w:rFonts w:asciiTheme="minorEastAsia" w:eastAsiaTheme="minorEastAsia" w:hAnsiTheme="minorEastAsia"/>
          <w:szCs w:val="21"/>
        </w:rPr>
      </w:pPr>
      <w:r w:rsidRPr="00565E0D">
        <w:rPr>
          <w:rFonts w:asciiTheme="minorEastAsia" w:eastAsiaTheme="minorEastAsia" w:hAnsiTheme="minorEastAsia" w:hint="eastAsia"/>
          <w:szCs w:val="21"/>
        </w:rPr>
        <w:t>本《招募说明书》依据《中华人民共和国证券投资基金法》（以下简称《基金法》）、《证券投资基金运作管理办法》（以下简称《运作办法》）、《证券投资基金销售管理办法》（以下简称《销售办法》）、《</w:t>
      </w:r>
      <w:r w:rsidR="00820053" w:rsidRPr="00565E0D">
        <w:rPr>
          <w:rFonts w:asciiTheme="minorEastAsia" w:eastAsiaTheme="minorEastAsia" w:hAnsiTheme="minorEastAsia" w:hint="eastAsia"/>
          <w:szCs w:val="21"/>
        </w:rPr>
        <w:t>公开募集</w:t>
      </w:r>
      <w:r w:rsidRPr="00565E0D">
        <w:rPr>
          <w:rFonts w:asciiTheme="minorEastAsia" w:eastAsiaTheme="minorEastAsia" w:hAnsiTheme="minorEastAsia" w:hint="eastAsia"/>
          <w:szCs w:val="21"/>
        </w:rPr>
        <w:t>证券投资基金信息披露管理办法》（以下简称《信息披露办法》）、</w:t>
      </w:r>
      <w:r w:rsidR="004C1E5D" w:rsidRPr="00565E0D">
        <w:rPr>
          <w:rFonts w:asciiTheme="minorEastAsia" w:eastAsiaTheme="minorEastAsia" w:hAnsiTheme="minorEastAsia" w:hint="eastAsia"/>
        </w:rPr>
        <w:t>《公开募集开放式证券投资基金流动性风险管理规定》（以下简称“《管理规定》”）</w:t>
      </w:r>
      <w:r w:rsidRPr="00565E0D">
        <w:rPr>
          <w:rFonts w:asciiTheme="minorEastAsia" w:eastAsiaTheme="minorEastAsia" w:hAnsiTheme="minorEastAsia" w:hint="eastAsia"/>
          <w:szCs w:val="21"/>
        </w:rPr>
        <w:t>等有关法律法规以及《易方达价值成长混合型证券投资基金基金合同》编写。</w:t>
      </w:r>
    </w:p>
    <w:p w:rsidR="00C35BC5" w:rsidRPr="00565E0D" w:rsidRDefault="00C35BC5" w:rsidP="00552BE1">
      <w:pPr>
        <w:snapToGrid w:val="0"/>
        <w:spacing w:line="360" w:lineRule="auto"/>
        <w:ind w:firstLine="482"/>
        <w:rPr>
          <w:rStyle w:val="da"/>
          <w:rFonts w:asciiTheme="minorEastAsia" w:eastAsiaTheme="minorEastAsia" w:hAnsiTheme="minorEastAsia"/>
        </w:rPr>
      </w:pPr>
      <w:r w:rsidRPr="00565E0D">
        <w:rPr>
          <w:rStyle w:val="da"/>
          <w:rFonts w:asciiTheme="minorEastAsia" w:eastAsiaTheme="minorEastAsia" w:hAnsiTheme="minor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Pr="00565E0D">
        <w:rPr>
          <w:rStyle w:val="da"/>
          <w:rFonts w:asciiTheme="minorEastAsia" w:eastAsiaTheme="minorEastAsia" w:hAnsiTheme="minorEastAsia" w:hint="eastAsia"/>
        </w:rPr>
        <w:t>，</w:t>
      </w:r>
      <w:r w:rsidRPr="00565E0D">
        <w:rPr>
          <w:rStyle w:val="da"/>
          <w:rFonts w:asciiTheme="minorEastAsia" w:eastAsiaTheme="minorEastAsia" w:hAnsiTheme="minorEastAsia"/>
        </w:rPr>
        <w:t>或对本招募说明书作任何解释或者说明。</w:t>
      </w:r>
    </w:p>
    <w:p w:rsidR="00C35BC5" w:rsidRPr="00565E0D" w:rsidRDefault="00C35BC5" w:rsidP="00552BE1">
      <w:pPr>
        <w:snapToGrid w:val="0"/>
        <w:spacing w:line="360" w:lineRule="auto"/>
        <w:ind w:firstLine="482"/>
        <w:rPr>
          <w:rStyle w:val="da"/>
          <w:rFonts w:asciiTheme="minorEastAsia" w:eastAsiaTheme="minorEastAsia" w:hAnsiTheme="minorEastAsia"/>
        </w:rPr>
      </w:pPr>
      <w:r w:rsidRPr="00565E0D">
        <w:rPr>
          <w:rStyle w:val="da"/>
          <w:rFonts w:asciiTheme="minorEastAsia" w:eastAsiaTheme="minorEastAsia" w:hAnsiTheme="minorEastAsia"/>
        </w:rPr>
        <w:t>本招募说明书根据本基金的基金合同编写</w:t>
      </w:r>
      <w:r w:rsidRPr="00565E0D">
        <w:rPr>
          <w:rStyle w:val="da"/>
          <w:rFonts w:asciiTheme="minorEastAsia" w:eastAsiaTheme="minorEastAsia" w:hAnsiTheme="minorEastAsia" w:hint="eastAsia"/>
        </w:rPr>
        <w:t>，</w:t>
      </w:r>
      <w:r w:rsidRPr="00565E0D">
        <w:rPr>
          <w:rStyle w:val="da"/>
          <w:rFonts w:asciiTheme="minorEastAsia" w:eastAsiaTheme="minorEastAsia" w:hAnsiTheme="minorEastAsia"/>
        </w:rPr>
        <w:t>并经中国证监会核准。基金合同是约定基金当事人之间权利、义务的法律文件。基金投资人自依基金合同取得基金份额</w:t>
      </w:r>
      <w:r w:rsidRPr="00565E0D">
        <w:rPr>
          <w:rStyle w:val="da"/>
          <w:rFonts w:asciiTheme="minorEastAsia" w:eastAsiaTheme="minorEastAsia" w:hAnsiTheme="minorEastAsia" w:hint="eastAsia"/>
        </w:rPr>
        <w:t>，</w:t>
      </w:r>
      <w:r w:rsidRPr="00565E0D">
        <w:rPr>
          <w:rStyle w:val="da"/>
          <w:rFonts w:asciiTheme="minorEastAsia" w:eastAsiaTheme="minorEastAsia" w:hAnsiTheme="minorEastAsia"/>
        </w:rPr>
        <w:t>即成为基金份额持有人和本基金合同的当事人</w:t>
      </w:r>
      <w:r w:rsidRPr="00565E0D">
        <w:rPr>
          <w:rStyle w:val="da"/>
          <w:rFonts w:asciiTheme="minorEastAsia" w:eastAsiaTheme="minorEastAsia" w:hAnsiTheme="minorEastAsia" w:hint="eastAsia"/>
        </w:rPr>
        <w:t>，</w:t>
      </w:r>
      <w:r w:rsidRPr="00565E0D">
        <w:rPr>
          <w:rStyle w:val="da"/>
          <w:rFonts w:asciiTheme="minorEastAsia" w:eastAsiaTheme="minorEastAsia" w:hAnsiTheme="minorEastAsia"/>
        </w:rPr>
        <w:t>其持有基金份额的行为本身即表明其对基金合同的承认和接受</w:t>
      </w:r>
      <w:r w:rsidRPr="00565E0D">
        <w:rPr>
          <w:rStyle w:val="da"/>
          <w:rFonts w:asciiTheme="minorEastAsia" w:eastAsiaTheme="minorEastAsia" w:hAnsiTheme="minorEastAsia" w:hint="eastAsia"/>
        </w:rPr>
        <w:t>，</w:t>
      </w:r>
      <w:r w:rsidRPr="00565E0D">
        <w:rPr>
          <w:rStyle w:val="da"/>
          <w:rFonts w:asciiTheme="minorEastAsia" w:eastAsiaTheme="minorEastAsia" w:hAnsiTheme="minorEastAsia"/>
        </w:rPr>
        <w:t>并按照《基金法》、基金合同及其他有关规定享有权利、承担义务。基金投资人欲了解基金份额持有人的权利和义务</w:t>
      </w:r>
      <w:r w:rsidRPr="00565E0D">
        <w:rPr>
          <w:rStyle w:val="da"/>
          <w:rFonts w:asciiTheme="minorEastAsia" w:eastAsiaTheme="minorEastAsia" w:hAnsiTheme="minorEastAsia" w:hint="eastAsia"/>
        </w:rPr>
        <w:t>，</w:t>
      </w:r>
      <w:r w:rsidRPr="00565E0D">
        <w:rPr>
          <w:rStyle w:val="da"/>
          <w:rFonts w:asciiTheme="minorEastAsia" w:eastAsiaTheme="minorEastAsia" w:hAnsiTheme="minorEastAsia"/>
        </w:rPr>
        <w:t>应详细查阅基金合同</w:t>
      </w:r>
      <w:r w:rsidRPr="00565E0D">
        <w:rPr>
          <w:rStyle w:val="da"/>
          <w:rFonts w:asciiTheme="minorEastAsia" w:eastAsiaTheme="minorEastAsia" w:hAnsiTheme="minorEastAsia" w:hint="eastAsia"/>
        </w:rPr>
        <w:t>。</w:t>
      </w:r>
    </w:p>
    <w:p w:rsidR="00820053" w:rsidRPr="00565E0D" w:rsidRDefault="00820053" w:rsidP="00552BE1">
      <w:pPr>
        <w:snapToGrid w:val="0"/>
        <w:spacing w:line="360" w:lineRule="auto"/>
        <w:ind w:firstLine="482"/>
        <w:rPr>
          <w:rStyle w:val="da"/>
          <w:rFonts w:asciiTheme="minorEastAsia" w:eastAsiaTheme="minorEastAsia" w:hAnsiTheme="minorEastAsia"/>
        </w:rPr>
      </w:pPr>
    </w:p>
    <w:p w:rsidR="00C35BC5" w:rsidRPr="00565E0D" w:rsidRDefault="00C35BC5" w:rsidP="00552BE1">
      <w:pPr>
        <w:snapToGrid w:val="0"/>
        <w:spacing w:line="360" w:lineRule="auto"/>
        <w:ind w:firstLine="482"/>
        <w:rPr>
          <w:rFonts w:asciiTheme="minorEastAsia" w:eastAsiaTheme="minorEastAsia" w:hAnsiTheme="minorEastAsia"/>
          <w:szCs w:val="21"/>
        </w:rPr>
      </w:pPr>
    </w:p>
    <w:p w:rsidR="00C35BC5" w:rsidRPr="00565E0D" w:rsidRDefault="00C35BC5" w:rsidP="00552BE1">
      <w:pPr>
        <w:snapToGrid w:val="0"/>
        <w:spacing w:line="360" w:lineRule="auto"/>
        <w:ind w:firstLine="482"/>
        <w:rPr>
          <w:rFonts w:asciiTheme="minorEastAsia" w:eastAsiaTheme="minorEastAsia" w:hAnsiTheme="minorEastAsia"/>
          <w:szCs w:val="21"/>
        </w:rPr>
      </w:pPr>
    </w:p>
    <w:p w:rsidR="00C35BC5" w:rsidRPr="00565E0D" w:rsidRDefault="00C35BC5" w:rsidP="00552BE1">
      <w:pPr>
        <w:snapToGrid w:val="0"/>
        <w:spacing w:line="360" w:lineRule="auto"/>
        <w:ind w:firstLine="482"/>
        <w:rPr>
          <w:rFonts w:asciiTheme="minorEastAsia" w:eastAsiaTheme="minorEastAsia" w:hAnsiTheme="minorEastAsia"/>
          <w:szCs w:val="21"/>
        </w:rPr>
      </w:pPr>
    </w:p>
    <w:p w:rsidR="00C35BC5" w:rsidRPr="00565E0D" w:rsidRDefault="00C35BC5" w:rsidP="00552BE1">
      <w:pPr>
        <w:snapToGrid w:val="0"/>
        <w:spacing w:line="360" w:lineRule="auto"/>
        <w:ind w:firstLine="482"/>
        <w:rPr>
          <w:rFonts w:asciiTheme="minorEastAsia" w:eastAsiaTheme="minorEastAsia" w:hAnsiTheme="minorEastAsia"/>
          <w:szCs w:val="21"/>
        </w:rPr>
      </w:pPr>
    </w:p>
    <w:p w:rsidR="00C35BC5" w:rsidRPr="00565E0D" w:rsidRDefault="00C35BC5" w:rsidP="00552BE1">
      <w:pPr>
        <w:snapToGrid w:val="0"/>
        <w:spacing w:line="360" w:lineRule="auto"/>
        <w:ind w:firstLine="482"/>
        <w:rPr>
          <w:rFonts w:asciiTheme="minorEastAsia" w:eastAsiaTheme="minorEastAsia" w:hAnsiTheme="minorEastAsia"/>
          <w:szCs w:val="21"/>
        </w:rPr>
      </w:pPr>
    </w:p>
    <w:p w:rsidR="00C35BC5" w:rsidRPr="00565E0D" w:rsidRDefault="00C35BC5" w:rsidP="00552BE1">
      <w:pPr>
        <w:pStyle w:val="111"/>
        <w:snapToGrid w:val="0"/>
        <w:spacing w:beforeLines="0" w:afterLines="0" w:line="360" w:lineRule="auto"/>
        <w:ind w:firstLine="643"/>
        <w:rPr>
          <w:rFonts w:asciiTheme="minorEastAsia" w:eastAsiaTheme="minorEastAsia" w:hAnsiTheme="minorEastAsia"/>
          <w:b/>
          <w:szCs w:val="32"/>
        </w:rPr>
      </w:pPr>
      <w:bookmarkStart w:id="2" w:name="_Toc38432422"/>
      <w:bookmarkStart w:id="3" w:name="_Toc38551161"/>
      <w:r w:rsidRPr="00565E0D">
        <w:rPr>
          <w:rFonts w:asciiTheme="minorEastAsia" w:eastAsiaTheme="minorEastAsia" w:hAnsiTheme="minorEastAsia" w:hint="eastAsia"/>
          <w:b/>
          <w:szCs w:val="32"/>
        </w:rPr>
        <w:lastRenderedPageBreak/>
        <w:t>二、释义</w:t>
      </w:r>
      <w:bookmarkEnd w:id="2"/>
      <w:bookmarkEnd w:id="3"/>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本《招募说明书》中除非文意另有所指</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下列词语有如下含义：</w:t>
      </w:r>
    </w:p>
    <w:tbl>
      <w:tblPr>
        <w:tblW w:w="0" w:type="auto"/>
        <w:tblInd w:w="250" w:type="dxa"/>
        <w:tblLayout w:type="fixed"/>
        <w:tblLook w:val="0000" w:firstRow="0" w:lastRow="0" w:firstColumn="0" w:lastColumn="0" w:noHBand="0" w:noVBand="0"/>
      </w:tblPr>
      <w:tblGrid>
        <w:gridCol w:w="2552"/>
        <w:gridCol w:w="5720"/>
      </w:tblGrid>
      <w:tr w:rsidR="00565E0D" w:rsidRPr="00565E0D" w:rsidTr="002A0168">
        <w:trPr>
          <w:trHeight w:val="762"/>
        </w:trPr>
        <w:tc>
          <w:tcPr>
            <w:tcW w:w="2552" w:type="dxa"/>
          </w:tcPr>
          <w:p w:rsidR="00C35BC5" w:rsidRPr="00565E0D" w:rsidRDefault="00C35BC5" w:rsidP="00552BE1">
            <w:pPr>
              <w:snapToGrid w:val="0"/>
              <w:spacing w:line="360" w:lineRule="auto"/>
              <w:ind w:firstLineChars="100" w:firstLine="210"/>
              <w:rPr>
                <w:rFonts w:asciiTheme="minorEastAsia" w:eastAsiaTheme="minorEastAsia" w:hAnsiTheme="minorEastAsia"/>
                <w:szCs w:val="21"/>
              </w:rPr>
            </w:pPr>
            <w:r w:rsidRPr="00565E0D">
              <w:rPr>
                <w:rFonts w:asciiTheme="minorEastAsia" w:eastAsiaTheme="minorEastAsia" w:hAnsiTheme="minorEastAsia" w:hint="eastAsia"/>
                <w:szCs w:val="21"/>
              </w:rPr>
              <w:t>基金合同：</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指《易方达价值成长混合型证券投资基金基金合同》及对该合同的任何修订和补充</w:t>
            </w:r>
          </w:p>
        </w:tc>
      </w:tr>
      <w:tr w:rsidR="00565E0D" w:rsidRPr="00565E0D" w:rsidTr="002A0168">
        <w:trPr>
          <w:trHeight w:val="770"/>
        </w:trPr>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《托管协议》</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指《易方达价值成长混合型证券投资基金托管协议》及对该协议的任何修订和补充</w:t>
            </w:r>
          </w:p>
        </w:tc>
      </w:tr>
      <w:tr w:rsidR="00565E0D" w:rsidRPr="00565E0D" w:rsidTr="002A0168">
        <w:trPr>
          <w:trHeight w:val="1395"/>
        </w:trPr>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《基金法》：</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指2003</w:t>
            </w:r>
            <w:r w:rsidRPr="00565E0D">
              <w:rPr>
                <w:rFonts w:asciiTheme="minorEastAsia" w:eastAsiaTheme="minorEastAsia" w:hAnsiTheme="minorEastAsia"/>
                <w:szCs w:val="21"/>
              </w:rPr>
              <w:t>年</w:t>
            </w:r>
            <w:r w:rsidRPr="00565E0D">
              <w:rPr>
                <w:rFonts w:asciiTheme="minorEastAsia" w:eastAsiaTheme="minorEastAsia" w:hAnsiTheme="minorEastAsia" w:hint="eastAsia"/>
                <w:szCs w:val="21"/>
              </w:rPr>
              <w:t>10</w:t>
            </w:r>
            <w:r w:rsidRPr="00565E0D">
              <w:rPr>
                <w:rFonts w:asciiTheme="minorEastAsia" w:eastAsiaTheme="minorEastAsia" w:hAnsiTheme="minorEastAsia"/>
                <w:szCs w:val="21"/>
              </w:rPr>
              <w:t>月</w:t>
            </w:r>
            <w:r w:rsidRPr="00565E0D">
              <w:rPr>
                <w:rFonts w:asciiTheme="minorEastAsia" w:eastAsiaTheme="minorEastAsia" w:hAnsiTheme="minorEastAsia" w:hint="eastAsia"/>
                <w:szCs w:val="21"/>
              </w:rPr>
              <w:t>28</w:t>
            </w:r>
            <w:r w:rsidRPr="00565E0D">
              <w:rPr>
                <w:rFonts w:asciiTheme="minorEastAsia" w:eastAsiaTheme="minorEastAsia" w:hAnsiTheme="minorEastAsia"/>
                <w:szCs w:val="21"/>
              </w:rPr>
              <w:t>日第十届全国人民代表大会常务委员会第五次会议通过</w:t>
            </w:r>
            <w:r w:rsidRPr="00565E0D">
              <w:rPr>
                <w:rFonts w:asciiTheme="minorEastAsia" w:eastAsiaTheme="minorEastAsia" w:hAnsiTheme="minorEastAsia" w:hint="eastAsia"/>
                <w:szCs w:val="21"/>
              </w:rPr>
              <w:t>，自</w:t>
            </w:r>
            <w:r w:rsidRPr="00565E0D">
              <w:rPr>
                <w:rFonts w:asciiTheme="minorEastAsia" w:eastAsiaTheme="minorEastAsia" w:hAnsiTheme="minorEastAsia" w:hint="eastAsia"/>
              </w:rPr>
              <w:t>2004</w:t>
            </w:r>
            <w:r w:rsidRPr="00565E0D">
              <w:rPr>
                <w:rFonts w:asciiTheme="minorEastAsia" w:eastAsiaTheme="minorEastAsia" w:hAnsiTheme="minorEastAsia"/>
              </w:rPr>
              <w:t>年６月１日起施行</w:t>
            </w:r>
            <w:r w:rsidRPr="00565E0D">
              <w:rPr>
                <w:rFonts w:asciiTheme="minorEastAsia" w:eastAsiaTheme="minorEastAsia" w:hAnsiTheme="minorEastAsia" w:hint="eastAsia"/>
                <w:szCs w:val="21"/>
              </w:rPr>
              <w:t>的《</w:t>
            </w:r>
            <w:bookmarkStart w:id="4" w:name="_Toc78339150"/>
            <w:r w:rsidRPr="00565E0D">
              <w:rPr>
                <w:rFonts w:asciiTheme="minorEastAsia" w:eastAsiaTheme="minorEastAsia" w:hAnsiTheme="minorEastAsia"/>
              </w:rPr>
              <w:t>中华人民共和国证券投资基金法</w:t>
            </w:r>
            <w:bookmarkEnd w:id="4"/>
            <w:r w:rsidRPr="00565E0D">
              <w:rPr>
                <w:rFonts w:asciiTheme="minorEastAsia" w:eastAsiaTheme="minorEastAsia" w:hAnsiTheme="minorEastAsia" w:hint="eastAsia"/>
                <w:szCs w:val="21"/>
              </w:rPr>
              <w:t>》及不时作出的修订</w:t>
            </w:r>
          </w:p>
        </w:tc>
      </w:tr>
      <w:tr w:rsidR="00565E0D" w:rsidRPr="00565E0D" w:rsidTr="002A0168">
        <w:trPr>
          <w:trHeight w:val="1095"/>
        </w:trPr>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《运作办法》：</w:t>
            </w:r>
          </w:p>
          <w:p w:rsidR="004C1E5D" w:rsidRPr="00565E0D" w:rsidRDefault="004C1E5D" w:rsidP="00552BE1">
            <w:pPr>
              <w:snapToGrid w:val="0"/>
              <w:spacing w:line="360" w:lineRule="auto"/>
              <w:rPr>
                <w:rFonts w:asciiTheme="minorEastAsia" w:eastAsiaTheme="minorEastAsia" w:hAnsiTheme="minorEastAsia"/>
                <w:szCs w:val="21"/>
              </w:rPr>
            </w:pPr>
          </w:p>
          <w:p w:rsidR="004C1E5D" w:rsidRPr="00565E0D" w:rsidRDefault="004C1E5D"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《管理规定》：</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指2004年6月29日由中国证监会发布并自2004</w:t>
            </w:r>
            <w:r w:rsidRPr="00565E0D">
              <w:rPr>
                <w:rFonts w:asciiTheme="minorEastAsia" w:eastAsiaTheme="minorEastAsia" w:hAnsiTheme="minorEastAsia"/>
                <w:szCs w:val="21"/>
              </w:rPr>
              <w:t>年</w:t>
            </w:r>
            <w:r w:rsidRPr="00565E0D">
              <w:rPr>
                <w:rFonts w:asciiTheme="minorEastAsia" w:eastAsiaTheme="minorEastAsia" w:hAnsiTheme="minorEastAsia" w:hint="eastAsia"/>
                <w:szCs w:val="21"/>
              </w:rPr>
              <w:t>7</w:t>
            </w:r>
            <w:r w:rsidRPr="00565E0D">
              <w:rPr>
                <w:rFonts w:asciiTheme="minorEastAsia" w:eastAsiaTheme="minorEastAsia" w:hAnsiTheme="minorEastAsia"/>
                <w:szCs w:val="21"/>
              </w:rPr>
              <w:t>月１日起</w:t>
            </w:r>
            <w:r w:rsidRPr="00565E0D">
              <w:rPr>
                <w:rFonts w:asciiTheme="minorEastAsia" w:eastAsiaTheme="minorEastAsia" w:hAnsiTheme="minorEastAsia" w:hint="eastAsia"/>
                <w:szCs w:val="21"/>
              </w:rPr>
              <w:t>施行的《证券投资基金运作管理办法》及不时作出的修订</w:t>
            </w:r>
          </w:p>
          <w:p w:rsidR="004C1E5D" w:rsidRPr="00565E0D" w:rsidRDefault="004C1E5D"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kern w:val="0"/>
                <w:szCs w:val="21"/>
              </w:rPr>
              <w:t>指中国证监会2017年8月31日颁布、同年10月1日实施的《公开募集开放式证券投资基金流动性风险管理规定》及颁布机关对其不时做出的修订；</w:t>
            </w:r>
          </w:p>
        </w:tc>
      </w:tr>
      <w:tr w:rsidR="00565E0D" w:rsidRPr="00565E0D" w:rsidTr="002A0168">
        <w:trPr>
          <w:trHeight w:val="960"/>
        </w:trPr>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《销售办法》：</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w:t>
            </w:r>
            <w:r w:rsidRPr="00565E0D">
              <w:rPr>
                <w:rFonts w:asciiTheme="minorEastAsia" w:eastAsiaTheme="minorEastAsia" w:hAnsiTheme="minorEastAsia"/>
                <w:szCs w:val="21"/>
              </w:rPr>
              <w:t>2004</w:t>
            </w:r>
            <w:r w:rsidRPr="00565E0D">
              <w:rPr>
                <w:rFonts w:asciiTheme="minorEastAsia" w:eastAsiaTheme="minorEastAsia" w:hAnsiTheme="minorEastAsia" w:hint="eastAsia"/>
                <w:szCs w:val="21"/>
              </w:rPr>
              <w:t>年</w:t>
            </w:r>
            <w:r w:rsidRPr="00565E0D">
              <w:rPr>
                <w:rFonts w:asciiTheme="minorEastAsia" w:eastAsiaTheme="minorEastAsia" w:hAnsiTheme="minorEastAsia"/>
                <w:szCs w:val="21"/>
              </w:rPr>
              <w:t>6</w:t>
            </w:r>
            <w:r w:rsidRPr="00565E0D">
              <w:rPr>
                <w:rFonts w:asciiTheme="minorEastAsia" w:eastAsiaTheme="minorEastAsia" w:hAnsiTheme="minorEastAsia" w:hint="eastAsia"/>
                <w:szCs w:val="21"/>
              </w:rPr>
              <w:t>月</w:t>
            </w:r>
            <w:r w:rsidRPr="00565E0D">
              <w:rPr>
                <w:rFonts w:asciiTheme="minorEastAsia" w:eastAsiaTheme="minorEastAsia" w:hAnsiTheme="minorEastAsia"/>
                <w:szCs w:val="21"/>
              </w:rPr>
              <w:t>25</w:t>
            </w:r>
            <w:r w:rsidRPr="00565E0D">
              <w:rPr>
                <w:rFonts w:asciiTheme="minorEastAsia" w:eastAsiaTheme="minorEastAsia" w:hAnsiTheme="minorEastAsia" w:hint="eastAsia"/>
                <w:szCs w:val="21"/>
              </w:rPr>
              <w:t>日由中国证监会发布并自2004</w:t>
            </w:r>
            <w:r w:rsidRPr="00565E0D">
              <w:rPr>
                <w:rFonts w:asciiTheme="minorEastAsia" w:eastAsiaTheme="minorEastAsia" w:hAnsiTheme="minorEastAsia"/>
                <w:szCs w:val="21"/>
              </w:rPr>
              <w:t>年</w:t>
            </w:r>
            <w:r w:rsidRPr="00565E0D">
              <w:rPr>
                <w:rFonts w:asciiTheme="minorEastAsia" w:eastAsiaTheme="minorEastAsia" w:hAnsiTheme="minorEastAsia" w:hint="eastAsia"/>
                <w:szCs w:val="21"/>
              </w:rPr>
              <w:t>7</w:t>
            </w:r>
            <w:r w:rsidRPr="00565E0D">
              <w:rPr>
                <w:rFonts w:asciiTheme="minorEastAsia" w:eastAsiaTheme="minorEastAsia" w:hAnsiTheme="minorEastAsia"/>
                <w:szCs w:val="21"/>
              </w:rPr>
              <w:t>月１日起</w:t>
            </w:r>
            <w:r w:rsidRPr="00565E0D">
              <w:rPr>
                <w:rFonts w:asciiTheme="minorEastAsia" w:eastAsiaTheme="minorEastAsia" w:hAnsiTheme="minorEastAsia" w:hint="eastAsia"/>
                <w:szCs w:val="21"/>
              </w:rPr>
              <w:t>施行的《证券投资基金销售管理办法》及不时作出的修订</w:t>
            </w:r>
          </w:p>
        </w:tc>
      </w:tr>
      <w:tr w:rsidR="00565E0D" w:rsidRPr="00565E0D" w:rsidTr="002A0168">
        <w:trPr>
          <w:trHeight w:val="885"/>
        </w:trPr>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《信息披露办法》：</w:t>
            </w:r>
          </w:p>
        </w:tc>
        <w:tc>
          <w:tcPr>
            <w:tcW w:w="5720" w:type="dxa"/>
          </w:tcPr>
          <w:p w:rsidR="00C35BC5" w:rsidRPr="00565E0D" w:rsidRDefault="00820053"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指中国证监会2019年7月26日颁布、同年9月1日实施的《公开募集证券投资基金信息披露管理办法》及颁布机关对其不时做出的修订</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元：</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指人民币元</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本基金、基金：</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指依据基金合同所募集的易方达价值成长混合型证券投资基金</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中国证监会：</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指中国证券监督管理委员会</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基金管理人：</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指易方达基金管理有限公司</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基金托管人：</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指中国工商银行股份有限公司</w:t>
            </w:r>
          </w:p>
        </w:tc>
      </w:tr>
      <w:tr w:rsidR="00565E0D" w:rsidRPr="00565E0D" w:rsidTr="002A0168">
        <w:tc>
          <w:tcPr>
            <w:tcW w:w="2552" w:type="dxa"/>
          </w:tcPr>
          <w:p w:rsidR="00C35BC5" w:rsidRPr="00565E0D" w:rsidRDefault="00C85C52"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非直销销售</w:t>
            </w:r>
            <w:r w:rsidR="00C35BC5" w:rsidRPr="00565E0D">
              <w:rPr>
                <w:rFonts w:asciiTheme="minorEastAsia" w:eastAsiaTheme="minorEastAsia" w:hAnsiTheme="minorEastAsia" w:hint="eastAsia"/>
                <w:szCs w:val="21"/>
              </w:rPr>
              <w:t>机构：</w:t>
            </w:r>
          </w:p>
        </w:tc>
        <w:tc>
          <w:tcPr>
            <w:tcW w:w="5720" w:type="dxa"/>
          </w:tcPr>
          <w:p w:rsidR="00C35BC5" w:rsidRPr="00565E0D" w:rsidRDefault="00C85C52"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rPr>
              <w:t>指</w:t>
            </w:r>
            <w:r w:rsidRPr="00565E0D">
              <w:rPr>
                <w:rStyle w:val="da"/>
                <w:rFonts w:asciiTheme="minorEastAsia" w:eastAsiaTheme="minorEastAsia" w:hAnsiTheme="minorEastAsia" w:hint="eastAsia"/>
              </w:rPr>
              <w:t>符合《销售办法》和中国证监会规定的其他条件，取得基金销售业务资格并与基金管理人签订了基金销售服务协议，办理基金销售业务的机构</w:t>
            </w:r>
          </w:p>
        </w:tc>
      </w:tr>
      <w:tr w:rsidR="00565E0D" w:rsidRPr="00565E0D" w:rsidTr="002A0168">
        <w:trPr>
          <w:trHeight w:val="930"/>
        </w:trPr>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基金注册登记机构：</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指基金管理人或接受基金管理人委托代为办理本基金注册与过户登记业务的机构</w:t>
            </w:r>
          </w:p>
        </w:tc>
      </w:tr>
      <w:tr w:rsidR="00565E0D" w:rsidRPr="00565E0D" w:rsidTr="002A0168">
        <w:trPr>
          <w:trHeight w:val="450"/>
        </w:trPr>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销售机构：</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指依据有关规定办理本基金认购、申购、赎回和其他业务的机构，包括基金管理人和</w:t>
            </w:r>
            <w:r w:rsidR="00C85C52" w:rsidRPr="00565E0D">
              <w:rPr>
                <w:rFonts w:asciiTheme="minorEastAsia" w:eastAsiaTheme="minorEastAsia" w:hAnsiTheme="minorEastAsia" w:hint="eastAsia"/>
                <w:szCs w:val="21"/>
              </w:rPr>
              <w:t>非直销销售</w:t>
            </w:r>
            <w:r w:rsidRPr="00565E0D">
              <w:rPr>
                <w:rFonts w:asciiTheme="minorEastAsia" w:eastAsiaTheme="minorEastAsia" w:hAnsiTheme="minorEastAsia" w:hint="eastAsia"/>
                <w:szCs w:val="21"/>
              </w:rPr>
              <w:t>机构</w:t>
            </w:r>
          </w:p>
        </w:tc>
      </w:tr>
      <w:tr w:rsidR="00565E0D" w:rsidRPr="00565E0D" w:rsidTr="002A0168">
        <w:trPr>
          <w:trHeight w:val="450"/>
        </w:trPr>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基金销售网点：</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指基金管理人的直销</w:t>
            </w:r>
            <w:r w:rsidR="002564C2" w:rsidRPr="00565E0D">
              <w:rPr>
                <w:rFonts w:asciiTheme="minorEastAsia" w:eastAsiaTheme="minorEastAsia" w:hAnsiTheme="minorEastAsia" w:hint="eastAsia"/>
                <w:szCs w:val="21"/>
              </w:rPr>
              <w:t>网点</w:t>
            </w:r>
            <w:r w:rsidRPr="00565E0D">
              <w:rPr>
                <w:rFonts w:asciiTheme="minorEastAsia" w:eastAsiaTheme="minorEastAsia" w:hAnsiTheme="minorEastAsia" w:hint="eastAsia"/>
                <w:szCs w:val="21"/>
              </w:rPr>
              <w:t>及基金</w:t>
            </w:r>
            <w:r w:rsidR="00C85C52" w:rsidRPr="00565E0D">
              <w:rPr>
                <w:rFonts w:asciiTheme="minorEastAsia" w:eastAsiaTheme="minorEastAsia" w:hAnsiTheme="minorEastAsia" w:hint="eastAsia"/>
                <w:szCs w:val="21"/>
              </w:rPr>
              <w:t>非直销销售</w:t>
            </w:r>
            <w:r w:rsidRPr="00565E0D">
              <w:rPr>
                <w:rFonts w:asciiTheme="minorEastAsia" w:eastAsiaTheme="minorEastAsia" w:hAnsiTheme="minorEastAsia" w:hint="eastAsia"/>
                <w:szCs w:val="21"/>
              </w:rPr>
              <w:t>机构的</w:t>
            </w:r>
            <w:r w:rsidR="00C85C52" w:rsidRPr="00565E0D">
              <w:rPr>
                <w:rFonts w:asciiTheme="minorEastAsia" w:eastAsiaTheme="minorEastAsia" w:hAnsiTheme="minorEastAsia" w:hint="eastAsia"/>
                <w:szCs w:val="21"/>
              </w:rPr>
              <w:t>销售</w:t>
            </w:r>
            <w:r w:rsidRPr="00565E0D">
              <w:rPr>
                <w:rFonts w:asciiTheme="minorEastAsia" w:eastAsiaTheme="minorEastAsia" w:hAnsiTheme="minorEastAsia" w:hint="eastAsia"/>
                <w:szCs w:val="21"/>
              </w:rPr>
              <w:t>网点</w:t>
            </w:r>
          </w:p>
        </w:tc>
      </w:tr>
      <w:tr w:rsidR="00565E0D" w:rsidRPr="00565E0D" w:rsidTr="002A0168">
        <w:trPr>
          <w:trHeight w:val="450"/>
        </w:trPr>
        <w:tc>
          <w:tcPr>
            <w:tcW w:w="2552" w:type="dxa"/>
          </w:tcPr>
          <w:p w:rsidR="00820053" w:rsidRPr="00565E0D" w:rsidRDefault="00820053"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招募说明书</w:t>
            </w:r>
          </w:p>
        </w:tc>
        <w:tc>
          <w:tcPr>
            <w:tcW w:w="5720" w:type="dxa"/>
          </w:tcPr>
          <w:p w:rsidR="00820053" w:rsidRPr="00565E0D" w:rsidRDefault="00820053"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易方达价值成长混合型证券投资基金招募说明书》，即用于公开披露基金管理人及托管人、相关服务机构、基金的募集、基金合同的生效、基金份额的交易、基金份额的申购和赎回、基金的投资、基金的业绩、基金的财产、基金资产的估值、基金收益与分配、基金的费用与税收、基金的信息披露、风险揭示、基金的终止与清算、基金合同的内容摘要、基金托管协议的内容摘要、对基金份额持有人的服务、其他应披露事项、招募说明书的存放及查阅方式、备查文件等涉及本基金的信息，供基金投资者选择并决定是否提出基金认购或申购申请的要约邀请文件，及其更新</w:t>
            </w:r>
          </w:p>
        </w:tc>
      </w:tr>
      <w:tr w:rsidR="00565E0D" w:rsidRPr="00565E0D" w:rsidTr="002A0168">
        <w:trPr>
          <w:trHeight w:val="480"/>
        </w:trPr>
        <w:tc>
          <w:tcPr>
            <w:tcW w:w="2552" w:type="dxa"/>
          </w:tcPr>
          <w:p w:rsidR="00C35BC5" w:rsidRPr="00565E0D" w:rsidRDefault="00820053"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基金产品资料概要</w:t>
            </w:r>
          </w:p>
        </w:tc>
        <w:tc>
          <w:tcPr>
            <w:tcW w:w="5720" w:type="dxa"/>
          </w:tcPr>
          <w:p w:rsidR="00C35BC5" w:rsidRPr="00565E0D" w:rsidRDefault="00820053"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指《易方达价值成长混合型证券投资基金基金产品资料概要》及其更新</w:t>
            </w:r>
          </w:p>
        </w:tc>
      </w:tr>
      <w:tr w:rsidR="00565E0D" w:rsidRPr="00565E0D" w:rsidTr="002A0168">
        <w:trPr>
          <w:trHeight w:val="615"/>
        </w:trPr>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基金合同当事人：</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指受基金合同约束，根据基金合同享受权利并承担义务的法律主体，包括基金管理人、基金托管人、基金份额持有人</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个人投资者：</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指依据中华人民共和国有关法律法规及其他有关规定可以投资于证券投资基金的自然人投资者</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机构投资者：</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指依据中华人民共和国有关法律法规及其他有关规定可以投资于证券投资基金的法人、社会团体、其它组织或投资主体</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合格境外机构投资者</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指符合法律法规规定的可投资于中国境内证券市场的中国境外机构投资者</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投资者</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指个人投资者、机构投资者和合格境外机构投资者等的总称</w:t>
            </w:r>
          </w:p>
        </w:tc>
      </w:tr>
      <w:tr w:rsidR="00565E0D" w:rsidRPr="00565E0D" w:rsidTr="002A0168">
        <w:trPr>
          <w:trHeight w:val="779"/>
        </w:trPr>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募集期：</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指自基金份额开始发售之日起到基金份额发售结束之日止的时间段，最长不超过3个月</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本基金合同生效日：</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指本基金</w:t>
            </w:r>
            <w:r w:rsidRPr="00565E0D">
              <w:rPr>
                <w:rFonts w:asciiTheme="minorEastAsia" w:eastAsiaTheme="minorEastAsia" w:hAnsiTheme="minorEastAsia" w:hint="eastAsia"/>
              </w:rPr>
              <w:t>达到规定的条件后，并按规定办理了验资和备案手续、得到中国证监会书面确认之日</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存续期限：</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指基金合同生效并存续的不定期之期限</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工作日：</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指上海证券交易所和深圳证券交易所的正常交易日</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开放日：</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指为投资者办理基金份额申购、赎回等业务的工作日</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T日：</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指申购、赎回或其他交易的申请日</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认购：</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指在募集期内购买基金份额的行为</w:t>
            </w:r>
          </w:p>
        </w:tc>
      </w:tr>
      <w:tr w:rsidR="00565E0D" w:rsidRPr="00565E0D" w:rsidTr="002A0168">
        <w:tc>
          <w:tcPr>
            <w:tcW w:w="2552" w:type="dxa"/>
          </w:tcPr>
          <w:p w:rsidR="00C35BC5" w:rsidRPr="00565E0D" w:rsidRDefault="00C35BC5" w:rsidP="00552BE1">
            <w:pPr>
              <w:autoSpaceDE w:val="0"/>
              <w:autoSpaceDN w:val="0"/>
              <w:snapToGrid w:val="0"/>
              <w:spacing w:line="360" w:lineRule="auto"/>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申购：</w:t>
            </w:r>
          </w:p>
        </w:tc>
        <w:tc>
          <w:tcPr>
            <w:tcW w:w="5720" w:type="dxa"/>
          </w:tcPr>
          <w:p w:rsidR="00C35BC5" w:rsidRPr="00565E0D" w:rsidRDefault="00C35BC5" w:rsidP="00552BE1">
            <w:pPr>
              <w:autoSpaceDE w:val="0"/>
              <w:autoSpaceDN w:val="0"/>
              <w:snapToGrid w:val="0"/>
              <w:spacing w:line="360" w:lineRule="auto"/>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指本基金合同生效后，基金投资者购买基金份额的行为</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赎回：</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指本基金合同生效后，基金投资者卖出基金份额的行为</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转换：</w:t>
            </w:r>
          </w:p>
        </w:tc>
        <w:tc>
          <w:tcPr>
            <w:tcW w:w="5720" w:type="dxa"/>
          </w:tcPr>
          <w:p w:rsidR="00C35BC5" w:rsidRPr="00565E0D" w:rsidRDefault="00C35BC5" w:rsidP="00552BE1">
            <w:p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szCs w:val="21"/>
              </w:rPr>
              <w:t>基金转换是指基金份额持有人按基金管理人规定的条件将其</w:t>
            </w:r>
            <w:r w:rsidRPr="00565E0D">
              <w:rPr>
                <w:rFonts w:asciiTheme="minorEastAsia" w:eastAsiaTheme="minorEastAsia" w:hAnsiTheme="minorEastAsia" w:hint="eastAsia"/>
                <w:szCs w:val="21"/>
              </w:rPr>
              <w:lastRenderedPageBreak/>
              <w:t>持有的某一基金的基金份额转为同一基金管理人管理的另一只基金的基金份额的行为</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基金收益：</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指基金投资所得股票红利、债券利息、票据投资收益、买卖证券差价、银行存款利息以及其他收益</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w:t>
            </w:r>
            <w:r w:rsidRPr="00565E0D">
              <w:rPr>
                <w:rFonts w:asciiTheme="minorEastAsia" w:eastAsiaTheme="minorEastAsia" w:hAnsiTheme="minorEastAsia"/>
              </w:rPr>
              <w:t>资</w:t>
            </w:r>
            <w:r w:rsidRPr="00565E0D">
              <w:rPr>
                <w:rFonts w:asciiTheme="minorEastAsia" w:eastAsiaTheme="minorEastAsia" w:hAnsiTheme="minorEastAsia" w:hint="eastAsia"/>
                <w:szCs w:val="21"/>
              </w:rPr>
              <w:t>产总值：</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指基金所拥有的各类证券价值、银行存款本息和本基金应收的申购基金款以及其他投资所形成的价值总和</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w:t>
            </w:r>
            <w:r w:rsidRPr="00565E0D">
              <w:rPr>
                <w:rFonts w:asciiTheme="minorEastAsia" w:eastAsiaTheme="minorEastAsia" w:hAnsiTheme="minorEastAsia"/>
              </w:rPr>
              <w:t>资</w:t>
            </w:r>
            <w:r w:rsidRPr="00565E0D">
              <w:rPr>
                <w:rFonts w:asciiTheme="minorEastAsia" w:eastAsiaTheme="minorEastAsia" w:hAnsiTheme="minorEastAsia" w:hint="eastAsia"/>
                <w:szCs w:val="21"/>
              </w:rPr>
              <w:t>产净值：</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指基金资产总值减去负债后的价值</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基金份额净值</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szCs w:val="21"/>
              </w:rPr>
              <w:t>指计算日基金资产净值除以该计算日发行在外的基金份额总数后的值</w:t>
            </w:r>
          </w:p>
        </w:tc>
      </w:tr>
      <w:tr w:rsidR="00565E0D" w:rsidRPr="00565E0D" w:rsidTr="002A0168">
        <w:trPr>
          <w:trHeight w:val="765"/>
        </w:trPr>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基金资产估值：</w:t>
            </w:r>
          </w:p>
          <w:p w:rsidR="00C35BC5" w:rsidRPr="00565E0D" w:rsidRDefault="00C35BC5" w:rsidP="00552BE1">
            <w:pPr>
              <w:autoSpaceDE w:val="0"/>
              <w:autoSpaceDN w:val="0"/>
              <w:adjustRightInd w:val="0"/>
              <w:snapToGrid w:val="0"/>
              <w:spacing w:line="360" w:lineRule="auto"/>
              <w:jc w:val="left"/>
              <w:rPr>
                <w:rFonts w:asciiTheme="minorEastAsia" w:eastAsiaTheme="minorEastAsia" w:hAnsiTheme="minorEastAsia"/>
                <w:szCs w:val="21"/>
              </w:rPr>
            </w:pP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指计算、评估基金资产和负债的价值，以确定基金资产净值的过程</w:t>
            </w:r>
          </w:p>
        </w:tc>
      </w:tr>
      <w:tr w:rsidR="00565E0D" w:rsidRPr="00565E0D" w:rsidTr="002A0168">
        <w:trPr>
          <w:trHeight w:val="765"/>
        </w:trPr>
        <w:tc>
          <w:tcPr>
            <w:tcW w:w="2552" w:type="dxa"/>
          </w:tcPr>
          <w:p w:rsidR="00C35BC5" w:rsidRPr="00565E0D" w:rsidRDefault="00820053"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指定媒介</w:t>
            </w:r>
          </w:p>
        </w:tc>
        <w:tc>
          <w:tcPr>
            <w:tcW w:w="5720" w:type="dxa"/>
          </w:tcPr>
          <w:p w:rsidR="00C35BC5" w:rsidRPr="00565E0D" w:rsidRDefault="00820053" w:rsidP="00552BE1">
            <w:pPr>
              <w:pStyle w:val="26"/>
              <w:tabs>
                <w:tab w:val="clear" w:pos="360"/>
              </w:tabs>
              <w:snapToGrid w:val="0"/>
              <w:rPr>
                <w:rFonts w:asciiTheme="minorEastAsia" w:eastAsiaTheme="minorEastAsia" w:hAnsiTheme="minorEastAsia"/>
                <w:szCs w:val="21"/>
              </w:rPr>
            </w:pPr>
            <w:r w:rsidRPr="00565E0D">
              <w:rPr>
                <w:rFonts w:asciiTheme="minorEastAsia" w:eastAsiaTheme="minorEastAsia" w:hAnsiTheme="minorEastAsia" w:hint="eastAsia"/>
                <w:szCs w:val="21"/>
              </w:rPr>
              <w:t>指中国证监会指定的用以进行信息披露的全国性报刊及指定互联网网站（包括基金管理人网站、基金托管人网站、中国证监会基金电子披露网站）等媒介</w:t>
            </w:r>
          </w:p>
        </w:tc>
      </w:tr>
      <w:tr w:rsidR="00565E0D" w:rsidRPr="00565E0D" w:rsidTr="002A0168">
        <w:tc>
          <w:tcPr>
            <w:tcW w:w="2552"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基金份额持有人服务：</w:t>
            </w:r>
          </w:p>
          <w:p w:rsidR="004C1E5D" w:rsidRPr="00565E0D" w:rsidRDefault="004C1E5D"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流动性受限资产：</w:t>
            </w:r>
          </w:p>
        </w:tc>
        <w:tc>
          <w:tcPr>
            <w:tcW w:w="572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指基金管理人承诺为基金份额持有人提供的一系列服务</w:t>
            </w:r>
          </w:p>
          <w:p w:rsidR="004C1E5D" w:rsidRPr="00565E0D" w:rsidRDefault="004C1E5D"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kern w:val="0"/>
                <w:szCs w:val="21"/>
              </w:rPr>
              <w:t>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tc>
      </w:tr>
    </w:tbl>
    <w:p w:rsidR="00C35BC5" w:rsidRPr="00565E0D" w:rsidRDefault="00C35BC5" w:rsidP="00552BE1">
      <w:pPr>
        <w:snapToGrid w:val="0"/>
        <w:spacing w:line="360" w:lineRule="auto"/>
        <w:ind w:firstLine="480"/>
        <w:jc w:val="center"/>
        <w:rPr>
          <w:rFonts w:asciiTheme="minorEastAsia" w:eastAsiaTheme="minorEastAsia" w:hAnsiTheme="minorEastAsia"/>
          <w:szCs w:val="21"/>
        </w:rPr>
      </w:pPr>
      <w:r w:rsidRPr="00565E0D">
        <w:rPr>
          <w:rFonts w:asciiTheme="minorEastAsia" w:eastAsiaTheme="minorEastAsia" w:hAnsiTheme="minorEastAsia"/>
          <w:szCs w:val="21"/>
        </w:rPr>
        <w:br w:type="page"/>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kern w:val="44"/>
          <w:szCs w:val="44"/>
        </w:rPr>
      </w:pPr>
      <w:bookmarkStart w:id="5" w:name="_Toc38551162"/>
      <w:r w:rsidRPr="00565E0D">
        <w:rPr>
          <w:rFonts w:asciiTheme="minorEastAsia" w:eastAsiaTheme="minorEastAsia" w:hAnsiTheme="minorEastAsia" w:hint="eastAsia"/>
          <w:b/>
          <w:bCs/>
        </w:rPr>
        <w:lastRenderedPageBreak/>
        <w:t>三、基金管理人</w:t>
      </w:r>
      <w:bookmarkEnd w:id="5"/>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Cs/>
          <w:sz w:val="24"/>
          <w:szCs w:val="24"/>
        </w:rPr>
      </w:pPr>
      <w:bookmarkStart w:id="6" w:name="_Toc38551163"/>
      <w:r w:rsidRPr="00565E0D">
        <w:rPr>
          <w:rFonts w:asciiTheme="minorEastAsia" w:eastAsiaTheme="minorEastAsia" w:hAnsiTheme="minorEastAsia" w:hint="eastAsia"/>
          <w:bCs/>
          <w:sz w:val="24"/>
          <w:szCs w:val="24"/>
        </w:rPr>
        <w:t>（一）</w:t>
      </w:r>
      <w:r w:rsidRPr="00565E0D">
        <w:rPr>
          <w:rFonts w:asciiTheme="minorEastAsia" w:eastAsiaTheme="minorEastAsia" w:hAnsiTheme="minorEastAsia"/>
          <w:bCs/>
          <w:sz w:val="24"/>
          <w:szCs w:val="24"/>
        </w:rPr>
        <w:t>基金管理人</w:t>
      </w:r>
      <w:r w:rsidRPr="00565E0D">
        <w:rPr>
          <w:rFonts w:asciiTheme="minorEastAsia" w:eastAsiaTheme="minorEastAsia" w:hAnsiTheme="minorEastAsia" w:hint="eastAsia"/>
          <w:bCs/>
          <w:sz w:val="24"/>
          <w:szCs w:val="24"/>
        </w:rPr>
        <w:t>基本情况</w:t>
      </w:r>
      <w:bookmarkEnd w:id="6"/>
    </w:p>
    <w:p w:rsidR="00384510" w:rsidRPr="00565E0D" w:rsidRDefault="00ED68C4" w:rsidP="00552BE1">
      <w:pPr>
        <w:snapToGrid w:val="0"/>
        <w:spacing w:line="360" w:lineRule="auto"/>
        <w:ind w:firstLine="420"/>
        <w:rPr>
          <w:rFonts w:asciiTheme="minorEastAsia" w:eastAsiaTheme="minorEastAsia" w:hAnsiTheme="minorEastAsia" w:cs="仿宋_GB2312"/>
          <w:kern w:val="0"/>
        </w:rPr>
      </w:pPr>
      <w:r w:rsidRPr="00565E0D">
        <w:rPr>
          <w:rFonts w:asciiTheme="minorEastAsia" w:eastAsiaTheme="minorEastAsia" w:hAnsiTheme="minorEastAsia" w:cs="仿宋_GB2312" w:hint="eastAsia"/>
          <w:kern w:val="0"/>
        </w:rPr>
        <w:t>名称：</w:t>
      </w:r>
      <w:r w:rsidR="00384510" w:rsidRPr="00565E0D">
        <w:rPr>
          <w:rFonts w:asciiTheme="minorEastAsia" w:eastAsiaTheme="minorEastAsia" w:hAnsiTheme="minorEastAsia" w:cs="仿宋_GB2312" w:hint="eastAsia"/>
          <w:kern w:val="0"/>
        </w:rPr>
        <w:t>易方达基金管理有限公司</w:t>
      </w:r>
    </w:p>
    <w:p w:rsidR="00384510" w:rsidRPr="00565E0D" w:rsidRDefault="00384510" w:rsidP="00552BE1">
      <w:pPr>
        <w:snapToGrid w:val="0"/>
        <w:spacing w:line="360" w:lineRule="auto"/>
        <w:ind w:firstLine="420"/>
        <w:rPr>
          <w:rFonts w:asciiTheme="minorEastAsia" w:eastAsiaTheme="minorEastAsia" w:hAnsiTheme="minorEastAsia" w:cs="仿宋_GB2312"/>
          <w:kern w:val="0"/>
        </w:rPr>
      </w:pPr>
      <w:r w:rsidRPr="00565E0D">
        <w:rPr>
          <w:rFonts w:asciiTheme="minorEastAsia" w:eastAsiaTheme="minorEastAsia" w:hAnsiTheme="minorEastAsia" w:cs="仿宋_GB2312" w:hint="eastAsia"/>
          <w:kern w:val="0"/>
        </w:rPr>
        <w:t>注册地址：</w:t>
      </w:r>
      <w:r w:rsidR="0018727C" w:rsidRPr="00565E0D">
        <w:rPr>
          <w:rFonts w:asciiTheme="minorEastAsia" w:eastAsiaTheme="minorEastAsia" w:hAnsiTheme="minorEastAsia" w:cs="仿宋_GB2312" w:hint="eastAsia"/>
          <w:kern w:val="0"/>
        </w:rPr>
        <w:t>广东省珠海市横琴新区宝华路6号105室－42891（集中办公区）</w:t>
      </w:r>
    </w:p>
    <w:p w:rsidR="00384510" w:rsidRPr="00565E0D" w:rsidRDefault="00384510" w:rsidP="00552BE1">
      <w:pPr>
        <w:snapToGrid w:val="0"/>
        <w:spacing w:line="360" w:lineRule="auto"/>
        <w:ind w:firstLine="420"/>
        <w:rPr>
          <w:rFonts w:asciiTheme="minorEastAsia" w:eastAsiaTheme="minorEastAsia" w:hAnsiTheme="minorEastAsia" w:cs="仿宋_GB2312"/>
          <w:kern w:val="0"/>
        </w:rPr>
      </w:pPr>
      <w:r w:rsidRPr="00565E0D">
        <w:rPr>
          <w:rFonts w:asciiTheme="minorEastAsia" w:eastAsiaTheme="minorEastAsia" w:hAnsiTheme="minorEastAsia" w:cs="仿宋_GB2312" w:hint="eastAsia"/>
          <w:kern w:val="0"/>
        </w:rPr>
        <w:t>办公地址：广州市</w:t>
      </w:r>
      <w:r w:rsidR="007550E3" w:rsidRPr="00565E0D">
        <w:rPr>
          <w:rFonts w:asciiTheme="minorEastAsia" w:eastAsiaTheme="minorEastAsia" w:hAnsiTheme="minorEastAsia" w:cs="仿宋_GB2312" w:hint="eastAsia"/>
          <w:kern w:val="0"/>
        </w:rPr>
        <w:t>天河区珠江新城珠江东路30号广州银行大厦40-43楼</w:t>
      </w:r>
    </w:p>
    <w:p w:rsidR="00384510" w:rsidRPr="00565E0D" w:rsidRDefault="00384510" w:rsidP="00552BE1">
      <w:pPr>
        <w:snapToGrid w:val="0"/>
        <w:spacing w:line="360" w:lineRule="auto"/>
        <w:ind w:firstLine="420"/>
        <w:rPr>
          <w:rFonts w:asciiTheme="minorEastAsia" w:eastAsiaTheme="minorEastAsia" w:hAnsiTheme="minorEastAsia" w:cs="仿宋_GB2312"/>
          <w:kern w:val="0"/>
        </w:rPr>
      </w:pPr>
      <w:r w:rsidRPr="00565E0D">
        <w:rPr>
          <w:rFonts w:asciiTheme="minorEastAsia" w:eastAsiaTheme="minorEastAsia" w:hAnsiTheme="minorEastAsia" w:cs="仿宋_GB2312" w:hint="eastAsia"/>
          <w:kern w:val="0"/>
        </w:rPr>
        <w:t>设立日期：2001年4月17日</w:t>
      </w:r>
    </w:p>
    <w:p w:rsidR="00384510" w:rsidRPr="00565E0D" w:rsidRDefault="00384510" w:rsidP="00552BE1">
      <w:pPr>
        <w:snapToGrid w:val="0"/>
        <w:spacing w:line="360" w:lineRule="auto"/>
        <w:ind w:firstLine="420"/>
        <w:rPr>
          <w:rFonts w:asciiTheme="minorEastAsia" w:eastAsiaTheme="minorEastAsia" w:hAnsiTheme="minorEastAsia" w:cs="仿宋_GB2312"/>
          <w:kern w:val="0"/>
        </w:rPr>
      </w:pPr>
      <w:r w:rsidRPr="00565E0D">
        <w:rPr>
          <w:rFonts w:asciiTheme="minorEastAsia" w:eastAsiaTheme="minorEastAsia" w:hAnsiTheme="minorEastAsia" w:cs="仿宋_GB2312" w:hint="eastAsia"/>
          <w:kern w:val="0"/>
        </w:rPr>
        <w:t>法定代表人：</w:t>
      </w:r>
      <w:r w:rsidR="00A626CA" w:rsidRPr="00565E0D">
        <w:rPr>
          <w:rFonts w:asciiTheme="minorEastAsia" w:eastAsiaTheme="minorEastAsia" w:hAnsiTheme="minorEastAsia" w:cs="仿宋_GB2312" w:hint="eastAsia"/>
          <w:kern w:val="0"/>
        </w:rPr>
        <w:t>刘晓艳</w:t>
      </w:r>
    </w:p>
    <w:p w:rsidR="00384510" w:rsidRPr="00565E0D" w:rsidRDefault="00384510" w:rsidP="00552BE1">
      <w:pPr>
        <w:snapToGrid w:val="0"/>
        <w:spacing w:line="360" w:lineRule="auto"/>
        <w:ind w:firstLine="420"/>
        <w:rPr>
          <w:rFonts w:asciiTheme="minorEastAsia" w:eastAsiaTheme="minorEastAsia" w:hAnsiTheme="minorEastAsia" w:cs="仿宋_GB2312"/>
          <w:kern w:val="0"/>
        </w:rPr>
      </w:pPr>
      <w:r w:rsidRPr="00565E0D">
        <w:rPr>
          <w:rFonts w:asciiTheme="minorEastAsia" w:eastAsiaTheme="minorEastAsia" w:hAnsiTheme="minorEastAsia" w:cs="仿宋_GB2312" w:hint="eastAsia"/>
          <w:kern w:val="0"/>
        </w:rPr>
        <w:t>联系电话：4008818088</w:t>
      </w:r>
    </w:p>
    <w:p w:rsidR="00384510" w:rsidRPr="00565E0D" w:rsidRDefault="00E054C3" w:rsidP="00552BE1">
      <w:pPr>
        <w:snapToGrid w:val="0"/>
        <w:spacing w:line="360" w:lineRule="auto"/>
        <w:ind w:firstLine="420"/>
        <w:rPr>
          <w:rFonts w:asciiTheme="minorEastAsia" w:eastAsiaTheme="minorEastAsia" w:hAnsiTheme="minorEastAsia" w:cs="仿宋_GB2312"/>
          <w:kern w:val="0"/>
        </w:rPr>
      </w:pPr>
      <w:r w:rsidRPr="00565E0D">
        <w:rPr>
          <w:rFonts w:asciiTheme="minorEastAsia" w:eastAsiaTheme="minorEastAsia" w:hAnsiTheme="minorEastAsia" w:cs="仿宋_GB2312" w:hint="eastAsia"/>
          <w:kern w:val="0"/>
        </w:rPr>
        <w:t>联系人：李红枫</w:t>
      </w:r>
    </w:p>
    <w:p w:rsidR="00ED68C4" w:rsidRPr="00565E0D" w:rsidRDefault="00F7635A" w:rsidP="00552BE1">
      <w:pPr>
        <w:snapToGrid w:val="0"/>
        <w:spacing w:line="360" w:lineRule="auto"/>
        <w:ind w:firstLine="420"/>
        <w:rPr>
          <w:rFonts w:asciiTheme="minorEastAsia" w:eastAsiaTheme="minorEastAsia" w:hAnsiTheme="minorEastAsia" w:cs="仿宋_GB2312"/>
          <w:kern w:val="0"/>
        </w:rPr>
      </w:pPr>
      <w:r w:rsidRPr="00565E0D">
        <w:rPr>
          <w:rFonts w:asciiTheme="minorEastAsia" w:eastAsiaTheme="minorEastAsia" w:hAnsiTheme="minorEastAsia" w:cs="仿宋_GB2312" w:hint="eastAsia"/>
          <w:kern w:val="0"/>
        </w:rPr>
        <w:t>注册资本：13,244.2万元人民币</w:t>
      </w:r>
    </w:p>
    <w:p w:rsidR="00667012" w:rsidRPr="00565E0D" w:rsidRDefault="00667012"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批准设立机关及文号：中国证券监督管理委员会，证监基金字[2001]4号</w:t>
      </w:r>
    </w:p>
    <w:p w:rsidR="00552BE1" w:rsidRPr="00565E0D" w:rsidRDefault="00667012"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rPr>
        <w:t>经营范围：</w:t>
      </w:r>
      <w:r w:rsidR="0018727C" w:rsidRPr="00565E0D">
        <w:rPr>
          <w:rFonts w:asciiTheme="minorEastAsia" w:eastAsiaTheme="minorEastAsia" w:hAnsiTheme="minorEastAsia" w:hint="eastAsia"/>
        </w:rPr>
        <w:t>公开募集证券投资基金管理、基金销售、特定客户资产管理</w:t>
      </w:r>
    </w:p>
    <w:p w:rsidR="00C35BC5" w:rsidRPr="00565E0D" w:rsidRDefault="00ED68C4"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kern w:val="0"/>
        </w:rPr>
        <w:t>股权结构：</w:t>
      </w:r>
    </w:p>
    <w:tbl>
      <w:tblPr>
        <w:tblW w:w="6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3"/>
        <w:gridCol w:w="1837"/>
      </w:tblGrid>
      <w:tr w:rsidR="00565E0D" w:rsidRPr="00565E0D" w:rsidTr="0030331F">
        <w:trPr>
          <w:jc w:val="center"/>
        </w:trPr>
        <w:tc>
          <w:tcPr>
            <w:tcW w:w="4643" w:type="dxa"/>
          </w:tcPr>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股东名称</w:t>
            </w:r>
          </w:p>
        </w:tc>
        <w:tc>
          <w:tcPr>
            <w:tcW w:w="1837" w:type="dxa"/>
          </w:tcPr>
          <w:p w:rsidR="00C35BC5" w:rsidRPr="00565E0D" w:rsidRDefault="00C35BC5"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hint="eastAsia"/>
              </w:rPr>
              <w:t>出资比例</w:t>
            </w:r>
          </w:p>
        </w:tc>
      </w:tr>
      <w:tr w:rsidR="00565E0D" w:rsidRPr="00565E0D" w:rsidTr="0030331F">
        <w:trPr>
          <w:jc w:val="center"/>
        </w:trPr>
        <w:tc>
          <w:tcPr>
            <w:tcW w:w="4643" w:type="dxa"/>
          </w:tcPr>
          <w:p w:rsidR="00C35BC5"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广东粤财信托有限公司</w:t>
            </w:r>
          </w:p>
        </w:tc>
        <w:tc>
          <w:tcPr>
            <w:tcW w:w="1837" w:type="dxa"/>
          </w:tcPr>
          <w:p w:rsidR="00C35BC5"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22.6514％</w:t>
            </w:r>
          </w:p>
        </w:tc>
      </w:tr>
      <w:tr w:rsidR="00565E0D" w:rsidRPr="00565E0D" w:rsidTr="0030331F">
        <w:trPr>
          <w:trHeight w:val="441"/>
          <w:jc w:val="center"/>
        </w:trPr>
        <w:tc>
          <w:tcPr>
            <w:tcW w:w="4643" w:type="dxa"/>
          </w:tcPr>
          <w:p w:rsidR="00C35BC5"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广发证券股份有限公司</w:t>
            </w:r>
          </w:p>
        </w:tc>
        <w:tc>
          <w:tcPr>
            <w:tcW w:w="1837" w:type="dxa"/>
          </w:tcPr>
          <w:p w:rsidR="00C35BC5"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22.6514％</w:t>
            </w:r>
          </w:p>
        </w:tc>
      </w:tr>
      <w:tr w:rsidR="00565E0D" w:rsidRPr="00565E0D" w:rsidTr="0030331F">
        <w:trPr>
          <w:jc w:val="center"/>
        </w:trPr>
        <w:tc>
          <w:tcPr>
            <w:tcW w:w="4643" w:type="dxa"/>
          </w:tcPr>
          <w:p w:rsidR="00C35BC5"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盈峰控股集团有限公司</w:t>
            </w:r>
          </w:p>
        </w:tc>
        <w:tc>
          <w:tcPr>
            <w:tcW w:w="1837" w:type="dxa"/>
          </w:tcPr>
          <w:p w:rsidR="00C35BC5"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22.6514％</w:t>
            </w:r>
          </w:p>
        </w:tc>
      </w:tr>
      <w:tr w:rsidR="00565E0D" w:rsidRPr="00565E0D" w:rsidTr="0030331F">
        <w:trPr>
          <w:jc w:val="center"/>
        </w:trPr>
        <w:tc>
          <w:tcPr>
            <w:tcW w:w="4643" w:type="dxa"/>
          </w:tcPr>
          <w:p w:rsidR="00C35BC5"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广东省广晟资产经营有限公司</w:t>
            </w:r>
          </w:p>
        </w:tc>
        <w:tc>
          <w:tcPr>
            <w:tcW w:w="1837" w:type="dxa"/>
          </w:tcPr>
          <w:p w:rsidR="00C35BC5"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15.1010％</w:t>
            </w:r>
          </w:p>
        </w:tc>
      </w:tr>
      <w:tr w:rsidR="00565E0D" w:rsidRPr="00565E0D" w:rsidTr="0030331F">
        <w:trPr>
          <w:jc w:val="center"/>
        </w:trPr>
        <w:tc>
          <w:tcPr>
            <w:tcW w:w="4643" w:type="dxa"/>
          </w:tcPr>
          <w:p w:rsidR="00C35BC5"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广州市广永国有资产经营有限公司</w:t>
            </w:r>
          </w:p>
        </w:tc>
        <w:tc>
          <w:tcPr>
            <w:tcW w:w="1837" w:type="dxa"/>
            <w:vAlign w:val="center"/>
          </w:tcPr>
          <w:p w:rsidR="00C35BC5"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7.5505％</w:t>
            </w:r>
          </w:p>
        </w:tc>
      </w:tr>
      <w:tr w:rsidR="00565E0D" w:rsidRPr="00565E0D" w:rsidTr="0030331F">
        <w:trPr>
          <w:jc w:val="center"/>
        </w:trPr>
        <w:tc>
          <w:tcPr>
            <w:tcW w:w="4643" w:type="dxa"/>
          </w:tcPr>
          <w:p w:rsidR="00C35BC5"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珠海祺荣宝股权投资合伙企业（有限合伙）</w:t>
            </w:r>
          </w:p>
        </w:tc>
        <w:tc>
          <w:tcPr>
            <w:tcW w:w="1837" w:type="dxa"/>
          </w:tcPr>
          <w:p w:rsidR="00C35BC5"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1.5087％</w:t>
            </w:r>
          </w:p>
        </w:tc>
      </w:tr>
      <w:tr w:rsidR="00565E0D" w:rsidRPr="00565E0D" w:rsidTr="0030331F">
        <w:trPr>
          <w:jc w:val="center"/>
        </w:trPr>
        <w:tc>
          <w:tcPr>
            <w:tcW w:w="4643" w:type="dxa"/>
          </w:tcPr>
          <w:p w:rsidR="00F7635A"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珠海祺泰宝股权投资合伙企业（有限合伙）</w:t>
            </w:r>
          </w:p>
        </w:tc>
        <w:tc>
          <w:tcPr>
            <w:tcW w:w="1837" w:type="dxa"/>
          </w:tcPr>
          <w:p w:rsidR="00F7635A"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1.6205％</w:t>
            </w:r>
          </w:p>
        </w:tc>
      </w:tr>
      <w:tr w:rsidR="00565E0D" w:rsidRPr="00565E0D" w:rsidTr="0030331F">
        <w:trPr>
          <w:jc w:val="center"/>
        </w:trPr>
        <w:tc>
          <w:tcPr>
            <w:tcW w:w="4643" w:type="dxa"/>
          </w:tcPr>
          <w:p w:rsidR="00F7635A"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珠海祺丰宝股权投资合伙企业（有限合伙）</w:t>
            </w:r>
          </w:p>
        </w:tc>
        <w:tc>
          <w:tcPr>
            <w:tcW w:w="1837" w:type="dxa"/>
          </w:tcPr>
          <w:p w:rsidR="00F7635A"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1.5309％</w:t>
            </w:r>
          </w:p>
        </w:tc>
      </w:tr>
      <w:tr w:rsidR="00565E0D" w:rsidRPr="00565E0D" w:rsidTr="0030331F">
        <w:trPr>
          <w:jc w:val="center"/>
        </w:trPr>
        <w:tc>
          <w:tcPr>
            <w:tcW w:w="4643" w:type="dxa"/>
          </w:tcPr>
          <w:p w:rsidR="00F7635A"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珠海聚莱康股权投资合伙企业（有限合伙）</w:t>
            </w:r>
          </w:p>
        </w:tc>
        <w:tc>
          <w:tcPr>
            <w:tcW w:w="1837" w:type="dxa"/>
          </w:tcPr>
          <w:p w:rsidR="00F7635A"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1.7558％</w:t>
            </w:r>
          </w:p>
        </w:tc>
      </w:tr>
      <w:tr w:rsidR="00565E0D" w:rsidRPr="00565E0D" w:rsidTr="0030331F">
        <w:trPr>
          <w:jc w:val="center"/>
        </w:trPr>
        <w:tc>
          <w:tcPr>
            <w:tcW w:w="4643" w:type="dxa"/>
          </w:tcPr>
          <w:p w:rsidR="00F7635A"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珠海聚宁康股权投资合伙企业（有限合伙）</w:t>
            </w:r>
          </w:p>
        </w:tc>
        <w:tc>
          <w:tcPr>
            <w:tcW w:w="1837" w:type="dxa"/>
          </w:tcPr>
          <w:p w:rsidR="00F7635A"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1.4396％</w:t>
            </w:r>
          </w:p>
        </w:tc>
      </w:tr>
      <w:tr w:rsidR="00565E0D" w:rsidRPr="00565E0D" w:rsidTr="0030331F">
        <w:trPr>
          <w:jc w:val="center"/>
        </w:trPr>
        <w:tc>
          <w:tcPr>
            <w:tcW w:w="4643" w:type="dxa"/>
          </w:tcPr>
          <w:p w:rsidR="00F7635A"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珠海聚弘康股权投资合伙企业（有限合伙）</w:t>
            </w:r>
          </w:p>
        </w:tc>
        <w:tc>
          <w:tcPr>
            <w:tcW w:w="1837" w:type="dxa"/>
          </w:tcPr>
          <w:p w:rsidR="00F7635A"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1.5388％</w:t>
            </w:r>
          </w:p>
        </w:tc>
      </w:tr>
      <w:tr w:rsidR="00565E0D" w:rsidRPr="00565E0D" w:rsidTr="0030331F">
        <w:trPr>
          <w:jc w:val="center"/>
        </w:trPr>
        <w:tc>
          <w:tcPr>
            <w:tcW w:w="4643" w:type="dxa"/>
          </w:tcPr>
          <w:p w:rsidR="00F7635A" w:rsidRPr="00565E0D" w:rsidRDefault="00F7635A"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总</w:t>
            </w:r>
            <w:r w:rsidRPr="00565E0D">
              <w:rPr>
                <w:rFonts w:asciiTheme="minorEastAsia" w:eastAsiaTheme="minorEastAsia" w:hAnsiTheme="minorEastAsia"/>
              </w:rPr>
              <w:t>计</w:t>
            </w:r>
          </w:p>
        </w:tc>
        <w:tc>
          <w:tcPr>
            <w:tcW w:w="1837" w:type="dxa"/>
          </w:tcPr>
          <w:p w:rsidR="00F7635A" w:rsidRPr="00565E0D" w:rsidRDefault="00F7635A" w:rsidP="00552BE1">
            <w:pPr>
              <w:snapToGrid w:val="0"/>
              <w:spacing w:line="360" w:lineRule="auto"/>
              <w:ind w:firstLine="420"/>
              <w:jc w:val="center"/>
              <w:rPr>
                <w:rFonts w:asciiTheme="minorEastAsia" w:eastAsiaTheme="minorEastAsia" w:hAnsiTheme="minorEastAsia"/>
              </w:rPr>
            </w:pPr>
            <w:r w:rsidRPr="00565E0D">
              <w:rPr>
                <w:rFonts w:asciiTheme="minorEastAsia" w:eastAsiaTheme="minorEastAsia" w:hAnsiTheme="minorEastAsia"/>
              </w:rPr>
              <w:t>100％</w:t>
            </w:r>
          </w:p>
        </w:tc>
      </w:tr>
    </w:tbl>
    <w:p w:rsidR="00C35BC5" w:rsidRPr="00565E0D" w:rsidRDefault="00C35BC5" w:rsidP="00552BE1">
      <w:pPr>
        <w:pStyle w:val="2"/>
        <w:snapToGrid w:val="0"/>
        <w:spacing w:beforeLines="0" w:afterLines="0" w:line="360" w:lineRule="auto"/>
        <w:ind w:firstLineChars="0" w:firstLine="0"/>
        <w:rPr>
          <w:rFonts w:asciiTheme="minorEastAsia" w:eastAsiaTheme="minorEastAsia" w:hAnsiTheme="minorEastAsia"/>
          <w:bCs/>
          <w:sz w:val="24"/>
          <w:szCs w:val="24"/>
        </w:rPr>
      </w:pPr>
      <w:bookmarkStart w:id="7" w:name="_Toc38551164"/>
      <w:r w:rsidRPr="00565E0D">
        <w:rPr>
          <w:rFonts w:asciiTheme="minorEastAsia" w:eastAsiaTheme="minorEastAsia" w:hAnsiTheme="minorEastAsia" w:hint="eastAsia"/>
          <w:bCs/>
          <w:sz w:val="24"/>
          <w:szCs w:val="24"/>
        </w:rPr>
        <w:t>（二）</w:t>
      </w:r>
      <w:r w:rsidRPr="00565E0D">
        <w:rPr>
          <w:rFonts w:asciiTheme="minorEastAsia" w:eastAsiaTheme="minorEastAsia" w:hAnsiTheme="minorEastAsia"/>
          <w:bCs/>
          <w:sz w:val="24"/>
          <w:szCs w:val="24"/>
        </w:rPr>
        <w:t>主要人员情况</w:t>
      </w:r>
      <w:bookmarkEnd w:id="7"/>
    </w:p>
    <w:p w:rsidR="00C35BC5" w:rsidRPr="00565E0D" w:rsidRDefault="00552BE1" w:rsidP="00552BE1">
      <w:pPr>
        <w:pStyle w:val="CharCharCharCharCharCharChar"/>
        <w:numPr>
          <w:ilvl w:val="0"/>
          <w:numId w:val="0"/>
        </w:numPr>
        <w:adjustRightInd w:val="0"/>
        <w:snapToGrid w:val="0"/>
        <w:spacing w:after="0" w:line="360" w:lineRule="auto"/>
        <w:ind w:left="420"/>
        <w:textAlignment w:val="baseline"/>
        <w:rPr>
          <w:rFonts w:asciiTheme="minorEastAsia" w:eastAsiaTheme="minorEastAsia" w:hAnsiTheme="minorEastAsia"/>
          <w:b/>
          <w:bCs/>
          <w:sz w:val="21"/>
          <w:szCs w:val="21"/>
        </w:rPr>
      </w:pPr>
      <w:r w:rsidRPr="00565E0D">
        <w:rPr>
          <w:rFonts w:asciiTheme="minorEastAsia" w:eastAsiaTheme="minorEastAsia" w:hAnsiTheme="minorEastAsia" w:hint="eastAsia"/>
          <w:b/>
          <w:sz w:val="21"/>
          <w:szCs w:val="21"/>
        </w:rPr>
        <w:t>1、</w:t>
      </w:r>
      <w:r w:rsidR="00C35BC5" w:rsidRPr="00565E0D">
        <w:rPr>
          <w:rFonts w:asciiTheme="minorEastAsia" w:eastAsiaTheme="minorEastAsia" w:hAnsiTheme="minorEastAsia" w:cs="仿宋_GB2312" w:hint="eastAsia"/>
          <w:b/>
          <w:bCs/>
          <w:kern w:val="0"/>
          <w:sz w:val="21"/>
          <w:szCs w:val="21"/>
        </w:rPr>
        <w:t>董事、监事及高级管理人员</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詹余引先生，工商管理博士，董事长。曾任中国平安保险公司证券部研究咨询室总经理助理，平安证券有限责任公司研究咨询部副总经理（主持工作）、国债部副总经理（主持工作）、资产管理部副总经理、资产管理部总经理，中国平安保险股份有限公司投资管理部副总经理（主持工作），全国社会保障基金理事会投资部资产配置处处长、投资部副主任、境</w:t>
      </w:r>
      <w:r w:rsidRPr="00565E0D">
        <w:rPr>
          <w:rFonts w:asciiTheme="minorEastAsia" w:eastAsiaTheme="minorEastAsia" w:hAnsiTheme="minorEastAsia" w:hint="eastAsia"/>
          <w:szCs w:val="20"/>
        </w:rPr>
        <w:lastRenderedPageBreak/>
        <w:t>外投资部主任、投资部主任、证券投资部主任。现任易方达基金管理有限公司董事长，易方达国际控股有限公司董事长。</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刘晓艳女士，经济学博士，副董事长、总裁。曾任广发证券有限责任公司投资理财部副经理、基金经理、基金投资理财部副总经理，易方达基金管理有限公司督察员、监察部总经理、市场部总经理、总裁助理、副总裁、常务副总裁，易方达资产管理有限公司董事，易方达国际控股有限公司董事。现任易方达基金管理有限公司副董事长、总裁，易方达资产管理（香港）有限公司董事长。</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周泽群先生，高级管理人员工商管理硕士（EMBA），董事。曾任珠海粤财实业有限公司董事长，粤财控股（北京）有限公司总经理、董事长，广东粤财投资控股有限公司总经理助理、办公室主任，广东粤财投资控股有限公司副总经理。现任易方达基金管理有限公司董事，广东粤财投资控股有限公司董事、总经理，中航通用飞机有限责任公司副董事长。</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秦力先生，经济学博士，董事。曾任广发证券投资银行部常务副总经理、投资理财部总经理、资金营运部总经理、规划管理部总经理、投资自营部总经理、公司总经理助理、副总经理，广东金融高新区股权交易中心有限公司董事长，广发控股（香港）有限公司董事，广发证券资产管理（广东）有限公司董事长。现任易方达基金管理有限公司董事，广发证券股份有限公司执行董事、常务副总经理，广发控股（香港）有限公司董事长。</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陈志辉先生，管理学硕士，董事。曾任安永会计师事务所广州分所高级审计员，美的集团税务总监，宁波盈峰股权投资基金管理有限公司合伙人、联席总裁。现任易方达基金管理有限公司董事，盈峰控股集团有限公司资财中心副总监，深圳市盈峰环保产业基金管理有限公司监事，广东顺德盈峰互联网产业投资管理有限公司监事，广东神华保险代理有限公司董事，西安高新盈峰创业投资管理有限公司董事。</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戚思胤先生，经济学硕士，董事。曾任广东省高速公路发展股份有限公司证券部投资者关系管理业务员、投资者关系管理主管、信息披露主管、证券事务代表，广东省广晟资产经营有限公司资本运营部高级主管、资本运营部副部长、团委副书记、资本运营部部长、董事会办公室（法务中心）主任，（香港）广晟投资发展有限公司董事、常务副总经理等职务，广东南粤银行股份有限公司董事。现任易方达基金管理有限公司董事，广东省广晟金融控股有限公司总经理，广东风华高新科技股份有限公司董事，佛山电器照明股份有限公司董事，深圳市中金岭南有色金属股份有限公司董事，佛山市国星光电股份有限公司董事。</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忻榕女士，工商行政管理博士，独立董事。曾任中科院研究生院讲师，美国加州高温橡胶公司市场部经理，美国加州大学讲师，美国南加州大学助理教授，香港科技大学副教授，</w:t>
      </w:r>
      <w:r w:rsidRPr="00565E0D">
        <w:rPr>
          <w:rFonts w:asciiTheme="minorEastAsia" w:eastAsiaTheme="minorEastAsia" w:hAnsiTheme="minorEastAsia" w:hint="eastAsia"/>
          <w:szCs w:val="20"/>
        </w:rPr>
        <w:lastRenderedPageBreak/>
        <w:t>中欧国际工商学院教授，瑞士洛桑管理学院教授。现任易方达基金管理有限公司独立董事，中欧国际工商学院教授，复星旅游文化集团（开曼）有限公司独立董事，</w:t>
      </w:r>
      <w:hyperlink r:id="rId17" w:tgtFrame="_blank" w:history="1">
        <w:r w:rsidRPr="00565E0D">
          <w:rPr>
            <w:rFonts w:asciiTheme="minorEastAsia" w:eastAsiaTheme="minorEastAsia" w:hAnsiTheme="minorEastAsia" w:hint="eastAsia"/>
            <w:szCs w:val="20"/>
          </w:rPr>
          <w:t>上海汇招信息技术有限公司</w:t>
        </w:r>
      </w:hyperlink>
      <w:r w:rsidRPr="00565E0D">
        <w:rPr>
          <w:rFonts w:asciiTheme="minorEastAsia" w:eastAsiaTheme="minorEastAsia" w:hAnsiTheme="minorEastAsia" w:hint="eastAsia"/>
          <w:szCs w:val="20"/>
        </w:rPr>
        <w:t>董事。</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谭劲松先生，管理学博士（会计学），独立董事。曾任邵阳市财会学校教师，中山大学管理学院助教、讲师、副教授。现任易方达基金管理有限公司独立董事，中山大学管理学院教授，中远海运特种运输股份有限公司独立董事，上海莱士血液制品股份有限公司独立董事，珠海华发实业股份有限公司独立董事，广州恒运企业集团股份有限公司独立董事，中国南方航空股份有限公司独立董事，广州环保投资集团有限公司外部董事，玉山银行（中国）有限公司独立董事，广东粤财金融租赁股份有限公司独立董事，中新广州知识城投资开发有限公司监事，美的置业控股有限公司独立非执行董事，中信证券华南股份有限公司独立董事。</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庄伟燕女士，法学博士，独立董事。曾任广东省妇女联合会干部，广东鸿鼎律师事务所主任，广东广悦鸿鼎律师事务所管委会主任。现任易方达基金管理有限公司独立董事，广东广信君达律师事务所高级合伙人。</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刘发宏先生，工商管理硕士，监事会主席。曾任天津商学院团总支书记兼政治辅导员、人事处干部，海南省三亚国际奥林匹克射击娱乐中心会计主管，三英（珠海）纺织有限公司财务主管，珠海市饼业食品有限公司财务部长、审计部长，珠海市国弘财务顾问有限公司项目经理，珠海市迪威有限公司会计师，珠海市卡都九洲食品有限公司财务总监，珠海格力集团（派驻下属企业）财务总监，珠海市国资委（派驻国有企业）财务总监，珠海港置业开发有限公司总经理，酒鬼酒股份有限公司副总经理，广东粤财投资控股有限公司审计部总经理，广东粤财信托有限公司党委委员、副书记。现任易方达基金管理有限公司监事会主席，广东粤财投资控股有限公司党委办主任、人力资源部总经理，广东粤财信托有限公司董事。</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董志钢先生，法学学士，监事。曾任中国建设银行广东省分行法律事务部科员、脱钩办法律事务室副经理、中农信托管办任经理，中国信达资产管理公司广州办事处处置办处置业务部经理，广东卓信律师事务所律师，广东合邦律师事务所律师，广东省粤科资产管理股份有限公司总经理。现任易方达基金管理有限公司监事，广州市广永国有资产经营有限公司董事长，广州广永股权投资基金管理有限公司董事长，广州广永投资管理有限公司董事长、总经理。</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陈国祥先生，经济学硕士，监事。曾任交通银行广州分行江南西营业部经理，广东粤财信托投资公司证券部副总经理、基金部总经理，易方达基金管理有限公司市场拓展部总经理、总裁助理、市场总监。现任易方达基金管理有限公司监事、党群工作部联席总经理。</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lastRenderedPageBreak/>
        <w:t>廖智先生，经济学硕士，监事。曾任广东证券股份有限公司基金部主管，易方达基金管理有限公司综合管理部副总经理、人力资源部副总经理、市场部总经理、互联网金融部总经理。现任易方达基金管理有限公司监事、总裁助理、综合管理部总经理，广东粤财互联网金融股份有限公司董事。</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邓志盛先生，经济学研究生，监事。曾任广东证监会信息部部长，中国证监会广州证管办机构二处处长，金鹰基金管理有限公司副总经理，易方达基金管理有限公司综合管理部总经理、董事会秘书。现任易方达基金管理有限公司监事、行政总监、党群工作部总经理。</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张优造先生，工商管理硕士，常务副总裁。曾任南方证券登记公司业务部负责人，南方证券交易中心业务发展部经理，广东证券公司发行上市部经理，深圳证券业务部总经理、基金部总经理，易方达基金管理有限公司董事、副总裁，易方达资产管理（香港）有限公司董事。现任易方达基金管理有限公司常务副总裁，易方达国际控股有限公司董事。</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陈彤先生，经济学博士，副总经理级高级管理人员。曾任中国经济开发信托投资公司成都营业部研发部副经理、交易部经理、研发部经理、证券总部研究部行业研究员，易方达基金管理有限公司市场拓展部主管、基金经理、市场部华东区大区销售经理、市场部总经理助理、南京分公司总经理、成都分公司总经理、上海分公司总经理、总裁助理、市场总监。现任易方达基金管理有限公司副总经理级高级管理人员，易方达国际控股有限公司董事。</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马骏先生，工商管理硕士（</w:t>
      </w:r>
      <w:r w:rsidRPr="00565E0D">
        <w:rPr>
          <w:rFonts w:asciiTheme="minorEastAsia" w:eastAsiaTheme="minorEastAsia" w:hAnsiTheme="minorEastAsia"/>
          <w:szCs w:val="20"/>
        </w:rPr>
        <w:t>EMBA</w:t>
      </w:r>
      <w:r w:rsidRPr="00565E0D">
        <w:rPr>
          <w:rFonts w:asciiTheme="minorEastAsia" w:eastAsiaTheme="minorEastAsia" w:hAnsiTheme="minorEastAsia" w:hint="eastAsia"/>
          <w:szCs w:val="20"/>
        </w:rPr>
        <w:t>），副总经理级高级管理人员。曾任君安证券有限公司营业部职员，深圳众大投资有限公司投资部副总经理，广发证券有限责任公司研究员，易方达基金管理有限公司基金经理、固定收益部总经理、现金管理部总经理、固定收益总部总经理、总裁助理、固定收益投资总监、固定收益首席投资官，易方达资产管理有限公司董事。现任易方达基金管理有限公司副总经理级高级管理人员、固定收益投资决策委员会委员，易方达资产管理（香港）有限公司董事、人民币合格境外投资者（</w:t>
      </w:r>
      <w:r w:rsidRPr="00565E0D">
        <w:rPr>
          <w:rFonts w:asciiTheme="minorEastAsia" w:eastAsiaTheme="minorEastAsia" w:hAnsiTheme="minorEastAsia"/>
          <w:szCs w:val="20"/>
        </w:rPr>
        <w:t>RQFII</w:t>
      </w:r>
      <w:r w:rsidRPr="00565E0D">
        <w:rPr>
          <w:rFonts w:asciiTheme="minorEastAsia" w:eastAsiaTheme="minorEastAsia" w:hAnsiTheme="minorEastAsia" w:hint="eastAsia"/>
          <w:szCs w:val="20"/>
        </w:rPr>
        <w:t>）业务负责人、证券交易负责人员（</w:t>
      </w:r>
      <w:r w:rsidRPr="00565E0D">
        <w:rPr>
          <w:rFonts w:asciiTheme="minorEastAsia" w:eastAsiaTheme="minorEastAsia" w:hAnsiTheme="minorEastAsia"/>
          <w:szCs w:val="20"/>
        </w:rPr>
        <w:t>RO</w:t>
      </w:r>
      <w:r w:rsidRPr="00565E0D">
        <w:rPr>
          <w:rFonts w:asciiTheme="minorEastAsia" w:eastAsiaTheme="minorEastAsia" w:hAnsiTheme="minorEastAsia" w:hint="eastAsia"/>
          <w:szCs w:val="20"/>
        </w:rPr>
        <w:t>）、就证券提供意见负责人员（</w:t>
      </w:r>
      <w:r w:rsidRPr="00565E0D">
        <w:rPr>
          <w:rFonts w:asciiTheme="minorEastAsia" w:eastAsiaTheme="minorEastAsia" w:hAnsiTheme="minorEastAsia"/>
          <w:szCs w:val="20"/>
        </w:rPr>
        <w:t>RO</w:t>
      </w:r>
      <w:r w:rsidRPr="00565E0D">
        <w:rPr>
          <w:rFonts w:asciiTheme="minorEastAsia" w:eastAsiaTheme="minorEastAsia" w:hAnsiTheme="minorEastAsia" w:hint="eastAsia"/>
          <w:szCs w:val="20"/>
        </w:rPr>
        <w:t>）、提供资产管理负责人员（</w:t>
      </w:r>
      <w:r w:rsidRPr="00565E0D">
        <w:rPr>
          <w:rFonts w:asciiTheme="minorEastAsia" w:eastAsiaTheme="minorEastAsia" w:hAnsiTheme="minorEastAsia"/>
          <w:szCs w:val="20"/>
        </w:rPr>
        <w:t>RO</w:t>
      </w:r>
      <w:r w:rsidRPr="00565E0D">
        <w:rPr>
          <w:rFonts w:asciiTheme="minorEastAsia" w:eastAsiaTheme="minorEastAsia" w:hAnsiTheme="minorEastAsia" w:hint="eastAsia"/>
          <w:szCs w:val="20"/>
        </w:rPr>
        <w:t>）、固定收益投资决策委员会委员、产品审批委员会委员。</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吴欣荣先生，工学硕士，副总经理级高级管理人员。曾任易方达基金管理有限公司研究员、投资管理部经理、基金经理、基金投资部副总经理、研究部副总经理、研究部总经理、基金投资部总经理、公募基金投资部总经理、权益投资总部总经理、总裁助理、权益投资总监。现任易方达基金管理有限公司副总经理级高级管理人员、权益投资决策委员会委员，易方达国际控股有限公司董事。</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张南女士，经济学博士，督察长。曾任广东省经济贸易委员会主任科员、副处长，易方</w:t>
      </w:r>
      <w:r w:rsidRPr="00565E0D">
        <w:rPr>
          <w:rFonts w:asciiTheme="minorEastAsia" w:eastAsiaTheme="minorEastAsia" w:hAnsiTheme="minorEastAsia" w:hint="eastAsia"/>
          <w:szCs w:val="20"/>
        </w:rPr>
        <w:lastRenderedPageBreak/>
        <w:t>达基金管理有限公司市场拓展部副总经理、监察部总经理。现任易方达基金管理有限公司督察长。</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范岳先生，工商管理硕士，副总经理级高级管理人员。曾任中国工商银行深圳分行国际业务部科员，深圳证券登记结算公司办公室经理、国际部经理，深圳证券交易所北京中心助理主任、上市部副总监、基金债券部副总监、基金管理部总监，易方达资产管理（香港）有限公司董事。现任易方达基金管理有限公司副总经理级高级管理人员。</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高松凡先生，工商管理硕士（</w:t>
      </w:r>
      <w:r w:rsidRPr="00565E0D">
        <w:rPr>
          <w:rFonts w:asciiTheme="minorEastAsia" w:eastAsiaTheme="minorEastAsia" w:hAnsiTheme="minorEastAsia"/>
          <w:szCs w:val="20"/>
        </w:rPr>
        <w:t>EMBA</w:t>
      </w:r>
      <w:r w:rsidRPr="00565E0D">
        <w:rPr>
          <w:rFonts w:asciiTheme="minorEastAsia" w:eastAsiaTheme="minorEastAsia" w:hAnsiTheme="minorEastAsia" w:hint="eastAsia"/>
          <w:szCs w:val="20"/>
        </w:rPr>
        <w:t>），副总经理级高级管理人员。曾任招商银行总行人事部高级经理、企业年金中心副主任，浦东发展银行总行企业年金部总经理，长江养老保险公司首席市场总监，易方达基金管理有限公司养老金业务总监。现任易方达基金管理有限公司副总经理级高级管理人员。</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关秀霞女士，工商管理硕士、金融学硕士，副总经理级高级管理人员。曾任中国银行（香港）有限公司分析员，</w:t>
      </w:r>
      <w:r w:rsidRPr="00565E0D">
        <w:rPr>
          <w:rFonts w:asciiTheme="minorEastAsia" w:eastAsiaTheme="minorEastAsia" w:hAnsiTheme="minorEastAsia"/>
          <w:szCs w:val="20"/>
        </w:rPr>
        <w:t>Daniel Dennis高级审计师，美国道富银行公司内部审计部高级审计师、美国共同基金业务风险经理、亚洲区（除日本外）机构服务主管、亚洲区（除日本外）副总裁、大中华地区</w:t>
      </w:r>
      <w:r w:rsidRPr="00565E0D">
        <w:rPr>
          <w:rFonts w:asciiTheme="minorEastAsia" w:eastAsiaTheme="minorEastAsia" w:hAnsiTheme="minorEastAsia" w:hint="eastAsia"/>
          <w:szCs w:val="20"/>
        </w:rPr>
        <w:t>董事总经理、大中华地区高级副总裁、中国区行长。现任易方达基金管理有限公司副总经理级高级管理人员。</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陈荣女士，经济学博士，副总经理级高级管理人员。曾任中国人民银行广州分行统计研究处科员，易方达基金管理有限公司运作支持部经理、核算部总经理助理、核算部副总经理、核算部总经理、投资风险管理部总经理、总裁助理、董事会秘书、公司财务中心主任。现任易方达基金管理有限公司副总经理级高级管理人员，易方达资产管理（香港）有限公司董事，易方达资产管理有限公司监事，易方达海外投资（深圳）有限公司监事。</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汪兰英女士，工学学士、法学学士，副总经理级高级管理人员。曾任中信证券股份有限公司风险投资部投资经理助理，中国证监会基金监管部副主任科员、主任科员、副处长、处长，中国人寿资产管理有限公司风险管理部副总经理（主持工作）、项目评审部副总经理（主持工作）、基金投资部副总经理（主持工作）。现任易方达基金管理有限公司副总经理级高级管理人员、指数投资决策委员会委员、多资产投资决策委员会委员，易方达资产管理有限公司董事。</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张坤先生，理学硕士，副总经理级高级管理人员。曾任易方达基金管理有限公司行业研究员、基金经理助理、研究部总经理助理。现任易方达基金管理有限公司副总经理级高级管理人员、权益投资决策委员会委员、基金经理。</w:t>
      </w:r>
    </w:p>
    <w:p w:rsidR="00F266E3" w:rsidRPr="00565E0D" w:rsidRDefault="00F266E3" w:rsidP="00565E0D">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陈丽园女士，管理学硕士、法律硕士，副总经理级高级管理人员。曾任易方达基金管理</w:t>
      </w:r>
      <w:r w:rsidRPr="00565E0D">
        <w:rPr>
          <w:rFonts w:asciiTheme="minorEastAsia" w:eastAsiaTheme="minorEastAsia" w:hAnsiTheme="minorEastAsia" w:hint="eastAsia"/>
          <w:szCs w:val="20"/>
        </w:rPr>
        <w:lastRenderedPageBreak/>
        <w:t>有限公司监察部监察员、监察部总经理助理、监察部副总经理、监察部总经理，监察与合规管理总部总经理兼合规内审部总经理，易方达资产管理有限公司董事。现任易方达基金管理有限公司副总经理级高级管理人员，易方达资产管理（香港）有限公司董事。</w:t>
      </w:r>
    </w:p>
    <w:p w:rsidR="007417EC" w:rsidRPr="00565E0D" w:rsidRDefault="007417EC" w:rsidP="00654E45">
      <w:pPr>
        <w:spacing w:line="360" w:lineRule="auto"/>
        <w:ind w:firstLineChars="200" w:firstLine="422"/>
        <w:rPr>
          <w:rFonts w:asciiTheme="minorEastAsia" w:eastAsiaTheme="minorEastAsia" w:hAnsiTheme="minorEastAsia"/>
          <w:b/>
          <w:szCs w:val="20"/>
        </w:rPr>
      </w:pPr>
      <w:r w:rsidRPr="00565E0D">
        <w:rPr>
          <w:rFonts w:asciiTheme="minorEastAsia" w:eastAsiaTheme="minorEastAsia" w:hAnsiTheme="minorEastAsia"/>
          <w:b/>
          <w:szCs w:val="20"/>
        </w:rPr>
        <w:t>2、基金经理</w:t>
      </w:r>
    </w:p>
    <w:p w:rsidR="007417EC" w:rsidRPr="00565E0D" w:rsidRDefault="007417EC" w:rsidP="00654E45">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林高榜先生，经济学博士。曾任易方达基金管理有限公司行业研究员、投资经理、易方达科汇灵活配置混合型证券投资基金基金经理（自</w:t>
      </w:r>
      <w:r w:rsidRPr="00565E0D">
        <w:rPr>
          <w:rFonts w:asciiTheme="minorEastAsia" w:eastAsiaTheme="minorEastAsia" w:hAnsiTheme="minorEastAsia"/>
          <w:szCs w:val="20"/>
        </w:rPr>
        <w:t>2017年5月11日至2018年8月3日）、易方达科汇灵活配置混合型证券投资基金的基金经理助理。现任易方达基金管理有限公司易方达价值成长混合型证券投资基金基金经理（自2018年3月23日起任职）。</w:t>
      </w:r>
    </w:p>
    <w:p w:rsidR="007417EC" w:rsidRPr="00565E0D" w:rsidRDefault="007417EC" w:rsidP="00654E45">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武阳先生，经济学硕士。曾任易方达基金管理有限公司行业研究员、易方达策略成长二号混合型证券投资基金的基金经理助理、易方达策略成长证券投资基金基金经理（自</w:t>
      </w:r>
      <w:r w:rsidRPr="00565E0D">
        <w:rPr>
          <w:rFonts w:asciiTheme="minorEastAsia" w:eastAsiaTheme="minorEastAsia" w:hAnsiTheme="minorEastAsia"/>
          <w:szCs w:val="20"/>
        </w:rPr>
        <w:t>2015年8月5日至2017</w:t>
      </w:r>
      <w:r w:rsidRPr="00565E0D">
        <w:rPr>
          <w:rFonts w:asciiTheme="minorEastAsia" w:eastAsiaTheme="minorEastAsia" w:hAnsiTheme="minorEastAsia" w:hint="eastAsia"/>
          <w:szCs w:val="20"/>
        </w:rPr>
        <w:t>年</w:t>
      </w:r>
      <w:r w:rsidRPr="00565E0D">
        <w:rPr>
          <w:rFonts w:asciiTheme="minorEastAsia" w:eastAsiaTheme="minorEastAsia" w:hAnsiTheme="minorEastAsia"/>
          <w:szCs w:val="20"/>
        </w:rPr>
        <w:t>12月29日）。现任易方达基金管理有限公司易方达瑞享灵活配置混合型证券投资基金基金经理（自2017年12月30日起任职）、易方达价值成长混合型证券投资基金基金经理（自2018年3月23日起任职）。</w:t>
      </w:r>
    </w:p>
    <w:p w:rsidR="007417EC" w:rsidRPr="00565E0D" w:rsidRDefault="007417EC" w:rsidP="00654E45">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本基金历任基金经理情况：潘峰先生，管理时间为</w:t>
      </w:r>
      <w:r w:rsidRPr="00565E0D">
        <w:rPr>
          <w:rFonts w:asciiTheme="minorEastAsia" w:eastAsiaTheme="minorEastAsia" w:hAnsiTheme="minorEastAsia"/>
          <w:szCs w:val="20"/>
        </w:rPr>
        <w:t>2007年4月2日至2014年12月5日；郑茂先生，管理时间为2014年12月6日至2015年5月18日；王义克先生，管理时间为2014年12月6日至2018年3月22日。</w:t>
      </w:r>
    </w:p>
    <w:p w:rsidR="007417EC" w:rsidRPr="00565E0D" w:rsidRDefault="007417EC" w:rsidP="00654E45">
      <w:pPr>
        <w:spacing w:line="360" w:lineRule="auto"/>
        <w:ind w:firstLineChars="200" w:firstLine="422"/>
        <w:rPr>
          <w:rFonts w:asciiTheme="minorEastAsia" w:eastAsiaTheme="minorEastAsia" w:hAnsiTheme="minorEastAsia"/>
          <w:b/>
          <w:szCs w:val="20"/>
        </w:rPr>
      </w:pPr>
      <w:r w:rsidRPr="00565E0D">
        <w:rPr>
          <w:rFonts w:asciiTheme="minorEastAsia" w:eastAsiaTheme="minorEastAsia" w:hAnsiTheme="minorEastAsia"/>
          <w:b/>
          <w:szCs w:val="20"/>
        </w:rPr>
        <w:t>3、权益投资决策委员会成员</w:t>
      </w:r>
    </w:p>
    <w:p w:rsidR="007417EC" w:rsidRPr="00565E0D" w:rsidRDefault="007417EC" w:rsidP="00654E45">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本公司权益投资决策委员会成员包括：吴欣荣先生、冯波先生、陈皓先生、张坤先生、孙松先生、付浩先生。</w:t>
      </w:r>
    </w:p>
    <w:p w:rsidR="007417EC" w:rsidRPr="00565E0D" w:rsidRDefault="007417EC" w:rsidP="00654E45">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吴欣荣先生，同上。</w:t>
      </w:r>
    </w:p>
    <w:p w:rsidR="007417EC" w:rsidRPr="00565E0D" w:rsidRDefault="007417EC" w:rsidP="00654E45">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冯波先生，经济学硕士。曾任广东发展银行行员，易方达基金管理有限公司市场拓展部研究员、市场拓展部副经理、市场部大区销售经理、北京分公司副总经理、行业研究员、基金经理助理、研究部总经理助理、研究部副总经理、易方达科汇灵活配置混合型证券投资基金基金经理。现任易方达基金管理有限公司研究部总经理、易方达行业领先企业混合型证券投资基金基金经理、易方达中盘成长混合型证券投资基金基金经理、易方达研究精选股票型证券投资基金基金经理。</w:t>
      </w:r>
    </w:p>
    <w:p w:rsidR="007417EC" w:rsidRPr="00565E0D" w:rsidRDefault="007417EC" w:rsidP="00654E45">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陈皓先生，管理学硕士。曾任易方达基金管理有限公司行业研究员、基金经理助理、投资一部总经理助理、投资一部副总经理、投资经理、易方达价值精选混合型证券投资基金基金经理、易方达供给改革灵活配置混合型证券投资基金基金经理。现任易方达基金管理有限公司投资一部总经理、易方达平稳增长证券投资基金基金经理、易方达科翔混合型证券投资</w:t>
      </w:r>
      <w:r w:rsidRPr="00565E0D">
        <w:rPr>
          <w:rFonts w:asciiTheme="minorEastAsia" w:eastAsiaTheme="minorEastAsia" w:hAnsiTheme="minorEastAsia" w:hint="eastAsia"/>
          <w:szCs w:val="20"/>
        </w:rPr>
        <w:lastRenderedPageBreak/>
        <w:t>基金基金经理、易方达新经济灵活配置混合型证券投资基金基金经理、易方达国防军工混合型证券投资基金基金经理、易方达科讯混合型证券投资基金基金经理、易方达科融混合型证券投资基金基金经理。</w:t>
      </w:r>
    </w:p>
    <w:p w:rsidR="007417EC" w:rsidRPr="00565E0D" w:rsidRDefault="007417EC" w:rsidP="00654E45">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张坤先生，</w:t>
      </w:r>
      <w:r w:rsidR="00565E0D" w:rsidRPr="00565E0D">
        <w:rPr>
          <w:rFonts w:asciiTheme="minorEastAsia" w:eastAsiaTheme="minorEastAsia" w:hAnsiTheme="minorEastAsia" w:hint="eastAsia"/>
          <w:szCs w:val="20"/>
        </w:rPr>
        <w:t>同上</w:t>
      </w:r>
      <w:r w:rsidRPr="00565E0D">
        <w:rPr>
          <w:rFonts w:asciiTheme="minorEastAsia" w:eastAsiaTheme="minorEastAsia" w:hAnsiTheme="minorEastAsia" w:hint="eastAsia"/>
          <w:szCs w:val="20"/>
        </w:rPr>
        <w:t>。</w:t>
      </w:r>
    </w:p>
    <w:p w:rsidR="007417EC" w:rsidRPr="00565E0D" w:rsidRDefault="007417EC" w:rsidP="00654E45">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孙松先生，经济学硕士。曾任易方达基金管理有限公司交易员、集中交易室主管、集中交易室经理、行业研究员、基金经理助理、机构理财部总经理助理、机构理财部副总经理、权益投资总部副总经理、专户投资部总经理、养老金与专户权益投资部总经理。现任易方达基金管理有限公司投资二部总经理、投资经理、易方达新常态灵活配置混合型证券投资基金基金经理。</w:t>
      </w:r>
    </w:p>
    <w:p w:rsidR="004643D5" w:rsidRPr="00565E0D" w:rsidRDefault="007417EC" w:rsidP="00654E45">
      <w:pPr>
        <w:spacing w:line="360" w:lineRule="auto"/>
        <w:ind w:firstLineChars="200" w:firstLine="420"/>
        <w:rPr>
          <w:rFonts w:asciiTheme="minorEastAsia" w:eastAsiaTheme="minorEastAsia" w:hAnsiTheme="minorEastAsia"/>
          <w:szCs w:val="20"/>
        </w:rPr>
      </w:pPr>
      <w:r w:rsidRPr="00565E0D">
        <w:rPr>
          <w:rFonts w:asciiTheme="minorEastAsia" w:eastAsiaTheme="minorEastAsia" w:hAnsiTheme="minorEastAsia" w:hint="eastAsia"/>
          <w:szCs w:val="20"/>
        </w:rPr>
        <w:t>付浩先生，经济学硕士。曾任广东粤财信托投资有限公司国际金融部职员，深圳和君创业研究咨询有限公司管理咨询项目经理，湖南证券投资银行总部项目经理，融通基金管理有限公司研究策划部研究员，易方达基金管理有限公司权益投资总部副总经理、养老金与专户权益投资部副总经理、公募基金投资部总经理、基金经理助理、易方达策略成长证券投资基金基金经理、科瑞证券投资基金基金经理、易方达科翔股票型证券投资基金基金经理、易方达科汇灵活配置混合型证券投资基金基金经理。现任易方达基金管理有限公司权益投资管理部总经理、投资经理、易方达</w:t>
      </w:r>
      <w:r w:rsidRPr="00565E0D">
        <w:rPr>
          <w:rFonts w:asciiTheme="minorEastAsia" w:eastAsiaTheme="minorEastAsia" w:hAnsiTheme="minorEastAsia"/>
          <w:szCs w:val="20"/>
        </w:rPr>
        <w:t>3年封闭运作战略配售灵活配置混合型证券投资基金（LOF）基金经理。</w:t>
      </w:r>
    </w:p>
    <w:p w:rsidR="00C35BC5" w:rsidRPr="00565E0D" w:rsidRDefault="00552BE1" w:rsidP="00654E45">
      <w:pPr>
        <w:spacing w:line="360" w:lineRule="auto"/>
        <w:ind w:firstLineChars="200" w:firstLine="422"/>
        <w:rPr>
          <w:rStyle w:val="da"/>
          <w:rFonts w:asciiTheme="minorEastAsia" w:eastAsiaTheme="minorEastAsia" w:hAnsiTheme="minorEastAsia"/>
        </w:rPr>
      </w:pPr>
      <w:r w:rsidRPr="00565E0D">
        <w:rPr>
          <w:rFonts w:asciiTheme="minorEastAsia" w:eastAsiaTheme="minorEastAsia" w:hAnsiTheme="minorEastAsia" w:cs="仿宋_GB2312" w:hint="eastAsia"/>
          <w:b/>
          <w:bCs/>
          <w:kern w:val="0"/>
        </w:rPr>
        <w:t>4、</w:t>
      </w:r>
      <w:r w:rsidR="00C35BC5" w:rsidRPr="00565E0D">
        <w:rPr>
          <w:rFonts w:asciiTheme="minorEastAsia" w:eastAsiaTheme="minorEastAsia" w:hAnsiTheme="minorEastAsia" w:cs="仿宋_GB2312" w:hint="eastAsia"/>
          <w:b/>
          <w:bCs/>
          <w:kern w:val="0"/>
        </w:rPr>
        <w:t>上述人员之间均不存在近亲属关系。</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Cs/>
          <w:sz w:val="24"/>
          <w:szCs w:val="24"/>
        </w:rPr>
      </w:pPr>
      <w:bookmarkStart w:id="8" w:name="_Toc38551165"/>
      <w:r w:rsidRPr="00565E0D">
        <w:rPr>
          <w:rFonts w:asciiTheme="minorEastAsia" w:eastAsiaTheme="minorEastAsia" w:hAnsiTheme="minorEastAsia" w:hint="eastAsia"/>
          <w:bCs/>
          <w:sz w:val="24"/>
          <w:szCs w:val="24"/>
        </w:rPr>
        <w:t>（三）</w:t>
      </w:r>
      <w:r w:rsidRPr="00565E0D">
        <w:rPr>
          <w:rFonts w:asciiTheme="minorEastAsia" w:eastAsiaTheme="minorEastAsia" w:hAnsiTheme="minorEastAsia"/>
          <w:bCs/>
          <w:sz w:val="24"/>
          <w:szCs w:val="24"/>
        </w:rPr>
        <w:t>基金管理人的职责</w:t>
      </w:r>
      <w:bookmarkEnd w:id="8"/>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1、</w:t>
      </w:r>
      <w:r w:rsidR="00BB78FB" w:rsidRPr="00565E0D">
        <w:rPr>
          <w:rFonts w:asciiTheme="minorEastAsia" w:eastAsiaTheme="minorEastAsia" w:hAnsiTheme="minorEastAsia" w:hint="eastAsia"/>
          <w:kern w:val="0"/>
        </w:rPr>
        <w:t>依法募集资金，办理基金份额的发售和登记事宜</w:t>
      </w:r>
      <w:r w:rsidR="00C35BC5" w:rsidRPr="00565E0D">
        <w:rPr>
          <w:rFonts w:asciiTheme="minorEastAsia" w:eastAsiaTheme="minorEastAsia" w:hAnsiTheme="minorEastAsia"/>
          <w:kern w:val="0"/>
        </w:rPr>
        <w:t>；</w:t>
      </w:r>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2、</w:t>
      </w:r>
      <w:r w:rsidR="00C35BC5" w:rsidRPr="00565E0D">
        <w:rPr>
          <w:rFonts w:asciiTheme="minorEastAsia" w:eastAsiaTheme="minorEastAsia" w:hAnsiTheme="minorEastAsia"/>
          <w:kern w:val="0"/>
        </w:rPr>
        <w:t>办理基金备案手续；</w:t>
      </w:r>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3、</w:t>
      </w:r>
      <w:r w:rsidR="00C35BC5" w:rsidRPr="00565E0D">
        <w:rPr>
          <w:rFonts w:asciiTheme="minorEastAsia" w:eastAsiaTheme="minorEastAsia" w:hAnsiTheme="minorEastAsia"/>
          <w:kern w:val="0"/>
        </w:rPr>
        <w:t>对所管理的不同基金财产分别管理、分别记账，进行证券投资；</w:t>
      </w:r>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4、</w:t>
      </w:r>
      <w:r w:rsidR="00C35BC5" w:rsidRPr="00565E0D">
        <w:rPr>
          <w:rFonts w:asciiTheme="minorEastAsia" w:eastAsiaTheme="minorEastAsia" w:hAnsiTheme="minorEastAsia"/>
          <w:kern w:val="0"/>
        </w:rPr>
        <w:t>按照基金合同的约定确定基金收益分配方案，及时向基金份额持有人分配收益；</w:t>
      </w:r>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5、</w:t>
      </w:r>
      <w:r w:rsidR="00C35BC5" w:rsidRPr="00565E0D">
        <w:rPr>
          <w:rFonts w:asciiTheme="minorEastAsia" w:eastAsiaTheme="minorEastAsia" w:hAnsiTheme="minorEastAsia"/>
          <w:kern w:val="0"/>
        </w:rPr>
        <w:t>进行基金会计核算并编制基金财务会计报告；</w:t>
      </w:r>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6、</w:t>
      </w:r>
      <w:r w:rsidR="00C35BC5" w:rsidRPr="00565E0D">
        <w:rPr>
          <w:rFonts w:asciiTheme="minorEastAsia" w:eastAsiaTheme="minorEastAsia" w:hAnsiTheme="minorEastAsia"/>
          <w:kern w:val="0"/>
        </w:rPr>
        <w:t>编制</w:t>
      </w:r>
      <w:r w:rsidR="002C3C91" w:rsidRPr="00565E0D">
        <w:rPr>
          <w:rFonts w:asciiTheme="minorEastAsia" w:eastAsiaTheme="minorEastAsia" w:hAnsiTheme="minorEastAsia" w:hint="eastAsia"/>
          <w:kern w:val="0"/>
        </w:rPr>
        <w:t>季度报告、中期报告和年度报告</w:t>
      </w:r>
      <w:r w:rsidR="00C35BC5" w:rsidRPr="00565E0D">
        <w:rPr>
          <w:rFonts w:asciiTheme="minorEastAsia" w:eastAsiaTheme="minorEastAsia" w:hAnsiTheme="minorEastAsia"/>
          <w:kern w:val="0"/>
        </w:rPr>
        <w:t>；</w:t>
      </w:r>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7、</w:t>
      </w:r>
      <w:r w:rsidR="00C35BC5" w:rsidRPr="00565E0D">
        <w:rPr>
          <w:rFonts w:asciiTheme="minorEastAsia" w:eastAsiaTheme="minorEastAsia" w:hAnsiTheme="minorEastAsia"/>
          <w:kern w:val="0"/>
        </w:rPr>
        <w:t>计算并公告基金</w:t>
      </w:r>
      <w:r w:rsidR="002C3C91" w:rsidRPr="00565E0D">
        <w:rPr>
          <w:rFonts w:asciiTheme="minorEastAsia" w:eastAsiaTheme="minorEastAsia" w:hAnsiTheme="minorEastAsia" w:hint="eastAsia"/>
          <w:kern w:val="0"/>
        </w:rPr>
        <w:t>净值信息</w:t>
      </w:r>
      <w:r w:rsidR="00C35BC5" w:rsidRPr="00565E0D">
        <w:rPr>
          <w:rFonts w:asciiTheme="minorEastAsia" w:eastAsiaTheme="minorEastAsia" w:hAnsiTheme="minorEastAsia"/>
          <w:kern w:val="0"/>
        </w:rPr>
        <w:t>，确定基金份额申购、赎回价格；</w:t>
      </w:r>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8、</w:t>
      </w:r>
      <w:r w:rsidR="00C35BC5" w:rsidRPr="00565E0D">
        <w:rPr>
          <w:rFonts w:asciiTheme="minorEastAsia" w:eastAsiaTheme="minorEastAsia" w:hAnsiTheme="minorEastAsia"/>
          <w:kern w:val="0"/>
        </w:rPr>
        <w:t>办理与基金财产管理业务活动有关的信息披露事项；</w:t>
      </w:r>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9、</w:t>
      </w:r>
      <w:r w:rsidR="00BB78FB" w:rsidRPr="00565E0D">
        <w:rPr>
          <w:rFonts w:asciiTheme="minorEastAsia" w:eastAsiaTheme="minorEastAsia" w:hAnsiTheme="minorEastAsia" w:hint="eastAsia"/>
          <w:kern w:val="0"/>
        </w:rPr>
        <w:t>按照规定</w:t>
      </w:r>
      <w:r w:rsidR="00C35BC5" w:rsidRPr="00565E0D">
        <w:rPr>
          <w:rFonts w:asciiTheme="minorEastAsia" w:eastAsiaTheme="minorEastAsia" w:hAnsiTheme="minorEastAsia"/>
          <w:kern w:val="0"/>
        </w:rPr>
        <w:t>召集基金份额持有人大会；</w:t>
      </w:r>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10、</w:t>
      </w:r>
      <w:r w:rsidR="005F2321" w:rsidRPr="00565E0D">
        <w:rPr>
          <w:rFonts w:asciiTheme="minorEastAsia" w:eastAsiaTheme="minorEastAsia" w:hAnsiTheme="minorEastAsia" w:hint="eastAsia"/>
          <w:kern w:val="0"/>
        </w:rPr>
        <w:t>保存</w:t>
      </w:r>
      <w:r w:rsidR="00C35BC5" w:rsidRPr="00565E0D">
        <w:rPr>
          <w:rFonts w:asciiTheme="minorEastAsia" w:eastAsiaTheme="minorEastAsia" w:hAnsiTheme="minorEastAsia" w:hint="eastAsia"/>
          <w:kern w:val="0"/>
        </w:rPr>
        <w:t>基</w:t>
      </w:r>
      <w:r w:rsidR="00C35BC5" w:rsidRPr="00565E0D">
        <w:rPr>
          <w:rFonts w:asciiTheme="minorEastAsia" w:eastAsiaTheme="minorEastAsia" w:hAnsiTheme="minorEastAsia"/>
          <w:kern w:val="0"/>
        </w:rPr>
        <w:t>金财产管理业务活动的记录、账册、报表和其他相关资料；</w:t>
      </w:r>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11、</w:t>
      </w:r>
      <w:r w:rsidR="00C35BC5" w:rsidRPr="00565E0D">
        <w:rPr>
          <w:rFonts w:asciiTheme="minorEastAsia" w:eastAsiaTheme="minorEastAsia" w:hAnsiTheme="minorEastAsia"/>
          <w:kern w:val="0"/>
        </w:rPr>
        <w:t>以基金管理人名义，代表基金份额持有人利益行使诉讼权利或者实施其他法律行为；</w:t>
      </w:r>
    </w:p>
    <w:p w:rsidR="00C35BC5" w:rsidRPr="00565E0D" w:rsidRDefault="00552BE1" w:rsidP="00552BE1">
      <w:pPr>
        <w:pStyle w:val="af2"/>
        <w:adjustRightInd w:val="0"/>
        <w:snapToGrid w:val="0"/>
        <w:spacing w:line="360" w:lineRule="auto"/>
        <w:ind w:firstLine="420"/>
        <w:textAlignment w:val="baseline"/>
        <w:rPr>
          <w:rFonts w:asciiTheme="minorEastAsia" w:eastAsiaTheme="minorEastAsia" w:hAnsiTheme="minorEastAsia"/>
          <w:kern w:val="0"/>
        </w:rPr>
      </w:pPr>
      <w:r w:rsidRPr="00565E0D">
        <w:rPr>
          <w:rFonts w:asciiTheme="minorEastAsia" w:eastAsiaTheme="minorEastAsia" w:hAnsiTheme="minorEastAsia" w:hint="eastAsia"/>
          <w:kern w:val="0"/>
        </w:rPr>
        <w:t>12、</w:t>
      </w:r>
      <w:r w:rsidR="00C35BC5" w:rsidRPr="00565E0D">
        <w:rPr>
          <w:rFonts w:asciiTheme="minorEastAsia" w:eastAsiaTheme="minorEastAsia" w:hAnsiTheme="minorEastAsia" w:hint="eastAsia"/>
          <w:kern w:val="0"/>
        </w:rPr>
        <w:t>中国证监会</w:t>
      </w:r>
      <w:r w:rsidR="00C35BC5" w:rsidRPr="00565E0D">
        <w:rPr>
          <w:rFonts w:asciiTheme="minorEastAsia" w:eastAsiaTheme="minorEastAsia" w:hAnsiTheme="minorEastAsia"/>
          <w:kern w:val="0"/>
        </w:rPr>
        <w:t>规定的其他职责。</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szCs w:val="24"/>
        </w:rPr>
      </w:pPr>
      <w:bookmarkStart w:id="9" w:name="_Toc38551166"/>
      <w:r w:rsidRPr="00565E0D">
        <w:rPr>
          <w:rFonts w:asciiTheme="minorEastAsia" w:eastAsiaTheme="minorEastAsia" w:hAnsiTheme="minorEastAsia" w:hint="eastAsia"/>
          <w:bCs/>
          <w:sz w:val="24"/>
          <w:szCs w:val="24"/>
        </w:rPr>
        <w:lastRenderedPageBreak/>
        <w:t>（四）</w:t>
      </w:r>
      <w:r w:rsidRPr="00565E0D">
        <w:rPr>
          <w:rFonts w:asciiTheme="minorEastAsia" w:eastAsiaTheme="minorEastAsia" w:hAnsiTheme="minorEastAsia"/>
          <w:bCs/>
          <w:sz w:val="24"/>
          <w:szCs w:val="24"/>
        </w:rPr>
        <w:t>基金管理人的承诺</w:t>
      </w:r>
      <w:bookmarkEnd w:id="9"/>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cs="Arial"/>
          <w:kern w:val="0"/>
          <w:szCs w:val="21"/>
        </w:rPr>
        <w:t>1</w:t>
      </w:r>
      <w:r w:rsidR="00552BE1" w:rsidRPr="00565E0D">
        <w:rPr>
          <w:rFonts w:asciiTheme="minorEastAsia" w:eastAsiaTheme="minorEastAsia" w:hAnsiTheme="minorEastAsia" w:hint="eastAsia"/>
          <w:kern w:val="0"/>
          <w:szCs w:val="21"/>
        </w:rPr>
        <w:t>、</w:t>
      </w:r>
      <w:r w:rsidRPr="00565E0D">
        <w:rPr>
          <w:rFonts w:asciiTheme="minorEastAsia" w:eastAsiaTheme="minorEastAsia" w:hAnsiTheme="minorEastAsia" w:hint="eastAsia"/>
        </w:rPr>
        <w:t>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r w:rsidRPr="00565E0D">
        <w:rPr>
          <w:rFonts w:asciiTheme="minorEastAsia" w:eastAsiaTheme="minorEastAsia" w:hAnsiTheme="minorEastAsia" w:cs="Arial" w:hint="eastAsia"/>
          <w:kern w:val="0"/>
          <w:szCs w:val="21"/>
        </w:rPr>
        <w:t>2</w:t>
      </w:r>
      <w:r w:rsidR="00552BE1" w:rsidRPr="00565E0D">
        <w:rPr>
          <w:rFonts w:asciiTheme="minorEastAsia" w:eastAsiaTheme="minorEastAsia" w:hAnsiTheme="minorEastAsia" w:cs="Arial" w:hint="eastAsia"/>
          <w:kern w:val="0"/>
          <w:szCs w:val="21"/>
        </w:rPr>
        <w:t>、</w:t>
      </w:r>
      <w:r w:rsidRPr="00565E0D">
        <w:rPr>
          <w:rFonts w:asciiTheme="minorEastAsia" w:eastAsiaTheme="minorEastAsia" w:hAnsiTheme="minorEastAsia" w:hint="eastAsia"/>
        </w:rPr>
        <w:t>本基金管理人承诺严格遵守《中华人民共和国证券法》、《基金法》及有关法律法规，建立健全的内部控制制度，采取有效措施，防止下列行为发生：</w:t>
      </w:r>
    </w:p>
    <w:p w:rsidR="00C35BC5" w:rsidRPr="00565E0D" w:rsidRDefault="00C35BC5" w:rsidP="00552BE1">
      <w:pPr>
        <w:numPr>
          <w:ilvl w:val="1"/>
          <w:numId w:val="9"/>
        </w:numPr>
        <w:tabs>
          <w:tab w:val="left" w:pos="735"/>
          <w:tab w:val="num" w:pos="1320"/>
        </w:tabs>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hint="eastAsia"/>
        </w:rPr>
        <w:t>将其固有财产或者他人财产混同于基金财产从事证券投资；</w:t>
      </w:r>
    </w:p>
    <w:p w:rsidR="00C35BC5" w:rsidRPr="00565E0D" w:rsidRDefault="00C35BC5" w:rsidP="00552BE1">
      <w:pPr>
        <w:numPr>
          <w:ilvl w:val="1"/>
          <w:numId w:val="9"/>
        </w:numPr>
        <w:tabs>
          <w:tab w:val="left" w:pos="735"/>
          <w:tab w:val="num" w:pos="1320"/>
        </w:tabs>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hint="eastAsia"/>
        </w:rPr>
        <w:t>不公平地对待其管理的不同基金财产；</w:t>
      </w:r>
    </w:p>
    <w:p w:rsidR="00C35BC5" w:rsidRPr="00565E0D" w:rsidRDefault="00C35BC5" w:rsidP="00552BE1">
      <w:pPr>
        <w:numPr>
          <w:ilvl w:val="1"/>
          <w:numId w:val="9"/>
        </w:numPr>
        <w:tabs>
          <w:tab w:val="left" w:pos="735"/>
          <w:tab w:val="num" w:pos="1320"/>
        </w:tabs>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hint="eastAsia"/>
        </w:rPr>
        <w:t>利用基金财产</w:t>
      </w:r>
      <w:r w:rsidR="00BB78FB" w:rsidRPr="00565E0D">
        <w:rPr>
          <w:rFonts w:asciiTheme="minorEastAsia" w:eastAsiaTheme="minorEastAsia" w:hAnsiTheme="minorEastAsia" w:hint="eastAsia"/>
        </w:rPr>
        <w:t>或者职务之便</w:t>
      </w:r>
      <w:r w:rsidRPr="00565E0D">
        <w:rPr>
          <w:rFonts w:asciiTheme="minorEastAsia" w:eastAsiaTheme="minorEastAsia" w:hAnsiTheme="minorEastAsia" w:hint="eastAsia"/>
        </w:rPr>
        <w:t>为基金份额持有人以外的第三人谋取利益；</w:t>
      </w:r>
    </w:p>
    <w:p w:rsidR="00C35BC5" w:rsidRPr="00565E0D" w:rsidRDefault="00C35BC5" w:rsidP="00552BE1">
      <w:pPr>
        <w:numPr>
          <w:ilvl w:val="1"/>
          <w:numId w:val="9"/>
        </w:numPr>
        <w:tabs>
          <w:tab w:val="left" w:pos="735"/>
          <w:tab w:val="num" w:pos="1320"/>
        </w:tabs>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hint="eastAsia"/>
        </w:rPr>
        <w:t>向基金份额持有人违规承诺收益或者承担损失；</w:t>
      </w:r>
    </w:p>
    <w:p w:rsidR="00BB78FB" w:rsidRPr="00565E0D" w:rsidRDefault="00BB78FB" w:rsidP="00552BE1">
      <w:pPr>
        <w:numPr>
          <w:ilvl w:val="1"/>
          <w:numId w:val="9"/>
        </w:numPr>
        <w:tabs>
          <w:tab w:val="left" w:pos="735"/>
          <w:tab w:val="num" w:pos="1320"/>
        </w:tabs>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hint="eastAsia"/>
        </w:rPr>
        <w:t>侵占、挪用基金财产；</w:t>
      </w:r>
    </w:p>
    <w:p w:rsidR="00BB78FB" w:rsidRPr="00565E0D" w:rsidRDefault="00BB78FB" w:rsidP="00552BE1">
      <w:pPr>
        <w:numPr>
          <w:ilvl w:val="1"/>
          <w:numId w:val="9"/>
        </w:numPr>
        <w:tabs>
          <w:tab w:val="left" w:pos="735"/>
          <w:tab w:val="num" w:pos="1320"/>
        </w:tabs>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hint="eastAsia"/>
        </w:rPr>
        <w:t>泄露因职务便利获取的未公开信息、利用该信息从事或者明示、暗示他人从事相关的交易活动；</w:t>
      </w:r>
    </w:p>
    <w:p w:rsidR="00BB78FB" w:rsidRPr="00565E0D" w:rsidRDefault="00BB78FB" w:rsidP="00552BE1">
      <w:pPr>
        <w:numPr>
          <w:ilvl w:val="1"/>
          <w:numId w:val="9"/>
        </w:numPr>
        <w:tabs>
          <w:tab w:val="left" w:pos="735"/>
          <w:tab w:val="num" w:pos="1320"/>
        </w:tabs>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hint="eastAsia"/>
        </w:rPr>
        <w:t>玩忽职守，不按照规定履行职责；</w:t>
      </w:r>
    </w:p>
    <w:p w:rsidR="00C35BC5" w:rsidRPr="00565E0D" w:rsidRDefault="00BB78FB" w:rsidP="00552BE1">
      <w:pPr>
        <w:numPr>
          <w:ilvl w:val="1"/>
          <w:numId w:val="9"/>
        </w:numPr>
        <w:tabs>
          <w:tab w:val="left" w:pos="735"/>
          <w:tab w:val="num" w:pos="1320"/>
        </w:tabs>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hint="eastAsia"/>
        </w:rPr>
        <w:t>法律、行政法规和中国证监会规定禁止的其他行为。</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cs="Arial"/>
          <w:kern w:val="0"/>
          <w:szCs w:val="21"/>
        </w:rPr>
        <w:t>3</w:t>
      </w:r>
      <w:r w:rsidR="00552BE1" w:rsidRPr="00565E0D">
        <w:rPr>
          <w:rFonts w:asciiTheme="minorEastAsia" w:eastAsiaTheme="minorEastAsia" w:hAnsiTheme="minorEastAsia" w:hint="eastAsia"/>
          <w:kern w:val="0"/>
          <w:szCs w:val="21"/>
        </w:rPr>
        <w:t>、</w:t>
      </w:r>
      <w:r w:rsidRPr="00565E0D">
        <w:rPr>
          <w:rFonts w:asciiTheme="minorEastAsia" w:eastAsiaTheme="minorEastAsia" w:hAnsiTheme="minorEastAsia" w:hint="eastAsia"/>
          <w:kern w:val="0"/>
          <w:szCs w:val="21"/>
        </w:rPr>
        <w:t>本基金管理人承诺加强人员管理，强化职业操守，督促和约束员工遵守国家有关法律、法规及行业规范，诚实信用、勤勉尽责，不从事以下活动：</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w:t>
      </w:r>
      <w:r w:rsidRPr="00565E0D">
        <w:rPr>
          <w:rFonts w:asciiTheme="minorEastAsia" w:eastAsiaTheme="minorEastAsia" w:hAnsiTheme="minorEastAsia" w:cs="Arial"/>
          <w:kern w:val="0"/>
          <w:szCs w:val="21"/>
        </w:rPr>
        <w:t>1</w:t>
      </w:r>
      <w:r w:rsidRPr="00565E0D">
        <w:rPr>
          <w:rFonts w:asciiTheme="minorEastAsia" w:eastAsiaTheme="minorEastAsia" w:hAnsiTheme="minorEastAsia" w:hint="eastAsia"/>
          <w:kern w:val="0"/>
          <w:szCs w:val="21"/>
        </w:rPr>
        <w:t>）越权或违规经营；</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w:t>
      </w:r>
      <w:r w:rsidRPr="00565E0D">
        <w:rPr>
          <w:rFonts w:asciiTheme="minorEastAsia" w:eastAsiaTheme="minorEastAsia" w:hAnsiTheme="minorEastAsia" w:cs="Arial"/>
          <w:kern w:val="0"/>
          <w:szCs w:val="21"/>
        </w:rPr>
        <w:t>2</w:t>
      </w:r>
      <w:r w:rsidRPr="00565E0D">
        <w:rPr>
          <w:rFonts w:asciiTheme="minorEastAsia" w:eastAsiaTheme="minorEastAsia" w:hAnsiTheme="minorEastAsia" w:hint="eastAsia"/>
          <w:kern w:val="0"/>
          <w:szCs w:val="21"/>
        </w:rPr>
        <w:t>）违反基金合同或托管协议；</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w:t>
      </w:r>
      <w:r w:rsidRPr="00565E0D">
        <w:rPr>
          <w:rFonts w:asciiTheme="minorEastAsia" w:eastAsiaTheme="minorEastAsia" w:hAnsiTheme="minorEastAsia" w:cs="Arial"/>
          <w:kern w:val="0"/>
          <w:szCs w:val="21"/>
        </w:rPr>
        <w:t>3</w:t>
      </w:r>
      <w:r w:rsidRPr="00565E0D">
        <w:rPr>
          <w:rFonts w:asciiTheme="minorEastAsia" w:eastAsiaTheme="minorEastAsia" w:hAnsiTheme="minorEastAsia" w:hint="eastAsia"/>
          <w:kern w:val="0"/>
          <w:szCs w:val="21"/>
        </w:rPr>
        <w:t>）故意损害基金份额持有人或其他基金相关机构的合法利益；</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w:t>
      </w:r>
      <w:r w:rsidRPr="00565E0D">
        <w:rPr>
          <w:rFonts w:asciiTheme="minorEastAsia" w:eastAsiaTheme="minorEastAsia" w:hAnsiTheme="minorEastAsia" w:cs="Arial"/>
          <w:kern w:val="0"/>
          <w:szCs w:val="21"/>
        </w:rPr>
        <w:t>4</w:t>
      </w:r>
      <w:r w:rsidRPr="00565E0D">
        <w:rPr>
          <w:rFonts w:asciiTheme="minorEastAsia" w:eastAsiaTheme="minorEastAsia" w:hAnsiTheme="minorEastAsia" w:hint="eastAsia"/>
          <w:kern w:val="0"/>
          <w:szCs w:val="21"/>
        </w:rPr>
        <w:t>）在向中国证监会报送的资料中弄虚作假；</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w:t>
      </w:r>
      <w:r w:rsidRPr="00565E0D">
        <w:rPr>
          <w:rFonts w:asciiTheme="minorEastAsia" w:eastAsiaTheme="minorEastAsia" w:hAnsiTheme="minorEastAsia" w:cs="Arial"/>
          <w:kern w:val="0"/>
          <w:szCs w:val="21"/>
        </w:rPr>
        <w:t>5</w:t>
      </w:r>
      <w:r w:rsidRPr="00565E0D">
        <w:rPr>
          <w:rFonts w:asciiTheme="minorEastAsia" w:eastAsiaTheme="minorEastAsia" w:hAnsiTheme="minorEastAsia" w:hint="eastAsia"/>
          <w:kern w:val="0"/>
          <w:szCs w:val="21"/>
        </w:rPr>
        <w:t>）拒绝、干扰、阻挠或严重影响中国证监会依法监管；</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w:t>
      </w:r>
      <w:r w:rsidRPr="00565E0D">
        <w:rPr>
          <w:rFonts w:asciiTheme="minorEastAsia" w:eastAsiaTheme="minorEastAsia" w:hAnsiTheme="minorEastAsia" w:cs="Arial"/>
          <w:kern w:val="0"/>
          <w:szCs w:val="21"/>
        </w:rPr>
        <w:t>6</w:t>
      </w:r>
      <w:r w:rsidRPr="00565E0D">
        <w:rPr>
          <w:rFonts w:asciiTheme="minorEastAsia" w:eastAsiaTheme="minorEastAsia" w:hAnsiTheme="minorEastAsia" w:hint="eastAsia"/>
          <w:kern w:val="0"/>
          <w:szCs w:val="21"/>
        </w:rPr>
        <w:t>）玩忽职守、滥用职权；</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w:t>
      </w:r>
      <w:r w:rsidRPr="00565E0D">
        <w:rPr>
          <w:rFonts w:asciiTheme="minorEastAsia" w:eastAsiaTheme="minorEastAsia" w:hAnsiTheme="minorEastAsia" w:cs="Arial"/>
          <w:kern w:val="0"/>
          <w:szCs w:val="21"/>
        </w:rPr>
        <w:t>7</w:t>
      </w:r>
      <w:r w:rsidRPr="00565E0D">
        <w:rPr>
          <w:rFonts w:asciiTheme="minorEastAsia" w:eastAsiaTheme="minorEastAsia" w:hAnsiTheme="minorEastAsia" w:hint="eastAsia"/>
          <w:kern w:val="0"/>
          <w:szCs w:val="21"/>
        </w:rPr>
        <w:t>）违反现行有效的有关法律、法规、规章、基金合同和中国证监会的有关规定，泄漏在任职期间知悉的有关证券、基金的商业秘密，尚未依法公开的基金投资内容、基金投资计划等信息；</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（8）违反证券交易场所业务规则，利用对敲、倒仓等手段操纵市场价格，扰乱市场秩序；</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（9）贬损同行，以抬高自己；</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w:t>
      </w:r>
      <w:r w:rsidRPr="00565E0D">
        <w:rPr>
          <w:rFonts w:asciiTheme="minorEastAsia" w:eastAsiaTheme="minorEastAsia" w:hAnsiTheme="minorEastAsia"/>
          <w:kern w:val="0"/>
          <w:szCs w:val="21"/>
        </w:rPr>
        <w:t>1</w:t>
      </w:r>
      <w:r w:rsidRPr="00565E0D">
        <w:rPr>
          <w:rFonts w:asciiTheme="minorEastAsia" w:eastAsiaTheme="minorEastAsia" w:hAnsiTheme="minorEastAsia" w:hint="eastAsia"/>
          <w:kern w:val="0"/>
          <w:szCs w:val="21"/>
        </w:rPr>
        <w:t>0）以不正当手段谋求业务发展；</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w:t>
      </w:r>
      <w:r w:rsidRPr="00565E0D">
        <w:rPr>
          <w:rFonts w:asciiTheme="minorEastAsia" w:eastAsiaTheme="minorEastAsia" w:hAnsiTheme="minorEastAsia"/>
          <w:kern w:val="0"/>
          <w:szCs w:val="21"/>
        </w:rPr>
        <w:t>1</w:t>
      </w:r>
      <w:r w:rsidRPr="00565E0D">
        <w:rPr>
          <w:rFonts w:asciiTheme="minorEastAsia" w:eastAsiaTheme="minorEastAsia" w:hAnsiTheme="minorEastAsia" w:hint="eastAsia"/>
          <w:kern w:val="0"/>
          <w:szCs w:val="21"/>
        </w:rPr>
        <w:t>1）有悖社会公德，损害证券投资基金人员形象；</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（12）在公开信息披露和广告中故意含有虚假、误导、欺诈成分；</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w:t>
      </w:r>
      <w:r w:rsidRPr="00565E0D">
        <w:rPr>
          <w:rFonts w:asciiTheme="minorEastAsia" w:eastAsiaTheme="minorEastAsia" w:hAnsiTheme="minorEastAsia"/>
          <w:kern w:val="0"/>
          <w:szCs w:val="21"/>
        </w:rPr>
        <w:t>1</w:t>
      </w:r>
      <w:r w:rsidRPr="00565E0D">
        <w:rPr>
          <w:rFonts w:asciiTheme="minorEastAsia" w:eastAsiaTheme="minorEastAsia" w:hAnsiTheme="minorEastAsia" w:hint="eastAsia"/>
          <w:kern w:val="0"/>
          <w:szCs w:val="21"/>
        </w:rPr>
        <w:t>3）其他法律、行政法规以及中国证监会禁止的行为。</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cs="Arial"/>
          <w:kern w:val="0"/>
          <w:szCs w:val="21"/>
        </w:rPr>
        <w:t>4</w:t>
      </w:r>
      <w:r w:rsidR="00552BE1" w:rsidRPr="00565E0D">
        <w:rPr>
          <w:rFonts w:asciiTheme="minorEastAsia" w:eastAsiaTheme="minorEastAsia" w:hAnsiTheme="minorEastAsia" w:hint="eastAsia"/>
          <w:kern w:val="0"/>
          <w:szCs w:val="21"/>
        </w:rPr>
        <w:t>、</w:t>
      </w:r>
      <w:r w:rsidRPr="00565E0D">
        <w:rPr>
          <w:rFonts w:asciiTheme="minorEastAsia" w:eastAsiaTheme="minorEastAsia" w:hAnsiTheme="minorEastAsia" w:hint="eastAsia"/>
          <w:kern w:val="0"/>
          <w:szCs w:val="21"/>
        </w:rPr>
        <w:t>基金经理承诺</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lastRenderedPageBreak/>
        <w:t>（</w:t>
      </w:r>
      <w:r w:rsidRPr="00565E0D">
        <w:rPr>
          <w:rFonts w:asciiTheme="minorEastAsia" w:eastAsiaTheme="minorEastAsia" w:hAnsiTheme="minorEastAsia" w:cs="Arial"/>
          <w:kern w:val="0"/>
          <w:szCs w:val="21"/>
        </w:rPr>
        <w:t>1</w:t>
      </w:r>
      <w:r w:rsidRPr="00565E0D">
        <w:rPr>
          <w:rFonts w:asciiTheme="minorEastAsia" w:eastAsiaTheme="minorEastAsia" w:hAnsiTheme="minorEastAsia" w:hint="eastAsia"/>
          <w:kern w:val="0"/>
          <w:szCs w:val="21"/>
        </w:rPr>
        <w:t>）依照有关法律、法规和基金合同的规定，本着谨慎的原则为基金份额持有人谋取最大利益；</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w:t>
      </w:r>
      <w:r w:rsidRPr="00565E0D">
        <w:rPr>
          <w:rFonts w:asciiTheme="minorEastAsia" w:eastAsiaTheme="minorEastAsia" w:hAnsiTheme="minorEastAsia" w:cs="Arial"/>
          <w:kern w:val="0"/>
          <w:szCs w:val="21"/>
        </w:rPr>
        <w:t>2</w:t>
      </w:r>
      <w:r w:rsidRPr="00565E0D">
        <w:rPr>
          <w:rFonts w:asciiTheme="minorEastAsia" w:eastAsiaTheme="minorEastAsia" w:hAnsiTheme="minorEastAsia" w:hint="eastAsia"/>
          <w:kern w:val="0"/>
          <w:szCs w:val="21"/>
        </w:rPr>
        <w:t>）不利用职务之便为自己及其代理人、受雇人或任何第三人谋取利益；</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565E0D">
        <w:rPr>
          <w:rFonts w:asciiTheme="minorEastAsia" w:eastAsiaTheme="minorEastAsia" w:hAnsiTheme="minorEastAsia" w:hint="eastAsia"/>
          <w:kern w:val="0"/>
        </w:rPr>
        <w:t>（</w:t>
      </w:r>
      <w:r w:rsidRPr="00565E0D">
        <w:rPr>
          <w:rFonts w:asciiTheme="minorEastAsia" w:eastAsiaTheme="minorEastAsia" w:hAnsiTheme="minorEastAsia" w:cs="Arial"/>
          <w:kern w:val="0"/>
        </w:rPr>
        <w:t>3</w:t>
      </w:r>
      <w:r w:rsidRPr="00565E0D">
        <w:rPr>
          <w:rFonts w:asciiTheme="minorEastAsia" w:eastAsiaTheme="minorEastAsia" w:hAnsiTheme="minorEastAsia" w:hint="eastAsia"/>
          <w:kern w:val="0"/>
        </w:rPr>
        <w:t>）不</w:t>
      </w:r>
      <w:r w:rsidRPr="00565E0D">
        <w:rPr>
          <w:rFonts w:asciiTheme="minorEastAsia" w:eastAsiaTheme="minorEastAsia" w:hAnsiTheme="minorEastAsia" w:hint="eastAsia"/>
          <w:kern w:val="0"/>
          <w:szCs w:val="21"/>
        </w:rPr>
        <w:t>违</w:t>
      </w:r>
      <w:r w:rsidRPr="00565E0D">
        <w:rPr>
          <w:rFonts w:asciiTheme="minorEastAsia" w:eastAsiaTheme="minorEastAsia" w:hAnsiTheme="minorEastAsia" w:hint="eastAsia"/>
          <w:kern w:val="0"/>
        </w:rPr>
        <w:t>反现行有效的有关法律、法规、规章、基金合同和中国证监会的有关规定，泄漏在任职期间知悉的有关证券、基金的商业秘密、尚未依法公开的基金投资内容、基金投资计划等信息；</w:t>
      </w: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kern w:val="0"/>
        </w:rPr>
      </w:pPr>
      <w:r w:rsidRPr="00565E0D">
        <w:rPr>
          <w:rFonts w:asciiTheme="minorEastAsia" w:eastAsiaTheme="minorEastAsia" w:hAnsiTheme="minorEastAsia" w:hint="eastAsia"/>
          <w:kern w:val="0"/>
        </w:rPr>
        <w:t>（4）不</w:t>
      </w:r>
      <w:r w:rsidRPr="00565E0D">
        <w:rPr>
          <w:rFonts w:asciiTheme="minorEastAsia" w:eastAsiaTheme="minorEastAsia" w:hAnsiTheme="minorEastAsia"/>
          <w:kern w:val="0"/>
        </w:rPr>
        <w:t>从事损害基金财产和基金份额持有人利益的证券交易及其他活动。</w:t>
      </w:r>
    </w:p>
    <w:p w:rsidR="00C35BC5" w:rsidRPr="00565E0D" w:rsidRDefault="00C35BC5" w:rsidP="00B5132A">
      <w:pPr>
        <w:pStyle w:val="2"/>
        <w:snapToGrid w:val="0"/>
        <w:spacing w:beforeLines="0" w:afterLines="0" w:line="360" w:lineRule="auto"/>
        <w:ind w:firstLineChars="0" w:firstLine="0"/>
        <w:rPr>
          <w:rStyle w:val="da"/>
          <w:rFonts w:asciiTheme="minorEastAsia" w:eastAsiaTheme="minorEastAsia" w:hAnsiTheme="minorEastAsia"/>
          <w:sz w:val="24"/>
          <w:szCs w:val="24"/>
        </w:rPr>
      </w:pPr>
      <w:bookmarkStart w:id="10" w:name="_Toc38551167"/>
      <w:r w:rsidRPr="00565E0D">
        <w:rPr>
          <w:rFonts w:asciiTheme="minorEastAsia" w:eastAsiaTheme="minorEastAsia" w:hAnsiTheme="minorEastAsia" w:hint="eastAsia"/>
          <w:bCs/>
          <w:sz w:val="24"/>
          <w:szCs w:val="24"/>
        </w:rPr>
        <w:t>（五）</w:t>
      </w:r>
      <w:r w:rsidRPr="00565E0D">
        <w:rPr>
          <w:rFonts w:asciiTheme="minorEastAsia" w:eastAsiaTheme="minorEastAsia" w:hAnsiTheme="minorEastAsia"/>
          <w:bCs/>
          <w:sz w:val="24"/>
          <w:szCs w:val="24"/>
        </w:rPr>
        <w:t>基金管理人的内部控制制度</w:t>
      </w:r>
      <w:bookmarkEnd w:id="10"/>
    </w:p>
    <w:p w:rsidR="00C35BC5" w:rsidRPr="00565E0D" w:rsidRDefault="00C35BC5" w:rsidP="00552BE1">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为保证公司规范化运作，有效地防范和化解经营风险，促进公司诚信、合法、有效经营，保障基金份额持有人利益，维护公司及公司股东的合法权益，本基金管理人建立了科学、严密、高效的内部控制体系。</w:t>
      </w:r>
    </w:p>
    <w:p w:rsidR="00C35BC5" w:rsidRPr="00565E0D" w:rsidRDefault="00552BE1" w:rsidP="00C9149F">
      <w:pPr>
        <w:pStyle w:val="CharCharCharCharCharCharChar"/>
        <w:numPr>
          <w:ilvl w:val="0"/>
          <w:numId w:val="0"/>
        </w:numPr>
        <w:adjustRightInd w:val="0"/>
        <w:snapToGrid w:val="0"/>
        <w:spacing w:after="0" w:line="360" w:lineRule="auto"/>
        <w:ind w:left="420"/>
        <w:textAlignment w:val="baseline"/>
        <w:rPr>
          <w:rFonts w:asciiTheme="minorEastAsia" w:eastAsiaTheme="minorEastAsia" w:hAnsiTheme="minorEastAsia" w:cs="仿宋_GB2312"/>
          <w:b/>
          <w:bCs/>
          <w:kern w:val="0"/>
          <w:sz w:val="21"/>
          <w:szCs w:val="21"/>
        </w:rPr>
      </w:pPr>
      <w:r w:rsidRPr="00565E0D">
        <w:rPr>
          <w:rFonts w:asciiTheme="minorEastAsia" w:eastAsiaTheme="minorEastAsia" w:hAnsiTheme="minorEastAsia" w:cs="仿宋_GB2312" w:hint="eastAsia"/>
          <w:b/>
          <w:bCs/>
          <w:kern w:val="0"/>
          <w:sz w:val="21"/>
          <w:szCs w:val="21"/>
        </w:rPr>
        <w:t>1、</w:t>
      </w:r>
      <w:r w:rsidR="00C35BC5" w:rsidRPr="00565E0D">
        <w:rPr>
          <w:rFonts w:asciiTheme="minorEastAsia" w:eastAsiaTheme="minorEastAsia" w:hAnsiTheme="minorEastAsia" w:cs="仿宋_GB2312" w:hint="eastAsia"/>
          <w:b/>
          <w:bCs/>
          <w:kern w:val="0"/>
          <w:sz w:val="21"/>
          <w:szCs w:val="21"/>
        </w:rPr>
        <w:t>公司内部控制的总体目标</w:t>
      </w:r>
    </w:p>
    <w:p w:rsidR="00C35BC5" w:rsidRPr="00565E0D" w:rsidRDefault="00C35BC5" w:rsidP="00552BE1">
      <w:pPr>
        <w:numPr>
          <w:ilvl w:val="1"/>
          <w:numId w:val="10"/>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保证公司经营管理活动的合法合规性；</w:t>
      </w:r>
    </w:p>
    <w:p w:rsidR="00C35BC5" w:rsidRPr="00565E0D" w:rsidRDefault="00C35BC5" w:rsidP="00552BE1">
      <w:pPr>
        <w:numPr>
          <w:ilvl w:val="1"/>
          <w:numId w:val="10"/>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保证基金份额持有人的合法权益不受侵犯；</w:t>
      </w:r>
    </w:p>
    <w:p w:rsidR="00C35BC5" w:rsidRPr="00565E0D" w:rsidRDefault="00C35BC5" w:rsidP="00552BE1">
      <w:pPr>
        <w:numPr>
          <w:ilvl w:val="1"/>
          <w:numId w:val="10"/>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实现公司稳健、持续发展，维护股东权益；</w:t>
      </w:r>
    </w:p>
    <w:p w:rsidR="00C35BC5" w:rsidRPr="00565E0D" w:rsidRDefault="00C35BC5" w:rsidP="00552BE1">
      <w:pPr>
        <w:numPr>
          <w:ilvl w:val="1"/>
          <w:numId w:val="10"/>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促进公司全体员工恪守职业操守，正直诚信，廉洁自律，勤勉尽责；</w:t>
      </w:r>
    </w:p>
    <w:p w:rsidR="00C35BC5" w:rsidRPr="00565E0D" w:rsidRDefault="00C35BC5" w:rsidP="00552BE1">
      <w:pPr>
        <w:numPr>
          <w:ilvl w:val="1"/>
          <w:numId w:val="10"/>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保护公司最重要的资本：公司声誉。</w:t>
      </w:r>
    </w:p>
    <w:p w:rsidR="00C35BC5" w:rsidRPr="00565E0D" w:rsidRDefault="00552BE1" w:rsidP="00552BE1">
      <w:pPr>
        <w:tabs>
          <w:tab w:val="left" w:pos="735"/>
        </w:tabs>
        <w:snapToGrid w:val="0"/>
        <w:spacing w:line="360" w:lineRule="auto"/>
        <w:ind w:left="420"/>
        <w:rPr>
          <w:rFonts w:asciiTheme="minorEastAsia" w:eastAsiaTheme="minorEastAsia" w:hAnsiTheme="minorEastAsia"/>
          <w:b/>
          <w:bCs/>
          <w:szCs w:val="21"/>
        </w:rPr>
      </w:pPr>
      <w:r w:rsidRPr="00565E0D">
        <w:rPr>
          <w:rFonts w:asciiTheme="minorEastAsia" w:eastAsiaTheme="minorEastAsia" w:hAnsiTheme="minorEastAsia" w:hint="eastAsia"/>
          <w:b/>
          <w:szCs w:val="21"/>
        </w:rPr>
        <w:t>2、</w:t>
      </w:r>
      <w:r w:rsidR="00C35BC5" w:rsidRPr="00565E0D">
        <w:rPr>
          <w:rFonts w:asciiTheme="minorEastAsia" w:eastAsiaTheme="minorEastAsia" w:hAnsiTheme="minorEastAsia" w:hint="eastAsia"/>
          <w:b/>
          <w:bCs/>
        </w:rPr>
        <w:t>公司内部控制遵循的原则</w:t>
      </w:r>
    </w:p>
    <w:p w:rsidR="00C35BC5" w:rsidRPr="00565E0D" w:rsidRDefault="00C35BC5" w:rsidP="00552BE1">
      <w:pPr>
        <w:numPr>
          <w:ilvl w:val="0"/>
          <w:numId w:val="35"/>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全面性原则：内部控制必须覆盖公司的所有部门和岗位，渗透各项业务过程和业务环节，并普遍适用于公司每一位职员；</w:t>
      </w:r>
    </w:p>
    <w:p w:rsidR="00C35BC5" w:rsidRPr="00565E0D" w:rsidRDefault="00C35BC5" w:rsidP="00552BE1">
      <w:pPr>
        <w:numPr>
          <w:ilvl w:val="0"/>
          <w:numId w:val="35"/>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审慎性原则：内部控制的核心是有效防范各种风险，公司组织体系的构成、内部管理制度的建立都要以防范风险、审慎经营为出发点；</w:t>
      </w:r>
    </w:p>
    <w:p w:rsidR="00C35BC5" w:rsidRPr="00565E0D" w:rsidRDefault="00C35BC5" w:rsidP="00552BE1">
      <w:pPr>
        <w:numPr>
          <w:ilvl w:val="0"/>
          <w:numId w:val="35"/>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相互制约原则：公司设置的各部门、各岗位权责分明、相互制衡。</w:t>
      </w:r>
    </w:p>
    <w:p w:rsidR="00C35BC5" w:rsidRPr="00565E0D" w:rsidRDefault="00C35BC5" w:rsidP="00552BE1">
      <w:pPr>
        <w:numPr>
          <w:ilvl w:val="0"/>
          <w:numId w:val="35"/>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独立性原则：公司根据业务的需要设立相对独立的机构、部门和岗位；公司内部部门和岗位的设置必须权责分明；</w:t>
      </w:r>
    </w:p>
    <w:p w:rsidR="00C35BC5" w:rsidRPr="00565E0D" w:rsidRDefault="00C35BC5" w:rsidP="00552BE1">
      <w:pPr>
        <w:numPr>
          <w:ilvl w:val="0"/>
          <w:numId w:val="35"/>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有效性原则：各种内部管理制度具有高度的权威性，应是所有员工严格遵守的行动指南；执行内部管理制度不能有任何例外，任何人不得拥有超越制度或违反规章的权力；</w:t>
      </w:r>
    </w:p>
    <w:p w:rsidR="00C35BC5" w:rsidRPr="00565E0D" w:rsidRDefault="00C35BC5" w:rsidP="00552BE1">
      <w:pPr>
        <w:numPr>
          <w:ilvl w:val="0"/>
          <w:numId w:val="35"/>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适时性原则：内部控制应具有前瞻性，并且必须随着公司经营战略、经营方针、经营理念等内部环境的变化和国家法律、法规、政策制度等外部环境的改变及时进行相应的修改和完善；</w:t>
      </w:r>
    </w:p>
    <w:p w:rsidR="00C35BC5" w:rsidRPr="00565E0D" w:rsidRDefault="00C35BC5" w:rsidP="00552BE1">
      <w:pPr>
        <w:numPr>
          <w:ilvl w:val="0"/>
          <w:numId w:val="35"/>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成本效益原则：公司运用科学化的经营管理方法降低运作成本，提高经济效益，力争以合理的控制成本达到最佳的内部控制效果。</w:t>
      </w:r>
    </w:p>
    <w:p w:rsidR="00C35BC5" w:rsidRPr="00565E0D" w:rsidRDefault="00552BE1" w:rsidP="00552BE1">
      <w:pPr>
        <w:tabs>
          <w:tab w:val="left" w:pos="735"/>
        </w:tabs>
        <w:snapToGrid w:val="0"/>
        <w:spacing w:line="360" w:lineRule="auto"/>
        <w:ind w:left="420"/>
        <w:rPr>
          <w:rFonts w:asciiTheme="minorEastAsia" w:eastAsiaTheme="minorEastAsia" w:hAnsiTheme="minorEastAsia"/>
          <w:b/>
          <w:bCs/>
        </w:rPr>
      </w:pPr>
      <w:r w:rsidRPr="00565E0D">
        <w:rPr>
          <w:rFonts w:asciiTheme="minorEastAsia" w:eastAsiaTheme="minorEastAsia" w:hAnsiTheme="minorEastAsia" w:hint="eastAsia"/>
          <w:b/>
          <w:szCs w:val="21"/>
        </w:rPr>
        <w:t>3、</w:t>
      </w:r>
      <w:r w:rsidR="00C35BC5" w:rsidRPr="00565E0D">
        <w:rPr>
          <w:rFonts w:asciiTheme="minorEastAsia" w:eastAsiaTheme="minorEastAsia" w:hAnsiTheme="minorEastAsia" w:hint="eastAsia"/>
          <w:b/>
          <w:bCs/>
        </w:rPr>
        <w:t>内部控制的制度体系</w:t>
      </w:r>
    </w:p>
    <w:p w:rsidR="00C35BC5" w:rsidRPr="00565E0D" w:rsidRDefault="00C35BC5" w:rsidP="00552BE1">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公司制定了合理、完备、有效并易于执行的制度体系。公司制度体系由不同层面的制度构成。按照其效力大小分为四个层面：第一个层面是公司章程；第二个层面是公司内部控制大纲，它是公司制定各项规章制度的基础和依据；第三个层面是公司基本管理制度；第四个层面是公司各机构、部门根据业务需要制定的各种制度及实施细则等。它们的制订、修改、实施、废止应该遵循相应的程序，每一层面的内容不得与其以上层面的内容相违背。公司重视对制度的持续检验，结合业务的发展、法规及监管环境的变化以及公司风险控制的要求，不断检讨和增强公司制度的完备性、有效性。</w:t>
      </w:r>
    </w:p>
    <w:p w:rsidR="00C35BC5" w:rsidRPr="00565E0D" w:rsidRDefault="00552BE1" w:rsidP="00552BE1">
      <w:pPr>
        <w:tabs>
          <w:tab w:val="left" w:pos="735"/>
        </w:tabs>
        <w:snapToGrid w:val="0"/>
        <w:spacing w:line="360" w:lineRule="auto"/>
        <w:ind w:left="420"/>
        <w:rPr>
          <w:rFonts w:asciiTheme="minorEastAsia" w:eastAsiaTheme="minorEastAsia" w:hAnsiTheme="minorEastAsia"/>
          <w:b/>
          <w:bCs/>
        </w:rPr>
      </w:pPr>
      <w:r w:rsidRPr="00565E0D">
        <w:rPr>
          <w:rFonts w:asciiTheme="minorEastAsia" w:eastAsiaTheme="minorEastAsia" w:hAnsiTheme="minorEastAsia" w:hint="eastAsia"/>
          <w:b/>
          <w:szCs w:val="21"/>
        </w:rPr>
        <w:t>4、</w:t>
      </w:r>
      <w:r w:rsidR="00C35BC5" w:rsidRPr="00565E0D">
        <w:rPr>
          <w:rFonts w:asciiTheme="minorEastAsia" w:eastAsiaTheme="minorEastAsia" w:hAnsiTheme="minorEastAsia" w:hint="eastAsia"/>
          <w:b/>
          <w:bCs/>
        </w:rPr>
        <w:t>关于授权、研究、投资、交易等方面的控制点</w:t>
      </w:r>
    </w:p>
    <w:p w:rsidR="00C35BC5" w:rsidRPr="00565E0D" w:rsidRDefault="00C35BC5" w:rsidP="00552BE1">
      <w:pPr>
        <w:numPr>
          <w:ilvl w:val="0"/>
          <w:numId w:val="36"/>
        </w:numPr>
        <w:tabs>
          <w:tab w:val="left" w:pos="735"/>
        </w:tabs>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rPr>
        <w:t>授权制度</w:t>
      </w:r>
    </w:p>
    <w:p w:rsidR="00C35BC5" w:rsidRPr="00565E0D" w:rsidRDefault="00C35BC5" w:rsidP="00552BE1">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公司的授权制度贯穿于整个公司活动。股东会、董事会、监事会和管理层必须充分履行各自的职权，健全公司逐级授权制度，确保公司各项规章制度的贯彻执行；各项经营业务和管理程序必须遵从管理层制定的操作规程，经办人员的每一项工作必须是在业务授权范围内进行。公司重大业务的授权必须采取书面形式，授权书应当明确授权内容和时效。公司授权要适当，对已获授权的部门和人员应建立有效的评价和反馈机制，对已不适用的授权应及时修改或取消授权。</w:t>
      </w:r>
    </w:p>
    <w:p w:rsidR="00C35BC5" w:rsidRPr="00565E0D" w:rsidRDefault="00C35BC5" w:rsidP="00552BE1">
      <w:pPr>
        <w:numPr>
          <w:ilvl w:val="0"/>
          <w:numId w:val="36"/>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公司研究业务</w:t>
      </w:r>
    </w:p>
    <w:p w:rsidR="00C35BC5" w:rsidRPr="00565E0D" w:rsidRDefault="00C35BC5" w:rsidP="00552BE1">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研究工作应保持独立、客观，不受任何部门及个人的不正当影响；建立严密的研究工作业务流程，形成科学、有效的研究方法；建立投资产品备选库制度，研究部门根据投资产品的特征，在充分研究的基础上建立和维护备选库。建立研究与投资的业务交流制度，保持畅通的交流渠道；建立研究报告质量评价体系，不断提高研究水平。</w:t>
      </w:r>
    </w:p>
    <w:p w:rsidR="00C35BC5" w:rsidRPr="00565E0D" w:rsidRDefault="00C35BC5" w:rsidP="00552BE1">
      <w:pPr>
        <w:numPr>
          <w:ilvl w:val="0"/>
          <w:numId w:val="36"/>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基金投资业务</w:t>
      </w:r>
    </w:p>
    <w:p w:rsidR="00C35BC5" w:rsidRPr="00565E0D" w:rsidRDefault="00C35BC5" w:rsidP="00552BE1">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基金投资应确立科学的投资理念，根据决策的风险防范原则和效率性原则制定合理的决策程序；在进行投资时应有明确的投资授权制度，并应建立与所授权限相应的约束制度和考核制度。建立严格的投资禁止和投资限制制度，保证基金投资的合法合规性。建立投资风险评估与管理制度，将重点投资限制在规定的风险权限额度内；对于投资结果建立科学的投资管理业绩评价体系。</w:t>
      </w:r>
    </w:p>
    <w:p w:rsidR="00C35BC5" w:rsidRPr="00565E0D" w:rsidRDefault="00C35BC5" w:rsidP="00552BE1">
      <w:pPr>
        <w:numPr>
          <w:ilvl w:val="0"/>
          <w:numId w:val="36"/>
        </w:numPr>
        <w:tabs>
          <w:tab w:val="left" w:pos="735"/>
        </w:tabs>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rPr>
        <w:t>交易业务</w:t>
      </w:r>
    </w:p>
    <w:p w:rsidR="00C35BC5" w:rsidRPr="00565E0D" w:rsidRDefault="00C35BC5" w:rsidP="00552BE1">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建立集中交易室和集中交易制度，投资指令通过集中交易室完成；应建立交易监测系统、预警系统和交易反馈系统，完善相关的安全设施；集中交易室应对交易指令进行审核，建立公平的交易分配制度，确保各基金利益的公平；交易记录应完善，并及时进行反馈、核对和存档保管；同时应建立科学的投资交易绩效评价体系。</w:t>
      </w:r>
    </w:p>
    <w:p w:rsidR="00C35BC5" w:rsidRPr="00565E0D" w:rsidRDefault="00C35BC5" w:rsidP="00552BE1">
      <w:pPr>
        <w:numPr>
          <w:ilvl w:val="0"/>
          <w:numId w:val="36"/>
        </w:numPr>
        <w:tabs>
          <w:tab w:val="left" w:pos="735"/>
        </w:tabs>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rPr>
        <w:t>基金会计核算</w:t>
      </w:r>
    </w:p>
    <w:p w:rsidR="00C35BC5" w:rsidRPr="00565E0D" w:rsidRDefault="00C35BC5" w:rsidP="00552BE1">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公司根据法律法规及业务的要求建立会计制度，并根据风险控制点建立严密的会计系统，对于不同基金、不同客户独立建账，独立核算；公司通过复核制度、凭证制度、合理的估值</w:t>
      </w:r>
      <w:r w:rsidRPr="00565E0D">
        <w:rPr>
          <w:rFonts w:asciiTheme="minorEastAsia" w:eastAsiaTheme="minorEastAsia" w:hAnsiTheme="minorEastAsia" w:hint="eastAsia"/>
          <w:szCs w:val="21"/>
        </w:rPr>
        <w:lastRenderedPageBreak/>
        <w:t>方法和估值程序等会计措施真实、完整、及时地记载每一笔业务并正确进行会计核算和业务核算。同时还建立会计档案保管制度，确保档案真实完整。</w:t>
      </w:r>
    </w:p>
    <w:p w:rsidR="00C35BC5" w:rsidRPr="00565E0D" w:rsidRDefault="00C35BC5" w:rsidP="00552BE1">
      <w:pPr>
        <w:numPr>
          <w:ilvl w:val="0"/>
          <w:numId w:val="36"/>
        </w:numPr>
        <w:tabs>
          <w:tab w:val="left" w:pos="735"/>
        </w:tabs>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rPr>
        <w:t>信息披露</w:t>
      </w:r>
    </w:p>
    <w:p w:rsidR="00C35BC5" w:rsidRPr="00565E0D" w:rsidRDefault="00C35BC5" w:rsidP="00552BE1">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公司建立了完善的信息披露制度，保证公开披露的信息真实、准确、完整。公司设立了信息披露负责人，并建立了相应的程序进行信息的收集、组织、审核和发布工作，以此加强对信息的审查核对，使所公布的信息符合法律法规的规定，同时加强对信息披露的检查和评价，对存在的问题及时提出改进办法。</w:t>
      </w:r>
    </w:p>
    <w:p w:rsidR="00C35BC5" w:rsidRPr="00565E0D" w:rsidRDefault="00E054C3" w:rsidP="00552BE1">
      <w:pPr>
        <w:numPr>
          <w:ilvl w:val="0"/>
          <w:numId w:val="36"/>
        </w:numPr>
        <w:tabs>
          <w:tab w:val="left" w:pos="735"/>
        </w:tabs>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rPr>
        <w:t>监察与合规管理</w:t>
      </w:r>
    </w:p>
    <w:p w:rsidR="001924C9" w:rsidRPr="00565E0D" w:rsidRDefault="001924C9" w:rsidP="00D7714F">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公司设立督察长，经董事会聘任，报中国证监会核准。根据公司监察与合规管理工作的需要和董事会授权，督察长可以列席公司相关会议，调阅公司相关档案，就内部控制制度的执行情况独立地履行检查、评价、报告、建议职能。督察长定期和不定期向董事会报告公司内部控制执行情况，董事会对督察长的报告进行审议。</w:t>
      </w:r>
    </w:p>
    <w:p w:rsidR="001924C9" w:rsidRPr="00565E0D" w:rsidRDefault="001924C9" w:rsidP="00D7714F">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公司设立监察合规管理部门开展监察与合规管理工作，并保证监察合规管理部门的独立性和权威性。公司明确了监察合规管理部门及内部各岗位的具体职责，严格制订了专业任职条件、操作程序和组织纪律。</w:t>
      </w:r>
    </w:p>
    <w:p w:rsidR="001924C9" w:rsidRPr="00565E0D" w:rsidRDefault="001924C9" w:rsidP="00D7714F">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监察合规管理部门强化内部检查制度，通过定期或不定期检查内部控制制度的执行情况，促使公司各项经营管理活动的规范运行。</w:t>
      </w:r>
    </w:p>
    <w:p w:rsidR="001924C9" w:rsidRPr="00565E0D" w:rsidRDefault="001924C9" w:rsidP="00D7714F">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公司董事会和管理层充分重视和支持监察与合规管理工作，对违反法律、法规和公司内部控制制度的，追究有关部门和人员的责任。</w:t>
      </w:r>
    </w:p>
    <w:p w:rsidR="00C35BC5" w:rsidRPr="00565E0D" w:rsidRDefault="00552BE1" w:rsidP="00552BE1">
      <w:pPr>
        <w:tabs>
          <w:tab w:val="left" w:pos="735"/>
        </w:tabs>
        <w:snapToGrid w:val="0"/>
        <w:spacing w:line="360" w:lineRule="auto"/>
        <w:ind w:left="420"/>
        <w:rPr>
          <w:rFonts w:asciiTheme="minorEastAsia" w:eastAsiaTheme="minorEastAsia" w:hAnsiTheme="minorEastAsia"/>
          <w:b/>
          <w:bCs/>
        </w:rPr>
      </w:pPr>
      <w:r w:rsidRPr="00565E0D">
        <w:rPr>
          <w:rFonts w:asciiTheme="minorEastAsia" w:eastAsiaTheme="minorEastAsia" w:hAnsiTheme="minorEastAsia" w:hint="eastAsia"/>
          <w:b/>
          <w:bCs/>
        </w:rPr>
        <w:t>5、</w:t>
      </w:r>
      <w:r w:rsidR="00C35BC5" w:rsidRPr="00565E0D">
        <w:rPr>
          <w:rFonts w:asciiTheme="minorEastAsia" w:eastAsiaTheme="minorEastAsia" w:hAnsiTheme="minorEastAsia" w:hint="eastAsia"/>
          <w:b/>
          <w:bCs/>
        </w:rPr>
        <w:t>基金管理人关于内部控制制度声明书</w:t>
      </w:r>
    </w:p>
    <w:p w:rsidR="00C35BC5" w:rsidRPr="00565E0D" w:rsidRDefault="00552BE1" w:rsidP="00C9149F">
      <w:pPr>
        <w:tabs>
          <w:tab w:val="left" w:pos="735"/>
        </w:tabs>
        <w:snapToGrid w:val="0"/>
        <w:spacing w:line="360" w:lineRule="auto"/>
        <w:ind w:firstLineChars="150" w:firstLine="315"/>
        <w:rPr>
          <w:rFonts w:asciiTheme="minorEastAsia" w:eastAsiaTheme="minorEastAsia" w:hAnsiTheme="minorEastAsia"/>
        </w:rPr>
      </w:pPr>
      <w:r w:rsidRPr="00565E0D">
        <w:rPr>
          <w:rFonts w:asciiTheme="minorEastAsia" w:eastAsiaTheme="minorEastAsia" w:hAnsiTheme="minorEastAsia" w:hint="eastAsia"/>
        </w:rPr>
        <w:t>（1）</w:t>
      </w:r>
      <w:r w:rsidR="00C35BC5" w:rsidRPr="00565E0D">
        <w:rPr>
          <w:rFonts w:asciiTheme="minorEastAsia" w:eastAsiaTheme="minorEastAsia" w:hAnsiTheme="minorEastAsia" w:hint="eastAsia"/>
        </w:rPr>
        <w:t>本公司承诺以上关于内部控制制度的披露真实、准确；</w:t>
      </w:r>
    </w:p>
    <w:p w:rsidR="00C35BC5" w:rsidRPr="00565E0D" w:rsidRDefault="00552BE1" w:rsidP="00552BE1">
      <w:pPr>
        <w:tabs>
          <w:tab w:val="left" w:pos="735"/>
        </w:tabs>
        <w:snapToGrid w:val="0"/>
        <w:spacing w:line="360" w:lineRule="auto"/>
        <w:ind w:firstLineChars="150" w:firstLine="315"/>
        <w:rPr>
          <w:rFonts w:asciiTheme="minorEastAsia" w:eastAsiaTheme="minorEastAsia" w:hAnsiTheme="minorEastAsia"/>
          <w:szCs w:val="21"/>
        </w:rPr>
      </w:pPr>
      <w:r w:rsidRPr="00565E0D">
        <w:rPr>
          <w:rFonts w:asciiTheme="minorEastAsia" w:eastAsiaTheme="minorEastAsia" w:hAnsiTheme="minorEastAsia" w:hint="eastAsia"/>
        </w:rPr>
        <w:t>（2）</w:t>
      </w:r>
      <w:r w:rsidR="00C35BC5" w:rsidRPr="00565E0D">
        <w:rPr>
          <w:rFonts w:asciiTheme="minorEastAsia" w:eastAsiaTheme="minorEastAsia" w:hAnsiTheme="minorEastAsia" w:hint="eastAsia"/>
        </w:rPr>
        <w:t>本公司承诺根据市场变化和公司业务发展不断完善内部控制制度。</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pgSz w:w="11906" w:h="16838" w:code="9"/>
          <w:pgMar w:top="1440" w:right="1800" w:bottom="1440" w:left="1800" w:header="851" w:footer="992" w:gutter="0"/>
          <w:pgNumType w:start="1"/>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rPr>
      </w:pPr>
      <w:bookmarkStart w:id="11" w:name="_Toc38551168"/>
      <w:r w:rsidRPr="00565E0D">
        <w:rPr>
          <w:rFonts w:asciiTheme="minorEastAsia" w:eastAsiaTheme="minorEastAsia" w:hAnsiTheme="minorEastAsia" w:hint="eastAsia"/>
          <w:b/>
          <w:bCs/>
        </w:rPr>
        <w:lastRenderedPageBreak/>
        <w:t>四、基金托管人</w:t>
      </w:r>
      <w:bookmarkEnd w:id="11"/>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 xml:space="preserve">（一）基金托管人基本情况 </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名称：中国工商银行股份有限公司</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注册地址：北京市西城区复兴门内大街55号</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成立时间：</w:t>
      </w:r>
      <w:r w:rsidRPr="00565E0D">
        <w:rPr>
          <w:rFonts w:asciiTheme="minorEastAsia" w:eastAsiaTheme="minorEastAsia" w:hAnsiTheme="minorEastAsia" w:hint="eastAsia"/>
          <w:spacing w:val="6"/>
        </w:rPr>
        <w:t>1984年1月1日</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法定代表人：陈四清</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注册资本：人民币35,640,625.7089万元</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联系电话：010-66105799</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联系人：郭明</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（二）主要人员情况</w:t>
      </w:r>
    </w:p>
    <w:p w:rsidR="007417EC" w:rsidRPr="00565E0D" w:rsidRDefault="007417EC" w:rsidP="007417EC">
      <w:pPr>
        <w:pStyle w:val="af0"/>
        <w:autoSpaceDE w:val="0"/>
        <w:autoSpaceDN w:val="0"/>
        <w:adjustRightInd w:val="0"/>
        <w:snapToGrid w:val="0"/>
        <w:spacing w:line="360" w:lineRule="auto"/>
        <w:ind w:firstLineChars="200" w:firstLine="444"/>
        <w:rPr>
          <w:rFonts w:asciiTheme="minorEastAsia" w:eastAsiaTheme="minorEastAsia" w:hAnsiTheme="minorEastAsia"/>
          <w:szCs w:val="21"/>
        </w:rPr>
      </w:pPr>
      <w:r w:rsidRPr="00565E0D">
        <w:rPr>
          <w:rFonts w:asciiTheme="minorEastAsia" w:eastAsiaTheme="minorEastAsia" w:hAnsiTheme="minorEastAsia" w:hint="eastAsia"/>
          <w:spacing w:val="6"/>
        </w:rPr>
        <w:t>截至2019年9月，中国工商银行资产托管部共有员工208人，平均年龄33岁，95%以上员工拥有大学本科以上学历，高管人员均拥有研究生以上学历或高级技术职称。</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（三）基金托管业务经营情况</w:t>
      </w:r>
    </w:p>
    <w:p w:rsidR="007417EC" w:rsidRPr="00565E0D" w:rsidRDefault="007417EC" w:rsidP="007417EC">
      <w:pPr>
        <w:pStyle w:val="af0"/>
        <w:autoSpaceDE w:val="0"/>
        <w:autoSpaceDN w:val="0"/>
        <w:adjustRightInd w:val="0"/>
        <w:snapToGrid w:val="0"/>
        <w:spacing w:line="360" w:lineRule="auto"/>
        <w:ind w:firstLineChars="200" w:firstLine="444"/>
        <w:rPr>
          <w:rFonts w:asciiTheme="minorEastAsia" w:eastAsiaTheme="minorEastAsia" w:hAnsiTheme="minorEastAsia"/>
          <w:szCs w:val="21"/>
        </w:rPr>
      </w:pPr>
      <w:r w:rsidRPr="00565E0D">
        <w:rPr>
          <w:rFonts w:asciiTheme="minorEastAsia" w:eastAsiaTheme="minorEastAsia" w:hAnsiTheme="minorEastAsia" w:hint="eastAsia"/>
          <w:spacing w:val="6"/>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2019年9月，中国工商银行共托管证券投资基金1006只。自2003年以来，本行连续十六年获得香港《亚洲货币》、英国《全球托管人》、香港《财资》、美国《环球金融》、内地《证券时报》、《上海证券报》等境内外权威财经媒体评选的68项最佳托管银行大奖；是获得奖项最多的国内托管银行，优良的服务品质获得国内外金融领域的持续认可和广泛好评。</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（四）基金托管人的内部控制制度</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从2005年至今共十二次顺利通过评估组织内部控制</w:t>
      </w:r>
      <w:r w:rsidRPr="00565E0D">
        <w:rPr>
          <w:rFonts w:asciiTheme="minorEastAsia" w:eastAsiaTheme="minorEastAsia" w:hAnsiTheme="minorEastAsia" w:hint="eastAsia"/>
          <w:szCs w:val="21"/>
        </w:rPr>
        <w:lastRenderedPageBreak/>
        <w:t>和安全措施最权威的ISAE3402审阅，全部获得无保留意见的控制及有效性报告。充分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1、内部风险控制目标</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2、内部风险控制组织结构</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3、内部风险控制原则</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（1）合法性原则。内控制度应当符合国家法律法规及监管机构的监管要求，并贯穿于托管业务经营管理活动的始终。</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（2）完整性原则。托管业务的各项经营管理活动都必须有相应的规范程序和监督制约；监督制约应渗透到托管业务的全过程和各个操作环节，覆盖所有的部门、岗位和人员。</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（3）及时性原则。托管业务经营活动必须在发生时能准确及时地记录；按照“内控优先”的原则，新设机构或新增业务品种时，必须做到已建立相关的规章制度。</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（4）审慎性原则。各项业务经营活动必须防范风险，审慎经营，保证基金资产和其他委托资产的安全与完整。</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（5）有效性原则。内控制度应根据国家政策、法律及经营管理的需要适时修改完善，并保证得到全面落实执行，不得有任何空间、时限及人员的例外。</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（6）独立性原则。设立专门履行托管人职责的管理部门；直接操作人员和控制人员必须相对独立，适当分离；内控制度的检查、评价部门必须独立于内控制度的制定和执行部门。</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4、内部风险控制措施实施</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（4）经营控制。资产托管部通过制定计划、编制预算等方法开展各种业务营销活动、处理各项事务，从而有效地控制和配置组织资源，达到资源利用和效益最大化目的。</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5）内部风险管理。资产托管部通过稽核监察、风险评估等方式加强内部风险管理，定期或不定期地对业务运作状况进行检查、监控，指导业务部门进行风险识别、评估，制定并实施风险控制措施，排查风险隐患。</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（6）数据安全控制。我们通过业务操作区相对独立、数据和传真加密、数据传输线路的冗余备份、监控设施的运用和保障等措施来保障数据安全。</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5、资产托管部内部风险控制情况</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（1）资产托管部内部设置专职稽核监察部门，配备专职稽核监察人员，在总经理的直接领导下，依照有关法律规章，全面贯彻落实全程监控思想，确保资产托管业务健康、稳定地发展。</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（4）内部风险控制始终是托管部工作重点之一，保持与业务发展同等地位。资产托管业务是商业银行新兴的中间业务，资产托管部从成立之日起就特别强调规范运作，一直将建</w:t>
      </w:r>
      <w:r w:rsidRPr="00565E0D">
        <w:rPr>
          <w:rFonts w:asciiTheme="minorEastAsia" w:eastAsiaTheme="minorEastAsia" w:hAnsiTheme="minorEastAsia" w:hint="eastAsia"/>
          <w:szCs w:val="21"/>
        </w:rPr>
        <w:lastRenderedPageBreak/>
        <w:t xml:space="preserve">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 </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（五）基金托管人对基金管理人运作基金进行监督的方法和程序</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人对基金托管人通知的违规事项未能在限期内纠正的，基金托管人应报告中国证监会。</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r w:rsidRPr="00565E0D">
        <w:rPr>
          <w:rFonts w:asciiTheme="minorEastAsia" w:eastAsiaTheme="minorEastAsia" w:hAnsiTheme="minorEastAsia" w:hint="eastAsia"/>
          <w:szCs w:val="21"/>
        </w:rPr>
        <w:t>基金托管人发现基金管理人有重大违规行为，应立即报告中国证监会，同时通知基金管理人限期纠正。</w:t>
      </w:r>
    </w:p>
    <w:p w:rsidR="007417EC" w:rsidRPr="00565E0D" w:rsidRDefault="007417EC" w:rsidP="007417EC">
      <w:pPr>
        <w:pStyle w:val="af0"/>
        <w:autoSpaceDE w:val="0"/>
        <w:autoSpaceDN w:val="0"/>
        <w:adjustRightInd w:val="0"/>
        <w:snapToGrid w:val="0"/>
        <w:spacing w:line="360" w:lineRule="auto"/>
        <w:ind w:firstLineChars="200"/>
        <w:rPr>
          <w:rFonts w:asciiTheme="minorEastAsia" w:eastAsiaTheme="minorEastAsia" w:hAnsiTheme="minorEastAsia"/>
          <w:szCs w:val="21"/>
        </w:rPr>
      </w:pPr>
    </w:p>
    <w:p w:rsidR="00C35BC5" w:rsidRPr="00565E0D" w:rsidRDefault="00C35BC5" w:rsidP="00552BE1">
      <w:pPr>
        <w:pStyle w:val="111"/>
        <w:snapToGrid w:val="0"/>
        <w:spacing w:beforeLines="0" w:afterLines="0" w:line="360" w:lineRule="auto"/>
        <w:ind w:firstLine="643"/>
        <w:rPr>
          <w:rFonts w:asciiTheme="minorEastAsia" w:eastAsiaTheme="minorEastAsia" w:hAnsiTheme="minorEastAsia"/>
          <w:b/>
          <w:szCs w:val="32"/>
        </w:rPr>
      </w:pPr>
      <w:bookmarkStart w:id="12" w:name="_Toc38551169"/>
      <w:r w:rsidRPr="00565E0D">
        <w:rPr>
          <w:rFonts w:asciiTheme="minorEastAsia" w:eastAsiaTheme="minorEastAsia" w:hAnsiTheme="minorEastAsia" w:hint="eastAsia"/>
          <w:b/>
          <w:szCs w:val="21"/>
        </w:rPr>
        <w:lastRenderedPageBreak/>
        <w:t>五、相关服务机构</w:t>
      </w:r>
      <w:bookmarkEnd w:id="12"/>
    </w:p>
    <w:p w:rsidR="00C35BC5" w:rsidRPr="00565E0D" w:rsidRDefault="00C35BC5" w:rsidP="00B5132A">
      <w:pPr>
        <w:pStyle w:val="2"/>
        <w:snapToGrid w:val="0"/>
        <w:spacing w:beforeLines="0" w:afterLines="0" w:line="360" w:lineRule="auto"/>
        <w:ind w:firstLine="562"/>
        <w:rPr>
          <w:rFonts w:asciiTheme="minorEastAsia" w:eastAsiaTheme="minorEastAsia" w:hAnsiTheme="minorEastAsia"/>
          <w:szCs w:val="21"/>
        </w:rPr>
      </w:pPr>
      <w:bookmarkStart w:id="13" w:name="_Toc38551170"/>
      <w:r w:rsidRPr="00565E0D">
        <w:rPr>
          <w:rFonts w:asciiTheme="minorEastAsia" w:eastAsiaTheme="minorEastAsia" w:hAnsiTheme="minorEastAsia" w:hint="eastAsia"/>
          <w:szCs w:val="21"/>
        </w:rPr>
        <w:t>（一）基金份额</w:t>
      </w:r>
      <w:r w:rsidR="00282E48" w:rsidRPr="00565E0D">
        <w:rPr>
          <w:rFonts w:asciiTheme="minorEastAsia" w:eastAsiaTheme="minorEastAsia" w:hAnsiTheme="minorEastAsia" w:hint="eastAsia"/>
          <w:szCs w:val="21"/>
        </w:rPr>
        <w:t>销售</w:t>
      </w:r>
      <w:r w:rsidRPr="00565E0D">
        <w:rPr>
          <w:rFonts w:asciiTheme="minorEastAsia" w:eastAsiaTheme="minorEastAsia" w:hAnsiTheme="minorEastAsia" w:hint="eastAsia"/>
          <w:szCs w:val="21"/>
        </w:rPr>
        <w:t>机构</w:t>
      </w:r>
      <w:bookmarkEnd w:id="13"/>
    </w:p>
    <w:p w:rsidR="00C35BC5" w:rsidRPr="00565E0D" w:rsidRDefault="00552BE1" w:rsidP="00552BE1">
      <w:pPr>
        <w:tabs>
          <w:tab w:val="num" w:pos="360"/>
        </w:tabs>
        <w:snapToGrid w:val="0"/>
        <w:spacing w:line="360" w:lineRule="auto"/>
        <w:ind w:leftChars="171" w:left="359"/>
        <w:rPr>
          <w:rFonts w:asciiTheme="minorEastAsia" w:eastAsiaTheme="minorEastAsia" w:hAnsiTheme="minorEastAsia"/>
          <w:szCs w:val="21"/>
        </w:rPr>
      </w:pPr>
      <w:r w:rsidRPr="00565E0D">
        <w:rPr>
          <w:rFonts w:asciiTheme="minorEastAsia" w:eastAsiaTheme="minorEastAsia" w:hAnsiTheme="minorEastAsia" w:hint="eastAsia"/>
          <w:szCs w:val="21"/>
        </w:rPr>
        <w:t>1、</w:t>
      </w:r>
      <w:r w:rsidR="00C35BC5" w:rsidRPr="00565E0D">
        <w:rPr>
          <w:rFonts w:asciiTheme="minorEastAsia" w:eastAsiaTheme="minorEastAsia" w:hAnsiTheme="minorEastAsia" w:hint="eastAsia"/>
          <w:szCs w:val="21"/>
        </w:rPr>
        <w:t>直销机构</w:t>
      </w:r>
    </w:p>
    <w:p w:rsidR="00C35BC5" w:rsidRPr="00565E0D" w:rsidRDefault="00C35BC5" w:rsidP="00552BE1">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易方达基金管理有限公司</w:t>
      </w:r>
    </w:p>
    <w:p w:rsidR="00C35BC5" w:rsidRPr="00565E0D" w:rsidRDefault="00C35BC5" w:rsidP="00552BE1">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w:t>
      </w:r>
      <w:r w:rsidR="0018727C" w:rsidRPr="00565E0D">
        <w:rPr>
          <w:rFonts w:asciiTheme="minorEastAsia" w:eastAsiaTheme="minorEastAsia" w:hAnsiTheme="minorEastAsia" w:cs="宋体" w:hint="eastAsia"/>
          <w:kern w:val="0"/>
          <w:szCs w:val="21"/>
        </w:rPr>
        <w:t>广东省珠海市横琴新区宝华路6号105室－42891（集中办公区）</w:t>
      </w:r>
    </w:p>
    <w:p w:rsidR="00C35BC5" w:rsidRPr="00565E0D" w:rsidRDefault="00C35BC5" w:rsidP="00552BE1">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w:t>
      </w:r>
      <w:r w:rsidR="00C82076" w:rsidRPr="00565E0D">
        <w:rPr>
          <w:rFonts w:asciiTheme="minorEastAsia" w:eastAsiaTheme="minorEastAsia" w:hAnsiTheme="minorEastAsia" w:cs="宋体" w:hint="eastAsia"/>
          <w:kern w:val="0"/>
          <w:szCs w:val="21"/>
        </w:rPr>
        <w:t>广州市天河区珠江新城珠江东路30号广州银行大厦40-43楼</w:t>
      </w:r>
    </w:p>
    <w:p w:rsidR="00C35BC5" w:rsidRPr="00565E0D" w:rsidRDefault="00C35BC5" w:rsidP="00552BE1">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w:t>
      </w:r>
      <w:r w:rsidR="00F71CE7" w:rsidRPr="00565E0D">
        <w:rPr>
          <w:rFonts w:asciiTheme="minorEastAsia" w:eastAsiaTheme="minorEastAsia" w:hAnsiTheme="minorEastAsia" w:cs="宋体" w:hint="eastAsia"/>
          <w:kern w:val="0"/>
          <w:szCs w:val="21"/>
        </w:rPr>
        <w:t>刘晓艳</w:t>
      </w:r>
    </w:p>
    <w:p w:rsidR="00C35BC5" w:rsidRPr="00565E0D" w:rsidRDefault="00C35BC5" w:rsidP="00552BE1">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电话：020-85102506</w:t>
      </w:r>
    </w:p>
    <w:p w:rsidR="00C35BC5" w:rsidRPr="00565E0D" w:rsidRDefault="00C35BC5" w:rsidP="00552BE1">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传真：4008818099</w:t>
      </w:r>
    </w:p>
    <w:p w:rsidR="00C35BC5" w:rsidRPr="00565E0D" w:rsidRDefault="00C35BC5" w:rsidP="00552BE1">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w:t>
      </w:r>
      <w:r w:rsidR="004643D5" w:rsidRPr="00565E0D">
        <w:rPr>
          <w:rFonts w:asciiTheme="minorEastAsia" w:eastAsiaTheme="minorEastAsia" w:hAnsiTheme="minorEastAsia" w:hint="eastAsia"/>
        </w:rPr>
        <w:t>王峰</w:t>
      </w:r>
    </w:p>
    <w:p w:rsidR="00C35BC5" w:rsidRPr="00565E0D" w:rsidRDefault="00C35BC5" w:rsidP="00552BE1">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网址：www.efunds.com.cn</w:t>
      </w:r>
    </w:p>
    <w:p w:rsidR="00C35BC5" w:rsidRPr="00565E0D" w:rsidRDefault="00C35BC5" w:rsidP="00552BE1">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直销机构网点信息：</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w:t>
      </w:r>
      <w:r w:rsidRPr="00565E0D">
        <w:rPr>
          <w:rFonts w:asciiTheme="minorEastAsia" w:eastAsiaTheme="minorEastAsia" w:hAnsiTheme="minorEastAsia" w:cs="宋体"/>
          <w:kern w:val="0"/>
          <w:szCs w:val="21"/>
        </w:rPr>
        <w:t>1）易方达基金管理有限公司广州直销中心</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办公地址：广州市天河区珠江新城珠江东路</w:t>
      </w:r>
      <w:r w:rsidRPr="00565E0D">
        <w:rPr>
          <w:rFonts w:asciiTheme="minorEastAsia" w:eastAsiaTheme="minorEastAsia" w:hAnsiTheme="minorEastAsia" w:cs="宋体"/>
          <w:kern w:val="0"/>
          <w:szCs w:val="21"/>
        </w:rPr>
        <w:t>30号广州银行大厦40楼</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电话：</w:t>
      </w:r>
      <w:r w:rsidRPr="00565E0D">
        <w:rPr>
          <w:rFonts w:asciiTheme="minorEastAsia" w:eastAsiaTheme="minorEastAsia" w:hAnsiTheme="minorEastAsia" w:cs="宋体"/>
          <w:kern w:val="0"/>
          <w:szCs w:val="21"/>
        </w:rPr>
        <w:t>020-85102506</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w:t>
      </w:r>
      <w:r w:rsidRPr="00565E0D">
        <w:rPr>
          <w:rFonts w:asciiTheme="minorEastAsia" w:eastAsiaTheme="minorEastAsia" w:hAnsiTheme="minorEastAsia" w:cs="宋体"/>
          <w:kern w:val="0"/>
          <w:szCs w:val="21"/>
        </w:rPr>
        <w:t>4008818099</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w:t>
      </w:r>
      <w:r w:rsidR="004643D5" w:rsidRPr="00565E0D">
        <w:rPr>
          <w:rFonts w:asciiTheme="minorEastAsia" w:eastAsiaTheme="minorEastAsia" w:hAnsiTheme="minorEastAsia" w:hint="eastAsia"/>
        </w:rPr>
        <w:t>王峰</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w:t>
      </w:r>
      <w:r w:rsidRPr="00565E0D">
        <w:rPr>
          <w:rFonts w:asciiTheme="minorEastAsia" w:eastAsiaTheme="minorEastAsia" w:hAnsiTheme="minorEastAsia" w:cs="宋体"/>
          <w:kern w:val="0"/>
          <w:szCs w:val="21"/>
        </w:rPr>
        <w:t>2）易方达基金管理有限公司北京直销中心</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w:t>
      </w:r>
      <w:r w:rsidR="00E054C3" w:rsidRPr="00565E0D">
        <w:rPr>
          <w:rFonts w:asciiTheme="minorEastAsia" w:eastAsiaTheme="minorEastAsia" w:hAnsiTheme="minorEastAsia" w:cs="宋体" w:hint="eastAsia"/>
          <w:kern w:val="0"/>
          <w:szCs w:val="21"/>
        </w:rPr>
        <w:t>北京市西城区武定侯街2号泰康国际大厦18层</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电话：</w:t>
      </w:r>
      <w:r w:rsidRPr="00565E0D">
        <w:rPr>
          <w:rFonts w:asciiTheme="minorEastAsia" w:eastAsiaTheme="minorEastAsia" w:hAnsiTheme="minorEastAsia" w:cs="宋体"/>
          <w:kern w:val="0"/>
          <w:szCs w:val="21"/>
        </w:rPr>
        <w:t>010-63213377</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w:t>
      </w:r>
      <w:r w:rsidRPr="00565E0D">
        <w:rPr>
          <w:rFonts w:asciiTheme="minorEastAsia" w:eastAsiaTheme="minorEastAsia" w:hAnsiTheme="minorEastAsia" w:cs="宋体"/>
          <w:kern w:val="0"/>
          <w:szCs w:val="21"/>
        </w:rPr>
        <w:t>4008818099</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联系人：刘蕾</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w:t>
      </w:r>
      <w:r w:rsidRPr="00565E0D">
        <w:rPr>
          <w:rFonts w:asciiTheme="minorEastAsia" w:eastAsiaTheme="minorEastAsia" w:hAnsiTheme="minorEastAsia" w:cs="宋体"/>
          <w:kern w:val="0"/>
          <w:szCs w:val="21"/>
        </w:rPr>
        <w:t>3）易方达基金管理有限公司上海直销中心</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办公地址：上海市浦东新区世纪大道</w:t>
      </w:r>
      <w:r w:rsidRPr="00565E0D">
        <w:rPr>
          <w:rFonts w:asciiTheme="minorEastAsia" w:eastAsiaTheme="minorEastAsia" w:hAnsiTheme="minorEastAsia" w:cs="宋体"/>
          <w:kern w:val="0"/>
          <w:szCs w:val="21"/>
        </w:rPr>
        <w:t>88号金茂大厦46楼</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电话：</w:t>
      </w:r>
      <w:r w:rsidRPr="00565E0D">
        <w:rPr>
          <w:rFonts w:asciiTheme="minorEastAsia" w:eastAsiaTheme="minorEastAsia" w:hAnsiTheme="minorEastAsia" w:cs="宋体"/>
          <w:kern w:val="0"/>
          <w:szCs w:val="21"/>
        </w:rPr>
        <w:t>021-50476668</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w:t>
      </w:r>
      <w:r w:rsidRPr="00565E0D">
        <w:rPr>
          <w:rFonts w:asciiTheme="minorEastAsia" w:eastAsiaTheme="minorEastAsia" w:hAnsiTheme="minorEastAsia" w:cs="宋体"/>
          <w:kern w:val="0"/>
          <w:szCs w:val="21"/>
        </w:rPr>
        <w:t>4008818099</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联系人：于楠</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w:t>
      </w:r>
      <w:r w:rsidRPr="00565E0D">
        <w:rPr>
          <w:rFonts w:asciiTheme="minorEastAsia" w:eastAsiaTheme="minorEastAsia" w:hAnsiTheme="minorEastAsia" w:cs="宋体"/>
          <w:kern w:val="0"/>
          <w:szCs w:val="21"/>
        </w:rPr>
        <w:t>4）易方达基金管理有限公司网上交易系统</w:t>
      </w:r>
    </w:p>
    <w:p w:rsidR="00181730" w:rsidRPr="00565E0D" w:rsidRDefault="00181730" w:rsidP="007C7712">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t>
      </w:r>
      <w:r w:rsidRPr="00565E0D">
        <w:rPr>
          <w:rFonts w:asciiTheme="minorEastAsia" w:eastAsiaTheme="minorEastAsia" w:hAnsiTheme="minorEastAsia" w:cs="宋体"/>
          <w:kern w:val="0"/>
          <w:szCs w:val="21"/>
        </w:rPr>
        <w:t>www.efunds.com.cn</w:t>
      </w:r>
    </w:p>
    <w:p w:rsidR="003C78BB" w:rsidRPr="00565E0D" w:rsidRDefault="00181730" w:rsidP="007C7712">
      <w:pPr>
        <w:tabs>
          <w:tab w:val="num" w:pos="360"/>
        </w:tabs>
        <w:snapToGrid w:val="0"/>
        <w:spacing w:line="360" w:lineRule="auto"/>
        <w:ind w:leftChars="171" w:left="359"/>
        <w:rPr>
          <w:rFonts w:asciiTheme="minorEastAsia" w:eastAsiaTheme="minorEastAsia" w:hAnsiTheme="minorEastAsia"/>
          <w:szCs w:val="21"/>
        </w:rPr>
      </w:pPr>
      <w:r w:rsidRPr="00565E0D">
        <w:rPr>
          <w:rFonts w:asciiTheme="minorEastAsia" w:eastAsiaTheme="minorEastAsia" w:hAnsiTheme="minorEastAsia"/>
          <w:szCs w:val="21"/>
        </w:rPr>
        <w:t>2、非直销销售机构（以下排序不分先后）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 中国工商银行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注册地址：北京西城区复兴门内大街55号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办公地址：北京西城区复兴门内大街55号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法定代表人：陈四清</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联系人：杨菲</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网址：www.icbc.com.cn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 渤海银行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注册地址：天津市河东区海河东路218号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办公地址：天津市河东区海河东路218号渤海银行大厦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法定代表人：李伏安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联系电话：022-58316666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客户服务电话：95541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传真：022-58316569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网址：www.cbhb.com.cn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 广发银行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注册地址：广东省广州市越秀区东风东路713号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办公地址：广东省广州市越秀区东风东路713号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法定代表人：王滨</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客户服务电话：400-830-8003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网址：www.cgbchina.com.cn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 恒丰银行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注册地址：济南市历下区泺源大街8号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办公地址：山东省烟台市莱山区港城东大街289号南山世纪大厦A座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法定代表人：陈颖</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联系人：李胜贤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电话：021-63890179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传真：021-63890196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网址：www.hfbank.com.cn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 华夏银行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注册地址：北京市东城区建国门内大街22号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办公地址：北京市东城区建国门内大街22号华夏银行大厦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法定代表人：李民吉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联系人：王者凡</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客户服务电话：95577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传真：010-85238680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网址：www.hxb.com.cn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 交通银行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注册地址：中国（上海）自由贸易试验区银城中路188号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办公地址：中国（上海）自由贸易试验区银城中路188号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法定代表人：任德奇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联系人：王菁</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联系电话：021-58781234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客户服务电话：95559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网址：www.bankcomm.com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 平安银行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注册地址：广东省深圳市罗湖区深南东路5047号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办公地址：广东省深圳市罗湖区深南东路5047号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法定代表人：谢永林</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联系人：赵杨</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联系电话：0755-22166574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客户服务电话：95511-3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传真：021-50979507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网址：bank.pingan.com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(8) 浦发银行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注册地址：上海市中山东一路12号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办公地址：上海市中山东一路12号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法定代表人：郑杨</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联系人：赵守良</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联系电话：021-61618888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客户服务电话：95528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传真：021-63604196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网址：www.spdb.com.cn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(9) 兴业银行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注册地址：福州市湖东路154号中山大厦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办公地址：上海市银城路167号兴业银行大厦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法定代表人：陶以平（代为履行法定代表人职权）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联系人：孙琪虹</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客户服务电话：95561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网址：www.cib.com.cn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(10) 招商银行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注册地址：深圳市福田区深南大道7088号招商银行大厦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办公地址：深圳市福田区深南大道7088号招商银行大厦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法定代表人：李建红</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联系人：季平伟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客户服务电话：95555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网址：www.cmbchina.com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(11) 浙商银行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注册地址：浙江省杭州市萧山区鸿宁路1788号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办公地址：浙江杭州市庆春路288号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法定代表人：沈仁康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联系人：沈崟杰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联系电话：0571- 88261822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客户服务电话：95527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传真：0571-87659954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网址：www.czbank.com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(12) 中国光大银行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注册地址：北京市西城区太平桥大街25号、甲25号中国光大中心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办公地址：北京市西城区太平桥大街25号金融街F3大厦（中国光大中心）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法定代表人：李晓鹏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联系人：朱红</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联系电话：010-63636153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传真：010-63639709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网址：www.cebbank.com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(13) 中国建设银行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注册地址：北京市西城区金融大街25号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办公地址：北京市西城区闹市口大街1号院1号楼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法定代表人：田国立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联系人：王未雨</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客户服务电话：95533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网址：www.ccb.com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(14) 中国民生银行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注册地址：北京市西城区复兴门内大街2号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办公地址：北京市西城区复兴门内大街2号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法定代表人：洪崎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联系人：夏华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客户服务电话：95568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网址：www.cmbc.com.cn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(15) 中国农业银行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注册地址：北京市东城区建国门内大街69号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办公地址：北京市东城区建国门内大街69号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法定代表人：周慕冰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联系人：李紫钰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传真：010-85109219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网址：www.abchina.com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(16) 中国银行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注册地址：北京市西城区复兴门内大街1号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办公地址：北京市西城区复兴门内大街1号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法定代表人：刘连舸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网址：www.boc.cn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(17) 中国邮政储蓄银行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注册地址：北京市西城区金融大街3号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办公地址：北京市西城区金融大街3号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法定代表人：张金良</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联系人：王硕</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客户服务电话：95580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传真：010-68858057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网址：www.psbc.com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(18) 中信银行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注册地址：北京市东城区朝阳门北大街9号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办公地址：北京市东城区朝阳门北大街9号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法定代表人：李庆萍</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联系人：王晓琳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客户服务电话：95558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传真：010-85230049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网址：bank.ecitic.com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(19) 包商银行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注册地址：内蒙古自治区包头市青山区钢铁大街6号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办公地址：内蒙古自治区包头市青山区钢铁大街6号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法定代表人：周学东</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联系人：张晶</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联系电话：0472-5189165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客户服务电话：95352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传真：010-84596546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网址：www.bsb.com.cn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(20) 北京农商银行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注册地址：北京市西城区月坛南街1号院2号楼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办公地址：北京市西城区月坛南街1号院2号楼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法定代表人：王金山</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联系人：鲁娟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联系电话：010-89198762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客户服务电话：96198（北京）、400-66-96198（全国）</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网址：www.bjrcb.com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(21) 北京银行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注册地址：北京市西城区金融大街甲17号首层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办公地址：北京市西城区金融大街丙17号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法定代表人：张东宁</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联系人：周黎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客户服务电话：95526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网址：www.bankofbeijing.com.cn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(22) 长安银行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注册地址：西安市高新技术产业开发区高新四路13号1幢1单元10101室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办公地址：西安市高新技术产业开发区高新四路13号朗臣大厦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法定代表人：赵永军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联系人：闫石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客户服务电话：400-05-96669；（029）96669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传真：029-88609566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网址：http://www.ccabchina.com/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(23) 长沙银行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注册地址：长沙市岳麓区滨江路53号楷林商务中心B座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办公地址：长沙市岳麓区滨江路长沙银行大厦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法定代表人：朱玉国</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联系人：于立娜</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联系电话：0731-89736250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客户服务电话：0731-96511（湖南省内）、40067-96511（全国）</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网址：www.bankofchangsha.com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(24) 大连银行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注册地址：辽宁省大连市中山区中山路88号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办公地址：大连市中山区中山路88号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法定代表人：崔磊</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联系人：朱珠</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联系电话：0411-82356695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客户服务电话：400-664-0099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网址：www.bankofdl.com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(25) 德州银行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注册地址：山东省德州市三八东路1266号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办公地址：山东省德州市三八东路1266号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法定代表人：董合平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联系人：王方震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电话：0534-2297326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客户服务电话：400-01-96588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网址：www.dzbchina.com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(26) 东莞农村商业银行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注册地址：广东省东莞市东城区鸿福东路2号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办公地址：广东省东莞市东城区鸿福东路2号东莞农商银行大厦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法定代表人：王耀球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联系人：洪晓琳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客户服务电话：0769-961122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网址：www.drcbank.com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(27) 东莞银行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注册地址：东莞市莞城区体育路21号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办公地址：东莞市莞城区体育路21号东莞银行大厦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法定代表人：卢国锋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联系人：朱杰霞</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联系电话：0769-22111802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客户服务电话：956033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网址：www.dongguanbank.cn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(28) 佛山农商银行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注册地址：佛山市禅城区华远东路5号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办公地址：佛山市禅城区华远东路5号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法定代表人：李川</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联系人：陈棠熙</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客户服务电话：96138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网址：www.foshanbank.cn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(29) 福建海峡银行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注册地址：福建省福州市台江区江滨中大道358号海峡银行大厦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办公地址：福建省福州市台江区江滨中大道358号福建海峡银行8楼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法定代表人：俞敏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联系人：黄钰雯</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联系电话：0591-87332762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客户服务电话：400-893-9999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传真：0591-87330926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网址：www.fjhxbank.com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(30) 富阳农商银行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注册地址：杭州市富阳区鹿山街道依江路501号第1幢</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办公地址：杭州市富阳区鹿山街道依江路501号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法定代表人：丁松茂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联系人：陈硕</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联系电话：0571-63280253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客户服务电话：96596、4008896596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网址：www.fyrcbk.com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(31) 广东华兴银行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注册地址：广东省汕头市龙湖区黄山路28号四层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办公地址：广州市天河区天河路533号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法定代表人：周泽荣</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联系人：许悦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联系电话：020-38173552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客户服务电话：4008308001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传真：020-38173857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网址：www.ghbank.com.cn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(32) 广东南粤银行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注册地址：广东省湛江市经济技术开发区乐山大道60号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办公地址：广东省湛江市经济技术开发区乐山大道60号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法定代表人：蒋丹</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联系人：陈静</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联系电话：020-28308757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客户服务电话：4000-961818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网址：www.gdnybank.com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(33) 广州农商银行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注册地址：广州市黄埔区映日路9号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办公地址：广州市天河区珠江新城华夏路1号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法定代表人：王继康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联系人：刘强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联系电话：020-22389067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传真：020-22389031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网址：www.grcbank.com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(34) 广州银行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注册地址：广州市天河区珠江东路30号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办公地址：广州市天河区珠江东路30号广州银行大厦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法定代表人：黄子励</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联系人：唐荟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客户服务电话：96699（广东）400-83-96699（全国）</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网址：www.gzcb.com.cn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(35) 哈尔滨银行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注册地址：哈尔滨市道里区尚志大街160号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办公地址：哈尔滨市道里区上江街888号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法定代表人：郭志文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联系人：何岩岩</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电话：0451-87792450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客户服务电话：95537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传真：0451-87792682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网址：www.hrbb.com.cn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(36) 汉口银行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注册地址：武汉市江汉区建设大道933号武汉商业银行大厦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办公地址：武汉市江汉区建设大道933号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法定代表人：陈新民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联系人：周田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联系电话：027-82656785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客户服务电话：4006096558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传真：027-82656213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网址：http://www.hkbchina.com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(37) 杭州联合银行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注册地址：浙江省杭州市上城区建国中路99号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办公地址：杭州市建国中路99号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法定代表人：张海林</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联系人：吴徐立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联系电话：0571-87923324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客户服务电话：96596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传真：0571-87923214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网址：www.urcb.com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(38) 杭州银行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注册地址：浙江省杭州市下城区庆春路46号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办公地址：杭州市下城区庆春路46号杭州银行大厦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法定代表人：陈震山</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联系人：董猛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联系电话：0571-85872972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客户服务电话：95398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传真：0571-85106576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网址：www.hzbank.com.cn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(39) 河北银行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注册地址：石家庄市平安北大街28号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办公地址：石家庄市平安北大街28号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法定代表人：乔志强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联系人：李博</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联系电话：0311-88627587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客户服务电话：400-612-9999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传真：0311-67806407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网址：www.hebbank.com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(40) 华融湘江银行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注册地址：长沙市天心区芙蓉南路一段828号杰座大厦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办公地址：湖南省长沙市湘府东路二段208号万境财智中心南栋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法定代表人：张永宏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联系人：闾娇蓉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联系电话：0731-89828182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客户服务电话：0731-96599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传真：0731-89828806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网址：www.hrxjbank.com.cn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(41) 吉林银行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注册地址：吉林省长春市经济技术开发区东南湖大路1817号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办公地址：吉林省长春市经济技术开发区东南湖大路1817号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法定代表人：陈宇龙</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联系人：孙琦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联系电话：0431-84999627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客户服务电话：400-88-96666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传真：0431-84992649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网址：www.jlbank.com.cn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(42) 嘉兴银行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注册地址：浙江省嘉兴市昌盛南路1001号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办公地址：浙江省嘉兴市昌盛南路1001号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法定代表人：夏林生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联系人：余舟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联系电话：0573-82080201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客户服务电话：0573-96528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网址：http://www.bojx.com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(43) 江南农村商业银行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注册地址：常州市和平中路413号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办公地址：常州市和平中路413号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法定代表人：陆向阳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联系人：李仙</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电话：0519-80585939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客户服务电话：0519-96005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传真：0519-89995170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网址：http://www.jnbank.com.cn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(44) 江苏银行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注册地址：南京市中华路26号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办公地址：南京市中华路26号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法定代表人：夏平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联系人：展海军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联系电话：025-58587039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客户服务电话：95319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传真：025-58587820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网址：www.jsbchina.cn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(45) 江西银行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注册地址：江西省南昌市红谷滩新区金融大街699号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办公地址：江西省南昌市红谷滩新区金融大街699号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法定代表人：陈晓明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联系人：陈云波</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联系电话：0791-86796029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客户服务电话：956055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传真：0791-86790795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网址：www.jx-bank.com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(46) 金华银行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注册地址：浙江省金华市丹溪路1388号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办公地址：浙江省金华市金东区光南路668号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法定代表人：徐雅清</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联系人：何赛丽、陈霞</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联系电话：0579-82178270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客户服务电话：400-711-6668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传真：0579-82178321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网址：www.jhccb.com.cn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(47) 锦州银行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注册地址：辽宁省锦州市科技路68号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办公地址：辽宁省锦州市科技路68号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法定代表人：魏学坤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联系人：庞璐璐</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客户服务电话：400-66-96178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网址：www.jinzhoubank.com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(48) 九台农商银行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注册地址：吉林省长春市九台区新华大街504号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办公地址：吉林省长春市高新开发区蔚山路2559号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法定代表人：高兵</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联系人：曲凌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客户服务电话：0431-96888-0-2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网址：http://www.jtnsh.com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(49) 昆仑银行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注册地址：新疆克拉玛依市世纪大道7号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办公地址：北京市西城区金融大街1号B座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法定代表人：蒋尚军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联系人：张碧华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联系电话：010-89026813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客户服务电话：95379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传真：010-89025421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网址：www.klb.cn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(50) 昆山农村商业银行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注册地址：江苏省昆山市前进东路828号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办公地址：江苏省昆山市前进东路828号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法定代表人：张哲清</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联系人：黄怡</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客户服务电话：0512-96079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网址：www.ksrcb.com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(51) 乐清农商银行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注册地址：浙江省乐清市城南街道伯乐西路99号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办公地址：浙江省乐清市城南街道伯乐西路99号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法定代表人：高剑飞</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联系人：金晓娇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联系电话：0577-61566028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客户服务电话：4008896596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传真：0577-61566063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网址：www.yqbank.com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(52) 龙江银行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注册地址：黑龙江省哈尔滨市道里区友谊路436号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办公地址：黑龙江省哈尔滨市道里区友谊路436号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法定代表人：张建辉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联系人：闫勇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联系电话：0451-85706107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客户服务电话：400-645-8888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传真：0451-85706036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网址：http://www.lj-bank.com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(53) 龙湾农商银行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注册地址：浙江省温州市龙湾区永中街道永宁西路555号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办公地址：浙江省温州市龙湾区永中街道永宁西路555号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法定代表人：朱朋远</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联系人：胡俊杰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联系电话：0577-86923223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客户服务电话：4008296596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传真：0577-86921250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网址：www.lwrcb.com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(54) 鹿城农商银行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注册地址：浙江省温州市鹿城区会展路1500号富银大厦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办公地址：温州市车站大道547号信合大厦A幢</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法定代表人：陈宏强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联系人：董雷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联系电话：0577-88077675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客户服务电话：96526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网址：http://www.lcrcbank.com/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(55) 洛阳银行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注册地址：洛阳市洛阳新区开元大道与通济街交叉口</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办公地址：河南省洛阳市开元大道256号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法定代表人：王建甫</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联系人：郭文博</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联系电话：0379-65921977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客户服务电话：0379-96699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传真：0379-65938595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网址：www.bankofluoyang.com.cn/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(56) 宁波银行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注册地址：浙江省宁波市鄞州区宁东路345号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办公地址：浙江省宁波市鄞州区宁东路345号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法定代表人：陆华裕</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联系人：施豪迪</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客户服务电话：95574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网址：www.nbcb.com.cn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(57) 齐商银行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注册地址：淄博市张店区中心路105号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办公地址：山东省淄博市张店区金晶大道105号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法定代表人：杲传勇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联系人：焦浦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联系电话：0533-2178888-9907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客户服务电话：400-86-96588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传真：0533-2180303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网址：www.qsbank.cc</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(58) 青岛银行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注册地址：山东省青岛市崂山区秦岭路6号3号楼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办公地址：山东省青岛市崂山区秦岭路6号3号楼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法定代表人：郭少泉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联系人：陈界交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联系电话：0532-68629925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客户服务电话：96588（青岛）400-66-96588（全国）</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网址：http://www.qdccb.com/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(59) 泉州银行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注册地址：泉州市丰泽区云鹿路3号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办公地址：泉州市丰泽区云鹿路3号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法定代表人：傅子能</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联系人：董培姗</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联系电话：0595-22551071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客户服务电话：400-88-96312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传真：0595-22578871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网址：http://www.qzccbank.com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(60) 日照银行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注册地址：山东省日照市烟台路197号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办公地址：山东省日照市烟台路197号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法定代表人：王森</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联系人：孔颖</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联系电话：0633-8081590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客户服务电话：400-68-96588（全国）、0633-96588（日照）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传真：0633-8081276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网址：http://www.bankofrizhao.com.cn/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(61) 瑞安农商银行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注册地址：瑞安市安阳街道万松东路148号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办公地址：瑞安市安阳街道万松东路148号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法定代表人：王光领</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联系人：吴清萍</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联系电话：0577-66816501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客户服务电话：4008057702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网址：https://www.rarcbank.com/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(62) 瑞丰银行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注册地址：浙江省绍兴市柯桥区笛扬路1363号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办公地址：浙江省绍兴市柯桥区笛扬路1363号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法定代表人：章伟东</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联系人：孟建潮</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联系电话：0575-81105323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客户服务电话：400-88-96596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传真：0575-84788134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网址：www.borf.cn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(63) 上海农村商业银行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注册地址：上海市黄浦区中山东二路70号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办公地址：上海市黄浦区中山东二路70号上海农商银行大厦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法定代表人：徐力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联系人：施传荣</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联系电话：021-61899999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客户服务电话：021-962999、4006962999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开放式基金业务传真：021-50105124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网址：www.srcb.com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(64) 上海银行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注册地址：中国（上海）自由贸易试验区银城中路168号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办公地址：上海市浦东新区银城中路168号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法定代表人：金煜</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联系电话：021-68475732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客户服务电话：95594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网址：http://www.bosc.cn/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(65) 顺德农村商业银行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注册地址：佛山市顺德区大良德和居委会拥翠路2号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办公地址：佛山市顺德区大良德和居委会拥翠路2号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法定代表人：姚真勇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联系人：杨素苗、区敏欣</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联系电话：0757-22382524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客户服务电话：0757-22223388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传真：0757-22388235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网址：www.sdebank.com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(66) 苏州银行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注册地址：江苏省苏州市工业园区钟园路728号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办公地址：江苏省苏州市工业园区钟园路728号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法定代表人：王兰凤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联系人：吴骏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联系电话：0512-69868373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客户服务电话：96067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传真：0512-69868373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网址：www.suzhoubank.com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(67) 天津农商银行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注册地址：天津市河西区马场道59号国际经济贸易中心A座1-6层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办公地址：天津市河西区马场道59号国际经济贸易中心A座1-6层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法定代表人：徐庆宏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联系人：满与谦、梁冯雷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联系电话：022-83872155，022-83872800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客户服务电话：022-96155，400-80-96155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传真：022-83872156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网址：www.trcbank.com.cn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(68) 天津银行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注册地址：天津市河西区友谊路15号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办公地址：天津市河西区友谊路15号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法定代表人：李宗唐</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联系人：李岩</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联系电话：022-28405684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客户服务电话：956056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传真：022-28405631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网址：www.bank-of-tianjin.com.cn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(69) 威海市商业银行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注册地址：威海市宝泉路9号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办公地址：威海市宝泉路9号财政大厦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法定代表人：谭先国</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联系人：冯十卉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联系电话：0531-68978175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客户服务电话：山东省内96636、中国境内40000-96636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传真：0531-68978176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网址：www.whccb.com，www.whccb.com.cn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(70) 潍坊银行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注册地址：山东省潍坊市奎文区胜利东街5139号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办公地址：山东省潍坊市奎文区胜利东街5139号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法定代表人：郭虎英</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联系人：井靖</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联系电话：0536-8051904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客户服务电话：400-61-96588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传真：0536-8056061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网址：www.wfccb.com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(71) 萧山农商银行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注册地址：萧山区人民路258号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办公地址：浙江省杭州市萧山区人民路258号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法定代表人：王云龙</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联系人：朱光锋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联系电话：0571-82739513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客户服务电话：96596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网址：http://www.zjxsbank.com/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(72) 烟台银行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注册地址：山东省烟台市芝罘区海港路25号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办公地址：山东省烟台市芝罘区海港路25号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法定代表人：吴明理</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联系人：张卓智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联系电话：0535-6699671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客户服务电话：4008-311-777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传真：0535-6699884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网址：www.yantaibank.net</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(73) 鄞州银行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注册地址：宁波市鄞州区民惠西路88号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办公地址：宁波市鄞州区民惠西路88号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法定代表人：周建斌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联系人：朱霓虹</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联系电话：0574-87412569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客户服务电话：956058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网址：www.beeb.com.cn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(74) 余杭农村商业银行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注册地址：杭州市余杭区南苑街道南大街72号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办公地址：杭州市余杭区南苑街道南大街72号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法定代表人：来煜标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联系人：蔡亮</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联系电话：0571-86209980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客户服务电话：96596，4008896596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网址：www.yhrcb.com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(75) 云南红塔银行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注册地址：云南省玉溪市东风南路2号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办公地址：云南省昆明市盘龙区世博路低碳中心A座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法定代表人：李光林</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联系人：马杰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联系电话：0871-65236624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客户服务电话：0877-96522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网址：www.ynhtbank.com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(76) 浙江稠州商业银行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注册地址：浙江省义乌市江滨路义乌乐园东侧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办公地址：杭州市上城区望潮路158号稠银大厦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法定代表人：金子军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联系人：谢圆圆</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联系电话：0571-87117661/13777805250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客户服务电话：0571-96527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传真：0571-87117607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网址：http://www.czcb.com.cn/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(77) 浙江泰隆商业银行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注册地址：浙江省台州市路桥区南官大道188号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办公地址：浙江省台州市路桥区南官大道188号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联系人：陈妍宇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联系电话：0571-87219677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客户服务电话：95347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网址：www.zjtlcb.com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(78) 中原银行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注册地址：河南省郑州市郑东新区CBD商务外环路23号中科金座大厦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办公地址：河南省郑州市郑东新区CBD商务外环路23号中科金座大厦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法定代表人：窦荣兴</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联系人：张星强  联系电话：0371-85517713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客户服务电话：95186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网址：www.zybank.com.cn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(79) 重庆农村商业银行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注册地址：重庆市江北区金沙门路36号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办公地址：重庆市江北区金沙门路36号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法定代表人：刘建忠</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联系人：范亮</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联系电话：023-61110146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客户服务电话：95389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传真：023-61110146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网址：www.cqrcb.com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(80) 珠海华润银行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注册地址：广东省珠海市吉大九洲大道东1346号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办公地址：广东省珠海市吉大九洲大道东1346号珠海华润银行大厦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法定代表人：刘晓勇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联系电话：4008800338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客户服务电话：96588（广东省外请加拨0756），400-8800-338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网址：www.crbank.com.cn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(81) 安信证券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注册地址：深圳市福田区金田路4018号安联大厦35层、28层A02单元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办公地址：深圳市福田区金田路4018号安联大厦35层、28层A02单元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          深圳市福田区深南大道2008号中国凤凰大厦1栋9层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法定代表人：王连志</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联系人：陈剑虹</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联系电话：0755-82825551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客户服务电话：95517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传真：0755-82558355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网址：www.essence.com.cn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(82) 渤海证券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注册地址：天津市经济技术开发区第二大街42号写字楼101室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办公地址：天津市南开区宾水西道8号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法定代表人：安志勇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联系电话：022-28451922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客户服务电话：400-651-5988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传真：022-28451892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网址：www.ewww.com.cn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(83) 财达证券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注册地址：河北省石家庄市桥西区自强路35号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办公地址：河北省石家庄市桥西区自强路35号庄家金融大厦23-26层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法定代表人：翟建强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联系人：李卓颖</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联系电话：0311-66008561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客户服务电话：95363（河北省内）；0311-95363（河北省外）</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传真：0311-66006414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网址：www.s10000.com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(84) 财富证券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注册地址：长沙市芙蓉中路二段80号顺天国际财富中心26层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办公地址：长沙市芙蓉中路二段80号顺天国际财富中心26-28层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法定代表人：刘宛晨</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联系人：郭静</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联系电话：0731-84403347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客户服务电话：95317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传真：0731-84403439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网址：www.cfzq.com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(85) 财通证券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注册地址：浙江省杭州市杭大路15号嘉华国际商务中心201，501，502，1103，1601-1615，1701-1716室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办公地址：浙江省杭州市杭大路15号嘉华国际商务中心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法定代表人：陆建强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联系人：陶志华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联系电话：0571－87789160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客户服务电话：95336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网址：www.ctsec.com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(86) 长城国瑞证券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注册地址：厦门市思明区莲前西路2号莲富大厦17楼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办公地址：厦门市思明区深田路46号深田国际大厦20楼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联系人：邱震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联系电话：0592-2079259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客户服务电话：400-0099-886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传真：0592-2079602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网址：www.gwgsc.com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(87) 长城证券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注册地址：深圳市福田区福田街道金田路2026号能源大厦南塔楼10-19层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办公地址：深圳市福田区福田街道金田路2026号能源大厦南塔楼10-19层长城证券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法定代表人：曹宏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联系人：梁浩</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联系电话：0755-83530715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客户服务电话：400-6666-888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传真：0755-83516199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网址：www.cgws.com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(88) 长江证券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注册地址：湖北省武汉市新华路特8号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办公地址：湖北省武汉市新华路特8号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法定代表人：李新华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联系人：奚博宇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联系电话：027-65799999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客户服务电话：95579或4008-888-999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传真：027-85481900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网址：www.95579.com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(89) 川财证券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注册地址：中国（四川）自由贸易试验区成都高新区交子大道177号中海国际中心B座17楼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办公地址：四川省成都高新区交子大道177号中海国际中心B座17楼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法定代表人：孟建军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联系人：匡婷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联系电话：028-86583053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客户服务电话：028-962708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网址：www.cczq.com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(90) 大通证券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注册地址：辽宁省大连市沙河口区会展路129号大连国际金融中心A座-大连期货大厦38、39层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办公地址：辽宁省大连市沙河口区会展路129号大连国际金融中心A座-大连期货大厦38、39层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法定代表人：赵玺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联系人：谢立军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联系电话：0411-39991807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客户服务电话：4008-169-169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传真：0411-39673214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网址：www.daton.com.cn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(91) 大同证券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注册地址：山西省大同市城区迎宾街15号桐城中央21层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办公地址：山西省太原市小店区长治路111号山西世贸中心A座F12、F13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法定代表人：董祥</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联系人：薛津</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联系电话：0351-4130322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客户服务电话：4007121212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传真：0351-7219891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网址：www.dtsbc.com.cn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(92) 德邦证券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注册地址：上海市普陀区曹杨路510号南半幢9楼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办公地址：上海市福山路500号城建国际中心29楼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法定代表人：武晓春</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联系人：刘熠</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联系电话：021-68761616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客户服务电话：400-8888-128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传真：021-68767880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网址：http://www.tebon.com.cn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(93) 第一创业证券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注册地址：深圳市福田区福华一路115号投行大厦20楼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办公地址：深圳市福田区福华一路115号投行大厦20楼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法定代表人：刘学民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联系人：毛诗莉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联系电话：0755-23838750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客户服务电话：95358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网址：www.firstcapital.com.cn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(94) 东北证券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注册地址：长春市生态大街6666号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办公地址：长春市生态大街6666号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法定代表人：李福春</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联系人：安岩岩</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联系电话：0431-85096517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客户服务电话：95360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传真：0431-85096795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网址：www.nesc.cn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(95) 东方证券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注册地址：上海市中山南路318号2号楼22层、23层、25层-29层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办公地址：上海市中山南路318号2号楼13层、21层-23层、25-29层、32 层、36 层、39 层、40 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法定代表人：潘鑫军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联系人：朱琼玉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联系电话：021-63325888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客户服务电话：95503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传真：021-63326729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网址：http://www.dfzq.com.cn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(96) 东莞证券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注册地址：东莞市莞城区可园南路一号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办公地址：东莞市莞城区可园南路1号金源中心30楼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法定代表人：陈照星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联系人：李荣</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联系电话：0769-22115712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客户服务电话：95328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传真：0769-22115712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网址：www.dgzq.com.cn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(97) 东海证券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注册地址：江苏省常州市延陵西路23号投资广场18层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办公地址：上海市浦东新区东方路1928号东海证券大厦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法定代表人：钱俊文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联系人：王一彦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联系电话：021-20333333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客户服务电话：95531、400-8888-588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传真：021-50498825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网址：www.longone.com.cn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(98) 东吴证券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注册地址：苏州工业园区星阳街5号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办公地址：苏州工业园区星阳街5号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法定代表人：范力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联系人：陆晓</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联系电话：0512-62938521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客户服务电话：95330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传真：0512-65588021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网址：www.dwzq.com.cn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(99) 东兴证券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注册地址：北京市西城区金融大街5号（新盛大厦）12、15层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办公地址：北京市西城区金融大街5号新盛大厦B座10层、12层、15层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法定代表人：魏庆华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联系人：夏锐</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联系电话：010-66559079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客户服务电话：95309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传真：010-66555133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网址：www.dxzq.net</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(100) 方正证券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注册地址：长沙市天心区湘江中路二段36号华远华中心4、5号楼3701-3717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办公地址：北京市朝阳区北四环中路27号盘古大观A座40F</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法定代表人：施华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联系人：程博怡</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联系电话：010-56437060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客户服务电话：95571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传真：010-56437013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网址：www.foundersc.com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(101) 光大证券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注册地址：上海市静安区新闸路1508号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办公地址：上海市静安区新闸路1508号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法定代表人：周健男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联系人：龚俊涛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联系电话：021-22169999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客户服务电话：95525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传真：021-22169134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网址：www.ebscn.com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(102) 广发证券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注册地址：广东省广州市黄埔区中新广州知识城腾飞一街2号618室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办公地址：广州市天河区马场路26号广发证券大厦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法定代表人：孙树明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联系人：黄岚</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客户服务电话：95575或02095575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网址：www.gf.com.cn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(103) 国都证券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注册地址：北京市东城区东直门南大街3号国华投资大厦9层10层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办公地址：北京市东城区东直门南大街3号国华投资大厦9层10层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法定代表人：王少华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联系人：黄静</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联系电话：010-84183389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客户服务电话：400-818-8118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传真：010-84183311-3122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网址：www.guodu.com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(104) 国海证券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注册地址：广西桂林市辅星路13号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办公地址：深圳市福田区竹子林四路光大银行大厦3楼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法定代表人：何春梅</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联系人：田密</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联系电话：0755-83716916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客户服务电话：95563或0771-95563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网址：www.ghzq.com.cn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(105) 国金证券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注册地址：成都市青羊区东城根上街95号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办公地址：成都市青羊区东城根上街95号成证大厦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法定代表人：冉云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联系人：杜晶、黎建平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联系电话：028-86690057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客户服务电话：95310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传真：028-86690126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网址：www.gjzq.com.cn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(106) 国联证券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注册地址：江苏省无锡市太湖新城金融一街8号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办公地址：江苏省无锡市太湖新城金融一街8号国联金融大厦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法定代表人：姚志勇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联系人：祁昊</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联系电话：0510-82831662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客户服务电话：95570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传真：0510-82830162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网址：www.glsc.com.cn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(107) 国融证券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注册地址：内蒙古自治区呼和浩特市武川县腾飞大道1号4楼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办公地址：北京市西城区宣武门西大街甲129号金隅大厦16层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法定代表人：张智河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联系人：李思萱</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联系电话：010-83991848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客户服务电话：95385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传真：010-66412537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网址：www.grzq.com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(108) 国盛证券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注册地址：江西省南昌市新建区子实路1589号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办公地址：江西省南昌市红谷滩新区凤凰中大道1115号北京银行大厦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法定代表人：徐丽峰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联系人：占文驰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联系电话：0791-86283372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客户服务电话：956080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传真：0791-86281305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网址：www.gszq.com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(109) 国泰君安证券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注册地址：中国（上海）自由贸易试验区商城路618号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办公地址：上海市静安区南京西路768号国泰君安大厦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法定代表人：贺青</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联系人：芮敏祺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客户服务电话：95521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传真：021-38670666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网址：www.gtja.com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(110) 国信证券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注册地址：深圳市罗湖区红岭中路1012号国信证券大厦十六层至二十六层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办公地址：深圳市罗湖区红岭中路1012号国信证券大厦十六层至二十六层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法定代表人：何如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联系人：李颖</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联系电话：0755-82130833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客户服务电话：95536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传真：0755-82133952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网址：www.guosen.com.cn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(111) 国元证券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注册地址：安徽省合肥市梅山路18号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办公地址：安徽省合肥市梅山路18号安徽国际金融中心A座国元证券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法定代表人：俞仕新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联系人：李蔡</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客户服务电话：95578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传真：0551-2272100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网址：www.gyzq.com.cn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(112) 海通证券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注册地址：上海市广东路689号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办公地址：上海市广东路689号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法定代表人：周杰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联系人：金芸、李笑鸣</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联系电话：021-23219000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客户服务电话：95553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传真：021-23219100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网址：www.htsec.com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(113) 红塔证券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注册地址：云南省昆明市北京路155号附1号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办公地址：云南省昆明市北京路155号附1号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法定代表人：李素明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联系人：罗德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联系电话：0871-63582843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客户服务电话：956060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传真：0871-63578827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网址：http://www.hongtastock.com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(114) 华安证券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注册地址：安徽省合肥市政务文化新区天鹅湖路198号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办公地址：安徽省合肥市政务文化新区天鹅湖路198号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法定代表人：章宏韬</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联系人：范超</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联系电话：0551-65161821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客户服务电话：95318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传真：0551-65161825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网址：www.hazq.com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(115) 华宝证券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注册地址：中国（上海）自由贸易试验区世纪大道100号57层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办公地址：中国（上海）自由贸易试验区世纪大道100号57层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法定代表人：刘加海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联系人：刘闻川</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联系电话：021-20657517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客户服务电话：400-820-9898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传真：021-20515593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网址：www.cnhbstock.com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(116) 华福证券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注册地址：福建省福州市鼓楼区鼓屏路27号1#楼3层、4层、5层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办公地址：上海市浦东新区陆家嘴环路1088号招商银行大厦18-19楼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法定代表人：黄金琳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联系人：王虹</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联系电话：021-20655183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客户服务电话：95547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传真：021-20655196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网址：www.hfzq.com.cn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(117) 华林证券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注册地址：拉萨市柳梧新区国际总部城3幢1单元5-5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办公地址：深圳市福田区民田路178号华融大厦6楼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法定代表人：林立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联系人：胡倩</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联系电话：0755-83255199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客户服务电话：400-188-3888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网址：www.chinalin.com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(118) 华龙证券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注册地址：兰州市城关区东岗西路638号兰州财富中心21楼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办公地址：兰州市城关区东岗西路638号兰州财富中心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法定代表人：陈牧原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联系人：范坤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联系电话：0931-4890208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客户服务电话：95368、400-689-8888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传真：0931-4890628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网址：www.hlzq.com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(119) 华融证券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注册地址：北京市西城区金融大街8号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办公地址：北京市朝阳区朝阳门北大街18号中国人保寿险大厦11至18层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法定代表人：张海文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联系人：孙燕波</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联系电话：010-85556048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客户服务电话：95390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传真：010-85556088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网址：www.hrsec.com.cn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(120) 华泰证券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注册地址：南京市江东中路228号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办公地址：南京市建邺区江东中路228号华泰证券广场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联系人：庞晓芸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联系电话：0755-82492193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客户服务电话：95597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传真：025-83387523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网址：www.htsc.com.cn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(121) 华西证券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注册地址：四川省成都市高新区天府二街198号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办公地址：四川省成都市高新区天府二街198号华西证券大厦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法定代表人：杨炯洋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联系人：张彬</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联系电话：010-58124967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客户服务电话：95584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传真：028-86150040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网址：www.hx168.com.cn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(122) 华鑫证券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注册地址：深圳市福田区莲花街道福中社区深南大道2008号中国凤凰大厦1栋20C-1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办公地址：上海市徐汇区宛平南路8号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法定代表人：俞洋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联系人：杨莉娟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联系电话：021-54967552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客户服务电话：95323（全国）、400-109-9918（全国）、029-68918888（西安）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传真：021-54967293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网址：www.cfsc.com.cn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(123) 华信证券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注册地址：上海浦东新区世纪大道100号环球金融中心9楼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办公地址：上海市黄浦区南京西路399号明天广场23楼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法定代表人：陈灿辉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联系人：徐璐</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联系电话：021-63898952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客户服务电话：400-820-5999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传真：021-68776977转8952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网址：www.shhxzq.com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(124) 江海证券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注册地址：黑龙江省哈尔滨市香坊区赣水路56号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办公地址：黑龙江省哈尔滨市松北区创新三路833号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法定代表人：赵洪波</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联系人：姜志伟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联系电话：0451-87765732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客户服务电话：956007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传真：0451-82337279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网址：www.jhzq.com.cn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(125) 金元证券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注册地址：海口市南宝路36号证券大厦4楼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办公地址：深圳市深南大道4001号时代金融中心大厦17楼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法定代表人：王作义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联系人：刘萍</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联系电话：0755-83025693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客户服务电话：95372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传真：0755-83025625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网址：www.jyzq.cn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(126) 九州证券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注册地址：青海省西宁市南川工业园区创业路108号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办公地址：北京市朝阳区安立路30号仰山公园东一门2号楼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法定代表人：魏先锋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联系人：张思思</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联系电话：010-57672272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客户服务电话：95305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传真：010-57672296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网址：www.jzsec.com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(127) 开源证券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注册地址：陕西省西安市高新区锦业路1号都市之门B座5层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办公地址：陕西省西安市高新区锦业路1号都市之门B座5层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法定代表人：李刚</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联系人：张蕊</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联系电话：029-88365809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客户服务电话：95325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网址：www.kysec.cn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(128) 联储证券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注册地址：广东省深圳市福田区福田街道岗厦社区深南大道南侧金地中心大厦9楼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办公地址：上海市浦东新区陆家嘴环路333号金砖大厦8楼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法定代表人：吕春卫</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联系人：张婉婷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联系电话：010-86499765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客户服务电话：400-620-6868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网址：www.lczq.com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(129) 南京证券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注册地址：南京市江东中路389号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办公地址：南京市江东中路389号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法定代表人：步国旬</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联系人：王万君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联系电话：025-58519523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客户服务电话：95386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传真：025-83369725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网址：www.njzq.com.cn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(130) 平安证券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注册地址：深圳市福田区福田街道益田路5023号平安金融中心B座第22-25层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办公地址：深圳市福田区金田路4036号荣超大厦16-20层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法定代表人：何之江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联系人：周驰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联系电话：021-38643230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客户服务电话：95511-8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传真：021-58991896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网址：stock.pingan.com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(131) 瑞银证券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注册地址：北京市西城区金融大街7号英蓝国际金融中心12层、15层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办公地址：北京市西城区金融大街7号英蓝国际金融中心12层、15层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法定代表人：钱于军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联系人：谢丹</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联系电话：0755-22158878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客户服务电话：400-887-8827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传真：010-58328170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网址：https://www.ubs.com/ubssecurities</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(132) 山西证券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注册地址：太原市府西街69号山西国际贸易中心东塔楼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办公地址：太原市府西街69号山西国际贸易中心东塔楼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法定代表人：侯巍</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联系人：谢武兵</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联系电话：0351-8686721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客户服务电话：95573或400-666-1618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传真：0351-8686619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网址：www.i618.com.cn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(133) 上海证券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注册地址：上海市黄浦区四川中路213号7楼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办公地址：上海市四川中路213号久事商务大厦7楼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法定代表人：李俊杰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联系人：邵珍珍</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联系电话：021-53686888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客户服务电话：4008-918-918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传真：021-53686100、021-53686200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网址：https://www.shzq.com/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(134) 申万宏源西部证券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注册地址：新疆乌鲁木齐市高新区（新市区）北京南路358号大成国际大厦20楼2005室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办公地址：新疆乌鲁木齐市高新区（新市区）北京南路358号大成国际大厦20楼2005室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联系人：王怀春</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联系电话：0991-2307105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客户服务电话：4008-000-562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传真：010-88085195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网址：www.hysec.com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(135) 申万宏源证券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注册地址：上海市徐汇区长乐路989号45层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办公地址：上海市徐汇区长乐路989号世纪商贸广场45层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法定代表人：杨玉成</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联系人：余敏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联系电话：021-33388252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客户服务电话：95523、4008895523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传真：021-33388224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网址：www.swhysc.com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(136) 世纪证券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注册地址：深圳市前海深港合作区南山街道桂湾五路128号前海深港基金小镇对冲基金中心406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办公地址：深圳市福田区深南大道招商银行大厦40-42层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联系人：王雯</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联系电话：0755-83199511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客户服务电话：4008323000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网址：www.csco.com.cn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(137) 首创证券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注册地址：北京市西城区德胜门外大街115号德胜尚城E座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办公地址：北京市西城区德胜门外大街115号德胜尚城E座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法定代表人：毕劲松</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联系人：刘宇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联系电话：010-59366070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客户服务电话：400-620-0620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传真：010-59366055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网址：http://www.sczq.com.cn/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(138) 天风证券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注册地址：湖北省武汉市东湖新技术开发区关东园路2号高科大厦四楼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办公地址：湖北省武汉市武昌区中南路99号保利广场A座37楼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法定代表人：余磊</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联系人：程晓英</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联系电话：027-87617017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客户服务电话：4008005000、95391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传真：027-87618863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网址：http://www.tfzq.com/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(139) 万联证券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注册地址：广州市天河区珠江东路11号18、19楼全层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办公地址：广州市天河区珠江东路13号高德置地广场E栋12层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法定代表人：罗钦城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联系人：甘蕾</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联系电话：020-38286026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客户服务电话：95322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传真：020-38286588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网址：www.wlzq.cn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(140) 西部证券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注册地址：陕西省西安市新城区东新街319号8幢10000室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办公地址：陕西省西安市新城区东新街319号8幢10000室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法定代表人：徐朝晖</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联系人：梁承华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联系电话：029-87211526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客户服务电话：95582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传真：029-87211478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网址：www.westsecu.com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(141) 西南证券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注册地址：重庆市江北区桥北苑8号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办公地址：重庆市江北区桥北苑8号西南证券大厦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法定代表人：廖庆轩</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联系人：周青</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联系电话：023-63786633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客户服务电话：4008096096或95355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传真：023-63786212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网址：www.swsc.com.cn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(142) 湘财证券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注册地址：湖南省长沙市天心区湘府中路198号新南城商务中心A栋11楼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办公地址：湖南省长沙市天心区湘府中路198号新南城商务中心A栋11楼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法定代表人：孙永祥</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联系人：李欣</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联系电话：021-38784580-8918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客户服务电话：95351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传真：021-68865680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网址：www.xcsc.com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(143) 新时代证券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注册地址：北京市海淀区北三环西路99号院1号楼15层1501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办公地址：北京市海淀区北三环西路99号院1号楼15层1501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法定代表人：叶顺德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联系人：田芳芳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联系电话：010-83561146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网址：www.xsdzq.cn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(144) 信达证券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注册地址：北京市西城区闹市口大街9号院1号楼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办公地址：北京市西城区闹市口大街9号院1号楼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法定代表人：肖林</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联系人：尹旭航</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联系电话：010-63081000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客户服务电话：95321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传真：010-63080978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网址：www.cindasc.com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(145) 兴业证券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注册地址：福州市湖东路268号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办公地址：上海浦东新区长柳路36号兴业证券大厦20楼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法定代表人：杨华辉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联系人：乔琳雪</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联系电话：021-38565547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客户服务电话：95562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网址：www.xyzq.com.cn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(146) 银河证券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注册地址：北京市西城区金融大街35号2-6层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办公地址：北京市西城区金融大街35号国际企业大厦C座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法定代表人：陈共炎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联系人：辛国政</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联系电话：010-83574507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客户服务电话：4008-888-888或95551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网址：www.chinastock.com.cn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(147) 粤开证券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注册地址：惠州市江北东江三路55号广播电视新闻中心西面一层大堂和三、四层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办公地址：深圳市福田区深南中路2002号中广核大厦北楼10层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法定代表人：严亦斌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联系人：彭莲</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联系电话：0755-83331195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客户服务电话：95564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公司网址：http://www.ykzq.com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(148) 招商证券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注册地址：深圳市福田区福田街道福华一路111号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办公地址：深圳市福田区福田街道福华一路111号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法定代表人：霍达</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联系人：黄婵君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联系电话：0755-82943666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客户服务电话：95565、400-8888-111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传真：0755-82943636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网址：www.newone.com.cn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(149) 浙商证券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注册地址：浙江省杭州市江干区五星路201号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办公地址：浙江省杭州市江干区五星路201号浙商证券大楼8楼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法定代表人：吴承根</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联系人：高扬</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联系电话：0571-87902974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客户服务电话：95345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传真：0571-87901913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网址：www.stocke.com.cn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(150) 中航证券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注册地址：江西省南昌市红谷滩新区红谷中大道1619号南昌国际金融大厦A栋41层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办公地址：江西省南昌市红谷滩新区红谷中大道1619号南昌国际金融大厦A栋41层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法定代表人：王晓峰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联系人：王紫雯</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联系电话：15611538682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客户服务电话：95335或400-88-95335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传真：010-59562637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网址：www.avicsec.com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(151) 中金财富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注册地址：深圳市福田区益田路与福中路交界处荣超商务中心A栋第18-21层及第04层01.02.03.05.11.12.13.15.16.18.19.20.21.22.23单元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办公地址：深圳福田区益田路6003号荣超商务中心A座4层、18-21层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法定代表人：高涛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联系人：万玉琳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联系电话：0755-82026907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客户服务电话：95532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网址：https://www.ciccwm.com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(152) 中金公司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注册地址：北京市朝阳区建国门外大街1号国贸大厦2座27层及28层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办公地址：北京市朝阳区建国门外大街甲6号SK大厦38层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法定代表人：沈如军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联系人：杨涵宇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联系电话：010-65051166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客户服务电话：4009101166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网址：www.cicc.com.cn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(153) 中山证券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注册地址：深圳市南山区粤海街道蔚蓝海岸社区创业路1777号海信南方大厦21、22层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办公地址：深圳市南山区创业路1777号海信南方大厦21、22层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法定代表人：林炳城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联系人：罗艺琳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电话：0755-82943755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传真：0755-82960582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客户服务电话：95329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网址：www.zszq.com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(154) 中泰证券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注册地址：济南市市中区经七路86号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办公地址：山东省济南市经七路86号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法定代表人：李玮</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联系人：许曼华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联系电话：021-20315290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客户服务电话：95538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传真：0531-68889095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网址：www.zts.com.cn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(155) 中天证券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注册地址：辽宁省沈阳市和平区光荣街23甲</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办公地址：辽宁省沈阳市和平区光荣街23甲</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法定代表人：马功勋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联系人：李泓灏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联系电话：024-23255256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客户服务电话：024-95346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传真：024-23255606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网址：www.iztzq.com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(156) 中信建投证券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注册地址：北京市朝阳区安立路66号4号楼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办公地址：北京市朝阳门内大街188号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法定代表人：王常青</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联系人：刘芸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联系电话：010－85130554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客户服务电话：95587或4008-888-108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网址：http://www.csc108.com/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(157) 中信证券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注册地址：广东省深圳市福田区中心三路8号卓越时代广场（二期）北座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办公地址：北京市朝阳区亮马桥路48号中信证券大厦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法定代表人：张佑君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联系人：王一通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联系电话：010-60838888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客户服务电话：95548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传真：010-60836029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网址：www.cs.ecitic.com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(158) 中信证券（华南）</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注册地址：广州市天河区珠江西路5号广州国际金融中心主塔19层、20层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办公地址：广州市天河区珠江西路5号广州国际金融中心主塔19层、20层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法定代表人：胡伏云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联系人：陈靖</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联系电话：020-88836999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传真：020-88836984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网址：www.gzs.com.cn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(159) 中信证券（山东）</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注册地址：青岛市崂山区深圳路222号1号楼2001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办公地址：青岛市市南区东海西路28号龙翔广场东座5层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法定代表人：姜晓林</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联系人：焦刚</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联系电话：0531-89606166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客户服务电话：95548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传真：0532-85022605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网址：http://sd.citics.com/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(160) 中银国际证券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注册地址：上海市浦东新区银城中路200号中银大厦39层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办公地址：上海市浦东新区银城中路200号中银大厦39-40层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法定代表人：宁敏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联系人：王炜哲</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客户服务电话：400-620-8888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传真：021-50372474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网址：www.bocichina.com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(161) 中邮证券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注册地址：陕西省西安市唐延路5号（陕西邮政信息大厦9-11层）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办公地址：北京市东城区珠市口东大街17号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法定代表人：丁奇文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联系人：岳帅</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 010-67017788-6068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客户服务电话：4008-888-005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传真：010-67017788-9696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网址：www.cnpsec.com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(162) 中原证券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注册地址：郑州市郑东新区商务外环路10号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办公地址：河南省郑州市郑东新区商务外环路10号中原广发金融大厦19楼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法定代表人：菅明军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联系人：程月艳  李盼盼 党静</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联系电话：0371-69099882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客户服务电话：95377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传真：0371-65585899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网址：www.ccnew.com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(163) 百度百盈</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注册地址：北京市海淀区西北旺东路10号院西区4号楼1层103室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办公地址：北京市海淀区西北旺东路10号院西区4号楼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法定代表人：葛新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联系人：孙博超</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联系电话：010-59403028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客户服务电话：95055-4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网址：www.baiyingfund.com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(164) 长量基金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注册地址：上海市浦东新区高翔路526号2幢220室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办公地址：上海市浦东新区东方路1267号陆家嘴金融服务广场二期11层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法定代表人：张跃伟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联系人：党敏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联系电话：021-20691935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客户服务电话：400-820-2899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传真：021-20691861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网址：www.erichfund.com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(165) 朝阳永续</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注册地址：浦东新区上丰路977号1幢B座812室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办公地址：上海市浦东新区碧波路690号4号楼2楼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法人代表：廖冰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联系人：陆纪青</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联系电话：021-80234888-6813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客户服务电话：400-699-1888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网址：www.998fund.com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(166) 创金启富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注册地址：北京市西城区白纸坊东街2号院6号楼712室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办公地址：北京市西城区白纸坊东街2号院6号楼712室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法定代表人：梁蓉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联系人：杨凤椅</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联系电话：010-66154828-8047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客户服务电话：400-6262-818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传真：010-63583991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网址：www.5irich.com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(167) 大泰金石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注册地址：南京市建邺区江东中路102号708室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办公地址：上海市浦东新区峨山路505号东方纯一大厦15楼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法定代表人：陈达伟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联系人：孟召社</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联系电话：021-20324176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客户服务电话：400-995-9220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传真：021-20324199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网址：www.dtfunds.com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(168) 大智慧基金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注册地址：中国（上海）自由贸易试验区杨高南路428号1号楼1102单元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办公地址：中国（上海）自由贸易试验区杨高南路428号1号楼1102单元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法定代表人：申健</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联系人：张蜓</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联系电话：021-20219988-35374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客户服务电话：021-20292031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传真：021-20219923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网址：https://www.wg.com.cn/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(169) 蛋卷基金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注册地址：北京市朝阳区创远路34号院6号楼15层1501室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办公地址：北京市朝阳区创远路 34 号院融新科技中心 C 座 17 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法定代表人：钟斐斐</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联系人：侯芳芳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联系电话：010-61840688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客户服务电话：4001599288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网址：https://danjuanapp.com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(170) 鼎信汇金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注册地址：北京市海淀区太月园3号楼5层521室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办公地址：北京市海淀区太月园3号楼5层521室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法定代表人：齐凌峰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联系人：阮志凌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联系电话：010-82050520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客户服务电话：400-886-3311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传真：010-82086110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网址：www.9ifund.com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(171) 东证期货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注册地址：中国（上海）自由贸易试验区浦电路500号上海期货大厦14层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办公地址：上海市黄浦区中山南路318号2号楼22楼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法定代表人：卢大印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联系人：张敏圆</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联系电话：021-63325888-4259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客户服务电话：4008859999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传真：021-63326752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网址：www.dzqh.com.cn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(172) 泛华普益</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注册地址：四川省成都市成华区建设路9号高地中心1101室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办公地址：成都市金牛区花照壁西顺街399号1栋1单元龙湖西宸天街B座1201号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法定代表人：于海锋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联系人：陈丹</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联系电话：15114053620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客户服务电话：400-080-3388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网址：www.puyifund.com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(173) 富济基金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注册地址：深圳市福田区福田街道岗厦社区金田路3088号中洲大厦3203A单元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办公地址：深圳市福田区福田街道岗厦社区金田路3088号中洲大厦3203A单元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法定代表人：祝中村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联系人：曾瑶敏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联系电话：0755-83999907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客户服务电话：0755-83999907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传真：0755-83999926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网址：www.fujifund.cn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(174) 海银基金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注册地址：中国（上海）自由贸易试验区银城中路8号402室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办公地址：上海市浦东新区银城中路8号海银金融中心4楼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法定代表人：巩巧丽</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联系人：毛林</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联系电话：021-80133597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客户服务电话：400-808-1016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传真：021-80133413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网址：www.fundhaiyin.com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(175) 好买基金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注册地址：上海市虹口区欧阳路196号26号楼2楼41号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办公地址：上海市浦东南路1118号鄂尔多斯国际大厦903～906室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法定代表人：杨文斌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联系人：高源</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联系电话：021-36696312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客户服务电话：400-700-9665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传真：021-68596919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网址：www.ehowbuy.com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(176) 和讯信息</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注册地址：北京市朝阳区朝外大街22号1002室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办公地址：北京市朝阳区朝外大街22号泛利大厦10层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联系人：陈慧慧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联系电话：010-85657353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客户服务电话：400-920-0022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传真：010-65884788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网址：http://licaike.hexun.com/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(177) 恒天明泽</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注册地址：北京市经济技术开发区宏达北路10号五层5122室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办公地址：北京市朝阳区东三环北路甲19号SOHO嘉盛中心30层3001室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法定代表人：周斌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联系人：陈霞</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联系电话：010-59313555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客户服务电话：4008980618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传真：010-59313586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网址：www.chtwm.com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(178) 弘业期货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注册地址：江苏省南京市秦淮区中华路50号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办公地址：江苏省南京市秦淮区中华路50号弘业大厦9楼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法人代表：周剑秋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联系人：张苏怡</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联系电话：025-52278981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客户服务电话：400-828-1288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网址：www.ftol.com.cn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(179) 虹点基金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注册地址：北京市朝阳区东三环北路17号10层1015室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办公地址：北京市朝阳区工体北路甲2号盈科中心东门2层216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法定代表人：何静</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联系人：牛亚楠</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联系电话：010-65951887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客户服务电话：400-618-0707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网址：www.hongdianfund.com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(180) 华夏财富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注册地址：上海市虹口区东大名路687号1幢2楼268室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办公地址：北京市西城区金融大街33号通泰大厦B座8层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法定代表人：毛淮平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联系人：张静怡</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联系电话：010-88066632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客户服务电话：400-817-5666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传真：010-63136184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网址：www.amcfortune.com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(181) 徽商期货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注册地址：安徽省合肥市芜湖路258号3号楼6-7层，6号楼1-2层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办公地址：合肥市芜湖路258号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法人代表：吴国华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联系人：申倩倩</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联系电话：0551-62865215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客户服务电话：400-887-8707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网址：www.hsqh.net</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(182) 汇成基金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注册地址：北京市海淀区中关村大街11号11层1108号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办公地址：北京市西城区西直门外大街1号院2号楼 19层 19C13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法定代表人：王伟刚</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联系人：王骁骁</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联系电话：010-56251471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客户服务电话：400-619-9059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网址：www.hcjijin.com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(183) 汇付基金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注册地址：上海市黄浦区黄河路333号201室A区056单元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办公地址：上海市徐汇区宜山路700号普天信息产业园2期C5栋 汇付天下总部大楼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法定代表人：金佶</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联系人：甄宝林</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联系电话：021-34013996-3011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客户服务电话：021-34013999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传真：021-33323837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网址：www.hotjijin.com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(184) 济安财富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注册地址：北京市朝阳区太阳宫中路16号院1号楼3层307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办公地址：北京市朝阳区太阳宫中路16号院1号楼冠捷大厦3层307单元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法定代表人：杨健</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联系人：李海燕</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联系电话：010-65309516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客户服务电话：400-673-7010（济安财富官网）  400-071-6766（腾讯财经）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传真：010-65330699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网址：www.jianfortune.com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(185) 加和基金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注册地址：北京市西城区德胜门外大街13号院1号楼5层505室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办公地址：北京市西城区德胜门外大街13号院1号楼5层505室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法定代表人：曲阳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联系人：王梓骄</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联系电话：010-80456756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客户服务电话：400-803-1188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传真：010-80456278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网址：www.bzfunds.com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(186) 嘉实财富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注册地址：中国（上海）自由贸易试验区世纪大道8号上海国金中心办公楼二期53层5312-15单元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办公地址：北京市朝阳区建国路91号金地中心A座6层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法定代表人：赵学军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联系人：李雯</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联系电话：010-60842306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客户服务电话：400-021-8850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传真：010-85712195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网址：www.harvestwm.cn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(187) 金百临</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注册地址：无锡市滨湖区锦溪路99号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办公地址：江苏省无锡市太湖新城锦溪道楝泽路9号楼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法人代表：费晓燕</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联系人：邹云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联系电话：0510-81188088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客户服务电话：0510-9688988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网址：www.jsjbl.com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(188) 金观诚</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注册地址：杭州拱墅区登云路45号金诚集团（锦昌大厦）1幢10楼1001室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办公地址：杭州拱墅区登云路55号金诚集团（锦昌大厦）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法定代表人：蒋雪琦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联系人：来舒岚</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联系电话：0571-88337888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客户服务电话：4000680058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传真：0571-88337666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网址：http://www.jincheng-fund.com/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(189) 久富财富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注册地址：上海市浦东新区莱阳路2819号1幢109室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办公地址：上海市浦东新区民生路1403号上海信息大厦1215室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法定代表人：赵惠蓉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联系人：赵惠蓉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联系电话：021-68682279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客户服务电话：400-102-1813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传真：021-68682297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网址：www.jfcta.com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(190) 凯石财富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注册地址：上海市黄浦区西藏南路765号602-115室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办公地址：上海市黄浦区延安东路1号凯石大厦4楼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法定代表人：陈继武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联系人：冯强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联系电话：021-63333389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客户服务电话：4006-433-389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传真：021-63333390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网址：www.vstonewealth.com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(191) 肯特瑞基金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注册地址：北京市海淀区西三旗建材城中路12号17号平房157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办公地址：北京市大兴区亦庄经济开发区科创十一街十八号院京东集团总部A座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法定代表人：王苏宁</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联系人：娄云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联系电话：010-89189291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客户服务电话：95118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网址：http://fund.jd.com/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(192) 利得基金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注册地址：上海市宝山区蕴川路5475号1033室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办公地址：上海市虹口区东大名路1098号浦江国际金融广场53层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法定代表人：李兴春</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联系人：陈孜明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联系电话：86-021-50583533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客户服务电话：95733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传真：86-21-61101630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网址：www.leadfund.com.cn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(193) 联泰基金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注册地址：中国（上海）自由贸易试验区富特北路277号3层310室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办公地址：上海市长宁区福泉北路518号8座3楼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法定代表人：尹彬彬</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联系人：陈东</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联系电话：021-52822063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客户服务电话：400-118-1188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传真：021-52975270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网址：www.66zichan.com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(194) 陆基金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注册地址：中国（上海）自由贸易试验区陆家嘴环路1333号14楼09单元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办公地址：中国（上海）自由贸易试验区陆家嘴环路1333号14楼09单元</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法定代表人：王之光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联系人：宁博宇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联系电话：021-20665952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客户服务电话：4008219031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传真：021-22066653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网址：www.lufunds.com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(195) 蚂蚁基金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注册地址：浙江省杭州市余杭区五常街道文一西路969号3幢5层599室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办公地址：浙江省杭州市西湖区万塘路18号黄龙时代广场B座6F</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法定代表人：祖国明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联系人：韩爱彬</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联系电话：0571-26888888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客户服务电话：4000-766-123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网址：http://www.fund123.cn/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(196) 民商基金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注册地址：上海黄浦区北京东路666号H区（东座）6楼A31室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办公地址：上海市浦东新区张杨路707号生命人寿大厦32楼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法定代表人：贲惠琴</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联系人：杨一新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联系电话：021-50206003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客户服务电话：021-50206003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传真：021-50206001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网址：http://www.msftec.com/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(197) 诺亚正行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注册地址：上海市虹口区飞虹路360弄9号3724室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办公地址：上海市杨浦区长阳路1687号长阳谷2号楼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法定代表人：汪静波</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联系电话：021-80358523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客户服务电话：400-821-5399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传真：021-38509777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网址：www.noah-fund.com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(198) 浦领基金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注册地址：北京市朝阳区望京东园四区13号楼A座9层908室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办公地址：北京市朝阳区望京浦项中心A座9层04-08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法定代表人：聂婉君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联系电话：010-59497361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客户服务电话：400-012-5899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传真：010-64788016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网址：www.zscffund.com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(199) 钱景基金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注册地址：北京市海淀区中关村东路18号1号楼11层B-1108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办公地址：北京市海淀区中关村东路18号财智国际大厦B-1108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法定代表人：王利刚</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联系人：姚付景</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联系电话：010-62565181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客户服务电话：400-893-6885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传真：010-57569671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网址：www.qianjing.com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(200) 深圳新兰德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注册地址：深圳市福田区福田街道民田路178号华融大厦27层2704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办公地址：北京市西城区宣武门外大街28号富卓大厦A座7层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法定代表人：洪弘</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联系人：张燕</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联系电话：010-83363099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客户服务电话：400-166-1188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传真：010-83363010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网址：http://8.jrj.com.cn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(201) 晟视天下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注册地址：北京市怀柔区九渡河镇黄坎村735号03室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办公地址：北京市朝阳区朝外大街甲六号万通中心D座21层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法定代表人：蒋煜</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联系人：史俊杰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联系电话：010-58170936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客户服务电话：010-58170761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传真：010-58170800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网址：www.shengshiview.com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(202) 苏宁基金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注册地址：南京市玄武区苏宁大道1-5号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办公地址：南京市玄武区苏宁大道1-5号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联系人：张云飞</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联系电话：025-66996699-882796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客户服务电话：95177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网址：www.snjijin.com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(203) 天天基金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注册地址：上海市徐汇区龙田路190号2号楼2层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办公地址：上海市徐汇区宛平南路88号东方财富大厦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法定代表人：其实</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联系人：屠彦洋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联系电话：021-54509977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客户服务电话：95021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传真：021-64385308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网址：www.1234567.com.cn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(204) 通华财富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注册地址：上海市虹口区同丰路667弄107号201室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办公地址：上海市浦东新区金沪路55号通华科技大厦2楼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法定代表人：沈丹义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联系人：杨涛、庄洁茹</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联系电话：021-60810586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客户服务电话：400-101-9301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传真：021-60810695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网址：www.tonghuafund.com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(205) 同花顺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注册地址：浙江省杭州市文二西路1号903室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办公地址：杭州市余杭区五常街道同顺街18号同花顺大楼4层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法定代表人：吴强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联系人：吴强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联系电话：0571-88911818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客户服务电话：952555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传真：0571-86800423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网址：www.5ifund.com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(206) 途牛基金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注册地址：江苏省南京市玄武区玄武大道699-1号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办公地址：江苏省南京市玄武区玄武大道699-32号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法人代表：宋时琳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联系人：贺杰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联系电话：025-86853960-66727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客户服务电话：4007-999-999转3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网址：http://jr.tuniu.com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(207) 挖财基金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注册地址：中国（上海）自由贸易试验区杨高南路799号5楼04室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办公地址：上海市浦东新区杨高南路799号陆家嘴世纪金融广场3号楼5层04室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法定代表人：吕柳霞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联系人：曾芸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联系电话：021-50810687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客户服务电话：021-50810673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网址：www.wacaijijin.com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(208) 万得基金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注册地址：中国（上海）自由贸易试验区福山路33号11楼B座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办公地址：上海市浦东新区浦明路1500号万得大厦11楼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法定代表人：黄祎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联系人：徐亚丹</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联系电话：021-50712782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客户服务电话：400-799-1888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网址：www.520fund.com.cn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(209) 万家财富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注册地址：天津自贸区（中心商务区）迎宾大道1988号滨海浙商大厦公寓2-2413室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办公地址：北京市西城区丰盛胡同28号太平洋保险大厦A座5层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联系人：王芳芳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联系电话：010-59013828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客户服务电话：010-59013895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网址：http://www.wanjiawealth.com/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(210) 新浪仓石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注册地址：北京市海淀区东北旺西路中关村软件园二期（西扩）N-1、N-2地块新浪总部科研楼5层518室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办公地址：北京市海淀区西北旺东路10号院东区3号楼为明大厦C座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法定代表人：赵芯蕊</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联系人：赵芯蕊</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联系电话：010-62625768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客户服务电话：010-62675369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传真：010-62676582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网址：www.xincai.com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(211) 鑫鼎盛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注册地址：厦门市思明区鹭江道2号厦门第一广场西座1501-1502室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办公地址：厦门市思明区鹭江道2号厦门第一广场西座1501-1502室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 xml:space="preserve">法定代表人：陈洪生 </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联系人：梁云波</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联系电话：0592-3122757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客户服务电话：400-6533-789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网址：www.xds.com.cn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(212) 阳光人寿保险</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注册地址：海南省三亚市迎宾路360-1号三亚阳光金融广场16层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办公地址：北京市朝阳区朝外大街20号联合大厦701A室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法定代表人：李科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联系人：王磊</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联系电话：010-85632772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客户服务电话：95510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传真：010-85632773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网址：http://fund.sinosig.com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(213) 一路财富</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注册地址：北京市海淀区宝盛南路1号院20号楼9层101-14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办公地址：北京市海淀区宝盛南路奥北科技园20号楼国泰大厦9层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法定代表人：吴雪秀</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联系人：刘栋栋</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联系电话：010-88312877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客户服务电话：400-001-1566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传真：010-88312099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网址：www.yilucaifu.com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(214) 宜投基金销售</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注册地址：深圳市前海深港合作区前湾一路1号A栋201室（入驻深圳市前海商务秘书有限公司）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办公地址：深圳市福田区嘉里建设广场2座15楼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法定代表人：雷凤潮</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联系人：梁菲菲</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联系电话：0755-88603874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客户服务电话：4008-955-811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网址：www.yitfund.com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(215) 宜信普泽</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注册地址：北京市朝阳区西大望路1号9层公寓1008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办公地址：北京市朝阳区建国路88号楼SOHO现代城C座18层1809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法定代表人：戎兵</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联系人：魏晨</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联系电话：010-52413385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客户服务电话：400-6099-200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传真：010-85800047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网址：www.yixinfund.com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(216) 奕丰金融</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注册地址：深圳市前海深港合作区前湾一路1号A栋201室（入驻深圳市前海商务秘书有限公司）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办公地址：深圳市南山区海德三道航天科技广场A座17楼1704室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法定代表人：TEO WEE HOWE</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联系人：叶健</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联系电话：0755-89460507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客户服务电话：400-684-0500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传真：0755-21674453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网址：www.ifastps.com.cn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(217) 盈米基金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注册地址：珠海市横琴新区宝华路6号105室-3491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办公地址：广州市海珠区琶洲大道东路1号保利国际广场南塔1201-1203室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法定代表人：肖雯</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联系人：邱湘湘</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联系电话：020-89629099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客户服务电话：020-89629066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传真：020-89629011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网址：www.yingmi.cn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(218) 云湾基金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注册地址：中国（上海）自由贸易试验区新金桥路27号、明月路1257号1幢1层103-1、</w:t>
      </w:r>
      <w:r w:rsidRPr="00565E0D">
        <w:rPr>
          <w:rFonts w:asciiTheme="minorEastAsia" w:eastAsiaTheme="minorEastAsia" w:hAnsiTheme="minorEastAsia" w:cs="宋体" w:hint="eastAsia"/>
          <w:kern w:val="0"/>
          <w:szCs w:val="21"/>
        </w:rPr>
        <w:lastRenderedPageBreak/>
        <w:t>103-2办公区</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办公地址：上海市浦东新区新金桥路27号1号楼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法定代表人：冯轶明</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联系人：范泽杰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联系电话：021-20530186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客户服务电话：400-820-1515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传真：021-20539999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网址：http://www.zhengtongfunds.com/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(219) 增财基金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注册地址：北京市西城区南礼士路66号建威大厦1208室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办公地址：北京市西城区南礼士路66号建威大厦1208-1209室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法定代表人：罗细安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联系人：闫丽敏</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联系电话：010-67000988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客户服务电话：400-001-8811</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传真：010-67000988-6000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网址：www.zcvc.com.cn</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(220) 展恒基金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注册地址：北京市朝阳区安苑路11号西楼6层604、607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办公地址：北京市朝阳区安苑路15-1号邮电新闻大厦6层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法定代表人：闫振杰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联系人：李晓芳</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联系电话：010-59601366-7167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客户服务电话：400-818-8000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传真：0351-4110714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网址：www.myfund.com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(221) 中国国际期货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注册地址：北京市朝阳区建国门外光华路14号1幢6层609号、610号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办公地址：北京市朝阳区建国门外光华路14号1幢1层、2层、9层、11层、12层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法定代表人：王兵</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联系人：霍丽文</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联系电话：010-65807827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客户服务电话：95162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传真：010-59539806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网址：http://www.cifco.net/</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(222) 中期时代基金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注册地址：北京市朝阳区建国门外光华路14号1幢11层1103号</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办公地址：北京市朝阳区建国门外光华路14号1幢4层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法定代表人：田宏莉</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联系人：尹庆</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联系电话：010-65807865</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客户服务电话：95162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传真：010-65807864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网址：www.jrtoo.com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(223) 中信建投期货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注册地址：重庆市渝中区中山三路107号上站大楼平街11-B，名义层11-A，8-B4，9-B、C</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办公地址：重庆市渝中区中山三路107号皇冠大厦11楼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法定代表人：王广学</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联系人：刘芸</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联系电话：023-86769637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客户服务电话：400-8877-780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传真：023-86769629</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网址：www.cfc108.com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(224) 中信期货</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注册地址：广东省深圳市福田区中心三路8号卓越时代广场（二期）北座13层1301-1305室、14层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办公地址：深圳市福田区中心三路8号卓越时代广场（二期）北座13层1301-1305室、14层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法定代表人：张皓</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联系人：刘宏莹</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联系电话：010-6083 3754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客户服务电话：400-990-8826</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传真：021-60819988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网址：www.citicsf.com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(225) 中正达广</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注册地址：上海市徐汇区龙腾大道2815号302室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办公地址：上海市徐汇区龙腾大道2815号302室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法定代表人：黄欣</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联系人：戴珉微</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联系电话：021-33768132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客户服务电话：400-6767-523</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传真：021-33768132-802</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网址：www.zhongzhengfund.com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(226) 中证金牛</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注册地址：北京市丰台区东管头1号2号楼2-45室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办公地址：北京市西城区宣武门外大街甲1号环球财讯中心A座5层</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法定代表人：钱昊旻</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联系人：沈晨</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联系电话：010-59336544</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客户服务电话：4008-909-998</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网址：www.jnlc.com</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(227) 众禄基金</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注册地址：深圳市罗湖区笋岗街道笋西社区梨园路8号HALO广场一期四层12-13室</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办公地址：深圳市罗湖区梨园路HALO广场4楼</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法定代表人：薛峰</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联系人：龚江江</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联系电话：0755-33227950</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客户服务电话：4006-788-887</w:t>
      </w:r>
    </w:p>
    <w:p w:rsidR="003C78BB" w:rsidRPr="00565E0D" w:rsidRDefault="003C78BB" w:rsidP="003C78BB">
      <w:pPr>
        <w:tabs>
          <w:tab w:val="num" w:pos="360"/>
        </w:tabs>
        <w:snapToGrid w:val="0"/>
        <w:spacing w:line="360" w:lineRule="auto"/>
        <w:ind w:leftChars="171" w:left="359"/>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传真：0755-33227951</w:t>
      </w:r>
    </w:p>
    <w:p w:rsidR="005D059D" w:rsidRPr="00565E0D" w:rsidRDefault="003C78BB" w:rsidP="00D7714F">
      <w:pPr>
        <w:tabs>
          <w:tab w:val="num" w:pos="360"/>
        </w:tabs>
        <w:snapToGrid w:val="0"/>
        <w:spacing w:line="360" w:lineRule="auto"/>
        <w:ind w:leftChars="171" w:left="359" w:firstLine="199"/>
        <w:rPr>
          <w:rFonts w:asciiTheme="minorEastAsia" w:eastAsiaTheme="minorEastAsia" w:hAnsiTheme="minorEastAsia" w:cs="宋体"/>
          <w:b/>
          <w:kern w:val="0"/>
          <w:szCs w:val="21"/>
        </w:rPr>
      </w:pPr>
      <w:r w:rsidRPr="00565E0D">
        <w:rPr>
          <w:rFonts w:asciiTheme="minorEastAsia" w:eastAsiaTheme="minorEastAsia" w:hAnsiTheme="minorEastAsia" w:cs="宋体" w:hint="eastAsia"/>
          <w:kern w:val="0"/>
          <w:szCs w:val="21"/>
        </w:rPr>
        <w:t>网址：www.zlfund.cn    www.jjmmw.com</w:t>
      </w:r>
    </w:p>
    <w:p w:rsidR="00C35BC5" w:rsidRPr="00565E0D" w:rsidRDefault="00C35BC5" w:rsidP="00B5132A">
      <w:pPr>
        <w:pStyle w:val="2"/>
        <w:snapToGrid w:val="0"/>
        <w:spacing w:beforeLines="0" w:afterLines="0" w:line="360" w:lineRule="auto"/>
        <w:ind w:firstLineChars="71"/>
        <w:rPr>
          <w:rFonts w:asciiTheme="minorEastAsia" w:eastAsiaTheme="minorEastAsia" w:hAnsiTheme="minorEastAsia"/>
          <w:szCs w:val="21"/>
        </w:rPr>
      </w:pPr>
      <w:bookmarkStart w:id="14" w:name="_Toc38432429"/>
      <w:bookmarkStart w:id="15" w:name="_Toc38551171"/>
      <w:r w:rsidRPr="00565E0D">
        <w:rPr>
          <w:rFonts w:asciiTheme="minorEastAsia" w:eastAsiaTheme="minorEastAsia" w:hAnsiTheme="minorEastAsia" w:hint="eastAsia"/>
          <w:szCs w:val="21"/>
        </w:rPr>
        <w:t>（二）基金注册登记机构</w:t>
      </w:r>
      <w:bookmarkEnd w:id="14"/>
      <w:bookmarkEnd w:id="15"/>
    </w:p>
    <w:p w:rsidR="00C35BC5" w:rsidRPr="00565E0D" w:rsidRDefault="00C35BC5" w:rsidP="00552BE1">
      <w:pPr>
        <w:pStyle w:val="21"/>
        <w:snapToGrid w:val="0"/>
        <w:spacing w:before="0" w:beforeAutospacing="0" w:after="0" w:afterAutospacing="0"/>
        <w:ind w:firstLineChars="0" w:firstLine="420"/>
        <w:rPr>
          <w:rFonts w:asciiTheme="minorEastAsia" w:eastAsiaTheme="minorEastAsia" w:hAnsiTheme="minorEastAsia"/>
          <w:szCs w:val="21"/>
        </w:rPr>
      </w:pPr>
      <w:r w:rsidRPr="00565E0D">
        <w:rPr>
          <w:rFonts w:asciiTheme="minorEastAsia" w:eastAsiaTheme="minorEastAsia" w:hAnsiTheme="minorEastAsia" w:hint="eastAsia"/>
        </w:rPr>
        <w:t>名称：</w:t>
      </w:r>
      <w:r w:rsidRPr="00565E0D">
        <w:rPr>
          <w:rFonts w:asciiTheme="minorEastAsia" w:eastAsiaTheme="minorEastAsia" w:hAnsiTheme="minorEastAsia" w:hint="eastAsia"/>
          <w:szCs w:val="21"/>
        </w:rPr>
        <w:t>易方达基金管理有限公司</w:t>
      </w:r>
    </w:p>
    <w:p w:rsidR="00C35BC5" w:rsidRPr="00565E0D" w:rsidRDefault="00C35BC5" w:rsidP="00552BE1">
      <w:pPr>
        <w:pStyle w:val="21"/>
        <w:snapToGrid w:val="0"/>
        <w:spacing w:before="0" w:beforeAutospacing="0" w:after="0" w:afterAutospacing="0"/>
        <w:ind w:firstLineChars="0" w:firstLine="420"/>
        <w:rPr>
          <w:rFonts w:asciiTheme="minorEastAsia" w:eastAsiaTheme="minorEastAsia" w:hAnsiTheme="minorEastAsia"/>
          <w:szCs w:val="21"/>
        </w:rPr>
      </w:pPr>
      <w:r w:rsidRPr="00565E0D">
        <w:rPr>
          <w:rFonts w:asciiTheme="minorEastAsia" w:eastAsiaTheme="minorEastAsia" w:hAnsiTheme="minorEastAsia"/>
          <w:szCs w:val="21"/>
        </w:rPr>
        <w:t>注册地址：</w:t>
      </w:r>
      <w:r w:rsidR="0018727C" w:rsidRPr="00565E0D">
        <w:rPr>
          <w:rFonts w:asciiTheme="minorEastAsia" w:eastAsiaTheme="minorEastAsia" w:hAnsiTheme="minorEastAsia" w:cs="仿宋_GB2312" w:hint="eastAsia"/>
          <w:kern w:val="0"/>
        </w:rPr>
        <w:t>广东省珠海市横琴新区宝华路6号105室－42891（集中办公区）</w:t>
      </w:r>
    </w:p>
    <w:p w:rsidR="00C35BC5" w:rsidRPr="00565E0D" w:rsidRDefault="00C35BC5" w:rsidP="00552BE1">
      <w:pPr>
        <w:pStyle w:val="21"/>
        <w:snapToGrid w:val="0"/>
        <w:spacing w:before="0" w:beforeAutospacing="0" w:after="0" w:afterAutospacing="0"/>
        <w:ind w:firstLineChars="0" w:firstLine="420"/>
        <w:rPr>
          <w:rFonts w:asciiTheme="minorEastAsia" w:eastAsiaTheme="minorEastAsia" w:hAnsiTheme="minorEastAsia"/>
          <w:szCs w:val="21"/>
        </w:rPr>
      </w:pPr>
      <w:r w:rsidRPr="00565E0D">
        <w:rPr>
          <w:rFonts w:asciiTheme="minorEastAsia" w:eastAsiaTheme="minorEastAsia" w:hAnsiTheme="minorEastAsia"/>
        </w:rPr>
        <w:t>办公</w:t>
      </w:r>
      <w:r w:rsidRPr="00565E0D">
        <w:rPr>
          <w:rFonts w:asciiTheme="minorEastAsia" w:eastAsiaTheme="minorEastAsia" w:hAnsiTheme="minorEastAsia" w:hint="eastAsia"/>
          <w:szCs w:val="21"/>
        </w:rPr>
        <w:t>地址：</w:t>
      </w:r>
      <w:r w:rsidR="005C683A" w:rsidRPr="00565E0D">
        <w:rPr>
          <w:rFonts w:asciiTheme="minorEastAsia" w:eastAsiaTheme="minorEastAsia" w:hAnsiTheme="minorEastAsia" w:cs="仿宋_GB2312" w:hint="eastAsia"/>
          <w:kern w:val="0"/>
        </w:rPr>
        <w:t>广州市天河区珠江新城珠江东路30号广州银行大厦40-43楼</w:t>
      </w:r>
    </w:p>
    <w:p w:rsidR="00C35BC5" w:rsidRPr="00565E0D" w:rsidRDefault="00C35BC5" w:rsidP="00552BE1">
      <w:pPr>
        <w:pStyle w:val="21"/>
        <w:snapToGrid w:val="0"/>
        <w:spacing w:before="0" w:beforeAutospacing="0" w:after="0" w:afterAutospacing="0"/>
        <w:ind w:firstLineChars="0" w:firstLine="420"/>
        <w:rPr>
          <w:rFonts w:asciiTheme="minorEastAsia" w:eastAsiaTheme="minorEastAsia" w:hAnsiTheme="minorEastAsia"/>
          <w:szCs w:val="21"/>
        </w:rPr>
      </w:pPr>
      <w:r w:rsidRPr="00565E0D">
        <w:rPr>
          <w:rFonts w:asciiTheme="minorEastAsia" w:eastAsiaTheme="minorEastAsia" w:hAnsiTheme="minorEastAsia" w:hint="eastAsia"/>
          <w:szCs w:val="21"/>
        </w:rPr>
        <w:t>法定代表人：</w:t>
      </w:r>
      <w:r w:rsidR="00170BAB" w:rsidRPr="00565E0D">
        <w:rPr>
          <w:rFonts w:asciiTheme="minorEastAsia" w:eastAsiaTheme="minorEastAsia" w:hAnsiTheme="minorEastAsia" w:hint="eastAsia"/>
          <w:szCs w:val="21"/>
        </w:rPr>
        <w:t>刘晓艳</w:t>
      </w:r>
    </w:p>
    <w:p w:rsidR="00C35BC5" w:rsidRPr="00565E0D" w:rsidRDefault="00C35BC5" w:rsidP="00552BE1">
      <w:pPr>
        <w:pStyle w:val="21"/>
        <w:snapToGrid w:val="0"/>
        <w:spacing w:before="0" w:beforeAutospacing="0" w:after="0" w:afterAutospacing="0"/>
        <w:ind w:firstLineChars="0" w:firstLine="420"/>
        <w:rPr>
          <w:rFonts w:asciiTheme="minorEastAsia" w:eastAsiaTheme="minorEastAsia" w:hAnsiTheme="minorEastAsia"/>
          <w:szCs w:val="21"/>
        </w:rPr>
      </w:pPr>
      <w:r w:rsidRPr="00565E0D">
        <w:rPr>
          <w:rFonts w:asciiTheme="minorEastAsia" w:eastAsiaTheme="minorEastAsia" w:hAnsiTheme="minorEastAsia" w:hint="eastAsia"/>
          <w:szCs w:val="21"/>
        </w:rPr>
        <w:t>电话：4008818088</w:t>
      </w:r>
    </w:p>
    <w:p w:rsidR="00C35BC5" w:rsidRPr="00565E0D" w:rsidRDefault="00C35BC5" w:rsidP="00552BE1">
      <w:pPr>
        <w:pStyle w:val="21"/>
        <w:snapToGrid w:val="0"/>
        <w:spacing w:before="0" w:beforeAutospacing="0" w:after="0" w:afterAutospacing="0"/>
        <w:ind w:firstLineChars="0" w:firstLine="420"/>
        <w:rPr>
          <w:rFonts w:asciiTheme="minorEastAsia" w:eastAsiaTheme="minorEastAsia" w:hAnsiTheme="minorEastAsia"/>
          <w:szCs w:val="21"/>
        </w:rPr>
      </w:pPr>
      <w:r w:rsidRPr="00565E0D">
        <w:rPr>
          <w:rFonts w:asciiTheme="minorEastAsia" w:eastAsiaTheme="minorEastAsia" w:hAnsiTheme="minorEastAsia" w:hint="eastAsia"/>
          <w:szCs w:val="21"/>
        </w:rPr>
        <w:t>传真：</w:t>
      </w:r>
      <w:r w:rsidRPr="00565E0D">
        <w:rPr>
          <w:rFonts w:asciiTheme="minorEastAsia" w:eastAsiaTheme="minorEastAsia" w:hAnsiTheme="minorEastAsia"/>
          <w:szCs w:val="21"/>
        </w:rPr>
        <w:t>020</w:t>
      </w:r>
      <w:r w:rsidRPr="00565E0D">
        <w:rPr>
          <w:rFonts w:asciiTheme="minorEastAsia" w:eastAsiaTheme="minorEastAsia" w:hAnsiTheme="minorEastAsia" w:hint="eastAsia"/>
          <w:szCs w:val="21"/>
        </w:rPr>
        <w:t>-38799249</w:t>
      </w:r>
    </w:p>
    <w:p w:rsidR="00C35BC5" w:rsidRPr="00565E0D" w:rsidRDefault="00C35BC5" w:rsidP="00552BE1">
      <w:pPr>
        <w:pStyle w:val="21"/>
        <w:snapToGrid w:val="0"/>
        <w:spacing w:before="0" w:beforeAutospacing="0" w:after="0" w:afterAutospacing="0"/>
        <w:ind w:firstLineChars="0" w:firstLine="420"/>
        <w:rPr>
          <w:rFonts w:asciiTheme="minorEastAsia" w:eastAsiaTheme="minorEastAsia" w:hAnsiTheme="minorEastAsia"/>
          <w:szCs w:val="21"/>
        </w:rPr>
      </w:pPr>
      <w:r w:rsidRPr="00565E0D">
        <w:rPr>
          <w:rFonts w:asciiTheme="minorEastAsia" w:eastAsiaTheme="minorEastAsia" w:hAnsiTheme="minorEastAsia" w:hint="eastAsia"/>
          <w:szCs w:val="21"/>
        </w:rPr>
        <w:t>联系人：余贤高</w:t>
      </w:r>
    </w:p>
    <w:p w:rsidR="00C35BC5" w:rsidRPr="00565E0D" w:rsidRDefault="00C35BC5" w:rsidP="00B5132A">
      <w:pPr>
        <w:pStyle w:val="2"/>
        <w:snapToGrid w:val="0"/>
        <w:spacing w:beforeLines="0" w:afterLines="0" w:line="360" w:lineRule="auto"/>
        <w:ind w:firstLineChars="71"/>
        <w:rPr>
          <w:rFonts w:asciiTheme="minorEastAsia" w:eastAsiaTheme="minorEastAsia" w:hAnsiTheme="minorEastAsia"/>
          <w:szCs w:val="21"/>
        </w:rPr>
      </w:pPr>
      <w:bookmarkStart w:id="16" w:name="_Toc38432430"/>
      <w:bookmarkStart w:id="17" w:name="_Toc38551172"/>
      <w:r w:rsidRPr="00565E0D">
        <w:rPr>
          <w:rFonts w:asciiTheme="minorEastAsia" w:eastAsiaTheme="minorEastAsia" w:hAnsiTheme="minorEastAsia" w:hint="eastAsia"/>
          <w:szCs w:val="21"/>
        </w:rPr>
        <w:t>（三）律师事务所和经办律师</w:t>
      </w:r>
      <w:bookmarkEnd w:id="16"/>
      <w:bookmarkEnd w:id="17"/>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律师事务所：金杜律师事务所</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lastRenderedPageBreak/>
        <w:t>地址：北京朝阳区东三环中路7号北京财富中心写字楼A座40层</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负责人：王玲</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电话：010-58785588</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传真：010-58785599</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经办律师：唐丽子</w:t>
      </w:r>
      <w:r w:rsidR="003D2DD1" w:rsidRPr="00565E0D">
        <w:rPr>
          <w:rFonts w:asciiTheme="minorEastAsia" w:eastAsiaTheme="minorEastAsia" w:hAnsiTheme="minorEastAsia" w:hint="eastAsia"/>
        </w:rPr>
        <w:t>、</w:t>
      </w:r>
      <w:r w:rsidRPr="00565E0D">
        <w:rPr>
          <w:rFonts w:asciiTheme="minorEastAsia" w:eastAsiaTheme="minorEastAsia" w:hAnsiTheme="minorEastAsia" w:hint="eastAsia"/>
        </w:rPr>
        <w:t>宋萍萍</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联系人：王玲</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Cs w:val="21"/>
        </w:rPr>
      </w:pPr>
      <w:bookmarkStart w:id="18" w:name="_Toc38432431"/>
      <w:bookmarkStart w:id="19" w:name="_Toc38551173"/>
      <w:r w:rsidRPr="00565E0D">
        <w:rPr>
          <w:rFonts w:asciiTheme="minorEastAsia" w:eastAsiaTheme="minorEastAsia" w:hAnsiTheme="minorEastAsia" w:hint="eastAsia"/>
          <w:szCs w:val="21"/>
        </w:rPr>
        <w:t>（四）会计师事务所和经办注册会计师</w:t>
      </w:r>
      <w:bookmarkEnd w:id="18"/>
      <w:bookmarkEnd w:id="19"/>
    </w:p>
    <w:p w:rsidR="003C7B11" w:rsidRPr="00565E0D" w:rsidRDefault="003C7B1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会计师事务所：普华永道中天会计师事务所（特殊普通合伙）</w:t>
      </w:r>
    </w:p>
    <w:p w:rsidR="003C7B11" w:rsidRPr="00565E0D" w:rsidRDefault="003C7B1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住所：</w:t>
      </w:r>
      <w:r w:rsidR="00351A31" w:rsidRPr="00565E0D">
        <w:rPr>
          <w:rFonts w:asciiTheme="minorEastAsia" w:eastAsiaTheme="minorEastAsia" w:hAnsiTheme="minorEastAsia" w:hint="eastAsia"/>
          <w:szCs w:val="21"/>
        </w:rPr>
        <w:t>上海市湖滨路202号普华永道中心11楼</w:t>
      </w:r>
    </w:p>
    <w:p w:rsidR="003C7B11" w:rsidRPr="00565E0D" w:rsidRDefault="003C7B1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办公地址：上海市湖滨路202号普华永道中心11楼</w:t>
      </w:r>
    </w:p>
    <w:p w:rsidR="003C7B11" w:rsidRPr="00565E0D" w:rsidRDefault="003C7B1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首席合伙人：李丹</w:t>
      </w:r>
    </w:p>
    <w:p w:rsidR="003C7B11" w:rsidRPr="00565E0D" w:rsidRDefault="003C7B1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电话：（021）23238888</w:t>
      </w:r>
    </w:p>
    <w:p w:rsidR="003C7B11" w:rsidRPr="00565E0D" w:rsidRDefault="003C7B1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传真：（021）23238800</w:t>
      </w:r>
    </w:p>
    <w:p w:rsidR="003C7B11" w:rsidRPr="00565E0D" w:rsidRDefault="003C7B1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经办注册会计师：</w:t>
      </w:r>
      <w:r w:rsidR="00E054C3" w:rsidRPr="00565E0D">
        <w:rPr>
          <w:rFonts w:asciiTheme="minorEastAsia" w:eastAsiaTheme="minorEastAsia" w:hAnsiTheme="minorEastAsia" w:hint="eastAsia"/>
          <w:szCs w:val="21"/>
        </w:rPr>
        <w:t>陈熹、周祎</w:t>
      </w:r>
    </w:p>
    <w:p w:rsidR="00C35BC5" w:rsidRPr="00565E0D" w:rsidRDefault="003C7B1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szCs w:val="21"/>
        </w:rPr>
        <w:t>联系人：</w:t>
      </w:r>
      <w:r w:rsidR="00351A31" w:rsidRPr="00565E0D">
        <w:rPr>
          <w:rFonts w:asciiTheme="minorEastAsia" w:eastAsiaTheme="minorEastAsia" w:hAnsiTheme="minorEastAsia" w:hint="eastAsia"/>
          <w:szCs w:val="21"/>
        </w:rPr>
        <w:t>周祎</w:t>
      </w:r>
    </w:p>
    <w:p w:rsidR="00C35BC5" w:rsidRPr="00565E0D" w:rsidRDefault="00C35BC5" w:rsidP="00B5132A">
      <w:pPr>
        <w:pStyle w:val="1"/>
        <w:snapToGrid w:val="0"/>
        <w:spacing w:beforeLines="0" w:afterLines="0" w:line="360" w:lineRule="auto"/>
        <w:ind w:firstLine="640"/>
        <w:rPr>
          <w:rFonts w:asciiTheme="minorEastAsia" w:eastAsiaTheme="minorEastAsia" w:hAnsiTheme="minorEastAsia"/>
          <w:b/>
          <w:bCs/>
        </w:rPr>
      </w:pPr>
      <w:r w:rsidRPr="00565E0D">
        <w:rPr>
          <w:rFonts w:asciiTheme="minorEastAsia" w:eastAsiaTheme="minorEastAsia" w:hAnsiTheme="minorEastAsia"/>
          <w:szCs w:val="21"/>
        </w:rPr>
        <w:br w:type="page"/>
      </w:r>
      <w:bookmarkStart w:id="20" w:name="_Toc38432432"/>
      <w:bookmarkStart w:id="21" w:name="_Toc38551174"/>
      <w:r w:rsidRPr="00565E0D">
        <w:rPr>
          <w:rFonts w:asciiTheme="minorEastAsia" w:eastAsiaTheme="minorEastAsia" w:hAnsiTheme="minorEastAsia" w:hint="eastAsia"/>
          <w:b/>
          <w:bCs/>
        </w:rPr>
        <w:lastRenderedPageBreak/>
        <w:t>六、基金的募集</w:t>
      </w:r>
      <w:bookmarkEnd w:id="20"/>
      <w:bookmarkEnd w:id="21"/>
    </w:p>
    <w:p w:rsidR="00C35BC5" w:rsidRPr="00565E0D" w:rsidRDefault="00C35BC5" w:rsidP="00552BE1">
      <w:pPr>
        <w:snapToGrid w:val="0"/>
        <w:spacing w:line="360" w:lineRule="auto"/>
        <w:ind w:firstLineChars="200" w:firstLine="420"/>
        <w:rPr>
          <w:rFonts w:asciiTheme="minorEastAsia" w:eastAsiaTheme="minorEastAsia" w:hAnsiTheme="minorEastAsia"/>
        </w:rPr>
      </w:pPr>
      <w:bookmarkStart w:id="22" w:name="_Toc38432433"/>
      <w:r w:rsidRPr="00565E0D">
        <w:rPr>
          <w:rFonts w:asciiTheme="minorEastAsia" w:eastAsiaTheme="minorEastAsia" w:hAnsiTheme="minorEastAsia" w:hint="eastAsia"/>
        </w:rPr>
        <w:t>本基金由基金管理人依照《基金法》、《运作办法》、《销售办法》、基金合同的相关规定、并经中国证券监督管理委员会《关于同意易方达价值成长混合型证券投资基金募集的批复》（证监基金字</w:t>
      </w:r>
      <w:r w:rsidRPr="00565E0D">
        <w:rPr>
          <w:rFonts w:asciiTheme="minorEastAsia" w:eastAsiaTheme="minorEastAsia" w:hAnsiTheme="minorEastAsia"/>
        </w:rPr>
        <w:t>[</w:t>
      </w:r>
      <w:r w:rsidRPr="00565E0D">
        <w:rPr>
          <w:rFonts w:asciiTheme="minorEastAsia" w:eastAsiaTheme="minorEastAsia" w:hAnsiTheme="minorEastAsia" w:hint="eastAsia"/>
        </w:rPr>
        <w:t>2007</w:t>
      </w:r>
      <w:r w:rsidRPr="00565E0D">
        <w:rPr>
          <w:rFonts w:asciiTheme="minorEastAsia" w:eastAsiaTheme="minorEastAsia" w:hAnsiTheme="minorEastAsia"/>
        </w:rPr>
        <w:t>]</w:t>
      </w:r>
      <w:r w:rsidRPr="00565E0D">
        <w:rPr>
          <w:rFonts w:asciiTheme="minorEastAsia" w:eastAsiaTheme="minorEastAsia" w:hAnsiTheme="minorEastAsia" w:hint="eastAsia"/>
        </w:rPr>
        <w:t>69号）核准</w:t>
      </w:r>
      <w:r w:rsidRPr="00565E0D">
        <w:rPr>
          <w:rFonts w:asciiTheme="minorEastAsia" w:eastAsiaTheme="minorEastAsia" w:hAnsiTheme="minorEastAsia" w:hint="eastAsia"/>
          <w:szCs w:val="21"/>
        </w:rPr>
        <w:t>募集</w:t>
      </w:r>
      <w:r w:rsidRPr="00565E0D">
        <w:rPr>
          <w:rFonts w:asciiTheme="minorEastAsia" w:eastAsiaTheme="minorEastAsia" w:hAnsiTheme="minorEastAsia" w:hint="eastAsia"/>
        </w:rPr>
        <w:t>。</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本基金为契约型开放式混合型基金，基金存续期为不定期。</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本基金自2007年3月28日起公开募集，并于当</w:t>
      </w:r>
      <w:r w:rsidRPr="00565E0D">
        <w:rPr>
          <w:rFonts w:asciiTheme="minorEastAsia" w:eastAsiaTheme="minorEastAsia" w:hAnsiTheme="minorEastAsia" w:cs="宋体" w:hint="eastAsia"/>
          <w:kern w:val="0"/>
          <w:szCs w:val="21"/>
        </w:rPr>
        <w:t>日募集结束</w:t>
      </w:r>
      <w:r w:rsidRPr="00565E0D">
        <w:rPr>
          <w:rFonts w:asciiTheme="minorEastAsia" w:eastAsiaTheme="minorEastAsia" w:hAnsiTheme="minorEastAsia" w:hint="eastAsia"/>
        </w:rPr>
        <w:t>。募集对象为符合法律法规规定的个人投资者、机构投资者及合格境外机构投资者。</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本基金的</w:t>
      </w:r>
      <w:r w:rsidRPr="00565E0D">
        <w:rPr>
          <w:rFonts w:asciiTheme="minorEastAsia" w:eastAsiaTheme="minorEastAsia" w:hAnsiTheme="minorEastAsia" w:hint="eastAsia"/>
        </w:rPr>
        <w:t>初始</w:t>
      </w:r>
      <w:r w:rsidRPr="00565E0D">
        <w:rPr>
          <w:rFonts w:asciiTheme="minorEastAsia" w:eastAsiaTheme="minorEastAsia" w:hAnsiTheme="minorEastAsia"/>
        </w:rPr>
        <w:t>面值为每份基金份额人民币1.00元。</w:t>
      </w:r>
    </w:p>
    <w:p w:rsidR="00C35BC5" w:rsidRPr="00565E0D" w:rsidRDefault="00C35BC5" w:rsidP="00552BE1">
      <w:pPr>
        <w:snapToGrid w:val="0"/>
        <w:spacing w:line="360" w:lineRule="auto"/>
        <w:ind w:firstLineChars="200" w:firstLine="420"/>
        <w:rPr>
          <w:rFonts w:asciiTheme="minorEastAsia" w:eastAsiaTheme="minorEastAsia" w:hAnsiTheme="minorEastAsia"/>
        </w:rPr>
      </w:pP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552BE1" w:rsidRPr="00565E0D" w:rsidRDefault="00552BE1"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C35BC5" w:rsidRPr="00565E0D" w:rsidRDefault="00C35BC5" w:rsidP="00552BE1">
      <w:pPr>
        <w:autoSpaceDE w:val="0"/>
        <w:autoSpaceDN w:val="0"/>
        <w:adjustRightInd w:val="0"/>
        <w:snapToGrid w:val="0"/>
        <w:spacing w:line="360" w:lineRule="auto"/>
        <w:ind w:firstLineChars="200" w:firstLine="420"/>
        <w:jc w:val="left"/>
        <w:rPr>
          <w:rFonts w:asciiTheme="minorEastAsia" w:eastAsiaTheme="minorEastAsia" w:hAnsiTheme="minorEastAsia"/>
        </w:r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rPr>
      </w:pPr>
      <w:bookmarkStart w:id="23" w:name="_Toc174274362"/>
      <w:bookmarkStart w:id="24" w:name="_Toc38551175"/>
      <w:bookmarkEnd w:id="22"/>
      <w:r w:rsidRPr="00565E0D">
        <w:rPr>
          <w:rFonts w:asciiTheme="minorEastAsia" w:eastAsiaTheme="minorEastAsia" w:hAnsiTheme="minorEastAsia" w:hint="eastAsia"/>
          <w:b/>
          <w:bCs/>
        </w:rPr>
        <w:lastRenderedPageBreak/>
        <w:t>七、基金合同的生效</w:t>
      </w:r>
      <w:bookmarkEnd w:id="23"/>
      <w:bookmarkEnd w:id="24"/>
    </w:p>
    <w:p w:rsidR="00025B60" w:rsidRPr="00565E0D" w:rsidRDefault="00025B60" w:rsidP="00B5132A">
      <w:pPr>
        <w:pStyle w:val="2"/>
        <w:snapToGrid w:val="0"/>
        <w:spacing w:beforeLines="0" w:afterLines="0" w:line="360" w:lineRule="auto"/>
        <w:ind w:firstLineChars="0" w:firstLine="480"/>
        <w:rPr>
          <w:rFonts w:asciiTheme="minorEastAsia" w:eastAsiaTheme="minorEastAsia" w:hAnsiTheme="minorEastAsia"/>
          <w:sz w:val="24"/>
          <w:szCs w:val="24"/>
        </w:rPr>
      </w:pPr>
      <w:bookmarkStart w:id="25" w:name="_Toc38551176"/>
      <w:r w:rsidRPr="00565E0D">
        <w:rPr>
          <w:rFonts w:asciiTheme="minorEastAsia" w:eastAsiaTheme="minorEastAsia" w:hAnsiTheme="minorEastAsia" w:hint="eastAsia"/>
          <w:sz w:val="24"/>
          <w:szCs w:val="24"/>
        </w:rPr>
        <w:t>（一）基金合同的生效</w:t>
      </w:r>
      <w:bookmarkEnd w:id="25"/>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本基金基金合同于2007年4月2日正式生效。自基金合同生效之日起，本基金管理人正式开始管理本基金。</w:t>
      </w:r>
    </w:p>
    <w:p w:rsidR="00025B60" w:rsidRPr="00565E0D" w:rsidRDefault="00025B60" w:rsidP="00B5132A">
      <w:pPr>
        <w:pStyle w:val="2"/>
        <w:snapToGrid w:val="0"/>
        <w:spacing w:beforeLines="0" w:afterLines="0" w:line="360" w:lineRule="auto"/>
        <w:ind w:firstLineChars="0" w:firstLine="480"/>
        <w:rPr>
          <w:rFonts w:asciiTheme="minorEastAsia" w:eastAsiaTheme="minorEastAsia" w:hAnsiTheme="minorEastAsia"/>
          <w:sz w:val="24"/>
          <w:szCs w:val="24"/>
        </w:rPr>
      </w:pPr>
      <w:bookmarkStart w:id="26" w:name="_Toc38551177"/>
      <w:r w:rsidRPr="00565E0D">
        <w:rPr>
          <w:rFonts w:asciiTheme="minorEastAsia" w:eastAsiaTheme="minorEastAsia" w:hAnsiTheme="minorEastAsia" w:hint="eastAsia"/>
          <w:sz w:val="24"/>
          <w:szCs w:val="24"/>
        </w:rPr>
        <w:t>（二）基金存续期内的基金份额持有人数量和资产规模</w:t>
      </w:r>
      <w:bookmarkEnd w:id="26"/>
    </w:p>
    <w:p w:rsidR="00025B60" w:rsidRPr="00565E0D" w:rsidRDefault="00025B60" w:rsidP="00552BE1">
      <w:pPr>
        <w:snapToGrid w:val="0"/>
        <w:spacing w:line="360" w:lineRule="auto"/>
        <w:ind w:firstLine="480"/>
        <w:jc w:val="left"/>
        <w:rPr>
          <w:rFonts w:asciiTheme="minorEastAsia" w:eastAsiaTheme="minorEastAsia" w:hAnsiTheme="minorEastAsia"/>
          <w:szCs w:val="21"/>
        </w:rPr>
      </w:pPr>
      <w:r w:rsidRPr="00565E0D">
        <w:rPr>
          <w:rFonts w:asciiTheme="minorEastAsia" w:eastAsiaTheme="minorEastAsia" w:hAnsiTheme="minorEastAsia" w:hint="eastAsia"/>
          <w:szCs w:val="21"/>
        </w:rPr>
        <w:t>本基金合同生效后，基金份额持有人数量不满200人或者基金资产净值低于5,000万元的，基金管理人应当及时报告中国证监会；连续20个工作日出现前述情形的，基金管理人应当向中国证监会说明原因和报送解决方案。</w:t>
      </w:r>
    </w:p>
    <w:p w:rsidR="00025B60" w:rsidRPr="00565E0D" w:rsidRDefault="00025B60" w:rsidP="00552BE1">
      <w:pPr>
        <w:snapToGrid w:val="0"/>
        <w:spacing w:line="360" w:lineRule="auto"/>
        <w:ind w:firstLine="480"/>
        <w:jc w:val="left"/>
        <w:rPr>
          <w:rFonts w:asciiTheme="minorEastAsia" w:eastAsiaTheme="minorEastAsia" w:hAnsiTheme="minorEastAsia"/>
          <w:szCs w:val="21"/>
        </w:rPr>
      </w:pPr>
      <w:r w:rsidRPr="00565E0D">
        <w:rPr>
          <w:rFonts w:asciiTheme="minorEastAsia" w:eastAsiaTheme="minorEastAsia" w:hAnsiTheme="minorEastAsia" w:hint="eastAsia"/>
          <w:szCs w:val="21"/>
        </w:rPr>
        <w:t>在基金存续期间内，如果有效持有人数量连续60个工作日达不到200人，或连续60个工作日基金资产净值低于人民币5000万元，基金管理人有权宣布本基金合同终止，并报中国证监会备案。</w:t>
      </w:r>
    </w:p>
    <w:p w:rsidR="00025B60" w:rsidRPr="00565E0D" w:rsidRDefault="00025B60"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szCs w:val="21"/>
        </w:rPr>
        <w:t>法律、法规或证券监管部门另有规定的，从其规定办理。</w:t>
      </w:r>
    </w:p>
    <w:p w:rsidR="00C35BC5" w:rsidRPr="00565E0D" w:rsidRDefault="00C35BC5" w:rsidP="00552BE1">
      <w:pPr>
        <w:autoSpaceDE w:val="0"/>
        <w:autoSpaceDN w:val="0"/>
        <w:adjustRightInd w:val="0"/>
        <w:snapToGrid w:val="0"/>
        <w:spacing w:line="360" w:lineRule="auto"/>
        <w:jc w:val="left"/>
        <w:rPr>
          <w:rFonts w:asciiTheme="minorEastAsia" w:eastAsiaTheme="minorEastAsia" w:hAnsiTheme="minorEastAsia"/>
          <w:kern w:val="0"/>
          <w:sz w:val="20"/>
          <w:szCs w:val="20"/>
        </w:r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Cs/>
        </w:rPr>
      </w:pPr>
      <w:bookmarkStart w:id="27" w:name="_Toc38551178"/>
      <w:r w:rsidRPr="00565E0D">
        <w:rPr>
          <w:rFonts w:asciiTheme="minorEastAsia" w:eastAsiaTheme="minorEastAsia" w:hAnsiTheme="minorEastAsia" w:hint="eastAsia"/>
          <w:b/>
          <w:bCs/>
        </w:rPr>
        <w:lastRenderedPageBreak/>
        <w:t>八、基金份额的申购、赎回</w:t>
      </w:r>
      <w:bookmarkEnd w:id="27"/>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szCs w:val="24"/>
        </w:rPr>
      </w:pPr>
      <w:bookmarkStart w:id="28" w:name="_Toc38551179"/>
      <w:r w:rsidRPr="00565E0D">
        <w:rPr>
          <w:rFonts w:asciiTheme="minorEastAsia" w:eastAsiaTheme="minorEastAsia" w:hAnsiTheme="minorEastAsia" w:hint="eastAsia"/>
          <w:sz w:val="24"/>
          <w:szCs w:val="24"/>
        </w:rPr>
        <w:t>（一）基金投资者范围</w:t>
      </w:r>
      <w:bookmarkEnd w:id="28"/>
    </w:p>
    <w:p w:rsidR="00C35BC5" w:rsidRPr="00565E0D" w:rsidRDefault="00C35BC5" w:rsidP="00552BE1">
      <w:pPr>
        <w:autoSpaceDE w:val="0"/>
        <w:autoSpaceDN w:val="0"/>
        <w:adjustRightInd w:val="0"/>
        <w:snapToGrid w:val="0"/>
        <w:spacing w:line="360" w:lineRule="auto"/>
        <w:ind w:firstLineChars="218" w:firstLine="458"/>
        <w:jc w:val="left"/>
        <w:rPr>
          <w:rFonts w:asciiTheme="minorEastAsia" w:eastAsiaTheme="minorEastAsia" w:hAnsiTheme="minorEastAsia"/>
          <w:szCs w:val="21"/>
        </w:rPr>
      </w:pPr>
      <w:r w:rsidRPr="00565E0D">
        <w:rPr>
          <w:rFonts w:asciiTheme="minorEastAsia" w:eastAsiaTheme="minorEastAsia" w:hAnsiTheme="minorEastAsia" w:hint="eastAsia"/>
          <w:szCs w:val="21"/>
        </w:rPr>
        <w:t>中华人民共和国境内的个人投资者和机构投资者</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法律法规禁止投资证券投资基金的除外</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及合格境外机构投资者。</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szCs w:val="24"/>
        </w:rPr>
      </w:pPr>
      <w:bookmarkStart w:id="29" w:name="_Toc38551180"/>
      <w:r w:rsidRPr="00565E0D">
        <w:rPr>
          <w:rFonts w:asciiTheme="minorEastAsia" w:eastAsiaTheme="minorEastAsia" w:hAnsiTheme="minorEastAsia" w:hint="eastAsia"/>
          <w:sz w:val="24"/>
          <w:szCs w:val="24"/>
        </w:rPr>
        <w:t>（二）申购、赎回的场所</w:t>
      </w:r>
      <w:bookmarkEnd w:id="29"/>
    </w:p>
    <w:p w:rsidR="00C35BC5" w:rsidRPr="00565E0D" w:rsidRDefault="00C35BC5" w:rsidP="00552BE1">
      <w:pPr>
        <w:pStyle w:val="21"/>
        <w:autoSpaceDE w:val="0"/>
        <w:autoSpaceDN w:val="0"/>
        <w:snapToGrid w:val="0"/>
        <w:spacing w:before="0" w:beforeAutospacing="0" w:after="0" w:afterAutospacing="0"/>
        <w:ind w:leftChars="200" w:left="420" w:firstLineChars="0" w:firstLine="0"/>
        <w:textAlignment w:val="bottom"/>
        <w:rPr>
          <w:rFonts w:asciiTheme="minorEastAsia" w:eastAsiaTheme="minorEastAsia" w:hAnsiTheme="minorEastAsia"/>
        </w:rPr>
      </w:pPr>
      <w:r w:rsidRPr="00565E0D">
        <w:rPr>
          <w:rFonts w:asciiTheme="minorEastAsia" w:eastAsiaTheme="minorEastAsia" w:hAnsiTheme="minorEastAsia"/>
        </w:rPr>
        <w:t>1</w:t>
      </w:r>
      <w:r w:rsidR="00552BE1" w:rsidRPr="00565E0D">
        <w:rPr>
          <w:rFonts w:asciiTheme="minorEastAsia" w:eastAsiaTheme="minorEastAsia" w:hAnsiTheme="minorEastAsia" w:hint="eastAsia"/>
        </w:rPr>
        <w:t>、</w:t>
      </w:r>
      <w:r w:rsidRPr="00565E0D">
        <w:rPr>
          <w:rFonts w:asciiTheme="minorEastAsia" w:eastAsiaTheme="minorEastAsia" w:hAnsiTheme="minorEastAsia"/>
        </w:rPr>
        <w:t>基金管理</w:t>
      </w:r>
      <w:r w:rsidRPr="00565E0D">
        <w:rPr>
          <w:rFonts w:asciiTheme="minorEastAsia" w:eastAsiaTheme="minorEastAsia" w:hAnsiTheme="minorEastAsia" w:hint="eastAsia"/>
        </w:rPr>
        <w:t>人的直销</w:t>
      </w:r>
      <w:r w:rsidR="002564C2" w:rsidRPr="00565E0D">
        <w:rPr>
          <w:rFonts w:asciiTheme="minorEastAsia" w:eastAsiaTheme="minorEastAsia" w:hAnsiTheme="minorEastAsia" w:hint="eastAsia"/>
        </w:rPr>
        <w:t>中心</w:t>
      </w:r>
      <w:r w:rsidRPr="00565E0D">
        <w:rPr>
          <w:rFonts w:asciiTheme="minorEastAsia" w:eastAsiaTheme="minorEastAsia" w:hAnsiTheme="minorEastAsia" w:hint="eastAsia"/>
        </w:rPr>
        <w:t>、网上交易系统(www.efunds.com.cn)</w:t>
      </w:r>
      <w:r w:rsidRPr="00565E0D">
        <w:rPr>
          <w:rFonts w:asciiTheme="minorEastAsia" w:eastAsiaTheme="minorEastAsia" w:hAnsiTheme="minorEastAsia"/>
        </w:rPr>
        <w:t>；</w:t>
      </w:r>
    </w:p>
    <w:p w:rsidR="00C35BC5" w:rsidRPr="00565E0D" w:rsidRDefault="00C35BC5" w:rsidP="00552BE1">
      <w:pPr>
        <w:pStyle w:val="21"/>
        <w:autoSpaceDE w:val="0"/>
        <w:autoSpaceDN w:val="0"/>
        <w:snapToGrid w:val="0"/>
        <w:spacing w:before="0" w:beforeAutospacing="0" w:after="0" w:afterAutospacing="0"/>
        <w:ind w:leftChars="200" w:left="420" w:firstLineChars="0" w:firstLine="0"/>
        <w:textAlignment w:val="bottom"/>
        <w:rPr>
          <w:rFonts w:asciiTheme="minorEastAsia" w:eastAsiaTheme="minorEastAsia" w:hAnsiTheme="minorEastAsia"/>
        </w:rPr>
      </w:pPr>
      <w:r w:rsidRPr="00565E0D">
        <w:rPr>
          <w:rFonts w:asciiTheme="minorEastAsia" w:eastAsiaTheme="minorEastAsia" w:hAnsiTheme="minorEastAsia"/>
        </w:rPr>
        <w:t>2</w:t>
      </w:r>
      <w:r w:rsidR="00552BE1" w:rsidRPr="00565E0D">
        <w:rPr>
          <w:rFonts w:asciiTheme="minorEastAsia" w:eastAsiaTheme="minorEastAsia" w:hAnsiTheme="minorEastAsia" w:hint="eastAsia"/>
        </w:rPr>
        <w:t>、</w:t>
      </w:r>
      <w:r w:rsidRPr="00565E0D">
        <w:rPr>
          <w:rFonts w:asciiTheme="minorEastAsia" w:eastAsiaTheme="minorEastAsia" w:hAnsiTheme="minorEastAsia"/>
        </w:rPr>
        <w:t>各</w:t>
      </w:r>
      <w:r w:rsidR="00C85C52" w:rsidRPr="00565E0D">
        <w:rPr>
          <w:rFonts w:asciiTheme="minorEastAsia" w:eastAsiaTheme="minorEastAsia" w:hAnsiTheme="minorEastAsia" w:hint="eastAsia"/>
        </w:rPr>
        <w:t>非直销销售</w:t>
      </w:r>
      <w:r w:rsidRPr="00565E0D">
        <w:rPr>
          <w:rFonts w:asciiTheme="minorEastAsia" w:eastAsiaTheme="minorEastAsia" w:hAnsiTheme="minorEastAsia" w:hint="eastAsia"/>
        </w:rPr>
        <w:t>机构</w:t>
      </w:r>
      <w:r w:rsidRPr="00565E0D">
        <w:rPr>
          <w:rFonts w:asciiTheme="minorEastAsia" w:eastAsiaTheme="minorEastAsia" w:hAnsiTheme="minorEastAsia"/>
        </w:rPr>
        <w:t>开办开放式基金业务的营业网点。</w:t>
      </w:r>
    </w:p>
    <w:p w:rsidR="00C35BC5" w:rsidRPr="00565E0D" w:rsidRDefault="00C35BC5" w:rsidP="00552BE1">
      <w:pPr>
        <w:pStyle w:val="21"/>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565E0D">
        <w:rPr>
          <w:rFonts w:asciiTheme="minorEastAsia" w:eastAsiaTheme="minorEastAsia" w:hAnsiTheme="minorEastAsia" w:hint="eastAsia"/>
        </w:rPr>
        <w:t>基金管理人可根据情况变更基金的销售机构，</w:t>
      </w:r>
      <w:r w:rsidR="002C3C91" w:rsidRPr="00565E0D">
        <w:rPr>
          <w:rFonts w:asciiTheme="minorEastAsia" w:eastAsiaTheme="minorEastAsia" w:hAnsiTheme="minorEastAsia" w:hint="eastAsia"/>
        </w:rPr>
        <w:t>并在基金管理人网站公示</w:t>
      </w:r>
      <w:r w:rsidRPr="00565E0D">
        <w:rPr>
          <w:rFonts w:asciiTheme="minorEastAsia" w:eastAsiaTheme="minorEastAsia" w:hAnsiTheme="minorEastAsia" w:hint="eastAsia"/>
        </w:rPr>
        <w:t>。</w:t>
      </w:r>
    </w:p>
    <w:p w:rsidR="00C35BC5" w:rsidRPr="00565E0D" w:rsidRDefault="00C35BC5" w:rsidP="00552BE1">
      <w:pPr>
        <w:pStyle w:val="21"/>
        <w:autoSpaceDE w:val="0"/>
        <w:autoSpaceDN w:val="0"/>
        <w:snapToGrid w:val="0"/>
        <w:spacing w:before="0" w:beforeAutospacing="0" w:after="0" w:afterAutospacing="0"/>
        <w:ind w:firstLine="420"/>
        <w:textAlignment w:val="bottom"/>
        <w:rPr>
          <w:rFonts w:asciiTheme="minorEastAsia" w:eastAsiaTheme="minorEastAsia" w:hAnsiTheme="minorEastAsia"/>
        </w:rPr>
      </w:pPr>
      <w:r w:rsidRPr="00565E0D">
        <w:rPr>
          <w:rFonts w:asciiTheme="minorEastAsia" w:eastAsiaTheme="minorEastAsia" w:hAnsiTheme="minorEastAsia" w:hint="eastAsia"/>
        </w:rPr>
        <w:t>投资者还可通过基金管理人或者指定的基金</w:t>
      </w:r>
      <w:r w:rsidR="00C85C52" w:rsidRPr="00565E0D">
        <w:rPr>
          <w:rFonts w:asciiTheme="minorEastAsia" w:eastAsiaTheme="minorEastAsia" w:hAnsiTheme="minorEastAsia" w:hint="eastAsia"/>
        </w:rPr>
        <w:t>销售</w:t>
      </w:r>
      <w:r w:rsidRPr="00565E0D">
        <w:rPr>
          <w:rFonts w:asciiTheme="minorEastAsia" w:eastAsiaTheme="minorEastAsia" w:hAnsiTheme="minorEastAsia" w:hint="eastAsia"/>
        </w:rPr>
        <w:t>机构以电话或互联网或</w:t>
      </w:r>
      <w:r w:rsidRPr="00565E0D">
        <w:rPr>
          <w:rFonts w:asciiTheme="minorEastAsia" w:eastAsiaTheme="minorEastAsia" w:hAnsiTheme="minorEastAsia"/>
        </w:rPr>
        <w:t>其他电子交易方式</w:t>
      </w:r>
      <w:r w:rsidRPr="00565E0D">
        <w:rPr>
          <w:rFonts w:asciiTheme="minorEastAsia" w:eastAsiaTheme="minorEastAsia" w:hAnsiTheme="minorEastAsia" w:hint="eastAsia"/>
        </w:rPr>
        <w:t>进行申购、赎回，具体以各销售机构的规定为准。</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szCs w:val="24"/>
        </w:rPr>
      </w:pPr>
      <w:bookmarkStart w:id="30" w:name="_Toc38551181"/>
      <w:r w:rsidRPr="00565E0D">
        <w:rPr>
          <w:rFonts w:asciiTheme="minorEastAsia" w:eastAsiaTheme="minorEastAsia" w:hAnsiTheme="minorEastAsia" w:hint="eastAsia"/>
          <w:sz w:val="24"/>
          <w:szCs w:val="24"/>
        </w:rPr>
        <w:t>（三）申购、赎回的时间</w:t>
      </w:r>
      <w:bookmarkEnd w:id="30"/>
    </w:p>
    <w:p w:rsidR="00C35BC5" w:rsidRPr="00565E0D" w:rsidRDefault="00C35BC5" w:rsidP="00552BE1">
      <w:pPr>
        <w:snapToGrid w:val="0"/>
        <w:spacing w:line="360" w:lineRule="auto"/>
        <w:ind w:firstLineChars="250" w:firstLine="525"/>
        <w:rPr>
          <w:rFonts w:asciiTheme="minorEastAsia" w:eastAsiaTheme="minorEastAsia" w:hAnsiTheme="minorEastAsia"/>
        </w:rPr>
      </w:pPr>
      <w:r w:rsidRPr="00565E0D">
        <w:rPr>
          <w:rFonts w:asciiTheme="minorEastAsia" w:eastAsiaTheme="minorEastAsia" w:hAnsiTheme="minorEastAsia" w:hint="eastAsia"/>
        </w:rPr>
        <w:t>本基金已于</w:t>
      </w:r>
      <w:r w:rsidRPr="00565E0D">
        <w:rPr>
          <w:rFonts w:asciiTheme="minorEastAsia" w:eastAsiaTheme="minorEastAsia" w:hAnsiTheme="minorEastAsia"/>
          <w:szCs w:val="18"/>
        </w:rPr>
        <w:t>2007</w:t>
      </w:r>
      <w:r w:rsidRPr="00565E0D">
        <w:rPr>
          <w:rFonts w:asciiTheme="minorEastAsia" w:eastAsiaTheme="minorEastAsia" w:hAnsiTheme="minorEastAsia" w:hint="eastAsia"/>
          <w:szCs w:val="18"/>
        </w:rPr>
        <w:t>年</w:t>
      </w:r>
      <w:r w:rsidRPr="00565E0D">
        <w:rPr>
          <w:rFonts w:asciiTheme="minorEastAsia" w:eastAsiaTheme="minorEastAsia" w:hAnsiTheme="minorEastAsia"/>
          <w:szCs w:val="18"/>
        </w:rPr>
        <w:t>5</w:t>
      </w:r>
      <w:r w:rsidRPr="00565E0D">
        <w:rPr>
          <w:rFonts w:asciiTheme="minorEastAsia" w:eastAsiaTheme="minorEastAsia" w:hAnsiTheme="minorEastAsia" w:hint="eastAsia"/>
          <w:szCs w:val="18"/>
        </w:rPr>
        <w:t>月</w:t>
      </w:r>
      <w:r w:rsidRPr="00565E0D">
        <w:rPr>
          <w:rFonts w:asciiTheme="minorEastAsia" w:eastAsiaTheme="minorEastAsia" w:hAnsiTheme="minorEastAsia"/>
          <w:szCs w:val="18"/>
        </w:rPr>
        <w:t>11</w:t>
      </w:r>
      <w:r w:rsidRPr="00565E0D">
        <w:rPr>
          <w:rFonts w:asciiTheme="minorEastAsia" w:eastAsiaTheme="minorEastAsia" w:hAnsiTheme="minorEastAsia" w:hint="eastAsia"/>
          <w:szCs w:val="18"/>
        </w:rPr>
        <w:t>日</w:t>
      </w:r>
      <w:r w:rsidRPr="00565E0D">
        <w:rPr>
          <w:rFonts w:asciiTheme="minorEastAsia" w:eastAsiaTheme="minorEastAsia" w:hAnsiTheme="minorEastAsia" w:hint="eastAsia"/>
        </w:rPr>
        <w:t>开始办理日常申购、赎回业务。</w:t>
      </w:r>
    </w:p>
    <w:p w:rsidR="00C35BC5" w:rsidRPr="00565E0D" w:rsidRDefault="00C35BC5" w:rsidP="00552BE1">
      <w:pPr>
        <w:pStyle w:val="21"/>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565E0D">
        <w:rPr>
          <w:rFonts w:asciiTheme="minorEastAsia" w:eastAsiaTheme="minorEastAsia" w:hAnsiTheme="minorEastAsia" w:hint="eastAsia"/>
        </w:rPr>
        <w:t>申购、赎回的开放日为上海证券交易所和深圳证券交易所同时开放交易的工作日（基金管理人根据法律法规或本基金合同的规定公告暂停申购、赎回时除外）。开放日的具体业务办理时间为上海证券交易所、深圳证券交易所交易日的交易时间。若出现新的证券交易市场或交易所交易时间更改或其它原因，基金管理人将根据法律法规和基金合同规定的原则视情况进行相应的调整并公告。</w:t>
      </w:r>
    </w:p>
    <w:p w:rsidR="00C35BC5" w:rsidRPr="00565E0D" w:rsidRDefault="00C35BC5" w:rsidP="00552BE1">
      <w:pPr>
        <w:pStyle w:val="21"/>
        <w:autoSpaceDE w:val="0"/>
        <w:autoSpaceDN w:val="0"/>
        <w:snapToGrid w:val="0"/>
        <w:spacing w:before="0" w:beforeAutospacing="0" w:after="0" w:afterAutospacing="0"/>
        <w:ind w:firstLineChars="0" w:firstLine="525"/>
        <w:textAlignment w:val="bottom"/>
        <w:rPr>
          <w:rFonts w:asciiTheme="minorEastAsia" w:eastAsiaTheme="minorEastAsia" w:hAnsiTheme="minorEastAsia"/>
        </w:rPr>
      </w:pPr>
      <w:r w:rsidRPr="00565E0D">
        <w:rPr>
          <w:rFonts w:asciiTheme="minorEastAsia" w:eastAsiaTheme="minorEastAsia" w:hAnsiTheme="minorEastAsia" w:hint="eastAsia"/>
        </w:rPr>
        <w:t>投资人在基金合同约定之外的日期和时间提出申购、赎回或者转换申请的，其基金份额申购、赎回价格为下次办理基金份额申购、赎回时间所在开放日的价格。</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Cs/>
          <w:sz w:val="24"/>
          <w:szCs w:val="24"/>
        </w:rPr>
      </w:pPr>
      <w:bookmarkStart w:id="31" w:name="_Toc38551182"/>
      <w:r w:rsidRPr="00565E0D">
        <w:rPr>
          <w:rFonts w:asciiTheme="minorEastAsia" w:eastAsiaTheme="minorEastAsia" w:hAnsiTheme="minorEastAsia" w:hint="eastAsia"/>
          <w:bCs/>
          <w:sz w:val="24"/>
          <w:szCs w:val="24"/>
        </w:rPr>
        <w:t>（四）申购、赎回的原则</w:t>
      </w:r>
      <w:bookmarkEnd w:id="31"/>
    </w:p>
    <w:p w:rsidR="00C35BC5" w:rsidRPr="00565E0D" w:rsidRDefault="00552BE1" w:rsidP="00552BE1">
      <w:pPr>
        <w:snapToGrid w:val="0"/>
        <w:spacing w:line="360" w:lineRule="auto"/>
        <w:ind w:firstLineChars="250" w:firstLine="525"/>
        <w:rPr>
          <w:rFonts w:asciiTheme="minorEastAsia" w:eastAsiaTheme="minorEastAsia" w:hAnsiTheme="minorEastAsia"/>
        </w:rPr>
      </w:pPr>
      <w:r w:rsidRPr="00565E0D">
        <w:rPr>
          <w:rFonts w:asciiTheme="minorEastAsia" w:eastAsiaTheme="minorEastAsia" w:hAnsiTheme="minorEastAsia" w:hint="eastAsia"/>
        </w:rPr>
        <w:t>1、</w:t>
      </w:r>
      <w:r w:rsidR="00C35BC5" w:rsidRPr="00565E0D">
        <w:rPr>
          <w:rFonts w:asciiTheme="minorEastAsia" w:eastAsiaTheme="minorEastAsia" w:hAnsiTheme="minorEastAsia" w:hint="eastAsia"/>
        </w:rPr>
        <w:t>“</w:t>
      </w:r>
      <w:r w:rsidR="00C35BC5" w:rsidRPr="00565E0D">
        <w:rPr>
          <w:rFonts w:asciiTheme="minorEastAsia" w:eastAsiaTheme="minorEastAsia" w:hAnsiTheme="minorEastAsia"/>
        </w:rPr>
        <w:t>未知价原则</w:t>
      </w:r>
      <w:r w:rsidR="00C35BC5" w:rsidRPr="00565E0D">
        <w:rPr>
          <w:rFonts w:asciiTheme="minorEastAsia" w:eastAsiaTheme="minorEastAsia" w:hAnsiTheme="minorEastAsia" w:hint="eastAsia"/>
        </w:rPr>
        <w:t>”</w:t>
      </w:r>
      <w:r w:rsidR="00C35BC5" w:rsidRPr="00565E0D">
        <w:rPr>
          <w:rFonts w:asciiTheme="minorEastAsia" w:eastAsiaTheme="minorEastAsia" w:hAnsiTheme="minorEastAsia"/>
        </w:rPr>
        <w:t>，</w:t>
      </w:r>
      <w:r w:rsidR="00C35BC5" w:rsidRPr="00565E0D">
        <w:rPr>
          <w:rFonts w:asciiTheme="minorEastAsia" w:eastAsiaTheme="minorEastAsia" w:hAnsiTheme="minorEastAsia" w:hint="eastAsia"/>
        </w:rPr>
        <w:t>即本基金的申购与赎回价格以受理申请当日收市后计算的基金份额净值为基准进行计算；</w:t>
      </w:r>
    </w:p>
    <w:p w:rsidR="00C35BC5" w:rsidRPr="00565E0D" w:rsidRDefault="00552BE1" w:rsidP="00552BE1">
      <w:pPr>
        <w:snapToGrid w:val="0"/>
        <w:spacing w:line="360" w:lineRule="auto"/>
        <w:ind w:firstLineChars="250" w:firstLine="525"/>
        <w:rPr>
          <w:rFonts w:asciiTheme="minorEastAsia" w:eastAsiaTheme="minorEastAsia" w:hAnsiTheme="minorEastAsia"/>
        </w:rPr>
      </w:pPr>
      <w:r w:rsidRPr="00565E0D">
        <w:rPr>
          <w:rFonts w:asciiTheme="minorEastAsia" w:eastAsiaTheme="minorEastAsia" w:hAnsiTheme="minorEastAsia" w:hint="eastAsia"/>
        </w:rPr>
        <w:t>2、</w:t>
      </w:r>
      <w:r w:rsidR="00C35BC5" w:rsidRPr="00565E0D">
        <w:rPr>
          <w:rFonts w:asciiTheme="minorEastAsia" w:eastAsiaTheme="minorEastAsia" w:hAnsiTheme="minorEastAsia" w:hint="eastAsia"/>
        </w:rPr>
        <w:t>本基金采用</w:t>
      </w:r>
      <w:r w:rsidR="00C35BC5" w:rsidRPr="00565E0D">
        <w:rPr>
          <w:rFonts w:asciiTheme="minorEastAsia" w:eastAsiaTheme="minorEastAsia" w:hAnsiTheme="minorEastAsia"/>
        </w:rPr>
        <w:t>金额申购、份额赎回原则</w:t>
      </w:r>
      <w:r w:rsidR="00C35BC5" w:rsidRPr="00565E0D">
        <w:rPr>
          <w:rFonts w:asciiTheme="minorEastAsia" w:eastAsiaTheme="minorEastAsia" w:hAnsiTheme="minorEastAsia" w:hint="eastAsia"/>
        </w:rPr>
        <w:t>，</w:t>
      </w:r>
      <w:r w:rsidR="00C35BC5" w:rsidRPr="00565E0D">
        <w:rPr>
          <w:rFonts w:asciiTheme="minorEastAsia" w:eastAsiaTheme="minorEastAsia" w:hAnsiTheme="minorEastAsia"/>
        </w:rPr>
        <w:t>即申购以金额申请</w:t>
      </w:r>
      <w:r w:rsidR="00C35BC5" w:rsidRPr="00565E0D">
        <w:rPr>
          <w:rFonts w:asciiTheme="minorEastAsia" w:eastAsiaTheme="minorEastAsia" w:hAnsiTheme="minorEastAsia" w:hint="eastAsia"/>
        </w:rPr>
        <w:t>，</w:t>
      </w:r>
      <w:r w:rsidR="00C35BC5" w:rsidRPr="00565E0D">
        <w:rPr>
          <w:rFonts w:asciiTheme="minorEastAsia" w:eastAsiaTheme="minorEastAsia" w:hAnsiTheme="minorEastAsia"/>
        </w:rPr>
        <w:t>赎回以份额申请；</w:t>
      </w:r>
    </w:p>
    <w:p w:rsidR="00C35BC5" w:rsidRPr="00565E0D" w:rsidRDefault="00552BE1" w:rsidP="00552BE1">
      <w:pPr>
        <w:snapToGrid w:val="0"/>
        <w:spacing w:line="360" w:lineRule="auto"/>
        <w:ind w:firstLineChars="250" w:firstLine="525"/>
        <w:rPr>
          <w:rFonts w:asciiTheme="minorEastAsia" w:eastAsiaTheme="minorEastAsia" w:hAnsiTheme="minorEastAsia"/>
        </w:rPr>
      </w:pPr>
      <w:r w:rsidRPr="00565E0D">
        <w:rPr>
          <w:rFonts w:asciiTheme="minorEastAsia" w:eastAsiaTheme="minorEastAsia" w:hAnsiTheme="minorEastAsia" w:hint="eastAsia"/>
        </w:rPr>
        <w:t>3、</w:t>
      </w:r>
      <w:r w:rsidR="00C35BC5" w:rsidRPr="00565E0D">
        <w:rPr>
          <w:rFonts w:asciiTheme="minorEastAsia" w:eastAsiaTheme="minorEastAsia" w:hAnsiTheme="minorEastAsia" w:hint="eastAsia"/>
        </w:rPr>
        <w:t>基金份额持有人赎回时，除指定赎回外，基金管理人按先进先出的原则，对该持有人账户在该销售机构托管的基金份额进行处理，即注册日期在先的基金份额先赎回，后注册日期在后的基金份额后赎回；</w:t>
      </w:r>
    </w:p>
    <w:p w:rsidR="00C35BC5" w:rsidRPr="00565E0D" w:rsidRDefault="00552BE1" w:rsidP="00552BE1">
      <w:pPr>
        <w:snapToGrid w:val="0"/>
        <w:spacing w:line="360" w:lineRule="auto"/>
        <w:ind w:firstLineChars="250" w:firstLine="525"/>
        <w:rPr>
          <w:rFonts w:asciiTheme="minorEastAsia" w:eastAsiaTheme="minorEastAsia" w:hAnsiTheme="minorEastAsia"/>
        </w:rPr>
      </w:pPr>
      <w:r w:rsidRPr="00565E0D">
        <w:rPr>
          <w:rFonts w:asciiTheme="minorEastAsia" w:eastAsiaTheme="minorEastAsia" w:hAnsiTheme="minorEastAsia" w:hint="eastAsia"/>
        </w:rPr>
        <w:t>4、</w:t>
      </w:r>
      <w:r w:rsidR="00C35BC5" w:rsidRPr="00565E0D">
        <w:rPr>
          <w:rFonts w:asciiTheme="minorEastAsia" w:eastAsiaTheme="minorEastAsia" w:hAnsiTheme="minorEastAsia" w:hint="eastAsia"/>
        </w:rPr>
        <w:t>当日的申购、赎回申请可以在当日交易结束时间前撤销，在当日的交易时间结束后不得撤销；</w:t>
      </w:r>
    </w:p>
    <w:p w:rsidR="00C35BC5" w:rsidRPr="00565E0D" w:rsidRDefault="00552BE1" w:rsidP="00552BE1">
      <w:pPr>
        <w:snapToGrid w:val="0"/>
        <w:spacing w:line="360" w:lineRule="auto"/>
        <w:ind w:firstLineChars="250" w:firstLine="525"/>
        <w:rPr>
          <w:rFonts w:asciiTheme="minorEastAsia" w:eastAsiaTheme="minorEastAsia" w:hAnsiTheme="minorEastAsia"/>
        </w:rPr>
      </w:pPr>
      <w:r w:rsidRPr="00565E0D">
        <w:rPr>
          <w:rFonts w:asciiTheme="minorEastAsia" w:eastAsiaTheme="minorEastAsia" w:hAnsiTheme="minorEastAsia" w:hint="eastAsia"/>
        </w:rPr>
        <w:t>5、</w:t>
      </w:r>
      <w:r w:rsidR="00C35BC5" w:rsidRPr="00565E0D">
        <w:rPr>
          <w:rFonts w:asciiTheme="minorEastAsia" w:eastAsiaTheme="minorEastAsia" w:hAnsiTheme="minorEastAsia" w:hint="eastAsia"/>
        </w:rPr>
        <w:t>基金管理人可根据基金运作的实际情况并在不影响基金份额持有人实质利益的前提下调整上述原则。基金管理人必须在新规则开始实施前按照《信息披露办法》的有关规定在</w:t>
      </w:r>
      <w:r w:rsidR="002C3C91" w:rsidRPr="00565E0D">
        <w:rPr>
          <w:rFonts w:asciiTheme="minorEastAsia" w:eastAsiaTheme="minorEastAsia" w:hAnsiTheme="minorEastAsia" w:hint="eastAsia"/>
        </w:rPr>
        <w:t>指定媒介公告</w:t>
      </w:r>
      <w:r w:rsidR="00C35BC5" w:rsidRPr="00565E0D">
        <w:rPr>
          <w:rFonts w:asciiTheme="minorEastAsia" w:eastAsiaTheme="minorEastAsia" w:hAnsiTheme="minorEastAsia" w:hint="eastAsia"/>
        </w:rPr>
        <w:t>。</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szCs w:val="24"/>
        </w:rPr>
      </w:pPr>
      <w:bookmarkStart w:id="32" w:name="_Toc38551183"/>
      <w:r w:rsidRPr="00565E0D">
        <w:rPr>
          <w:rFonts w:asciiTheme="minorEastAsia" w:eastAsiaTheme="minorEastAsia" w:hAnsiTheme="minorEastAsia" w:hint="eastAsia"/>
          <w:sz w:val="24"/>
          <w:szCs w:val="24"/>
        </w:rPr>
        <w:t>（五）申购、赎回的程序</w:t>
      </w:r>
      <w:bookmarkEnd w:id="32"/>
    </w:p>
    <w:p w:rsidR="00C35BC5" w:rsidRPr="00565E0D" w:rsidRDefault="00C35BC5" w:rsidP="00552BE1">
      <w:pPr>
        <w:numPr>
          <w:ilvl w:val="0"/>
          <w:numId w:val="15"/>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申购、赎回的申请方式</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lastRenderedPageBreak/>
        <w:t>基金投资者必须根据基金管理人和基金</w:t>
      </w:r>
      <w:r w:rsidR="00C85C52" w:rsidRPr="00565E0D">
        <w:rPr>
          <w:rFonts w:asciiTheme="minorEastAsia" w:eastAsiaTheme="minorEastAsia" w:hAnsiTheme="minorEastAsia" w:hint="eastAsia"/>
        </w:rPr>
        <w:t>销售</w:t>
      </w:r>
      <w:r w:rsidRPr="00565E0D">
        <w:rPr>
          <w:rFonts w:asciiTheme="minorEastAsia" w:eastAsiaTheme="minorEastAsia" w:hAnsiTheme="minorEastAsia" w:hint="eastAsia"/>
        </w:rPr>
        <w:t>机构规定的手续，在开放日的</w:t>
      </w:r>
      <w:r w:rsidRPr="00565E0D">
        <w:rPr>
          <w:rFonts w:asciiTheme="minorEastAsia" w:eastAsiaTheme="minorEastAsia" w:hAnsiTheme="minorEastAsia" w:hint="eastAsia"/>
          <w:szCs w:val="20"/>
        </w:rPr>
        <w:t>业务办理时间</w:t>
      </w:r>
      <w:r w:rsidRPr="00565E0D">
        <w:rPr>
          <w:rFonts w:asciiTheme="minorEastAsia" w:eastAsiaTheme="minorEastAsia" w:hAnsiTheme="minorEastAsia" w:hint="eastAsia"/>
        </w:rPr>
        <w:t>提出申购、赎回的申请。</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szCs w:val="20"/>
        </w:rPr>
        <w:t>投资者在提交申购申请时</w:t>
      </w:r>
      <w:r w:rsidRPr="00565E0D">
        <w:rPr>
          <w:rFonts w:asciiTheme="minorEastAsia" w:eastAsiaTheme="minorEastAsia" w:hAnsiTheme="minorEastAsia" w:hint="eastAsia"/>
          <w:szCs w:val="20"/>
        </w:rPr>
        <w:t>，</w:t>
      </w:r>
      <w:r w:rsidRPr="00565E0D">
        <w:rPr>
          <w:rFonts w:asciiTheme="minorEastAsia" w:eastAsiaTheme="minorEastAsia" w:hAnsiTheme="minorEastAsia"/>
          <w:szCs w:val="20"/>
        </w:rPr>
        <w:t>须按销售机构规定的方式备足申购资金；提交赎回申请时,</w:t>
      </w:r>
      <w:r w:rsidR="00AC798E" w:rsidRPr="00565E0D">
        <w:rPr>
          <w:rFonts w:asciiTheme="minorEastAsia" w:eastAsiaTheme="minorEastAsia" w:hAnsiTheme="minorEastAsia"/>
          <w:szCs w:val="20"/>
        </w:rPr>
        <w:t>账户</w:t>
      </w:r>
      <w:r w:rsidRPr="00565E0D">
        <w:rPr>
          <w:rFonts w:asciiTheme="minorEastAsia" w:eastAsiaTheme="minorEastAsia" w:hAnsiTheme="minorEastAsia"/>
          <w:szCs w:val="20"/>
        </w:rPr>
        <w:t>中必须有足够的基金</w:t>
      </w:r>
      <w:r w:rsidRPr="00565E0D">
        <w:rPr>
          <w:rFonts w:asciiTheme="minorEastAsia" w:eastAsiaTheme="minorEastAsia" w:hAnsiTheme="minorEastAsia" w:hint="eastAsia"/>
          <w:szCs w:val="20"/>
        </w:rPr>
        <w:t>份额</w:t>
      </w:r>
      <w:r w:rsidRPr="00565E0D">
        <w:rPr>
          <w:rFonts w:asciiTheme="minorEastAsia" w:eastAsiaTheme="minorEastAsia" w:hAnsiTheme="minorEastAsia"/>
          <w:szCs w:val="20"/>
        </w:rPr>
        <w:t>余额</w:t>
      </w:r>
      <w:r w:rsidRPr="00565E0D">
        <w:rPr>
          <w:rFonts w:asciiTheme="minorEastAsia" w:eastAsiaTheme="minorEastAsia" w:hAnsiTheme="minorEastAsia" w:hint="eastAsia"/>
          <w:szCs w:val="20"/>
        </w:rPr>
        <w:t>，否则所提交的申购、赎回的申请无效而不予成交。</w:t>
      </w:r>
    </w:p>
    <w:p w:rsidR="00C35BC5" w:rsidRPr="00565E0D" w:rsidRDefault="00C35BC5" w:rsidP="00552BE1">
      <w:pPr>
        <w:numPr>
          <w:ilvl w:val="0"/>
          <w:numId w:val="15"/>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申购、赎回申请的确认</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szCs w:val="21"/>
        </w:rPr>
        <w:t>T</w:t>
      </w:r>
      <w:r w:rsidRPr="00565E0D">
        <w:rPr>
          <w:rFonts w:asciiTheme="minorEastAsia" w:eastAsiaTheme="minorEastAsia" w:hAnsiTheme="minorEastAsia" w:hint="eastAsia"/>
          <w:szCs w:val="21"/>
        </w:rPr>
        <w:t>日规定时间受理的申请，本基金注册登记机构在三个工作日内为投资者对该交易的有效性进行确认。</w:t>
      </w:r>
    </w:p>
    <w:p w:rsidR="00C35BC5" w:rsidRPr="00565E0D" w:rsidRDefault="00C35BC5" w:rsidP="00552BE1">
      <w:pPr>
        <w:numPr>
          <w:ilvl w:val="0"/>
          <w:numId w:val="15"/>
        </w:numPr>
        <w:tabs>
          <w:tab w:val="left" w:pos="735"/>
        </w:tabs>
        <w:snapToGrid w:val="0"/>
        <w:spacing w:line="360" w:lineRule="auto"/>
        <w:rPr>
          <w:rFonts w:asciiTheme="minorEastAsia" w:eastAsiaTheme="minorEastAsia" w:hAnsiTheme="minorEastAsia"/>
        </w:rPr>
      </w:pPr>
      <w:r w:rsidRPr="00565E0D">
        <w:rPr>
          <w:rFonts w:asciiTheme="minorEastAsia" w:eastAsiaTheme="minorEastAsia" w:hAnsiTheme="minorEastAsia" w:hint="eastAsia"/>
          <w:szCs w:val="21"/>
        </w:rPr>
        <w:t>申购和赎回的款项支付</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t>申购采用全额缴款方式，若申购资金在规定时间内未全额到账则申购不成功，若申购不成功或无效，申购款项将退回投资者账户。</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rPr>
        <w:t>投资者赎回申请</w:t>
      </w:r>
      <w:r w:rsidRPr="00565E0D">
        <w:rPr>
          <w:rFonts w:asciiTheme="minorEastAsia" w:eastAsiaTheme="minorEastAsia" w:hAnsiTheme="minorEastAsia" w:hint="eastAsia"/>
        </w:rPr>
        <w:t>被确认有效</w:t>
      </w:r>
      <w:r w:rsidRPr="00565E0D">
        <w:rPr>
          <w:rFonts w:asciiTheme="minorEastAsia" w:eastAsiaTheme="minorEastAsia" w:hAnsiTheme="minorEastAsia"/>
        </w:rPr>
        <w:t>后</w:t>
      </w:r>
      <w:r w:rsidRPr="00565E0D">
        <w:rPr>
          <w:rFonts w:asciiTheme="minorEastAsia" w:eastAsiaTheme="minorEastAsia" w:hAnsiTheme="minorEastAsia" w:hint="eastAsia"/>
        </w:rPr>
        <w:t>，</w:t>
      </w:r>
      <w:r w:rsidRPr="00565E0D">
        <w:rPr>
          <w:rFonts w:asciiTheme="minorEastAsia" w:eastAsiaTheme="minorEastAsia" w:hAnsiTheme="minorEastAsia"/>
        </w:rPr>
        <w:t>赎回金额将由基金管理人通常在T＋3个工作日但不超过T＋7个工作日之内从基金托管人划出。在发生巨额赎回并延期支付时</w:t>
      </w:r>
      <w:r w:rsidRPr="00565E0D">
        <w:rPr>
          <w:rFonts w:asciiTheme="minorEastAsia" w:eastAsiaTheme="minorEastAsia" w:hAnsiTheme="minorEastAsia" w:hint="eastAsia"/>
        </w:rPr>
        <w:t>，</w:t>
      </w:r>
      <w:r w:rsidRPr="00565E0D">
        <w:rPr>
          <w:rFonts w:asciiTheme="minorEastAsia" w:eastAsiaTheme="minorEastAsia" w:hAnsiTheme="minorEastAsia"/>
        </w:rPr>
        <w:t>款项和份额的支付办法参照有关巨额赎回的条款处理。在发生巨额赎回时，款项的支付办法按基金</w:t>
      </w:r>
      <w:r w:rsidRPr="00565E0D">
        <w:rPr>
          <w:rFonts w:asciiTheme="minorEastAsia" w:eastAsiaTheme="minorEastAsia" w:hAnsiTheme="minorEastAsia" w:hint="eastAsia"/>
        </w:rPr>
        <w:t>合同</w:t>
      </w:r>
      <w:r w:rsidRPr="00565E0D">
        <w:rPr>
          <w:rFonts w:asciiTheme="minorEastAsia" w:eastAsiaTheme="minorEastAsia" w:hAnsiTheme="minorEastAsia"/>
        </w:rPr>
        <w:t>及本招募说明书有关规定处理。</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szCs w:val="24"/>
        </w:rPr>
      </w:pPr>
      <w:bookmarkStart w:id="33" w:name="_Toc38551184"/>
      <w:r w:rsidRPr="00565E0D">
        <w:rPr>
          <w:rFonts w:asciiTheme="minorEastAsia" w:eastAsiaTheme="minorEastAsia" w:hAnsiTheme="minorEastAsia" w:hint="eastAsia"/>
          <w:sz w:val="24"/>
          <w:szCs w:val="24"/>
        </w:rPr>
        <w:t>（六）申购、赎回的数额限制</w:t>
      </w:r>
      <w:bookmarkEnd w:id="33"/>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00552BE1"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申购基金的金额限制</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rPr>
        <w:t>投资者通过</w:t>
      </w:r>
      <w:r w:rsidR="00C85C52" w:rsidRPr="00565E0D">
        <w:rPr>
          <w:rFonts w:asciiTheme="minorEastAsia" w:eastAsiaTheme="minorEastAsia" w:hAnsiTheme="minorEastAsia" w:hint="eastAsia"/>
        </w:rPr>
        <w:t>非直销销售机构</w:t>
      </w:r>
      <w:r w:rsidRPr="00565E0D">
        <w:rPr>
          <w:rFonts w:asciiTheme="minorEastAsia" w:eastAsiaTheme="minorEastAsia" w:hAnsiTheme="minorEastAsia" w:hint="eastAsia"/>
        </w:rPr>
        <w:t>或本公司网上交易系统首次申购的单笔最低金额为</w:t>
      </w:r>
      <w:r w:rsidR="002A043D" w:rsidRPr="00565E0D">
        <w:rPr>
          <w:rFonts w:asciiTheme="minorEastAsia" w:eastAsiaTheme="minorEastAsia" w:hAnsiTheme="minorEastAsia" w:hint="eastAsia"/>
        </w:rPr>
        <w:t>1</w:t>
      </w:r>
      <w:r w:rsidRPr="00565E0D">
        <w:rPr>
          <w:rFonts w:asciiTheme="minorEastAsia" w:eastAsiaTheme="minorEastAsia" w:hAnsiTheme="minorEastAsia" w:hint="eastAsia"/>
        </w:rPr>
        <w:t>元人民币，</w:t>
      </w:r>
      <w:r w:rsidR="00C85C52" w:rsidRPr="00565E0D">
        <w:rPr>
          <w:rFonts w:asciiTheme="minorEastAsia" w:eastAsiaTheme="minorEastAsia" w:hAnsiTheme="minorEastAsia" w:hint="eastAsia"/>
        </w:rPr>
        <w:t>追加申购单笔最低金额为</w:t>
      </w:r>
      <w:r w:rsidR="002A043D" w:rsidRPr="00565E0D">
        <w:rPr>
          <w:rFonts w:asciiTheme="minorEastAsia" w:eastAsiaTheme="minorEastAsia" w:hAnsiTheme="minorEastAsia"/>
        </w:rPr>
        <w:t>1</w:t>
      </w:r>
      <w:r w:rsidR="00C85C52" w:rsidRPr="00565E0D">
        <w:rPr>
          <w:rFonts w:asciiTheme="minorEastAsia" w:eastAsiaTheme="minorEastAsia" w:hAnsiTheme="minorEastAsia" w:hint="eastAsia"/>
        </w:rPr>
        <w:t>元人民币；</w:t>
      </w:r>
      <w:r w:rsidRPr="00565E0D">
        <w:rPr>
          <w:rFonts w:asciiTheme="minorEastAsia" w:eastAsiaTheme="minorEastAsia" w:hAnsiTheme="minorEastAsia" w:hint="eastAsia"/>
        </w:rPr>
        <w:t>通过直销中心首次申购的单笔最低金额为50000元人民币，追加申购单笔最低金额均为1000元人民币。</w:t>
      </w:r>
      <w:r w:rsidR="00B90648" w:rsidRPr="00565E0D">
        <w:rPr>
          <w:rFonts w:asciiTheme="minorEastAsia" w:eastAsiaTheme="minorEastAsia" w:hAnsiTheme="minorEastAsia" w:hint="eastAsia"/>
        </w:rPr>
        <w:t>在符合法律法规规定的前提下，</w:t>
      </w:r>
      <w:r w:rsidRPr="00565E0D">
        <w:rPr>
          <w:rFonts w:asciiTheme="minorEastAsia" w:eastAsiaTheme="minorEastAsia" w:hAnsiTheme="minorEastAsia" w:hint="eastAsia"/>
        </w:rPr>
        <w:t>各</w:t>
      </w:r>
      <w:r w:rsidR="00C85C52" w:rsidRPr="00565E0D">
        <w:rPr>
          <w:rFonts w:asciiTheme="minorEastAsia" w:eastAsiaTheme="minorEastAsia" w:hAnsiTheme="minorEastAsia" w:hint="eastAsia"/>
        </w:rPr>
        <w:t>销售</w:t>
      </w:r>
      <w:r w:rsidRPr="00565E0D">
        <w:rPr>
          <w:rFonts w:asciiTheme="minorEastAsia" w:eastAsiaTheme="minorEastAsia" w:hAnsiTheme="minorEastAsia" w:hint="eastAsia"/>
        </w:rPr>
        <w:t>机构对最低申购限额及交易级差有其他规定的,</w:t>
      </w:r>
      <w:r w:rsidR="0073370B" w:rsidRPr="00565E0D">
        <w:rPr>
          <w:rFonts w:asciiTheme="minorEastAsia" w:eastAsiaTheme="minorEastAsia" w:hAnsiTheme="minorEastAsia" w:hint="eastAsia"/>
        </w:rPr>
        <w:t>需同时遵循该销售机构的相关规定</w:t>
      </w:r>
      <w:r w:rsidRPr="00565E0D">
        <w:rPr>
          <w:rFonts w:asciiTheme="minorEastAsia" w:eastAsiaTheme="minorEastAsia" w:hAnsiTheme="minorEastAsia" w:hint="eastAsia"/>
        </w:rPr>
        <w:t>。</w:t>
      </w:r>
      <w:r w:rsidR="00C85C52" w:rsidRPr="00565E0D">
        <w:rPr>
          <w:rFonts w:asciiTheme="minorEastAsia" w:eastAsiaTheme="minorEastAsia" w:hAnsiTheme="minorEastAsia"/>
          <w:szCs w:val="21"/>
        </w:rPr>
        <w:t>(</w:t>
      </w:r>
      <w:r w:rsidR="00C85C52" w:rsidRPr="00565E0D">
        <w:rPr>
          <w:rFonts w:asciiTheme="minorEastAsia" w:eastAsiaTheme="minorEastAsia" w:hAnsiTheme="minorEastAsia" w:hint="eastAsia"/>
          <w:szCs w:val="21"/>
        </w:rPr>
        <w:t>以上金额均含申购费</w:t>
      </w:r>
      <w:r w:rsidR="00C85C52" w:rsidRPr="00565E0D">
        <w:rPr>
          <w:rFonts w:asciiTheme="minorEastAsia" w:eastAsiaTheme="minorEastAsia" w:hAnsiTheme="minorEastAsia"/>
          <w:szCs w:val="21"/>
        </w:rPr>
        <w:t>)</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t>投资者将当期分配的基金收益转购基金份额或采用定期定额投资计划时，不受最低申购金额的限制。</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t>投资者可多次申购，对单个投资者累计持有份额不设上限限制。</w:t>
      </w:r>
      <w:r w:rsidR="004C1E5D" w:rsidRPr="00565E0D">
        <w:rPr>
          <w:rFonts w:asciiTheme="minorEastAsia" w:eastAsiaTheme="minorEastAsia" w:hAnsiTheme="minorEastAsia" w:hint="eastAsia"/>
          <w:szCs w:val="21"/>
        </w:rPr>
        <w:t>但对于可能导致单一投资者持有基金份额的比例达到或者超过50%，或者变相规避50%集中度的情形，基金管理人有权按照相关法律法规采取控制措施。</w:t>
      </w:r>
      <w:r w:rsidRPr="00565E0D">
        <w:rPr>
          <w:rFonts w:asciiTheme="minorEastAsia" w:eastAsiaTheme="minorEastAsia" w:hAnsiTheme="minorEastAsia" w:hint="eastAsia"/>
        </w:rPr>
        <w:t>法律法规、中国证监会另有规定的除外。</w:t>
      </w:r>
    </w:p>
    <w:p w:rsidR="00C35BC5" w:rsidRPr="00565E0D" w:rsidRDefault="00552BE1" w:rsidP="00552BE1">
      <w:pPr>
        <w:autoSpaceDE w:val="0"/>
        <w:autoSpaceDN w:val="0"/>
        <w:snapToGrid w:val="0"/>
        <w:spacing w:line="360" w:lineRule="auto"/>
        <w:ind w:firstLine="420"/>
        <w:textAlignment w:val="bottom"/>
        <w:rPr>
          <w:rFonts w:asciiTheme="minorEastAsia" w:eastAsiaTheme="minorEastAsia" w:hAnsiTheme="minorEastAsia"/>
        </w:rPr>
      </w:pPr>
      <w:bookmarkStart w:id="34" w:name="OLE_LINK2"/>
      <w:r w:rsidRPr="00565E0D">
        <w:rPr>
          <w:rFonts w:asciiTheme="minorEastAsia" w:eastAsiaTheme="minorEastAsia" w:hAnsiTheme="minorEastAsia" w:hint="eastAsia"/>
        </w:rPr>
        <w:t>2、</w:t>
      </w:r>
      <w:r w:rsidR="00C35BC5" w:rsidRPr="00565E0D">
        <w:rPr>
          <w:rFonts w:asciiTheme="minorEastAsia" w:eastAsiaTheme="minorEastAsia" w:hAnsiTheme="minorEastAsia" w:hint="eastAsia"/>
        </w:rPr>
        <w:t>赎回的份额限制</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rPr>
        <w:t>投资者可将其全部或部分基金单位赎回。单笔赎回或转换不得少于</w:t>
      </w:r>
      <w:r w:rsidRPr="00565E0D">
        <w:rPr>
          <w:rFonts w:asciiTheme="minorEastAsia" w:eastAsiaTheme="minorEastAsia" w:hAnsiTheme="minorEastAsia" w:hint="eastAsia"/>
        </w:rPr>
        <w:t>1</w:t>
      </w:r>
      <w:r w:rsidRPr="00565E0D">
        <w:rPr>
          <w:rFonts w:asciiTheme="minorEastAsia" w:eastAsiaTheme="minorEastAsia" w:hAnsiTheme="minorEastAsia"/>
        </w:rPr>
        <w:t>份</w:t>
      </w:r>
      <w:r w:rsidRPr="00565E0D">
        <w:rPr>
          <w:rFonts w:asciiTheme="minorEastAsia" w:eastAsiaTheme="minorEastAsia" w:hAnsiTheme="minorEastAsia" w:hint="eastAsia"/>
        </w:rPr>
        <w:t>（</w:t>
      </w:r>
      <w:r w:rsidR="00601FFA" w:rsidRPr="00565E0D">
        <w:rPr>
          <w:rFonts w:asciiTheme="minorEastAsia" w:eastAsiaTheme="minorEastAsia" w:hAnsiTheme="minorEastAsia"/>
        </w:rPr>
        <w:t>如该账户在该销售机构托管的</w:t>
      </w:r>
      <w:r w:rsidR="00601FFA" w:rsidRPr="00565E0D">
        <w:rPr>
          <w:rFonts w:asciiTheme="minorEastAsia" w:eastAsiaTheme="minorEastAsia" w:hAnsiTheme="minorEastAsia" w:hint="eastAsia"/>
        </w:rPr>
        <w:t>该</w:t>
      </w:r>
      <w:r w:rsidR="00601FFA" w:rsidRPr="00565E0D">
        <w:rPr>
          <w:rFonts w:asciiTheme="minorEastAsia" w:eastAsiaTheme="minorEastAsia" w:hAnsiTheme="minorEastAsia"/>
        </w:rPr>
        <w:t>基金余额不足</w:t>
      </w:r>
      <w:r w:rsidRPr="00565E0D">
        <w:rPr>
          <w:rFonts w:asciiTheme="minorEastAsia" w:eastAsiaTheme="minorEastAsia" w:hAnsiTheme="minorEastAsia"/>
        </w:rPr>
        <w:t>1份</w:t>
      </w:r>
      <w:r w:rsidRPr="00565E0D">
        <w:rPr>
          <w:rFonts w:asciiTheme="minorEastAsia" w:eastAsiaTheme="minorEastAsia" w:hAnsiTheme="minorEastAsia" w:hint="eastAsia"/>
        </w:rPr>
        <w:t>，</w:t>
      </w:r>
      <w:r w:rsidRPr="00565E0D">
        <w:rPr>
          <w:rFonts w:asciiTheme="minorEastAsia" w:eastAsiaTheme="minorEastAsia" w:hAnsiTheme="minorEastAsia"/>
        </w:rPr>
        <w:t>则必须一次性赎回或转出该基金全部份额</w:t>
      </w:r>
      <w:r w:rsidRPr="00565E0D">
        <w:rPr>
          <w:rFonts w:asciiTheme="minorEastAsia" w:eastAsiaTheme="minorEastAsia" w:hAnsiTheme="minorEastAsia" w:hint="eastAsia"/>
        </w:rPr>
        <w:t>）</w:t>
      </w:r>
      <w:r w:rsidRPr="00565E0D">
        <w:rPr>
          <w:rFonts w:asciiTheme="minorEastAsia" w:eastAsiaTheme="minorEastAsia" w:hAnsiTheme="minorEastAsia"/>
        </w:rPr>
        <w:t>；若某笔赎回将导致投资者在</w:t>
      </w:r>
      <w:r w:rsidR="00AC798E" w:rsidRPr="00565E0D">
        <w:rPr>
          <w:rFonts w:asciiTheme="minorEastAsia" w:eastAsiaTheme="minorEastAsia" w:hAnsiTheme="minorEastAsia" w:hint="eastAsia"/>
        </w:rPr>
        <w:t>该</w:t>
      </w:r>
      <w:r w:rsidRPr="00565E0D">
        <w:rPr>
          <w:rFonts w:asciiTheme="minorEastAsia" w:eastAsiaTheme="minorEastAsia" w:hAnsiTheme="minorEastAsia"/>
        </w:rPr>
        <w:t>销售机构托管的</w:t>
      </w:r>
      <w:r w:rsidR="00601FFA" w:rsidRPr="00565E0D">
        <w:rPr>
          <w:rFonts w:asciiTheme="minorEastAsia" w:eastAsiaTheme="minorEastAsia" w:hAnsiTheme="minorEastAsia" w:hint="eastAsia"/>
        </w:rPr>
        <w:t>该</w:t>
      </w:r>
      <w:r w:rsidRPr="00565E0D">
        <w:rPr>
          <w:rFonts w:asciiTheme="minorEastAsia" w:eastAsiaTheme="minorEastAsia" w:hAnsiTheme="minorEastAsia"/>
        </w:rPr>
        <w:t>基金余额不足1份时</w:t>
      </w:r>
      <w:r w:rsidRPr="00565E0D">
        <w:rPr>
          <w:rFonts w:asciiTheme="minorEastAsia" w:eastAsiaTheme="minorEastAsia" w:hAnsiTheme="minorEastAsia" w:hint="eastAsia"/>
        </w:rPr>
        <w:t>，</w:t>
      </w:r>
      <w:r w:rsidRPr="00565E0D">
        <w:rPr>
          <w:rFonts w:asciiTheme="minorEastAsia" w:eastAsiaTheme="minorEastAsia" w:hAnsiTheme="minorEastAsia"/>
        </w:rPr>
        <w:t>基金管理人有权将投资者在该销售机构托管的该基金剩余份额一次性全部赎回</w:t>
      </w:r>
      <w:r w:rsidR="00601FFA" w:rsidRPr="00565E0D">
        <w:rPr>
          <w:rFonts w:asciiTheme="minorEastAsia" w:eastAsiaTheme="minorEastAsia" w:hAnsiTheme="minorEastAsia" w:hint="eastAsia"/>
        </w:rPr>
        <w:t>。在符合法律法规规定的前提下，各销售机构对赎回份额限制有其他规定的，需同时遵循该销售机构的相关规定。</w:t>
      </w:r>
    </w:p>
    <w:bookmarkEnd w:id="34"/>
    <w:p w:rsidR="004C1E5D"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t>3</w:t>
      </w:r>
      <w:r w:rsidR="00552BE1" w:rsidRPr="00565E0D">
        <w:rPr>
          <w:rFonts w:asciiTheme="minorEastAsia" w:eastAsiaTheme="minorEastAsia" w:hAnsiTheme="minorEastAsia" w:hint="eastAsia"/>
        </w:rPr>
        <w:t>、</w:t>
      </w:r>
      <w:r w:rsidR="004C1E5D" w:rsidRPr="00565E0D">
        <w:rPr>
          <w:rFonts w:asciiTheme="minorEastAsia" w:eastAsiaTheme="minorEastAsia" w:hAnsiTheme="minorEastAsia" w:hint="eastAsia"/>
          <w:szCs w:val="21"/>
        </w:rPr>
        <w:t>当接受申购申请对存量基金份额持有人利益构成潜在重大不利影响时，基金管理人应当采取设定单一投资者申购金额上限或基金单日净申购比例上限、拒绝大额申购、暂停基</w:t>
      </w:r>
      <w:r w:rsidR="004C1E5D" w:rsidRPr="00565E0D">
        <w:rPr>
          <w:rFonts w:asciiTheme="minorEastAsia" w:eastAsiaTheme="minorEastAsia" w:hAnsiTheme="minorEastAsia" w:hint="eastAsia"/>
          <w:szCs w:val="21"/>
        </w:rPr>
        <w:lastRenderedPageBreak/>
        <w:t>金申购等措施，切实保护存量基金份额持有人的合法权益。具体请参见相关公告。</w:t>
      </w:r>
    </w:p>
    <w:p w:rsidR="00C35BC5" w:rsidRPr="00565E0D" w:rsidRDefault="004C1E5D"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t>4</w:t>
      </w:r>
      <w:r w:rsidRPr="00565E0D">
        <w:rPr>
          <w:rFonts w:asciiTheme="minorEastAsia" w:eastAsiaTheme="minorEastAsia" w:hAnsiTheme="minorEastAsia"/>
        </w:rPr>
        <w:t>、</w:t>
      </w:r>
      <w:r w:rsidR="00C35BC5" w:rsidRPr="00565E0D">
        <w:rPr>
          <w:rFonts w:asciiTheme="minorEastAsia" w:eastAsiaTheme="minorEastAsia" w:hAnsiTheme="minorEastAsia" w:hint="eastAsia"/>
        </w:rPr>
        <w:t>基金管理人可根据市场情况制定或调整上述申购、赎回的程序及有关限制，</w:t>
      </w:r>
      <w:r w:rsidRPr="00565E0D">
        <w:rPr>
          <w:rFonts w:asciiTheme="minorEastAsia" w:eastAsiaTheme="minorEastAsia" w:hAnsiTheme="minorEastAsia" w:hint="eastAsia"/>
          <w:szCs w:val="21"/>
        </w:rPr>
        <w:t>或者新增基金规模控制措施，</w:t>
      </w:r>
      <w:r w:rsidR="00C35BC5" w:rsidRPr="00565E0D">
        <w:rPr>
          <w:rFonts w:asciiTheme="minorEastAsia" w:eastAsiaTheme="minorEastAsia" w:hAnsiTheme="minorEastAsia" w:hint="eastAsia"/>
        </w:rPr>
        <w:t>但应在调整生效前2个工作日至少在一家</w:t>
      </w:r>
      <w:r w:rsidR="002C3C91" w:rsidRPr="00565E0D">
        <w:rPr>
          <w:rFonts w:asciiTheme="minorEastAsia" w:eastAsiaTheme="minorEastAsia" w:hAnsiTheme="minorEastAsia" w:hint="eastAsia"/>
        </w:rPr>
        <w:t>指定媒介</w:t>
      </w:r>
      <w:r w:rsidR="00C35BC5" w:rsidRPr="00565E0D">
        <w:rPr>
          <w:rFonts w:asciiTheme="minorEastAsia" w:eastAsiaTheme="minorEastAsia" w:hAnsiTheme="minorEastAsia" w:hint="eastAsia"/>
        </w:rPr>
        <w:t>公告。</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szCs w:val="24"/>
        </w:rPr>
      </w:pPr>
      <w:bookmarkStart w:id="35" w:name="_Toc38551185"/>
      <w:r w:rsidRPr="00565E0D">
        <w:rPr>
          <w:rFonts w:asciiTheme="minorEastAsia" w:eastAsiaTheme="minorEastAsia" w:hAnsiTheme="minorEastAsia" w:hint="eastAsia"/>
          <w:sz w:val="24"/>
          <w:szCs w:val="24"/>
        </w:rPr>
        <w:t>（七）申购、赎回的费率</w:t>
      </w:r>
      <w:bookmarkEnd w:id="35"/>
    </w:p>
    <w:p w:rsidR="00C35BC5" w:rsidRPr="00565E0D" w:rsidRDefault="00C35BC5" w:rsidP="00552BE1">
      <w:pPr>
        <w:autoSpaceDE w:val="0"/>
        <w:autoSpaceDN w:val="0"/>
        <w:snapToGrid w:val="0"/>
        <w:spacing w:line="360" w:lineRule="auto"/>
        <w:ind w:firstLineChars="200" w:firstLine="420"/>
        <w:textAlignment w:val="bottom"/>
        <w:rPr>
          <w:rFonts w:asciiTheme="minorEastAsia" w:eastAsiaTheme="minorEastAsia" w:hAnsiTheme="minorEastAsia"/>
        </w:rPr>
      </w:pPr>
      <w:r w:rsidRPr="00565E0D">
        <w:rPr>
          <w:rFonts w:asciiTheme="minorEastAsia" w:eastAsiaTheme="minorEastAsia" w:hAnsiTheme="minorEastAsia" w:hint="eastAsia"/>
        </w:rPr>
        <w:t>1</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本基金的申购、赎回费率</w:t>
      </w:r>
    </w:p>
    <w:p w:rsidR="003954C9" w:rsidRPr="00565E0D" w:rsidRDefault="003954C9" w:rsidP="00552BE1">
      <w:pPr>
        <w:snapToGrid w:val="0"/>
        <w:spacing w:line="360" w:lineRule="auto"/>
        <w:ind w:firstLineChars="202" w:firstLine="424"/>
        <w:rPr>
          <w:rFonts w:asciiTheme="minorEastAsia" w:eastAsiaTheme="minorEastAsia" w:hAnsiTheme="minorEastAsia"/>
          <w:szCs w:val="21"/>
        </w:rPr>
      </w:pPr>
      <w:r w:rsidRPr="00565E0D">
        <w:rPr>
          <w:rFonts w:asciiTheme="minorEastAsia" w:eastAsiaTheme="minorEastAsia" w:hAnsiTheme="minorEastAsia" w:hint="eastAsia"/>
          <w:szCs w:val="21"/>
        </w:rPr>
        <w:t>本基金对通过本公司直销中心申购的特定投资群体与除此之外的其他投资者实施差</w:t>
      </w:r>
    </w:p>
    <w:p w:rsidR="003954C9" w:rsidRPr="00565E0D" w:rsidRDefault="003954C9"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别的申购费率。</w:t>
      </w:r>
    </w:p>
    <w:p w:rsidR="003954C9" w:rsidRPr="00565E0D" w:rsidRDefault="003954C9" w:rsidP="00552BE1">
      <w:pPr>
        <w:snapToGrid w:val="0"/>
        <w:spacing w:line="360" w:lineRule="auto"/>
        <w:ind w:firstLineChars="202" w:firstLine="424"/>
        <w:rPr>
          <w:rFonts w:asciiTheme="minorEastAsia" w:eastAsiaTheme="minorEastAsia" w:hAnsiTheme="minorEastAsia"/>
          <w:szCs w:val="21"/>
        </w:rPr>
      </w:pPr>
      <w:r w:rsidRPr="00565E0D">
        <w:rPr>
          <w:rFonts w:asciiTheme="minorEastAsia" w:eastAsiaTheme="minorEastAsia" w:hAnsiTheme="minorEastAsia" w:hint="eastAsia"/>
          <w:szCs w:val="21"/>
        </w:rPr>
        <w:t>特定投资群体指全国社会保障基金、依法设立的基本养老保险基金、依法制定的企业</w:t>
      </w:r>
    </w:p>
    <w:p w:rsidR="003954C9" w:rsidRPr="00565E0D" w:rsidRDefault="003954C9"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年金计划筹集的资金及其投资运营收益形成的企业补充养老保险基金（包括企业年金单一计划以及集合计划），以及可以投资基金的其他社会保险基金。如将来出现可以投资基金的住房公积金、享受税收优惠的个人养老账户、经养老基金监管部门认可的新的养老基金类型，基金管理人可将其纳入特定投资群体范围。</w:t>
      </w:r>
    </w:p>
    <w:p w:rsidR="003954C9" w:rsidRPr="00565E0D" w:rsidRDefault="003954C9"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通过基金管理人的直销中心申购本基金的特定投资群体申购费率为：</w:t>
      </w:r>
    </w:p>
    <w:tbl>
      <w:tblPr>
        <w:tblW w:w="3999"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387"/>
        <w:gridCol w:w="3414"/>
      </w:tblGrid>
      <w:tr w:rsidR="00565E0D" w:rsidRPr="00565E0D" w:rsidTr="00797C7A">
        <w:trPr>
          <w:tblCellSpacing w:w="7" w:type="dxa"/>
          <w:jc w:val="center"/>
        </w:trPr>
        <w:tc>
          <w:tcPr>
            <w:tcW w:w="2475" w:type="pct"/>
            <w:shd w:val="clear" w:color="auto" w:fill="auto"/>
            <w:vAlign w:val="center"/>
          </w:tcPr>
          <w:p w:rsidR="003954C9" w:rsidRPr="00565E0D" w:rsidRDefault="003954C9" w:rsidP="00552BE1">
            <w:pPr>
              <w:snapToGrid w:val="0"/>
              <w:spacing w:line="360" w:lineRule="auto"/>
              <w:rPr>
                <w:rFonts w:asciiTheme="minorEastAsia" w:eastAsiaTheme="minorEastAsia" w:hAnsiTheme="minorEastAsia" w:cs="Arial Unicode MS"/>
                <w:szCs w:val="21"/>
              </w:rPr>
            </w:pPr>
            <w:r w:rsidRPr="00565E0D">
              <w:rPr>
                <w:rStyle w:val="af7"/>
                <w:rFonts w:asciiTheme="minorEastAsia" w:eastAsiaTheme="minorEastAsia" w:hAnsiTheme="minorEastAsia" w:hint="eastAsia"/>
                <w:b w:val="0"/>
                <w:szCs w:val="21"/>
              </w:rPr>
              <w:t>申购金额M（元）（含申购费）</w:t>
            </w:r>
          </w:p>
        </w:tc>
        <w:tc>
          <w:tcPr>
            <w:tcW w:w="2494" w:type="pct"/>
            <w:shd w:val="clear" w:color="auto" w:fill="auto"/>
            <w:vAlign w:val="center"/>
          </w:tcPr>
          <w:p w:rsidR="003954C9" w:rsidRPr="00565E0D" w:rsidRDefault="003954C9" w:rsidP="00552BE1">
            <w:pPr>
              <w:snapToGrid w:val="0"/>
              <w:spacing w:line="360" w:lineRule="auto"/>
              <w:jc w:val="right"/>
              <w:rPr>
                <w:rFonts w:asciiTheme="minorEastAsia" w:eastAsiaTheme="minorEastAsia" w:hAnsiTheme="minorEastAsia" w:cs="Arial Unicode MS"/>
                <w:szCs w:val="21"/>
              </w:rPr>
            </w:pPr>
            <w:r w:rsidRPr="00565E0D">
              <w:rPr>
                <w:rStyle w:val="af7"/>
                <w:rFonts w:asciiTheme="minorEastAsia" w:eastAsiaTheme="minorEastAsia" w:hAnsiTheme="minorEastAsia" w:hint="eastAsia"/>
                <w:b w:val="0"/>
                <w:szCs w:val="21"/>
              </w:rPr>
              <w:t>前端申购费率</w:t>
            </w:r>
          </w:p>
        </w:tc>
      </w:tr>
      <w:tr w:rsidR="00565E0D" w:rsidRPr="00565E0D" w:rsidTr="00797C7A">
        <w:trPr>
          <w:tblCellSpacing w:w="7" w:type="dxa"/>
          <w:jc w:val="center"/>
        </w:trPr>
        <w:tc>
          <w:tcPr>
            <w:tcW w:w="2475" w:type="pct"/>
            <w:shd w:val="clear" w:color="auto" w:fill="auto"/>
            <w:vAlign w:val="center"/>
          </w:tcPr>
          <w:p w:rsidR="003954C9" w:rsidRPr="00565E0D" w:rsidRDefault="003954C9" w:rsidP="00552BE1">
            <w:pPr>
              <w:snapToGrid w:val="0"/>
              <w:spacing w:line="360" w:lineRule="auto"/>
              <w:rPr>
                <w:rFonts w:asciiTheme="minorEastAsia" w:eastAsiaTheme="minorEastAsia" w:hAnsiTheme="minorEastAsia" w:cs="Arial Unicode MS"/>
                <w:szCs w:val="21"/>
              </w:rPr>
            </w:pPr>
            <w:r w:rsidRPr="00565E0D">
              <w:rPr>
                <w:rFonts w:asciiTheme="minorEastAsia" w:eastAsiaTheme="minorEastAsia" w:hAnsiTheme="minorEastAsia"/>
                <w:szCs w:val="21"/>
              </w:rPr>
              <w:t>M</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100</w:t>
            </w:r>
            <w:r w:rsidRPr="00565E0D">
              <w:rPr>
                <w:rFonts w:asciiTheme="minorEastAsia" w:eastAsiaTheme="minorEastAsia" w:hAnsiTheme="minorEastAsia" w:hint="eastAsia"/>
                <w:szCs w:val="21"/>
              </w:rPr>
              <w:t>万</w:t>
            </w:r>
          </w:p>
        </w:tc>
        <w:tc>
          <w:tcPr>
            <w:tcW w:w="2494" w:type="pct"/>
            <w:shd w:val="clear" w:color="auto" w:fill="auto"/>
            <w:vAlign w:val="center"/>
          </w:tcPr>
          <w:p w:rsidR="003954C9" w:rsidRPr="00565E0D" w:rsidRDefault="003954C9"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hint="eastAsia"/>
                <w:szCs w:val="21"/>
              </w:rPr>
              <w:t>0</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5%</w:t>
            </w:r>
          </w:p>
        </w:tc>
      </w:tr>
      <w:tr w:rsidR="00565E0D" w:rsidRPr="00565E0D" w:rsidTr="00797C7A">
        <w:trPr>
          <w:tblCellSpacing w:w="7" w:type="dxa"/>
          <w:jc w:val="center"/>
        </w:trPr>
        <w:tc>
          <w:tcPr>
            <w:tcW w:w="2475" w:type="pct"/>
            <w:shd w:val="clear" w:color="auto" w:fill="auto"/>
            <w:vAlign w:val="center"/>
          </w:tcPr>
          <w:p w:rsidR="003954C9" w:rsidRPr="00565E0D" w:rsidRDefault="003954C9" w:rsidP="00552BE1">
            <w:pPr>
              <w:snapToGrid w:val="0"/>
              <w:spacing w:line="360" w:lineRule="auto"/>
              <w:rPr>
                <w:rFonts w:asciiTheme="minorEastAsia" w:eastAsiaTheme="minorEastAsia" w:hAnsiTheme="minorEastAsia" w:cs="Arial Unicode MS"/>
                <w:szCs w:val="21"/>
              </w:rPr>
            </w:pPr>
            <w:r w:rsidRPr="00565E0D">
              <w:rPr>
                <w:rFonts w:asciiTheme="minorEastAsia" w:eastAsiaTheme="minorEastAsia" w:hAnsiTheme="minorEastAsia"/>
                <w:szCs w:val="21"/>
              </w:rPr>
              <w:t>100</w:t>
            </w:r>
            <w:r w:rsidRPr="00565E0D">
              <w:rPr>
                <w:rFonts w:asciiTheme="minorEastAsia" w:eastAsiaTheme="minorEastAsia" w:hAnsiTheme="minorEastAsia" w:hint="eastAsia"/>
                <w:szCs w:val="21"/>
              </w:rPr>
              <w:t>万≤</w:t>
            </w:r>
            <w:r w:rsidRPr="00565E0D">
              <w:rPr>
                <w:rFonts w:asciiTheme="minorEastAsia" w:eastAsiaTheme="minorEastAsia" w:hAnsiTheme="minorEastAsia"/>
                <w:szCs w:val="21"/>
              </w:rPr>
              <w:t>M</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500</w:t>
            </w:r>
            <w:r w:rsidRPr="00565E0D">
              <w:rPr>
                <w:rFonts w:asciiTheme="minorEastAsia" w:eastAsiaTheme="minorEastAsia" w:hAnsiTheme="minorEastAsia" w:hint="eastAsia"/>
                <w:szCs w:val="21"/>
              </w:rPr>
              <w:t>万</w:t>
            </w:r>
          </w:p>
        </w:tc>
        <w:tc>
          <w:tcPr>
            <w:tcW w:w="2494" w:type="pct"/>
            <w:shd w:val="clear" w:color="auto" w:fill="auto"/>
            <w:vAlign w:val="center"/>
          </w:tcPr>
          <w:p w:rsidR="003954C9" w:rsidRPr="00565E0D" w:rsidRDefault="003954C9"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hint="eastAsia"/>
                <w:szCs w:val="21"/>
              </w:rPr>
              <w:t>0</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2%</w:t>
            </w:r>
          </w:p>
        </w:tc>
      </w:tr>
      <w:tr w:rsidR="00565E0D" w:rsidRPr="00565E0D" w:rsidTr="00797C7A">
        <w:trPr>
          <w:tblCellSpacing w:w="7" w:type="dxa"/>
          <w:jc w:val="center"/>
        </w:trPr>
        <w:tc>
          <w:tcPr>
            <w:tcW w:w="2475" w:type="pct"/>
            <w:shd w:val="clear" w:color="auto" w:fill="auto"/>
            <w:vAlign w:val="center"/>
          </w:tcPr>
          <w:p w:rsidR="003954C9" w:rsidRPr="00565E0D" w:rsidRDefault="003954C9" w:rsidP="00552BE1">
            <w:pPr>
              <w:snapToGrid w:val="0"/>
              <w:spacing w:line="360" w:lineRule="auto"/>
              <w:rPr>
                <w:rFonts w:asciiTheme="minorEastAsia" w:eastAsiaTheme="minorEastAsia" w:hAnsiTheme="minorEastAsia" w:cs="Arial Unicode MS"/>
                <w:szCs w:val="21"/>
              </w:rPr>
            </w:pPr>
            <w:r w:rsidRPr="00565E0D">
              <w:rPr>
                <w:rFonts w:asciiTheme="minorEastAsia" w:eastAsiaTheme="minorEastAsia" w:hAnsiTheme="minorEastAsia"/>
                <w:szCs w:val="21"/>
              </w:rPr>
              <w:t>500</w:t>
            </w:r>
            <w:r w:rsidRPr="00565E0D">
              <w:rPr>
                <w:rFonts w:asciiTheme="minorEastAsia" w:eastAsiaTheme="minorEastAsia" w:hAnsiTheme="minorEastAsia" w:hint="eastAsia"/>
                <w:szCs w:val="21"/>
              </w:rPr>
              <w:t>万≤</w:t>
            </w:r>
            <w:r w:rsidRPr="00565E0D">
              <w:rPr>
                <w:rFonts w:asciiTheme="minorEastAsia" w:eastAsiaTheme="minorEastAsia" w:hAnsiTheme="minorEastAsia"/>
                <w:szCs w:val="21"/>
              </w:rPr>
              <w:t>M</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1000</w:t>
            </w:r>
            <w:r w:rsidRPr="00565E0D">
              <w:rPr>
                <w:rFonts w:asciiTheme="minorEastAsia" w:eastAsiaTheme="minorEastAsia" w:hAnsiTheme="minorEastAsia" w:hint="eastAsia"/>
                <w:szCs w:val="21"/>
              </w:rPr>
              <w:t>万</w:t>
            </w:r>
          </w:p>
        </w:tc>
        <w:tc>
          <w:tcPr>
            <w:tcW w:w="2494" w:type="pct"/>
            <w:shd w:val="clear" w:color="auto" w:fill="auto"/>
            <w:vAlign w:val="center"/>
          </w:tcPr>
          <w:p w:rsidR="003954C9" w:rsidRPr="00565E0D" w:rsidRDefault="003954C9"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szCs w:val="21"/>
              </w:rPr>
              <w:t>0.</w:t>
            </w:r>
            <w:r w:rsidRPr="00565E0D">
              <w:rPr>
                <w:rFonts w:asciiTheme="minorEastAsia" w:eastAsiaTheme="minorEastAsia" w:hAnsiTheme="minorEastAsia" w:hint="eastAsia"/>
                <w:szCs w:val="21"/>
              </w:rPr>
              <w:t>0</w:t>
            </w:r>
            <w:r w:rsidRPr="00565E0D">
              <w:rPr>
                <w:rFonts w:asciiTheme="minorEastAsia" w:eastAsiaTheme="minorEastAsia" w:hAnsiTheme="minorEastAsia"/>
                <w:szCs w:val="21"/>
              </w:rPr>
              <w:t>3%</w:t>
            </w:r>
          </w:p>
        </w:tc>
      </w:tr>
      <w:tr w:rsidR="00565E0D" w:rsidRPr="00565E0D" w:rsidTr="00797C7A">
        <w:trPr>
          <w:tblCellSpacing w:w="7" w:type="dxa"/>
          <w:jc w:val="center"/>
        </w:trPr>
        <w:tc>
          <w:tcPr>
            <w:tcW w:w="2475" w:type="pct"/>
            <w:shd w:val="clear" w:color="auto" w:fill="auto"/>
            <w:vAlign w:val="center"/>
          </w:tcPr>
          <w:p w:rsidR="003954C9" w:rsidRPr="00565E0D" w:rsidRDefault="003954C9" w:rsidP="00552BE1">
            <w:pPr>
              <w:snapToGrid w:val="0"/>
              <w:spacing w:line="360" w:lineRule="auto"/>
              <w:rPr>
                <w:rFonts w:asciiTheme="minorEastAsia" w:eastAsiaTheme="minorEastAsia" w:hAnsiTheme="minorEastAsia" w:cs="Arial Unicode MS"/>
                <w:szCs w:val="21"/>
              </w:rPr>
            </w:pPr>
            <w:r w:rsidRPr="00565E0D">
              <w:rPr>
                <w:rFonts w:asciiTheme="minorEastAsia" w:eastAsiaTheme="minorEastAsia" w:hAnsiTheme="minorEastAsia"/>
                <w:szCs w:val="21"/>
              </w:rPr>
              <w:t>M</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1000</w:t>
            </w:r>
            <w:r w:rsidRPr="00565E0D">
              <w:rPr>
                <w:rFonts w:asciiTheme="minorEastAsia" w:eastAsiaTheme="minorEastAsia" w:hAnsiTheme="minorEastAsia" w:hint="eastAsia"/>
                <w:szCs w:val="21"/>
              </w:rPr>
              <w:t>万</w:t>
            </w:r>
          </w:p>
        </w:tc>
        <w:tc>
          <w:tcPr>
            <w:tcW w:w="2494" w:type="pct"/>
            <w:shd w:val="clear" w:color="auto" w:fill="auto"/>
            <w:vAlign w:val="center"/>
          </w:tcPr>
          <w:p w:rsidR="003954C9" w:rsidRPr="00565E0D" w:rsidRDefault="003954C9"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hint="eastAsia"/>
                <w:szCs w:val="21"/>
              </w:rPr>
              <w:t>按笔收取，</w:t>
            </w:r>
            <w:r w:rsidRPr="00565E0D">
              <w:rPr>
                <w:rFonts w:asciiTheme="minorEastAsia" w:eastAsiaTheme="minorEastAsia" w:hAnsiTheme="minorEastAsia"/>
                <w:szCs w:val="21"/>
              </w:rPr>
              <w:t>1000</w:t>
            </w:r>
            <w:r w:rsidRPr="00565E0D">
              <w:rPr>
                <w:rFonts w:asciiTheme="minorEastAsia" w:eastAsiaTheme="minorEastAsia" w:hAnsiTheme="minorEastAsia" w:hint="eastAsia"/>
                <w:szCs w:val="21"/>
              </w:rPr>
              <w:t>元</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笔</w:t>
            </w:r>
          </w:p>
        </w:tc>
      </w:tr>
    </w:tbl>
    <w:p w:rsidR="00C35BC5" w:rsidRPr="00565E0D" w:rsidRDefault="003954C9" w:rsidP="00552BE1">
      <w:pPr>
        <w:snapToGrid w:val="0"/>
        <w:spacing w:line="360" w:lineRule="auto"/>
        <w:ind w:firstLine="480"/>
        <w:rPr>
          <w:rFonts w:asciiTheme="minorEastAsia" w:eastAsiaTheme="minorEastAsia" w:hAnsiTheme="minorEastAsia"/>
        </w:rPr>
      </w:pPr>
      <w:r w:rsidRPr="00565E0D">
        <w:rPr>
          <w:rFonts w:asciiTheme="minorEastAsia" w:eastAsiaTheme="minorEastAsia" w:hAnsiTheme="minorEastAsia" w:hint="eastAsia"/>
          <w:szCs w:val="21"/>
        </w:rPr>
        <w:t>其他投资者的</w:t>
      </w:r>
      <w:r w:rsidR="00C35BC5" w:rsidRPr="00565E0D">
        <w:rPr>
          <w:rFonts w:asciiTheme="minorEastAsia" w:eastAsiaTheme="minorEastAsia" w:hAnsiTheme="minorEastAsia" w:hint="eastAsia"/>
          <w:szCs w:val="21"/>
        </w:rPr>
        <w:t>申购费率为：</w:t>
      </w:r>
    </w:p>
    <w:tbl>
      <w:tblPr>
        <w:tblW w:w="3999"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387"/>
        <w:gridCol w:w="3414"/>
      </w:tblGrid>
      <w:tr w:rsidR="00565E0D" w:rsidRPr="00565E0D" w:rsidTr="002A0168">
        <w:trPr>
          <w:tblCellSpacing w:w="7" w:type="dxa"/>
          <w:jc w:val="center"/>
        </w:trPr>
        <w:tc>
          <w:tcPr>
            <w:tcW w:w="2475" w:type="pct"/>
            <w:shd w:val="clear" w:color="auto" w:fill="auto"/>
            <w:vAlign w:val="center"/>
          </w:tcPr>
          <w:p w:rsidR="00C35BC5" w:rsidRPr="00565E0D" w:rsidRDefault="00C35BC5" w:rsidP="00552BE1">
            <w:pPr>
              <w:snapToGrid w:val="0"/>
              <w:spacing w:line="360" w:lineRule="auto"/>
              <w:rPr>
                <w:rFonts w:asciiTheme="minorEastAsia" w:eastAsiaTheme="minorEastAsia" w:hAnsiTheme="minorEastAsia" w:cs="Arial Unicode MS"/>
                <w:szCs w:val="21"/>
              </w:rPr>
            </w:pPr>
            <w:r w:rsidRPr="00565E0D">
              <w:rPr>
                <w:rStyle w:val="af7"/>
                <w:rFonts w:asciiTheme="minorEastAsia" w:eastAsiaTheme="minorEastAsia" w:hAnsiTheme="minorEastAsia" w:hint="eastAsia"/>
                <w:b w:val="0"/>
                <w:szCs w:val="21"/>
              </w:rPr>
              <w:t>申购金额M（元）（含申购费）</w:t>
            </w:r>
          </w:p>
        </w:tc>
        <w:tc>
          <w:tcPr>
            <w:tcW w:w="2494" w:type="pct"/>
            <w:shd w:val="clear" w:color="auto" w:fill="auto"/>
            <w:vAlign w:val="center"/>
          </w:tcPr>
          <w:p w:rsidR="00C35BC5" w:rsidRPr="00565E0D" w:rsidRDefault="00C35BC5" w:rsidP="00552BE1">
            <w:pPr>
              <w:snapToGrid w:val="0"/>
              <w:spacing w:line="360" w:lineRule="auto"/>
              <w:jc w:val="right"/>
              <w:rPr>
                <w:rFonts w:asciiTheme="minorEastAsia" w:eastAsiaTheme="minorEastAsia" w:hAnsiTheme="minorEastAsia" w:cs="Arial Unicode MS"/>
                <w:szCs w:val="21"/>
              </w:rPr>
            </w:pPr>
            <w:r w:rsidRPr="00565E0D">
              <w:rPr>
                <w:rStyle w:val="af7"/>
                <w:rFonts w:asciiTheme="minorEastAsia" w:eastAsiaTheme="minorEastAsia" w:hAnsiTheme="minorEastAsia" w:hint="eastAsia"/>
                <w:b w:val="0"/>
                <w:szCs w:val="21"/>
              </w:rPr>
              <w:t>前端申购费率</w:t>
            </w:r>
          </w:p>
        </w:tc>
      </w:tr>
      <w:tr w:rsidR="00565E0D" w:rsidRPr="00565E0D" w:rsidTr="002A0168">
        <w:trPr>
          <w:tblCellSpacing w:w="7" w:type="dxa"/>
          <w:jc w:val="center"/>
        </w:trPr>
        <w:tc>
          <w:tcPr>
            <w:tcW w:w="2475" w:type="pct"/>
            <w:shd w:val="clear" w:color="auto" w:fill="auto"/>
            <w:vAlign w:val="center"/>
          </w:tcPr>
          <w:p w:rsidR="00C35BC5" w:rsidRPr="00565E0D" w:rsidRDefault="00C35BC5" w:rsidP="00552BE1">
            <w:pPr>
              <w:snapToGrid w:val="0"/>
              <w:spacing w:line="360" w:lineRule="auto"/>
              <w:rPr>
                <w:rFonts w:asciiTheme="minorEastAsia" w:eastAsiaTheme="minorEastAsia" w:hAnsiTheme="minorEastAsia" w:cs="Arial Unicode MS"/>
                <w:szCs w:val="21"/>
              </w:rPr>
            </w:pPr>
            <w:r w:rsidRPr="00565E0D">
              <w:rPr>
                <w:rFonts w:asciiTheme="minorEastAsia" w:eastAsiaTheme="minorEastAsia" w:hAnsiTheme="minorEastAsia"/>
                <w:szCs w:val="21"/>
              </w:rPr>
              <w:t>M</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100</w:t>
            </w:r>
            <w:r w:rsidRPr="00565E0D">
              <w:rPr>
                <w:rFonts w:asciiTheme="minorEastAsia" w:eastAsiaTheme="minorEastAsia" w:hAnsiTheme="minorEastAsia" w:hint="eastAsia"/>
                <w:szCs w:val="21"/>
              </w:rPr>
              <w:t>万</w:t>
            </w:r>
          </w:p>
        </w:tc>
        <w:tc>
          <w:tcPr>
            <w:tcW w:w="2494" w:type="pct"/>
            <w:shd w:val="clear" w:color="auto" w:fill="auto"/>
            <w:vAlign w:val="center"/>
          </w:tcPr>
          <w:p w:rsidR="00C35BC5" w:rsidRPr="00565E0D" w:rsidRDefault="00C35BC5"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szCs w:val="21"/>
              </w:rPr>
              <w:t>1.5%</w:t>
            </w:r>
          </w:p>
        </w:tc>
      </w:tr>
      <w:tr w:rsidR="00565E0D" w:rsidRPr="00565E0D" w:rsidTr="002A0168">
        <w:trPr>
          <w:tblCellSpacing w:w="7" w:type="dxa"/>
          <w:jc w:val="center"/>
        </w:trPr>
        <w:tc>
          <w:tcPr>
            <w:tcW w:w="2475" w:type="pct"/>
            <w:shd w:val="clear" w:color="auto" w:fill="auto"/>
            <w:vAlign w:val="center"/>
          </w:tcPr>
          <w:p w:rsidR="00C35BC5" w:rsidRPr="00565E0D" w:rsidRDefault="00C35BC5" w:rsidP="00552BE1">
            <w:pPr>
              <w:snapToGrid w:val="0"/>
              <w:spacing w:line="360" w:lineRule="auto"/>
              <w:rPr>
                <w:rFonts w:asciiTheme="minorEastAsia" w:eastAsiaTheme="minorEastAsia" w:hAnsiTheme="minorEastAsia" w:cs="Arial Unicode MS"/>
                <w:szCs w:val="21"/>
              </w:rPr>
            </w:pPr>
            <w:r w:rsidRPr="00565E0D">
              <w:rPr>
                <w:rFonts w:asciiTheme="minorEastAsia" w:eastAsiaTheme="minorEastAsia" w:hAnsiTheme="minorEastAsia"/>
                <w:szCs w:val="21"/>
              </w:rPr>
              <w:t>100</w:t>
            </w:r>
            <w:r w:rsidRPr="00565E0D">
              <w:rPr>
                <w:rFonts w:asciiTheme="minorEastAsia" w:eastAsiaTheme="minorEastAsia" w:hAnsiTheme="minorEastAsia" w:hint="eastAsia"/>
                <w:szCs w:val="21"/>
              </w:rPr>
              <w:t>万≤</w:t>
            </w:r>
            <w:r w:rsidRPr="00565E0D">
              <w:rPr>
                <w:rFonts w:asciiTheme="minorEastAsia" w:eastAsiaTheme="minorEastAsia" w:hAnsiTheme="minorEastAsia"/>
                <w:szCs w:val="21"/>
              </w:rPr>
              <w:t>M</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500</w:t>
            </w:r>
            <w:r w:rsidRPr="00565E0D">
              <w:rPr>
                <w:rFonts w:asciiTheme="minorEastAsia" w:eastAsiaTheme="minorEastAsia" w:hAnsiTheme="minorEastAsia" w:hint="eastAsia"/>
                <w:szCs w:val="21"/>
              </w:rPr>
              <w:t>万</w:t>
            </w:r>
          </w:p>
        </w:tc>
        <w:tc>
          <w:tcPr>
            <w:tcW w:w="2494" w:type="pct"/>
            <w:shd w:val="clear" w:color="auto" w:fill="auto"/>
            <w:vAlign w:val="center"/>
          </w:tcPr>
          <w:p w:rsidR="00C35BC5" w:rsidRPr="00565E0D" w:rsidRDefault="00C35BC5"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szCs w:val="21"/>
              </w:rPr>
              <w:t>1.2%</w:t>
            </w:r>
          </w:p>
        </w:tc>
      </w:tr>
      <w:tr w:rsidR="00565E0D" w:rsidRPr="00565E0D" w:rsidTr="002A0168">
        <w:trPr>
          <w:tblCellSpacing w:w="7" w:type="dxa"/>
          <w:jc w:val="center"/>
        </w:trPr>
        <w:tc>
          <w:tcPr>
            <w:tcW w:w="2475" w:type="pct"/>
            <w:shd w:val="clear" w:color="auto" w:fill="auto"/>
            <w:vAlign w:val="center"/>
          </w:tcPr>
          <w:p w:rsidR="00C35BC5" w:rsidRPr="00565E0D" w:rsidRDefault="00C35BC5" w:rsidP="00552BE1">
            <w:pPr>
              <w:snapToGrid w:val="0"/>
              <w:spacing w:line="360" w:lineRule="auto"/>
              <w:rPr>
                <w:rFonts w:asciiTheme="minorEastAsia" w:eastAsiaTheme="minorEastAsia" w:hAnsiTheme="minorEastAsia" w:cs="Arial Unicode MS"/>
                <w:szCs w:val="21"/>
              </w:rPr>
            </w:pPr>
            <w:r w:rsidRPr="00565E0D">
              <w:rPr>
                <w:rFonts w:asciiTheme="minorEastAsia" w:eastAsiaTheme="minorEastAsia" w:hAnsiTheme="minorEastAsia"/>
                <w:szCs w:val="21"/>
              </w:rPr>
              <w:t>500</w:t>
            </w:r>
            <w:r w:rsidRPr="00565E0D">
              <w:rPr>
                <w:rFonts w:asciiTheme="minorEastAsia" w:eastAsiaTheme="minorEastAsia" w:hAnsiTheme="minorEastAsia" w:hint="eastAsia"/>
                <w:szCs w:val="21"/>
              </w:rPr>
              <w:t>万≤</w:t>
            </w:r>
            <w:r w:rsidRPr="00565E0D">
              <w:rPr>
                <w:rFonts w:asciiTheme="minorEastAsia" w:eastAsiaTheme="minorEastAsia" w:hAnsiTheme="minorEastAsia"/>
                <w:szCs w:val="21"/>
              </w:rPr>
              <w:t>M</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1000</w:t>
            </w:r>
            <w:r w:rsidRPr="00565E0D">
              <w:rPr>
                <w:rFonts w:asciiTheme="minorEastAsia" w:eastAsiaTheme="minorEastAsia" w:hAnsiTheme="minorEastAsia" w:hint="eastAsia"/>
                <w:szCs w:val="21"/>
              </w:rPr>
              <w:t>万</w:t>
            </w:r>
          </w:p>
        </w:tc>
        <w:tc>
          <w:tcPr>
            <w:tcW w:w="2494" w:type="pct"/>
            <w:shd w:val="clear" w:color="auto" w:fill="auto"/>
            <w:vAlign w:val="center"/>
          </w:tcPr>
          <w:p w:rsidR="00C35BC5" w:rsidRPr="00565E0D" w:rsidRDefault="00C35BC5"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szCs w:val="21"/>
              </w:rPr>
              <w:t>0.3%</w:t>
            </w:r>
          </w:p>
        </w:tc>
      </w:tr>
      <w:tr w:rsidR="00565E0D" w:rsidRPr="00565E0D" w:rsidTr="002A0168">
        <w:trPr>
          <w:tblCellSpacing w:w="7" w:type="dxa"/>
          <w:jc w:val="center"/>
        </w:trPr>
        <w:tc>
          <w:tcPr>
            <w:tcW w:w="2475" w:type="pct"/>
            <w:shd w:val="clear" w:color="auto" w:fill="auto"/>
            <w:vAlign w:val="center"/>
          </w:tcPr>
          <w:p w:rsidR="00C35BC5" w:rsidRPr="00565E0D" w:rsidRDefault="00C35BC5" w:rsidP="00552BE1">
            <w:pPr>
              <w:snapToGrid w:val="0"/>
              <w:spacing w:line="360" w:lineRule="auto"/>
              <w:rPr>
                <w:rFonts w:asciiTheme="minorEastAsia" w:eastAsiaTheme="minorEastAsia" w:hAnsiTheme="minorEastAsia" w:cs="Arial Unicode MS"/>
                <w:szCs w:val="21"/>
              </w:rPr>
            </w:pPr>
            <w:r w:rsidRPr="00565E0D">
              <w:rPr>
                <w:rFonts w:asciiTheme="minorEastAsia" w:eastAsiaTheme="minorEastAsia" w:hAnsiTheme="minorEastAsia"/>
                <w:szCs w:val="21"/>
              </w:rPr>
              <w:t>M</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1000</w:t>
            </w:r>
            <w:r w:rsidRPr="00565E0D">
              <w:rPr>
                <w:rFonts w:asciiTheme="minorEastAsia" w:eastAsiaTheme="minorEastAsia" w:hAnsiTheme="minorEastAsia" w:hint="eastAsia"/>
                <w:szCs w:val="21"/>
              </w:rPr>
              <w:t>万</w:t>
            </w:r>
          </w:p>
        </w:tc>
        <w:tc>
          <w:tcPr>
            <w:tcW w:w="2494" w:type="pct"/>
            <w:shd w:val="clear" w:color="auto" w:fill="auto"/>
            <w:vAlign w:val="center"/>
          </w:tcPr>
          <w:p w:rsidR="00C35BC5" w:rsidRPr="00565E0D" w:rsidRDefault="00C35BC5"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hint="eastAsia"/>
                <w:szCs w:val="21"/>
              </w:rPr>
              <w:t>按笔收取，</w:t>
            </w:r>
            <w:r w:rsidRPr="00565E0D">
              <w:rPr>
                <w:rFonts w:asciiTheme="minorEastAsia" w:eastAsiaTheme="minorEastAsia" w:hAnsiTheme="minorEastAsia"/>
                <w:szCs w:val="21"/>
              </w:rPr>
              <w:t>1000</w:t>
            </w:r>
            <w:r w:rsidRPr="00565E0D">
              <w:rPr>
                <w:rFonts w:asciiTheme="minorEastAsia" w:eastAsiaTheme="minorEastAsia" w:hAnsiTheme="minorEastAsia" w:hint="eastAsia"/>
                <w:szCs w:val="21"/>
              </w:rPr>
              <w:t>元</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笔</w:t>
            </w:r>
          </w:p>
        </w:tc>
      </w:tr>
    </w:tbl>
    <w:p w:rsidR="00C35BC5" w:rsidRPr="00565E0D" w:rsidRDefault="00C35BC5" w:rsidP="00552BE1">
      <w:pPr>
        <w:pStyle w:val="ac"/>
        <w:snapToGrid w:val="0"/>
        <w:spacing w:after="0"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在申购费按金额分档的情况下，如果投资者多次申购，申购费适用单笔申购金额所对应的费率。</w:t>
      </w:r>
    </w:p>
    <w:p w:rsidR="00C35BC5" w:rsidRPr="00565E0D" w:rsidRDefault="00C35BC5" w:rsidP="00552BE1">
      <w:pPr>
        <w:snapToGrid w:val="0"/>
        <w:spacing w:line="360" w:lineRule="auto"/>
        <w:ind w:firstLine="480"/>
        <w:rPr>
          <w:rFonts w:asciiTheme="minorEastAsia" w:eastAsiaTheme="minorEastAsia" w:hAnsiTheme="minorEastAsia"/>
        </w:rPr>
      </w:pPr>
      <w:r w:rsidRPr="00565E0D">
        <w:rPr>
          <w:rFonts w:asciiTheme="minorEastAsia" w:eastAsiaTheme="minorEastAsia" w:hAnsiTheme="minorEastAsia"/>
          <w:szCs w:val="21"/>
        </w:rPr>
        <w:t>赎回</w:t>
      </w:r>
      <w:r w:rsidRPr="00565E0D">
        <w:rPr>
          <w:rFonts w:asciiTheme="minorEastAsia" w:eastAsiaTheme="minorEastAsia" w:hAnsiTheme="minorEastAsia" w:hint="eastAsia"/>
          <w:szCs w:val="21"/>
        </w:rPr>
        <w:t>费率为</w:t>
      </w:r>
      <w:r w:rsidRPr="00565E0D">
        <w:rPr>
          <w:rFonts w:asciiTheme="minorEastAsia" w:eastAsiaTheme="minorEastAsia" w:hAnsiTheme="minorEastAsia"/>
          <w:szCs w:val="21"/>
        </w:rPr>
        <w:t>：</w:t>
      </w:r>
    </w:p>
    <w:tbl>
      <w:tblPr>
        <w:tblW w:w="3978"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5" w:type="dxa"/>
          <w:left w:w="75" w:type="dxa"/>
          <w:bottom w:w="75" w:type="dxa"/>
          <w:right w:w="75" w:type="dxa"/>
        </w:tblCellMar>
        <w:tblLook w:val="0000" w:firstRow="0" w:lastRow="0" w:firstColumn="0" w:lastColumn="0" w:noHBand="0" w:noVBand="0"/>
      </w:tblPr>
      <w:tblGrid>
        <w:gridCol w:w="3345"/>
        <w:gridCol w:w="3421"/>
      </w:tblGrid>
      <w:tr w:rsidR="00565E0D" w:rsidRPr="00565E0D" w:rsidTr="002A0168">
        <w:trPr>
          <w:tblCellSpacing w:w="7" w:type="dxa"/>
          <w:jc w:val="center"/>
        </w:trPr>
        <w:tc>
          <w:tcPr>
            <w:tcW w:w="2457" w:type="pct"/>
            <w:shd w:val="clear" w:color="auto" w:fill="auto"/>
            <w:vAlign w:val="center"/>
          </w:tcPr>
          <w:p w:rsidR="00C35BC5" w:rsidRPr="00565E0D" w:rsidRDefault="00C35BC5" w:rsidP="00552BE1">
            <w:pPr>
              <w:snapToGrid w:val="0"/>
              <w:spacing w:line="360" w:lineRule="auto"/>
              <w:rPr>
                <w:rFonts w:asciiTheme="minorEastAsia" w:eastAsiaTheme="minorEastAsia" w:hAnsiTheme="minorEastAsia" w:cs="Arial Unicode MS"/>
                <w:b/>
                <w:szCs w:val="21"/>
              </w:rPr>
            </w:pPr>
            <w:r w:rsidRPr="00565E0D">
              <w:rPr>
                <w:rStyle w:val="af7"/>
                <w:rFonts w:asciiTheme="minorEastAsia" w:eastAsiaTheme="minorEastAsia" w:hAnsiTheme="minorEastAsia" w:hint="eastAsia"/>
                <w:b w:val="0"/>
                <w:szCs w:val="21"/>
              </w:rPr>
              <w:t>持有基金时间（天）</w:t>
            </w:r>
          </w:p>
        </w:tc>
        <w:tc>
          <w:tcPr>
            <w:tcW w:w="2512" w:type="pct"/>
            <w:shd w:val="clear" w:color="auto" w:fill="auto"/>
            <w:vAlign w:val="center"/>
          </w:tcPr>
          <w:p w:rsidR="00C35BC5" w:rsidRPr="00565E0D" w:rsidRDefault="00C35BC5" w:rsidP="00552BE1">
            <w:pPr>
              <w:snapToGrid w:val="0"/>
              <w:spacing w:line="360" w:lineRule="auto"/>
              <w:jc w:val="right"/>
              <w:rPr>
                <w:rFonts w:asciiTheme="minorEastAsia" w:eastAsiaTheme="minorEastAsia" w:hAnsiTheme="minorEastAsia" w:cs="Arial Unicode MS"/>
                <w:b/>
                <w:szCs w:val="21"/>
              </w:rPr>
            </w:pPr>
            <w:r w:rsidRPr="00565E0D">
              <w:rPr>
                <w:rStyle w:val="af7"/>
                <w:rFonts w:asciiTheme="minorEastAsia" w:eastAsiaTheme="minorEastAsia" w:hAnsiTheme="minorEastAsia" w:hint="eastAsia"/>
                <w:b w:val="0"/>
                <w:szCs w:val="21"/>
              </w:rPr>
              <w:t>赎回费率</w:t>
            </w:r>
          </w:p>
        </w:tc>
      </w:tr>
      <w:tr w:rsidR="00565E0D" w:rsidRPr="00565E0D" w:rsidTr="002A0168">
        <w:trPr>
          <w:tblCellSpacing w:w="7" w:type="dxa"/>
          <w:jc w:val="center"/>
        </w:trPr>
        <w:tc>
          <w:tcPr>
            <w:tcW w:w="2457" w:type="pct"/>
            <w:shd w:val="clear" w:color="auto" w:fill="auto"/>
            <w:vAlign w:val="center"/>
          </w:tcPr>
          <w:p w:rsidR="004C1E5D" w:rsidRPr="00565E0D" w:rsidRDefault="004C1E5D" w:rsidP="00552BE1">
            <w:pPr>
              <w:snapToGrid w:val="0"/>
              <w:spacing w:line="360" w:lineRule="auto"/>
              <w:rPr>
                <w:rStyle w:val="af7"/>
                <w:rFonts w:asciiTheme="minorEastAsia" w:eastAsiaTheme="minorEastAsia" w:hAnsiTheme="minorEastAsia"/>
                <w:b w:val="0"/>
                <w:szCs w:val="21"/>
              </w:rPr>
            </w:pPr>
            <w:r w:rsidRPr="00565E0D">
              <w:rPr>
                <w:rStyle w:val="af7"/>
                <w:rFonts w:asciiTheme="minorEastAsia" w:eastAsiaTheme="minorEastAsia" w:hAnsiTheme="minorEastAsia" w:hint="eastAsia"/>
                <w:b w:val="0"/>
                <w:szCs w:val="21"/>
              </w:rPr>
              <w:lastRenderedPageBreak/>
              <w:t>0</w:t>
            </w:r>
            <w:r w:rsidRPr="00565E0D">
              <w:rPr>
                <w:rStyle w:val="af7"/>
                <w:rFonts w:asciiTheme="minorEastAsia" w:eastAsiaTheme="minorEastAsia" w:hAnsiTheme="minorEastAsia"/>
                <w:b w:val="0"/>
                <w:szCs w:val="21"/>
              </w:rPr>
              <w:t>-6</w:t>
            </w:r>
          </w:p>
        </w:tc>
        <w:tc>
          <w:tcPr>
            <w:tcW w:w="2512" w:type="pct"/>
            <w:shd w:val="clear" w:color="auto" w:fill="auto"/>
            <w:vAlign w:val="center"/>
          </w:tcPr>
          <w:p w:rsidR="004C1E5D" w:rsidRPr="00565E0D" w:rsidRDefault="004C1E5D" w:rsidP="00552BE1">
            <w:pPr>
              <w:snapToGrid w:val="0"/>
              <w:spacing w:line="360" w:lineRule="auto"/>
              <w:jc w:val="right"/>
              <w:rPr>
                <w:rStyle w:val="af7"/>
                <w:rFonts w:asciiTheme="minorEastAsia" w:eastAsiaTheme="minorEastAsia" w:hAnsiTheme="minorEastAsia"/>
                <w:b w:val="0"/>
                <w:szCs w:val="21"/>
              </w:rPr>
            </w:pPr>
            <w:r w:rsidRPr="00565E0D">
              <w:rPr>
                <w:rStyle w:val="af7"/>
                <w:rFonts w:asciiTheme="minorEastAsia" w:eastAsiaTheme="minorEastAsia" w:hAnsiTheme="minorEastAsia" w:hint="eastAsia"/>
                <w:b w:val="0"/>
                <w:szCs w:val="21"/>
              </w:rPr>
              <w:t>1</w:t>
            </w:r>
            <w:r w:rsidRPr="00565E0D">
              <w:rPr>
                <w:rStyle w:val="af7"/>
                <w:rFonts w:asciiTheme="minorEastAsia" w:eastAsiaTheme="minorEastAsia" w:hAnsiTheme="minorEastAsia"/>
                <w:b w:val="0"/>
                <w:szCs w:val="21"/>
              </w:rPr>
              <w:t>.50%</w:t>
            </w:r>
          </w:p>
        </w:tc>
      </w:tr>
      <w:tr w:rsidR="00565E0D" w:rsidRPr="00565E0D" w:rsidTr="002A0168">
        <w:trPr>
          <w:tblCellSpacing w:w="7" w:type="dxa"/>
          <w:jc w:val="center"/>
        </w:trPr>
        <w:tc>
          <w:tcPr>
            <w:tcW w:w="2457" w:type="pct"/>
            <w:shd w:val="clear" w:color="auto" w:fill="auto"/>
            <w:vAlign w:val="center"/>
          </w:tcPr>
          <w:p w:rsidR="00C35BC5" w:rsidRPr="00565E0D" w:rsidRDefault="004C1E5D" w:rsidP="00552BE1">
            <w:pPr>
              <w:snapToGrid w:val="0"/>
              <w:spacing w:line="360" w:lineRule="auto"/>
              <w:rPr>
                <w:rFonts w:asciiTheme="minorEastAsia" w:eastAsiaTheme="minorEastAsia" w:hAnsiTheme="minorEastAsia" w:cs="Arial Unicode MS"/>
                <w:szCs w:val="21"/>
              </w:rPr>
            </w:pPr>
            <w:r w:rsidRPr="00565E0D">
              <w:rPr>
                <w:rFonts w:asciiTheme="minorEastAsia" w:eastAsiaTheme="minorEastAsia" w:hAnsiTheme="minorEastAsia"/>
                <w:szCs w:val="21"/>
              </w:rPr>
              <w:t>7</w:t>
            </w:r>
            <w:r w:rsidR="00C35BC5" w:rsidRPr="00565E0D">
              <w:rPr>
                <w:rFonts w:asciiTheme="minorEastAsia" w:eastAsiaTheme="minorEastAsia" w:hAnsiTheme="minorEastAsia"/>
                <w:szCs w:val="21"/>
              </w:rPr>
              <w:t>-364</w:t>
            </w:r>
          </w:p>
        </w:tc>
        <w:tc>
          <w:tcPr>
            <w:tcW w:w="2512" w:type="pct"/>
            <w:shd w:val="clear" w:color="auto" w:fill="auto"/>
            <w:vAlign w:val="center"/>
          </w:tcPr>
          <w:p w:rsidR="00C35BC5" w:rsidRPr="00565E0D" w:rsidRDefault="00C35BC5"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szCs w:val="21"/>
              </w:rPr>
              <w:t>0.50%</w:t>
            </w:r>
          </w:p>
        </w:tc>
      </w:tr>
      <w:tr w:rsidR="00565E0D" w:rsidRPr="00565E0D" w:rsidTr="002A0168">
        <w:trPr>
          <w:tblCellSpacing w:w="7" w:type="dxa"/>
          <w:jc w:val="center"/>
        </w:trPr>
        <w:tc>
          <w:tcPr>
            <w:tcW w:w="2457" w:type="pct"/>
            <w:shd w:val="clear" w:color="auto" w:fill="auto"/>
            <w:vAlign w:val="center"/>
          </w:tcPr>
          <w:p w:rsidR="00C35BC5" w:rsidRPr="00565E0D" w:rsidRDefault="00C35BC5" w:rsidP="00552BE1">
            <w:pPr>
              <w:snapToGrid w:val="0"/>
              <w:spacing w:line="360" w:lineRule="auto"/>
              <w:rPr>
                <w:rFonts w:asciiTheme="minorEastAsia" w:eastAsiaTheme="minorEastAsia" w:hAnsiTheme="minorEastAsia" w:cs="Arial Unicode MS"/>
                <w:szCs w:val="21"/>
              </w:rPr>
            </w:pPr>
            <w:r w:rsidRPr="00565E0D">
              <w:rPr>
                <w:rFonts w:asciiTheme="minorEastAsia" w:eastAsiaTheme="minorEastAsia" w:hAnsiTheme="minorEastAsia"/>
                <w:szCs w:val="21"/>
              </w:rPr>
              <w:t>365-729</w:t>
            </w:r>
          </w:p>
        </w:tc>
        <w:tc>
          <w:tcPr>
            <w:tcW w:w="2512" w:type="pct"/>
            <w:shd w:val="clear" w:color="auto" w:fill="auto"/>
            <w:vAlign w:val="center"/>
          </w:tcPr>
          <w:p w:rsidR="00C35BC5" w:rsidRPr="00565E0D" w:rsidRDefault="00C35BC5"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szCs w:val="21"/>
              </w:rPr>
              <w:t>0.25%</w:t>
            </w:r>
          </w:p>
        </w:tc>
      </w:tr>
      <w:tr w:rsidR="00565E0D" w:rsidRPr="00565E0D" w:rsidTr="002A0168">
        <w:trPr>
          <w:tblCellSpacing w:w="7" w:type="dxa"/>
          <w:jc w:val="center"/>
        </w:trPr>
        <w:tc>
          <w:tcPr>
            <w:tcW w:w="2457" w:type="pct"/>
            <w:shd w:val="clear" w:color="auto" w:fill="auto"/>
            <w:vAlign w:val="center"/>
          </w:tcPr>
          <w:p w:rsidR="00C35BC5" w:rsidRPr="00565E0D" w:rsidRDefault="00C35BC5" w:rsidP="00552BE1">
            <w:pPr>
              <w:snapToGrid w:val="0"/>
              <w:spacing w:line="360" w:lineRule="auto"/>
              <w:rPr>
                <w:rFonts w:asciiTheme="minorEastAsia" w:eastAsiaTheme="minorEastAsia" w:hAnsiTheme="minorEastAsia" w:cs="Arial Unicode MS"/>
                <w:szCs w:val="21"/>
              </w:rPr>
            </w:pPr>
            <w:r w:rsidRPr="00565E0D">
              <w:rPr>
                <w:rFonts w:asciiTheme="minorEastAsia" w:eastAsiaTheme="minorEastAsia" w:hAnsiTheme="minorEastAsia"/>
                <w:szCs w:val="21"/>
              </w:rPr>
              <w:t>730</w:t>
            </w:r>
            <w:r w:rsidRPr="00565E0D">
              <w:rPr>
                <w:rFonts w:asciiTheme="minorEastAsia" w:eastAsiaTheme="minorEastAsia" w:hAnsiTheme="minorEastAsia" w:hint="eastAsia"/>
                <w:szCs w:val="21"/>
              </w:rPr>
              <w:t>及以上</w:t>
            </w:r>
          </w:p>
        </w:tc>
        <w:tc>
          <w:tcPr>
            <w:tcW w:w="2512" w:type="pct"/>
            <w:shd w:val="clear" w:color="auto" w:fill="auto"/>
            <w:vAlign w:val="center"/>
          </w:tcPr>
          <w:p w:rsidR="00C35BC5" w:rsidRPr="00565E0D" w:rsidRDefault="00C35BC5"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szCs w:val="21"/>
              </w:rPr>
              <w:t>0.00%</w:t>
            </w:r>
          </w:p>
        </w:tc>
      </w:tr>
    </w:tbl>
    <w:p w:rsidR="00C35BC5" w:rsidRPr="00565E0D" w:rsidRDefault="00C35BC5" w:rsidP="00552BE1">
      <w:pPr>
        <w:snapToGrid w:val="0"/>
        <w:spacing w:line="360" w:lineRule="auto"/>
        <w:ind w:firstLine="435"/>
        <w:rPr>
          <w:rFonts w:asciiTheme="minorEastAsia" w:eastAsiaTheme="minorEastAsia" w:hAnsiTheme="minorEastAsia"/>
          <w:szCs w:val="21"/>
        </w:rPr>
      </w:pPr>
      <w:r w:rsidRPr="00565E0D">
        <w:rPr>
          <w:rFonts w:asciiTheme="minorEastAsia" w:eastAsiaTheme="minorEastAsia" w:hAnsiTheme="minorEastAsia"/>
          <w:szCs w:val="21"/>
        </w:rPr>
        <w:t>基金管理人可以在基金合同规定的范围内调整申购费率和赎回费率，上述费率如发生变更，基金管理人</w:t>
      </w:r>
      <w:r w:rsidRPr="00565E0D">
        <w:rPr>
          <w:rFonts w:asciiTheme="minorEastAsia" w:eastAsiaTheme="minorEastAsia" w:hAnsiTheme="minorEastAsia" w:hint="eastAsia"/>
          <w:szCs w:val="21"/>
        </w:rPr>
        <w:t>还</w:t>
      </w:r>
      <w:r w:rsidRPr="00565E0D">
        <w:rPr>
          <w:rFonts w:asciiTheme="minorEastAsia" w:eastAsiaTheme="minorEastAsia" w:hAnsiTheme="minorEastAsia"/>
          <w:szCs w:val="21"/>
        </w:rPr>
        <w:t>应最迟于新的费率实施前</w:t>
      </w: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个工作日</w:t>
      </w:r>
      <w:r w:rsidRPr="00565E0D">
        <w:rPr>
          <w:rFonts w:asciiTheme="minorEastAsia" w:eastAsiaTheme="minorEastAsia" w:hAnsiTheme="minorEastAsia" w:hint="eastAsia"/>
        </w:rPr>
        <w:t>在</w:t>
      </w:r>
      <w:r w:rsidR="002C3C91" w:rsidRPr="00565E0D">
        <w:rPr>
          <w:rFonts w:asciiTheme="minorEastAsia" w:eastAsiaTheme="minorEastAsia" w:hAnsiTheme="minorEastAsia" w:hint="eastAsia"/>
        </w:rPr>
        <w:t>指定媒介</w:t>
      </w:r>
      <w:r w:rsidRPr="00565E0D">
        <w:rPr>
          <w:rFonts w:asciiTheme="minorEastAsia" w:eastAsiaTheme="minorEastAsia" w:hAnsiTheme="minorEastAsia" w:hint="eastAsia"/>
        </w:rPr>
        <w:t>公告</w:t>
      </w:r>
      <w:r w:rsidRPr="00565E0D">
        <w:rPr>
          <w:rFonts w:asciiTheme="minorEastAsia" w:eastAsiaTheme="minorEastAsia" w:hAnsiTheme="minorEastAsia"/>
          <w:szCs w:val="21"/>
        </w:rPr>
        <w:t>。</w:t>
      </w:r>
    </w:p>
    <w:p w:rsidR="00C35BC5" w:rsidRPr="00565E0D" w:rsidRDefault="00610C23" w:rsidP="00552BE1">
      <w:pPr>
        <w:snapToGrid w:val="0"/>
        <w:spacing w:line="360" w:lineRule="auto"/>
        <w:ind w:firstLine="435"/>
        <w:rPr>
          <w:rFonts w:asciiTheme="minorEastAsia" w:eastAsiaTheme="minorEastAsia" w:hAnsiTheme="minorEastAsia"/>
          <w:szCs w:val="21"/>
        </w:rPr>
      </w:pPr>
      <w:r w:rsidRPr="00565E0D">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szCs w:val="24"/>
        </w:rPr>
      </w:pPr>
      <w:bookmarkStart w:id="36" w:name="_Toc38551186"/>
      <w:r w:rsidRPr="00565E0D">
        <w:rPr>
          <w:rFonts w:asciiTheme="minorEastAsia" w:eastAsiaTheme="minorEastAsia" w:hAnsiTheme="minorEastAsia" w:hint="eastAsia"/>
          <w:sz w:val="24"/>
          <w:szCs w:val="24"/>
        </w:rPr>
        <w:t>（八）申购份额、赎回金额的计算方式</w:t>
      </w:r>
      <w:bookmarkEnd w:id="36"/>
    </w:p>
    <w:p w:rsidR="00C35BC5" w:rsidRPr="00565E0D" w:rsidRDefault="00552BE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00C35BC5" w:rsidRPr="00565E0D">
        <w:rPr>
          <w:rFonts w:asciiTheme="minorEastAsia" w:eastAsiaTheme="minorEastAsia" w:hAnsiTheme="minorEastAsia" w:hint="eastAsia"/>
          <w:szCs w:val="21"/>
        </w:rPr>
        <w:t>申购份额的计算</w:t>
      </w:r>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本基金的申购金额包括申购费用和净申购金额，其中：</w:t>
      </w:r>
    </w:p>
    <w:p w:rsidR="00C35BC5" w:rsidRPr="00565E0D" w:rsidRDefault="00C35BC5" w:rsidP="00552BE1">
      <w:pPr>
        <w:snapToGrid w:val="0"/>
        <w:spacing w:line="360" w:lineRule="auto"/>
        <w:ind w:leftChars="100" w:left="210" w:firstLineChars="128" w:firstLine="269"/>
        <w:rPr>
          <w:rFonts w:asciiTheme="minorEastAsia" w:eastAsiaTheme="minorEastAsia" w:hAnsiTheme="minorEastAsia"/>
          <w:szCs w:val="21"/>
        </w:rPr>
      </w:pPr>
      <w:r w:rsidRPr="00565E0D">
        <w:rPr>
          <w:rFonts w:asciiTheme="minorEastAsia" w:eastAsiaTheme="minorEastAsia" w:hAnsiTheme="minorEastAsia" w:hint="eastAsia"/>
          <w:szCs w:val="21"/>
        </w:rPr>
        <w:t>申购费用=申购金额/（1＋申购费率）×申购费率,对于</w:t>
      </w:r>
      <w:r w:rsidRPr="00565E0D">
        <w:rPr>
          <w:rFonts w:asciiTheme="minorEastAsia" w:eastAsiaTheme="minorEastAsia" w:hAnsiTheme="minorEastAsia" w:hint="eastAsia"/>
        </w:rPr>
        <w:t>1000万元（含）以上的申购适用绝对数额的申购费金额</w:t>
      </w:r>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净申购金额=申购金额-申购费用</w:t>
      </w:r>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申购份数=净申购金额</w:t>
      </w:r>
      <w:r w:rsidRPr="00565E0D">
        <w:rPr>
          <w:rFonts w:asciiTheme="minorEastAsia" w:eastAsiaTheme="minorEastAsia" w:hAnsiTheme="minorEastAsia" w:hint="eastAsia"/>
        </w:rPr>
        <w:t>÷</w:t>
      </w:r>
      <w:r w:rsidRPr="00565E0D">
        <w:rPr>
          <w:rFonts w:asciiTheme="minorEastAsia" w:eastAsiaTheme="minorEastAsia" w:hAnsiTheme="minorEastAsia" w:hint="eastAsia"/>
          <w:szCs w:val="21"/>
        </w:rPr>
        <w:t>T日基金份额净值</w:t>
      </w:r>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举例说明：</w:t>
      </w:r>
    </w:p>
    <w:p w:rsidR="004206F7" w:rsidRPr="00565E0D" w:rsidRDefault="004206F7"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kern w:val="0"/>
        </w:rPr>
        <w:t>例一：某投资者（非特定投资群体）申购本基金：</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4"/>
        <w:gridCol w:w="1417"/>
        <w:gridCol w:w="1418"/>
        <w:gridCol w:w="1660"/>
        <w:gridCol w:w="1422"/>
      </w:tblGrid>
      <w:tr w:rsidR="00565E0D" w:rsidRPr="00565E0D" w:rsidTr="004206F7">
        <w:trPr>
          <w:jc w:val="center"/>
        </w:trPr>
        <w:tc>
          <w:tcPr>
            <w:tcW w:w="1581" w:type="dxa"/>
          </w:tcPr>
          <w:p w:rsidR="00C35BC5" w:rsidRPr="00565E0D" w:rsidRDefault="00C35BC5"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申购金额</w:t>
            </w:r>
          </w:p>
        </w:tc>
        <w:tc>
          <w:tcPr>
            <w:tcW w:w="1134" w:type="dxa"/>
          </w:tcPr>
          <w:p w:rsidR="00C35BC5" w:rsidRPr="00565E0D" w:rsidRDefault="00C35BC5"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申购费率</w:t>
            </w:r>
          </w:p>
        </w:tc>
        <w:tc>
          <w:tcPr>
            <w:tcW w:w="1417" w:type="dxa"/>
          </w:tcPr>
          <w:p w:rsidR="00C35BC5" w:rsidRPr="00565E0D" w:rsidRDefault="00C35BC5"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申购费用</w:t>
            </w:r>
          </w:p>
        </w:tc>
        <w:tc>
          <w:tcPr>
            <w:tcW w:w="1418" w:type="dxa"/>
          </w:tcPr>
          <w:p w:rsidR="00C35BC5" w:rsidRPr="00565E0D" w:rsidRDefault="00C35BC5"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净申购金额</w:t>
            </w:r>
          </w:p>
        </w:tc>
        <w:tc>
          <w:tcPr>
            <w:tcW w:w="1660" w:type="dxa"/>
          </w:tcPr>
          <w:p w:rsidR="00C35BC5" w:rsidRPr="00565E0D" w:rsidRDefault="00C35BC5"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基金份额净值</w:t>
            </w:r>
          </w:p>
        </w:tc>
        <w:tc>
          <w:tcPr>
            <w:tcW w:w="1422" w:type="dxa"/>
          </w:tcPr>
          <w:p w:rsidR="00C35BC5" w:rsidRPr="00565E0D" w:rsidRDefault="00C35BC5"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申购份数</w:t>
            </w:r>
          </w:p>
        </w:tc>
      </w:tr>
      <w:tr w:rsidR="00565E0D" w:rsidRPr="00565E0D" w:rsidTr="004206F7">
        <w:trPr>
          <w:jc w:val="center"/>
        </w:trPr>
        <w:tc>
          <w:tcPr>
            <w:tcW w:w="1581"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10,000元</w:t>
            </w:r>
          </w:p>
        </w:tc>
        <w:tc>
          <w:tcPr>
            <w:tcW w:w="1134"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1.5%</w:t>
            </w:r>
          </w:p>
        </w:tc>
        <w:tc>
          <w:tcPr>
            <w:tcW w:w="1417"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147.78元</w:t>
            </w:r>
          </w:p>
        </w:tc>
        <w:tc>
          <w:tcPr>
            <w:tcW w:w="1418"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9,852.22元</w:t>
            </w:r>
          </w:p>
        </w:tc>
        <w:tc>
          <w:tcPr>
            <w:tcW w:w="1660"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1.0000元</w:t>
            </w:r>
          </w:p>
        </w:tc>
        <w:tc>
          <w:tcPr>
            <w:tcW w:w="1422"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9,852.22份</w:t>
            </w:r>
          </w:p>
        </w:tc>
      </w:tr>
      <w:tr w:rsidR="00565E0D" w:rsidRPr="00565E0D" w:rsidTr="004206F7">
        <w:trPr>
          <w:jc w:val="center"/>
        </w:trPr>
        <w:tc>
          <w:tcPr>
            <w:tcW w:w="1581"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10,000,000元</w:t>
            </w:r>
          </w:p>
        </w:tc>
        <w:tc>
          <w:tcPr>
            <w:tcW w:w="1134"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1000元</w:t>
            </w:r>
          </w:p>
        </w:tc>
        <w:tc>
          <w:tcPr>
            <w:tcW w:w="1417"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1000元</w:t>
            </w:r>
          </w:p>
        </w:tc>
        <w:tc>
          <w:tcPr>
            <w:tcW w:w="1418"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9,999,000元</w:t>
            </w:r>
          </w:p>
        </w:tc>
        <w:tc>
          <w:tcPr>
            <w:tcW w:w="1660"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1.0000元</w:t>
            </w:r>
          </w:p>
        </w:tc>
        <w:tc>
          <w:tcPr>
            <w:tcW w:w="1422" w:type="dxa"/>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hint="eastAsia"/>
                <w:szCs w:val="21"/>
              </w:rPr>
              <w:t>9,999,000份</w:t>
            </w:r>
          </w:p>
        </w:tc>
      </w:tr>
    </w:tbl>
    <w:p w:rsidR="004206F7" w:rsidRPr="00565E0D" w:rsidRDefault="004206F7"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kern w:val="0"/>
        </w:rPr>
        <w:t>例二：某投资者（特定投资群体）通过基金管理人的直销中心申购本基金：</w:t>
      </w:r>
    </w:p>
    <w:tbl>
      <w:tblPr>
        <w:tblW w:w="8880"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E0" w:firstRow="1" w:lastRow="1" w:firstColumn="1" w:lastColumn="1" w:noHBand="0" w:noVBand="0"/>
      </w:tblPr>
      <w:tblGrid>
        <w:gridCol w:w="1581"/>
        <w:gridCol w:w="1135"/>
        <w:gridCol w:w="1419"/>
        <w:gridCol w:w="1661"/>
        <w:gridCol w:w="1661"/>
        <w:gridCol w:w="1423"/>
      </w:tblGrid>
      <w:tr w:rsidR="00565E0D" w:rsidRPr="00565E0D" w:rsidTr="004206F7">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申购金额</w:t>
            </w:r>
          </w:p>
        </w:tc>
        <w:tc>
          <w:tcPr>
            <w:tcW w:w="1135"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申购费率</w:t>
            </w:r>
          </w:p>
        </w:tc>
        <w:tc>
          <w:tcPr>
            <w:tcW w:w="1419"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净申购金额</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申购费用</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基金份额净值</w:t>
            </w:r>
          </w:p>
        </w:tc>
        <w:tc>
          <w:tcPr>
            <w:tcW w:w="1423"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b/>
                <w:szCs w:val="21"/>
              </w:rPr>
            </w:pPr>
            <w:r w:rsidRPr="00565E0D">
              <w:rPr>
                <w:rFonts w:asciiTheme="minorEastAsia" w:eastAsiaTheme="minorEastAsia" w:hAnsiTheme="minorEastAsia" w:hint="eastAsia"/>
                <w:b/>
                <w:szCs w:val="21"/>
              </w:rPr>
              <w:t>申购份数</w:t>
            </w:r>
          </w:p>
        </w:tc>
      </w:tr>
      <w:tr w:rsidR="00565E0D" w:rsidRPr="00565E0D" w:rsidTr="004206F7">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50,000元</w:t>
            </w:r>
          </w:p>
        </w:tc>
        <w:tc>
          <w:tcPr>
            <w:tcW w:w="1135"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ind w:firstLineChars="100" w:firstLine="210"/>
              <w:rPr>
                <w:rFonts w:asciiTheme="minorEastAsia" w:eastAsiaTheme="minorEastAsia" w:hAnsiTheme="minorEastAsia"/>
                <w:szCs w:val="21"/>
              </w:rPr>
            </w:pPr>
            <w:r w:rsidRPr="00565E0D">
              <w:rPr>
                <w:rFonts w:asciiTheme="minorEastAsia" w:eastAsiaTheme="minorEastAsia" w:hAnsiTheme="minorEastAsia" w:hint="eastAsia"/>
                <w:szCs w:val="21"/>
              </w:rPr>
              <w:t>0.15%</w:t>
            </w:r>
          </w:p>
        </w:tc>
        <w:tc>
          <w:tcPr>
            <w:tcW w:w="1419"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49,925.11元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74.89元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1.000元</w:t>
            </w:r>
          </w:p>
        </w:tc>
        <w:tc>
          <w:tcPr>
            <w:tcW w:w="1423"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49,925.11份</w:t>
            </w:r>
          </w:p>
        </w:tc>
      </w:tr>
      <w:tr w:rsidR="00565E0D" w:rsidRPr="00565E0D" w:rsidTr="004206F7">
        <w:trPr>
          <w:jc w:val="center"/>
        </w:trPr>
        <w:tc>
          <w:tcPr>
            <w:tcW w:w="1581"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10,000,000元</w:t>
            </w:r>
          </w:p>
        </w:tc>
        <w:tc>
          <w:tcPr>
            <w:tcW w:w="1135"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1000元</w:t>
            </w:r>
          </w:p>
        </w:tc>
        <w:tc>
          <w:tcPr>
            <w:tcW w:w="1419"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9,999,000元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1000元</w:t>
            </w:r>
          </w:p>
        </w:tc>
        <w:tc>
          <w:tcPr>
            <w:tcW w:w="1661"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1.000元</w:t>
            </w:r>
          </w:p>
        </w:tc>
        <w:tc>
          <w:tcPr>
            <w:tcW w:w="1423" w:type="dxa"/>
            <w:tcBorders>
              <w:top w:val="thinThickLargeGap" w:sz="6" w:space="0" w:color="808080"/>
              <w:left w:val="thinThickLargeGap" w:sz="6" w:space="0" w:color="808080"/>
              <w:bottom w:val="thinThickLargeGap" w:sz="6" w:space="0" w:color="808080"/>
              <w:right w:val="thinThickLargeGap" w:sz="6" w:space="0" w:color="808080"/>
            </w:tcBorders>
          </w:tcPr>
          <w:p w:rsidR="004206F7" w:rsidRPr="00565E0D" w:rsidRDefault="004206F7"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9,999,000份</w:t>
            </w:r>
          </w:p>
        </w:tc>
      </w:tr>
    </w:tbl>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申购费用以人民币元为单位，四舍五入，保留至小数点后二位；申购份数采取四舍五入的方法保留小数点后二位，由此产生的误差计入基金财产。</w:t>
      </w:r>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2</w:t>
      </w:r>
      <w:r w:rsidR="00552BE1"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基金赎回金额的计算</w:t>
      </w:r>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本基金的赎回金额为赎回总额扣减赎回费用，其中：</w:t>
      </w:r>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赎回总额=赎回数量</w:t>
      </w:r>
      <w:r w:rsidRPr="00565E0D">
        <w:rPr>
          <w:rFonts w:asciiTheme="minorEastAsia" w:eastAsiaTheme="minorEastAsia" w:hAnsiTheme="minorEastAsia" w:hint="eastAsia"/>
          <w:szCs w:val="21"/>
        </w:rPr>
        <w:sym w:font="Symbol" w:char="F0B4"/>
      </w:r>
      <w:r w:rsidRPr="00565E0D">
        <w:rPr>
          <w:rFonts w:asciiTheme="minorEastAsia" w:eastAsiaTheme="minorEastAsia" w:hAnsiTheme="minorEastAsia" w:hint="eastAsia"/>
          <w:szCs w:val="21"/>
        </w:rPr>
        <w:t>T日基金份额净值</w:t>
      </w:r>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赎回费用=赎回总额</w:t>
      </w:r>
      <w:r w:rsidRPr="00565E0D">
        <w:rPr>
          <w:rFonts w:asciiTheme="minorEastAsia" w:eastAsiaTheme="minorEastAsia" w:hAnsiTheme="minorEastAsia" w:hint="eastAsia"/>
          <w:szCs w:val="21"/>
        </w:rPr>
        <w:sym w:font="Symbol" w:char="F0B4"/>
      </w:r>
      <w:r w:rsidRPr="00565E0D">
        <w:rPr>
          <w:rFonts w:asciiTheme="minorEastAsia" w:eastAsiaTheme="minorEastAsia" w:hAnsiTheme="minorEastAsia" w:hint="eastAsia"/>
          <w:szCs w:val="21"/>
        </w:rPr>
        <w:t>赎回费率</w:t>
      </w:r>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赎回金额=赎回总额</w:t>
      </w:r>
      <w:r w:rsidRPr="00565E0D">
        <w:rPr>
          <w:rFonts w:asciiTheme="minorEastAsia" w:eastAsiaTheme="minorEastAsia" w:hAnsiTheme="minorEastAsia" w:hint="eastAsia"/>
          <w:szCs w:val="21"/>
        </w:rPr>
        <w:sym w:font="Symbol" w:char="F02D"/>
      </w:r>
      <w:r w:rsidRPr="00565E0D">
        <w:rPr>
          <w:rFonts w:asciiTheme="minorEastAsia" w:eastAsiaTheme="minorEastAsia" w:hAnsiTheme="minorEastAsia" w:hint="eastAsia"/>
          <w:szCs w:val="21"/>
        </w:rPr>
        <w:t>赎回费用</w:t>
      </w:r>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举例说明：</w:t>
      </w:r>
    </w:p>
    <w:tbl>
      <w:tblPr>
        <w:tblW w:w="8632" w:type="dxa"/>
        <w:jc w:val="center"/>
        <w:tblBorders>
          <w:top w:val="thinThickLargeGap" w:sz="6" w:space="0" w:color="808080"/>
          <w:left w:val="thinThickLargeGap" w:sz="6" w:space="0" w:color="808080"/>
          <w:bottom w:val="thinThickLargeGap" w:sz="6" w:space="0" w:color="808080"/>
          <w:right w:val="thinThickLargeGap" w:sz="6" w:space="0" w:color="808080"/>
          <w:insideH w:val="thinThickLargeGap" w:sz="6" w:space="0" w:color="808080"/>
          <w:insideV w:val="thinThickLargeGap" w:sz="6" w:space="0" w:color="808080"/>
        </w:tblBorders>
        <w:tblLayout w:type="fixed"/>
        <w:tblLook w:val="0160" w:firstRow="1" w:lastRow="1" w:firstColumn="0" w:lastColumn="1" w:noHBand="0" w:noVBand="0"/>
      </w:tblPr>
      <w:tblGrid>
        <w:gridCol w:w="1243"/>
        <w:gridCol w:w="1650"/>
        <w:gridCol w:w="1436"/>
        <w:gridCol w:w="1437"/>
        <w:gridCol w:w="1409"/>
        <w:gridCol w:w="1457"/>
      </w:tblGrid>
      <w:tr w:rsidR="00565E0D" w:rsidRPr="00565E0D" w:rsidTr="002A0168">
        <w:trPr>
          <w:jc w:val="center"/>
        </w:trPr>
        <w:tc>
          <w:tcPr>
            <w:tcW w:w="1243"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szCs w:val="21"/>
              </w:rPr>
              <w:t>赎回份额</w:t>
            </w:r>
          </w:p>
        </w:tc>
        <w:tc>
          <w:tcPr>
            <w:tcW w:w="1650"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szCs w:val="21"/>
              </w:rPr>
              <w:t>基金份额净值</w:t>
            </w:r>
          </w:p>
        </w:tc>
        <w:tc>
          <w:tcPr>
            <w:tcW w:w="1436"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szCs w:val="21"/>
              </w:rPr>
              <w:t>持有时间</w:t>
            </w:r>
          </w:p>
        </w:tc>
        <w:tc>
          <w:tcPr>
            <w:tcW w:w="1437"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szCs w:val="21"/>
              </w:rPr>
              <w:t>赎回费率</w:t>
            </w:r>
          </w:p>
        </w:tc>
        <w:tc>
          <w:tcPr>
            <w:tcW w:w="1409"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szCs w:val="21"/>
              </w:rPr>
              <w:t>赎回费</w:t>
            </w:r>
            <w:r w:rsidRPr="00565E0D">
              <w:rPr>
                <w:rFonts w:asciiTheme="minorEastAsia" w:eastAsiaTheme="minorEastAsia" w:hAnsiTheme="minorEastAsia" w:hint="eastAsia"/>
                <w:szCs w:val="21"/>
              </w:rPr>
              <w:t>用</w:t>
            </w:r>
          </w:p>
        </w:tc>
        <w:tc>
          <w:tcPr>
            <w:tcW w:w="1457" w:type="dxa"/>
          </w:tcPr>
          <w:p w:rsidR="00C35BC5" w:rsidRPr="00565E0D" w:rsidRDefault="00C35BC5" w:rsidP="00552BE1">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szCs w:val="21"/>
              </w:rPr>
              <w:t>赎回</w:t>
            </w:r>
            <w:r w:rsidRPr="00565E0D">
              <w:rPr>
                <w:rFonts w:asciiTheme="minorEastAsia" w:eastAsiaTheme="minorEastAsia" w:hAnsiTheme="minorEastAsia" w:hint="eastAsia"/>
                <w:szCs w:val="21"/>
              </w:rPr>
              <w:t>金</w:t>
            </w:r>
            <w:r w:rsidRPr="00565E0D">
              <w:rPr>
                <w:rFonts w:asciiTheme="minorEastAsia" w:eastAsiaTheme="minorEastAsia" w:hAnsiTheme="minorEastAsia"/>
                <w:szCs w:val="21"/>
              </w:rPr>
              <w:t>额</w:t>
            </w:r>
          </w:p>
        </w:tc>
      </w:tr>
      <w:tr w:rsidR="00565E0D" w:rsidRPr="00565E0D" w:rsidTr="006036A6">
        <w:trPr>
          <w:jc w:val="center"/>
        </w:trPr>
        <w:tc>
          <w:tcPr>
            <w:tcW w:w="1243" w:type="dxa"/>
          </w:tcPr>
          <w:p w:rsidR="00627417" w:rsidRPr="00565E0D" w:rsidRDefault="00627417" w:rsidP="00627417">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szCs w:val="21"/>
              </w:rPr>
              <w:t>10,000</w:t>
            </w:r>
          </w:p>
        </w:tc>
        <w:tc>
          <w:tcPr>
            <w:tcW w:w="1650" w:type="dxa"/>
            <w:vAlign w:val="center"/>
          </w:tcPr>
          <w:p w:rsidR="00627417" w:rsidRPr="00565E0D" w:rsidRDefault="00627417" w:rsidP="006036A6">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szCs w:val="21"/>
              </w:rPr>
              <w:t>1.00</w:t>
            </w:r>
            <w:r w:rsidRPr="00565E0D">
              <w:rPr>
                <w:rFonts w:asciiTheme="minorEastAsia" w:eastAsiaTheme="minorEastAsia" w:hAnsiTheme="minorEastAsia" w:hint="eastAsia"/>
                <w:szCs w:val="21"/>
              </w:rPr>
              <w:t>00</w:t>
            </w:r>
            <w:r w:rsidRPr="00565E0D">
              <w:rPr>
                <w:rFonts w:asciiTheme="minorEastAsia" w:eastAsiaTheme="minorEastAsia" w:hAnsiTheme="minorEastAsia"/>
                <w:szCs w:val="21"/>
              </w:rPr>
              <w:t>元</w:t>
            </w:r>
          </w:p>
        </w:tc>
        <w:tc>
          <w:tcPr>
            <w:tcW w:w="1436" w:type="dxa"/>
            <w:vAlign w:val="center"/>
          </w:tcPr>
          <w:p w:rsidR="00627417" w:rsidRPr="00565E0D" w:rsidRDefault="00627417" w:rsidP="006036A6">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szCs w:val="21"/>
              </w:rPr>
              <w:t>6</w:t>
            </w:r>
            <w:r w:rsidRPr="00565E0D">
              <w:rPr>
                <w:rFonts w:asciiTheme="minorEastAsia" w:eastAsiaTheme="minorEastAsia" w:hAnsiTheme="minorEastAsia" w:hint="eastAsia"/>
                <w:szCs w:val="21"/>
              </w:rPr>
              <w:t>天</w:t>
            </w:r>
          </w:p>
        </w:tc>
        <w:tc>
          <w:tcPr>
            <w:tcW w:w="1437" w:type="dxa"/>
            <w:vAlign w:val="center"/>
          </w:tcPr>
          <w:p w:rsidR="00627417" w:rsidRPr="00565E0D" w:rsidRDefault="00627417" w:rsidP="006036A6">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szCs w:val="21"/>
              </w:rPr>
              <w:t>1.5%</w:t>
            </w:r>
          </w:p>
        </w:tc>
        <w:tc>
          <w:tcPr>
            <w:tcW w:w="1409" w:type="dxa"/>
            <w:vAlign w:val="center"/>
          </w:tcPr>
          <w:p w:rsidR="00627417" w:rsidRPr="00565E0D" w:rsidRDefault="00627417" w:rsidP="006036A6">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szCs w:val="21"/>
              </w:rPr>
              <w:t>150元</w:t>
            </w:r>
          </w:p>
        </w:tc>
        <w:tc>
          <w:tcPr>
            <w:tcW w:w="1457" w:type="dxa"/>
            <w:vAlign w:val="center"/>
          </w:tcPr>
          <w:p w:rsidR="00627417" w:rsidRPr="00565E0D" w:rsidRDefault="00627417" w:rsidP="006036A6">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szCs w:val="21"/>
              </w:rPr>
              <w:t>9,850元</w:t>
            </w:r>
          </w:p>
        </w:tc>
      </w:tr>
      <w:tr w:rsidR="00565E0D" w:rsidRPr="00565E0D" w:rsidTr="002A0168">
        <w:trPr>
          <w:jc w:val="center"/>
        </w:trPr>
        <w:tc>
          <w:tcPr>
            <w:tcW w:w="1243" w:type="dxa"/>
          </w:tcPr>
          <w:p w:rsidR="00627417" w:rsidRPr="00565E0D" w:rsidRDefault="00627417" w:rsidP="00627417">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szCs w:val="21"/>
              </w:rPr>
              <w:t>10,000</w:t>
            </w:r>
          </w:p>
        </w:tc>
        <w:tc>
          <w:tcPr>
            <w:tcW w:w="1650"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1.00</w:t>
            </w:r>
            <w:r w:rsidRPr="00565E0D">
              <w:rPr>
                <w:rFonts w:asciiTheme="minorEastAsia" w:eastAsiaTheme="minorEastAsia" w:hAnsiTheme="minorEastAsia" w:hint="eastAsia"/>
                <w:szCs w:val="21"/>
              </w:rPr>
              <w:t>00</w:t>
            </w:r>
            <w:r w:rsidRPr="00565E0D">
              <w:rPr>
                <w:rFonts w:asciiTheme="minorEastAsia" w:eastAsiaTheme="minorEastAsia" w:hAnsiTheme="minorEastAsia"/>
                <w:szCs w:val="21"/>
              </w:rPr>
              <w:t>元</w:t>
            </w:r>
          </w:p>
        </w:tc>
        <w:tc>
          <w:tcPr>
            <w:tcW w:w="1436"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100天</w:t>
            </w:r>
          </w:p>
        </w:tc>
        <w:tc>
          <w:tcPr>
            <w:tcW w:w="1437"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0.5%</w:t>
            </w:r>
          </w:p>
        </w:tc>
        <w:tc>
          <w:tcPr>
            <w:tcW w:w="1409"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50元</w:t>
            </w:r>
          </w:p>
        </w:tc>
        <w:tc>
          <w:tcPr>
            <w:tcW w:w="1457"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9,950元</w:t>
            </w:r>
          </w:p>
        </w:tc>
      </w:tr>
      <w:tr w:rsidR="00565E0D" w:rsidRPr="00565E0D" w:rsidTr="002A0168">
        <w:trPr>
          <w:jc w:val="center"/>
        </w:trPr>
        <w:tc>
          <w:tcPr>
            <w:tcW w:w="1243" w:type="dxa"/>
          </w:tcPr>
          <w:p w:rsidR="00627417" w:rsidRPr="00565E0D" w:rsidRDefault="00627417" w:rsidP="00627417">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szCs w:val="21"/>
              </w:rPr>
              <w:t>10,000</w:t>
            </w:r>
          </w:p>
        </w:tc>
        <w:tc>
          <w:tcPr>
            <w:tcW w:w="1650"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1.00</w:t>
            </w:r>
            <w:r w:rsidRPr="00565E0D">
              <w:rPr>
                <w:rFonts w:asciiTheme="minorEastAsia" w:eastAsiaTheme="minorEastAsia" w:hAnsiTheme="minorEastAsia" w:hint="eastAsia"/>
                <w:szCs w:val="21"/>
              </w:rPr>
              <w:t>00</w:t>
            </w:r>
            <w:r w:rsidRPr="00565E0D">
              <w:rPr>
                <w:rFonts w:asciiTheme="minorEastAsia" w:eastAsiaTheme="minorEastAsia" w:hAnsiTheme="minorEastAsia"/>
                <w:szCs w:val="21"/>
              </w:rPr>
              <w:t>元</w:t>
            </w:r>
          </w:p>
        </w:tc>
        <w:tc>
          <w:tcPr>
            <w:tcW w:w="1436" w:type="dxa"/>
          </w:tcPr>
          <w:p w:rsidR="00627417" w:rsidRPr="00565E0D" w:rsidRDefault="00627417" w:rsidP="00627417">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500天</w:t>
            </w:r>
          </w:p>
        </w:tc>
        <w:tc>
          <w:tcPr>
            <w:tcW w:w="1437"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0.</w:t>
            </w:r>
            <w:r w:rsidRPr="00565E0D">
              <w:rPr>
                <w:rFonts w:asciiTheme="minorEastAsia" w:eastAsiaTheme="minorEastAsia" w:hAnsiTheme="minorEastAsia" w:hint="eastAsia"/>
                <w:szCs w:val="21"/>
              </w:rPr>
              <w:t>25</w:t>
            </w:r>
            <w:r w:rsidRPr="00565E0D">
              <w:rPr>
                <w:rFonts w:asciiTheme="minorEastAsia" w:eastAsiaTheme="minorEastAsia" w:hAnsiTheme="minorEastAsia"/>
                <w:szCs w:val="21"/>
              </w:rPr>
              <w:t>%</w:t>
            </w:r>
          </w:p>
        </w:tc>
        <w:tc>
          <w:tcPr>
            <w:tcW w:w="1409"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25</w:t>
            </w:r>
            <w:r w:rsidRPr="00565E0D">
              <w:rPr>
                <w:rFonts w:asciiTheme="minorEastAsia" w:eastAsiaTheme="minorEastAsia" w:hAnsiTheme="minorEastAsia"/>
                <w:szCs w:val="21"/>
              </w:rPr>
              <w:t>元</w:t>
            </w:r>
          </w:p>
        </w:tc>
        <w:tc>
          <w:tcPr>
            <w:tcW w:w="1457"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9,97</w:t>
            </w:r>
            <w:r w:rsidRPr="00565E0D">
              <w:rPr>
                <w:rFonts w:asciiTheme="minorEastAsia" w:eastAsiaTheme="minorEastAsia" w:hAnsiTheme="minorEastAsia" w:hint="eastAsia"/>
                <w:szCs w:val="21"/>
              </w:rPr>
              <w:t>5</w:t>
            </w:r>
            <w:r w:rsidRPr="00565E0D">
              <w:rPr>
                <w:rFonts w:asciiTheme="minorEastAsia" w:eastAsiaTheme="minorEastAsia" w:hAnsiTheme="minorEastAsia"/>
                <w:szCs w:val="21"/>
              </w:rPr>
              <w:t>元</w:t>
            </w:r>
          </w:p>
        </w:tc>
      </w:tr>
      <w:tr w:rsidR="00565E0D" w:rsidRPr="00565E0D" w:rsidTr="002A0168">
        <w:trPr>
          <w:jc w:val="center"/>
        </w:trPr>
        <w:tc>
          <w:tcPr>
            <w:tcW w:w="1243" w:type="dxa"/>
          </w:tcPr>
          <w:p w:rsidR="00627417" w:rsidRPr="00565E0D" w:rsidRDefault="00627417" w:rsidP="00627417">
            <w:pPr>
              <w:snapToGrid w:val="0"/>
              <w:spacing w:line="360" w:lineRule="auto"/>
              <w:rPr>
                <w:rFonts w:asciiTheme="minorEastAsia" w:eastAsiaTheme="minorEastAsia" w:hAnsiTheme="minorEastAsia"/>
                <w:szCs w:val="21"/>
              </w:rPr>
            </w:pPr>
            <w:r w:rsidRPr="00565E0D">
              <w:rPr>
                <w:rFonts w:asciiTheme="minorEastAsia" w:eastAsiaTheme="minorEastAsia" w:hAnsiTheme="minorEastAsia"/>
                <w:szCs w:val="21"/>
              </w:rPr>
              <w:t>10,000</w:t>
            </w:r>
          </w:p>
        </w:tc>
        <w:tc>
          <w:tcPr>
            <w:tcW w:w="1650"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1.00</w:t>
            </w:r>
            <w:r w:rsidRPr="00565E0D">
              <w:rPr>
                <w:rFonts w:asciiTheme="minorEastAsia" w:eastAsiaTheme="minorEastAsia" w:hAnsiTheme="minorEastAsia" w:hint="eastAsia"/>
                <w:szCs w:val="21"/>
              </w:rPr>
              <w:t>00</w:t>
            </w:r>
            <w:r w:rsidRPr="00565E0D">
              <w:rPr>
                <w:rFonts w:asciiTheme="minorEastAsia" w:eastAsiaTheme="minorEastAsia" w:hAnsiTheme="minorEastAsia"/>
                <w:szCs w:val="21"/>
              </w:rPr>
              <w:t>元</w:t>
            </w:r>
          </w:p>
        </w:tc>
        <w:tc>
          <w:tcPr>
            <w:tcW w:w="1436" w:type="dxa"/>
          </w:tcPr>
          <w:p w:rsidR="00627417" w:rsidRPr="00565E0D" w:rsidRDefault="00627417" w:rsidP="00627417">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800天</w:t>
            </w:r>
          </w:p>
        </w:tc>
        <w:tc>
          <w:tcPr>
            <w:tcW w:w="1437"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0%</w:t>
            </w:r>
          </w:p>
        </w:tc>
        <w:tc>
          <w:tcPr>
            <w:tcW w:w="1409" w:type="dxa"/>
          </w:tcPr>
          <w:p w:rsidR="00627417" w:rsidRPr="00565E0D" w:rsidRDefault="00627417" w:rsidP="00627417">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0</w:t>
            </w:r>
          </w:p>
        </w:tc>
        <w:tc>
          <w:tcPr>
            <w:tcW w:w="1457" w:type="dxa"/>
          </w:tcPr>
          <w:p w:rsidR="00627417" w:rsidRPr="00565E0D" w:rsidRDefault="00627417" w:rsidP="00627417">
            <w:pPr>
              <w:snapToGrid w:val="0"/>
              <w:spacing w:line="360" w:lineRule="auto"/>
              <w:ind w:firstLineChars="100" w:firstLine="210"/>
              <w:rPr>
                <w:rFonts w:asciiTheme="minorEastAsia" w:eastAsiaTheme="minorEastAsia" w:hAnsiTheme="minorEastAsia"/>
                <w:szCs w:val="21"/>
              </w:rPr>
            </w:pPr>
            <w:r w:rsidRPr="00565E0D">
              <w:rPr>
                <w:rFonts w:asciiTheme="minorEastAsia" w:eastAsiaTheme="minorEastAsia" w:hAnsiTheme="minorEastAsia"/>
                <w:szCs w:val="21"/>
              </w:rPr>
              <w:t>10,000元</w:t>
            </w:r>
          </w:p>
        </w:tc>
      </w:tr>
    </w:tbl>
    <w:p w:rsidR="00C35BC5" w:rsidRPr="00565E0D" w:rsidRDefault="00C35BC5" w:rsidP="00552BE1">
      <w:pPr>
        <w:pStyle w:val="af0"/>
        <w:snapToGrid w:val="0"/>
        <w:spacing w:line="360" w:lineRule="auto"/>
        <w:ind w:firstLineChars="200"/>
        <w:rPr>
          <w:rFonts w:asciiTheme="minorEastAsia" w:eastAsiaTheme="minorEastAsia" w:hAnsiTheme="minorEastAsia"/>
          <w:b/>
          <w:szCs w:val="21"/>
        </w:rPr>
      </w:pPr>
      <w:r w:rsidRPr="00565E0D">
        <w:rPr>
          <w:rFonts w:asciiTheme="minorEastAsia" w:eastAsiaTheme="minorEastAsia" w:hAnsiTheme="minorEastAsia" w:hint="eastAsia"/>
          <w:szCs w:val="21"/>
        </w:rPr>
        <w:t>赎回金额、赎回费用以人民币元为单位，四舍五入，保留小数点后两位。</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T日的基金份额净值在当天收市后计算，并在T+1日内公告。遇特殊情况，可以适当延迟计算或公告。其计算公式为：</w:t>
      </w:r>
    </w:p>
    <w:p w:rsidR="00C35BC5" w:rsidRPr="00565E0D" w:rsidRDefault="00C35BC5" w:rsidP="00552BE1">
      <w:pPr>
        <w:pStyle w:val="af0"/>
        <w:snapToGrid w:val="0"/>
        <w:spacing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基金份额净值</w:t>
      </w:r>
      <w:r w:rsidRPr="00565E0D">
        <w:rPr>
          <w:rFonts w:asciiTheme="minorEastAsia" w:eastAsiaTheme="minorEastAsia" w:hAnsiTheme="minorEastAsia" w:hint="eastAsia"/>
          <w:szCs w:val="21"/>
        </w:rPr>
        <w:t>=</w:t>
      </w:r>
      <w:r w:rsidRPr="00565E0D">
        <w:rPr>
          <w:rFonts w:asciiTheme="minorEastAsia" w:eastAsiaTheme="minorEastAsia" w:hAnsiTheme="minorEastAsia" w:hint="eastAsia"/>
        </w:rPr>
        <w:t>计算日</w:t>
      </w:r>
      <w:r w:rsidRPr="00565E0D">
        <w:rPr>
          <w:rFonts w:asciiTheme="minorEastAsia" w:eastAsiaTheme="minorEastAsia" w:hAnsiTheme="minorEastAsia" w:hint="eastAsia"/>
          <w:szCs w:val="21"/>
        </w:rPr>
        <w:t>基金资产净值</w:t>
      </w:r>
      <w:r w:rsidRPr="00565E0D">
        <w:rPr>
          <w:rFonts w:asciiTheme="minorEastAsia" w:eastAsiaTheme="minorEastAsia" w:hAnsiTheme="minorEastAsia" w:hint="eastAsia"/>
        </w:rPr>
        <w:t>÷计算日基金总份额</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4</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本基金的申购费由申购人承担，不计入基金财产；本基金的赎回费由赎回人承担，</w:t>
      </w:r>
      <w:r w:rsidR="00627417" w:rsidRPr="00565E0D">
        <w:rPr>
          <w:rFonts w:asciiTheme="minorEastAsia" w:eastAsiaTheme="minorEastAsia" w:hAnsiTheme="minorEastAsia" w:hint="eastAsia"/>
          <w:szCs w:val="21"/>
        </w:rPr>
        <w:t>在基金份额持有人赎回基金份额时收取，对持有期少于7天（不含）的基金份额持有人所收取赎回费全额计入基金财产，对持有期在7天以上（含）的基金份额持有人所收取赎回费用总额的25%计入基金资产</w:t>
      </w:r>
      <w:r w:rsidRPr="00565E0D">
        <w:rPr>
          <w:rFonts w:asciiTheme="minorEastAsia" w:eastAsiaTheme="minorEastAsia" w:hAnsiTheme="minorEastAsia" w:hint="eastAsia"/>
        </w:rPr>
        <w:t>，余额为注册登记费和其他手续费。</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szCs w:val="24"/>
        </w:rPr>
      </w:pPr>
      <w:bookmarkStart w:id="37" w:name="_Toc38551187"/>
      <w:r w:rsidRPr="00565E0D">
        <w:rPr>
          <w:rFonts w:asciiTheme="minorEastAsia" w:eastAsiaTheme="minorEastAsia" w:hAnsiTheme="minorEastAsia" w:hint="eastAsia"/>
          <w:sz w:val="24"/>
          <w:szCs w:val="24"/>
        </w:rPr>
        <w:t>（九）申购、赎回的注册登记</w:t>
      </w:r>
      <w:bookmarkEnd w:id="37"/>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1</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投资者申购基金成功后，正常情况下，基金注册登记机构在T+1工作日为投资者增加权益并办理注册登记手续，投资者自T+2工作日起有权赎回该部分基金份额。</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2</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投资者赎回基金成功后，正常情况下，基金注册登记机构在T+1工作日为投资者扣除权益并办理相应的注册登记手续。</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基金管理人可在法律法规允许的范围内，对上述注册登记办理时间进行调整，并最迟于开始实施前2个工作日予以公告。</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szCs w:val="24"/>
        </w:rPr>
      </w:pPr>
      <w:bookmarkStart w:id="38" w:name="_Toc38551188"/>
      <w:r w:rsidRPr="00565E0D">
        <w:rPr>
          <w:rFonts w:asciiTheme="minorEastAsia" w:eastAsiaTheme="minorEastAsia" w:hAnsiTheme="minorEastAsia" w:hint="eastAsia"/>
          <w:sz w:val="24"/>
          <w:szCs w:val="24"/>
        </w:rPr>
        <w:t>（十）巨额赎回的认定及处理方式</w:t>
      </w:r>
      <w:bookmarkEnd w:id="38"/>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1</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巨额赎回的认定</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本基金单个开放日，基金净赎回申请（赎回申请总数加上基金转换中转出申请份额总数后扣除申购申请总数及基金转换中转入申请份额总数后的余额）超过上一日基金总份额的</w:t>
      </w:r>
      <w:r w:rsidRPr="00565E0D">
        <w:rPr>
          <w:rFonts w:asciiTheme="minorEastAsia" w:eastAsiaTheme="minorEastAsia" w:hAnsiTheme="minorEastAsia"/>
        </w:rPr>
        <w:t>10%</w:t>
      </w:r>
      <w:r w:rsidRPr="00565E0D">
        <w:rPr>
          <w:rFonts w:asciiTheme="minorEastAsia" w:eastAsiaTheme="minorEastAsia" w:hAnsiTheme="minorEastAsia" w:hint="eastAsia"/>
        </w:rPr>
        <w:t>时，即认为发生了巨额赎回。</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2</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巨额赎回的处理方式</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当出现巨额赎回时，基金管理人可以根据该基金当时的资产组合状况决定全额赎回或部分顺延赎回。</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（1）</w:t>
      </w:r>
      <w:r w:rsidRPr="00565E0D">
        <w:rPr>
          <w:rFonts w:asciiTheme="minorEastAsia" w:eastAsiaTheme="minorEastAsia" w:hAnsiTheme="minorEastAsia"/>
        </w:rPr>
        <w:t>全额赎回：当基金管理人认为有能力支付投资者的赎回申请时，按正常赎回程序执行。</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lastRenderedPageBreak/>
        <w:t>（2）</w:t>
      </w:r>
      <w:r w:rsidRPr="00565E0D">
        <w:rPr>
          <w:rFonts w:asciiTheme="minorEastAsia" w:eastAsiaTheme="minorEastAsia" w:hAnsiTheme="minorEastAsia"/>
        </w:rPr>
        <w:t>部分顺延赎回：当基金管理人认为支付投资者的赎回申请有困难或认为支付投资者的赎回申请可能会对该基金的资产净值造成较大波动时</w:t>
      </w:r>
      <w:r w:rsidRPr="00565E0D">
        <w:rPr>
          <w:rFonts w:asciiTheme="minorEastAsia" w:eastAsiaTheme="minorEastAsia" w:hAnsiTheme="minorEastAsia" w:hint="eastAsia"/>
        </w:rPr>
        <w:t>，</w:t>
      </w:r>
      <w:r w:rsidRPr="00565E0D">
        <w:rPr>
          <w:rFonts w:asciiTheme="minorEastAsia" w:eastAsiaTheme="minorEastAsia" w:hAnsiTheme="minorEastAsia"/>
        </w:rPr>
        <w:t>基金管理人可在当日接受赎回比例不低于该基金总份额的10%的前提下</w:t>
      </w:r>
      <w:r w:rsidRPr="00565E0D">
        <w:rPr>
          <w:rFonts w:asciiTheme="minorEastAsia" w:eastAsiaTheme="minorEastAsia" w:hAnsiTheme="minorEastAsia" w:hint="eastAsia"/>
        </w:rPr>
        <w:t>，可以</w:t>
      </w:r>
      <w:r w:rsidRPr="00565E0D">
        <w:rPr>
          <w:rFonts w:asciiTheme="minorEastAsia" w:eastAsiaTheme="minorEastAsia" w:hAnsiTheme="minorEastAsia"/>
        </w:rPr>
        <w:t>对其余赎回申请延期办理。对于当日的赎回申请</w:t>
      </w:r>
      <w:r w:rsidRPr="00565E0D">
        <w:rPr>
          <w:rFonts w:asciiTheme="minorEastAsia" w:eastAsiaTheme="minorEastAsia" w:hAnsiTheme="minorEastAsia" w:hint="eastAsia"/>
        </w:rPr>
        <w:t>，</w:t>
      </w:r>
      <w:r w:rsidRPr="00565E0D">
        <w:rPr>
          <w:rFonts w:asciiTheme="minorEastAsia" w:eastAsiaTheme="minorEastAsia" w:hAnsiTheme="minorEastAsia"/>
        </w:rPr>
        <w:t>应当按单个</w:t>
      </w:r>
      <w:r w:rsidR="00AC798E" w:rsidRPr="00565E0D">
        <w:rPr>
          <w:rFonts w:asciiTheme="minorEastAsia" w:eastAsiaTheme="minorEastAsia" w:hAnsiTheme="minorEastAsia"/>
        </w:rPr>
        <w:t>账户</w:t>
      </w:r>
      <w:r w:rsidRPr="00565E0D">
        <w:rPr>
          <w:rFonts w:asciiTheme="minorEastAsia" w:eastAsiaTheme="minorEastAsia" w:hAnsiTheme="minorEastAsia"/>
        </w:rPr>
        <w:t>赎回申请量占赎回申请总量的比例</w:t>
      </w:r>
      <w:r w:rsidRPr="00565E0D">
        <w:rPr>
          <w:rFonts w:asciiTheme="minorEastAsia" w:eastAsiaTheme="minorEastAsia" w:hAnsiTheme="minorEastAsia" w:hint="eastAsia"/>
        </w:rPr>
        <w:t>，</w:t>
      </w:r>
      <w:r w:rsidRPr="00565E0D">
        <w:rPr>
          <w:rFonts w:asciiTheme="minorEastAsia" w:eastAsiaTheme="minorEastAsia" w:hAnsiTheme="minorEastAsia"/>
        </w:rPr>
        <w:t>确定其当日受理的赎回份额；投资者的赎回申请未能受理部分</w:t>
      </w:r>
      <w:r w:rsidRPr="00565E0D">
        <w:rPr>
          <w:rFonts w:asciiTheme="minorEastAsia" w:eastAsiaTheme="minorEastAsia" w:hAnsiTheme="minorEastAsia" w:hint="eastAsia"/>
        </w:rPr>
        <w:t>，</w:t>
      </w:r>
      <w:r w:rsidRPr="00565E0D">
        <w:rPr>
          <w:rFonts w:asciiTheme="minorEastAsia" w:eastAsiaTheme="minorEastAsia" w:hAnsiTheme="minorEastAsia"/>
        </w:rPr>
        <w:t>除投资者在提交赎回申请时明确作出不参加顺延下一个开放日赎回的表示外</w:t>
      </w:r>
      <w:r w:rsidRPr="00565E0D">
        <w:rPr>
          <w:rFonts w:asciiTheme="minorEastAsia" w:eastAsiaTheme="minorEastAsia" w:hAnsiTheme="minorEastAsia" w:hint="eastAsia"/>
        </w:rPr>
        <w:t>，</w:t>
      </w:r>
      <w:r w:rsidRPr="00565E0D">
        <w:rPr>
          <w:rFonts w:asciiTheme="minorEastAsia" w:eastAsiaTheme="minorEastAsia" w:hAnsiTheme="minorEastAsia"/>
        </w:rPr>
        <w:t>将自动顺延至下一个开放日赎回处理。转入下一个开放日的赎回不享有赎回优先权并将以下一个开放日的基金单位净值为准进行计算</w:t>
      </w:r>
      <w:r w:rsidRPr="00565E0D">
        <w:rPr>
          <w:rFonts w:asciiTheme="minorEastAsia" w:eastAsiaTheme="minorEastAsia" w:hAnsiTheme="minorEastAsia" w:hint="eastAsia"/>
        </w:rPr>
        <w:t>，</w:t>
      </w:r>
      <w:r w:rsidRPr="00565E0D">
        <w:rPr>
          <w:rFonts w:asciiTheme="minorEastAsia" w:eastAsiaTheme="minorEastAsia" w:hAnsiTheme="minorEastAsia"/>
        </w:rPr>
        <w:t>以此类推</w:t>
      </w:r>
      <w:r w:rsidRPr="00565E0D">
        <w:rPr>
          <w:rFonts w:asciiTheme="minorEastAsia" w:eastAsiaTheme="minorEastAsia" w:hAnsiTheme="minorEastAsia" w:hint="eastAsia"/>
        </w:rPr>
        <w:t>，</w:t>
      </w:r>
      <w:r w:rsidRPr="00565E0D">
        <w:rPr>
          <w:rFonts w:asciiTheme="minorEastAsia" w:eastAsiaTheme="minorEastAsia" w:hAnsiTheme="minorEastAsia"/>
        </w:rPr>
        <w:t>直到其赎回申请全部得到满足为止。投资者在提出赎回申请时也可选择将当日未获受理部分予以撤销。</w:t>
      </w:r>
    </w:p>
    <w:p w:rsidR="00627417" w:rsidRPr="00565E0D" w:rsidRDefault="00627417" w:rsidP="00094E6A">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若本基金发生巨额赎回且单个基金份额持有人的赎回申请超过上一开放日基金总份额</w:t>
      </w:r>
      <w:r w:rsidRPr="00565E0D">
        <w:rPr>
          <w:rFonts w:asciiTheme="minorEastAsia" w:eastAsiaTheme="minorEastAsia" w:hAnsiTheme="minorEastAsia"/>
        </w:rPr>
        <w:t>10%</w:t>
      </w:r>
      <w:r w:rsidRPr="00565E0D">
        <w:rPr>
          <w:rFonts w:asciiTheme="minorEastAsia" w:eastAsiaTheme="minorEastAsia" w:hAnsiTheme="minorEastAsia" w:hint="eastAsia"/>
        </w:rPr>
        <w:t>的，基金管理人有权对该单个基金份额持有人超出该比例的赎回申请实施延期办理，对该单个基金份额持有人剩余赎回申请与其他账户赎回申请按前述条款处理。</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rPr>
        <w:t>（</w:t>
      </w:r>
      <w:r w:rsidRPr="00565E0D">
        <w:rPr>
          <w:rFonts w:asciiTheme="minorEastAsia" w:eastAsiaTheme="minorEastAsia" w:hAnsiTheme="minorEastAsia" w:hint="eastAsia"/>
        </w:rPr>
        <w:t>3</w:t>
      </w:r>
      <w:r w:rsidRPr="00565E0D">
        <w:rPr>
          <w:rFonts w:asciiTheme="minorEastAsia" w:eastAsiaTheme="minorEastAsia" w:hAnsiTheme="minorEastAsia"/>
        </w:rPr>
        <w:t>）当发生巨额赎回并顺延赎回时，</w:t>
      </w:r>
      <w:r w:rsidRPr="00565E0D">
        <w:rPr>
          <w:rFonts w:asciiTheme="minorEastAsia" w:eastAsiaTheme="minorEastAsia" w:hAnsiTheme="minorEastAsia" w:hint="eastAsia"/>
        </w:rPr>
        <w:t>基金管理人应依法通过指定</w:t>
      </w:r>
      <w:r w:rsidR="002C3C91" w:rsidRPr="00565E0D">
        <w:rPr>
          <w:rFonts w:asciiTheme="minorEastAsia" w:eastAsiaTheme="minorEastAsia" w:hAnsiTheme="minorEastAsia" w:hint="eastAsia"/>
        </w:rPr>
        <w:t>媒介</w:t>
      </w:r>
      <w:r w:rsidRPr="00565E0D">
        <w:rPr>
          <w:rFonts w:asciiTheme="minorEastAsia" w:eastAsiaTheme="minorEastAsia" w:hAnsiTheme="minorEastAsia" w:hint="eastAsia"/>
        </w:rPr>
        <w:t>发布公告，说明有关处理方法。</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（4）</w:t>
      </w:r>
      <w:r w:rsidRPr="00565E0D">
        <w:rPr>
          <w:rFonts w:asciiTheme="minorEastAsia" w:eastAsiaTheme="minorEastAsia" w:hAnsiTheme="minorEastAsia"/>
        </w:rPr>
        <w:t>本基金连续两日以上(含本数)发生巨额赎回时</w:t>
      </w:r>
      <w:r w:rsidRPr="00565E0D">
        <w:rPr>
          <w:rFonts w:asciiTheme="minorEastAsia" w:eastAsiaTheme="minorEastAsia" w:hAnsiTheme="minorEastAsia" w:hint="eastAsia"/>
        </w:rPr>
        <w:t>，</w:t>
      </w:r>
      <w:r w:rsidRPr="00565E0D">
        <w:rPr>
          <w:rFonts w:asciiTheme="minorEastAsia" w:eastAsiaTheme="minorEastAsia" w:hAnsiTheme="minorEastAsia"/>
        </w:rPr>
        <w:t>如基金管理人认为有必要</w:t>
      </w:r>
      <w:r w:rsidRPr="00565E0D">
        <w:rPr>
          <w:rFonts w:asciiTheme="minorEastAsia" w:eastAsiaTheme="minorEastAsia" w:hAnsiTheme="minorEastAsia" w:hint="eastAsia"/>
        </w:rPr>
        <w:t>，</w:t>
      </w:r>
      <w:r w:rsidRPr="00565E0D">
        <w:rPr>
          <w:rFonts w:asciiTheme="minorEastAsia" w:eastAsiaTheme="minorEastAsia" w:hAnsiTheme="minorEastAsia"/>
        </w:rPr>
        <w:t>可暂停接受赎回和转出申请；已经接受的赎回申请可以延缓支付赎回款项</w:t>
      </w:r>
      <w:r w:rsidRPr="00565E0D">
        <w:rPr>
          <w:rFonts w:asciiTheme="minorEastAsia" w:eastAsiaTheme="minorEastAsia" w:hAnsiTheme="minorEastAsia" w:hint="eastAsia"/>
        </w:rPr>
        <w:t>，</w:t>
      </w:r>
      <w:r w:rsidRPr="00565E0D">
        <w:rPr>
          <w:rFonts w:asciiTheme="minorEastAsia" w:eastAsiaTheme="minorEastAsia" w:hAnsiTheme="minorEastAsia"/>
        </w:rPr>
        <w:t>但不得超过正常支付时间20个工作日</w:t>
      </w:r>
      <w:r w:rsidRPr="00565E0D">
        <w:rPr>
          <w:rFonts w:asciiTheme="minorEastAsia" w:eastAsiaTheme="minorEastAsia" w:hAnsiTheme="minorEastAsia" w:hint="eastAsia"/>
        </w:rPr>
        <w:t>，并应当在</w:t>
      </w:r>
      <w:r w:rsidR="002C3C91" w:rsidRPr="00565E0D">
        <w:rPr>
          <w:rFonts w:asciiTheme="minorEastAsia" w:eastAsiaTheme="minorEastAsia" w:hAnsiTheme="minorEastAsia" w:hint="eastAsia"/>
        </w:rPr>
        <w:t>指定媒介</w:t>
      </w:r>
      <w:r w:rsidRPr="00565E0D">
        <w:rPr>
          <w:rFonts w:asciiTheme="minorEastAsia" w:eastAsiaTheme="minorEastAsia" w:hAnsiTheme="minorEastAsia" w:hint="eastAsia"/>
        </w:rPr>
        <w:t>上公告。</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szCs w:val="24"/>
        </w:rPr>
      </w:pPr>
      <w:bookmarkStart w:id="39" w:name="_Toc38551189"/>
      <w:r w:rsidRPr="00565E0D">
        <w:rPr>
          <w:rFonts w:asciiTheme="minorEastAsia" w:eastAsiaTheme="minorEastAsia" w:hAnsiTheme="minorEastAsia" w:hint="eastAsia"/>
          <w:sz w:val="24"/>
          <w:szCs w:val="24"/>
        </w:rPr>
        <w:t>（十一）拒绝或暂停申购、赎回的情形及处理方式</w:t>
      </w:r>
      <w:bookmarkEnd w:id="39"/>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1</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除出现如下情形，基金管理人不得拒绝或暂停接受基金投资者的申购申请：</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rPr>
        <w:t>（1）不可抗力的原因导致基金无法正常运作；</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（2）证券交易场所在交易时间非正常停市或证券交易场所依法决定临时停市，导致当日基金资产净值无法计算；</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（3）</w:t>
      </w:r>
      <w:r w:rsidRPr="00565E0D">
        <w:rPr>
          <w:rFonts w:asciiTheme="minorEastAsia" w:eastAsiaTheme="minorEastAsia" w:hAnsiTheme="minorEastAsia"/>
        </w:rPr>
        <w:t>基金资产规模过大，使基金管理人无法找到合适的投资品种，或可能对基金业绩产生负面影响，从而损害现有基金份额持有人的利益；</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（4）</w:t>
      </w:r>
      <w:r w:rsidR="004F6E9A" w:rsidRPr="00565E0D">
        <w:rPr>
          <w:rFonts w:asciiTheme="minorEastAsia" w:eastAsiaTheme="minorEastAsia" w:hAnsiTheme="minorEastAsia" w:hint="eastAsia"/>
        </w:rPr>
        <w:t>法律法规规定或中国证监会认定的其他可暂停申购的情形；</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（5）</w:t>
      </w:r>
      <w:r w:rsidR="004F6E9A" w:rsidRPr="00565E0D">
        <w:rPr>
          <w:rFonts w:asciiTheme="minorEastAsia" w:eastAsiaTheme="minorEastAsia" w:hAnsiTheme="minorEastAsia" w:hint="eastAsia"/>
        </w:rPr>
        <w:t>基金管理人认为会有损于现有基金份额持有人利益的某笔申购；</w:t>
      </w:r>
    </w:p>
    <w:p w:rsidR="005B6735" w:rsidRPr="00565E0D" w:rsidRDefault="005F277D" w:rsidP="00094E6A">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w:t>
      </w:r>
      <w:r w:rsidR="00627417" w:rsidRPr="00565E0D">
        <w:rPr>
          <w:rFonts w:asciiTheme="minorEastAsia" w:eastAsiaTheme="minorEastAsia" w:hAnsiTheme="minorEastAsia" w:hint="eastAsia"/>
        </w:rPr>
        <w:t>6）基金管理人接受某笔或者某些申购申请有可能导致单一投资者持有基金份额的比例达到或者超过50%，或者变相规避50%集中度的情形时；</w:t>
      </w:r>
    </w:p>
    <w:p w:rsidR="00627417" w:rsidRPr="00565E0D" w:rsidRDefault="00627417" w:rsidP="00A77C59">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7）当一笔新的申购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627417" w:rsidRPr="00565E0D" w:rsidRDefault="00627417" w:rsidP="00A77C59">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8）当前一估值日基金资产净值50%以上的资产出现无可参考的活跃市场价格且采用估值技术仍导致公允价值存在重大不确定性时，经与基金托管人协商确认后，基金管理人应当采取暂停接受基金申购申请的措施。</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lastRenderedPageBreak/>
        <w:t>如发生上述拒绝申购的情形之一的，被拒绝的申购款项应全额退还投资者。</w:t>
      </w:r>
    </w:p>
    <w:p w:rsidR="005B6735" w:rsidRPr="00565E0D" w:rsidRDefault="004F6E9A" w:rsidP="00094E6A">
      <w:pPr>
        <w:pStyle w:val="af1"/>
        <w:rPr>
          <w:rFonts w:asciiTheme="minorEastAsia" w:eastAsiaTheme="minorEastAsia" w:hAnsiTheme="minorEastAsia"/>
        </w:rPr>
      </w:pPr>
      <w:r w:rsidRPr="00565E0D">
        <w:rPr>
          <w:rFonts w:asciiTheme="minorEastAsia" w:eastAsiaTheme="minorEastAsia" w:hAnsiTheme="minorEastAsia" w:hint="eastAsia"/>
        </w:rPr>
        <w:t>发生上述（1）到（4）、（7）、（8）项暂停申购情形时，基金管理人应当在</w:t>
      </w:r>
      <w:r w:rsidR="002C3C91" w:rsidRPr="00565E0D">
        <w:rPr>
          <w:rFonts w:asciiTheme="minorEastAsia" w:eastAsiaTheme="minorEastAsia" w:hAnsiTheme="minorEastAsia" w:hint="eastAsia"/>
        </w:rPr>
        <w:t>指定媒介</w:t>
      </w:r>
      <w:r w:rsidRPr="00565E0D">
        <w:rPr>
          <w:rFonts w:asciiTheme="minorEastAsia" w:eastAsiaTheme="minorEastAsia" w:hAnsiTheme="minorEastAsia" w:hint="eastAsia"/>
        </w:rPr>
        <w:t>刊登暂停申购公告。</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基金管理人拒绝或暂停接受申购的方式包括：</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（1）拒绝接受、暂停接受某笔或某数笔申购申请；</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（2）拒绝接受、暂停接受某个或某数个工作日的全部申购申请；</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（3）按比例拒绝接受、暂停接受某个或某数个工作日的申购申请。</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2</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除下列情形外，基金管理人不得拒绝接受或暂停接受投资者的赎回申请：</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（1）</w:t>
      </w:r>
      <w:r w:rsidRPr="00565E0D">
        <w:rPr>
          <w:rFonts w:asciiTheme="minorEastAsia" w:eastAsiaTheme="minorEastAsia" w:hAnsiTheme="minorEastAsia"/>
        </w:rPr>
        <w:t>不可抗力的原因导致基金无法正常运作；</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（2）证券交易场所在交易时间非正常停市或依法决定临时停市</w:t>
      </w:r>
      <w:r w:rsidRPr="00565E0D">
        <w:rPr>
          <w:rFonts w:asciiTheme="minorEastAsia" w:eastAsiaTheme="minorEastAsia" w:hAnsiTheme="minorEastAsia"/>
        </w:rPr>
        <w:t>；</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3）因市场剧烈波动或其它原因而出现连续巨额赎回，导致本基金的现金支付出现困难；</w:t>
      </w:r>
    </w:p>
    <w:p w:rsidR="00627417"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rPr>
        <w:t>（</w:t>
      </w:r>
      <w:r w:rsidRPr="00565E0D">
        <w:rPr>
          <w:rFonts w:asciiTheme="minorEastAsia" w:eastAsiaTheme="minorEastAsia" w:hAnsiTheme="minorEastAsia" w:hint="eastAsia"/>
        </w:rPr>
        <w:t>4</w:t>
      </w:r>
      <w:r w:rsidRPr="00565E0D">
        <w:rPr>
          <w:rFonts w:asciiTheme="minorEastAsia" w:eastAsiaTheme="minorEastAsia" w:hAnsiTheme="minorEastAsia"/>
        </w:rPr>
        <w:t>）</w:t>
      </w:r>
      <w:r w:rsidR="00627417" w:rsidRPr="00565E0D">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延缓支付赎回款项或暂停接受基金赎回申请的措施；</w:t>
      </w:r>
    </w:p>
    <w:p w:rsidR="00C35BC5" w:rsidRPr="00565E0D" w:rsidRDefault="00627417"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（5</w:t>
      </w:r>
      <w:r w:rsidRPr="00565E0D">
        <w:rPr>
          <w:rFonts w:asciiTheme="minorEastAsia" w:eastAsiaTheme="minorEastAsia" w:hAnsiTheme="minorEastAsia"/>
        </w:rPr>
        <w:t>）</w:t>
      </w:r>
      <w:r w:rsidR="00C35BC5" w:rsidRPr="00565E0D">
        <w:rPr>
          <w:rFonts w:asciiTheme="minorEastAsia" w:eastAsiaTheme="minorEastAsia" w:hAnsiTheme="minorEastAsia"/>
        </w:rPr>
        <w:t>法律、法规规定或中国证监会认定的其它情形。</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发生上述情形之一的，基金管理人应立即向中国证监会报告备案。已接受的赎回申请，基金管理人将足额支付；如暂时不能足额支付时，可延期支付部分赎回款项，将按每个赎回申请人已被接受的赎回申请量占已接受赎回申请总量的比例分配给赎回申请人，未支付部分由基金管理人按照发生的情况制定相应的处理办法在后续开放日予以支付。</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3</w:t>
      </w:r>
      <w:r w:rsidR="00552BE1" w:rsidRPr="00565E0D">
        <w:rPr>
          <w:rFonts w:asciiTheme="minorEastAsia" w:eastAsiaTheme="minorEastAsia" w:hAnsiTheme="minorEastAsia" w:hint="eastAsia"/>
        </w:rPr>
        <w:t>、</w:t>
      </w:r>
      <w:r w:rsidRPr="00565E0D">
        <w:rPr>
          <w:rFonts w:asciiTheme="minorEastAsia" w:eastAsiaTheme="minorEastAsia" w:hAnsiTheme="minorEastAsia"/>
        </w:rPr>
        <w:t>基金暂停申购、赎回，基金管理人</w:t>
      </w:r>
      <w:r w:rsidRPr="00565E0D">
        <w:rPr>
          <w:rFonts w:asciiTheme="minorEastAsia" w:eastAsiaTheme="minorEastAsia" w:hAnsiTheme="minorEastAsia" w:hint="eastAsia"/>
        </w:rPr>
        <w:t>应立即</w:t>
      </w:r>
      <w:r w:rsidRPr="00565E0D">
        <w:rPr>
          <w:rFonts w:asciiTheme="minorEastAsia" w:eastAsiaTheme="minorEastAsia" w:hAnsiTheme="minorEastAsia"/>
        </w:rPr>
        <w:t>在</w:t>
      </w:r>
      <w:r w:rsidR="002C3C91" w:rsidRPr="00565E0D">
        <w:rPr>
          <w:rFonts w:asciiTheme="minorEastAsia" w:eastAsiaTheme="minorEastAsia" w:hAnsiTheme="minorEastAsia" w:hint="eastAsia"/>
        </w:rPr>
        <w:t>指定媒介</w:t>
      </w:r>
      <w:r w:rsidRPr="00565E0D">
        <w:rPr>
          <w:rFonts w:asciiTheme="minorEastAsia" w:eastAsiaTheme="minorEastAsia" w:hAnsiTheme="minorEastAsia" w:hint="eastAsia"/>
        </w:rPr>
        <w:t>上</w:t>
      </w:r>
      <w:r w:rsidRPr="00565E0D">
        <w:rPr>
          <w:rFonts w:asciiTheme="minorEastAsia" w:eastAsiaTheme="minorEastAsia" w:hAnsiTheme="minorEastAsia"/>
        </w:rPr>
        <w:t>公告。</w:t>
      </w:r>
      <w:r w:rsidRPr="00565E0D">
        <w:rPr>
          <w:rFonts w:asciiTheme="minorEastAsia" w:eastAsiaTheme="minorEastAsia" w:hAnsiTheme="minorEastAsia" w:hint="eastAsia"/>
        </w:rPr>
        <w:t>暂停期间结束基金重新开放时，基金管理人应当公告最新的基金份额净值。</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如果发生暂停的时间为一天，基金管理人应于重新开放日在</w:t>
      </w:r>
      <w:r w:rsidR="002C3C91" w:rsidRPr="00565E0D">
        <w:rPr>
          <w:rFonts w:asciiTheme="minorEastAsia" w:eastAsiaTheme="minorEastAsia" w:hAnsiTheme="minorEastAsia" w:hint="eastAsia"/>
        </w:rPr>
        <w:t>指定媒介</w:t>
      </w:r>
      <w:r w:rsidRPr="00565E0D">
        <w:rPr>
          <w:rFonts w:asciiTheme="minorEastAsia" w:eastAsiaTheme="minorEastAsia" w:hAnsiTheme="minorEastAsia" w:hint="eastAsia"/>
        </w:rPr>
        <w:t>刊登基金重新开放申购或赎回公告并公布最近一个开放日的基金份额净值。</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如果发生暂停的时间超过一天但少于两周，暂停结束基金重新开放申购或赎回时，基金管理人应当在两日内在</w:t>
      </w:r>
      <w:r w:rsidR="00332B90" w:rsidRPr="00565E0D">
        <w:rPr>
          <w:rFonts w:asciiTheme="minorEastAsia" w:eastAsiaTheme="minorEastAsia" w:hAnsiTheme="minorEastAsia" w:hint="eastAsia"/>
        </w:rPr>
        <w:t>指定媒介</w:t>
      </w:r>
      <w:r w:rsidRPr="00565E0D">
        <w:rPr>
          <w:rFonts w:asciiTheme="minorEastAsia" w:eastAsiaTheme="minorEastAsia" w:hAnsiTheme="minorEastAsia" w:hint="eastAsia"/>
        </w:rPr>
        <w:t>刊登基金重新开放申购、赎回公告，并在重新开始办理申购或赎回的开放日公告最近一个工作日的基金份额净值。</w:t>
      </w:r>
    </w:p>
    <w:p w:rsidR="00C35BC5" w:rsidRPr="00565E0D" w:rsidRDefault="00C35BC5" w:rsidP="00552BE1">
      <w:pPr>
        <w:pStyle w:val="af0"/>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如果发生暂停的时间超过两周，暂停期间，基金管理人应每两周至少重复刊登暂停公告一次。暂停结束基金重新开放申购或赎回时，基金管理人应提前2个工作日在</w:t>
      </w:r>
      <w:r w:rsidR="00332B90" w:rsidRPr="00565E0D">
        <w:rPr>
          <w:rFonts w:asciiTheme="minorEastAsia" w:eastAsiaTheme="minorEastAsia" w:hAnsiTheme="minorEastAsia" w:hint="eastAsia"/>
        </w:rPr>
        <w:t>指定媒介</w:t>
      </w:r>
      <w:r w:rsidRPr="00565E0D">
        <w:rPr>
          <w:rFonts w:asciiTheme="minorEastAsia" w:eastAsiaTheme="minorEastAsia" w:hAnsiTheme="minorEastAsia" w:hint="eastAsia"/>
        </w:rPr>
        <w:t>连续刊登基金重新开放申购或赎回公告，并在重新开放申购或赎回日公告最近一个开放日的基金份额净值。</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bookmarkStart w:id="40" w:name="_Toc91334992"/>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rPr>
      </w:pPr>
      <w:bookmarkStart w:id="41" w:name="_Toc38551190"/>
      <w:r w:rsidRPr="00565E0D">
        <w:rPr>
          <w:rFonts w:asciiTheme="minorEastAsia" w:eastAsiaTheme="minorEastAsia" w:hAnsiTheme="minorEastAsia" w:hint="eastAsia"/>
          <w:b/>
          <w:bCs/>
        </w:rPr>
        <w:lastRenderedPageBreak/>
        <w:t>九、基金转换</w:t>
      </w:r>
      <w:bookmarkEnd w:id="40"/>
      <w:bookmarkEnd w:id="41"/>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rPr>
        <w:t>基金转换是指基金份额持有人按基金管理人规定的条件将其持有的某一只基金的基金份额转换为同一基金管理人管理的另一只基金的基金份额的行为。</w:t>
      </w:r>
    </w:p>
    <w:p w:rsidR="00C35BC5" w:rsidRPr="00565E0D" w:rsidRDefault="00C35BC5" w:rsidP="00B5132A">
      <w:pPr>
        <w:pStyle w:val="2"/>
        <w:snapToGrid w:val="0"/>
        <w:spacing w:beforeLines="0" w:afterLines="0" w:line="360" w:lineRule="auto"/>
        <w:ind w:firstLine="482"/>
        <w:rPr>
          <w:rFonts w:asciiTheme="minorEastAsia" w:eastAsiaTheme="minorEastAsia" w:hAnsiTheme="minorEastAsia"/>
          <w:sz w:val="24"/>
          <w:szCs w:val="24"/>
        </w:rPr>
      </w:pPr>
      <w:bookmarkStart w:id="42" w:name="_Toc180398075"/>
      <w:bookmarkStart w:id="43" w:name="_Toc38551191"/>
      <w:r w:rsidRPr="00565E0D">
        <w:rPr>
          <w:rFonts w:asciiTheme="minorEastAsia" w:eastAsiaTheme="minorEastAsia" w:hAnsiTheme="minorEastAsia" w:hint="eastAsia"/>
          <w:sz w:val="24"/>
          <w:szCs w:val="24"/>
        </w:rPr>
        <w:t>（一）</w:t>
      </w:r>
      <w:r w:rsidRPr="00565E0D">
        <w:rPr>
          <w:rFonts w:asciiTheme="minorEastAsia" w:eastAsiaTheme="minorEastAsia" w:hAnsiTheme="minorEastAsia"/>
          <w:sz w:val="24"/>
          <w:szCs w:val="24"/>
        </w:rPr>
        <w:t>基金转换开始日及</w:t>
      </w:r>
      <w:r w:rsidRPr="00565E0D">
        <w:rPr>
          <w:rFonts w:asciiTheme="minorEastAsia" w:eastAsiaTheme="minorEastAsia" w:hAnsiTheme="minorEastAsia" w:hint="eastAsia"/>
          <w:sz w:val="24"/>
          <w:szCs w:val="24"/>
        </w:rPr>
        <w:t>时间</w:t>
      </w:r>
      <w:bookmarkEnd w:id="42"/>
      <w:bookmarkEnd w:id="43"/>
    </w:p>
    <w:p w:rsidR="00C35BC5" w:rsidRPr="00565E0D" w:rsidRDefault="009869DE" w:rsidP="00552BE1">
      <w:pPr>
        <w:pStyle w:val="af1"/>
        <w:snapToGrid w:val="0"/>
        <w:spacing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本基金已于</w:t>
      </w:r>
      <w:r w:rsidRPr="00565E0D">
        <w:rPr>
          <w:rFonts w:asciiTheme="minorEastAsia" w:eastAsiaTheme="minorEastAsia" w:hAnsiTheme="minorEastAsia"/>
          <w:szCs w:val="18"/>
        </w:rPr>
        <w:t>2007</w:t>
      </w:r>
      <w:r w:rsidRPr="00565E0D">
        <w:rPr>
          <w:rFonts w:asciiTheme="minorEastAsia" w:eastAsiaTheme="minorEastAsia" w:hAnsiTheme="minorEastAsia" w:hint="eastAsia"/>
          <w:szCs w:val="18"/>
        </w:rPr>
        <w:t>年</w:t>
      </w:r>
      <w:r w:rsidRPr="00565E0D">
        <w:rPr>
          <w:rFonts w:asciiTheme="minorEastAsia" w:eastAsiaTheme="minorEastAsia" w:hAnsiTheme="minorEastAsia"/>
          <w:szCs w:val="18"/>
        </w:rPr>
        <w:t>8</w:t>
      </w:r>
      <w:r w:rsidRPr="00565E0D">
        <w:rPr>
          <w:rFonts w:asciiTheme="minorEastAsia" w:eastAsiaTheme="minorEastAsia" w:hAnsiTheme="minorEastAsia" w:hint="eastAsia"/>
          <w:szCs w:val="18"/>
        </w:rPr>
        <w:t>月</w:t>
      </w:r>
      <w:r w:rsidRPr="00565E0D">
        <w:rPr>
          <w:rFonts w:asciiTheme="minorEastAsia" w:eastAsiaTheme="minorEastAsia" w:hAnsiTheme="minorEastAsia"/>
          <w:szCs w:val="18"/>
        </w:rPr>
        <w:t>20</w:t>
      </w:r>
      <w:r w:rsidRPr="00565E0D">
        <w:rPr>
          <w:rFonts w:asciiTheme="minorEastAsia" w:eastAsiaTheme="minorEastAsia" w:hAnsiTheme="minorEastAsia" w:hint="eastAsia"/>
          <w:szCs w:val="18"/>
        </w:rPr>
        <w:t>日</w:t>
      </w:r>
      <w:r w:rsidRPr="00565E0D">
        <w:rPr>
          <w:rFonts w:asciiTheme="minorEastAsia" w:eastAsiaTheme="minorEastAsia" w:hAnsiTheme="minorEastAsia" w:hint="eastAsia"/>
        </w:rPr>
        <w:t>开始办理转换业务</w:t>
      </w:r>
      <w:r w:rsidR="00215D8B" w:rsidRPr="00565E0D">
        <w:rPr>
          <w:rFonts w:asciiTheme="minorEastAsia" w:eastAsiaTheme="minorEastAsia" w:hAnsiTheme="minorEastAsia" w:hint="eastAsia"/>
        </w:rPr>
        <w:t>，</w:t>
      </w:r>
      <w:r w:rsidR="00C35BC5" w:rsidRPr="00565E0D">
        <w:rPr>
          <w:rFonts w:asciiTheme="minorEastAsia" w:eastAsiaTheme="minorEastAsia" w:hAnsiTheme="minorEastAsia" w:cs="宋体" w:hint="eastAsia"/>
          <w:kern w:val="0"/>
          <w:szCs w:val="21"/>
        </w:rPr>
        <w:t>具体实施办法参见相关公告。</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cs="宋体" w:hint="eastAsia"/>
          <w:kern w:val="0"/>
          <w:szCs w:val="21"/>
        </w:rPr>
        <w:t>本基金办理转换业务的开放日为上海证券交易所和深圳证券交易所交易日（本公司公告暂停转换时除外）。具体业务办理时间为上海证券交易所、深圳证券交易所的交易时间。若出现新的证券交易市场或交易所交易时间更改或其它原因，基金管理人将根据法律法规和基金合同规定的原则视情况进行相应的调整并公告。</w:t>
      </w:r>
    </w:p>
    <w:p w:rsidR="00C35BC5" w:rsidRPr="00565E0D" w:rsidRDefault="00C35BC5" w:rsidP="00B5132A">
      <w:pPr>
        <w:pStyle w:val="2"/>
        <w:snapToGrid w:val="0"/>
        <w:spacing w:beforeLines="0" w:afterLines="0" w:line="360" w:lineRule="auto"/>
        <w:ind w:firstLine="482"/>
        <w:rPr>
          <w:rFonts w:asciiTheme="minorEastAsia" w:eastAsiaTheme="minorEastAsia" w:hAnsiTheme="minorEastAsia"/>
          <w:sz w:val="24"/>
          <w:szCs w:val="24"/>
        </w:rPr>
      </w:pPr>
      <w:bookmarkStart w:id="44" w:name="_Toc180398076"/>
      <w:bookmarkStart w:id="45" w:name="_Toc38551192"/>
      <w:r w:rsidRPr="00565E0D">
        <w:rPr>
          <w:rFonts w:asciiTheme="minorEastAsia" w:eastAsiaTheme="minorEastAsia" w:hAnsiTheme="minorEastAsia" w:hint="eastAsia"/>
          <w:sz w:val="24"/>
          <w:szCs w:val="24"/>
        </w:rPr>
        <w:t>（二）</w:t>
      </w:r>
      <w:r w:rsidRPr="00565E0D">
        <w:rPr>
          <w:rFonts w:asciiTheme="minorEastAsia" w:eastAsiaTheme="minorEastAsia" w:hAnsiTheme="minorEastAsia"/>
          <w:sz w:val="24"/>
          <w:szCs w:val="24"/>
        </w:rPr>
        <w:t>基金转换的原则</w:t>
      </w:r>
      <w:bookmarkEnd w:id="44"/>
      <w:bookmarkEnd w:id="45"/>
    </w:p>
    <w:p w:rsidR="00C35BC5" w:rsidRPr="00565E0D" w:rsidRDefault="00552BE1" w:rsidP="00552BE1">
      <w:pPr>
        <w:snapToGrid w:val="0"/>
        <w:spacing w:line="360" w:lineRule="auto"/>
        <w:ind w:firstLine="420"/>
        <w:rPr>
          <w:rFonts w:asciiTheme="minorEastAsia" w:eastAsiaTheme="minorEastAsia" w:hAnsiTheme="minorEastAsia"/>
        </w:rPr>
      </w:pPr>
      <w:bookmarkStart w:id="46" w:name="_Toc180398077"/>
      <w:r w:rsidRPr="00565E0D">
        <w:rPr>
          <w:rFonts w:asciiTheme="minorEastAsia" w:eastAsiaTheme="minorEastAsia" w:hAnsiTheme="minorEastAsia" w:hint="eastAsia"/>
        </w:rPr>
        <w:t>1、</w:t>
      </w:r>
      <w:r w:rsidR="00C35BC5" w:rsidRPr="00565E0D">
        <w:rPr>
          <w:rFonts w:asciiTheme="minorEastAsia" w:eastAsiaTheme="minorEastAsia" w:hAnsiTheme="minorEastAsia" w:hint="eastAsia"/>
        </w:rPr>
        <w:t>基金转换以份额为单位进行申请</w:t>
      </w:r>
      <w:r w:rsidR="00C35BC5" w:rsidRPr="00565E0D">
        <w:rPr>
          <w:rFonts w:asciiTheme="minorEastAsia" w:eastAsiaTheme="minorEastAsia" w:hAnsiTheme="minorEastAsia"/>
        </w:rPr>
        <w:t>；</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2、</w:t>
      </w:r>
      <w:r w:rsidR="00C35BC5" w:rsidRPr="00565E0D">
        <w:rPr>
          <w:rFonts w:asciiTheme="minorEastAsia" w:eastAsiaTheme="minorEastAsia" w:hAnsiTheme="minorEastAsia" w:hint="eastAsia"/>
        </w:rPr>
        <w:t>当日的转换申请可以在当日交易结束时间前撤销，在当日的交易时间结束后不得撤销</w:t>
      </w:r>
      <w:r w:rsidR="00C35BC5" w:rsidRPr="00565E0D">
        <w:rPr>
          <w:rFonts w:asciiTheme="minorEastAsia" w:eastAsiaTheme="minorEastAsia" w:hAnsiTheme="minorEastAsia"/>
        </w:rPr>
        <w:t>；</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3、</w:t>
      </w:r>
      <w:r w:rsidR="00C35BC5" w:rsidRPr="00565E0D">
        <w:rPr>
          <w:rFonts w:asciiTheme="minorEastAsia" w:eastAsiaTheme="minorEastAsia" w:hAnsiTheme="minorEastAsia" w:hint="eastAsia"/>
        </w:rPr>
        <w:t>基金转换采取未知价法，即基金的转换价格以转换申请受理当日各转出、转入基金的份额净值为基准进行计算</w:t>
      </w:r>
      <w:r w:rsidR="00C35BC5" w:rsidRPr="00565E0D">
        <w:rPr>
          <w:rFonts w:asciiTheme="minorEastAsia" w:eastAsiaTheme="minorEastAsia" w:hAnsiTheme="minorEastAsia"/>
        </w:rPr>
        <w:t>；</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4、</w:t>
      </w:r>
      <w:r w:rsidR="00C35BC5" w:rsidRPr="00565E0D">
        <w:rPr>
          <w:rFonts w:asciiTheme="minorEastAsia" w:eastAsiaTheme="minorEastAsia" w:hAnsiTheme="minorEastAsia" w:hint="eastAsia"/>
        </w:rPr>
        <w:t>基金份额在转换后，</w:t>
      </w:r>
      <w:r w:rsidR="00C35BC5" w:rsidRPr="00565E0D">
        <w:rPr>
          <w:rFonts w:asciiTheme="minorEastAsia" w:eastAsiaTheme="minorEastAsia" w:hAnsiTheme="minorEastAsia"/>
        </w:rPr>
        <w:t>转入的基金份额的持有期将自转入的基金份额被确认之日起重新开始计算</w:t>
      </w:r>
      <w:r w:rsidR="00C35BC5" w:rsidRPr="00565E0D">
        <w:rPr>
          <w:rFonts w:asciiTheme="minorEastAsia" w:eastAsiaTheme="minorEastAsia" w:hAnsiTheme="minorEastAsia" w:hint="eastAsia"/>
        </w:rPr>
        <w:t>；</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5、</w:t>
      </w:r>
      <w:r w:rsidR="00C35BC5" w:rsidRPr="00565E0D">
        <w:rPr>
          <w:rFonts w:asciiTheme="minorEastAsia" w:eastAsiaTheme="minorEastAsia" w:hAnsiTheme="minorEastAsia" w:hint="eastAsia"/>
        </w:rPr>
        <w:t>除非有特别说明，投资者可在同时</w:t>
      </w:r>
      <w:r w:rsidR="00AD1360" w:rsidRPr="00565E0D">
        <w:rPr>
          <w:rFonts w:asciiTheme="minorEastAsia" w:eastAsiaTheme="minorEastAsia" w:hAnsiTheme="minorEastAsia" w:hint="eastAsia"/>
        </w:rPr>
        <w:t>销售</w:t>
      </w:r>
      <w:r w:rsidR="00C35BC5" w:rsidRPr="00565E0D">
        <w:rPr>
          <w:rFonts w:asciiTheme="minorEastAsia" w:eastAsiaTheme="minorEastAsia" w:hAnsiTheme="minorEastAsia" w:hint="eastAsia"/>
        </w:rPr>
        <w:t>拟转出基金及转入基金的销售机构处办理基金转换业务。基金转换只能在同一销售机构进行。转换的两只基金必须都是该销售机构</w:t>
      </w:r>
      <w:r w:rsidR="00AD1360" w:rsidRPr="00565E0D">
        <w:rPr>
          <w:rFonts w:asciiTheme="minorEastAsia" w:eastAsiaTheme="minorEastAsia" w:hAnsiTheme="minorEastAsia" w:hint="eastAsia"/>
        </w:rPr>
        <w:t>销售</w:t>
      </w:r>
      <w:r w:rsidR="00C35BC5" w:rsidRPr="00565E0D">
        <w:rPr>
          <w:rFonts w:asciiTheme="minorEastAsia" w:eastAsiaTheme="minorEastAsia" w:hAnsiTheme="minorEastAsia" w:hint="eastAsia"/>
        </w:rPr>
        <w:t>的同一基金管理人管理的、在同一基金注册登记机构处注册的基金</w:t>
      </w:r>
      <w:r w:rsidR="00C35BC5" w:rsidRPr="00565E0D">
        <w:rPr>
          <w:rFonts w:asciiTheme="minorEastAsia" w:eastAsiaTheme="minorEastAsia" w:hAnsiTheme="minorEastAsia"/>
        </w:rPr>
        <w:t>；</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6、</w:t>
      </w:r>
      <w:r w:rsidR="00C35BC5" w:rsidRPr="00565E0D">
        <w:rPr>
          <w:rFonts w:asciiTheme="minorEastAsia" w:eastAsiaTheme="minorEastAsia" w:hAnsiTheme="minorEastAsia" w:hint="eastAsia"/>
        </w:rPr>
        <w:t>投资者办理基金转换业务时，转出方的基金必须处于可赎回状态，转入方的基金必须处于可申购状态；</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7、</w:t>
      </w:r>
      <w:r w:rsidR="00C35BC5" w:rsidRPr="00565E0D">
        <w:rPr>
          <w:rFonts w:asciiTheme="minorEastAsia" w:eastAsiaTheme="minorEastAsia" w:hAnsiTheme="minorEastAsia"/>
        </w:rPr>
        <w:t>转换业务遵循“先进先出”的业务规则，</w:t>
      </w:r>
      <w:r w:rsidR="00C35BC5" w:rsidRPr="00565E0D">
        <w:rPr>
          <w:rFonts w:asciiTheme="minorEastAsia" w:eastAsiaTheme="minorEastAsia" w:hAnsiTheme="minorEastAsia" w:hint="eastAsia"/>
        </w:rPr>
        <w:t>即份额注册日期在前的先转换出，份额注册日期在后的后转换出</w:t>
      </w:r>
      <w:r w:rsidR="00C35BC5" w:rsidRPr="00565E0D">
        <w:rPr>
          <w:rFonts w:asciiTheme="minorEastAsia" w:eastAsiaTheme="minorEastAsia" w:hAnsiTheme="minorEastAsia"/>
        </w:rPr>
        <w:t>，如果转换申请当日，同时有赎回申请的情况下，则遵循先赎回后转换的处理原则；</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8、</w:t>
      </w:r>
      <w:r w:rsidR="00C35BC5" w:rsidRPr="00565E0D">
        <w:rPr>
          <w:rFonts w:asciiTheme="minorEastAsia" w:eastAsiaTheme="minorEastAsia" w:hAnsiTheme="minorEastAsia" w:hint="eastAsia"/>
        </w:rPr>
        <w:t>基金管理人可在不损害基金份额持有人权益的情况下更改上述原则，但应最迟在新的原则实施前三个工作日予以公告。</w:t>
      </w:r>
    </w:p>
    <w:p w:rsidR="00C35BC5" w:rsidRPr="00565E0D" w:rsidRDefault="00C35BC5" w:rsidP="00B5132A">
      <w:pPr>
        <w:pStyle w:val="2"/>
        <w:snapToGrid w:val="0"/>
        <w:spacing w:beforeLines="0" w:afterLines="0" w:line="360" w:lineRule="auto"/>
        <w:ind w:firstLine="482"/>
        <w:rPr>
          <w:rFonts w:asciiTheme="minorEastAsia" w:eastAsiaTheme="minorEastAsia" w:hAnsiTheme="minorEastAsia"/>
          <w:sz w:val="24"/>
          <w:szCs w:val="24"/>
        </w:rPr>
      </w:pPr>
      <w:bookmarkStart w:id="47" w:name="_Toc38551193"/>
      <w:r w:rsidRPr="00565E0D">
        <w:rPr>
          <w:rFonts w:asciiTheme="minorEastAsia" w:eastAsiaTheme="minorEastAsia" w:hAnsiTheme="minorEastAsia" w:hint="eastAsia"/>
          <w:sz w:val="24"/>
          <w:szCs w:val="24"/>
        </w:rPr>
        <w:t>（三）基金转换的程序</w:t>
      </w:r>
      <w:bookmarkEnd w:id="46"/>
      <w:bookmarkEnd w:id="47"/>
    </w:p>
    <w:p w:rsidR="00C35BC5" w:rsidRPr="00565E0D" w:rsidRDefault="00552BE1" w:rsidP="00552BE1">
      <w:pPr>
        <w:pStyle w:val="af1"/>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1、</w:t>
      </w:r>
      <w:r w:rsidR="00C35BC5" w:rsidRPr="00565E0D">
        <w:rPr>
          <w:rFonts w:asciiTheme="minorEastAsia" w:eastAsiaTheme="minorEastAsia" w:hAnsiTheme="minorEastAsia" w:hint="eastAsia"/>
        </w:rPr>
        <w:t>基金转换的申请方式</w:t>
      </w:r>
    </w:p>
    <w:p w:rsidR="00C35BC5" w:rsidRPr="00565E0D" w:rsidRDefault="00C35BC5" w:rsidP="00552BE1">
      <w:pPr>
        <w:pStyle w:val="af1"/>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基金投资者必须根据基金管理人和基金</w:t>
      </w:r>
      <w:r w:rsidR="00C85C52" w:rsidRPr="00565E0D">
        <w:rPr>
          <w:rFonts w:asciiTheme="minorEastAsia" w:eastAsiaTheme="minorEastAsia" w:hAnsiTheme="minorEastAsia" w:hint="eastAsia"/>
        </w:rPr>
        <w:t>销售</w:t>
      </w:r>
      <w:r w:rsidRPr="00565E0D">
        <w:rPr>
          <w:rFonts w:asciiTheme="minorEastAsia" w:eastAsiaTheme="minorEastAsia" w:hAnsiTheme="minorEastAsia" w:hint="eastAsia"/>
        </w:rPr>
        <w:t>机构规定的手续，在开放日的业务办理时间提出转换的申请。</w:t>
      </w:r>
    </w:p>
    <w:p w:rsidR="00C35BC5" w:rsidRPr="00565E0D" w:rsidRDefault="00C35BC5" w:rsidP="00552BE1">
      <w:pPr>
        <w:pStyle w:val="af1"/>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提交基金转换申请时，</w:t>
      </w:r>
      <w:r w:rsidR="00AC798E" w:rsidRPr="00565E0D">
        <w:rPr>
          <w:rFonts w:asciiTheme="minorEastAsia" w:eastAsiaTheme="minorEastAsia" w:hAnsiTheme="minorEastAsia" w:hint="eastAsia"/>
        </w:rPr>
        <w:t>账户</w:t>
      </w:r>
      <w:r w:rsidRPr="00565E0D">
        <w:rPr>
          <w:rFonts w:asciiTheme="minorEastAsia" w:eastAsiaTheme="minorEastAsia" w:hAnsiTheme="minorEastAsia" w:hint="eastAsia"/>
        </w:rPr>
        <w:t>中必须有足够可用的转出基金份额余额。</w:t>
      </w:r>
    </w:p>
    <w:p w:rsidR="00C35BC5" w:rsidRPr="00565E0D" w:rsidRDefault="00552BE1" w:rsidP="00552BE1">
      <w:pPr>
        <w:pStyle w:val="af1"/>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2、</w:t>
      </w:r>
      <w:r w:rsidR="00C35BC5" w:rsidRPr="00565E0D">
        <w:rPr>
          <w:rFonts w:asciiTheme="minorEastAsia" w:eastAsiaTheme="minorEastAsia" w:hAnsiTheme="minorEastAsia" w:hint="eastAsia"/>
        </w:rPr>
        <w:t>基金转换申请的确认</w:t>
      </w:r>
    </w:p>
    <w:p w:rsidR="00C35BC5" w:rsidRPr="00565E0D" w:rsidRDefault="00C35BC5" w:rsidP="00552BE1">
      <w:pPr>
        <w:pStyle w:val="af1"/>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lastRenderedPageBreak/>
        <w:t>正常情况下，基金管理人以在规定的基金业务办理时间段内收到基金转换申请的当天作为基金转换的申请日（T日），并在T+1工作日对该交易的有效性进行确认。投资者可在T+2工作日及之后查询成交情况。</w:t>
      </w:r>
    </w:p>
    <w:p w:rsidR="00C35BC5" w:rsidRPr="00565E0D" w:rsidRDefault="00C35BC5" w:rsidP="00B5132A">
      <w:pPr>
        <w:pStyle w:val="2"/>
        <w:snapToGrid w:val="0"/>
        <w:spacing w:beforeLines="0" w:afterLines="0" w:line="360" w:lineRule="auto"/>
        <w:ind w:firstLine="482"/>
        <w:rPr>
          <w:rFonts w:asciiTheme="minorEastAsia" w:eastAsiaTheme="minorEastAsia" w:hAnsiTheme="minorEastAsia"/>
          <w:sz w:val="24"/>
          <w:szCs w:val="24"/>
        </w:rPr>
      </w:pPr>
      <w:bookmarkStart w:id="48" w:name="_Toc180398078"/>
      <w:bookmarkStart w:id="49" w:name="_Toc38551194"/>
      <w:r w:rsidRPr="00565E0D">
        <w:rPr>
          <w:rFonts w:asciiTheme="minorEastAsia" w:eastAsiaTheme="minorEastAsia" w:hAnsiTheme="minorEastAsia" w:hint="eastAsia"/>
          <w:sz w:val="24"/>
          <w:szCs w:val="24"/>
        </w:rPr>
        <w:t>（四）基金转换的数额限制</w:t>
      </w:r>
      <w:bookmarkEnd w:id="48"/>
      <w:bookmarkEnd w:id="49"/>
    </w:p>
    <w:p w:rsidR="00C35BC5" w:rsidRPr="00565E0D" w:rsidRDefault="00C35BC5" w:rsidP="00552BE1">
      <w:pPr>
        <w:pStyle w:val="af1"/>
        <w:snapToGrid w:val="0"/>
        <w:spacing w:line="360" w:lineRule="auto"/>
        <w:rPr>
          <w:rFonts w:asciiTheme="minorEastAsia" w:eastAsiaTheme="minorEastAsia" w:hAnsiTheme="minorEastAsia"/>
        </w:rPr>
      </w:pPr>
      <w:bookmarkStart w:id="50" w:name="_Toc87367293"/>
      <w:bookmarkStart w:id="51" w:name="_Toc180398079"/>
      <w:r w:rsidRPr="00565E0D">
        <w:rPr>
          <w:rFonts w:asciiTheme="minorEastAsia" w:eastAsiaTheme="minorEastAsia" w:hAnsiTheme="minorEastAsia" w:hint="eastAsia"/>
        </w:rPr>
        <w:t>基金份额持有人可将其全部或部分基金份额转换成另一只基金，本基金单笔转出申请不得少于1份（</w:t>
      </w:r>
      <w:r w:rsidR="00601FFA" w:rsidRPr="00565E0D">
        <w:rPr>
          <w:rFonts w:asciiTheme="minorEastAsia" w:eastAsiaTheme="minorEastAsia" w:hAnsiTheme="minorEastAsia" w:hint="eastAsia"/>
        </w:rPr>
        <w:t>如该账户在该销售机构托管的该基金余额不足</w:t>
      </w:r>
      <w:r w:rsidRPr="00565E0D">
        <w:rPr>
          <w:rFonts w:asciiTheme="minorEastAsia" w:eastAsiaTheme="minorEastAsia" w:hAnsiTheme="minorEastAsia" w:hint="eastAsia"/>
        </w:rPr>
        <w:t>1份，则必须一次性赎回或转出该基金全部份额）；若某笔转换导致投资者在</w:t>
      </w:r>
      <w:r w:rsidR="00AC798E" w:rsidRPr="00565E0D">
        <w:rPr>
          <w:rFonts w:asciiTheme="minorEastAsia" w:eastAsiaTheme="minorEastAsia" w:hAnsiTheme="minorEastAsia" w:hint="eastAsia"/>
        </w:rPr>
        <w:t>该</w:t>
      </w:r>
      <w:r w:rsidRPr="00565E0D">
        <w:rPr>
          <w:rFonts w:asciiTheme="minorEastAsia" w:eastAsiaTheme="minorEastAsia" w:hAnsiTheme="minorEastAsia" w:hint="eastAsia"/>
        </w:rPr>
        <w:t>销售机构托管的</w:t>
      </w:r>
      <w:r w:rsidR="00601FFA" w:rsidRPr="00565E0D">
        <w:rPr>
          <w:rFonts w:asciiTheme="minorEastAsia" w:eastAsiaTheme="minorEastAsia" w:hAnsiTheme="minorEastAsia" w:hint="eastAsia"/>
        </w:rPr>
        <w:t>该</w:t>
      </w:r>
      <w:r w:rsidRPr="00565E0D">
        <w:rPr>
          <w:rFonts w:asciiTheme="minorEastAsia" w:eastAsiaTheme="minorEastAsia" w:hAnsiTheme="minorEastAsia" w:hint="eastAsia"/>
        </w:rPr>
        <w:t>基金余额不足1份时，基金管理人有权将投资者在该销售机构托管的</w:t>
      </w:r>
      <w:r w:rsidR="00601FFA" w:rsidRPr="00565E0D">
        <w:rPr>
          <w:rFonts w:asciiTheme="minorEastAsia" w:eastAsiaTheme="minorEastAsia" w:hAnsiTheme="minorEastAsia" w:hint="eastAsia"/>
        </w:rPr>
        <w:t>该</w:t>
      </w:r>
      <w:r w:rsidRPr="00565E0D">
        <w:rPr>
          <w:rFonts w:asciiTheme="minorEastAsia" w:eastAsiaTheme="minorEastAsia" w:hAnsiTheme="minorEastAsia" w:hint="eastAsia"/>
        </w:rPr>
        <w:t>基金剩余份额一次性全部赎回</w:t>
      </w:r>
      <w:r w:rsidR="00170BAB" w:rsidRPr="00565E0D">
        <w:rPr>
          <w:rFonts w:asciiTheme="minorEastAsia" w:eastAsiaTheme="minorEastAsia" w:hAnsiTheme="minorEastAsia" w:hint="eastAsia"/>
          <w:szCs w:val="21"/>
        </w:rPr>
        <w:t>。</w:t>
      </w:r>
    </w:p>
    <w:p w:rsidR="00C35BC5" w:rsidRPr="00565E0D" w:rsidRDefault="00C35BC5" w:rsidP="00552BE1">
      <w:pPr>
        <w:pStyle w:val="af1"/>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基金管理人可根据市场情况制定或调整上述基金转换的程序及有关限制，但应最迟在调整生效前三个工作日在</w:t>
      </w:r>
      <w:r w:rsidR="00C53A0E" w:rsidRPr="00565E0D">
        <w:rPr>
          <w:rFonts w:asciiTheme="minorEastAsia" w:eastAsiaTheme="minorEastAsia" w:hAnsiTheme="minorEastAsia" w:hint="eastAsia"/>
        </w:rPr>
        <w:t>指定媒介</w:t>
      </w:r>
      <w:r w:rsidRPr="00565E0D">
        <w:rPr>
          <w:rFonts w:asciiTheme="minorEastAsia" w:eastAsiaTheme="minorEastAsia" w:hAnsiTheme="minorEastAsia" w:hint="eastAsia"/>
        </w:rPr>
        <w:t>公告。</w:t>
      </w:r>
    </w:p>
    <w:p w:rsidR="00C35BC5" w:rsidRPr="00565E0D" w:rsidRDefault="00C35BC5" w:rsidP="00B5132A">
      <w:pPr>
        <w:pStyle w:val="2"/>
        <w:snapToGrid w:val="0"/>
        <w:spacing w:beforeLines="0" w:afterLines="0" w:line="360" w:lineRule="auto"/>
        <w:ind w:firstLine="482"/>
        <w:rPr>
          <w:rFonts w:asciiTheme="minorEastAsia" w:eastAsiaTheme="minorEastAsia" w:hAnsiTheme="minorEastAsia"/>
          <w:sz w:val="24"/>
          <w:szCs w:val="24"/>
        </w:rPr>
      </w:pPr>
      <w:bookmarkStart w:id="52" w:name="_Toc38551195"/>
      <w:r w:rsidRPr="00565E0D">
        <w:rPr>
          <w:rFonts w:asciiTheme="minorEastAsia" w:eastAsiaTheme="minorEastAsia" w:hAnsiTheme="minorEastAsia" w:hint="eastAsia"/>
          <w:sz w:val="24"/>
          <w:szCs w:val="24"/>
        </w:rPr>
        <w:t>（五）基金转换费率</w:t>
      </w:r>
      <w:bookmarkEnd w:id="50"/>
      <w:bookmarkEnd w:id="51"/>
      <w:bookmarkEnd w:id="52"/>
    </w:p>
    <w:p w:rsidR="00C35BC5" w:rsidRPr="00565E0D" w:rsidRDefault="00C35BC5" w:rsidP="00552BE1">
      <w:pPr>
        <w:pStyle w:val="af1"/>
        <w:snapToGrid w:val="0"/>
        <w:spacing w:line="360" w:lineRule="auto"/>
        <w:rPr>
          <w:rFonts w:asciiTheme="minorEastAsia" w:eastAsiaTheme="minorEastAsia" w:hAnsiTheme="minorEastAsia"/>
        </w:rPr>
      </w:pPr>
      <w:bookmarkStart w:id="53" w:name="_Toc180398080"/>
      <w:r w:rsidRPr="00565E0D">
        <w:rPr>
          <w:rFonts w:asciiTheme="minorEastAsia" w:eastAsiaTheme="minorEastAsia" w:hAnsiTheme="minorEastAsia" w:hint="eastAsia"/>
        </w:rPr>
        <w:t>基金转换费由基金份额持有人承担，基金转换费用由转出基金赎回费用及基金申购补差费用构成，其中赎回费按照</w:t>
      </w:r>
      <w:r w:rsidR="00601FFA" w:rsidRPr="00565E0D">
        <w:rPr>
          <w:rFonts w:asciiTheme="minorEastAsia" w:eastAsiaTheme="minorEastAsia" w:hAnsiTheme="minorEastAsia" w:hint="eastAsia"/>
        </w:rPr>
        <w:t>各基金</w:t>
      </w:r>
      <w:r w:rsidR="00601FFA" w:rsidRPr="00565E0D">
        <w:rPr>
          <w:rFonts w:asciiTheme="minorEastAsia" w:eastAsiaTheme="minorEastAsia" w:hAnsiTheme="minorEastAsia"/>
        </w:rPr>
        <w:t>的</w:t>
      </w:r>
      <w:r w:rsidRPr="00565E0D">
        <w:rPr>
          <w:rFonts w:asciiTheme="minorEastAsia" w:eastAsiaTheme="minorEastAsia" w:hAnsiTheme="minorEastAsia" w:hint="eastAsia"/>
        </w:rPr>
        <w:t>基金合同、更新的招募说明书及最新的相关公告约定的比例归入基金财产，其余部分用于支付注册登记费等相关手续费，具体实施办法和转换费率详见相关公告。</w:t>
      </w:r>
      <w:r w:rsidRPr="00565E0D">
        <w:rPr>
          <w:rFonts w:asciiTheme="minorEastAsia" w:eastAsiaTheme="minorEastAsia" w:hAnsiTheme="minorEastAsia"/>
          <w:szCs w:val="21"/>
        </w:rPr>
        <w:t>转换费用以人民币元为单位，计算结果按照四舍五入方法，保留小数点后两位</w:t>
      </w:r>
      <w:r w:rsidRPr="00565E0D">
        <w:rPr>
          <w:rFonts w:asciiTheme="minorEastAsia" w:eastAsiaTheme="minorEastAsia" w:hAnsiTheme="minorEastAsia" w:hint="eastAsia"/>
        </w:rPr>
        <w:t>。</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t>基金管理人可以根据市场情况在不违背有关法律、法规和基金合同的规定之前提下，调整收费方式和费率水平，但最迟应于新收费办法开始实施日前3个工作日在</w:t>
      </w:r>
      <w:r w:rsidR="00C53A0E" w:rsidRPr="00565E0D">
        <w:rPr>
          <w:rFonts w:asciiTheme="minorEastAsia" w:eastAsiaTheme="minorEastAsia" w:hAnsiTheme="minorEastAsia" w:hint="eastAsia"/>
        </w:rPr>
        <w:t>指定媒介</w:t>
      </w:r>
      <w:r w:rsidRPr="00565E0D">
        <w:rPr>
          <w:rFonts w:asciiTheme="minorEastAsia" w:eastAsiaTheme="minorEastAsia" w:hAnsiTheme="minorEastAsia" w:hint="eastAsia"/>
        </w:rPr>
        <w:t>上公告。</w:t>
      </w:r>
    </w:p>
    <w:p w:rsidR="00C35BC5" w:rsidRPr="00565E0D" w:rsidRDefault="00610C23"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35BC5" w:rsidRPr="00565E0D" w:rsidRDefault="00C35BC5" w:rsidP="00B5132A">
      <w:pPr>
        <w:pStyle w:val="2"/>
        <w:snapToGrid w:val="0"/>
        <w:spacing w:beforeLines="0" w:afterLines="0" w:line="360" w:lineRule="auto"/>
        <w:ind w:firstLine="482"/>
        <w:rPr>
          <w:rFonts w:asciiTheme="minorEastAsia" w:eastAsiaTheme="minorEastAsia" w:hAnsiTheme="minorEastAsia"/>
          <w:sz w:val="24"/>
          <w:szCs w:val="24"/>
        </w:rPr>
      </w:pPr>
      <w:bookmarkStart w:id="54" w:name="_Toc38551196"/>
      <w:r w:rsidRPr="00565E0D">
        <w:rPr>
          <w:rFonts w:asciiTheme="minorEastAsia" w:eastAsiaTheme="minorEastAsia" w:hAnsiTheme="minorEastAsia" w:hint="eastAsia"/>
          <w:sz w:val="24"/>
          <w:szCs w:val="24"/>
        </w:rPr>
        <w:t>（六）基金转换份额的计算方式</w:t>
      </w:r>
      <w:bookmarkEnd w:id="53"/>
      <w:bookmarkEnd w:id="54"/>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lang w:val="de-DE"/>
        </w:rPr>
      </w:pPr>
      <w:r w:rsidRPr="00565E0D">
        <w:rPr>
          <w:rFonts w:asciiTheme="minorEastAsia" w:eastAsiaTheme="minorEastAsia" w:hAnsiTheme="minorEastAsia" w:hint="eastAsia"/>
          <w:lang w:val="de-DE"/>
        </w:rPr>
        <w:t>A＝［B×C×(1-D)/（1+G）+F］/E</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lang w:val="de-DE"/>
        </w:rPr>
      </w:pPr>
      <w:r w:rsidRPr="00565E0D">
        <w:rPr>
          <w:rFonts w:asciiTheme="minorEastAsia" w:eastAsiaTheme="minorEastAsia" w:hAnsiTheme="minorEastAsia" w:hint="eastAsia"/>
          <w:lang w:val="de-DE"/>
        </w:rPr>
        <w:t>H＝</w:t>
      </w:r>
      <w:r w:rsidRPr="00565E0D">
        <w:rPr>
          <w:rFonts w:asciiTheme="minorEastAsia" w:eastAsiaTheme="minorEastAsia" w:hAnsiTheme="minorEastAsia"/>
          <w:lang w:val="de-DE"/>
        </w:rPr>
        <w:t>B×C×D</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lang w:val="de-DE"/>
        </w:rPr>
      </w:pPr>
      <w:r w:rsidRPr="00565E0D">
        <w:rPr>
          <w:rFonts w:asciiTheme="minorEastAsia" w:eastAsiaTheme="minorEastAsia" w:hAnsiTheme="minorEastAsia" w:hint="eastAsia"/>
          <w:lang w:val="de-DE"/>
        </w:rPr>
        <w:t>J＝[B×C×(1-D)/(1+G)]×G</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t>其中，</w:t>
      </w:r>
      <w:r w:rsidRPr="00565E0D">
        <w:rPr>
          <w:rFonts w:asciiTheme="minorEastAsia" w:eastAsiaTheme="minorEastAsia" w:hAnsiTheme="minorEastAsia"/>
        </w:rPr>
        <w:t>A</w:t>
      </w:r>
      <w:r w:rsidRPr="00565E0D">
        <w:rPr>
          <w:rFonts w:asciiTheme="minorEastAsia" w:eastAsiaTheme="minorEastAsia" w:hAnsiTheme="minorEastAsia" w:hint="eastAsia"/>
        </w:rPr>
        <w:t>为转入的基金份额；</w:t>
      </w:r>
      <w:r w:rsidRPr="00565E0D">
        <w:rPr>
          <w:rFonts w:asciiTheme="minorEastAsia" w:eastAsiaTheme="minorEastAsia" w:hAnsiTheme="minorEastAsia"/>
        </w:rPr>
        <w:t>B</w:t>
      </w:r>
      <w:r w:rsidRPr="00565E0D">
        <w:rPr>
          <w:rFonts w:asciiTheme="minorEastAsia" w:eastAsiaTheme="minorEastAsia" w:hAnsiTheme="minorEastAsia" w:hint="eastAsia"/>
        </w:rPr>
        <w:t>为转出的基金份额；</w:t>
      </w:r>
      <w:r w:rsidRPr="00565E0D">
        <w:rPr>
          <w:rFonts w:asciiTheme="minorEastAsia" w:eastAsiaTheme="minorEastAsia" w:hAnsiTheme="minorEastAsia"/>
        </w:rPr>
        <w:t>C</w:t>
      </w:r>
      <w:r w:rsidRPr="00565E0D">
        <w:rPr>
          <w:rFonts w:asciiTheme="minorEastAsia" w:eastAsiaTheme="minorEastAsia" w:hAnsiTheme="minorEastAsia" w:hint="eastAsia"/>
        </w:rPr>
        <w:t>为转换申请当日转出基金的基金份额净值；</w:t>
      </w:r>
      <w:r w:rsidRPr="00565E0D">
        <w:rPr>
          <w:rFonts w:asciiTheme="minorEastAsia" w:eastAsiaTheme="minorEastAsia" w:hAnsiTheme="minorEastAsia"/>
        </w:rPr>
        <w:t>D</w:t>
      </w:r>
      <w:r w:rsidRPr="00565E0D">
        <w:rPr>
          <w:rFonts w:asciiTheme="minorEastAsia" w:eastAsiaTheme="minorEastAsia" w:hAnsiTheme="minorEastAsia" w:hint="eastAsia"/>
        </w:rPr>
        <w:t>为转出基金的对应赎回费率，</w:t>
      </w:r>
      <w:r w:rsidRPr="00565E0D">
        <w:rPr>
          <w:rFonts w:asciiTheme="minorEastAsia" w:eastAsiaTheme="minorEastAsia" w:hAnsiTheme="minorEastAsia"/>
        </w:rPr>
        <w:t>G</w:t>
      </w:r>
      <w:r w:rsidRPr="00565E0D">
        <w:rPr>
          <w:rFonts w:asciiTheme="minorEastAsia" w:eastAsiaTheme="minorEastAsia" w:hAnsiTheme="minorEastAsia" w:hint="eastAsia"/>
        </w:rPr>
        <w:t>为对应的申购补差费率；</w:t>
      </w:r>
      <w:r w:rsidRPr="00565E0D">
        <w:rPr>
          <w:rFonts w:asciiTheme="minorEastAsia" w:eastAsiaTheme="minorEastAsia" w:hAnsiTheme="minorEastAsia"/>
        </w:rPr>
        <w:t>E</w:t>
      </w:r>
      <w:r w:rsidRPr="00565E0D">
        <w:rPr>
          <w:rFonts w:asciiTheme="minorEastAsia" w:eastAsiaTheme="minorEastAsia" w:hAnsiTheme="minorEastAsia" w:hint="eastAsia"/>
        </w:rPr>
        <w:t>为转换申请当日转入基金的基金份额净值；</w:t>
      </w:r>
      <w:r w:rsidR="003C78BB" w:rsidRPr="00565E0D">
        <w:rPr>
          <w:rFonts w:asciiTheme="minorEastAsia" w:eastAsiaTheme="minorEastAsia" w:hAnsiTheme="minorEastAsia" w:hint="eastAsia"/>
        </w:rPr>
        <w:t>F为货币市场基金全部转出时注册登记机构已支付的未付收益</w:t>
      </w:r>
      <w:r w:rsidR="0073370B" w:rsidRPr="00565E0D">
        <w:rPr>
          <w:rFonts w:asciiTheme="minorEastAsia" w:eastAsiaTheme="minorEastAsia" w:hAnsiTheme="minorEastAsia" w:hint="eastAsia"/>
        </w:rPr>
        <w:t>（仅限转出基金为易方达货币市场基金、易方达天天理财货币市场基金、易方达财富快线货币市场基金、易方达天天增利货币市场基金</w:t>
      </w:r>
      <w:r w:rsidR="003B2DD4" w:rsidRPr="00565E0D">
        <w:rPr>
          <w:rFonts w:asciiTheme="minorEastAsia" w:eastAsiaTheme="minorEastAsia" w:hAnsiTheme="minorEastAsia" w:hint="eastAsia"/>
        </w:rPr>
        <w:t>、易</w:t>
      </w:r>
      <w:r w:rsidR="0073370B" w:rsidRPr="00565E0D">
        <w:rPr>
          <w:rFonts w:asciiTheme="minorEastAsia" w:eastAsiaTheme="minorEastAsia" w:hAnsiTheme="minorEastAsia" w:hint="eastAsia"/>
        </w:rPr>
        <w:t>方达龙宝货币市场基金</w:t>
      </w:r>
      <w:r w:rsidR="003B2DD4" w:rsidRPr="00565E0D">
        <w:rPr>
          <w:rFonts w:asciiTheme="minorEastAsia" w:eastAsiaTheme="minorEastAsia" w:hAnsiTheme="minorEastAsia" w:hint="eastAsia"/>
        </w:rPr>
        <w:t>、</w:t>
      </w:r>
      <w:r w:rsidR="00AC798E" w:rsidRPr="00565E0D">
        <w:rPr>
          <w:rFonts w:asciiTheme="minorEastAsia" w:eastAsiaTheme="minorEastAsia" w:hAnsiTheme="minorEastAsia" w:hint="eastAsia"/>
        </w:rPr>
        <w:t>易方达增金宝货币市场基金、易方达现金增利货币市场基金、</w:t>
      </w:r>
      <w:r w:rsidR="00AC798E" w:rsidRPr="00565E0D">
        <w:rPr>
          <w:rFonts w:asciiTheme="minorEastAsia" w:eastAsiaTheme="minorEastAsia" w:hAnsiTheme="minorEastAsia"/>
        </w:rPr>
        <w:t>易方达天天发货币市场基金</w:t>
      </w:r>
      <w:r w:rsidR="003C78BB" w:rsidRPr="00565E0D">
        <w:rPr>
          <w:rFonts w:asciiTheme="minorEastAsia" w:eastAsiaTheme="minorEastAsia" w:hAnsiTheme="minorEastAsia" w:hint="eastAsia"/>
        </w:rPr>
        <w:t>、易方达易理财货币市场基金</w:t>
      </w:r>
      <w:r w:rsidR="0073370B" w:rsidRPr="00565E0D">
        <w:rPr>
          <w:rFonts w:asciiTheme="minorEastAsia" w:eastAsiaTheme="minorEastAsia" w:hAnsiTheme="minorEastAsia" w:hint="eastAsia"/>
        </w:rPr>
        <w:t>）或者短期理财基金转出时对应的累计未付收益（</w:t>
      </w:r>
      <w:r w:rsidR="00601FFA" w:rsidRPr="00565E0D">
        <w:rPr>
          <w:rFonts w:asciiTheme="minorEastAsia" w:eastAsiaTheme="minorEastAsia" w:hAnsiTheme="minorEastAsia" w:hint="eastAsia"/>
        </w:rPr>
        <w:t>转出基金为易方达月月利理财债券型证券投资基金和易方达掌柜季季盈理财债券型证券投资基金</w:t>
      </w:r>
      <w:r w:rsidR="0073370B" w:rsidRPr="00565E0D">
        <w:rPr>
          <w:rFonts w:asciiTheme="minorEastAsia" w:eastAsiaTheme="minorEastAsia" w:hAnsiTheme="minorEastAsia" w:hint="eastAsia"/>
        </w:rPr>
        <w:t>）</w:t>
      </w:r>
      <w:r w:rsidRPr="00565E0D">
        <w:rPr>
          <w:rFonts w:asciiTheme="minorEastAsia" w:eastAsiaTheme="minorEastAsia" w:hAnsiTheme="minorEastAsia" w:hint="eastAsia"/>
          <w:szCs w:val="21"/>
        </w:rPr>
        <w:t>；H为转出基金赎回费；J为申购补差</w:t>
      </w:r>
      <w:r w:rsidRPr="00565E0D">
        <w:rPr>
          <w:rFonts w:asciiTheme="minorEastAsia" w:eastAsiaTheme="minorEastAsia" w:hAnsiTheme="minorEastAsia" w:hint="eastAsia"/>
          <w:szCs w:val="21"/>
        </w:rPr>
        <w:lastRenderedPageBreak/>
        <w:t>费</w:t>
      </w:r>
      <w:r w:rsidRPr="00565E0D">
        <w:rPr>
          <w:rFonts w:asciiTheme="minorEastAsia" w:eastAsiaTheme="minorEastAsia" w:hAnsiTheme="minorEastAsia" w:hint="eastAsia"/>
        </w:rPr>
        <w:t>。</w:t>
      </w:r>
    </w:p>
    <w:p w:rsidR="003C78BB" w:rsidRPr="00565E0D" w:rsidRDefault="003C78BB"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t>注：当投资者在全部转换转出某类货币市场基金份额时，如其未付收益为正，基金份额对应的未付收益是否与转换转出份额对应的款项一并划转到转换转入的基金，以销售机构和注册登记机构的具体规定为准。当投资者在全部转换转出某类货币市场基金份额时，如其未付收益为负，基金份额对应的未付收益与转换转出份额对应的款项一并划转到转换转入的基金。</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rPr>
        <w:t>1</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基金转换费用由转出基金赎回费用及基金申购补差费用构成。</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rPr>
        <w:t>2</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转入基金时，从申购费用低的基金向申购费用高的基金转换时，每次收取申购补差费用；从申购费用高的基金向申购费用低的基金转换时，不收取申购补差费用</w:t>
      </w:r>
      <w:r w:rsidR="00F0766E" w:rsidRPr="00565E0D">
        <w:rPr>
          <w:rFonts w:asciiTheme="minorEastAsia" w:eastAsiaTheme="minorEastAsia" w:hAnsiTheme="minorEastAsia" w:hint="eastAsia"/>
          <w:szCs w:val="21"/>
        </w:rPr>
        <w:t>（注：对通过直销中心申购实施差别申购费率的特定投资群体基金份额的申购费，以除通过直销中心申购的特定投资群体之外的其他投资者申购费为比较标准）</w:t>
      </w:r>
      <w:r w:rsidRPr="00565E0D">
        <w:rPr>
          <w:rFonts w:asciiTheme="minorEastAsia" w:eastAsiaTheme="minorEastAsia" w:hAnsiTheme="minorEastAsia" w:hint="eastAsia"/>
        </w:rPr>
        <w:t>。申购补差费用按照转换金额对应的转出基金与转入基金的申购费率差额进行补差，具体收取情况视每次转换时两只基金的申购费率的差异情况而定并见相关公告。</w:t>
      </w:r>
    </w:p>
    <w:p w:rsidR="00C35BC5" w:rsidRPr="00565E0D" w:rsidRDefault="00552BE1"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t>3、</w:t>
      </w:r>
      <w:r w:rsidR="00C35BC5" w:rsidRPr="00565E0D">
        <w:rPr>
          <w:rFonts w:asciiTheme="minorEastAsia" w:eastAsiaTheme="minorEastAsia" w:hAnsiTheme="minorEastAsia" w:hint="eastAsia"/>
        </w:rPr>
        <w:t>转出基金时，如涉及的转出基金有赎回费用，收取该基金的赎回费用。收取的赎回费按照</w:t>
      </w:r>
      <w:r w:rsidR="00AC798E" w:rsidRPr="00565E0D">
        <w:rPr>
          <w:rFonts w:asciiTheme="minorEastAsia" w:eastAsiaTheme="minorEastAsia" w:hAnsiTheme="minorEastAsia" w:hint="eastAsia"/>
        </w:rPr>
        <w:t>各基金</w:t>
      </w:r>
      <w:r w:rsidR="00AC798E" w:rsidRPr="00565E0D">
        <w:rPr>
          <w:rFonts w:asciiTheme="minorEastAsia" w:eastAsiaTheme="minorEastAsia" w:hAnsiTheme="minorEastAsia"/>
        </w:rPr>
        <w:t>的</w:t>
      </w:r>
      <w:r w:rsidR="00C35BC5" w:rsidRPr="00565E0D">
        <w:rPr>
          <w:rFonts w:asciiTheme="minorEastAsia" w:eastAsiaTheme="minorEastAsia" w:hAnsiTheme="minorEastAsia" w:hint="eastAsia"/>
        </w:rPr>
        <w:t>基金合同、更新的招募说明书及最新的相关公告约定的比例归入基金财产，其余部分用于支付注册登记费等相关手续费。</w:t>
      </w:r>
    </w:p>
    <w:p w:rsidR="00C35BC5" w:rsidRPr="00565E0D" w:rsidRDefault="00552BE1" w:rsidP="00552BE1">
      <w:pPr>
        <w:autoSpaceDE w:val="0"/>
        <w:autoSpaceDN w:val="0"/>
        <w:snapToGrid w:val="0"/>
        <w:spacing w:line="360" w:lineRule="auto"/>
        <w:ind w:firstLine="420"/>
        <w:textAlignment w:val="bottom"/>
        <w:rPr>
          <w:rFonts w:asciiTheme="minorEastAsia" w:eastAsiaTheme="minorEastAsia" w:hAnsiTheme="minorEastAsia"/>
        </w:rPr>
      </w:pPr>
      <w:r w:rsidRPr="00565E0D">
        <w:rPr>
          <w:rFonts w:asciiTheme="minorEastAsia" w:eastAsiaTheme="minorEastAsia" w:hAnsiTheme="minorEastAsia" w:hint="eastAsia"/>
        </w:rPr>
        <w:t>4、</w:t>
      </w:r>
      <w:r w:rsidR="00C35BC5" w:rsidRPr="00565E0D">
        <w:rPr>
          <w:rFonts w:asciiTheme="minorEastAsia" w:eastAsiaTheme="minorEastAsia" w:hAnsiTheme="minorEastAsia" w:hint="eastAsia"/>
        </w:rPr>
        <w:t>投资者可以发起多次基金转换业务，基金转换费用按每笔申请单独计算。</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举例说明</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假定某投资者</w:t>
      </w:r>
      <w:r w:rsidR="00601FFA" w:rsidRPr="00565E0D">
        <w:rPr>
          <w:rFonts w:asciiTheme="minorEastAsia" w:eastAsiaTheme="minorEastAsia" w:hAnsiTheme="minorEastAsia" w:hint="eastAsia"/>
          <w:szCs w:val="21"/>
        </w:rPr>
        <w:t>（</w:t>
      </w:r>
      <w:r w:rsidR="00601FFA" w:rsidRPr="00565E0D">
        <w:rPr>
          <w:rFonts w:asciiTheme="minorEastAsia" w:eastAsiaTheme="minorEastAsia" w:hAnsiTheme="minorEastAsia"/>
          <w:szCs w:val="21"/>
        </w:rPr>
        <w:t>非特定投资群体）</w:t>
      </w:r>
      <w:r w:rsidRPr="00565E0D">
        <w:rPr>
          <w:rFonts w:asciiTheme="minorEastAsia" w:eastAsiaTheme="minorEastAsia" w:hAnsiTheme="minorEastAsia" w:hint="eastAsia"/>
          <w:szCs w:val="21"/>
        </w:rPr>
        <w:t>在T日转出10,000份易方达价值成长混合型基金至</w:t>
      </w:r>
      <w:r w:rsidRPr="00565E0D">
        <w:rPr>
          <w:rFonts w:asciiTheme="minorEastAsia" w:eastAsiaTheme="minorEastAsia" w:hAnsiTheme="minorEastAsia"/>
          <w:szCs w:val="21"/>
        </w:rPr>
        <w:t>易方达策略成长二号混合型基金</w:t>
      </w:r>
      <w:r w:rsidRPr="00565E0D">
        <w:rPr>
          <w:rFonts w:asciiTheme="minorEastAsia" w:eastAsiaTheme="minorEastAsia" w:hAnsiTheme="minorEastAsia" w:hint="eastAsia"/>
          <w:szCs w:val="21"/>
        </w:rPr>
        <w:t>份额，转出基金T日的基金份额净值为1.1000元，转入</w:t>
      </w:r>
      <w:r w:rsidRPr="00565E0D">
        <w:rPr>
          <w:rFonts w:asciiTheme="minorEastAsia" w:eastAsiaTheme="minorEastAsia" w:hAnsiTheme="minorEastAsia"/>
          <w:szCs w:val="21"/>
        </w:rPr>
        <w:t>易方达策略成长二号混合型基金</w:t>
      </w:r>
      <w:r w:rsidRPr="00565E0D">
        <w:rPr>
          <w:rFonts w:asciiTheme="minorEastAsia" w:eastAsiaTheme="minorEastAsia" w:hAnsiTheme="minorEastAsia" w:hint="eastAsia"/>
          <w:szCs w:val="21"/>
        </w:rPr>
        <w:t>T日的基金份额净值为1.020元，假设该转出基金的赎回费率为0.5%，申购补差费率为0.5%，则可获得转入基金的</w:t>
      </w:r>
      <w:r w:rsidRPr="00565E0D">
        <w:rPr>
          <w:rFonts w:asciiTheme="minorEastAsia" w:eastAsiaTheme="minorEastAsia" w:hAnsiTheme="minorEastAsia"/>
          <w:szCs w:val="21"/>
        </w:rPr>
        <w:t>易方达策略成长二号混合型基金</w:t>
      </w:r>
      <w:r w:rsidRPr="00565E0D">
        <w:rPr>
          <w:rFonts w:asciiTheme="minorEastAsia" w:eastAsiaTheme="minorEastAsia" w:hAnsiTheme="minorEastAsia" w:hint="eastAsia"/>
          <w:szCs w:val="21"/>
        </w:rPr>
        <w:t>基金份额计算如下：</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转换</w:t>
      </w:r>
      <w:r w:rsidRPr="00565E0D">
        <w:rPr>
          <w:rFonts w:asciiTheme="minorEastAsia" w:eastAsiaTheme="minorEastAsia" w:hAnsiTheme="minorEastAsia"/>
          <w:szCs w:val="21"/>
        </w:rPr>
        <w:t>金额＝转出基金申请份额×转出基金份额净值=10</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000×1</w:t>
      </w:r>
      <w:r w:rsidRPr="00565E0D">
        <w:rPr>
          <w:rFonts w:asciiTheme="minorEastAsia" w:eastAsiaTheme="minorEastAsia" w:hAnsiTheme="minorEastAsia" w:hint="eastAsia"/>
          <w:szCs w:val="21"/>
        </w:rPr>
        <w:t>.1000</w:t>
      </w:r>
      <w:r w:rsidRPr="00565E0D">
        <w:rPr>
          <w:rFonts w:asciiTheme="minorEastAsia" w:eastAsiaTheme="minorEastAsia" w:hAnsiTheme="minorEastAsia"/>
          <w:szCs w:val="21"/>
        </w:rPr>
        <w:t>＝1</w:t>
      </w: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000</w:t>
      </w:r>
      <w:r w:rsidRPr="00565E0D">
        <w:rPr>
          <w:rFonts w:asciiTheme="minorEastAsia" w:eastAsiaTheme="minorEastAsia" w:hAnsiTheme="minorEastAsia" w:hint="eastAsia"/>
          <w:szCs w:val="21"/>
        </w:rPr>
        <w:t>.00</w:t>
      </w:r>
      <w:r w:rsidRPr="00565E0D">
        <w:rPr>
          <w:rFonts w:asciiTheme="minorEastAsia" w:eastAsiaTheme="minorEastAsia" w:hAnsiTheme="minorEastAsia"/>
          <w:szCs w:val="21"/>
        </w:rPr>
        <w:t>元</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转出基金</w:t>
      </w:r>
      <w:r w:rsidRPr="00565E0D">
        <w:rPr>
          <w:rFonts w:asciiTheme="minorEastAsia" w:eastAsiaTheme="minorEastAsia" w:hAnsiTheme="minorEastAsia"/>
          <w:szCs w:val="21"/>
        </w:rPr>
        <w:t>赎回费＝</w:t>
      </w:r>
      <w:r w:rsidRPr="00565E0D">
        <w:rPr>
          <w:rFonts w:asciiTheme="minorEastAsia" w:eastAsiaTheme="minorEastAsia" w:hAnsiTheme="minorEastAsia" w:hint="eastAsia"/>
          <w:szCs w:val="21"/>
        </w:rPr>
        <w:t>转换</w:t>
      </w:r>
      <w:r w:rsidRPr="00565E0D">
        <w:rPr>
          <w:rFonts w:asciiTheme="minorEastAsia" w:eastAsiaTheme="minorEastAsia" w:hAnsiTheme="minorEastAsia"/>
          <w:szCs w:val="21"/>
        </w:rPr>
        <w:t>金额×</w:t>
      </w:r>
      <w:r w:rsidRPr="00565E0D">
        <w:rPr>
          <w:rFonts w:asciiTheme="minorEastAsia" w:eastAsiaTheme="minorEastAsia" w:hAnsiTheme="minorEastAsia" w:hint="eastAsia"/>
          <w:szCs w:val="21"/>
        </w:rPr>
        <w:t>转出基金</w:t>
      </w:r>
      <w:r w:rsidRPr="00565E0D">
        <w:rPr>
          <w:rFonts w:asciiTheme="minorEastAsia" w:eastAsiaTheme="minorEastAsia" w:hAnsiTheme="minorEastAsia"/>
          <w:szCs w:val="21"/>
        </w:rPr>
        <w:t>赎回费率</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1</w:t>
      </w: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000</w:t>
      </w:r>
      <w:r w:rsidRPr="00565E0D">
        <w:rPr>
          <w:rFonts w:asciiTheme="minorEastAsia" w:eastAsiaTheme="minorEastAsia" w:hAnsiTheme="minorEastAsia" w:hint="eastAsia"/>
          <w:szCs w:val="21"/>
        </w:rPr>
        <w:t>.00</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0.5%=55.00元</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申购</w:t>
      </w:r>
      <w:r w:rsidRPr="00565E0D">
        <w:rPr>
          <w:rFonts w:asciiTheme="minorEastAsia" w:eastAsiaTheme="minorEastAsia" w:hAnsiTheme="minorEastAsia"/>
          <w:szCs w:val="21"/>
        </w:rPr>
        <w:t>补差费</w:t>
      </w:r>
      <w:r w:rsidRPr="00565E0D">
        <w:rPr>
          <w:rFonts w:asciiTheme="minorEastAsia" w:eastAsiaTheme="minorEastAsia" w:hAnsiTheme="minorEastAsia" w:hint="eastAsia"/>
          <w:szCs w:val="21"/>
        </w:rPr>
        <w:t>=（转换</w:t>
      </w:r>
      <w:r w:rsidRPr="00565E0D">
        <w:rPr>
          <w:rFonts w:asciiTheme="minorEastAsia" w:eastAsiaTheme="minorEastAsia" w:hAnsiTheme="minorEastAsia"/>
          <w:szCs w:val="21"/>
        </w:rPr>
        <w:t>金额</w:t>
      </w:r>
      <w:r w:rsidRPr="00565E0D">
        <w:rPr>
          <w:rFonts w:asciiTheme="minorEastAsia" w:eastAsiaTheme="minorEastAsia" w:hAnsiTheme="minorEastAsia" w:hint="eastAsia"/>
          <w:szCs w:val="21"/>
        </w:rPr>
        <w:t>—转出基金</w:t>
      </w:r>
      <w:r w:rsidRPr="00565E0D">
        <w:rPr>
          <w:rFonts w:asciiTheme="minorEastAsia" w:eastAsiaTheme="minorEastAsia" w:hAnsiTheme="minorEastAsia"/>
          <w:szCs w:val="21"/>
        </w:rPr>
        <w:t>赎回费</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申购</w:t>
      </w:r>
      <w:r w:rsidRPr="00565E0D">
        <w:rPr>
          <w:rFonts w:asciiTheme="minorEastAsia" w:eastAsiaTheme="minorEastAsia" w:hAnsiTheme="minorEastAsia"/>
          <w:szCs w:val="21"/>
        </w:rPr>
        <w:t>补差费率÷（１＋</w:t>
      </w:r>
      <w:r w:rsidRPr="00565E0D">
        <w:rPr>
          <w:rFonts w:asciiTheme="minorEastAsia" w:eastAsiaTheme="minorEastAsia" w:hAnsiTheme="minorEastAsia" w:hint="eastAsia"/>
          <w:szCs w:val="21"/>
        </w:rPr>
        <w:t>申购</w:t>
      </w:r>
      <w:r w:rsidRPr="00565E0D">
        <w:rPr>
          <w:rFonts w:asciiTheme="minorEastAsia" w:eastAsiaTheme="minorEastAsia" w:hAnsiTheme="minorEastAsia"/>
          <w:szCs w:val="21"/>
        </w:rPr>
        <w:t>补差费率）</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1</w:t>
      </w: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000</w:t>
      </w:r>
      <w:r w:rsidRPr="00565E0D">
        <w:rPr>
          <w:rFonts w:asciiTheme="minorEastAsia" w:eastAsiaTheme="minorEastAsia" w:hAnsiTheme="minorEastAsia" w:hint="eastAsia"/>
          <w:szCs w:val="21"/>
        </w:rPr>
        <w:t>.00-55.00）</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0.5%</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(1+0.5%)=54.45元</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转换费＝转出基金赎回费+申购补差费=</w:t>
      </w:r>
      <w:r w:rsidRPr="00565E0D">
        <w:rPr>
          <w:rFonts w:asciiTheme="minorEastAsia" w:eastAsiaTheme="minorEastAsia" w:hAnsiTheme="minorEastAsia" w:hint="eastAsia"/>
          <w:szCs w:val="21"/>
        </w:rPr>
        <w:t>55.00</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54.45</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109.45元</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转入金额=转换</w:t>
      </w:r>
      <w:r w:rsidRPr="00565E0D">
        <w:rPr>
          <w:rFonts w:asciiTheme="minorEastAsia" w:eastAsiaTheme="minorEastAsia" w:hAnsiTheme="minorEastAsia"/>
          <w:szCs w:val="21"/>
        </w:rPr>
        <w:t>金额</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转换费</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1</w:t>
      </w: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000</w:t>
      </w:r>
      <w:r w:rsidRPr="00565E0D">
        <w:rPr>
          <w:rFonts w:asciiTheme="minorEastAsia" w:eastAsiaTheme="minorEastAsia" w:hAnsiTheme="minorEastAsia" w:hint="eastAsia"/>
          <w:szCs w:val="21"/>
        </w:rPr>
        <w:t>.00-109.45=10,890.55元</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转入份额=转入金额</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转入基金份额净值=10,890.55</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1.020=10,677.01份</w:t>
      </w:r>
    </w:p>
    <w:tbl>
      <w:tblPr>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900"/>
        <w:gridCol w:w="1440"/>
        <w:gridCol w:w="1260"/>
        <w:gridCol w:w="1080"/>
        <w:gridCol w:w="1440"/>
        <w:gridCol w:w="1185"/>
        <w:gridCol w:w="1335"/>
      </w:tblGrid>
      <w:tr w:rsidR="00565E0D" w:rsidRPr="00565E0D" w:rsidTr="00717BE1">
        <w:trPr>
          <w:trHeight w:val="413"/>
        </w:trPr>
        <w:tc>
          <w:tcPr>
            <w:tcW w:w="1080" w:type="dxa"/>
            <w:vMerge w:val="restart"/>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转出</w:t>
            </w:r>
            <w:r w:rsidRPr="00565E0D">
              <w:rPr>
                <w:rFonts w:asciiTheme="minorEastAsia" w:eastAsiaTheme="minorEastAsia" w:hAnsiTheme="minorEastAsia"/>
                <w:szCs w:val="21"/>
              </w:rPr>
              <w:t>份额</w:t>
            </w:r>
          </w:p>
        </w:tc>
        <w:tc>
          <w:tcPr>
            <w:tcW w:w="900" w:type="dxa"/>
            <w:vMerge w:val="restart"/>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转出</w:t>
            </w:r>
            <w:r w:rsidRPr="00565E0D">
              <w:rPr>
                <w:rFonts w:asciiTheme="minorEastAsia" w:eastAsiaTheme="minorEastAsia" w:hAnsiTheme="minorEastAsia"/>
                <w:szCs w:val="21"/>
              </w:rPr>
              <w:t>基金</w:t>
            </w:r>
            <w:r w:rsidRPr="00565E0D">
              <w:rPr>
                <w:rFonts w:asciiTheme="minorEastAsia" w:eastAsiaTheme="minorEastAsia" w:hAnsiTheme="minorEastAsia" w:hint="eastAsia"/>
                <w:szCs w:val="21"/>
              </w:rPr>
              <w:t>份额</w:t>
            </w:r>
            <w:r w:rsidRPr="00565E0D">
              <w:rPr>
                <w:rFonts w:asciiTheme="minorEastAsia" w:eastAsiaTheme="minorEastAsia" w:hAnsiTheme="minorEastAsia"/>
                <w:szCs w:val="21"/>
              </w:rPr>
              <w:t>净值</w:t>
            </w:r>
          </w:p>
        </w:tc>
        <w:tc>
          <w:tcPr>
            <w:tcW w:w="1440" w:type="dxa"/>
            <w:vMerge w:val="restart"/>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转换金额</w:t>
            </w:r>
          </w:p>
        </w:tc>
        <w:tc>
          <w:tcPr>
            <w:tcW w:w="2340" w:type="dxa"/>
            <w:gridSpan w:val="2"/>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转换费</w:t>
            </w:r>
          </w:p>
        </w:tc>
        <w:tc>
          <w:tcPr>
            <w:tcW w:w="1440" w:type="dxa"/>
            <w:vMerge w:val="restart"/>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转入金额</w:t>
            </w:r>
          </w:p>
        </w:tc>
        <w:tc>
          <w:tcPr>
            <w:tcW w:w="1185" w:type="dxa"/>
            <w:vMerge w:val="restart"/>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转入</w:t>
            </w:r>
            <w:r w:rsidRPr="00565E0D">
              <w:rPr>
                <w:rFonts w:asciiTheme="minorEastAsia" w:eastAsiaTheme="minorEastAsia" w:hAnsiTheme="minorEastAsia"/>
                <w:szCs w:val="21"/>
              </w:rPr>
              <w:t>基金</w:t>
            </w:r>
            <w:r w:rsidRPr="00565E0D">
              <w:rPr>
                <w:rFonts w:asciiTheme="minorEastAsia" w:eastAsiaTheme="minorEastAsia" w:hAnsiTheme="minorEastAsia" w:hint="eastAsia"/>
                <w:szCs w:val="21"/>
              </w:rPr>
              <w:t>份额</w:t>
            </w:r>
            <w:r w:rsidRPr="00565E0D">
              <w:rPr>
                <w:rFonts w:asciiTheme="minorEastAsia" w:eastAsiaTheme="minorEastAsia" w:hAnsiTheme="minorEastAsia"/>
                <w:szCs w:val="21"/>
              </w:rPr>
              <w:t>净值</w:t>
            </w:r>
          </w:p>
        </w:tc>
        <w:tc>
          <w:tcPr>
            <w:tcW w:w="1335" w:type="dxa"/>
            <w:vMerge w:val="restart"/>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转入份额</w:t>
            </w:r>
          </w:p>
        </w:tc>
      </w:tr>
      <w:tr w:rsidR="00565E0D" w:rsidRPr="00565E0D" w:rsidTr="00717BE1">
        <w:trPr>
          <w:trHeight w:val="412"/>
        </w:trPr>
        <w:tc>
          <w:tcPr>
            <w:tcW w:w="1080" w:type="dxa"/>
            <w:vMerge/>
          </w:tcPr>
          <w:p w:rsidR="00C35BC5" w:rsidRPr="00565E0D" w:rsidRDefault="00C35BC5" w:rsidP="00552BE1">
            <w:pPr>
              <w:snapToGrid w:val="0"/>
              <w:spacing w:line="360" w:lineRule="auto"/>
              <w:ind w:firstLine="420"/>
              <w:rPr>
                <w:rFonts w:asciiTheme="minorEastAsia" w:eastAsiaTheme="minorEastAsia" w:hAnsiTheme="minorEastAsia"/>
                <w:szCs w:val="21"/>
              </w:rPr>
            </w:pPr>
          </w:p>
        </w:tc>
        <w:tc>
          <w:tcPr>
            <w:tcW w:w="900" w:type="dxa"/>
            <w:vMerge/>
          </w:tcPr>
          <w:p w:rsidR="00C35BC5" w:rsidRPr="00565E0D" w:rsidRDefault="00C35BC5" w:rsidP="00552BE1">
            <w:pPr>
              <w:snapToGrid w:val="0"/>
              <w:spacing w:line="360" w:lineRule="auto"/>
              <w:ind w:firstLine="420"/>
              <w:rPr>
                <w:rFonts w:asciiTheme="minorEastAsia" w:eastAsiaTheme="minorEastAsia" w:hAnsiTheme="minorEastAsia"/>
                <w:szCs w:val="21"/>
              </w:rPr>
            </w:pPr>
          </w:p>
        </w:tc>
        <w:tc>
          <w:tcPr>
            <w:tcW w:w="1440" w:type="dxa"/>
            <w:vMerge/>
          </w:tcPr>
          <w:p w:rsidR="00C35BC5" w:rsidRPr="00565E0D" w:rsidRDefault="00C35BC5" w:rsidP="00552BE1">
            <w:pPr>
              <w:snapToGrid w:val="0"/>
              <w:spacing w:line="360" w:lineRule="auto"/>
              <w:ind w:firstLine="420"/>
              <w:rPr>
                <w:rFonts w:asciiTheme="minorEastAsia" w:eastAsiaTheme="minorEastAsia" w:hAnsiTheme="minorEastAsia"/>
                <w:szCs w:val="21"/>
              </w:rPr>
            </w:pPr>
          </w:p>
        </w:tc>
        <w:tc>
          <w:tcPr>
            <w:tcW w:w="1260" w:type="dxa"/>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转出基金</w:t>
            </w:r>
            <w:r w:rsidRPr="00565E0D">
              <w:rPr>
                <w:rFonts w:asciiTheme="minorEastAsia" w:eastAsiaTheme="minorEastAsia" w:hAnsiTheme="minorEastAsia"/>
                <w:szCs w:val="21"/>
              </w:rPr>
              <w:t>赎回费</w:t>
            </w:r>
          </w:p>
        </w:tc>
        <w:tc>
          <w:tcPr>
            <w:tcW w:w="1080" w:type="dxa"/>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申购</w:t>
            </w:r>
            <w:r w:rsidRPr="00565E0D">
              <w:rPr>
                <w:rFonts w:asciiTheme="minorEastAsia" w:eastAsiaTheme="minorEastAsia" w:hAnsiTheme="minorEastAsia"/>
                <w:szCs w:val="21"/>
              </w:rPr>
              <w:t>补差费</w:t>
            </w:r>
          </w:p>
        </w:tc>
        <w:tc>
          <w:tcPr>
            <w:tcW w:w="1440" w:type="dxa"/>
            <w:vMerge/>
          </w:tcPr>
          <w:p w:rsidR="00C35BC5" w:rsidRPr="00565E0D" w:rsidRDefault="00C35BC5" w:rsidP="00552BE1">
            <w:pPr>
              <w:snapToGrid w:val="0"/>
              <w:spacing w:line="360" w:lineRule="auto"/>
              <w:ind w:firstLine="420"/>
              <w:rPr>
                <w:rFonts w:asciiTheme="minorEastAsia" w:eastAsiaTheme="minorEastAsia" w:hAnsiTheme="minorEastAsia"/>
                <w:szCs w:val="21"/>
              </w:rPr>
            </w:pPr>
          </w:p>
        </w:tc>
        <w:tc>
          <w:tcPr>
            <w:tcW w:w="1185" w:type="dxa"/>
            <w:vMerge/>
          </w:tcPr>
          <w:p w:rsidR="00C35BC5" w:rsidRPr="00565E0D" w:rsidRDefault="00C35BC5" w:rsidP="00552BE1">
            <w:pPr>
              <w:snapToGrid w:val="0"/>
              <w:spacing w:line="360" w:lineRule="auto"/>
              <w:ind w:firstLine="420"/>
              <w:rPr>
                <w:rFonts w:asciiTheme="minorEastAsia" w:eastAsiaTheme="minorEastAsia" w:hAnsiTheme="minorEastAsia"/>
                <w:szCs w:val="21"/>
              </w:rPr>
            </w:pPr>
          </w:p>
        </w:tc>
        <w:tc>
          <w:tcPr>
            <w:tcW w:w="1335" w:type="dxa"/>
            <w:vMerge/>
          </w:tcPr>
          <w:p w:rsidR="00C35BC5" w:rsidRPr="00565E0D" w:rsidRDefault="00C35BC5" w:rsidP="00552BE1">
            <w:pPr>
              <w:snapToGrid w:val="0"/>
              <w:spacing w:line="360" w:lineRule="auto"/>
              <w:ind w:firstLine="420"/>
              <w:rPr>
                <w:rFonts w:asciiTheme="minorEastAsia" w:eastAsiaTheme="minorEastAsia" w:hAnsiTheme="minorEastAsia"/>
                <w:szCs w:val="21"/>
              </w:rPr>
            </w:pPr>
          </w:p>
        </w:tc>
      </w:tr>
      <w:tr w:rsidR="00565E0D" w:rsidRPr="00565E0D" w:rsidTr="00717BE1">
        <w:tc>
          <w:tcPr>
            <w:tcW w:w="1080" w:type="dxa"/>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szCs w:val="21"/>
              </w:rPr>
              <w:t>10,000</w:t>
            </w:r>
            <w:r w:rsidRPr="00565E0D">
              <w:rPr>
                <w:rFonts w:asciiTheme="minorEastAsia" w:eastAsiaTheme="minorEastAsia" w:hAnsiTheme="minorEastAsia" w:hint="eastAsia"/>
                <w:szCs w:val="21"/>
              </w:rPr>
              <w:t>份</w:t>
            </w:r>
          </w:p>
        </w:tc>
        <w:tc>
          <w:tcPr>
            <w:tcW w:w="900" w:type="dxa"/>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szCs w:val="21"/>
              </w:rPr>
              <w:t>1.</w:t>
            </w: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0</w:t>
            </w:r>
            <w:r w:rsidRPr="00565E0D">
              <w:rPr>
                <w:rFonts w:asciiTheme="minorEastAsia" w:eastAsiaTheme="minorEastAsia" w:hAnsiTheme="minorEastAsia" w:hint="eastAsia"/>
                <w:szCs w:val="21"/>
              </w:rPr>
              <w:t>00</w:t>
            </w:r>
            <w:r w:rsidRPr="00565E0D">
              <w:rPr>
                <w:rFonts w:asciiTheme="minorEastAsia" w:eastAsiaTheme="minorEastAsia" w:hAnsiTheme="minorEastAsia"/>
                <w:szCs w:val="21"/>
              </w:rPr>
              <w:t>元</w:t>
            </w:r>
          </w:p>
        </w:tc>
        <w:tc>
          <w:tcPr>
            <w:tcW w:w="1440" w:type="dxa"/>
          </w:tcPr>
          <w:p w:rsidR="00C35BC5" w:rsidRPr="00565E0D" w:rsidRDefault="00C35BC5" w:rsidP="00552BE1">
            <w:pPr>
              <w:snapToGrid w:val="0"/>
              <w:spacing w:line="360" w:lineRule="auto"/>
              <w:ind w:hanging="3"/>
              <w:jc w:val="center"/>
              <w:rPr>
                <w:rFonts w:asciiTheme="minorEastAsia" w:eastAsiaTheme="minorEastAsia" w:hAnsiTheme="minorEastAsia"/>
                <w:szCs w:val="21"/>
              </w:rPr>
            </w:pPr>
            <w:r w:rsidRPr="00565E0D">
              <w:rPr>
                <w:rFonts w:asciiTheme="minorEastAsia" w:eastAsiaTheme="minorEastAsia" w:hAnsiTheme="minorEastAsia" w:hint="eastAsia"/>
                <w:szCs w:val="21"/>
              </w:rPr>
              <w:t>11,000.00元</w:t>
            </w:r>
          </w:p>
        </w:tc>
        <w:tc>
          <w:tcPr>
            <w:tcW w:w="1260" w:type="dxa"/>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55.00元</w:t>
            </w:r>
          </w:p>
        </w:tc>
        <w:tc>
          <w:tcPr>
            <w:tcW w:w="1080" w:type="dxa"/>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54.45元</w:t>
            </w:r>
          </w:p>
        </w:tc>
        <w:tc>
          <w:tcPr>
            <w:tcW w:w="1440" w:type="dxa"/>
          </w:tcPr>
          <w:p w:rsidR="00C35BC5" w:rsidRPr="00565E0D" w:rsidRDefault="00C35BC5" w:rsidP="00552BE1">
            <w:pPr>
              <w:snapToGrid w:val="0"/>
              <w:spacing w:line="360" w:lineRule="auto"/>
              <w:ind w:hanging="3"/>
              <w:jc w:val="center"/>
              <w:rPr>
                <w:rFonts w:asciiTheme="minorEastAsia" w:eastAsiaTheme="minorEastAsia" w:hAnsiTheme="minorEastAsia"/>
                <w:szCs w:val="21"/>
              </w:rPr>
            </w:pPr>
            <w:r w:rsidRPr="00565E0D">
              <w:rPr>
                <w:rFonts w:asciiTheme="minorEastAsia" w:eastAsiaTheme="minorEastAsia" w:hAnsiTheme="minorEastAsia" w:hint="eastAsia"/>
                <w:szCs w:val="21"/>
              </w:rPr>
              <w:t>10,890.55元</w:t>
            </w:r>
          </w:p>
        </w:tc>
        <w:tc>
          <w:tcPr>
            <w:tcW w:w="1185" w:type="dxa"/>
          </w:tcPr>
          <w:p w:rsidR="00C35BC5" w:rsidRPr="00565E0D" w:rsidRDefault="00C35BC5" w:rsidP="00552BE1">
            <w:pPr>
              <w:snapToGrid w:val="0"/>
              <w:spacing w:line="360" w:lineRule="auto"/>
              <w:jc w:val="center"/>
              <w:rPr>
                <w:rFonts w:asciiTheme="minorEastAsia" w:eastAsiaTheme="minorEastAsia" w:hAnsiTheme="minorEastAsia"/>
                <w:szCs w:val="21"/>
              </w:rPr>
            </w:pPr>
            <w:r w:rsidRPr="00565E0D">
              <w:rPr>
                <w:rFonts w:asciiTheme="minorEastAsia" w:eastAsiaTheme="minorEastAsia" w:hAnsiTheme="minorEastAsia" w:hint="eastAsia"/>
                <w:szCs w:val="21"/>
              </w:rPr>
              <w:t>1.020元</w:t>
            </w:r>
          </w:p>
        </w:tc>
        <w:tc>
          <w:tcPr>
            <w:tcW w:w="1335" w:type="dxa"/>
          </w:tcPr>
          <w:p w:rsidR="00C35BC5" w:rsidRPr="00565E0D" w:rsidRDefault="00C35BC5" w:rsidP="00552BE1">
            <w:pPr>
              <w:snapToGrid w:val="0"/>
              <w:spacing w:line="360" w:lineRule="auto"/>
              <w:ind w:hanging="3"/>
              <w:jc w:val="center"/>
              <w:rPr>
                <w:rFonts w:asciiTheme="minorEastAsia" w:eastAsiaTheme="minorEastAsia" w:hAnsiTheme="minorEastAsia"/>
                <w:szCs w:val="21"/>
              </w:rPr>
            </w:pPr>
            <w:r w:rsidRPr="00565E0D">
              <w:rPr>
                <w:rFonts w:asciiTheme="minorEastAsia" w:eastAsiaTheme="minorEastAsia" w:hAnsiTheme="minorEastAsia" w:hint="eastAsia"/>
                <w:szCs w:val="21"/>
              </w:rPr>
              <w:t>10,677.01份</w:t>
            </w:r>
          </w:p>
        </w:tc>
      </w:tr>
    </w:tbl>
    <w:p w:rsidR="007417EC" w:rsidRPr="00565E0D" w:rsidRDefault="007417EC" w:rsidP="007417EC">
      <w:pPr>
        <w:adjustRightInd w:val="0"/>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lastRenderedPageBreak/>
        <w:t>注：本基金转出至易方达平稳增长混合、易方达策略成长混合、易方达上证</w:t>
      </w:r>
      <w:r w:rsidRPr="00565E0D">
        <w:rPr>
          <w:rFonts w:asciiTheme="minorEastAsia" w:eastAsiaTheme="minorEastAsia" w:hAnsiTheme="minorEastAsia"/>
        </w:rPr>
        <w:t>50</w:t>
      </w:r>
      <w:r w:rsidRPr="00565E0D">
        <w:rPr>
          <w:rFonts w:asciiTheme="minorEastAsia" w:eastAsiaTheme="minorEastAsia" w:hAnsiTheme="minorEastAsia" w:hint="eastAsia"/>
        </w:rPr>
        <w:t>指数、易方达积极成长混合、易方达货币、易方达稳健收益债券时，转入份额的计算结果保留到小数点后两位，小数点两位以后舍去，舍去部分所代表的资产归基金财产所有；本基金转出至易方达天天理财货币、易方达信用债债券、易方达纯债</w:t>
      </w:r>
      <w:r w:rsidRPr="00565E0D">
        <w:rPr>
          <w:rFonts w:asciiTheme="minorEastAsia" w:eastAsiaTheme="minorEastAsia" w:hAnsiTheme="minorEastAsia"/>
        </w:rPr>
        <w:t>1</w:t>
      </w:r>
      <w:r w:rsidRPr="00565E0D">
        <w:rPr>
          <w:rFonts w:asciiTheme="minorEastAsia" w:eastAsiaTheme="minorEastAsia" w:hAnsiTheme="minorEastAsia" w:hint="eastAsia"/>
        </w:rPr>
        <w:t>年定期开放债券、易方达高等级信用债债券、易方达裕丰回报债券、易方达丰华债券、易方达投资级信用债债券、易方达恒久</w:t>
      </w:r>
      <w:r w:rsidRPr="00565E0D">
        <w:rPr>
          <w:rFonts w:asciiTheme="minorEastAsia" w:eastAsiaTheme="minorEastAsia" w:hAnsiTheme="minorEastAsia"/>
        </w:rPr>
        <w:t>1</w:t>
      </w:r>
      <w:r w:rsidRPr="00565E0D">
        <w:rPr>
          <w:rFonts w:asciiTheme="minorEastAsia" w:eastAsiaTheme="minorEastAsia" w:hAnsiTheme="minorEastAsia" w:hint="eastAsia"/>
        </w:rPr>
        <w:t>年定期债券、易方达黄金</w:t>
      </w:r>
      <w:r w:rsidRPr="00565E0D">
        <w:rPr>
          <w:rFonts w:asciiTheme="minorEastAsia" w:eastAsiaTheme="minorEastAsia" w:hAnsiTheme="minorEastAsia"/>
        </w:rPr>
        <w:t>ETF</w:t>
      </w:r>
      <w:r w:rsidRPr="00565E0D">
        <w:rPr>
          <w:rFonts w:asciiTheme="minorEastAsia" w:eastAsiaTheme="minorEastAsia" w:hAnsiTheme="minorEastAsia" w:hint="eastAsia"/>
        </w:rPr>
        <w:t>联接、易方达新兴成长混合、易方达裕惠定开混合发起式、易方达创新驱动混合、易方达现金增利货币、易方达财富快线货币、易方达天天增利货币、易方达龙宝货币、易方达天天发货币、易方达掌柜季季盈理财债券、易方达沪深</w:t>
      </w:r>
      <w:r w:rsidRPr="00565E0D">
        <w:rPr>
          <w:rFonts w:asciiTheme="minorEastAsia" w:eastAsiaTheme="minorEastAsia" w:hAnsiTheme="minorEastAsia"/>
        </w:rPr>
        <w:t>300</w:t>
      </w:r>
      <w:r w:rsidRPr="00565E0D">
        <w:rPr>
          <w:rFonts w:asciiTheme="minorEastAsia" w:eastAsiaTheme="minorEastAsia" w:hAnsiTheme="minorEastAsia" w:hint="eastAsia"/>
        </w:rPr>
        <w:t>非银联接、易方达增金宝货币、易方达新经济混合、易方达改革红利混合、易方达裕如混合、易方达安心回馈混合、易方达新常态混合、易方达新收益混合、易方达新利混合、易方达新鑫混合、易方达新益混合、易方达新享混合、易方达沪深</w:t>
      </w:r>
      <w:r w:rsidRPr="00565E0D">
        <w:rPr>
          <w:rFonts w:asciiTheme="minorEastAsia" w:eastAsiaTheme="minorEastAsia" w:hAnsiTheme="minorEastAsia"/>
        </w:rPr>
        <w:t>300</w:t>
      </w:r>
      <w:r w:rsidRPr="00565E0D">
        <w:rPr>
          <w:rFonts w:asciiTheme="minorEastAsia" w:eastAsiaTheme="minorEastAsia" w:hAnsiTheme="minorEastAsia" w:hint="eastAsia"/>
        </w:rPr>
        <w:t>医药</w:t>
      </w:r>
      <w:r w:rsidRPr="00565E0D">
        <w:rPr>
          <w:rFonts w:asciiTheme="minorEastAsia" w:eastAsiaTheme="minorEastAsia" w:hAnsiTheme="minorEastAsia"/>
        </w:rPr>
        <w:t>ETF</w:t>
      </w:r>
      <w:r w:rsidRPr="00565E0D">
        <w:rPr>
          <w:rFonts w:asciiTheme="minorEastAsia" w:eastAsiaTheme="minorEastAsia" w:hAnsiTheme="minorEastAsia" w:hint="eastAsia"/>
        </w:rPr>
        <w:t>联接、易方达新丝路混合、易方达国企改革混合、易方达瑞景混合、易方达瑞享混合、易方达瑞信混合、易方达瑞选混合、易方达国防军工混合、易方达中债</w:t>
      </w:r>
      <w:r w:rsidRPr="00565E0D">
        <w:rPr>
          <w:rFonts w:asciiTheme="minorEastAsia" w:eastAsiaTheme="minorEastAsia" w:hAnsiTheme="minorEastAsia"/>
        </w:rPr>
        <w:t>3-5</w:t>
      </w:r>
      <w:r w:rsidRPr="00565E0D">
        <w:rPr>
          <w:rFonts w:asciiTheme="minorEastAsia" w:eastAsiaTheme="minorEastAsia" w:hAnsiTheme="minorEastAsia" w:hint="eastAsia"/>
        </w:rPr>
        <w:t>年期国债指数、易方达信息产业混合、易方达瑞和混合、易方达安盈回报混合、易方达瑞财混合、易方达瑞智混合、易方达瑞兴混合、易方达瑞恒混合、易方达瑞祥混合、易方达环保主题混合、易方达现代服务业混合、易方达大健康主题混合、易方达量化策略精选混合、易方达裕祥回报债券、易方达裕景添利</w:t>
      </w:r>
      <w:r w:rsidRPr="00565E0D">
        <w:rPr>
          <w:rFonts w:asciiTheme="minorEastAsia" w:eastAsiaTheme="minorEastAsia" w:hAnsiTheme="minorEastAsia"/>
        </w:rPr>
        <w:t>6</w:t>
      </w:r>
      <w:r w:rsidRPr="00565E0D">
        <w:rPr>
          <w:rFonts w:asciiTheme="minorEastAsia" w:eastAsiaTheme="minorEastAsia" w:hAnsiTheme="minorEastAsia" w:hint="eastAsia"/>
        </w:rPr>
        <w:t>个月定期开放债券、易方达丰惠混合、易方达供给改革混合、易方达丰和债券、易方达裕鑫债券、易方达富惠纯债债券、易方达科瑞混合、易方达中债</w:t>
      </w:r>
      <w:r w:rsidRPr="00565E0D">
        <w:rPr>
          <w:rFonts w:asciiTheme="minorEastAsia" w:eastAsiaTheme="minorEastAsia" w:hAnsiTheme="minorEastAsia"/>
        </w:rPr>
        <w:t>7-10</w:t>
      </w:r>
      <w:r w:rsidRPr="00565E0D">
        <w:rPr>
          <w:rFonts w:asciiTheme="minorEastAsia" w:eastAsiaTheme="minorEastAsia" w:hAnsiTheme="minorEastAsia" w:hint="eastAsia"/>
        </w:rPr>
        <w:t>年期国开行债券指数、易方达瑞通混合、易方达瑞弘混合、易方达瑞程混合、易方达恒益定开债券发起式、易方达易百智能量化策略混合、易方达恒安定开债券发起式、易方达港股通红利混合、易方达富财纯债债券、易方达恒信定开债券发起式、易方达蓝筹精选混合、易方达中盘成长混合、易方达鑫转增利混合、易方达鑫转添利混合、易方达鑫转招利混合、易方达恒惠定开债券发起式、易方达安瑞短债债券、易方达科融混合、易方达安悦超短债债券、易方达</w:t>
      </w:r>
      <w:r w:rsidRPr="00565E0D">
        <w:rPr>
          <w:rFonts w:asciiTheme="minorEastAsia" w:eastAsiaTheme="minorEastAsia" w:hAnsiTheme="minorEastAsia"/>
        </w:rPr>
        <w:t>MSCI</w:t>
      </w:r>
      <w:r w:rsidRPr="00565E0D">
        <w:rPr>
          <w:rFonts w:asciiTheme="minorEastAsia" w:eastAsiaTheme="minorEastAsia" w:hAnsiTheme="minorEastAsia" w:hint="eastAsia"/>
        </w:rPr>
        <w:t>中国</w:t>
      </w:r>
      <w:r w:rsidRPr="00565E0D">
        <w:rPr>
          <w:rFonts w:asciiTheme="minorEastAsia" w:eastAsiaTheme="minorEastAsia" w:hAnsiTheme="minorEastAsia"/>
        </w:rPr>
        <w:t>A</w:t>
      </w:r>
      <w:r w:rsidRPr="00565E0D">
        <w:rPr>
          <w:rFonts w:asciiTheme="minorEastAsia" w:eastAsiaTheme="minorEastAsia" w:hAnsiTheme="minorEastAsia" w:hint="eastAsia"/>
        </w:rPr>
        <w:t>股国际通</w:t>
      </w:r>
      <w:r w:rsidRPr="00565E0D">
        <w:rPr>
          <w:rFonts w:asciiTheme="minorEastAsia" w:eastAsiaTheme="minorEastAsia" w:hAnsiTheme="minorEastAsia"/>
        </w:rPr>
        <w:t>ETF</w:t>
      </w:r>
      <w:r w:rsidRPr="00565E0D">
        <w:rPr>
          <w:rFonts w:asciiTheme="minorEastAsia" w:eastAsiaTheme="minorEastAsia" w:hAnsiTheme="minorEastAsia" w:hint="eastAsia"/>
        </w:rPr>
        <w:t>联接发起式、易方达中证</w:t>
      </w:r>
      <w:r w:rsidRPr="00565E0D">
        <w:rPr>
          <w:rFonts w:asciiTheme="minorEastAsia" w:eastAsiaTheme="minorEastAsia" w:hAnsiTheme="minorEastAsia"/>
        </w:rPr>
        <w:t>500ETF</w:t>
      </w:r>
      <w:r w:rsidRPr="00565E0D">
        <w:rPr>
          <w:rFonts w:asciiTheme="minorEastAsia" w:eastAsiaTheme="minorEastAsia" w:hAnsiTheme="minorEastAsia" w:hint="eastAsia"/>
        </w:rPr>
        <w:t>联接发起式、易方达恒利</w:t>
      </w:r>
      <w:r w:rsidRPr="00565E0D">
        <w:rPr>
          <w:rFonts w:asciiTheme="minorEastAsia" w:eastAsiaTheme="minorEastAsia" w:hAnsiTheme="minorEastAsia"/>
        </w:rPr>
        <w:t>3</w:t>
      </w:r>
      <w:r w:rsidRPr="00565E0D">
        <w:rPr>
          <w:rFonts w:asciiTheme="minorEastAsia" w:eastAsiaTheme="minorEastAsia" w:hAnsiTheme="minorEastAsia" w:hint="eastAsia"/>
        </w:rPr>
        <w:t>个月定开债券发起式、易方达中债</w:t>
      </w:r>
      <w:r w:rsidRPr="00565E0D">
        <w:rPr>
          <w:rFonts w:asciiTheme="minorEastAsia" w:eastAsiaTheme="minorEastAsia" w:hAnsiTheme="minorEastAsia"/>
        </w:rPr>
        <w:t>1-3</w:t>
      </w:r>
      <w:r w:rsidRPr="00565E0D">
        <w:rPr>
          <w:rFonts w:asciiTheme="minorEastAsia" w:eastAsiaTheme="minorEastAsia" w:hAnsiTheme="minorEastAsia" w:hint="eastAsia"/>
        </w:rPr>
        <w:t>年国开行债券指数、易方达中债</w:t>
      </w:r>
      <w:r w:rsidRPr="00565E0D">
        <w:rPr>
          <w:rFonts w:asciiTheme="minorEastAsia" w:eastAsiaTheme="minorEastAsia" w:hAnsiTheme="minorEastAsia"/>
        </w:rPr>
        <w:t>3-5</w:t>
      </w:r>
      <w:r w:rsidRPr="00565E0D">
        <w:rPr>
          <w:rFonts w:asciiTheme="minorEastAsia" w:eastAsiaTheme="minorEastAsia" w:hAnsiTheme="minorEastAsia" w:hint="eastAsia"/>
        </w:rPr>
        <w:t>年国开行债券指数、易方达中债</w:t>
      </w:r>
      <w:r w:rsidRPr="00565E0D">
        <w:rPr>
          <w:rFonts w:asciiTheme="minorEastAsia" w:eastAsiaTheme="minorEastAsia" w:hAnsiTheme="minorEastAsia"/>
        </w:rPr>
        <w:t>1-3</w:t>
      </w:r>
      <w:r w:rsidRPr="00565E0D">
        <w:rPr>
          <w:rFonts w:asciiTheme="minorEastAsia" w:eastAsiaTheme="minorEastAsia" w:hAnsiTheme="minorEastAsia" w:hint="eastAsia"/>
        </w:rPr>
        <w:t>年政金债指数、易方达中债</w:t>
      </w:r>
      <w:r w:rsidRPr="00565E0D">
        <w:rPr>
          <w:rFonts w:asciiTheme="minorEastAsia" w:eastAsiaTheme="minorEastAsia" w:hAnsiTheme="minorEastAsia"/>
        </w:rPr>
        <w:t>3-5</w:t>
      </w:r>
      <w:r w:rsidRPr="00565E0D">
        <w:rPr>
          <w:rFonts w:asciiTheme="minorEastAsia" w:eastAsiaTheme="minorEastAsia" w:hAnsiTheme="minorEastAsia" w:hint="eastAsia"/>
        </w:rPr>
        <w:t>年政金债指数、易方达上证</w:t>
      </w:r>
      <w:r w:rsidRPr="00565E0D">
        <w:rPr>
          <w:rFonts w:asciiTheme="minorEastAsia" w:eastAsiaTheme="minorEastAsia" w:hAnsiTheme="minorEastAsia"/>
        </w:rPr>
        <w:t>50ETF</w:t>
      </w:r>
      <w:r w:rsidRPr="00565E0D">
        <w:rPr>
          <w:rFonts w:asciiTheme="minorEastAsia" w:eastAsiaTheme="minorEastAsia" w:hAnsiTheme="minorEastAsia" w:hint="eastAsia"/>
        </w:rPr>
        <w:t>联接发起式、易方达恒兴</w:t>
      </w:r>
      <w:r w:rsidRPr="00565E0D">
        <w:rPr>
          <w:rFonts w:asciiTheme="minorEastAsia" w:eastAsiaTheme="minorEastAsia" w:hAnsiTheme="minorEastAsia"/>
        </w:rPr>
        <w:t>3</w:t>
      </w:r>
      <w:r w:rsidRPr="00565E0D">
        <w:rPr>
          <w:rFonts w:asciiTheme="minorEastAsia" w:eastAsiaTheme="minorEastAsia" w:hAnsiTheme="minorEastAsia" w:hint="eastAsia"/>
        </w:rPr>
        <w:t>个月定开债券发起式、易方达</w:t>
      </w:r>
      <w:r w:rsidRPr="00565E0D">
        <w:rPr>
          <w:rFonts w:asciiTheme="minorEastAsia" w:eastAsiaTheme="minorEastAsia" w:hAnsiTheme="minorEastAsia"/>
        </w:rPr>
        <w:t>ESG</w:t>
      </w:r>
      <w:r w:rsidRPr="00565E0D">
        <w:rPr>
          <w:rFonts w:asciiTheme="minorEastAsia" w:eastAsiaTheme="minorEastAsia" w:hAnsiTheme="minorEastAsia" w:hint="eastAsia"/>
        </w:rPr>
        <w:t>责任投资股票发起式、易方达中证</w:t>
      </w:r>
      <w:r w:rsidRPr="00565E0D">
        <w:rPr>
          <w:rFonts w:asciiTheme="minorEastAsia" w:eastAsiaTheme="minorEastAsia" w:hAnsiTheme="minorEastAsia"/>
        </w:rPr>
        <w:t>800ETF</w:t>
      </w:r>
      <w:r w:rsidRPr="00565E0D">
        <w:rPr>
          <w:rFonts w:asciiTheme="minorEastAsia" w:eastAsiaTheme="minorEastAsia" w:hAnsiTheme="minorEastAsia" w:hint="eastAsia"/>
        </w:rPr>
        <w:t>联接发起式、易方达恒盛</w:t>
      </w:r>
      <w:r w:rsidRPr="00565E0D">
        <w:rPr>
          <w:rFonts w:asciiTheme="minorEastAsia" w:eastAsiaTheme="minorEastAsia" w:hAnsiTheme="minorEastAsia"/>
        </w:rPr>
        <w:t>3</w:t>
      </w:r>
      <w:r w:rsidRPr="00565E0D">
        <w:rPr>
          <w:rFonts w:asciiTheme="minorEastAsia" w:eastAsiaTheme="minorEastAsia" w:hAnsiTheme="minorEastAsia" w:hint="eastAsia"/>
        </w:rPr>
        <w:t>个月定开混合发起式、易方达价值精选混合、易方达中小盘混合、易方达科汇灵活配置混合、易方达科翔混合、易方达行业领先混合、易方达增强回报债券、易方达深证</w:t>
      </w:r>
      <w:r w:rsidRPr="00565E0D">
        <w:rPr>
          <w:rFonts w:asciiTheme="minorEastAsia" w:eastAsiaTheme="minorEastAsia" w:hAnsiTheme="minorEastAsia"/>
        </w:rPr>
        <w:t>100ETF</w:t>
      </w:r>
      <w:r w:rsidRPr="00565E0D">
        <w:rPr>
          <w:rFonts w:asciiTheme="minorEastAsia" w:eastAsiaTheme="minorEastAsia" w:hAnsiTheme="minorEastAsia" w:hint="eastAsia"/>
        </w:rPr>
        <w:t>联接、易方达沪深</w:t>
      </w:r>
      <w:r w:rsidRPr="00565E0D">
        <w:rPr>
          <w:rFonts w:asciiTheme="minorEastAsia" w:eastAsiaTheme="minorEastAsia" w:hAnsiTheme="minorEastAsia"/>
        </w:rPr>
        <w:t>300ETF</w:t>
      </w:r>
      <w:r w:rsidRPr="00565E0D">
        <w:rPr>
          <w:rFonts w:asciiTheme="minorEastAsia" w:eastAsiaTheme="minorEastAsia" w:hAnsiTheme="minorEastAsia" w:hint="eastAsia"/>
        </w:rPr>
        <w:t>发起式联接、易方达上证中盘</w:t>
      </w:r>
      <w:r w:rsidRPr="00565E0D">
        <w:rPr>
          <w:rFonts w:asciiTheme="minorEastAsia" w:eastAsiaTheme="minorEastAsia" w:hAnsiTheme="minorEastAsia"/>
        </w:rPr>
        <w:t>ETF</w:t>
      </w:r>
      <w:r w:rsidRPr="00565E0D">
        <w:rPr>
          <w:rFonts w:asciiTheme="minorEastAsia" w:eastAsiaTheme="minorEastAsia" w:hAnsiTheme="minorEastAsia" w:hint="eastAsia"/>
        </w:rPr>
        <w:t>联接、易方达消费行业股票、易方达医疗保健行业混合、易方达资源行业混合、易方达创业板</w:t>
      </w:r>
      <w:r w:rsidRPr="00565E0D">
        <w:rPr>
          <w:rFonts w:asciiTheme="minorEastAsia" w:eastAsiaTheme="minorEastAsia" w:hAnsiTheme="minorEastAsia"/>
        </w:rPr>
        <w:t>ETF</w:t>
      </w:r>
      <w:r w:rsidRPr="00565E0D">
        <w:rPr>
          <w:rFonts w:asciiTheme="minorEastAsia" w:eastAsiaTheme="minorEastAsia" w:hAnsiTheme="minorEastAsia" w:hint="eastAsia"/>
        </w:rPr>
        <w:t>联接、易方达安心回报债券、易方达科讯混合、易方达沪深</w:t>
      </w:r>
      <w:r w:rsidRPr="00565E0D">
        <w:rPr>
          <w:rFonts w:asciiTheme="minorEastAsia" w:eastAsiaTheme="minorEastAsia" w:hAnsiTheme="minorEastAsia"/>
        </w:rPr>
        <w:t>300</w:t>
      </w:r>
      <w:r w:rsidRPr="00565E0D">
        <w:rPr>
          <w:rFonts w:asciiTheme="minorEastAsia" w:eastAsiaTheme="minorEastAsia" w:hAnsiTheme="minorEastAsia" w:hint="eastAsia"/>
        </w:rPr>
        <w:t>量化增强、易方达双债增强债券、易方达纯债债券、易方达月月利理财债券、易方达安源中短债债券、易方达策略成长二号混合</w:t>
      </w:r>
      <w:r w:rsidR="003C78BB" w:rsidRPr="00565E0D">
        <w:rPr>
          <w:rFonts w:asciiTheme="minorEastAsia" w:eastAsiaTheme="minorEastAsia" w:hAnsiTheme="minorEastAsia" w:hint="eastAsia"/>
        </w:rPr>
        <w:t>、易方达易理财货币、易方达中证国企一带一路ETF联接、易方达研究精选股票</w:t>
      </w:r>
      <w:r w:rsidRPr="00565E0D">
        <w:rPr>
          <w:rFonts w:asciiTheme="minorEastAsia" w:eastAsiaTheme="minorEastAsia" w:hAnsiTheme="minorEastAsia" w:hint="eastAsia"/>
        </w:rPr>
        <w:t>时，转入份额的计算结果保</w:t>
      </w:r>
      <w:r w:rsidRPr="00565E0D">
        <w:rPr>
          <w:rFonts w:asciiTheme="minorEastAsia" w:eastAsiaTheme="minorEastAsia" w:hAnsiTheme="minorEastAsia" w:hint="eastAsia"/>
        </w:rPr>
        <w:lastRenderedPageBreak/>
        <w:t>留到小数点后两位，小数点后两位以后的部分四舍五入，由此误差产生的损失由基金财产承担，产生的收益归基金财产所有。</w:t>
      </w:r>
    </w:p>
    <w:p w:rsidR="00C35BC5" w:rsidRPr="00565E0D" w:rsidRDefault="00C35BC5" w:rsidP="00B5132A">
      <w:pPr>
        <w:pStyle w:val="2"/>
        <w:snapToGrid w:val="0"/>
        <w:spacing w:beforeLines="0" w:afterLines="0" w:line="360" w:lineRule="auto"/>
        <w:ind w:firstLine="482"/>
        <w:rPr>
          <w:rFonts w:asciiTheme="minorEastAsia" w:eastAsiaTheme="minorEastAsia" w:hAnsiTheme="minorEastAsia"/>
          <w:sz w:val="24"/>
          <w:szCs w:val="24"/>
        </w:rPr>
      </w:pPr>
      <w:bookmarkStart w:id="55" w:name="_Toc181426113"/>
      <w:bookmarkStart w:id="56" w:name="_Toc181440915"/>
      <w:bookmarkStart w:id="57" w:name="_Toc181441055"/>
      <w:bookmarkStart w:id="58" w:name="_Toc181441192"/>
      <w:bookmarkStart w:id="59" w:name="_Toc181441326"/>
      <w:bookmarkStart w:id="60" w:name="_Toc181441460"/>
      <w:bookmarkStart w:id="61" w:name="_Toc181426114"/>
      <w:bookmarkStart w:id="62" w:name="_Toc181440916"/>
      <w:bookmarkStart w:id="63" w:name="_Toc181441056"/>
      <w:bookmarkStart w:id="64" w:name="_Toc181441193"/>
      <w:bookmarkStart w:id="65" w:name="_Toc181441327"/>
      <w:bookmarkStart w:id="66" w:name="_Toc181441461"/>
      <w:bookmarkStart w:id="67" w:name="_Toc181426115"/>
      <w:bookmarkStart w:id="68" w:name="_Toc181440917"/>
      <w:bookmarkStart w:id="69" w:name="_Toc181441057"/>
      <w:bookmarkStart w:id="70" w:name="_Toc181441194"/>
      <w:bookmarkStart w:id="71" w:name="_Toc181441328"/>
      <w:bookmarkStart w:id="72" w:name="_Toc181441462"/>
      <w:bookmarkStart w:id="73" w:name="_Toc144109264"/>
      <w:bookmarkStart w:id="74" w:name="_Toc174274382"/>
      <w:bookmarkStart w:id="75" w:name="_Toc38551197"/>
      <w:bookmarkStart w:id="76" w:name="_Toc86560070"/>
      <w:bookmarkStart w:id="77" w:name="_Toc86635162"/>
      <w:bookmarkStart w:id="78" w:name="_Toc91335002"/>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r w:rsidRPr="00565E0D">
        <w:rPr>
          <w:rFonts w:asciiTheme="minorEastAsia" w:eastAsiaTheme="minorEastAsia" w:hAnsiTheme="minorEastAsia" w:hint="eastAsia"/>
          <w:sz w:val="24"/>
          <w:szCs w:val="24"/>
        </w:rPr>
        <w:t>（七）基金转换的注册登记</w:t>
      </w:r>
      <w:bookmarkEnd w:id="73"/>
      <w:bookmarkEnd w:id="74"/>
      <w:bookmarkEnd w:id="75"/>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投资者T日申请基金转换成功后，注册登记机构将在T＋1工作日为投资者办理减少转出基金份额、增加转入基金份额的权益登记手续，一般情况下，投资者自T＋2工作日起有权赎回转入部分的基金份额。</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基金管理人可在法律法规允许的范围内，对上述注册登记办理时间进行调整，并最迟于开始实施前三个工作日予以公告。</w:t>
      </w:r>
    </w:p>
    <w:p w:rsidR="00C35BC5" w:rsidRPr="00565E0D" w:rsidRDefault="00C35BC5" w:rsidP="00B5132A">
      <w:pPr>
        <w:pStyle w:val="2"/>
        <w:snapToGrid w:val="0"/>
        <w:spacing w:beforeLines="0" w:afterLines="0" w:line="360" w:lineRule="auto"/>
        <w:ind w:firstLine="482"/>
        <w:rPr>
          <w:rFonts w:asciiTheme="minorEastAsia" w:eastAsiaTheme="minorEastAsia" w:hAnsiTheme="minorEastAsia"/>
          <w:sz w:val="24"/>
          <w:szCs w:val="24"/>
        </w:rPr>
      </w:pPr>
      <w:bookmarkStart w:id="79" w:name="_Toc144109265"/>
      <w:bookmarkStart w:id="80" w:name="_Toc174274383"/>
      <w:bookmarkStart w:id="81" w:name="_Toc38551198"/>
      <w:r w:rsidRPr="00565E0D">
        <w:rPr>
          <w:rFonts w:asciiTheme="minorEastAsia" w:eastAsiaTheme="minorEastAsia" w:hAnsiTheme="minorEastAsia" w:hint="eastAsia"/>
          <w:sz w:val="24"/>
          <w:szCs w:val="24"/>
        </w:rPr>
        <w:t>（八）基金转换</w:t>
      </w:r>
      <w:r w:rsidRPr="00565E0D">
        <w:rPr>
          <w:rFonts w:asciiTheme="minorEastAsia" w:eastAsiaTheme="minorEastAsia" w:hAnsiTheme="minorEastAsia"/>
          <w:sz w:val="24"/>
          <w:szCs w:val="24"/>
        </w:rPr>
        <w:t>与巨额赎回</w:t>
      </w:r>
      <w:bookmarkEnd w:id="79"/>
      <w:bookmarkEnd w:id="80"/>
      <w:bookmarkEnd w:id="81"/>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发生巨额赎回时，基金转出与基金赎回具有相同的优先级，基金管理人可根据基金资产组合情况，决定全额转出或部分转出，并且对于基金转出和基金赎回，将采取相同的比例确认（另有公告的除外）；在转出申请得到部分确认的情况下，未确认的转出申请将不予以顺延。</w:t>
      </w:r>
    </w:p>
    <w:p w:rsidR="00C35BC5" w:rsidRPr="00565E0D" w:rsidRDefault="00C35BC5" w:rsidP="00B5132A">
      <w:pPr>
        <w:pStyle w:val="2"/>
        <w:snapToGrid w:val="0"/>
        <w:spacing w:beforeLines="0" w:afterLines="0" w:line="360" w:lineRule="auto"/>
        <w:ind w:firstLine="482"/>
        <w:rPr>
          <w:rFonts w:asciiTheme="minorEastAsia" w:eastAsiaTheme="minorEastAsia" w:hAnsiTheme="minorEastAsia"/>
          <w:sz w:val="24"/>
          <w:szCs w:val="24"/>
        </w:rPr>
      </w:pPr>
      <w:bookmarkStart w:id="82" w:name="_Toc174274384"/>
      <w:bookmarkStart w:id="83" w:name="_Toc38551199"/>
      <w:r w:rsidRPr="00565E0D">
        <w:rPr>
          <w:rFonts w:asciiTheme="minorEastAsia" w:eastAsiaTheme="minorEastAsia" w:hAnsiTheme="minorEastAsia" w:hint="eastAsia"/>
          <w:sz w:val="24"/>
          <w:szCs w:val="24"/>
        </w:rPr>
        <w:t>（九）暂停基金转换的情形</w:t>
      </w:r>
      <w:bookmarkEnd w:id="82"/>
      <w:bookmarkEnd w:id="83"/>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出现下列情况之一时,基金管理人可以暂停接受基金份额持有人的基金转换申请：</w:t>
      </w:r>
    </w:p>
    <w:p w:rsidR="00C35BC5" w:rsidRPr="00565E0D" w:rsidRDefault="00552BE1" w:rsidP="00C9149F">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1、</w:t>
      </w:r>
      <w:r w:rsidR="00C35BC5" w:rsidRPr="00565E0D">
        <w:rPr>
          <w:rFonts w:asciiTheme="minorEastAsia" w:eastAsiaTheme="minorEastAsia" w:hAnsiTheme="minorEastAsia" w:hint="eastAsia"/>
        </w:rPr>
        <w:t>不可抗力的原因导致基金无法正常运作；</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2、</w:t>
      </w:r>
      <w:r w:rsidR="00C35BC5" w:rsidRPr="00565E0D">
        <w:rPr>
          <w:rFonts w:asciiTheme="minorEastAsia" w:eastAsiaTheme="minorEastAsia" w:hAnsiTheme="minorEastAsia" w:hint="eastAsia"/>
        </w:rPr>
        <w:t>证券交易场所在交易时间非正常停市，导致基金管理人无法计算当日基金资产净值；</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3、</w:t>
      </w:r>
      <w:r w:rsidR="00C35BC5" w:rsidRPr="00565E0D">
        <w:rPr>
          <w:rFonts w:asciiTheme="minorEastAsia" w:eastAsiaTheme="minorEastAsia" w:hAnsiTheme="minorEastAsia"/>
        </w:rPr>
        <w:t>因市场剧烈波动或其它原因而出现连续巨额赎回，</w:t>
      </w:r>
      <w:r w:rsidR="00C35BC5" w:rsidRPr="00565E0D">
        <w:rPr>
          <w:rFonts w:asciiTheme="minorEastAsia" w:eastAsiaTheme="minorEastAsia" w:hAnsiTheme="minorEastAsia" w:hint="eastAsia"/>
        </w:rPr>
        <w:t>基金管理人认为有必要暂停接受该基金份额的转出申请；</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4、</w:t>
      </w:r>
      <w:r w:rsidR="00C35BC5" w:rsidRPr="00565E0D">
        <w:rPr>
          <w:rFonts w:asciiTheme="minorEastAsia" w:eastAsiaTheme="minorEastAsia" w:hAnsiTheme="minorEastAsia"/>
        </w:rPr>
        <w:t>基金管理人认为会有损于现有基金份额持有人利益的某笔转入</w:t>
      </w:r>
      <w:r w:rsidR="00C35BC5" w:rsidRPr="00565E0D">
        <w:rPr>
          <w:rFonts w:asciiTheme="minorEastAsia" w:eastAsiaTheme="minorEastAsia" w:hAnsiTheme="minorEastAsia" w:hint="eastAsia"/>
        </w:rPr>
        <w:t>或</w:t>
      </w:r>
      <w:r w:rsidR="00C35BC5" w:rsidRPr="00565E0D">
        <w:rPr>
          <w:rFonts w:asciiTheme="minorEastAsia" w:eastAsiaTheme="minorEastAsia" w:hAnsiTheme="minorEastAsia"/>
        </w:rPr>
        <w:t>某笔转出；</w:t>
      </w:r>
    </w:p>
    <w:p w:rsidR="00C35BC5" w:rsidRPr="00565E0D" w:rsidRDefault="00552BE1" w:rsidP="00C9149F">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5、</w:t>
      </w:r>
      <w:r w:rsidR="00C35BC5" w:rsidRPr="00565E0D">
        <w:rPr>
          <w:rFonts w:asciiTheme="minorEastAsia" w:eastAsiaTheme="minorEastAsia" w:hAnsiTheme="minorEastAsia" w:hint="eastAsia"/>
        </w:rPr>
        <w:t>发生基金合同规定的暂停基金资产估值情况</w:t>
      </w:r>
      <w:r w:rsidR="00C35BC5" w:rsidRPr="00565E0D">
        <w:rPr>
          <w:rFonts w:asciiTheme="minorEastAsia" w:eastAsiaTheme="minorEastAsia" w:hAnsiTheme="minorEastAsia"/>
        </w:rPr>
        <w:t>；</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6、</w:t>
      </w:r>
      <w:r w:rsidR="00C35BC5" w:rsidRPr="00565E0D">
        <w:rPr>
          <w:rFonts w:asciiTheme="minorEastAsia" w:eastAsiaTheme="minorEastAsia" w:hAnsiTheme="minorEastAsia"/>
        </w:rPr>
        <w:t>基金资产规模过大，使基金管理人无法找到合适的投资品种，或可能对基金业绩产生负面影响，从而损害现有基金份额持有人的利益；</w:t>
      </w:r>
    </w:p>
    <w:p w:rsidR="00627417" w:rsidRPr="00565E0D" w:rsidRDefault="00552BE1" w:rsidP="00627417">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7、</w:t>
      </w:r>
      <w:r w:rsidR="00627417" w:rsidRPr="00565E0D">
        <w:rPr>
          <w:rFonts w:asciiTheme="minorEastAsia" w:eastAsiaTheme="minorEastAsia" w:hAnsiTheme="minorEastAsia" w:hint="eastAsia"/>
        </w:rPr>
        <w:t>基金管理人接受某笔或者某些</w:t>
      </w:r>
      <w:r w:rsidR="00CE0859" w:rsidRPr="00565E0D">
        <w:rPr>
          <w:rFonts w:asciiTheme="minorEastAsia" w:eastAsiaTheme="minorEastAsia" w:hAnsiTheme="minorEastAsia" w:hint="eastAsia"/>
        </w:rPr>
        <w:t>转换转入</w:t>
      </w:r>
      <w:r w:rsidR="00627417" w:rsidRPr="00565E0D">
        <w:rPr>
          <w:rFonts w:asciiTheme="minorEastAsia" w:eastAsiaTheme="minorEastAsia" w:hAnsiTheme="minorEastAsia" w:hint="eastAsia"/>
        </w:rPr>
        <w:t>申请有可能导致单一投资者持有基金份额的比例达到或者超过50%，或者变相规避50%集中度的情形时；</w:t>
      </w:r>
    </w:p>
    <w:p w:rsidR="00627417" w:rsidRPr="00565E0D" w:rsidRDefault="00627417" w:rsidP="00627417">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rPr>
        <w:t>8、</w:t>
      </w:r>
      <w:r w:rsidRPr="00565E0D">
        <w:rPr>
          <w:rFonts w:asciiTheme="minorEastAsia" w:eastAsiaTheme="minorEastAsia" w:hAnsiTheme="minorEastAsia" w:hint="eastAsia"/>
        </w:rPr>
        <w:t>当一笔新的</w:t>
      </w:r>
      <w:r w:rsidR="00CE0859" w:rsidRPr="00565E0D">
        <w:rPr>
          <w:rFonts w:asciiTheme="minorEastAsia" w:eastAsiaTheme="minorEastAsia" w:hAnsiTheme="minorEastAsia" w:hint="eastAsia"/>
        </w:rPr>
        <w:t>转换转入</w:t>
      </w:r>
      <w:r w:rsidRPr="00565E0D">
        <w:rPr>
          <w:rFonts w:asciiTheme="minorEastAsia" w:eastAsiaTheme="minorEastAsia" w:hAnsiTheme="minorEastAsia" w:hint="eastAsia"/>
        </w:rPr>
        <w:t>申请被确认成功，使本基金总规模超过基金管理人规定的本基金总规模上限时；或使本基金单日申购金额或净申购比例超过基金管理人规定的当日申购金额或净申购比例上限时；或该投资人累计持有的份额超过单个投资人累计持有的份额上限时；或该投资人当日申购金额超过单个投资人单日或单笔申购金额上限时；</w:t>
      </w:r>
    </w:p>
    <w:p w:rsidR="00627417" w:rsidRPr="00565E0D" w:rsidRDefault="00627417" w:rsidP="00627417">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rPr>
        <w:t>9、</w:t>
      </w:r>
      <w:r w:rsidRPr="00565E0D">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当前一估值日基金资产净值50%以上的资产出现无可参考的活跃市场价格且采用估值技术仍导致公允价值存在重大不确定性时，经与基金托管人协商确认后，基金管理人应当采取暂停接受基金</w:t>
      </w:r>
      <w:r w:rsidR="00CE0859" w:rsidRPr="00565E0D">
        <w:rPr>
          <w:rFonts w:asciiTheme="minorEastAsia" w:eastAsiaTheme="minorEastAsia" w:hAnsiTheme="minorEastAsia" w:hint="eastAsia"/>
        </w:rPr>
        <w:t>转换</w:t>
      </w:r>
      <w:r w:rsidRPr="00565E0D">
        <w:rPr>
          <w:rFonts w:asciiTheme="minorEastAsia" w:eastAsiaTheme="minorEastAsia" w:hAnsiTheme="minorEastAsia" w:hint="eastAsia"/>
        </w:rPr>
        <w:t>申请的措施。</w:t>
      </w:r>
    </w:p>
    <w:p w:rsidR="00C35BC5" w:rsidRPr="00565E0D" w:rsidRDefault="00627417"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rPr>
        <w:t>10、</w:t>
      </w:r>
      <w:r w:rsidR="00C35BC5" w:rsidRPr="00565E0D">
        <w:rPr>
          <w:rFonts w:asciiTheme="minorEastAsia" w:eastAsiaTheme="minorEastAsia" w:hAnsiTheme="minorEastAsia" w:hint="eastAsia"/>
        </w:rPr>
        <w:t>法律法规规定或经中国证监会认定的其他情形。</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发生基金合同或《招募说明书》中未予载明的事项，但基金管理人有正当理由认为需要</w:t>
      </w:r>
      <w:r w:rsidRPr="00565E0D">
        <w:rPr>
          <w:rFonts w:asciiTheme="minorEastAsia" w:eastAsiaTheme="minorEastAsia" w:hAnsiTheme="minorEastAsia" w:hint="eastAsia"/>
        </w:rPr>
        <w:lastRenderedPageBreak/>
        <w:t>暂停接受基金转换申请的，应当报经中国证监会批准。</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rPr>
        <w:t>基金暂停转换或暂停后重新开放转换时，基金管理人应在</w:t>
      </w:r>
      <w:r w:rsidR="00C53A0E" w:rsidRPr="00565E0D">
        <w:rPr>
          <w:rFonts w:asciiTheme="minorEastAsia" w:eastAsiaTheme="minorEastAsia" w:hAnsiTheme="minorEastAsia" w:hint="eastAsia"/>
        </w:rPr>
        <w:t>指定媒介</w:t>
      </w:r>
      <w:r w:rsidRPr="00565E0D">
        <w:rPr>
          <w:rFonts w:asciiTheme="minorEastAsia" w:eastAsiaTheme="minorEastAsia" w:hAnsiTheme="minorEastAsia"/>
        </w:rPr>
        <w:t>上公告。</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pPr>
      <w:bookmarkStart w:id="84" w:name="_Toc38551200"/>
      <w:r w:rsidRPr="00565E0D">
        <w:rPr>
          <w:rFonts w:asciiTheme="minorEastAsia" w:eastAsiaTheme="minorEastAsia" w:hAnsiTheme="minorEastAsia" w:hint="eastAsia"/>
          <w:b/>
          <w:bCs/>
        </w:rPr>
        <w:lastRenderedPageBreak/>
        <w:t>十、基金的非交易过户、转托管、冻结与质押</w:t>
      </w:r>
      <w:bookmarkEnd w:id="76"/>
      <w:bookmarkEnd w:id="77"/>
      <w:bookmarkEnd w:id="78"/>
      <w:bookmarkEnd w:id="84"/>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szCs w:val="21"/>
        </w:rPr>
        <w:t>（</w:t>
      </w:r>
      <w:r w:rsidRPr="00565E0D">
        <w:rPr>
          <w:rFonts w:asciiTheme="minorEastAsia" w:eastAsiaTheme="minorEastAsia" w:hAnsiTheme="minorEastAsia" w:hint="eastAsia"/>
        </w:rPr>
        <w:t>一）</w:t>
      </w:r>
      <w:r w:rsidRPr="00565E0D">
        <w:rPr>
          <w:rFonts w:asciiTheme="minorEastAsia" w:eastAsiaTheme="minorEastAsia" w:hAnsiTheme="minorEastAsia" w:hint="eastAsia"/>
        </w:rPr>
        <w:tab/>
      </w:r>
      <w:r w:rsidRPr="00565E0D">
        <w:rPr>
          <w:rFonts w:asciiTheme="minorEastAsia" w:eastAsiaTheme="minorEastAsia" w:hAnsiTheme="minorEastAsia"/>
        </w:rPr>
        <w:t>非交易过户是指不采用申购、赎回等基金交易方式，将一定数量的基金份额按照一定规则从某一投资者基金账户转移到另一投资者基金账户的行为</w:t>
      </w:r>
      <w:r w:rsidRPr="00565E0D">
        <w:rPr>
          <w:rFonts w:asciiTheme="minorEastAsia" w:eastAsiaTheme="minorEastAsia" w:hAnsiTheme="minorEastAsia" w:hint="eastAsia"/>
        </w:rPr>
        <w:t>，包括</w:t>
      </w:r>
      <w:r w:rsidRPr="00565E0D">
        <w:rPr>
          <w:rFonts w:asciiTheme="minorEastAsia" w:eastAsiaTheme="minorEastAsia" w:hAnsiTheme="minorEastAsia"/>
        </w:rPr>
        <w:t>继承、捐赠、</w:t>
      </w:r>
      <w:r w:rsidRPr="00565E0D">
        <w:rPr>
          <w:rFonts w:asciiTheme="minorEastAsia" w:eastAsiaTheme="minorEastAsia" w:hAnsiTheme="minorEastAsia" w:hint="eastAsia"/>
        </w:rPr>
        <w:t>强制</w:t>
      </w:r>
      <w:r w:rsidRPr="00565E0D">
        <w:rPr>
          <w:rFonts w:asciiTheme="minorEastAsia" w:eastAsiaTheme="minorEastAsia" w:hAnsiTheme="minorEastAsia"/>
        </w:rPr>
        <w:t>执行</w:t>
      </w:r>
      <w:r w:rsidRPr="00565E0D">
        <w:rPr>
          <w:rFonts w:asciiTheme="minorEastAsia" w:eastAsiaTheme="minorEastAsia" w:hAnsiTheme="minorEastAsia" w:hint="eastAsia"/>
        </w:rPr>
        <w:t>及基金注册登记机构认可的其它情况下的非交易过户</w:t>
      </w:r>
      <w:r w:rsidRPr="00565E0D">
        <w:rPr>
          <w:rFonts w:asciiTheme="minorEastAsia" w:eastAsiaTheme="minorEastAsia" w:hAnsiTheme="minorEastAsia"/>
        </w:rPr>
        <w:t>。</w:t>
      </w:r>
      <w:r w:rsidRPr="00565E0D">
        <w:rPr>
          <w:rFonts w:asciiTheme="minorEastAsia" w:eastAsiaTheme="minorEastAsia" w:hAnsiTheme="minorEastAsia" w:hint="eastAsia"/>
          <w:szCs w:val="21"/>
        </w:rPr>
        <w:t>无论在上述何种情况下，接受划转的主体应符合相关法律法规和基金合同规定的持有本基金份额的投资者的条件。</w:t>
      </w:r>
      <w:r w:rsidRPr="00565E0D">
        <w:rPr>
          <w:rFonts w:asciiTheme="minorEastAsia" w:eastAsiaTheme="minorEastAsia" w:hAnsiTheme="minorEastAsia" w:hint="eastAsia"/>
        </w:rPr>
        <w:t>其中：</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“继承”是指基金份额持有人死亡，其持有的基金份额由其合法的继承人或受遗赠人继承；</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“捐赠”仅指基金份额持有人将其合法持有的基金份额捐赠给福利性质的基金会或社会团体；</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“强制执行”是指国家有权机关依据生效的法律文书将基金份额持有人持有的基金份额强制执行划转给其他自然人、法人、社会团体或其他组织。</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（二）</w:t>
      </w:r>
      <w:r w:rsidRPr="00565E0D">
        <w:rPr>
          <w:rFonts w:asciiTheme="minorEastAsia" w:eastAsiaTheme="minorEastAsia" w:hAnsiTheme="minorEastAsia" w:hint="eastAsia"/>
        </w:rPr>
        <w:tab/>
      </w:r>
      <w:r w:rsidRPr="00565E0D">
        <w:rPr>
          <w:rFonts w:asciiTheme="minorEastAsia" w:eastAsiaTheme="minorEastAsia" w:hAnsiTheme="minorEastAsia" w:hint="eastAsia"/>
          <w:szCs w:val="21"/>
        </w:rPr>
        <w:t>办理非交易过户业务必须提供基金注册登</w:t>
      </w:r>
      <w:r w:rsidRPr="00565E0D">
        <w:rPr>
          <w:rFonts w:asciiTheme="minorEastAsia" w:eastAsiaTheme="minorEastAsia" w:hAnsiTheme="minorEastAsia" w:hint="eastAsia"/>
        </w:rPr>
        <w:t>记机构规定的相关资料，其中，</w:t>
      </w:r>
      <w:r w:rsidRPr="00565E0D">
        <w:rPr>
          <w:rFonts w:asciiTheme="minorEastAsia" w:eastAsiaTheme="minorEastAsia" w:hAnsiTheme="minorEastAsia"/>
        </w:rPr>
        <w:t>因继承、捐赠原因</w:t>
      </w:r>
      <w:r w:rsidRPr="00565E0D">
        <w:rPr>
          <w:rFonts w:asciiTheme="minorEastAsia" w:eastAsiaTheme="minorEastAsia" w:hAnsiTheme="minorEastAsia" w:hint="eastAsia"/>
        </w:rPr>
        <w:t>导致的非交易过户向基金销售网点申请办理，</w:t>
      </w:r>
      <w:r w:rsidRPr="00565E0D">
        <w:rPr>
          <w:rFonts w:asciiTheme="minorEastAsia" w:eastAsiaTheme="minorEastAsia" w:hAnsiTheme="minorEastAsia"/>
        </w:rPr>
        <w:t>因</w:t>
      </w:r>
      <w:r w:rsidRPr="00565E0D">
        <w:rPr>
          <w:rFonts w:asciiTheme="minorEastAsia" w:eastAsiaTheme="minorEastAsia" w:hAnsiTheme="minorEastAsia" w:hint="eastAsia"/>
        </w:rPr>
        <w:t>强制</w:t>
      </w:r>
      <w:r w:rsidRPr="00565E0D">
        <w:rPr>
          <w:rFonts w:asciiTheme="minorEastAsia" w:eastAsiaTheme="minorEastAsia" w:hAnsiTheme="minorEastAsia"/>
        </w:rPr>
        <w:t>执行原因</w:t>
      </w:r>
      <w:r w:rsidRPr="00565E0D">
        <w:rPr>
          <w:rFonts w:asciiTheme="minorEastAsia" w:eastAsiaTheme="minorEastAsia" w:hAnsiTheme="minorEastAsia" w:hint="eastAsia"/>
        </w:rPr>
        <w:t>导致的非交易过户直接向基金注册登记机构统一申请办理。</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（三）</w:t>
      </w:r>
      <w:r w:rsidRPr="00565E0D">
        <w:rPr>
          <w:rFonts w:asciiTheme="minorEastAsia" w:eastAsiaTheme="minorEastAsia" w:hAnsiTheme="minorEastAsia" w:hint="eastAsia"/>
        </w:rPr>
        <w:tab/>
        <w:t>符合条件的非交易过户申请自申请受理日起，两个月内办理；申请人按基金注册登记机构规定的标准缴纳过户费用。</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（四）基金份额持有人可以办理其基金份额在不同销售机构的转托管手续，转托管业务由各销售机构负责受理。</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（五）</w:t>
      </w:r>
      <w:r w:rsidRPr="00565E0D">
        <w:rPr>
          <w:rFonts w:asciiTheme="minorEastAsia" w:eastAsiaTheme="minorEastAsia" w:hAnsiTheme="minorEastAsia" w:hint="eastAsia"/>
        </w:rPr>
        <w:tab/>
        <w:t>基金注册登记机构只受理国家有权机关依法要求的基金账户或基金份额的冻结与解冻。基金</w:t>
      </w:r>
      <w:r w:rsidR="00AC798E" w:rsidRPr="00565E0D">
        <w:rPr>
          <w:rFonts w:asciiTheme="minorEastAsia" w:eastAsiaTheme="minorEastAsia" w:hAnsiTheme="minorEastAsia" w:hint="eastAsia"/>
        </w:rPr>
        <w:t>账户</w:t>
      </w:r>
      <w:r w:rsidRPr="00565E0D">
        <w:rPr>
          <w:rFonts w:asciiTheme="minorEastAsia" w:eastAsiaTheme="minorEastAsia" w:hAnsiTheme="minorEastAsia" w:hint="eastAsia"/>
        </w:rPr>
        <w:t>或基金份额被冻结的，被冻结部分产生的权益（包括现金分红和红利再投资）一并冻结。</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（六）根据相关法律法规的规定，基金管理人将可以办理基金份额的质押业务或其他基金业务，并制定和实施相应的业务规则。</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bookmarkStart w:id="85" w:name="_Toc52310853"/>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pPr>
      <w:bookmarkStart w:id="86" w:name="_Toc38551201"/>
      <w:r w:rsidRPr="00565E0D">
        <w:rPr>
          <w:rFonts w:asciiTheme="minorEastAsia" w:eastAsiaTheme="minorEastAsia" w:hAnsiTheme="minorEastAsia" w:hint="eastAsia"/>
          <w:b/>
          <w:bCs/>
        </w:rPr>
        <w:lastRenderedPageBreak/>
        <w:t>十一、基金的投资</w:t>
      </w:r>
      <w:bookmarkEnd w:id="86"/>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87" w:name="_Toc52310848"/>
      <w:bookmarkStart w:id="88" w:name="_Toc64861723"/>
      <w:bookmarkStart w:id="89" w:name="_Toc38551202"/>
      <w:r w:rsidRPr="00565E0D">
        <w:rPr>
          <w:rFonts w:asciiTheme="minorEastAsia" w:eastAsiaTheme="minorEastAsia" w:hAnsiTheme="minorEastAsia" w:hint="eastAsia"/>
          <w:b w:val="0"/>
        </w:rPr>
        <w:t>（一）投资目标</w:t>
      </w:r>
      <w:bookmarkEnd w:id="87"/>
      <w:bookmarkEnd w:id="88"/>
      <w:bookmarkEnd w:id="89"/>
    </w:p>
    <w:p w:rsidR="00C35BC5" w:rsidRPr="00565E0D" w:rsidRDefault="00C35BC5" w:rsidP="00552BE1">
      <w:pPr>
        <w:pStyle w:val="af0"/>
        <w:snapToGrid w:val="0"/>
        <w:spacing w:line="360" w:lineRule="auto"/>
        <w:ind w:firstLineChars="200"/>
        <w:rPr>
          <w:rFonts w:asciiTheme="minorEastAsia" w:eastAsiaTheme="minorEastAsia" w:hAnsiTheme="minorEastAsia"/>
          <w:szCs w:val="24"/>
        </w:rPr>
      </w:pPr>
      <w:r w:rsidRPr="00565E0D">
        <w:rPr>
          <w:rFonts w:asciiTheme="minorEastAsia" w:eastAsiaTheme="minorEastAsia" w:hAnsiTheme="minorEastAsia" w:hint="eastAsia"/>
        </w:rPr>
        <w:t>通过主动的资产配置以及对成长价值风格突出的股票进行投资，追求基金资产的长期稳健增值。</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90" w:name="_Toc52310849"/>
      <w:bookmarkStart w:id="91" w:name="_Toc64861724"/>
      <w:bookmarkStart w:id="92" w:name="_Toc38551203"/>
      <w:r w:rsidRPr="00565E0D">
        <w:rPr>
          <w:rFonts w:asciiTheme="minorEastAsia" w:eastAsiaTheme="minorEastAsia" w:hAnsiTheme="minorEastAsia" w:hint="eastAsia"/>
          <w:b w:val="0"/>
        </w:rPr>
        <w:t>（</w:t>
      </w:r>
      <w:r w:rsidRPr="00565E0D">
        <w:rPr>
          <w:rFonts w:asciiTheme="minorEastAsia" w:eastAsiaTheme="minorEastAsia" w:hAnsiTheme="minorEastAsia" w:hint="eastAsia"/>
          <w:b w:val="0"/>
          <w:bCs/>
        </w:rPr>
        <w:t>二</w:t>
      </w:r>
      <w:r w:rsidRPr="00565E0D">
        <w:rPr>
          <w:rFonts w:asciiTheme="minorEastAsia" w:eastAsiaTheme="minorEastAsia" w:hAnsiTheme="minorEastAsia" w:hint="eastAsia"/>
          <w:b w:val="0"/>
        </w:rPr>
        <w:t>）</w:t>
      </w:r>
      <w:r w:rsidRPr="00565E0D">
        <w:rPr>
          <w:rFonts w:asciiTheme="minorEastAsia" w:eastAsiaTheme="minorEastAsia" w:hAnsiTheme="minorEastAsia" w:hint="eastAsia"/>
          <w:b w:val="0"/>
          <w:bCs/>
        </w:rPr>
        <w:t>投资范围</w:t>
      </w:r>
      <w:bookmarkEnd w:id="90"/>
      <w:bookmarkEnd w:id="91"/>
      <w:bookmarkEnd w:id="92"/>
    </w:p>
    <w:p w:rsidR="00C35BC5" w:rsidRPr="00565E0D" w:rsidRDefault="00C35BC5" w:rsidP="00552BE1">
      <w:pPr>
        <w:snapToGrid w:val="0"/>
        <w:spacing w:line="360" w:lineRule="auto"/>
        <w:ind w:firstLine="420"/>
        <w:rPr>
          <w:rFonts w:asciiTheme="minorEastAsia" w:eastAsiaTheme="minorEastAsia" w:hAnsiTheme="minorEastAsia"/>
        </w:rPr>
      </w:pPr>
      <w:bookmarkStart w:id="93" w:name="_Toc52310850"/>
      <w:bookmarkStart w:id="94" w:name="_Toc64861725"/>
      <w:r w:rsidRPr="00565E0D">
        <w:rPr>
          <w:rFonts w:asciiTheme="minorEastAsia" w:eastAsiaTheme="minorEastAsia" w:hAnsiTheme="minorEastAsia" w:hint="eastAsia"/>
        </w:rPr>
        <w:t>本基金的投资范围为具有良好流动性的金融工具，包括国内依法发行上市的股票、债券、现金、短期金融工具、权证及法律法规或中国证监会允许基金投资的其他金融工具。如法律法规或监管机构以后允许基金投资其它品种，基金管理人在履行适当程序后，可以将其纳入投资范围。</w:t>
      </w:r>
    </w:p>
    <w:p w:rsidR="00C35BC5" w:rsidRPr="00565E0D" w:rsidRDefault="00C35BC5" w:rsidP="00552BE1">
      <w:pPr>
        <w:snapToGrid w:val="0"/>
        <w:spacing w:line="360" w:lineRule="auto"/>
        <w:ind w:firstLine="482"/>
        <w:rPr>
          <w:rStyle w:val="da"/>
          <w:rFonts w:asciiTheme="minorEastAsia" w:eastAsiaTheme="minorEastAsia" w:hAnsiTheme="minorEastAsia"/>
        </w:rPr>
      </w:pPr>
      <w:r w:rsidRPr="00565E0D">
        <w:rPr>
          <w:rFonts w:asciiTheme="minorEastAsia" w:eastAsiaTheme="minorEastAsia" w:hAnsiTheme="minorEastAsia" w:hint="eastAsia"/>
        </w:rPr>
        <w:t>基金的投资组合比例为：股票资产占基金资产的40</w:t>
      </w:r>
      <w:r w:rsidRPr="00565E0D">
        <w:rPr>
          <w:rFonts w:asciiTheme="minorEastAsia" w:eastAsiaTheme="minorEastAsia" w:hAnsiTheme="minorEastAsia"/>
        </w:rPr>
        <w:t>%</w:t>
      </w:r>
      <w:r w:rsidRPr="00565E0D">
        <w:rPr>
          <w:rFonts w:asciiTheme="minorEastAsia" w:eastAsiaTheme="minorEastAsia" w:hAnsiTheme="minorEastAsia" w:hint="eastAsia"/>
        </w:rPr>
        <w:t>—</w:t>
      </w:r>
      <w:r w:rsidRPr="00565E0D">
        <w:rPr>
          <w:rFonts w:asciiTheme="minorEastAsia" w:eastAsiaTheme="minorEastAsia" w:hAnsiTheme="minorEastAsia"/>
        </w:rPr>
        <w:t>95%</w:t>
      </w:r>
      <w:r w:rsidRPr="00565E0D">
        <w:rPr>
          <w:rFonts w:asciiTheme="minorEastAsia" w:eastAsiaTheme="minorEastAsia" w:hAnsiTheme="minorEastAsia" w:hint="eastAsia"/>
        </w:rPr>
        <w:t>；现金、债券资产、权证以及中国证监会允许基金投资的其他证券品种占基金资产的5</w:t>
      </w:r>
      <w:r w:rsidRPr="00565E0D">
        <w:rPr>
          <w:rFonts w:asciiTheme="minorEastAsia" w:eastAsiaTheme="minorEastAsia" w:hAnsiTheme="minorEastAsia"/>
        </w:rPr>
        <w:t>%-</w:t>
      </w:r>
      <w:r w:rsidRPr="00565E0D">
        <w:rPr>
          <w:rFonts w:asciiTheme="minorEastAsia" w:eastAsiaTheme="minorEastAsia" w:hAnsiTheme="minorEastAsia" w:hint="eastAsia"/>
        </w:rPr>
        <w:t>60</w:t>
      </w:r>
      <w:r w:rsidRPr="00565E0D">
        <w:rPr>
          <w:rFonts w:asciiTheme="minorEastAsia" w:eastAsiaTheme="minorEastAsia" w:hAnsiTheme="minorEastAsia"/>
        </w:rPr>
        <w:t>%</w:t>
      </w:r>
      <w:r w:rsidRPr="00565E0D">
        <w:rPr>
          <w:rFonts w:asciiTheme="minorEastAsia" w:eastAsiaTheme="minorEastAsia" w:hAnsiTheme="minorEastAsia" w:hint="eastAsia"/>
        </w:rPr>
        <w:t>，其中，基金持有全部股改权证的市值不得超过基金资产净值的3%，基金保留的现金以及投资于到期日在一年以内的政府债券的比例合计不低于基金资产净值的</w:t>
      </w:r>
      <w:r w:rsidRPr="00565E0D">
        <w:rPr>
          <w:rFonts w:asciiTheme="minorEastAsia" w:eastAsiaTheme="minorEastAsia" w:hAnsiTheme="minorEastAsia"/>
        </w:rPr>
        <w:t>5%</w:t>
      </w:r>
      <w:r w:rsidR="000E5ECA" w:rsidRPr="00565E0D">
        <w:rPr>
          <w:rFonts w:asciiTheme="minorEastAsia" w:eastAsiaTheme="minorEastAsia" w:hAnsiTheme="minorEastAsia" w:hint="eastAsia"/>
        </w:rPr>
        <w:t>，现金不包括结算备付金、存出保证金、应收申购款等</w:t>
      </w:r>
      <w:r w:rsidRPr="00565E0D">
        <w:rPr>
          <w:rFonts w:asciiTheme="minorEastAsia" w:eastAsiaTheme="minorEastAsia" w:hAnsiTheme="minorEastAsia" w:hint="eastAsia"/>
        </w:rPr>
        <w:t>。</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95" w:name="_Toc38551204"/>
      <w:r w:rsidRPr="00565E0D">
        <w:rPr>
          <w:rFonts w:asciiTheme="minorEastAsia" w:eastAsiaTheme="minorEastAsia" w:hAnsiTheme="minorEastAsia" w:hint="eastAsia"/>
          <w:b w:val="0"/>
          <w:bCs/>
        </w:rPr>
        <w:t>（三）投资理念</w:t>
      </w:r>
      <w:bookmarkEnd w:id="93"/>
      <w:bookmarkEnd w:id="94"/>
      <w:bookmarkEnd w:id="95"/>
    </w:p>
    <w:p w:rsidR="00C35BC5" w:rsidRPr="00565E0D" w:rsidRDefault="00C35BC5" w:rsidP="00552BE1">
      <w:pPr>
        <w:pStyle w:val="ad"/>
        <w:snapToGrid w:val="0"/>
        <w:spacing w:after="0" w:line="360" w:lineRule="auto"/>
        <w:ind w:firstLineChars="200"/>
        <w:rPr>
          <w:rFonts w:asciiTheme="minorEastAsia" w:eastAsiaTheme="minorEastAsia" w:hAnsiTheme="minorEastAsia"/>
        </w:rPr>
      </w:pPr>
      <w:bookmarkStart w:id="96" w:name="_Toc52310851"/>
      <w:bookmarkStart w:id="97" w:name="_Toc64861726"/>
      <w:r w:rsidRPr="00565E0D">
        <w:rPr>
          <w:rFonts w:asciiTheme="minorEastAsia" w:eastAsiaTheme="minorEastAsia" w:hAnsiTheme="minorEastAsia" w:hint="eastAsia"/>
        </w:rPr>
        <w:t>市场失效往往出现在具有突出成长性和突出价值性的股票中，对处于两端的股票进行投资可获得更佳回报。在不同的市场环境下，成长股和价值股的相对表现存在周期性特征，将资产在成长股和价值股上进行相对均衡配置，可以在降低组合风险的同时，提高组合的收益水平。对上市公司的基本面进行深入研究仍是取得超额收益的基础。</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98" w:name="_Toc38551205"/>
      <w:r w:rsidRPr="00565E0D">
        <w:rPr>
          <w:rFonts w:asciiTheme="minorEastAsia" w:eastAsiaTheme="minorEastAsia" w:hAnsiTheme="minorEastAsia" w:hint="eastAsia"/>
          <w:b w:val="0"/>
          <w:bCs/>
        </w:rPr>
        <w:t>（四）投资策略</w:t>
      </w:r>
      <w:bookmarkEnd w:id="98"/>
    </w:p>
    <w:p w:rsidR="00C35BC5" w:rsidRPr="00565E0D" w:rsidRDefault="00552BE1" w:rsidP="00552BE1">
      <w:pPr>
        <w:snapToGrid w:val="0"/>
        <w:spacing w:line="360" w:lineRule="auto"/>
        <w:ind w:firstLineChars="200" w:firstLine="422"/>
        <w:rPr>
          <w:rFonts w:asciiTheme="minorEastAsia" w:eastAsiaTheme="minorEastAsia" w:hAnsiTheme="minorEastAsia"/>
          <w:b/>
        </w:rPr>
      </w:pPr>
      <w:bookmarkStart w:id="99" w:name="_Toc44900772"/>
      <w:bookmarkStart w:id="100" w:name="_Toc52616499"/>
      <w:r w:rsidRPr="00565E0D">
        <w:rPr>
          <w:rFonts w:asciiTheme="minorEastAsia" w:eastAsiaTheme="minorEastAsia" w:hAnsiTheme="minorEastAsia" w:hint="eastAsia"/>
          <w:b/>
        </w:rPr>
        <w:t>1、</w:t>
      </w:r>
      <w:r w:rsidR="00C35BC5" w:rsidRPr="00565E0D">
        <w:rPr>
          <w:rFonts w:asciiTheme="minorEastAsia" w:eastAsiaTheme="minorEastAsia" w:hAnsiTheme="minorEastAsia" w:hint="eastAsia"/>
          <w:b/>
        </w:rPr>
        <w:t>资产配置策略</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本基金为混合型基金，基金的资产配置比例范围为：股票资产占基金资产的40</w:t>
      </w:r>
      <w:r w:rsidRPr="00565E0D">
        <w:rPr>
          <w:rFonts w:asciiTheme="minorEastAsia" w:eastAsiaTheme="minorEastAsia" w:hAnsiTheme="minorEastAsia"/>
        </w:rPr>
        <w:t>%</w:t>
      </w:r>
      <w:r w:rsidRPr="00565E0D">
        <w:rPr>
          <w:rFonts w:asciiTheme="minorEastAsia" w:eastAsiaTheme="minorEastAsia" w:hAnsiTheme="minorEastAsia" w:hint="eastAsia"/>
        </w:rPr>
        <w:t>—</w:t>
      </w:r>
      <w:r w:rsidRPr="00565E0D">
        <w:rPr>
          <w:rFonts w:asciiTheme="minorEastAsia" w:eastAsiaTheme="minorEastAsia" w:hAnsiTheme="minorEastAsia"/>
        </w:rPr>
        <w:t>95%</w:t>
      </w:r>
      <w:r w:rsidRPr="00565E0D">
        <w:rPr>
          <w:rFonts w:asciiTheme="minorEastAsia" w:eastAsiaTheme="minorEastAsia" w:hAnsiTheme="minorEastAsia" w:hint="eastAsia"/>
        </w:rPr>
        <w:t>；现金、债券资产、权证以及中国证监会允许基金投资的其他证券品种占基金资产的5</w:t>
      </w:r>
      <w:r w:rsidRPr="00565E0D">
        <w:rPr>
          <w:rFonts w:asciiTheme="minorEastAsia" w:eastAsiaTheme="minorEastAsia" w:hAnsiTheme="minorEastAsia"/>
        </w:rPr>
        <w:t>%-</w:t>
      </w:r>
      <w:r w:rsidRPr="00565E0D">
        <w:rPr>
          <w:rFonts w:asciiTheme="minorEastAsia" w:eastAsiaTheme="minorEastAsia" w:hAnsiTheme="minorEastAsia" w:hint="eastAsia"/>
        </w:rPr>
        <w:t>60</w:t>
      </w:r>
      <w:r w:rsidRPr="00565E0D">
        <w:rPr>
          <w:rFonts w:asciiTheme="minorEastAsia" w:eastAsiaTheme="minorEastAsia" w:hAnsiTheme="minorEastAsia"/>
        </w:rPr>
        <w:t>%</w:t>
      </w:r>
      <w:r w:rsidRPr="00565E0D">
        <w:rPr>
          <w:rFonts w:asciiTheme="minorEastAsia" w:eastAsiaTheme="minorEastAsia" w:hAnsiTheme="minorEastAsia" w:hint="eastAsia"/>
        </w:rPr>
        <w:t>，其中，基金持有全部股改权证的市值不得超过基金资产净值的3%，基金保留的现金以及投资于到期日在一年以内的政府债券的比例合计不低于基金资产净值的</w:t>
      </w:r>
      <w:r w:rsidRPr="00565E0D">
        <w:rPr>
          <w:rFonts w:asciiTheme="minorEastAsia" w:eastAsiaTheme="minorEastAsia" w:hAnsiTheme="minorEastAsia"/>
        </w:rPr>
        <w:t>5%</w:t>
      </w:r>
      <w:r w:rsidR="000E5ECA" w:rsidRPr="00565E0D">
        <w:rPr>
          <w:rFonts w:asciiTheme="minorEastAsia" w:eastAsiaTheme="minorEastAsia" w:hAnsiTheme="minorEastAsia" w:hint="eastAsia"/>
        </w:rPr>
        <w:t>，现金不包括结算备付金、存出保证金、应收申购款等</w:t>
      </w:r>
      <w:r w:rsidRPr="00565E0D">
        <w:rPr>
          <w:rFonts w:asciiTheme="minorEastAsia" w:eastAsiaTheme="minorEastAsia" w:hAnsiTheme="minorEastAsia" w:hint="eastAsia"/>
        </w:rPr>
        <w:t>。</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在以上战略性资产配置的基础上，本基金基于定量与定性相结合的宏观及市场分析，进行战术性资产配置，确定组合中股票、债券、货币市场工具及其他金融工具的比例，追求更高收益，回避市场风险。</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在资产配置中，本基金主要考虑（1）宏观经济因素，包括GDP增长率及其构成、CPI、市场利率水平变化、货币政策等，以判断经济周期对市场的影响；（2）微观经济因素，包括各行业主要企业的盈利变化情况及其盈利预期；（3）市场因素，包括股票及债券市场的涨跌、</w:t>
      </w:r>
      <w:r w:rsidRPr="00565E0D">
        <w:rPr>
          <w:rFonts w:asciiTheme="minorEastAsia" w:eastAsiaTheme="minorEastAsia" w:hAnsiTheme="minorEastAsia" w:hint="eastAsia"/>
        </w:rPr>
        <w:lastRenderedPageBreak/>
        <w:t>市场整体估值水平、大类资产的预期收益率水平及其历史比较、市场资金供求关系及其变化；（4）政策因素，与证券市场密切相关的各种政策出台对市场的影响等。</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rPr>
        <w:t>本基金在</w:t>
      </w:r>
      <w:r w:rsidRPr="00565E0D">
        <w:rPr>
          <w:rFonts w:asciiTheme="minorEastAsia" w:eastAsiaTheme="minorEastAsia" w:hAnsiTheme="minorEastAsia" w:hint="eastAsia"/>
        </w:rPr>
        <w:t>合同生效</w:t>
      </w:r>
      <w:r w:rsidRPr="00565E0D">
        <w:rPr>
          <w:rFonts w:asciiTheme="minorEastAsia" w:eastAsiaTheme="minorEastAsia" w:hAnsiTheme="minorEastAsia"/>
        </w:rPr>
        <w:t>后</w:t>
      </w:r>
      <w:r w:rsidRPr="00565E0D">
        <w:rPr>
          <w:rFonts w:asciiTheme="minorEastAsia" w:eastAsiaTheme="minorEastAsia" w:hAnsiTheme="minorEastAsia" w:hint="eastAsia"/>
        </w:rPr>
        <w:t>六</w:t>
      </w:r>
      <w:r w:rsidRPr="00565E0D">
        <w:rPr>
          <w:rFonts w:asciiTheme="minorEastAsia" w:eastAsiaTheme="minorEastAsia" w:hAnsiTheme="minorEastAsia"/>
        </w:rPr>
        <w:t>个月内达到上述规定的投资比例。</w:t>
      </w:r>
    </w:p>
    <w:p w:rsidR="00C35BC5" w:rsidRPr="00565E0D" w:rsidRDefault="00552BE1" w:rsidP="00552BE1">
      <w:pPr>
        <w:snapToGrid w:val="0"/>
        <w:spacing w:line="360" w:lineRule="auto"/>
        <w:ind w:firstLineChars="200" w:firstLine="422"/>
        <w:rPr>
          <w:rFonts w:asciiTheme="minorEastAsia" w:eastAsiaTheme="minorEastAsia" w:hAnsiTheme="minorEastAsia"/>
          <w:b/>
        </w:rPr>
      </w:pPr>
      <w:r w:rsidRPr="00565E0D">
        <w:rPr>
          <w:rFonts w:asciiTheme="minorEastAsia" w:eastAsiaTheme="minorEastAsia" w:hAnsiTheme="minorEastAsia" w:hint="eastAsia"/>
          <w:b/>
        </w:rPr>
        <w:t>2、</w:t>
      </w:r>
      <w:r w:rsidR="00C35BC5" w:rsidRPr="00565E0D">
        <w:rPr>
          <w:rFonts w:asciiTheme="minorEastAsia" w:eastAsiaTheme="minorEastAsia" w:hAnsiTheme="minorEastAsia" w:hint="eastAsia"/>
          <w:b/>
        </w:rPr>
        <w:t>股票投资策略</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在股票投资方面，本基金遵循三个投资步骤。一是进行股票的风格特征的数量化评估，应用“易方达成长与价值股评价模型”，使用历史与预测的数据，从公司的备选库股票中选择成长与价值特性突出的股票。二是进行股票素质的基本面筛选，使用优质成长股与优质价值股的评价标准，在前面用数量化方法选出的风格鲜明的股票中，应用基本面分析方法，选出基本面较好的股票。三是进行成长与价值的风格配置，根据对市场的判断，动态地调整成长股与价值股的投资比重，追求在可控风险前提下的稳健回报。</w:t>
      </w:r>
    </w:p>
    <w:p w:rsidR="00C35BC5" w:rsidRPr="00565E0D" w:rsidRDefault="00C35BC5" w:rsidP="00552BE1">
      <w:pPr>
        <w:numPr>
          <w:ilvl w:val="0"/>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成长股的投资</w:t>
      </w:r>
    </w:p>
    <w:p w:rsidR="00C35BC5" w:rsidRPr="00565E0D" w:rsidRDefault="00C35BC5" w:rsidP="00552BE1">
      <w:pPr>
        <w:snapToGrid w:val="0"/>
        <w:spacing w:line="360" w:lineRule="auto"/>
        <w:ind w:left="420" w:firstLine="420"/>
        <w:rPr>
          <w:rFonts w:asciiTheme="minorEastAsia" w:eastAsiaTheme="minorEastAsia" w:hAnsiTheme="minorEastAsia"/>
        </w:rPr>
      </w:pPr>
      <w:r w:rsidRPr="00565E0D">
        <w:rPr>
          <w:rFonts w:asciiTheme="minorEastAsia" w:eastAsiaTheme="minorEastAsia" w:hAnsiTheme="minorEastAsia" w:hint="eastAsia"/>
        </w:rPr>
        <w:t>本基金应用“易方达成长与价值股评价模型”，通过成长股评价指标，包括预期当年的净利润增长率、预期中长期净利润增长率、过往净利润增长率、内部成长率等指标，从公司的备选库中选择成长特征鲜明的股票作为深入研究的对象。</w:t>
      </w:r>
    </w:p>
    <w:p w:rsidR="00C35BC5" w:rsidRPr="00565E0D" w:rsidRDefault="00C35BC5" w:rsidP="00552BE1">
      <w:pPr>
        <w:snapToGrid w:val="0"/>
        <w:spacing w:line="360" w:lineRule="auto"/>
        <w:ind w:left="420" w:firstLine="420"/>
        <w:rPr>
          <w:rFonts w:asciiTheme="minorEastAsia" w:eastAsiaTheme="minorEastAsia" w:hAnsiTheme="minorEastAsia"/>
        </w:rPr>
      </w:pPr>
      <w:r w:rsidRPr="00565E0D">
        <w:rPr>
          <w:rFonts w:asciiTheme="minorEastAsia" w:eastAsiaTheme="minorEastAsia" w:hAnsiTheme="minorEastAsia" w:hint="eastAsia"/>
        </w:rPr>
        <w:t>然后，本基金通过行业研究、上市公司调研、财务报表分析、国内外同业比较等方法，从中选择出基本面较好、估值合理的优质成长股作为投资对象。</w:t>
      </w:r>
    </w:p>
    <w:p w:rsidR="00C35BC5" w:rsidRPr="00565E0D" w:rsidRDefault="00C35BC5" w:rsidP="00552BE1">
      <w:pPr>
        <w:snapToGrid w:val="0"/>
        <w:spacing w:line="360" w:lineRule="auto"/>
        <w:ind w:left="420" w:firstLine="420"/>
        <w:rPr>
          <w:rFonts w:asciiTheme="minorEastAsia" w:eastAsiaTheme="minorEastAsia" w:hAnsiTheme="minorEastAsia"/>
        </w:rPr>
      </w:pPr>
      <w:r w:rsidRPr="00565E0D">
        <w:rPr>
          <w:rFonts w:asciiTheme="minorEastAsia" w:eastAsiaTheme="minorEastAsia" w:hAnsiTheme="minorEastAsia" w:hint="eastAsia"/>
        </w:rPr>
        <w:t>优质成长股的选择标准包括：</w:t>
      </w:r>
    </w:p>
    <w:p w:rsidR="00C35BC5" w:rsidRPr="00565E0D" w:rsidRDefault="00C35BC5" w:rsidP="00552BE1">
      <w:pPr>
        <w:numPr>
          <w:ilvl w:val="3"/>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短期及中长期经营业绩保持长期可持续的增长。短期内，公司利润的增长速度高于同行业平均水平，并将在中长期继续保持较高的增长势头；</w:t>
      </w:r>
    </w:p>
    <w:p w:rsidR="00C35BC5" w:rsidRPr="00565E0D" w:rsidRDefault="00C35BC5" w:rsidP="00552BE1">
      <w:pPr>
        <w:numPr>
          <w:ilvl w:val="3"/>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推动企业业绩增长的因素具有稳定的特征，主要包括：</w:t>
      </w:r>
    </w:p>
    <w:p w:rsidR="00C35BC5" w:rsidRPr="00565E0D" w:rsidRDefault="00C35BC5" w:rsidP="00552BE1">
      <w:pPr>
        <w:numPr>
          <w:ilvl w:val="4"/>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产品市场空间大，市场需求在未来较长时间保持快速增长；</w:t>
      </w:r>
    </w:p>
    <w:p w:rsidR="00C35BC5" w:rsidRPr="00565E0D" w:rsidRDefault="00C35BC5" w:rsidP="00552BE1">
      <w:pPr>
        <w:numPr>
          <w:ilvl w:val="4"/>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企业及其产品具有较强的市场竞争力。市场竞争力来自于对原材料的控制力、优秀严谨的管理、较高的技术水平、持续的新产品开发与创新能力、先进的生产设备、专利的掌握、资源与牌照的垄断、品牌知名度高等；</w:t>
      </w:r>
    </w:p>
    <w:p w:rsidR="00C35BC5" w:rsidRPr="00565E0D" w:rsidRDefault="00C35BC5" w:rsidP="00552BE1">
      <w:pPr>
        <w:numPr>
          <w:ilvl w:val="4"/>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企业可以通过新建产能、收购兼并、新产品与新市场的开发、降低生产成本等保持经营业绩的持续增长；</w:t>
      </w:r>
    </w:p>
    <w:p w:rsidR="00C35BC5" w:rsidRPr="00565E0D" w:rsidRDefault="00C35BC5" w:rsidP="00552BE1">
      <w:pPr>
        <w:numPr>
          <w:ilvl w:val="4"/>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公司的财务指标可通过风险检验，并处于较优水平。通过对短期偿债率、资产负债率、应收账款周转率、存货周转率、经营活动产生的现金流等财务指标的同业分析，避免企业的财务风险；通过对主营业务收入利润率、营业利润率、销售净利润率的变化趋势以及主营业务收入增长率、净利润增长率的纵向及同业比较，判断企业的成长动力，从中选择财务风险低、盈利能力稳定并增长的公司。</w:t>
      </w:r>
    </w:p>
    <w:p w:rsidR="00C35BC5" w:rsidRPr="00565E0D" w:rsidRDefault="00C35BC5" w:rsidP="00552BE1">
      <w:pPr>
        <w:numPr>
          <w:ilvl w:val="3"/>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根据该企业的行业特性，选择合适的股票估值方法，包括PE、PB、PEG、EV/EBITDA等，与国内外同行业类似公司进行比较，排除股价被大幅高估的股票，主要投</w:t>
      </w:r>
      <w:r w:rsidRPr="00565E0D">
        <w:rPr>
          <w:rFonts w:asciiTheme="minorEastAsia" w:eastAsiaTheme="minorEastAsia" w:hAnsiTheme="minorEastAsia" w:hint="eastAsia"/>
        </w:rPr>
        <w:lastRenderedPageBreak/>
        <w:t>资估值处于合理水平或被低估的公司。</w:t>
      </w:r>
    </w:p>
    <w:p w:rsidR="00C35BC5" w:rsidRPr="00565E0D" w:rsidRDefault="00C35BC5" w:rsidP="00552BE1">
      <w:pPr>
        <w:numPr>
          <w:ilvl w:val="0"/>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价值股的投资</w:t>
      </w:r>
    </w:p>
    <w:p w:rsidR="00C35BC5" w:rsidRPr="00565E0D" w:rsidRDefault="00C35BC5" w:rsidP="00552BE1">
      <w:pPr>
        <w:snapToGrid w:val="0"/>
        <w:spacing w:line="360" w:lineRule="auto"/>
        <w:ind w:left="420" w:firstLine="420"/>
        <w:rPr>
          <w:rFonts w:asciiTheme="minorEastAsia" w:eastAsiaTheme="minorEastAsia" w:hAnsiTheme="minorEastAsia"/>
        </w:rPr>
      </w:pPr>
      <w:r w:rsidRPr="00565E0D">
        <w:rPr>
          <w:rFonts w:asciiTheme="minorEastAsia" w:eastAsiaTheme="minorEastAsia" w:hAnsiTheme="minorEastAsia" w:hint="eastAsia"/>
        </w:rPr>
        <w:t>本基金应用“易方达成长与价值股评价模型”，通过价值股评价指标，包括市净率、预期股息收益率、市销率、预期市盈率等指标，从公司的备选库中选择价值特征鲜明的股票作为深入研究的对象。</w:t>
      </w:r>
    </w:p>
    <w:p w:rsidR="00C35BC5" w:rsidRPr="00565E0D" w:rsidRDefault="00C35BC5" w:rsidP="00552BE1">
      <w:pPr>
        <w:snapToGrid w:val="0"/>
        <w:spacing w:line="360" w:lineRule="auto"/>
        <w:ind w:left="420" w:firstLine="420"/>
        <w:rPr>
          <w:rFonts w:asciiTheme="minorEastAsia" w:eastAsiaTheme="minorEastAsia" w:hAnsiTheme="minorEastAsia"/>
        </w:rPr>
      </w:pPr>
      <w:r w:rsidRPr="00565E0D">
        <w:rPr>
          <w:rFonts w:asciiTheme="minorEastAsia" w:eastAsiaTheme="minorEastAsia" w:hAnsiTheme="minorEastAsia" w:hint="eastAsia"/>
        </w:rPr>
        <w:t>然后，本基金通过行业研究、上市公司调研、财务报表分析、国内外同业比较等方法，从中选择基本面较好或估值有可能改善的优质价值股票作为投资对象。</w:t>
      </w:r>
    </w:p>
    <w:p w:rsidR="00C35BC5" w:rsidRPr="00565E0D" w:rsidRDefault="00C35BC5" w:rsidP="00552BE1">
      <w:pPr>
        <w:snapToGrid w:val="0"/>
        <w:spacing w:line="360" w:lineRule="auto"/>
        <w:ind w:left="420" w:firstLine="420"/>
        <w:rPr>
          <w:rFonts w:asciiTheme="minorEastAsia" w:eastAsiaTheme="minorEastAsia" w:hAnsiTheme="minorEastAsia"/>
        </w:rPr>
      </w:pPr>
      <w:r w:rsidRPr="00565E0D">
        <w:rPr>
          <w:rFonts w:asciiTheme="minorEastAsia" w:eastAsiaTheme="minorEastAsia" w:hAnsiTheme="minorEastAsia" w:hint="eastAsia"/>
        </w:rPr>
        <w:t>优质价值股的选择标准包括：</w:t>
      </w:r>
    </w:p>
    <w:p w:rsidR="00C35BC5" w:rsidRPr="00565E0D" w:rsidRDefault="00C35BC5" w:rsidP="00552BE1">
      <w:pPr>
        <w:numPr>
          <w:ilvl w:val="4"/>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公司股价被严重低估：主要通过比较国内外同行业同类公司价值指标的高低进行初步判断，其次需进一步对比同类公司的产品结构、设备先进性、技术水平、预期长期增长率等，进行综合评判。</w:t>
      </w:r>
    </w:p>
    <w:p w:rsidR="00C35BC5" w:rsidRPr="00565E0D" w:rsidRDefault="00C35BC5" w:rsidP="00552BE1">
      <w:pPr>
        <w:numPr>
          <w:ilvl w:val="4"/>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股价被低估的情况有望在未来扭转：</w:t>
      </w:r>
    </w:p>
    <w:p w:rsidR="00C35BC5" w:rsidRPr="00565E0D" w:rsidRDefault="00C35BC5" w:rsidP="00552BE1">
      <w:pPr>
        <w:numPr>
          <w:ilvl w:val="5"/>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由于市场低估公司未来的成长性，股价出现动态低估：随着公司财务报表的公布，股价将回归合理水平。</w:t>
      </w:r>
    </w:p>
    <w:p w:rsidR="00C35BC5" w:rsidRPr="00565E0D" w:rsidRDefault="00C35BC5" w:rsidP="00552BE1">
      <w:pPr>
        <w:numPr>
          <w:ilvl w:val="5"/>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因公司经营管理处于困境，盈利大幅下滑，股价出现大幅下跌：公司拥有较高价值的资源、技术，同时股价已低于重置成本或足以吸引收购者的兴趣，通过收购兼并，公司盈利有望好转。</w:t>
      </w:r>
    </w:p>
    <w:p w:rsidR="00C35BC5" w:rsidRPr="00565E0D" w:rsidRDefault="00C35BC5" w:rsidP="00552BE1">
      <w:pPr>
        <w:numPr>
          <w:ilvl w:val="5"/>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由于企业非市场热门品种而被低估：股价已低于其内在价值，且其基本面较好并有一定成长性，股价有望随着市场热点的转移，在未来回归到其合理价格；</w:t>
      </w:r>
    </w:p>
    <w:p w:rsidR="00C35BC5" w:rsidRPr="00565E0D" w:rsidRDefault="00C35BC5" w:rsidP="00552BE1">
      <w:pPr>
        <w:numPr>
          <w:ilvl w:val="5"/>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由于暂时的不利消息影响，股价被低估：该不利消息并非意谓着或导致公司内在盈利能力的减弱，市场因短期消息而对公司未来前景存在不正确的预期。</w:t>
      </w:r>
    </w:p>
    <w:p w:rsidR="00C35BC5" w:rsidRPr="00565E0D" w:rsidRDefault="00C35BC5" w:rsidP="00552BE1">
      <w:pPr>
        <w:numPr>
          <w:ilvl w:val="5"/>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由于周期性或短期因素，公司盈利下滑幅度较大，但有望好转。</w:t>
      </w:r>
    </w:p>
    <w:p w:rsidR="00C35BC5" w:rsidRPr="00565E0D" w:rsidRDefault="00C35BC5" w:rsidP="00552BE1">
      <w:pPr>
        <w:numPr>
          <w:ilvl w:val="5"/>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其他有可能使公司的绝对估值水平较低、而未来使股价低估的因素有可能改变的情况。</w:t>
      </w:r>
    </w:p>
    <w:p w:rsidR="00C35BC5" w:rsidRPr="00565E0D" w:rsidRDefault="00C35BC5" w:rsidP="00552BE1">
      <w:pPr>
        <w:numPr>
          <w:ilvl w:val="4"/>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公司具有核心竞争力或有独特的资源或优势</w:t>
      </w:r>
    </w:p>
    <w:p w:rsidR="00C35BC5" w:rsidRPr="00565E0D" w:rsidRDefault="00C35BC5" w:rsidP="00552BE1">
      <w:pPr>
        <w:snapToGrid w:val="0"/>
        <w:spacing w:line="360" w:lineRule="auto"/>
        <w:ind w:left="1260" w:firstLine="420"/>
        <w:rPr>
          <w:rFonts w:asciiTheme="minorEastAsia" w:eastAsiaTheme="minorEastAsia" w:hAnsiTheme="minorEastAsia"/>
        </w:rPr>
      </w:pPr>
      <w:r w:rsidRPr="00565E0D">
        <w:rPr>
          <w:rFonts w:asciiTheme="minorEastAsia" w:eastAsiaTheme="minorEastAsia" w:hAnsiTheme="minorEastAsia" w:hint="eastAsia"/>
        </w:rPr>
        <w:t>如果公司是由于成长性被低估、被市场冷落、受短期消息的影响等，估值水平较低，本基金会关注公司是否具有行业核心竞争力。如果股价低估并有可能被收购时，则更关注公司是否具有独特的资源、设备能力、地区市场占有率等，是否能形成对收购方的吸引力。</w:t>
      </w:r>
    </w:p>
    <w:p w:rsidR="00C35BC5" w:rsidRPr="00565E0D" w:rsidRDefault="00C35BC5" w:rsidP="00552BE1">
      <w:pPr>
        <w:numPr>
          <w:ilvl w:val="0"/>
          <w:numId w:val="18"/>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成长与价值的配置比例</w:t>
      </w:r>
    </w:p>
    <w:p w:rsidR="00C35BC5" w:rsidRPr="00565E0D" w:rsidRDefault="00C35BC5" w:rsidP="00552BE1">
      <w:pPr>
        <w:snapToGrid w:val="0"/>
        <w:spacing w:line="360" w:lineRule="auto"/>
        <w:ind w:left="420" w:firstLine="420"/>
        <w:rPr>
          <w:rFonts w:asciiTheme="minorEastAsia" w:eastAsiaTheme="minorEastAsia" w:hAnsiTheme="minorEastAsia"/>
        </w:rPr>
      </w:pPr>
      <w:r w:rsidRPr="00565E0D">
        <w:rPr>
          <w:rFonts w:asciiTheme="minorEastAsia" w:eastAsiaTheme="minorEastAsia" w:hAnsiTheme="minorEastAsia" w:hint="eastAsia"/>
        </w:rPr>
        <w:t>本基金主要根据对市场趋势的判断、成长股与价值股的相对估值及预期收益率水平，对成长与价值股的投资比例进行配置。总体而言，成长股与价值股在股票资产中进行相</w:t>
      </w:r>
      <w:r w:rsidRPr="00565E0D">
        <w:rPr>
          <w:rFonts w:asciiTheme="minorEastAsia" w:eastAsiaTheme="minorEastAsia" w:hAnsiTheme="minorEastAsia" w:hint="eastAsia"/>
        </w:rPr>
        <w:lastRenderedPageBreak/>
        <w:t>对均衡的配置，以控制因风格带来的投资风险，降低组合波动的风险，提高整体收益率。</w:t>
      </w:r>
    </w:p>
    <w:p w:rsidR="00C35BC5" w:rsidRPr="00565E0D" w:rsidRDefault="00C35BC5" w:rsidP="00552BE1">
      <w:pPr>
        <w:snapToGrid w:val="0"/>
        <w:spacing w:line="360" w:lineRule="auto"/>
        <w:ind w:left="420" w:firstLine="420"/>
        <w:rPr>
          <w:rFonts w:asciiTheme="minorEastAsia" w:eastAsiaTheme="minorEastAsia" w:hAnsiTheme="minorEastAsia"/>
        </w:rPr>
      </w:pPr>
      <w:r w:rsidRPr="00565E0D">
        <w:rPr>
          <w:rFonts w:asciiTheme="minorEastAsia" w:eastAsiaTheme="minorEastAsia" w:hAnsiTheme="minorEastAsia" w:hint="eastAsia"/>
        </w:rPr>
        <w:t>在构造与调整股票组合的过程中，本基金还会考察组合的行业集中度，避免风格与行业集中度高度相关而带来的风险。</w:t>
      </w:r>
    </w:p>
    <w:p w:rsidR="00C35BC5" w:rsidRPr="00565E0D" w:rsidRDefault="00C35BC5" w:rsidP="00552BE1">
      <w:pPr>
        <w:snapToGrid w:val="0"/>
        <w:spacing w:line="360" w:lineRule="auto"/>
        <w:ind w:left="420" w:firstLine="420"/>
        <w:rPr>
          <w:rFonts w:asciiTheme="minorEastAsia" w:eastAsiaTheme="minorEastAsia" w:hAnsiTheme="minorEastAsia"/>
        </w:rPr>
      </w:pPr>
      <w:r w:rsidRPr="00565E0D">
        <w:rPr>
          <w:rFonts w:asciiTheme="minorEastAsia" w:eastAsiaTheme="minorEastAsia" w:hAnsiTheme="minorEastAsia" w:hint="eastAsia"/>
        </w:rPr>
        <w:t>本管理人会不断对成长价值投资策略进行研究，持续改进“易方达成长与价值股评价模型”，评价成长与价值的指标也有可能会随之变化。</w:t>
      </w:r>
    </w:p>
    <w:p w:rsidR="00C35BC5" w:rsidRPr="00565E0D" w:rsidRDefault="00C35BC5" w:rsidP="00552BE1">
      <w:pPr>
        <w:snapToGrid w:val="0"/>
        <w:spacing w:line="360" w:lineRule="auto"/>
        <w:jc w:val="center"/>
        <w:rPr>
          <w:rFonts w:asciiTheme="minorEastAsia" w:eastAsiaTheme="minorEastAsia" w:hAnsiTheme="minorEastAsia"/>
          <w:b/>
          <w:bCs/>
          <w:sz w:val="24"/>
        </w:rPr>
      </w:pPr>
      <w:r w:rsidRPr="00565E0D">
        <w:rPr>
          <w:rFonts w:asciiTheme="minorEastAsia" w:eastAsiaTheme="minorEastAsia" w:hAnsiTheme="minorEastAsia" w:hint="eastAsia"/>
          <w:b/>
          <w:bCs/>
          <w:sz w:val="24"/>
        </w:rPr>
        <w:t>基金股票资产投资流程图</w:t>
      </w:r>
    </w:p>
    <w:p w:rsidR="00C35BC5" w:rsidRPr="00565E0D" w:rsidRDefault="00BE4425" w:rsidP="00552BE1">
      <w:pPr>
        <w:snapToGrid w:val="0"/>
        <w:spacing w:line="360" w:lineRule="auto"/>
        <w:ind w:left="420"/>
        <w:rPr>
          <w:rFonts w:asciiTheme="minorEastAsia" w:eastAsiaTheme="minorEastAsia" w:hAnsiTheme="minorEastAsia"/>
        </w:rPr>
      </w:pPr>
      <w:r w:rsidRPr="00565E0D">
        <w:rPr>
          <w:rFonts w:asciiTheme="minorEastAsia" w:eastAsiaTheme="minorEastAsia" w:hAnsiTheme="minorEastAsia"/>
          <w:b/>
          <w:bCs/>
          <w:noProof/>
          <w:sz w:val="20"/>
        </w:rPr>
        <w:pict>
          <v:shapetype id="_x0000_t202" coordsize="21600,21600" o:spt="202" path="m,l,21600r21600,l21600,xe">
            <v:stroke joinstyle="miter"/>
            <v:path gradientshapeok="t" o:connecttype="rect"/>
          </v:shapetype>
          <v:shape id="_x0000_s1050" type="#_x0000_t202" style="position:absolute;left:0;text-align:left;margin-left:0;margin-top:387.6pt;width:45pt;height:85.8pt;z-index:251670016">
            <v:textbox style="mso-next-textbox:#_x0000_s1050">
              <w:txbxContent>
                <w:p w:rsidR="001924C9" w:rsidRDefault="001924C9" w:rsidP="00C35BC5">
                  <w:pPr>
                    <w:pStyle w:val="ac"/>
                    <w:jc w:val="center"/>
                  </w:pPr>
                  <w:r>
                    <w:rPr>
                      <w:rFonts w:hint="eastAsia"/>
                    </w:rPr>
                    <w:t>成长与价值的风格配置</w:t>
                  </w:r>
                </w:p>
              </w:txbxContent>
            </v:textbox>
          </v:shape>
        </w:pict>
      </w:r>
      <w:r w:rsidRPr="00565E0D">
        <w:rPr>
          <w:rFonts w:asciiTheme="minorEastAsia" w:eastAsiaTheme="minorEastAsia" w:hAnsiTheme="minorEastAsia"/>
          <w:b/>
          <w:bCs/>
          <w:noProof/>
          <w:sz w:val="20"/>
        </w:rPr>
        <w:pict>
          <v:shape id="_x0000_s1045" type="#_x0000_t202" style="position:absolute;left:0;text-align:left;margin-left:0;margin-top:247.2pt;width:45pt;height:85.8pt;z-index:251664896">
            <v:textbox style="mso-next-textbox:#_x0000_s1045">
              <w:txbxContent>
                <w:p w:rsidR="001924C9" w:rsidRDefault="001924C9" w:rsidP="00C35BC5">
                  <w:pPr>
                    <w:pStyle w:val="ac"/>
                    <w:jc w:val="center"/>
                  </w:pPr>
                  <w:r>
                    <w:rPr>
                      <w:rFonts w:hint="eastAsia"/>
                    </w:rPr>
                    <w:t>股票素质的基本面筛选</w:t>
                  </w:r>
                </w:p>
              </w:txbxContent>
            </v:textbox>
          </v:shape>
        </w:pict>
      </w:r>
      <w:r w:rsidRPr="00565E0D">
        <w:rPr>
          <w:rFonts w:asciiTheme="minorEastAsia" w:eastAsiaTheme="minorEastAsia" w:hAnsiTheme="minorEastAsia"/>
          <w:b/>
          <w:bCs/>
          <w:noProof/>
          <w:sz w:val="20"/>
        </w:rPr>
        <w:pict>
          <v:shape id="_x0000_s1029" type="#_x0000_t202" style="position:absolute;left:0;text-align:left;margin-left:0;margin-top:67.8pt;width:45pt;height:85.8pt;z-index:251648512">
            <v:textbox style="mso-next-textbox:#_x0000_s1029">
              <w:txbxContent>
                <w:p w:rsidR="001924C9" w:rsidRDefault="001924C9" w:rsidP="00C35BC5">
                  <w:pPr>
                    <w:pStyle w:val="ac"/>
                    <w:jc w:val="center"/>
                  </w:pPr>
                  <w:r>
                    <w:rPr>
                      <w:rFonts w:hint="eastAsia"/>
                    </w:rPr>
                    <w:t>风格特征的数量化评估</w:t>
                  </w:r>
                </w:p>
              </w:txbxContent>
            </v:textbox>
          </v:shape>
        </w:pict>
      </w:r>
      <w:r w:rsidRPr="00565E0D">
        <w:rPr>
          <w:rFonts w:asciiTheme="minorEastAsia" w:eastAsiaTheme="minorEastAsia" w:hAnsiTheme="minorEastAsia"/>
          <w:b/>
          <w:bCs/>
          <w:noProof/>
          <w:sz w:val="20"/>
        </w:rPr>
        <w:pict>
          <v:shape id="_x0000_s1031" type="#_x0000_t202" style="position:absolute;left:0;text-align:left;margin-left:117pt;margin-top:78pt;width:2in;height:85.8pt;z-index:251650560" filled="f" stroked="f">
            <v:textbox style="mso-next-textbox:#_x0000_s1031">
              <w:txbxContent>
                <w:p w:rsidR="001924C9" w:rsidRDefault="001924C9" w:rsidP="00C35BC5">
                  <w:pPr>
                    <w:numPr>
                      <w:ilvl w:val="0"/>
                      <w:numId w:val="19"/>
                    </w:numPr>
                  </w:pPr>
                  <w:r>
                    <w:rPr>
                      <w:rFonts w:hint="eastAsia"/>
                    </w:rPr>
                    <w:t>预期净利润增长率；</w:t>
                  </w:r>
                </w:p>
                <w:p w:rsidR="001924C9" w:rsidRDefault="001924C9" w:rsidP="00C35BC5">
                  <w:pPr>
                    <w:numPr>
                      <w:ilvl w:val="0"/>
                      <w:numId w:val="19"/>
                    </w:numPr>
                  </w:pPr>
                  <w:r>
                    <w:rPr>
                      <w:rFonts w:hint="eastAsia"/>
                    </w:rPr>
                    <w:t>中长期净利润增长率；</w:t>
                  </w:r>
                </w:p>
                <w:p w:rsidR="001924C9" w:rsidRDefault="001924C9" w:rsidP="00C35BC5">
                  <w:pPr>
                    <w:numPr>
                      <w:ilvl w:val="0"/>
                      <w:numId w:val="19"/>
                    </w:numPr>
                  </w:pPr>
                  <w:r>
                    <w:rPr>
                      <w:rFonts w:hint="eastAsia"/>
                    </w:rPr>
                    <w:t>历史增长率；</w:t>
                  </w:r>
                </w:p>
                <w:p w:rsidR="001924C9" w:rsidRDefault="001924C9" w:rsidP="00C35BC5">
                  <w:pPr>
                    <w:numPr>
                      <w:ilvl w:val="0"/>
                      <w:numId w:val="19"/>
                    </w:numPr>
                  </w:pPr>
                  <w:r>
                    <w:rPr>
                      <w:rFonts w:hint="eastAsia"/>
                    </w:rPr>
                    <w:t>内部成长率。</w:t>
                  </w:r>
                </w:p>
                <w:p w:rsidR="001924C9" w:rsidRDefault="001924C9" w:rsidP="00C35BC5"/>
              </w:txbxContent>
            </v:textbox>
          </v:shape>
        </w:pict>
      </w:r>
      <w:r w:rsidRPr="00565E0D">
        <w:rPr>
          <w:rFonts w:asciiTheme="minorEastAsia" w:eastAsiaTheme="minorEastAsia" w:hAnsiTheme="minorEastAsia"/>
          <w:b/>
          <w:bCs/>
          <w:noProof/>
          <w:sz w:val="20"/>
        </w:rPr>
        <w:pict>
          <v:shape id="_x0000_s1049" type="#_x0000_t202" style="position:absolute;left:0;text-align:left;margin-left:171pt;margin-top:499.2pt;width:180pt;height:31.2pt;z-index:251668992" filled="f" stroked="f">
            <v:textbox style="mso-next-textbox:#_x0000_s1049">
              <w:txbxContent>
                <w:p w:rsidR="001924C9" w:rsidRDefault="001924C9" w:rsidP="00C35BC5">
                  <w:pPr>
                    <w:jc w:val="center"/>
                    <w:rPr>
                      <w:b/>
                      <w:bCs/>
                      <w:sz w:val="24"/>
                    </w:rPr>
                  </w:pPr>
                  <w:r>
                    <w:rPr>
                      <w:rFonts w:hint="eastAsia"/>
                      <w:b/>
                      <w:bCs/>
                      <w:sz w:val="24"/>
                    </w:rPr>
                    <w:t>构造股票投资组合</w:t>
                  </w:r>
                </w:p>
              </w:txbxContent>
            </v:textbox>
          </v:shape>
        </w:pict>
      </w:r>
      <w:r w:rsidRPr="00565E0D">
        <w:rPr>
          <w:rFonts w:asciiTheme="minorEastAsia" w:eastAsiaTheme="minorEastAsia" w:hAnsiTheme="minorEastAsia"/>
          <w:b/>
          <w:bCs/>
          <w:noProof/>
          <w:sz w:val="20"/>
        </w:rPr>
        <w:pict>
          <v:shapetype id="_x0000_t116" coordsize="21600,21600" o:spt="116" path="m3475,qx,10800,3475,21600l18125,21600qx21600,10800,18125,xe">
            <v:stroke joinstyle="miter"/>
            <v:path gradientshapeok="t" o:connecttype="rect" textboxrect="1018,3163,20582,18437"/>
          </v:shapetype>
          <v:shape id="_x0000_s1048" type="#_x0000_t116" style="position:absolute;left:0;text-align:left;margin-left:162pt;margin-top:491.4pt;width:180pt;height:31.2pt;z-index:251667968" fillcolor="#9cf"/>
        </w:pict>
      </w:r>
      <w:r w:rsidRPr="00565E0D">
        <w:rPr>
          <w:rFonts w:asciiTheme="minorEastAsia" w:eastAsiaTheme="minorEastAsia" w:hAnsiTheme="minorEastAsia"/>
          <w:b/>
          <w:bCs/>
          <w:noProof/>
          <w:sz w:val="20"/>
        </w:rPr>
        <w:pict>
          <v:shape id="_x0000_s1047" type="#_x0000_t202" style="position:absolute;left:0;text-align:left;margin-left:180pt;margin-top:397.8pt;width:180pt;height:54.6pt;z-index:251666944" filled="f" stroked="f">
            <v:textbox style="mso-next-textbox:#_x0000_s1047">
              <w:txbxContent>
                <w:p w:rsidR="001924C9" w:rsidRDefault="001924C9" w:rsidP="00C35BC5">
                  <w:pPr>
                    <w:numPr>
                      <w:ilvl w:val="0"/>
                      <w:numId w:val="22"/>
                    </w:numPr>
                  </w:pPr>
                  <w:r>
                    <w:rPr>
                      <w:rFonts w:hint="eastAsia"/>
                    </w:rPr>
                    <w:t>市场趋势的判断；</w:t>
                  </w:r>
                </w:p>
                <w:p w:rsidR="001924C9" w:rsidRDefault="001924C9" w:rsidP="00C35BC5">
                  <w:pPr>
                    <w:numPr>
                      <w:ilvl w:val="0"/>
                      <w:numId w:val="22"/>
                    </w:numPr>
                  </w:pPr>
                  <w:r>
                    <w:rPr>
                      <w:rFonts w:hint="eastAsia"/>
                    </w:rPr>
                    <w:t>成长与价值股的相对估值及预期收益率水平。</w:t>
                  </w:r>
                </w:p>
              </w:txbxContent>
            </v:textbox>
          </v:shape>
        </w:pict>
      </w:r>
      <w:r w:rsidRPr="00565E0D">
        <w:rPr>
          <w:rFonts w:asciiTheme="minorEastAsia" w:eastAsiaTheme="minorEastAsia" w:hAnsiTheme="minorEastAsia"/>
          <w:b/>
          <w:bCs/>
          <w:noProof/>
          <w:sz w:val="20"/>
        </w:rPr>
        <w:pict>
          <v:shapetype id="_x0000_t128" coordsize="21600,21600" o:spt="128" path="m,l21600,,10800,21600xe">
            <v:stroke joinstyle="miter"/>
            <v:path gradientshapeok="t" o:connecttype="custom" o:connectlocs="10800,0;5400,10800;10800,21600;16200,10800" textboxrect="5400,0,16200,10800"/>
          </v:shapetype>
          <v:shape id="_x0000_s1026" type="#_x0000_t128" style="position:absolute;left:0;text-align:left;margin-left:108pt;margin-top:397.8pt;width:306pt;height:85.8pt;z-index:251645440"/>
        </w:pict>
      </w:r>
      <w:r w:rsidRPr="00565E0D">
        <w:rPr>
          <w:rFonts w:asciiTheme="minorEastAsia" w:eastAsiaTheme="minorEastAsia" w:hAnsiTheme="minorEastAsia"/>
          <w:b/>
          <w:bCs/>
          <w:noProof/>
          <w:sz w:val="20"/>
        </w:rPr>
        <w:pict>
          <v:shape id="_x0000_s1046" type="#_x0000_t202" style="position:absolute;left:0;text-align:left;margin-left:108pt;margin-top:374.4pt;width:306pt;height:23.4pt;z-index:251665920" fillcolor="#9c0">
            <v:textbox style="mso-next-textbox:#_x0000_s1046">
              <w:txbxContent>
                <w:p w:rsidR="001924C9" w:rsidRDefault="001924C9" w:rsidP="00C35BC5">
                  <w:pPr>
                    <w:jc w:val="center"/>
                    <w:rPr>
                      <w:b/>
                      <w:bCs/>
                      <w:sz w:val="24"/>
                    </w:rPr>
                  </w:pPr>
                  <w:r>
                    <w:rPr>
                      <w:rFonts w:hint="eastAsia"/>
                      <w:b/>
                      <w:bCs/>
                      <w:sz w:val="24"/>
                    </w:rPr>
                    <w:t>成长与价值的动态配置</w:t>
                  </w:r>
                </w:p>
              </w:txbxContent>
            </v:textbox>
          </v:shape>
        </w:pict>
      </w:r>
      <w:r w:rsidRPr="00565E0D">
        <w:rPr>
          <w:rFonts w:asciiTheme="minorEastAsia" w:eastAsiaTheme="minorEastAsia" w:hAnsiTheme="minorEastAsia"/>
          <w:b/>
          <w:bCs/>
          <w:noProof/>
          <w:sz w:val="20"/>
        </w:rPr>
        <w:pict>
          <v:shape id="_x0000_s1040" type="#_x0000_t202" style="position:absolute;left:0;text-align:left;margin-left:108pt;margin-top:280.8pt;width:126pt;height:54.6pt;z-index:251659776" filled="f" stroked="f">
            <v:textbox style="mso-next-textbox:#_x0000_s1040">
              <w:txbxContent>
                <w:p w:rsidR="001924C9" w:rsidRDefault="001924C9" w:rsidP="00C35BC5">
                  <w:pPr>
                    <w:numPr>
                      <w:ilvl w:val="0"/>
                      <w:numId w:val="21"/>
                    </w:numPr>
                  </w:pPr>
                  <w:r>
                    <w:rPr>
                      <w:rFonts w:hint="eastAsia"/>
                    </w:rPr>
                    <w:t>成长性高；</w:t>
                  </w:r>
                </w:p>
                <w:p w:rsidR="001924C9" w:rsidRDefault="001924C9" w:rsidP="00C35BC5">
                  <w:pPr>
                    <w:numPr>
                      <w:ilvl w:val="0"/>
                      <w:numId w:val="21"/>
                    </w:numPr>
                  </w:pPr>
                  <w:r>
                    <w:rPr>
                      <w:rFonts w:hint="eastAsia"/>
                    </w:rPr>
                    <w:t>稳定的成长推动力；</w:t>
                  </w:r>
                </w:p>
                <w:p w:rsidR="001924C9" w:rsidRDefault="001924C9" w:rsidP="00C35BC5">
                  <w:pPr>
                    <w:numPr>
                      <w:ilvl w:val="0"/>
                      <w:numId w:val="21"/>
                    </w:numPr>
                  </w:pPr>
                  <w:r>
                    <w:rPr>
                      <w:rFonts w:hint="eastAsia"/>
                    </w:rPr>
                    <w:t>合理的估值。</w:t>
                  </w:r>
                </w:p>
              </w:txbxContent>
            </v:textbox>
          </v:shape>
        </w:pict>
      </w:r>
      <w:r w:rsidRPr="00565E0D">
        <w:rPr>
          <w:rFonts w:asciiTheme="minorEastAsia" w:eastAsiaTheme="minorEastAsia" w:hAnsiTheme="minorEastAsia"/>
          <w:b/>
          <w:bCs/>
          <w:noProof/>
          <w:sz w:val="20"/>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39" type="#_x0000_t80" style="position:absolute;left:0;text-align:left;margin-left:108pt;margin-top:249.6pt;width:135pt;height:124.8pt;z-index:251658752" adj="15438"/>
        </w:pict>
      </w:r>
      <w:r w:rsidRPr="00565E0D">
        <w:rPr>
          <w:rFonts w:asciiTheme="minorEastAsia" w:eastAsiaTheme="minorEastAsia" w:hAnsiTheme="minorEastAsia"/>
          <w:b/>
          <w:bCs/>
          <w:noProof/>
          <w:sz w:val="20"/>
        </w:rPr>
        <w:pict>
          <v:shape id="_x0000_s1042" type="#_x0000_t202" style="position:absolute;left:0;text-align:left;margin-left:261pt;margin-top:273pt;width:2in;height:78pt;z-index:251661824" filled="f" stroked="f">
            <v:textbox style="mso-next-textbox:#_x0000_s1042">
              <w:txbxContent>
                <w:p w:rsidR="001924C9" w:rsidRDefault="001924C9" w:rsidP="00C35BC5">
                  <w:pPr>
                    <w:numPr>
                      <w:ilvl w:val="0"/>
                      <w:numId w:val="21"/>
                    </w:numPr>
                  </w:pPr>
                  <w:r>
                    <w:rPr>
                      <w:rFonts w:hint="eastAsia"/>
                    </w:rPr>
                    <w:t>股价低估；</w:t>
                  </w:r>
                </w:p>
                <w:p w:rsidR="001924C9" w:rsidRDefault="001924C9" w:rsidP="00C35BC5">
                  <w:pPr>
                    <w:numPr>
                      <w:ilvl w:val="0"/>
                      <w:numId w:val="21"/>
                    </w:numPr>
                  </w:pPr>
                  <w:r>
                    <w:rPr>
                      <w:rFonts w:hint="eastAsia"/>
                    </w:rPr>
                    <w:t>低估有望扭转；</w:t>
                  </w:r>
                </w:p>
                <w:p w:rsidR="001924C9" w:rsidRDefault="001924C9" w:rsidP="00C35BC5">
                  <w:pPr>
                    <w:numPr>
                      <w:ilvl w:val="0"/>
                      <w:numId w:val="21"/>
                    </w:numPr>
                  </w:pPr>
                  <w:r>
                    <w:rPr>
                      <w:rFonts w:hint="eastAsia"/>
                    </w:rPr>
                    <w:t>具有核心竞争力或独特资源或优势。</w:t>
                  </w:r>
                </w:p>
              </w:txbxContent>
            </v:textbox>
          </v:shape>
        </w:pict>
      </w:r>
      <w:r w:rsidRPr="00565E0D">
        <w:rPr>
          <w:rFonts w:asciiTheme="minorEastAsia" w:eastAsiaTheme="minorEastAsia" w:hAnsiTheme="minorEastAsia"/>
          <w:b/>
          <w:bCs/>
          <w:noProof/>
          <w:sz w:val="20"/>
        </w:rPr>
        <w:pict>
          <v:shape id="_x0000_s1044" type="#_x0000_t202" style="position:absolute;left:0;text-align:left;margin-left:261pt;margin-top:249.6pt;width:2in;height:23.4pt;z-index:251663872" fillcolor="#cfc">
            <v:textbox style="mso-next-textbox:#_x0000_s1044">
              <w:txbxContent>
                <w:p w:rsidR="001924C9" w:rsidRDefault="001924C9" w:rsidP="00C35BC5">
                  <w:pPr>
                    <w:jc w:val="center"/>
                    <w:rPr>
                      <w:b/>
                      <w:bCs/>
                    </w:rPr>
                  </w:pPr>
                  <w:r>
                    <w:rPr>
                      <w:rFonts w:hint="eastAsia"/>
                      <w:b/>
                      <w:bCs/>
                    </w:rPr>
                    <w:t>优质价值公司素质筛选</w:t>
                  </w:r>
                </w:p>
              </w:txbxContent>
            </v:textbox>
          </v:shape>
        </w:pict>
      </w:r>
      <w:r w:rsidRPr="00565E0D">
        <w:rPr>
          <w:rFonts w:asciiTheme="minorEastAsia" w:eastAsiaTheme="minorEastAsia" w:hAnsiTheme="minorEastAsia"/>
          <w:b/>
          <w:bCs/>
          <w:noProof/>
          <w:sz w:val="20"/>
        </w:rPr>
        <w:pict>
          <v:shape id="_x0000_s1043" type="#_x0000_t202" style="position:absolute;left:0;text-align:left;margin-left:108pt;margin-top:249.6pt;width:135pt;height:23.4pt;z-index:251662848" fillcolor="#f90">
            <v:textbox style="mso-next-textbox:#_x0000_s1043">
              <w:txbxContent>
                <w:p w:rsidR="001924C9" w:rsidRDefault="001924C9" w:rsidP="00C35BC5">
                  <w:pPr>
                    <w:rPr>
                      <w:bCs/>
                    </w:rPr>
                  </w:pPr>
                  <w:r>
                    <w:rPr>
                      <w:rFonts w:hint="eastAsia"/>
                      <w:bCs/>
                    </w:rPr>
                    <w:t>优质成长公司素质筛选</w:t>
                  </w:r>
                </w:p>
              </w:txbxContent>
            </v:textbox>
          </v:shape>
        </w:pict>
      </w:r>
      <w:r w:rsidRPr="00565E0D">
        <w:rPr>
          <w:rFonts w:asciiTheme="minorEastAsia" w:eastAsiaTheme="minorEastAsia" w:hAnsiTheme="minorEastAsia"/>
          <w:b/>
          <w:bCs/>
          <w:noProof/>
          <w:sz w:val="20"/>
        </w:rPr>
        <w:pict>
          <v:shape id="_x0000_s1041" type="#_x0000_t80" style="position:absolute;left:0;text-align:left;margin-left:261pt;margin-top:249.6pt;width:2in;height:124.8pt;z-index:251660800" adj="14919"/>
        </w:pict>
      </w:r>
      <w:r w:rsidRPr="00565E0D">
        <w:rPr>
          <w:rFonts w:asciiTheme="minorEastAsia" w:eastAsiaTheme="minorEastAsia" w:hAnsiTheme="minorEastAsia"/>
          <w:b/>
          <w:bCs/>
          <w:noProof/>
          <w:sz w:val="20"/>
        </w:rPr>
        <w:pict>
          <v:shape id="_x0000_s1036" type="#_x0000_t202" style="position:absolute;left:0;text-align:left;margin-left:2in;margin-top:195pt;width:81pt;height:39pt;z-index:251655680" filled="f" stroked="f">
            <v:textbox style="mso-next-textbox:#_x0000_s1036">
              <w:txbxContent>
                <w:p w:rsidR="001924C9" w:rsidRDefault="001924C9" w:rsidP="00C35BC5">
                  <w:r>
                    <w:rPr>
                      <w:rFonts w:hint="eastAsia"/>
                    </w:rPr>
                    <w:t>具有鲜明成长特征的备选股</w:t>
                  </w:r>
                </w:p>
              </w:txbxContent>
            </v:textbox>
          </v:shape>
        </w:pict>
      </w:r>
      <w:r w:rsidRPr="00565E0D">
        <w:rPr>
          <w:rFonts w:asciiTheme="minorEastAsia" w:eastAsiaTheme="minorEastAsia" w:hAnsiTheme="minorEastAsia"/>
          <w:b/>
          <w:bCs/>
          <w:noProof/>
          <w:sz w:val="20"/>
        </w:rPr>
        <w:pict>
          <v:oval id="_x0000_s1035" style="position:absolute;left:0;text-align:left;margin-left:126pt;margin-top:187.2pt;width:108pt;height:54.6pt;z-index:251654656" fillcolor="#fc9"/>
        </w:pict>
      </w:r>
      <w:r w:rsidRPr="00565E0D">
        <w:rPr>
          <w:rFonts w:asciiTheme="minorEastAsia" w:eastAsiaTheme="minorEastAsia" w:hAnsiTheme="minorEastAsia"/>
          <w:b/>
          <w:bCs/>
          <w:noProof/>
          <w:sz w:val="20"/>
        </w:rPr>
        <w:pict>
          <v:shape id="_x0000_s1038" type="#_x0000_t202" style="position:absolute;left:0;text-align:left;margin-left:279pt;margin-top:195pt;width:81pt;height:39pt;z-index:251657728" filled="f" stroked="f">
            <v:textbox style="mso-next-textbox:#_x0000_s1038">
              <w:txbxContent>
                <w:p w:rsidR="001924C9" w:rsidRDefault="001924C9" w:rsidP="00C35BC5">
                  <w:r>
                    <w:rPr>
                      <w:rFonts w:hint="eastAsia"/>
                    </w:rPr>
                    <w:t>具有鲜明价值特征的备选股</w:t>
                  </w:r>
                </w:p>
              </w:txbxContent>
            </v:textbox>
          </v:shape>
        </w:pict>
      </w:r>
      <w:r w:rsidRPr="00565E0D">
        <w:rPr>
          <w:rFonts w:asciiTheme="minorEastAsia" w:eastAsiaTheme="minorEastAsia" w:hAnsiTheme="minorEastAsia"/>
          <w:b/>
          <w:bCs/>
          <w:noProof/>
          <w:sz w:val="20"/>
        </w:rPr>
        <w:pict>
          <v:oval id="_x0000_s1037" style="position:absolute;left:0;text-align:left;margin-left:270pt;margin-top:187.2pt;width:108pt;height:54.6pt;z-index:251656704" fillcolor="#cff"/>
        </w:pict>
      </w:r>
      <w:r w:rsidRPr="00565E0D">
        <w:rPr>
          <w:rFonts w:asciiTheme="minorEastAsia" w:eastAsiaTheme="minorEastAsia" w:hAnsiTheme="minorEastAsia"/>
          <w:b/>
          <w:bCs/>
          <w:noProof/>
          <w:sz w:val="20"/>
        </w:rPr>
        <w:pict>
          <v:shapetype id="_x0000_t119" coordsize="21600,21600" o:spt="119" path="m,l21600,,17240,21600r-12880,xe">
            <v:stroke joinstyle="miter"/>
            <v:path gradientshapeok="t" o:connecttype="custom" o:connectlocs="10800,0;2180,10800;10800,21600;19420,10800" textboxrect="4321,0,17204,21600"/>
          </v:shapetype>
          <v:shape id="_x0000_s1027" type="#_x0000_t119" style="position:absolute;left:0;text-align:left;margin-left:261pt;margin-top:78pt;width:135pt;height:85.8pt;z-index:251646464"/>
        </w:pict>
      </w:r>
      <w:r w:rsidRPr="00565E0D">
        <w:rPr>
          <w:rFonts w:asciiTheme="minorEastAsia" w:eastAsiaTheme="minorEastAsia" w:hAnsiTheme="minorEastAsia"/>
          <w:b/>
          <w:bCs/>
          <w:noProof/>
          <w:sz w:val="20"/>
        </w:rPr>
        <w:pict>
          <v:shape id="_x0000_s1032" type="#_x0000_t202" style="position:absolute;left:0;text-align:left;margin-left:108pt;margin-top:54.6pt;width:2in;height:23.4pt;z-index:251651584" fillcolor="#fc9">
            <v:textbox style="mso-next-textbox:#_x0000_s1032">
              <w:txbxContent>
                <w:p w:rsidR="001924C9" w:rsidRDefault="001924C9" w:rsidP="00C35BC5">
                  <w:pPr>
                    <w:jc w:val="center"/>
                  </w:pPr>
                  <w:r>
                    <w:rPr>
                      <w:rFonts w:hint="eastAsia"/>
                      <w:b/>
                      <w:bCs/>
                    </w:rPr>
                    <w:t>成长股评价模型</w:t>
                  </w:r>
                </w:p>
              </w:txbxContent>
            </v:textbox>
          </v:shape>
        </w:pict>
      </w:r>
      <w:r w:rsidRPr="00565E0D">
        <w:rPr>
          <w:rFonts w:asciiTheme="minorEastAsia" w:eastAsiaTheme="minorEastAsia" w:hAnsiTheme="minorEastAsia"/>
          <w:b/>
          <w:bCs/>
          <w:noProof/>
          <w:sz w:val="20"/>
        </w:rPr>
        <w:pict>
          <v:shape id="_x0000_s1030" type="#_x0000_t119" style="position:absolute;left:0;text-align:left;margin-left:108pt;margin-top:78pt;width:2in;height:85.8pt;z-index:251649536"/>
        </w:pict>
      </w:r>
      <w:r w:rsidRPr="00565E0D">
        <w:rPr>
          <w:rFonts w:asciiTheme="minorEastAsia" w:eastAsiaTheme="minorEastAsia" w:hAnsiTheme="minorEastAsia"/>
          <w:b/>
          <w:bCs/>
          <w:noProof/>
          <w:sz w:val="20"/>
        </w:rPr>
        <w:pict>
          <v:shape id="_x0000_s1033" type="#_x0000_t202" style="position:absolute;left:0;text-align:left;margin-left:279pt;margin-top:78pt;width:117pt;height:85.8pt;z-index:251652608" filled="f" stroked="f">
            <v:textbox style="mso-next-textbox:#_x0000_s1033">
              <w:txbxContent>
                <w:p w:rsidR="001924C9" w:rsidRDefault="001924C9" w:rsidP="00C35BC5">
                  <w:pPr>
                    <w:numPr>
                      <w:ilvl w:val="0"/>
                      <w:numId w:val="20"/>
                    </w:numPr>
                  </w:pPr>
                  <w:r>
                    <w:rPr>
                      <w:rFonts w:hint="eastAsia"/>
                    </w:rPr>
                    <w:t>市净率；</w:t>
                  </w:r>
                </w:p>
                <w:p w:rsidR="001924C9" w:rsidRDefault="001924C9" w:rsidP="00C35BC5">
                  <w:pPr>
                    <w:numPr>
                      <w:ilvl w:val="0"/>
                      <w:numId w:val="20"/>
                    </w:numPr>
                  </w:pPr>
                  <w:r>
                    <w:rPr>
                      <w:rFonts w:hint="eastAsia"/>
                    </w:rPr>
                    <w:t>预期股息收益率；</w:t>
                  </w:r>
                </w:p>
                <w:p w:rsidR="001924C9" w:rsidRDefault="001924C9" w:rsidP="00C35BC5">
                  <w:pPr>
                    <w:numPr>
                      <w:ilvl w:val="0"/>
                      <w:numId w:val="20"/>
                    </w:numPr>
                  </w:pPr>
                  <w:r>
                    <w:rPr>
                      <w:rFonts w:hint="eastAsia"/>
                    </w:rPr>
                    <w:t>市销率；</w:t>
                  </w:r>
                </w:p>
                <w:p w:rsidR="001924C9" w:rsidRDefault="001924C9" w:rsidP="00C35BC5">
                  <w:pPr>
                    <w:numPr>
                      <w:ilvl w:val="0"/>
                      <w:numId w:val="20"/>
                    </w:numPr>
                  </w:pPr>
                  <w:r>
                    <w:rPr>
                      <w:rFonts w:hint="eastAsia"/>
                    </w:rPr>
                    <w:t>预期市盈率。</w:t>
                  </w:r>
                </w:p>
                <w:p w:rsidR="001924C9" w:rsidRDefault="001924C9" w:rsidP="00C35BC5"/>
              </w:txbxContent>
            </v:textbox>
          </v:shape>
        </w:pict>
      </w:r>
      <w:r w:rsidRPr="00565E0D">
        <w:rPr>
          <w:rFonts w:asciiTheme="minorEastAsia" w:eastAsiaTheme="minorEastAsia" w:hAnsiTheme="minorEastAsia"/>
          <w:b/>
          <w:bCs/>
          <w:noProof/>
          <w:sz w:val="20"/>
        </w:rPr>
        <w:pict>
          <v:shape id="_x0000_s1034" type="#_x0000_t202" style="position:absolute;left:0;text-align:left;margin-left:261pt;margin-top:54.6pt;width:135pt;height:23.4pt;z-index:251653632" fillcolor="#cff">
            <v:textbox style="mso-next-textbox:#_x0000_s1034">
              <w:txbxContent>
                <w:p w:rsidR="001924C9" w:rsidRDefault="001924C9" w:rsidP="00C35BC5">
                  <w:pPr>
                    <w:jc w:val="center"/>
                  </w:pPr>
                  <w:r>
                    <w:rPr>
                      <w:rFonts w:hint="eastAsia"/>
                      <w:b/>
                      <w:bCs/>
                    </w:rPr>
                    <w:t>价值股评价模型</w:t>
                  </w:r>
                </w:p>
              </w:txbxContent>
            </v:textbox>
          </v:shape>
        </w:pict>
      </w:r>
      <w:r w:rsidRPr="00565E0D">
        <w:rPr>
          <w:rFonts w:asciiTheme="minorEastAsia" w:eastAsiaTheme="minorEastAsia" w:hAnsiTheme="minorEastAsia"/>
          <w:b/>
          <w:bCs/>
          <w:noProof/>
          <w:sz w:val="20"/>
        </w:rPr>
        <w:pict>
          <v:shape id="_x0000_s1028" type="#_x0000_t202" style="position:absolute;left:0;text-align:left;margin-left:117pt;margin-top:7.8pt;width:4in;height:31.2pt;z-index:251647488" fillcolor="#ccecff">
            <v:textbox style="mso-next-textbox:#_x0000_s1028">
              <w:txbxContent>
                <w:p w:rsidR="001924C9" w:rsidRDefault="001924C9" w:rsidP="00C35BC5">
                  <w:pPr>
                    <w:jc w:val="center"/>
                    <w:rPr>
                      <w:b/>
                      <w:bCs/>
                      <w:sz w:val="24"/>
                    </w:rPr>
                  </w:pPr>
                  <w:r>
                    <w:rPr>
                      <w:rFonts w:hint="eastAsia"/>
                      <w:b/>
                      <w:bCs/>
                      <w:sz w:val="24"/>
                    </w:rPr>
                    <w:t>备选股票库</w:t>
                  </w:r>
                </w:p>
              </w:txbxContent>
            </v:textbox>
          </v:shape>
        </w:pict>
      </w:r>
      <w:r w:rsidR="00C35BC5" w:rsidRPr="00565E0D">
        <w:rPr>
          <w:rFonts w:asciiTheme="minorEastAsia" w:eastAsiaTheme="minorEastAsia" w:hAnsiTheme="minorEastAsia"/>
          <w:b/>
          <w:bCs/>
          <w:sz w:val="24"/>
        </w:rPr>
        <w:br w:type="page"/>
      </w:r>
    </w:p>
    <w:p w:rsidR="00C35BC5" w:rsidRPr="00565E0D" w:rsidRDefault="00552BE1" w:rsidP="00552BE1">
      <w:pPr>
        <w:snapToGrid w:val="0"/>
        <w:spacing w:line="360" w:lineRule="auto"/>
        <w:rPr>
          <w:rFonts w:asciiTheme="minorEastAsia" w:eastAsiaTheme="minorEastAsia" w:hAnsiTheme="minorEastAsia"/>
          <w:b/>
        </w:rPr>
      </w:pPr>
      <w:r w:rsidRPr="00565E0D">
        <w:rPr>
          <w:rFonts w:asciiTheme="minorEastAsia" w:eastAsiaTheme="minorEastAsia" w:hAnsiTheme="minorEastAsia" w:hint="eastAsia"/>
          <w:b/>
        </w:rPr>
        <w:lastRenderedPageBreak/>
        <w:t>3、</w:t>
      </w:r>
      <w:r w:rsidR="00C35BC5" w:rsidRPr="00565E0D">
        <w:rPr>
          <w:rFonts w:asciiTheme="minorEastAsia" w:eastAsiaTheme="minorEastAsia" w:hAnsiTheme="minorEastAsia" w:hint="eastAsia"/>
          <w:b/>
        </w:rPr>
        <w:t>债券投资策略</w:t>
      </w:r>
    </w:p>
    <w:p w:rsidR="00C35BC5" w:rsidRPr="00565E0D" w:rsidRDefault="00C35BC5" w:rsidP="00552BE1">
      <w:pPr>
        <w:snapToGrid w:val="0"/>
        <w:spacing w:line="360" w:lineRule="auto"/>
        <w:ind w:firstLine="540"/>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在债券投资方面，本基金将主要通过类属配置与券种选择两个层次进行投资管理。在类属配置层次，结合对宏观经济、市场利率、供求变化等因素的综合分析，根据交易所市场与银行间市场类属资产的风险收益特征，定期对投资组合类属资产进行优化配置和调整，确定类属资产的最优权重。</w:t>
      </w:r>
    </w:p>
    <w:p w:rsidR="00C35BC5" w:rsidRPr="00565E0D" w:rsidRDefault="00C35BC5" w:rsidP="00552BE1">
      <w:pPr>
        <w:snapToGrid w:val="0"/>
        <w:spacing w:line="360" w:lineRule="auto"/>
        <w:ind w:firstLine="540"/>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在券种选择上，本基金以长期利率趋势分析为基础，结合经济变化趋势、货币政策及不同债券品种的收益率水平、流动性和信用风险等因素，合理运用投资管理策略，实施积极主动的债券投资管理。具体策略有：</w:t>
      </w:r>
    </w:p>
    <w:p w:rsidR="00C35BC5" w:rsidRPr="00565E0D" w:rsidRDefault="00C35BC5" w:rsidP="00552BE1">
      <w:pPr>
        <w:snapToGrid w:val="0"/>
        <w:spacing w:line="360" w:lineRule="auto"/>
        <w:ind w:firstLine="540"/>
        <w:rPr>
          <w:rFonts w:asciiTheme="minorEastAsia" w:eastAsiaTheme="minorEastAsia" w:hAnsiTheme="minorEastAsia"/>
          <w:kern w:val="0"/>
          <w:szCs w:val="21"/>
        </w:rPr>
      </w:pPr>
      <w:r w:rsidRPr="00565E0D">
        <w:rPr>
          <w:rFonts w:asciiTheme="minorEastAsia" w:eastAsiaTheme="minorEastAsia" w:hAnsiTheme="minorEastAsia"/>
          <w:kern w:val="0"/>
          <w:szCs w:val="21"/>
        </w:rPr>
        <w:t>1</w:t>
      </w:r>
      <w:r w:rsidRPr="00565E0D">
        <w:rPr>
          <w:rFonts w:asciiTheme="minorEastAsia" w:eastAsiaTheme="minorEastAsia" w:hAnsiTheme="minorEastAsia" w:hint="eastAsia"/>
          <w:kern w:val="0"/>
          <w:szCs w:val="21"/>
        </w:rPr>
        <w:t>）利率预期策略：本基金将首先根据对国内外经济形势的预测，分析市场投资环境的变化趋势，重点关注利率趋势变化；其次，在判断利率变动趋势时，我们将重点考虑货币供给的预期效应、通货膨胀与费雪效应以及资金流量变化等，全面分析宏观经济、货币政策与财政政策、债券市场政策趋势、物价水平变化趋势等因素，对利率走势形成合理预期。</w:t>
      </w:r>
    </w:p>
    <w:p w:rsidR="00C35BC5" w:rsidRPr="00565E0D" w:rsidRDefault="00C35BC5" w:rsidP="00552BE1">
      <w:pPr>
        <w:snapToGrid w:val="0"/>
        <w:spacing w:line="360" w:lineRule="auto"/>
        <w:ind w:firstLine="540"/>
        <w:rPr>
          <w:rFonts w:asciiTheme="minorEastAsia" w:eastAsiaTheme="minorEastAsia" w:hAnsiTheme="minorEastAsia"/>
          <w:kern w:val="0"/>
          <w:szCs w:val="21"/>
        </w:rPr>
      </w:pPr>
      <w:r w:rsidRPr="00565E0D">
        <w:rPr>
          <w:rFonts w:asciiTheme="minorEastAsia" w:eastAsiaTheme="minorEastAsia" w:hAnsiTheme="minorEastAsia"/>
          <w:kern w:val="0"/>
          <w:szCs w:val="21"/>
        </w:rPr>
        <w:t>2</w:t>
      </w:r>
      <w:r w:rsidRPr="00565E0D">
        <w:rPr>
          <w:rFonts w:asciiTheme="minorEastAsia" w:eastAsiaTheme="minorEastAsia" w:hAnsiTheme="minorEastAsia" w:hint="eastAsia"/>
          <w:kern w:val="0"/>
          <w:szCs w:val="21"/>
        </w:rPr>
        <w:t>）估值策略：建立不同品种的收益率曲线预测模型，并通过这些模型进行估值，确定价格中枢的变动趋势。根据收益率、流动性、风险匹配原则以及债券的估值原则构建投资组合，合理选择不同市场中有投资价值的券种，并根据投资环境的变化相机调整。</w:t>
      </w:r>
    </w:p>
    <w:p w:rsidR="00C35BC5" w:rsidRPr="00565E0D" w:rsidRDefault="00C35BC5" w:rsidP="00552BE1">
      <w:pPr>
        <w:snapToGrid w:val="0"/>
        <w:spacing w:line="360" w:lineRule="auto"/>
        <w:ind w:firstLine="540"/>
        <w:rPr>
          <w:rFonts w:asciiTheme="minorEastAsia" w:eastAsiaTheme="minorEastAsia" w:hAnsiTheme="minorEastAsia"/>
          <w:kern w:val="0"/>
          <w:szCs w:val="21"/>
        </w:rPr>
      </w:pPr>
      <w:r w:rsidRPr="00565E0D">
        <w:rPr>
          <w:rFonts w:asciiTheme="minorEastAsia" w:eastAsiaTheme="minorEastAsia" w:hAnsiTheme="minorEastAsia"/>
          <w:kern w:val="0"/>
          <w:szCs w:val="21"/>
        </w:rPr>
        <w:t>3</w:t>
      </w:r>
      <w:r w:rsidRPr="00565E0D">
        <w:rPr>
          <w:rFonts w:asciiTheme="minorEastAsia" w:eastAsiaTheme="minorEastAsia" w:hAnsiTheme="minorEastAsia" w:hint="eastAsia"/>
          <w:kern w:val="0"/>
          <w:szCs w:val="21"/>
        </w:rPr>
        <w:t>）久期管理：本基金努力把握久期与债券价格波动之间的量化关系，根据未来利率变化预期，以久期和收益率变化评估为核心,通过久期管理，合理配置投资品种。在预期利率下降时适度增加久期，在预期利率上升时适度缩小久期。</w:t>
      </w:r>
    </w:p>
    <w:p w:rsidR="00C35BC5" w:rsidRPr="00565E0D" w:rsidRDefault="00C35BC5" w:rsidP="00552BE1">
      <w:pPr>
        <w:snapToGrid w:val="0"/>
        <w:spacing w:line="360" w:lineRule="auto"/>
        <w:ind w:firstLine="420"/>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随着国内债券市场的深入发展和结构性变迁，更多债券新品种和交易形式将增加债券投资盈利模式，本基金会密切跟踪市场动态变化，选择合适的介入机会,谋求高于市场平均水平的投资回报。</w:t>
      </w:r>
    </w:p>
    <w:p w:rsidR="00C35BC5" w:rsidRPr="00565E0D" w:rsidRDefault="00552BE1" w:rsidP="00C9149F">
      <w:pPr>
        <w:snapToGrid w:val="0"/>
        <w:spacing w:line="360" w:lineRule="auto"/>
        <w:rPr>
          <w:rFonts w:asciiTheme="minorEastAsia" w:eastAsiaTheme="minorEastAsia" w:hAnsiTheme="minorEastAsia"/>
          <w:b/>
        </w:rPr>
      </w:pPr>
      <w:r w:rsidRPr="00565E0D">
        <w:rPr>
          <w:rFonts w:asciiTheme="minorEastAsia" w:eastAsiaTheme="minorEastAsia" w:hAnsiTheme="minorEastAsia" w:hint="eastAsia"/>
          <w:b/>
        </w:rPr>
        <w:t>4、</w:t>
      </w:r>
      <w:r w:rsidR="00C35BC5" w:rsidRPr="00565E0D">
        <w:rPr>
          <w:rFonts w:asciiTheme="minorEastAsia" w:eastAsiaTheme="minorEastAsia" w:hAnsiTheme="minorEastAsia" w:hint="eastAsia"/>
          <w:b/>
        </w:rPr>
        <w:t>权证投资策略</w:t>
      </w:r>
    </w:p>
    <w:p w:rsidR="00C35BC5" w:rsidRPr="00565E0D" w:rsidRDefault="00C35BC5" w:rsidP="00552BE1">
      <w:pPr>
        <w:snapToGrid w:val="0"/>
        <w:spacing w:line="360" w:lineRule="auto"/>
        <w:ind w:firstLine="540"/>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权证为本基金辅助性投资工具，投资原则为有利于基金资产增值、控制下跌风险、实现保值和锁定收益。本基金将主要投资满足成长和价值优选条件的公司发行的权证。</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01" w:name="_Toc38551206"/>
      <w:bookmarkEnd w:id="99"/>
      <w:bookmarkEnd w:id="100"/>
      <w:r w:rsidRPr="00565E0D">
        <w:rPr>
          <w:rFonts w:asciiTheme="minorEastAsia" w:eastAsiaTheme="minorEastAsia" w:hAnsiTheme="minorEastAsia" w:hint="eastAsia"/>
          <w:b w:val="0"/>
          <w:bCs/>
        </w:rPr>
        <w:t>（五）业绩</w:t>
      </w:r>
      <w:r w:rsidRPr="00565E0D">
        <w:rPr>
          <w:rFonts w:asciiTheme="minorEastAsia" w:eastAsiaTheme="minorEastAsia" w:hAnsiTheme="minorEastAsia"/>
          <w:b w:val="0"/>
          <w:bCs/>
        </w:rPr>
        <w:t>比较基准</w:t>
      </w:r>
      <w:bookmarkEnd w:id="96"/>
      <w:bookmarkEnd w:id="97"/>
      <w:bookmarkEnd w:id="101"/>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沪深300指数收益率</w:t>
      </w:r>
      <w:r w:rsidR="00084F6A" w:rsidRPr="00565E0D">
        <w:rPr>
          <w:rFonts w:asciiTheme="minorEastAsia" w:eastAsiaTheme="minorEastAsia" w:hAnsiTheme="minorEastAsia" w:hint="eastAsia"/>
          <w:kern w:val="0"/>
        </w:rPr>
        <w:t>×</w:t>
      </w:r>
      <w:r w:rsidRPr="00565E0D">
        <w:rPr>
          <w:rFonts w:asciiTheme="minorEastAsia" w:eastAsiaTheme="minorEastAsia" w:hAnsiTheme="minorEastAsia" w:hint="eastAsia"/>
        </w:rPr>
        <w:t>70%+上证国债指数收益率</w:t>
      </w:r>
      <w:r w:rsidR="00084F6A" w:rsidRPr="00565E0D">
        <w:rPr>
          <w:rFonts w:asciiTheme="minorEastAsia" w:eastAsiaTheme="minorEastAsia" w:hAnsiTheme="minorEastAsia" w:hint="eastAsia"/>
          <w:kern w:val="0"/>
        </w:rPr>
        <w:t>×</w:t>
      </w:r>
      <w:r w:rsidRPr="00565E0D">
        <w:rPr>
          <w:rFonts w:asciiTheme="minorEastAsia" w:eastAsiaTheme="minorEastAsia" w:hAnsiTheme="minorEastAsia" w:hint="eastAsia"/>
        </w:rPr>
        <w:t>30%</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如果</w:t>
      </w:r>
      <w:r w:rsidRPr="00565E0D">
        <w:rPr>
          <w:rFonts w:asciiTheme="minorEastAsia" w:eastAsiaTheme="minorEastAsia" w:hAnsiTheme="minorEastAsia" w:hint="eastAsia"/>
        </w:rPr>
        <w:t>指数编制单位</w:t>
      </w:r>
      <w:r w:rsidRPr="00565E0D">
        <w:rPr>
          <w:rFonts w:asciiTheme="minorEastAsia" w:eastAsiaTheme="minorEastAsia" w:hAnsiTheme="minorEastAsia"/>
        </w:rPr>
        <w:t>停止计算编制</w:t>
      </w:r>
      <w:r w:rsidRPr="00565E0D">
        <w:rPr>
          <w:rFonts w:asciiTheme="minorEastAsia" w:eastAsiaTheme="minorEastAsia" w:hAnsiTheme="minorEastAsia" w:hint="eastAsia"/>
        </w:rPr>
        <w:t>该</w:t>
      </w:r>
      <w:r w:rsidRPr="00565E0D">
        <w:rPr>
          <w:rFonts w:asciiTheme="minorEastAsia" w:eastAsiaTheme="minorEastAsia" w:hAnsiTheme="minorEastAsia"/>
        </w:rPr>
        <w:t>指数或更改指数名称</w:t>
      </w:r>
      <w:r w:rsidRPr="00565E0D">
        <w:rPr>
          <w:rFonts w:asciiTheme="minorEastAsia" w:eastAsiaTheme="minorEastAsia" w:hAnsiTheme="minorEastAsia" w:hint="eastAsia"/>
        </w:rPr>
        <w:t>、或</w:t>
      </w:r>
      <w:r w:rsidRPr="00565E0D">
        <w:rPr>
          <w:rFonts w:asciiTheme="minorEastAsia" w:eastAsiaTheme="minorEastAsia" w:hAnsiTheme="minorEastAsia"/>
        </w:rPr>
        <w:t>有更权威的、更能为市场普遍接受的业绩比较基准推出</w:t>
      </w:r>
      <w:r w:rsidRPr="00565E0D">
        <w:rPr>
          <w:rFonts w:asciiTheme="minorEastAsia" w:eastAsiaTheme="minorEastAsia" w:hAnsiTheme="minorEastAsia" w:hint="eastAsia"/>
        </w:rPr>
        <w:t>，</w:t>
      </w:r>
      <w:r w:rsidRPr="00565E0D">
        <w:rPr>
          <w:rFonts w:asciiTheme="minorEastAsia" w:eastAsiaTheme="minorEastAsia" w:hAnsiTheme="minorEastAsia"/>
        </w:rPr>
        <w:t>本基金</w:t>
      </w:r>
      <w:r w:rsidRPr="00565E0D">
        <w:rPr>
          <w:rFonts w:asciiTheme="minorEastAsia" w:eastAsiaTheme="minorEastAsia" w:hAnsiTheme="minorEastAsia" w:hint="eastAsia"/>
        </w:rPr>
        <w:t>管理人</w:t>
      </w:r>
      <w:r w:rsidRPr="00565E0D">
        <w:rPr>
          <w:rFonts w:asciiTheme="minorEastAsia" w:eastAsiaTheme="minorEastAsia" w:hAnsiTheme="minorEastAsia"/>
          <w:szCs w:val="21"/>
        </w:rPr>
        <w:t>有权对此基准进行调整并</w:t>
      </w:r>
      <w:r w:rsidRPr="00565E0D">
        <w:rPr>
          <w:rFonts w:asciiTheme="minorEastAsia" w:eastAsiaTheme="minorEastAsia" w:hAnsiTheme="minorEastAsia" w:hint="eastAsia"/>
          <w:szCs w:val="21"/>
        </w:rPr>
        <w:t>及时</w:t>
      </w:r>
      <w:r w:rsidRPr="00565E0D">
        <w:rPr>
          <w:rFonts w:asciiTheme="minorEastAsia" w:eastAsiaTheme="minorEastAsia" w:hAnsiTheme="minorEastAsia"/>
          <w:szCs w:val="21"/>
        </w:rPr>
        <w:t>公告。</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本基金为</w:t>
      </w:r>
      <w:r w:rsidRPr="00565E0D">
        <w:rPr>
          <w:rFonts w:asciiTheme="minorEastAsia" w:eastAsiaTheme="minorEastAsia" w:hAnsiTheme="minorEastAsia" w:hint="eastAsia"/>
        </w:rPr>
        <w:t>混合</w:t>
      </w:r>
      <w:r w:rsidRPr="00565E0D">
        <w:rPr>
          <w:rFonts w:asciiTheme="minorEastAsia" w:eastAsiaTheme="minorEastAsia" w:hAnsiTheme="minorEastAsia"/>
        </w:rPr>
        <w:t>型基金，在考虑了基金股票组合的投资标的、构建流程以及市场上各个股票指数的</w:t>
      </w:r>
      <w:r w:rsidRPr="00565E0D">
        <w:rPr>
          <w:rFonts w:asciiTheme="minorEastAsia" w:eastAsiaTheme="minorEastAsia" w:hAnsiTheme="minorEastAsia" w:hint="eastAsia"/>
        </w:rPr>
        <w:t>编制方法</w:t>
      </w:r>
      <w:r w:rsidRPr="00565E0D">
        <w:rPr>
          <w:rFonts w:asciiTheme="minorEastAsia" w:eastAsiaTheme="minorEastAsia" w:hAnsiTheme="minorEastAsia"/>
        </w:rPr>
        <w:t>和历史情况后，我们选定</w:t>
      </w:r>
      <w:r w:rsidRPr="00565E0D">
        <w:rPr>
          <w:rFonts w:asciiTheme="minorEastAsia" w:eastAsiaTheme="minorEastAsia" w:hAnsiTheme="minorEastAsia" w:hint="eastAsia"/>
        </w:rPr>
        <w:t>被市场广泛认同的</w:t>
      </w:r>
      <w:r w:rsidRPr="00565E0D">
        <w:rPr>
          <w:rFonts w:asciiTheme="minorEastAsia" w:eastAsiaTheme="minorEastAsia" w:hAnsiTheme="minorEastAsia"/>
        </w:rPr>
        <w:t>沪深300指数作为</w:t>
      </w:r>
      <w:r w:rsidRPr="00565E0D">
        <w:rPr>
          <w:rFonts w:asciiTheme="minorEastAsia" w:eastAsiaTheme="minorEastAsia" w:hAnsiTheme="minorEastAsia" w:hint="eastAsia"/>
        </w:rPr>
        <w:t>本</w:t>
      </w:r>
      <w:r w:rsidRPr="00565E0D">
        <w:rPr>
          <w:rFonts w:asciiTheme="minorEastAsia" w:eastAsiaTheme="minorEastAsia" w:hAnsiTheme="minorEastAsia"/>
        </w:rPr>
        <w:t>基金股票组合的业绩基准；债券组合的业绩基准则采用了市场上通用的上证国债指数。</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02" w:name="_Toc87269125"/>
      <w:bookmarkStart w:id="103" w:name="_Toc38551207"/>
      <w:bookmarkStart w:id="104" w:name="_Toc84149642"/>
      <w:r w:rsidRPr="00565E0D">
        <w:rPr>
          <w:rFonts w:asciiTheme="minorEastAsia" w:eastAsiaTheme="minorEastAsia" w:hAnsiTheme="minorEastAsia" w:hint="eastAsia"/>
          <w:b w:val="0"/>
          <w:bCs/>
        </w:rPr>
        <w:t>（六）风险收益特征</w:t>
      </w:r>
      <w:bookmarkEnd w:id="102"/>
      <w:bookmarkEnd w:id="103"/>
    </w:p>
    <w:bookmarkEnd w:id="104"/>
    <w:p w:rsidR="002F61BB" w:rsidRPr="00565E0D" w:rsidRDefault="00C35BC5" w:rsidP="00552BE1">
      <w:pPr>
        <w:snapToGrid w:val="0"/>
        <w:spacing w:line="360" w:lineRule="auto"/>
        <w:ind w:firstLine="435"/>
        <w:rPr>
          <w:rFonts w:asciiTheme="minorEastAsia" w:eastAsiaTheme="minorEastAsia" w:hAnsiTheme="minorEastAsia"/>
        </w:rPr>
      </w:pPr>
      <w:r w:rsidRPr="00565E0D">
        <w:rPr>
          <w:rFonts w:asciiTheme="minorEastAsia" w:eastAsiaTheme="minorEastAsia" w:hAnsiTheme="minorEastAsia" w:hint="eastAsia"/>
        </w:rPr>
        <w:t>本基金为混合型基金，</w:t>
      </w:r>
      <w:r w:rsidR="002F61BB" w:rsidRPr="00565E0D">
        <w:rPr>
          <w:rFonts w:asciiTheme="minorEastAsia" w:eastAsiaTheme="minorEastAsia" w:hAnsiTheme="minorEastAsia" w:hint="eastAsia"/>
        </w:rPr>
        <w:t>理论上其风险收益水平低于股票型基金，高于债券型基金及货</w:t>
      </w:r>
      <w:r w:rsidR="002F61BB" w:rsidRPr="00565E0D">
        <w:rPr>
          <w:rFonts w:asciiTheme="minorEastAsia" w:eastAsiaTheme="minorEastAsia" w:hAnsiTheme="minorEastAsia" w:hint="eastAsia"/>
        </w:rPr>
        <w:lastRenderedPageBreak/>
        <w:t>币市场基金。</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05" w:name="_Toc38551208"/>
      <w:r w:rsidRPr="00565E0D">
        <w:rPr>
          <w:rFonts w:asciiTheme="minorEastAsia" w:eastAsiaTheme="minorEastAsia" w:hAnsiTheme="minorEastAsia" w:hint="eastAsia"/>
          <w:b w:val="0"/>
          <w:bCs/>
        </w:rPr>
        <w:t>（七）</w:t>
      </w:r>
      <w:bookmarkStart w:id="106" w:name="_Toc52310852"/>
      <w:bookmarkStart w:id="107" w:name="_Toc64861727"/>
      <w:r w:rsidRPr="00565E0D">
        <w:rPr>
          <w:rFonts w:asciiTheme="minorEastAsia" w:eastAsiaTheme="minorEastAsia" w:hAnsiTheme="minorEastAsia" w:hint="eastAsia"/>
          <w:b w:val="0"/>
          <w:bCs/>
        </w:rPr>
        <w:t>投资决策</w:t>
      </w:r>
      <w:bookmarkEnd w:id="105"/>
      <w:bookmarkEnd w:id="106"/>
      <w:bookmarkEnd w:id="107"/>
    </w:p>
    <w:p w:rsidR="00C35BC5" w:rsidRPr="00565E0D" w:rsidRDefault="00552BE1" w:rsidP="00552BE1">
      <w:pPr>
        <w:snapToGrid w:val="0"/>
        <w:spacing w:line="360" w:lineRule="auto"/>
        <w:ind w:firstLineChars="200" w:firstLine="422"/>
        <w:rPr>
          <w:rFonts w:asciiTheme="minorEastAsia" w:eastAsiaTheme="minorEastAsia" w:hAnsiTheme="minorEastAsia"/>
          <w:b/>
        </w:rPr>
      </w:pPr>
      <w:r w:rsidRPr="00565E0D">
        <w:rPr>
          <w:rFonts w:asciiTheme="minorEastAsia" w:eastAsiaTheme="minorEastAsia" w:hAnsiTheme="minorEastAsia" w:hint="eastAsia"/>
          <w:b/>
        </w:rPr>
        <w:t>1、</w:t>
      </w:r>
      <w:r w:rsidR="00C35BC5" w:rsidRPr="00565E0D">
        <w:rPr>
          <w:rFonts w:asciiTheme="minorEastAsia" w:eastAsiaTheme="minorEastAsia" w:hAnsiTheme="minorEastAsia" w:hint="eastAsia"/>
          <w:b/>
        </w:rPr>
        <w:t>资产配置决策</w:t>
      </w:r>
    </w:p>
    <w:p w:rsidR="00C35BC5" w:rsidRPr="00565E0D" w:rsidRDefault="00724311" w:rsidP="00552BE1">
      <w:pPr>
        <w:pStyle w:val="21"/>
        <w:snapToGrid w:val="0"/>
        <w:spacing w:before="0" w:beforeAutospacing="0" w:after="0" w:afterAutospacing="0"/>
        <w:ind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基金经理根据基金合同的要求以及投资决策委员会的指导性意见，确定基金资产的配置比例。</w:t>
      </w:r>
    </w:p>
    <w:p w:rsidR="00C35BC5" w:rsidRPr="00565E0D" w:rsidRDefault="00552BE1" w:rsidP="00552BE1">
      <w:pPr>
        <w:snapToGrid w:val="0"/>
        <w:spacing w:line="360" w:lineRule="auto"/>
        <w:ind w:firstLineChars="200" w:firstLine="422"/>
        <w:rPr>
          <w:rFonts w:asciiTheme="minorEastAsia" w:eastAsiaTheme="minorEastAsia" w:hAnsiTheme="minorEastAsia"/>
          <w:b/>
        </w:rPr>
      </w:pPr>
      <w:r w:rsidRPr="00565E0D">
        <w:rPr>
          <w:rFonts w:asciiTheme="minorEastAsia" w:eastAsiaTheme="minorEastAsia" w:hAnsiTheme="minorEastAsia" w:hint="eastAsia"/>
          <w:b/>
        </w:rPr>
        <w:t>2、</w:t>
      </w:r>
      <w:r w:rsidR="00C35BC5" w:rsidRPr="00565E0D">
        <w:rPr>
          <w:rFonts w:asciiTheme="minorEastAsia" w:eastAsiaTheme="minorEastAsia" w:hAnsiTheme="minorEastAsia" w:hint="eastAsia"/>
          <w:b/>
        </w:rPr>
        <w:t>类别资产投资决策</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基金经理在确定的资产配置比例范围内，根据各类资产的投资策略，分别进行股票、债券、货币市场工具等资产类别的投资决策。</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（1）股票投资决策</w:t>
      </w:r>
    </w:p>
    <w:p w:rsidR="00C35BC5" w:rsidRPr="00565E0D" w:rsidRDefault="00C35BC5" w:rsidP="00552BE1">
      <w:pPr>
        <w:numPr>
          <w:ilvl w:val="0"/>
          <w:numId w:val="16"/>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基金经理</w:t>
      </w:r>
      <w:r w:rsidRPr="00565E0D">
        <w:rPr>
          <w:rFonts w:asciiTheme="minorEastAsia" w:eastAsiaTheme="minorEastAsia" w:hAnsiTheme="minorEastAsia" w:hint="eastAsia"/>
        </w:rPr>
        <w:t>应用“易方达成长与价值股评价模型”，使用历史与预测的数据，从公司的备选库股票中选择成长与价值特性突出的股票；</w:t>
      </w:r>
    </w:p>
    <w:p w:rsidR="00C35BC5" w:rsidRPr="00565E0D" w:rsidRDefault="00C35BC5" w:rsidP="00552BE1">
      <w:pPr>
        <w:numPr>
          <w:ilvl w:val="0"/>
          <w:numId w:val="16"/>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基金经理</w:t>
      </w:r>
      <w:r w:rsidRPr="00565E0D">
        <w:rPr>
          <w:rFonts w:asciiTheme="minorEastAsia" w:eastAsiaTheme="minorEastAsia" w:hAnsiTheme="minorEastAsia" w:hint="eastAsia"/>
        </w:rPr>
        <w:t>应用优质成长股与优质价值股的评价标准，</w:t>
      </w:r>
      <w:r w:rsidRPr="00565E0D">
        <w:rPr>
          <w:rFonts w:asciiTheme="minorEastAsia" w:eastAsiaTheme="minorEastAsia" w:hAnsiTheme="minorEastAsia" w:hint="eastAsia"/>
          <w:szCs w:val="21"/>
        </w:rPr>
        <w:t>根据行业研究员的上市公司研究报告，并结合自身的分析判断，精选投资价值较高的成长与价值股票作为本基金的备选投资对象；</w:t>
      </w:r>
    </w:p>
    <w:p w:rsidR="00C35BC5" w:rsidRPr="00565E0D" w:rsidRDefault="00C35BC5" w:rsidP="00552BE1">
      <w:pPr>
        <w:numPr>
          <w:ilvl w:val="0"/>
          <w:numId w:val="16"/>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基金经理</w:t>
      </w:r>
      <w:r w:rsidRPr="00565E0D">
        <w:rPr>
          <w:rFonts w:asciiTheme="minorEastAsia" w:eastAsiaTheme="minorEastAsia" w:hAnsiTheme="minorEastAsia" w:hint="eastAsia"/>
        </w:rPr>
        <w:t>根据对市场趋势的判断、成长股与价值股的相对估值及预期收益率水平，对成长与价值股的投资比例进行股票风格的</w:t>
      </w:r>
      <w:r w:rsidRPr="00565E0D">
        <w:rPr>
          <w:rFonts w:asciiTheme="minorEastAsia" w:eastAsiaTheme="minorEastAsia" w:hAnsiTheme="minorEastAsia" w:hint="eastAsia"/>
          <w:szCs w:val="21"/>
        </w:rPr>
        <w:t>优化配置，构造股票投资组合；</w:t>
      </w:r>
    </w:p>
    <w:p w:rsidR="00C35BC5" w:rsidRPr="00565E0D" w:rsidRDefault="00C35BC5" w:rsidP="00552BE1">
      <w:pPr>
        <w:numPr>
          <w:ilvl w:val="0"/>
          <w:numId w:val="16"/>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基金经理根据上市公司及行业基本面的变化以及对组合风险的评估，持续地对组合进行优化调整。</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（2）债券及货币工具的投资决策</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szCs w:val="21"/>
        </w:rPr>
        <w:t>基金经理根据宏观研究员及债券研究员提供的研究报告，结合自身的分析判断，选择具体的债券（含可转债）和货币市场工具品种构造投资组合。</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rPr>
      </w:pPr>
      <w:bookmarkStart w:id="108" w:name="_Toc38551209"/>
      <w:r w:rsidRPr="00565E0D">
        <w:rPr>
          <w:rFonts w:asciiTheme="minorEastAsia" w:eastAsiaTheme="minorEastAsia" w:hAnsiTheme="minorEastAsia" w:hint="eastAsia"/>
          <w:b w:val="0"/>
          <w:bCs/>
        </w:rPr>
        <w:t>（八）投资</w:t>
      </w:r>
      <w:bookmarkEnd w:id="85"/>
      <w:r w:rsidRPr="00565E0D">
        <w:rPr>
          <w:rFonts w:asciiTheme="minorEastAsia" w:eastAsiaTheme="minorEastAsia" w:hAnsiTheme="minorEastAsia" w:hint="eastAsia"/>
          <w:b w:val="0"/>
          <w:bCs/>
        </w:rPr>
        <w:t>限制</w:t>
      </w:r>
      <w:bookmarkEnd w:id="108"/>
    </w:p>
    <w:p w:rsidR="00C35BC5" w:rsidRPr="00565E0D" w:rsidRDefault="00C35BC5" w:rsidP="00552BE1">
      <w:pPr>
        <w:snapToGrid w:val="0"/>
        <w:spacing w:line="360" w:lineRule="auto"/>
        <w:ind w:firstLineChars="200" w:firstLine="420"/>
        <w:rPr>
          <w:rStyle w:val="da"/>
          <w:rFonts w:asciiTheme="minorEastAsia" w:eastAsiaTheme="minorEastAsia" w:hAnsiTheme="minorEastAsia"/>
        </w:rPr>
      </w:pPr>
      <w:r w:rsidRPr="00565E0D">
        <w:rPr>
          <w:rStyle w:val="da"/>
          <w:rFonts w:asciiTheme="minorEastAsia" w:eastAsiaTheme="minorEastAsia" w:hAnsiTheme="minorEastAsia" w:hint="eastAsia"/>
        </w:rPr>
        <w:t>根据目前法律法规的规定，以及本基金的投资策略，本基金的投资组合将遵循以下限制：</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1、</w:t>
      </w:r>
      <w:r w:rsidR="00C35BC5" w:rsidRPr="00565E0D">
        <w:rPr>
          <w:rFonts w:asciiTheme="minorEastAsia" w:eastAsiaTheme="minorEastAsia" w:hAnsiTheme="minorEastAsia"/>
          <w:sz w:val="21"/>
          <w:szCs w:val="21"/>
        </w:rPr>
        <w:t>本基金持有一家</w:t>
      </w:r>
      <w:r w:rsidR="00C35BC5" w:rsidRPr="00565E0D">
        <w:rPr>
          <w:rFonts w:asciiTheme="minorEastAsia" w:eastAsiaTheme="minorEastAsia" w:hAnsiTheme="minorEastAsia" w:hint="eastAsia"/>
          <w:sz w:val="21"/>
          <w:szCs w:val="21"/>
        </w:rPr>
        <w:t>上市</w:t>
      </w:r>
      <w:r w:rsidR="00C35BC5" w:rsidRPr="00565E0D">
        <w:rPr>
          <w:rFonts w:asciiTheme="minorEastAsia" w:eastAsiaTheme="minorEastAsia" w:hAnsiTheme="minorEastAsia"/>
          <w:sz w:val="21"/>
          <w:szCs w:val="21"/>
        </w:rPr>
        <w:t>公司的股票，</w:t>
      </w:r>
      <w:r w:rsidR="00C35BC5" w:rsidRPr="00565E0D">
        <w:rPr>
          <w:rFonts w:asciiTheme="minorEastAsia" w:eastAsiaTheme="minorEastAsia" w:hAnsiTheme="minorEastAsia" w:hint="eastAsia"/>
          <w:sz w:val="21"/>
          <w:szCs w:val="21"/>
        </w:rPr>
        <w:t>其市值</w:t>
      </w:r>
      <w:r w:rsidR="00C35BC5" w:rsidRPr="00565E0D">
        <w:rPr>
          <w:rFonts w:asciiTheme="minorEastAsia" w:eastAsiaTheme="minorEastAsia" w:hAnsiTheme="minorEastAsia"/>
          <w:sz w:val="21"/>
          <w:szCs w:val="21"/>
        </w:rPr>
        <w:t>不得超过基金资产净值的10%；</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2、</w:t>
      </w:r>
      <w:r w:rsidR="00C35BC5" w:rsidRPr="00565E0D">
        <w:rPr>
          <w:rFonts w:asciiTheme="minorEastAsia" w:eastAsiaTheme="minorEastAsia" w:hAnsiTheme="minorEastAsia"/>
          <w:sz w:val="21"/>
          <w:szCs w:val="21"/>
        </w:rPr>
        <w:t>本基金与由本基金管理人管理的其他基金</w:t>
      </w:r>
      <w:r w:rsidR="00C35BC5" w:rsidRPr="00565E0D">
        <w:rPr>
          <w:rFonts w:asciiTheme="minorEastAsia" w:eastAsiaTheme="minorEastAsia" w:hAnsiTheme="minorEastAsia" w:hint="eastAsia"/>
          <w:sz w:val="21"/>
          <w:szCs w:val="21"/>
        </w:rPr>
        <w:t>共同</w:t>
      </w:r>
      <w:r w:rsidR="00C35BC5" w:rsidRPr="00565E0D">
        <w:rPr>
          <w:rFonts w:asciiTheme="minorEastAsia" w:eastAsiaTheme="minorEastAsia" w:hAnsiTheme="minorEastAsia"/>
          <w:sz w:val="21"/>
          <w:szCs w:val="21"/>
        </w:rPr>
        <w:t>持有一家公司发行的证券，不得超过该证券的10%；</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3、</w:t>
      </w:r>
      <w:r w:rsidR="00C35BC5" w:rsidRPr="00565E0D">
        <w:rPr>
          <w:rFonts w:asciiTheme="minorEastAsia" w:eastAsiaTheme="minorEastAsia" w:hAnsiTheme="minorEastAsia" w:hint="eastAsia"/>
          <w:sz w:val="21"/>
          <w:szCs w:val="21"/>
        </w:rPr>
        <w:t>本基金不得违反本基金合同关于投资范围和投资比例的约定；</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4、</w:t>
      </w:r>
      <w:r w:rsidR="00C35BC5" w:rsidRPr="00565E0D">
        <w:rPr>
          <w:rFonts w:asciiTheme="minorEastAsia" w:eastAsiaTheme="minorEastAsia" w:hAnsiTheme="minorEastAsia" w:hint="eastAsia"/>
          <w:sz w:val="21"/>
          <w:szCs w:val="21"/>
        </w:rPr>
        <w:t>本基金投资股权分置改革中产生的权证，在任何交易日买入的总金额，不超过上一交易日基金资产净值的0.5%，基金持有的全部股改权证的市值不超过基金资产净值的3%，本公司管理的全部基金持有同一股改权证的比例不超过该权证的10%；本基金投资于其它权证的有关比例限制，遵从法规或监管部门的相关规定；</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5、</w:t>
      </w:r>
      <w:r w:rsidR="00C35BC5" w:rsidRPr="00565E0D">
        <w:rPr>
          <w:rFonts w:asciiTheme="minorEastAsia" w:eastAsiaTheme="minorEastAsia" w:hAnsiTheme="minorEastAsia" w:hint="eastAsia"/>
          <w:sz w:val="21"/>
          <w:szCs w:val="21"/>
        </w:rPr>
        <w:t>基金财产参与股票发行申购，本基金所申报的金额不得超过本基金的总资产，所申报的股票数量不得超过拟发行股票公司本次发行股票的总量；</w:t>
      </w:r>
    </w:p>
    <w:p w:rsidR="000E5ECA" w:rsidRPr="00565E0D" w:rsidRDefault="00552BE1" w:rsidP="006036A6">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lastRenderedPageBreak/>
        <w:t>6、</w:t>
      </w:r>
      <w:r w:rsidR="000E5ECA" w:rsidRPr="00565E0D">
        <w:rPr>
          <w:rFonts w:asciiTheme="minorEastAsia" w:eastAsiaTheme="minorEastAsia" w:hAnsiTheme="minorEastAsia" w:hint="eastAsia"/>
          <w:sz w:val="21"/>
          <w:szCs w:val="21"/>
        </w:rPr>
        <w:t>本基金管理人管理的全部开放式基金持有一家上市公司发行的可流通股票，不得超过该上市公司可流通股票的15%；本基金管理人管理的全部投资组合持有一家上市公司发行的可流通股票，不得超过该上市公司可流通股票的30%；</w:t>
      </w:r>
    </w:p>
    <w:p w:rsidR="000E5ECA" w:rsidRPr="00565E0D" w:rsidRDefault="000E5ECA" w:rsidP="006036A6">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7、本基金主动投资于流动性受限资产的市值合计不得超过该基金资产净值的15%。</w:t>
      </w:r>
    </w:p>
    <w:p w:rsidR="000E5ECA" w:rsidRPr="00565E0D" w:rsidRDefault="000E5ECA" w:rsidP="006036A6">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因证券市场波动、上市公司股票停牌、基金规模变动等基金管理人之外的因素致使基金不符合前款所规定比例限制的，基金管理人不得主动新增流动性受限资产的投资；</w:t>
      </w:r>
    </w:p>
    <w:p w:rsidR="000E5ECA" w:rsidRPr="00565E0D" w:rsidRDefault="000E5ECA" w:rsidP="000E5ECA">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8、本基金与私募类证券资管产品及中国证监会认定的其他主体为交易对手开展逆回购交易的，可接受质押品的资质要求应当与基金合同约定的投资范围保持一致；</w:t>
      </w:r>
    </w:p>
    <w:p w:rsidR="00C35BC5" w:rsidRPr="00565E0D" w:rsidRDefault="004F6E9A"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9、</w:t>
      </w:r>
      <w:r w:rsidR="00C35BC5" w:rsidRPr="00565E0D">
        <w:rPr>
          <w:rFonts w:asciiTheme="minorEastAsia" w:eastAsiaTheme="minorEastAsia" w:hAnsiTheme="minorEastAsia" w:hint="eastAsia"/>
          <w:sz w:val="21"/>
          <w:szCs w:val="21"/>
        </w:rPr>
        <w:t>相关法律法规以及监管部门规定的其它投资限制；</w:t>
      </w:r>
    </w:p>
    <w:p w:rsidR="00C35BC5" w:rsidRPr="00565E0D" w:rsidRDefault="00C35BC5" w:rsidP="00552BE1">
      <w:pPr>
        <w:snapToGrid w:val="0"/>
        <w:spacing w:line="360" w:lineRule="auto"/>
        <w:ind w:firstLineChars="200" w:firstLine="420"/>
        <w:rPr>
          <w:rStyle w:val="da"/>
          <w:rFonts w:asciiTheme="minorEastAsia" w:eastAsiaTheme="minorEastAsia" w:hAnsiTheme="minorEastAsia"/>
        </w:rPr>
      </w:pPr>
      <w:r w:rsidRPr="00565E0D">
        <w:rPr>
          <w:rStyle w:val="da"/>
          <w:rFonts w:asciiTheme="minorEastAsia" w:eastAsiaTheme="minorEastAsia" w:hAnsiTheme="minorEastAsia" w:hint="eastAsia"/>
        </w:rPr>
        <w:t>如</w:t>
      </w:r>
      <w:r w:rsidRPr="00565E0D">
        <w:rPr>
          <w:rStyle w:val="da"/>
          <w:rFonts w:asciiTheme="minorEastAsia" w:eastAsiaTheme="minorEastAsia" w:hAnsiTheme="minorEastAsia"/>
        </w:rPr>
        <w:t>法律法规或监管部门</w:t>
      </w:r>
      <w:r w:rsidRPr="00565E0D">
        <w:rPr>
          <w:rStyle w:val="da"/>
          <w:rFonts w:asciiTheme="minorEastAsia" w:eastAsiaTheme="minorEastAsia" w:hAnsiTheme="minorEastAsia" w:hint="eastAsia"/>
        </w:rPr>
        <w:t>取消上述限制性规定，本基金不受上述规定的限制</w:t>
      </w:r>
      <w:r w:rsidRPr="00565E0D">
        <w:rPr>
          <w:rStyle w:val="da"/>
          <w:rFonts w:asciiTheme="minorEastAsia" w:eastAsiaTheme="minorEastAsia" w:hAnsiTheme="minorEastAsia"/>
        </w:rPr>
        <w:t>。法律法规或监管部门对上述</w:t>
      </w:r>
      <w:r w:rsidRPr="00565E0D">
        <w:rPr>
          <w:rStyle w:val="da"/>
          <w:rFonts w:asciiTheme="minorEastAsia" w:eastAsiaTheme="minorEastAsia" w:hAnsiTheme="minorEastAsia" w:hint="eastAsia"/>
        </w:rPr>
        <w:t>投资</w:t>
      </w:r>
      <w:r w:rsidRPr="00565E0D">
        <w:rPr>
          <w:rStyle w:val="da"/>
          <w:rFonts w:asciiTheme="minorEastAsia" w:eastAsiaTheme="minorEastAsia" w:hAnsiTheme="minorEastAsia"/>
        </w:rPr>
        <w:t>限制另有规定的，本基金合同将从其规定；基金管理人可依据法律法规或监管部门规定直接进行变更，在变更前2个工作日内在基金管理人网站及指定报刊上发布公告，此项合同修改无须召开基金份额持有人大会。</w:t>
      </w:r>
    </w:p>
    <w:p w:rsidR="00C35BC5" w:rsidRPr="00565E0D" w:rsidRDefault="000E5ECA"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除上述5、7、8以外，</w:t>
      </w:r>
      <w:r w:rsidR="00C35BC5" w:rsidRPr="00565E0D">
        <w:rPr>
          <w:rFonts w:asciiTheme="minorEastAsia" w:eastAsiaTheme="minorEastAsia" w:hAnsiTheme="minorEastAsia"/>
        </w:rPr>
        <w:t>由于</w:t>
      </w:r>
      <w:r w:rsidR="00C35BC5" w:rsidRPr="00565E0D">
        <w:rPr>
          <w:rFonts w:asciiTheme="minorEastAsia" w:eastAsiaTheme="minorEastAsia" w:hAnsiTheme="minorEastAsia" w:hint="eastAsia"/>
        </w:rPr>
        <w:t>证券市场波动、上市公司合并</w:t>
      </w:r>
      <w:r w:rsidR="00C35BC5" w:rsidRPr="00565E0D">
        <w:rPr>
          <w:rFonts w:asciiTheme="minorEastAsia" w:eastAsiaTheme="minorEastAsia" w:hAnsiTheme="minorEastAsia"/>
        </w:rPr>
        <w:t>或</w:t>
      </w:r>
      <w:r w:rsidR="00C35BC5" w:rsidRPr="00565E0D">
        <w:rPr>
          <w:rFonts w:asciiTheme="minorEastAsia" w:eastAsiaTheme="minorEastAsia" w:hAnsiTheme="minorEastAsia" w:hint="eastAsia"/>
        </w:rPr>
        <w:t>基金规模变动等基金管理人之外的原因</w:t>
      </w:r>
      <w:r w:rsidR="00C35BC5" w:rsidRPr="00565E0D">
        <w:rPr>
          <w:rFonts w:asciiTheme="minorEastAsia" w:eastAsiaTheme="minorEastAsia" w:hAnsiTheme="minorEastAsia"/>
        </w:rPr>
        <w:t>导致投资组合</w:t>
      </w:r>
      <w:r w:rsidR="00C35BC5" w:rsidRPr="00565E0D">
        <w:rPr>
          <w:rFonts w:asciiTheme="minorEastAsia" w:eastAsiaTheme="minorEastAsia" w:hAnsiTheme="minorEastAsia" w:hint="eastAsia"/>
        </w:rPr>
        <w:t>不符合</w:t>
      </w:r>
      <w:r w:rsidR="00C35BC5" w:rsidRPr="00565E0D">
        <w:rPr>
          <w:rFonts w:asciiTheme="minorEastAsia" w:eastAsiaTheme="minorEastAsia" w:hAnsiTheme="minorEastAsia"/>
        </w:rPr>
        <w:t>上述约定比例</w:t>
      </w:r>
      <w:r w:rsidR="00C35BC5" w:rsidRPr="00565E0D">
        <w:rPr>
          <w:rFonts w:asciiTheme="minorEastAsia" w:eastAsiaTheme="minorEastAsia" w:hAnsiTheme="minorEastAsia" w:hint="eastAsia"/>
        </w:rPr>
        <w:t>的</w:t>
      </w:r>
      <w:r w:rsidR="00C35BC5" w:rsidRPr="00565E0D">
        <w:rPr>
          <w:rFonts w:asciiTheme="minorEastAsia" w:eastAsiaTheme="minorEastAsia" w:hAnsiTheme="minorEastAsia"/>
        </w:rPr>
        <w:t>，基金管理人应在</w:t>
      </w:r>
      <w:r w:rsidR="00C35BC5" w:rsidRPr="00565E0D">
        <w:rPr>
          <w:rFonts w:asciiTheme="minorEastAsia" w:eastAsiaTheme="minorEastAsia" w:hAnsiTheme="minorEastAsia" w:hint="eastAsia"/>
        </w:rPr>
        <w:t>10个交易日</w:t>
      </w:r>
      <w:r w:rsidR="00C35BC5" w:rsidRPr="00565E0D">
        <w:rPr>
          <w:rFonts w:asciiTheme="minorEastAsia" w:eastAsiaTheme="minorEastAsia" w:hAnsiTheme="minorEastAsia"/>
        </w:rPr>
        <w:t>内进行调整，以达到标准</w:t>
      </w:r>
      <w:r w:rsidR="00C35BC5" w:rsidRPr="00565E0D">
        <w:rPr>
          <w:rFonts w:asciiTheme="minorEastAsia" w:eastAsiaTheme="minorEastAsia" w:hAnsiTheme="minorEastAsia" w:hint="eastAsia"/>
        </w:rPr>
        <w:t>。法律法规另有规定的从其规定。</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09" w:name="_Toc38551210"/>
      <w:r w:rsidRPr="00565E0D">
        <w:rPr>
          <w:rFonts w:asciiTheme="minorEastAsia" w:eastAsiaTheme="minorEastAsia" w:hAnsiTheme="minorEastAsia" w:hint="eastAsia"/>
          <w:b w:val="0"/>
          <w:bCs/>
        </w:rPr>
        <w:t>（九）</w:t>
      </w:r>
      <w:bookmarkStart w:id="110" w:name="_Toc52310854"/>
      <w:r w:rsidRPr="00565E0D">
        <w:rPr>
          <w:rFonts w:asciiTheme="minorEastAsia" w:eastAsiaTheme="minorEastAsia" w:hAnsiTheme="minorEastAsia" w:hint="eastAsia"/>
          <w:b w:val="0"/>
          <w:bCs/>
        </w:rPr>
        <w:t>禁止行为</w:t>
      </w:r>
      <w:bookmarkEnd w:id="109"/>
      <w:bookmarkEnd w:id="110"/>
    </w:p>
    <w:p w:rsidR="00C35BC5" w:rsidRPr="00565E0D" w:rsidRDefault="00C35BC5"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为维护基金份额持有人的合法权益，本基金禁止从事下列行为：</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1、</w:t>
      </w:r>
      <w:r w:rsidR="00C35BC5" w:rsidRPr="00565E0D">
        <w:rPr>
          <w:rFonts w:asciiTheme="minorEastAsia" w:eastAsiaTheme="minorEastAsia" w:hAnsiTheme="minorEastAsia" w:hint="eastAsia"/>
          <w:sz w:val="21"/>
          <w:szCs w:val="21"/>
        </w:rPr>
        <w:t>承销证券；</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2、</w:t>
      </w:r>
      <w:r w:rsidR="00C35BC5" w:rsidRPr="00565E0D">
        <w:rPr>
          <w:rFonts w:asciiTheme="minorEastAsia" w:eastAsiaTheme="minorEastAsia" w:hAnsiTheme="minorEastAsia" w:hint="eastAsia"/>
          <w:sz w:val="21"/>
          <w:szCs w:val="21"/>
        </w:rPr>
        <w:t>向他人贷款或提供担保；</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3、</w:t>
      </w:r>
      <w:r w:rsidR="00C35BC5" w:rsidRPr="00565E0D">
        <w:rPr>
          <w:rFonts w:asciiTheme="minorEastAsia" w:eastAsiaTheme="minorEastAsia" w:hAnsiTheme="minorEastAsia"/>
          <w:sz w:val="21"/>
          <w:szCs w:val="21"/>
        </w:rPr>
        <w:t>从事承担无限责任的投资；</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4、</w:t>
      </w:r>
      <w:r w:rsidR="00C35BC5" w:rsidRPr="00565E0D">
        <w:rPr>
          <w:rFonts w:asciiTheme="minorEastAsia" w:eastAsiaTheme="minorEastAsia" w:hAnsiTheme="minorEastAsia" w:hint="eastAsia"/>
          <w:sz w:val="21"/>
          <w:szCs w:val="21"/>
        </w:rPr>
        <w:t>买卖其他基金份额，但国务院另有规定的除外；</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5、</w:t>
      </w:r>
      <w:r w:rsidR="00C35BC5" w:rsidRPr="00565E0D">
        <w:rPr>
          <w:rFonts w:asciiTheme="minorEastAsia" w:eastAsiaTheme="minorEastAsia" w:hAnsiTheme="minorEastAsia" w:hint="eastAsia"/>
          <w:sz w:val="21"/>
          <w:szCs w:val="21"/>
        </w:rPr>
        <w:t>向基金管理人、基金托管人出资或者买卖其基金管理人、基金托管人发行的股票或债券；</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6、</w:t>
      </w:r>
      <w:r w:rsidR="00C35BC5" w:rsidRPr="00565E0D">
        <w:rPr>
          <w:rFonts w:asciiTheme="minorEastAsia" w:eastAsiaTheme="minorEastAsia" w:hAnsiTheme="minorEastAsia" w:hint="eastAsia"/>
          <w:sz w:val="21"/>
          <w:szCs w:val="21"/>
        </w:rPr>
        <w:t>买卖与基金管理人、基金托管人有控股关系的股东或者与基金管理人、基金托管人有其他重大利害关系的公司发行的证券或者承销期内承销的证券；</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7、</w:t>
      </w:r>
      <w:r w:rsidR="00C35BC5" w:rsidRPr="00565E0D">
        <w:rPr>
          <w:rFonts w:asciiTheme="minorEastAsia" w:eastAsiaTheme="minorEastAsia" w:hAnsiTheme="minorEastAsia" w:hint="eastAsia"/>
          <w:sz w:val="21"/>
          <w:szCs w:val="21"/>
        </w:rPr>
        <w:t>从事内幕交易、操纵证券价格及其他不正当的证券交易活动；</w:t>
      </w:r>
    </w:p>
    <w:p w:rsidR="00C35BC5" w:rsidRPr="00565E0D" w:rsidRDefault="00552BE1" w:rsidP="00552BE1">
      <w:pPr>
        <w:pStyle w:val="CharCharCharCharCharCharChar"/>
        <w:numPr>
          <w:ilvl w:val="0"/>
          <w:numId w:val="0"/>
        </w:numPr>
        <w:snapToGrid w:val="0"/>
        <w:spacing w:after="0"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8、</w:t>
      </w:r>
      <w:r w:rsidR="00C35BC5" w:rsidRPr="00565E0D">
        <w:rPr>
          <w:rFonts w:asciiTheme="minorEastAsia" w:eastAsiaTheme="minorEastAsia" w:hAnsiTheme="minorEastAsia" w:hint="eastAsia"/>
          <w:sz w:val="21"/>
          <w:szCs w:val="21"/>
        </w:rPr>
        <w:t>当时有效的法律法规、中国证监会及《基金合同》规定禁止从事的其他行为。</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如</w:t>
      </w:r>
      <w:r w:rsidRPr="00565E0D">
        <w:rPr>
          <w:rFonts w:asciiTheme="minorEastAsia" w:eastAsiaTheme="minorEastAsia" w:hAnsiTheme="minorEastAsia"/>
        </w:rPr>
        <w:t>法律法规或监管部门</w:t>
      </w:r>
      <w:r w:rsidRPr="00565E0D">
        <w:rPr>
          <w:rFonts w:asciiTheme="minorEastAsia" w:eastAsiaTheme="minorEastAsia" w:hAnsiTheme="minorEastAsia" w:hint="eastAsia"/>
        </w:rPr>
        <w:t>取消上述禁止性规定，本基金不受上述规定的限制</w:t>
      </w:r>
      <w:r w:rsidRPr="00565E0D">
        <w:rPr>
          <w:rFonts w:asciiTheme="minorEastAsia" w:eastAsiaTheme="minorEastAsia" w:hAnsiTheme="minorEastAsia"/>
        </w:rPr>
        <w:t>。</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11" w:name="_Toc38551211"/>
      <w:r w:rsidRPr="00565E0D">
        <w:rPr>
          <w:rFonts w:asciiTheme="minorEastAsia" w:eastAsiaTheme="minorEastAsia" w:hAnsiTheme="minorEastAsia" w:hint="eastAsia"/>
          <w:b w:val="0"/>
          <w:bCs/>
        </w:rPr>
        <w:t>（十）基金管理人代表基金行使所投资证券产生权利的处理原则及方法</w:t>
      </w:r>
      <w:bookmarkEnd w:id="111"/>
    </w:p>
    <w:p w:rsidR="00C35BC5" w:rsidRPr="00565E0D" w:rsidRDefault="00552BE1" w:rsidP="00552BE1">
      <w:pPr>
        <w:snapToGrid w:val="0"/>
        <w:spacing w:line="360" w:lineRule="auto"/>
        <w:ind w:left="420"/>
        <w:rPr>
          <w:rFonts w:asciiTheme="minorEastAsia" w:eastAsiaTheme="minorEastAsia" w:hAnsiTheme="minorEastAsia"/>
        </w:rPr>
      </w:pPr>
      <w:r w:rsidRPr="00565E0D">
        <w:rPr>
          <w:rFonts w:asciiTheme="minorEastAsia" w:eastAsiaTheme="minorEastAsia" w:hAnsiTheme="minorEastAsia" w:hint="eastAsia"/>
        </w:rPr>
        <w:t>1、</w:t>
      </w:r>
      <w:r w:rsidR="00C35BC5" w:rsidRPr="00565E0D">
        <w:rPr>
          <w:rFonts w:asciiTheme="minorEastAsia" w:eastAsiaTheme="minorEastAsia" w:hAnsiTheme="minorEastAsia"/>
        </w:rPr>
        <w:t>不谋求对上市公司的控股，不参与所投资上市公司的经营管理；</w:t>
      </w:r>
    </w:p>
    <w:p w:rsidR="00C35BC5" w:rsidRPr="00565E0D" w:rsidRDefault="00552BE1" w:rsidP="00552BE1">
      <w:pPr>
        <w:snapToGrid w:val="0"/>
        <w:spacing w:line="360" w:lineRule="auto"/>
        <w:ind w:left="420"/>
        <w:rPr>
          <w:rFonts w:asciiTheme="minorEastAsia" w:eastAsiaTheme="minorEastAsia" w:hAnsiTheme="minorEastAsia"/>
        </w:rPr>
      </w:pPr>
      <w:r w:rsidRPr="00565E0D">
        <w:rPr>
          <w:rFonts w:asciiTheme="minorEastAsia" w:eastAsiaTheme="minorEastAsia" w:hAnsiTheme="minorEastAsia" w:hint="eastAsia"/>
        </w:rPr>
        <w:t>2、</w:t>
      </w:r>
      <w:r w:rsidR="00C35BC5" w:rsidRPr="00565E0D">
        <w:rPr>
          <w:rFonts w:asciiTheme="minorEastAsia" w:eastAsiaTheme="minorEastAsia" w:hAnsiTheme="minorEastAsia"/>
        </w:rPr>
        <w:t>有利于基金资产的安全与增值；</w:t>
      </w:r>
    </w:p>
    <w:p w:rsidR="00C35BC5" w:rsidRPr="00565E0D" w:rsidRDefault="00552BE1" w:rsidP="00552BE1">
      <w:pPr>
        <w:snapToGrid w:val="0"/>
        <w:spacing w:line="360" w:lineRule="auto"/>
        <w:ind w:left="420"/>
        <w:rPr>
          <w:rFonts w:asciiTheme="minorEastAsia" w:eastAsiaTheme="minorEastAsia" w:hAnsiTheme="minorEastAsia"/>
        </w:rPr>
      </w:pPr>
      <w:r w:rsidRPr="00565E0D">
        <w:rPr>
          <w:rFonts w:asciiTheme="minorEastAsia" w:eastAsiaTheme="minorEastAsia" w:hAnsiTheme="minorEastAsia" w:hint="eastAsia"/>
        </w:rPr>
        <w:lastRenderedPageBreak/>
        <w:t>3、</w:t>
      </w:r>
      <w:r w:rsidR="00C35BC5" w:rsidRPr="00565E0D">
        <w:rPr>
          <w:rFonts w:asciiTheme="minorEastAsia" w:eastAsiaTheme="minorEastAsia" w:hAnsiTheme="minorEastAsia"/>
        </w:rPr>
        <w:t>基金管理人按照国家有关规定代表基金独立行使股东权利，保护基金投资者的利益</w:t>
      </w:r>
      <w:r w:rsidR="00C35BC5" w:rsidRPr="00565E0D">
        <w:rPr>
          <w:rFonts w:asciiTheme="minorEastAsia" w:eastAsiaTheme="minorEastAsia" w:hAnsiTheme="minorEastAsia" w:hint="eastAsia"/>
        </w:rPr>
        <w:t>；</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12" w:name="_Toc174274397"/>
      <w:bookmarkStart w:id="113" w:name="_Toc38551212"/>
      <w:r w:rsidRPr="00565E0D">
        <w:rPr>
          <w:rFonts w:asciiTheme="minorEastAsia" w:eastAsiaTheme="minorEastAsia" w:hAnsiTheme="minorEastAsia" w:hint="eastAsia"/>
          <w:b w:val="0"/>
          <w:bCs/>
        </w:rPr>
        <w:t>（十</w:t>
      </w:r>
      <w:r w:rsidRPr="00565E0D">
        <w:rPr>
          <w:rFonts w:asciiTheme="minorEastAsia" w:eastAsiaTheme="minorEastAsia" w:hAnsiTheme="minorEastAsia" w:hint="eastAsia"/>
          <w:b w:val="0"/>
        </w:rPr>
        <w:t>一</w:t>
      </w:r>
      <w:r w:rsidRPr="00565E0D">
        <w:rPr>
          <w:rFonts w:asciiTheme="minorEastAsia" w:eastAsiaTheme="minorEastAsia" w:hAnsiTheme="minorEastAsia" w:hint="eastAsia"/>
          <w:b w:val="0"/>
          <w:bCs/>
        </w:rPr>
        <w:t>）基金的融资</w:t>
      </w:r>
      <w:bookmarkEnd w:id="112"/>
      <w:bookmarkEnd w:id="113"/>
    </w:p>
    <w:p w:rsidR="00C35BC5" w:rsidRPr="00565E0D" w:rsidRDefault="00C35BC5" w:rsidP="00552BE1">
      <w:pPr>
        <w:pStyle w:val="CharCharCharCharCharCharChar"/>
        <w:numPr>
          <w:ilvl w:val="0"/>
          <w:numId w:val="0"/>
        </w:numPr>
        <w:snapToGrid w:val="0"/>
        <w:spacing w:after="0" w:line="360" w:lineRule="auto"/>
        <w:ind w:firstLine="320"/>
        <w:rPr>
          <w:rFonts w:asciiTheme="minorEastAsia" w:eastAsiaTheme="minorEastAsia" w:hAnsiTheme="minorEastAsia"/>
        </w:rPr>
      </w:pPr>
      <w:r w:rsidRPr="00565E0D">
        <w:rPr>
          <w:rFonts w:asciiTheme="minorEastAsia" w:eastAsiaTheme="minorEastAsia" w:hAnsiTheme="minorEastAsia" w:hint="eastAsia"/>
          <w:sz w:val="21"/>
          <w:szCs w:val="21"/>
        </w:rPr>
        <w:t>本基金可以按照国家的有关规定进行融资。</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14" w:name="_Toc38551213"/>
      <w:r w:rsidRPr="00565E0D">
        <w:rPr>
          <w:rFonts w:asciiTheme="minorEastAsia" w:eastAsiaTheme="minorEastAsia" w:hAnsiTheme="minorEastAsia" w:hint="eastAsia"/>
          <w:b w:val="0"/>
          <w:bCs/>
        </w:rPr>
        <w:t>（十</w:t>
      </w:r>
      <w:r w:rsidRPr="00565E0D">
        <w:rPr>
          <w:rFonts w:asciiTheme="minorEastAsia" w:eastAsiaTheme="minorEastAsia" w:hAnsiTheme="minorEastAsia" w:hint="eastAsia"/>
          <w:b w:val="0"/>
        </w:rPr>
        <w:t>二</w:t>
      </w:r>
      <w:r w:rsidRPr="00565E0D">
        <w:rPr>
          <w:rFonts w:asciiTheme="minorEastAsia" w:eastAsiaTheme="minorEastAsia" w:hAnsiTheme="minorEastAsia" w:hint="eastAsia"/>
          <w:b w:val="0"/>
          <w:bCs/>
        </w:rPr>
        <w:t>）基金投资组合报告（未经审计）</w:t>
      </w:r>
      <w:bookmarkEnd w:id="114"/>
    </w:p>
    <w:p w:rsidR="00C35BC5" w:rsidRPr="00565E0D" w:rsidRDefault="00C35BC5" w:rsidP="00552BE1">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本基金管理人的董事会及董事保证本报告所载资料不存在虚假记载、误导性陈述或重大遗漏，并对其内容的真实性、准确性和完整性承担个别及连带责任。</w:t>
      </w:r>
    </w:p>
    <w:p w:rsidR="00C35BC5" w:rsidRPr="00565E0D" w:rsidRDefault="00C35BC5" w:rsidP="00552BE1">
      <w:pPr>
        <w:pStyle w:val="af5"/>
        <w:snapToGrid w:val="0"/>
        <w:spacing w:line="360" w:lineRule="auto"/>
        <w:ind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本基金的托管人中国工商银行股份有限公司根据本基金合同的规定，复核了本报告的内容，保证复核内容不存在虚假记载、误导性陈述或者重大遗漏。</w:t>
      </w:r>
    </w:p>
    <w:p w:rsidR="00C35BC5" w:rsidRPr="00565E0D" w:rsidRDefault="007417EC" w:rsidP="00552BE1">
      <w:pPr>
        <w:pStyle w:val="af5"/>
        <w:snapToGrid w:val="0"/>
        <w:spacing w:line="360" w:lineRule="auto"/>
        <w:ind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本投资组合报告有关数据的期间为2019年10月1日至2019年12月31日</w:t>
      </w:r>
      <w:r w:rsidR="003421C3" w:rsidRPr="00565E0D">
        <w:rPr>
          <w:rFonts w:asciiTheme="minorEastAsia" w:eastAsiaTheme="minorEastAsia" w:hAnsiTheme="minorEastAsia" w:hint="eastAsia"/>
          <w:sz w:val="21"/>
          <w:szCs w:val="21"/>
        </w:rPr>
        <w:t>。</w:t>
      </w:r>
    </w:p>
    <w:p w:rsidR="004643D5" w:rsidRPr="00565E0D" w:rsidRDefault="004643D5"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1、报告期末基金资产组合情况</w:t>
      </w:r>
    </w:p>
    <w:tbl>
      <w:tblPr>
        <w:tblW w:w="8000" w:type="dxa"/>
        <w:tblInd w:w="-171" w:type="dxa"/>
        <w:tblCellMar>
          <w:left w:w="0" w:type="dxa"/>
          <w:right w:w="0" w:type="dxa"/>
        </w:tblCellMar>
        <w:tblLook w:val="04A0" w:firstRow="1" w:lastRow="0" w:firstColumn="1" w:lastColumn="0" w:noHBand="0" w:noVBand="1"/>
      </w:tblPr>
      <w:tblGrid>
        <w:gridCol w:w="725"/>
        <w:gridCol w:w="2827"/>
        <w:gridCol w:w="2909"/>
        <w:gridCol w:w="1539"/>
      </w:tblGrid>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序号</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项目</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金额（元）</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占基金总资产的比例（%）</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1</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权益投资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5,206,914,404.27</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91.84</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17EC" w:rsidRPr="00565E0D" w:rsidRDefault="007417EC">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其中：股票</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5,206,914,404.27</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91.84</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2</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固定收益投资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147,606,871.12</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2.60</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17EC" w:rsidRPr="00565E0D" w:rsidRDefault="007417EC">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其中：债券</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147,606,871.12</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2.60</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17EC" w:rsidRPr="00565E0D" w:rsidRDefault="007417EC">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autoSpaceDE w:val="0"/>
              <w:autoSpaceDN w:val="0"/>
              <w:adjustRightInd w:val="0"/>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资产支持证券</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3</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7417EC" w:rsidRPr="00565E0D" w:rsidRDefault="007417EC">
            <w:pPr>
              <w:spacing w:before="29" w:line="300" w:lineRule="auto"/>
              <w:ind w:leftChars="50" w:left="105"/>
              <w:rPr>
                <w:rFonts w:asciiTheme="minorEastAsia" w:eastAsiaTheme="minorEastAsia" w:hAnsiTheme="minorEastAsia"/>
                <w:kern w:val="0"/>
              </w:rPr>
            </w:pPr>
            <w:r w:rsidRPr="00565E0D">
              <w:rPr>
                <w:rFonts w:asciiTheme="minorEastAsia" w:eastAsiaTheme="minorEastAsia" w:hAnsiTheme="minorEastAsia" w:hint="eastAsia"/>
                <w:kern w:val="0"/>
              </w:rPr>
              <w:t>贵金属投资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4</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金融衍生品投资</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5</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买入返售金融资产</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7417EC" w:rsidRPr="00565E0D" w:rsidRDefault="007417EC">
            <w:pPr>
              <w:spacing w:before="29" w:line="300" w:lineRule="auto"/>
              <w:ind w:left="17"/>
              <w:jc w:val="center"/>
              <w:rPr>
                <w:rFonts w:asciiTheme="minorEastAsia" w:eastAsiaTheme="minorEastAsia" w:hAnsiTheme="minorEastAsia"/>
                <w:kern w:val="0"/>
              </w:rPr>
            </w:pP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其中：买断式回购的买入返售金融资产</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6</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银行存款和结算备付金合计</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307,087,989.26</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5.42</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7</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left"/>
              <w:rPr>
                <w:rFonts w:asciiTheme="minorEastAsia" w:eastAsiaTheme="minorEastAsia" w:hAnsiTheme="minorEastAsia"/>
                <w:kern w:val="0"/>
              </w:rPr>
            </w:pPr>
            <w:r w:rsidRPr="00565E0D">
              <w:rPr>
                <w:rFonts w:asciiTheme="minorEastAsia" w:eastAsiaTheme="minorEastAsia" w:hAnsiTheme="minorEastAsia" w:hint="eastAsia"/>
                <w:kern w:val="0"/>
              </w:rPr>
              <w:t>其他资产</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7,886,759.47</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0.14</w:t>
            </w:r>
          </w:p>
        </w:tc>
      </w:tr>
      <w:tr w:rsidR="00565E0D" w:rsidRPr="00565E0D" w:rsidTr="007417EC">
        <w:tc>
          <w:tcPr>
            <w:tcW w:w="77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8</w:t>
            </w:r>
          </w:p>
        </w:tc>
        <w:tc>
          <w:tcPr>
            <w:tcW w:w="32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left"/>
              <w:rPr>
                <w:rFonts w:asciiTheme="minorEastAsia" w:eastAsiaTheme="minorEastAsia" w:hAnsiTheme="minorEastAsia"/>
                <w:kern w:val="0"/>
              </w:rPr>
            </w:pPr>
            <w:r w:rsidRPr="00565E0D">
              <w:rPr>
                <w:rFonts w:asciiTheme="minorEastAsia" w:eastAsiaTheme="minorEastAsia" w:hAnsiTheme="minorEastAsia" w:hint="eastAsia"/>
                <w:kern w:val="0"/>
              </w:rPr>
              <w:t>合计</w:t>
            </w:r>
          </w:p>
        </w:tc>
        <w:tc>
          <w:tcPr>
            <w:tcW w:w="30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5,669,496,024.12</w:t>
            </w:r>
          </w:p>
        </w:tc>
        <w:tc>
          <w:tcPr>
            <w:tcW w:w="166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100.00</w:t>
            </w:r>
          </w:p>
        </w:tc>
      </w:tr>
    </w:tbl>
    <w:p w:rsidR="004643D5" w:rsidRPr="00565E0D" w:rsidRDefault="004643D5"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2、报告期末按行业分类的股票投资组合</w:t>
      </w:r>
    </w:p>
    <w:p w:rsidR="004643D5" w:rsidRPr="00565E0D" w:rsidRDefault="004643D5"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（1）报告期末按行业分类的境内股票投资组合</w:t>
      </w:r>
    </w:p>
    <w:tbl>
      <w:tblPr>
        <w:tblW w:w="8000" w:type="dxa"/>
        <w:tblInd w:w="-171" w:type="dxa"/>
        <w:tblCellMar>
          <w:left w:w="0" w:type="dxa"/>
          <w:right w:w="0" w:type="dxa"/>
        </w:tblCellMar>
        <w:tblLook w:val="04A0" w:firstRow="1" w:lastRow="0" w:firstColumn="1" w:lastColumn="0" w:noHBand="0" w:noVBand="1"/>
      </w:tblPr>
      <w:tblGrid>
        <w:gridCol w:w="530"/>
        <w:gridCol w:w="3471"/>
        <w:gridCol w:w="2660"/>
        <w:gridCol w:w="1339"/>
      </w:tblGrid>
      <w:tr w:rsidR="00565E0D" w:rsidRPr="00565E0D" w:rsidTr="007417EC">
        <w:trPr>
          <w:trHeight w:val="390"/>
        </w:trPr>
        <w:tc>
          <w:tcPr>
            <w:tcW w:w="579" w:type="dxa"/>
            <w:tcBorders>
              <w:top w:val="single" w:sz="4" w:space="0" w:color="000000"/>
              <w:left w:val="single" w:sz="4" w:space="0" w:color="000000"/>
              <w:bottom w:val="single" w:sz="4" w:space="0" w:color="000000"/>
              <w:right w:val="single" w:sz="4" w:space="0" w:color="000000"/>
            </w:tcBorders>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代码</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行业类别</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公允价值（元）</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占基金资产净值比例（％）</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A</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农、林、牧、渔业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autoSpaceDE w:val="0"/>
              <w:autoSpaceDN w:val="0"/>
              <w:adjustRightInd w:val="0"/>
              <w:spacing w:before="29" w:line="300" w:lineRule="auto"/>
              <w:ind w:left="15"/>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utoSpaceDE w:val="0"/>
              <w:autoSpaceDN w:val="0"/>
              <w:adjustRightInd w:val="0"/>
              <w:spacing w:before="29" w:line="300" w:lineRule="auto"/>
              <w:ind w:left="15"/>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B</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采矿业</w:t>
            </w:r>
          </w:p>
        </w:tc>
        <w:tc>
          <w:tcPr>
            <w:tcW w:w="2816" w:type="dxa"/>
            <w:tcBorders>
              <w:top w:val="single" w:sz="4" w:space="0" w:color="000000"/>
              <w:left w:val="single" w:sz="4" w:space="0" w:color="auto"/>
              <w:bottom w:val="single" w:sz="4" w:space="0" w:color="000000"/>
              <w:right w:val="single" w:sz="4" w:space="0" w:color="000000"/>
            </w:tcBorders>
            <w:vAlign w:val="center"/>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p w:rsidR="007417EC" w:rsidRPr="00565E0D" w:rsidRDefault="007417EC">
            <w:pPr>
              <w:spacing w:line="300" w:lineRule="auto"/>
              <w:jc w:val="right"/>
              <w:rPr>
                <w:rFonts w:asciiTheme="minorEastAsia" w:eastAsiaTheme="minorEastAsia" w:hAnsiTheme="minorEastAsia"/>
                <w:kern w:val="0"/>
              </w:rPr>
            </w:pP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p w:rsidR="007417EC" w:rsidRPr="00565E0D" w:rsidRDefault="007417EC">
            <w:pPr>
              <w:spacing w:line="300" w:lineRule="auto"/>
              <w:jc w:val="right"/>
              <w:rPr>
                <w:rFonts w:asciiTheme="minorEastAsia" w:eastAsiaTheme="minorEastAsia" w:hAnsiTheme="minorEastAsia"/>
                <w:kern w:val="0"/>
              </w:rPr>
            </w:pP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C</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制造业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3,255,563,255.38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58.10</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lastRenderedPageBreak/>
              <w:t>D</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电力、热力、燃气及水生产和供应业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48,751,734.08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0.87</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E</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建筑业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F</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批发和零售业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G</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交通运输、仓储和邮政业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H</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住宿和餐饮业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I</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信息传输、软件和信息技术服务业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1,312,714,906.45</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23.43</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J</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金融业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106,873,325.28</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1.91</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K</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房地产业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L</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租赁和商务服务业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225,730,867.44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4.03</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M</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科学研究和技术服务业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N</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水利、环境和公共设施管理业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6,578.04</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0.00</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O</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居民服务、修理和其他服务业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P</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教育</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Q</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卫生和社会工作</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R</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文化、体育和娱乐业</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257,273,737.60</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4.59</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adjustRightInd w:val="0"/>
              <w:snapToGrid w:val="0"/>
              <w:spacing w:line="300" w:lineRule="auto"/>
              <w:jc w:val="center"/>
              <w:rPr>
                <w:rFonts w:asciiTheme="minorEastAsia" w:eastAsiaTheme="minorEastAsia" w:hAnsiTheme="minorEastAsia"/>
                <w:kern w:val="0"/>
              </w:rPr>
            </w:pPr>
            <w:r w:rsidRPr="00565E0D">
              <w:rPr>
                <w:rFonts w:asciiTheme="minorEastAsia" w:eastAsiaTheme="minorEastAsia" w:hAnsiTheme="minorEastAsia" w:hint="eastAsia"/>
                <w:kern w:val="0"/>
              </w:rPr>
              <w:t>S</w:t>
            </w: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综合</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trHeight w:val="285"/>
        </w:trPr>
        <w:tc>
          <w:tcPr>
            <w:tcW w:w="57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7417EC" w:rsidRPr="00565E0D" w:rsidRDefault="007417EC">
            <w:pPr>
              <w:adjustRightInd w:val="0"/>
              <w:snapToGrid w:val="0"/>
              <w:spacing w:line="300" w:lineRule="auto"/>
              <w:jc w:val="center"/>
              <w:rPr>
                <w:rFonts w:asciiTheme="minorEastAsia" w:eastAsiaTheme="minorEastAsia" w:hAnsiTheme="minorEastAsia"/>
                <w:kern w:val="0"/>
              </w:rPr>
            </w:pPr>
          </w:p>
        </w:tc>
        <w:tc>
          <w:tcPr>
            <w:tcW w:w="3956"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hideMark/>
          </w:tcPr>
          <w:p w:rsidR="007417EC" w:rsidRPr="00565E0D" w:rsidRDefault="007417EC">
            <w:pPr>
              <w:adjustRightInd w:val="0"/>
              <w:snapToGrid w:val="0"/>
              <w:spacing w:line="300" w:lineRule="auto"/>
              <w:rPr>
                <w:rFonts w:asciiTheme="minorEastAsia" w:eastAsiaTheme="minorEastAsia" w:hAnsiTheme="minorEastAsia"/>
                <w:kern w:val="0"/>
              </w:rPr>
            </w:pPr>
            <w:r w:rsidRPr="00565E0D">
              <w:rPr>
                <w:rFonts w:asciiTheme="minorEastAsia" w:eastAsiaTheme="minorEastAsia" w:hAnsiTheme="minorEastAsia" w:hint="eastAsia"/>
                <w:kern w:val="0"/>
              </w:rPr>
              <w:t>合计</w:t>
            </w:r>
          </w:p>
        </w:tc>
        <w:tc>
          <w:tcPr>
            <w:tcW w:w="2816" w:type="dxa"/>
            <w:tcBorders>
              <w:top w:val="single" w:sz="4" w:space="0" w:color="000000"/>
              <w:left w:val="single" w:sz="4" w:space="0" w:color="auto"/>
              <w:bottom w:val="single" w:sz="4" w:space="0" w:color="000000"/>
              <w:right w:val="single" w:sz="4" w:space="0" w:color="000000"/>
            </w:tcBorders>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5,206,914,404.27</w:t>
            </w:r>
          </w:p>
        </w:tc>
        <w:tc>
          <w:tcPr>
            <w:tcW w:w="14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7417EC" w:rsidRPr="00565E0D" w:rsidRDefault="007417EC">
            <w:pPr>
              <w:spacing w:line="300" w:lineRule="auto"/>
              <w:jc w:val="right"/>
              <w:rPr>
                <w:rFonts w:asciiTheme="minorEastAsia" w:eastAsiaTheme="minorEastAsia" w:hAnsiTheme="minorEastAsia"/>
                <w:kern w:val="0"/>
              </w:rPr>
            </w:pPr>
            <w:r w:rsidRPr="00565E0D">
              <w:rPr>
                <w:rFonts w:asciiTheme="minorEastAsia" w:eastAsiaTheme="minorEastAsia" w:hAnsiTheme="minorEastAsia" w:hint="eastAsia"/>
                <w:kern w:val="0"/>
              </w:rPr>
              <w:t>92.92</w:t>
            </w:r>
          </w:p>
        </w:tc>
      </w:tr>
    </w:tbl>
    <w:p w:rsidR="004643D5" w:rsidRPr="00565E0D" w:rsidRDefault="004643D5"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3、报告期末按公允价值占基金资产净值比例大小排序的前十名股票投资明细</w:t>
      </w:r>
    </w:p>
    <w:tbl>
      <w:tblPr>
        <w:tblW w:w="8000" w:type="dxa"/>
        <w:tblInd w:w="-171" w:type="dxa"/>
        <w:tblCellMar>
          <w:left w:w="0" w:type="dxa"/>
          <w:right w:w="0" w:type="dxa"/>
        </w:tblCellMar>
        <w:tblLook w:val="04A0" w:firstRow="1" w:lastRow="0" w:firstColumn="1" w:lastColumn="0" w:noHBand="0" w:noVBand="1"/>
      </w:tblPr>
      <w:tblGrid>
        <w:gridCol w:w="741"/>
        <w:gridCol w:w="1173"/>
        <w:gridCol w:w="1183"/>
        <w:gridCol w:w="1597"/>
        <w:gridCol w:w="1914"/>
        <w:gridCol w:w="1392"/>
      </w:tblGrid>
      <w:tr w:rsidR="00565E0D" w:rsidRPr="00565E0D" w:rsidTr="007417E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序号</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股票代码</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股票名称</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数量（股）</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autoSpaceDE w:val="0"/>
              <w:autoSpaceDN w:val="0"/>
              <w:adjustRightInd w:val="0"/>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公允价值（元）</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占基金资产净值比例（％）</w:t>
            </w:r>
          </w:p>
        </w:tc>
      </w:tr>
      <w:tr w:rsidR="00565E0D" w:rsidRPr="00565E0D" w:rsidTr="007417E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szCs w:val="21"/>
              </w:rPr>
            </w:pPr>
            <w:r w:rsidRPr="00565E0D">
              <w:rPr>
                <w:rFonts w:asciiTheme="minorEastAsia" w:eastAsiaTheme="minorEastAsia" w:hAnsiTheme="minorEastAsia" w:hint="eastAsia"/>
                <w:kern w:val="0"/>
              </w:rPr>
              <w:t>1</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szCs w:val="22"/>
              </w:rPr>
            </w:pPr>
            <w:r w:rsidRPr="00565E0D">
              <w:rPr>
                <w:rFonts w:asciiTheme="minorEastAsia" w:eastAsiaTheme="minorEastAsia" w:hAnsiTheme="minorEastAsia" w:hint="eastAsia"/>
                <w:kern w:val="0"/>
              </w:rPr>
              <w:t>002410</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广联达</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12,105,305</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411,338,263.90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7.34</w:t>
            </w:r>
          </w:p>
        </w:tc>
      </w:tr>
      <w:tr w:rsidR="00565E0D" w:rsidRPr="00565E0D" w:rsidTr="007417E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2</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600104</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上汽集团</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12,839,277</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306,216,756.45</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5.46</w:t>
            </w:r>
          </w:p>
        </w:tc>
      </w:tr>
      <w:tr w:rsidR="00565E0D" w:rsidRPr="00565E0D" w:rsidTr="007417E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3</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300207</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欣旺达</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14,318,923</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279,505,376.96</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4.99</w:t>
            </w:r>
          </w:p>
        </w:tc>
      </w:tr>
      <w:tr w:rsidR="00565E0D" w:rsidRPr="00565E0D" w:rsidTr="007417E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4</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300450</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先导智能</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5,665,655</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254,614,535.70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4.54</w:t>
            </w:r>
          </w:p>
        </w:tc>
      </w:tr>
      <w:tr w:rsidR="00565E0D" w:rsidRPr="00565E0D" w:rsidTr="007417E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5</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603338</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浙江鼎力</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3,452,349</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246,842,953.50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4.40</w:t>
            </w:r>
          </w:p>
        </w:tc>
      </w:tr>
      <w:tr w:rsidR="00565E0D" w:rsidRPr="00565E0D" w:rsidTr="007417E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6</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002415</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海康威视</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7,377,475</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241,538,531.50</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4.31</w:t>
            </w:r>
          </w:p>
        </w:tc>
      </w:tr>
      <w:tr w:rsidR="00565E0D" w:rsidRPr="00565E0D" w:rsidTr="007417E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7</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002027</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分众传媒</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36,059,244</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225,730,867.44</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4.03</w:t>
            </w:r>
          </w:p>
        </w:tc>
      </w:tr>
      <w:tr w:rsidR="00565E0D" w:rsidRPr="00565E0D" w:rsidTr="007417E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8</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600967</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内蒙一机</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19,955,978</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212,132,046.14</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3.79</w:t>
            </w:r>
          </w:p>
        </w:tc>
      </w:tr>
      <w:tr w:rsidR="00565E0D" w:rsidRPr="00565E0D" w:rsidTr="007417E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9</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000625</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长安汽车</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20,672,905</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207,349,237.15</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3.70</w:t>
            </w:r>
          </w:p>
        </w:tc>
      </w:tr>
      <w:tr w:rsidR="00565E0D" w:rsidRPr="00565E0D" w:rsidTr="007417EC">
        <w:tc>
          <w:tcPr>
            <w:tcW w:w="8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10</w:t>
            </w:r>
          </w:p>
        </w:tc>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300144</w:t>
            </w:r>
          </w:p>
        </w:tc>
        <w:tc>
          <w:tcPr>
            <w:tcW w:w="142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宋城演艺</w:t>
            </w:r>
          </w:p>
        </w:tc>
        <w:tc>
          <w:tcPr>
            <w:tcW w:w="1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6,206,572</w:t>
            </w:r>
          </w:p>
        </w:tc>
        <w:tc>
          <w:tcPr>
            <w:tcW w:w="19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191,845,140.52</w:t>
            </w:r>
          </w:p>
        </w:tc>
        <w:tc>
          <w:tcPr>
            <w:tcW w:w="156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3.42</w:t>
            </w:r>
          </w:p>
        </w:tc>
      </w:tr>
    </w:tbl>
    <w:p w:rsidR="004643D5" w:rsidRPr="00565E0D" w:rsidRDefault="004643D5"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4、报告期末按债券品种分类的债券投资组合</w:t>
      </w:r>
    </w:p>
    <w:tbl>
      <w:tblPr>
        <w:tblStyle w:val="afff0"/>
        <w:tblW w:w="8004" w:type="dxa"/>
        <w:jc w:val="center"/>
        <w:tblLayout w:type="fixed"/>
        <w:tblLook w:val="04A0" w:firstRow="1" w:lastRow="0" w:firstColumn="1" w:lastColumn="0" w:noHBand="0" w:noVBand="1"/>
      </w:tblPr>
      <w:tblGrid>
        <w:gridCol w:w="762"/>
        <w:gridCol w:w="2969"/>
        <w:gridCol w:w="2688"/>
        <w:gridCol w:w="1585"/>
      </w:tblGrid>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rPr>
            </w:pPr>
            <w:r w:rsidRPr="00565E0D">
              <w:rPr>
                <w:rFonts w:asciiTheme="minorEastAsia" w:eastAsiaTheme="minorEastAsia" w:hAnsiTheme="minorEastAsia" w:cstheme="minorBidi" w:hint="eastAsia"/>
              </w:rPr>
              <w:t>序号</w:t>
            </w: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债券品种</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公允价值(元)</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占基金资产净值比例(％)</w:t>
            </w:r>
          </w:p>
        </w:tc>
      </w:tr>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lastRenderedPageBreak/>
              <w:t>1</w:t>
            </w: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国家债券</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2</w:t>
            </w: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央行票据</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3</w:t>
            </w: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金融债券</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130,247,000.00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2.32</w:t>
            </w:r>
          </w:p>
        </w:tc>
      </w:tr>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tcPr>
          <w:p w:rsidR="007417EC" w:rsidRPr="00565E0D" w:rsidRDefault="007417EC">
            <w:pPr>
              <w:spacing w:before="29" w:line="300" w:lineRule="auto"/>
              <w:ind w:left="17"/>
              <w:jc w:val="center"/>
              <w:rPr>
                <w:rFonts w:asciiTheme="minorEastAsia" w:eastAsiaTheme="minorEastAsia" w:hAnsiTheme="minorEastAsia"/>
                <w:kern w:val="0"/>
              </w:rPr>
            </w:pP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其中：政策性金融债</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130,247,000.00</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2.32</w:t>
            </w:r>
          </w:p>
        </w:tc>
      </w:tr>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4</w:t>
            </w: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企业债券</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5</w:t>
            </w: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企业短期融资券</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6</w:t>
            </w: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中期票据</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7</w:t>
            </w: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可转债（可交换债）</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17,359,871.12</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0.31</w:t>
            </w:r>
          </w:p>
        </w:tc>
      </w:tr>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8</w:t>
            </w: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同业存单</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9</w:t>
            </w: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其他</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7417EC">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10</w:t>
            </w:r>
          </w:p>
        </w:tc>
        <w:tc>
          <w:tcPr>
            <w:tcW w:w="3262"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left"/>
              <w:rPr>
                <w:rFonts w:asciiTheme="minorEastAsia" w:eastAsiaTheme="minorEastAsia" w:hAnsiTheme="minorEastAsia"/>
                <w:kern w:val="0"/>
              </w:rPr>
            </w:pPr>
            <w:r w:rsidRPr="00565E0D">
              <w:rPr>
                <w:rFonts w:asciiTheme="minorEastAsia" w:eastAsiaTheme="minorEastAsia" w:hAnsiTheme="minorEastAsia" w:hint="eastAsia"/>
                <w:kern w:val="0"/>
              </w:rPr>
              <w:t>合计</w:t>
            </w:r>
          </w:p>
        </w:tc>
        <w:tc>
          <w:tcPr>
            <w:tcW w:w="295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147,606,871.12</w:t>
            </w:r>
          </w:p>
        </w:tc>
        <w:tc>
          <w:tcPr>
            <w:tcW w:w="173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right"/>
              <w:rPr>
                <w:rFonts w:asciiTheme="minorEastAsia" w:eastAsiaTheme="minorEastAsia" w:hAnsiTheme="minorEastAsia"/>
                <w:kern w:val="0"/>
              </w:rPr>
            </w:pPr>
            <w:r w:rsidRPr="00565E0D">
              <w:rPr>
                <w:rFonts w:asciiTheme="minorEastAsia" w:eastAsiaTheme="minorEastAsia" w:hAnsiTheme="minorEastAsia" w:hint="eastAsia"/>
                <w:kern w:val="0"/>
              </w:rPr>
              <w:t>2.63</w:t>
            </w:r>
          </w:p>
        </w:tc>
      </w:tr>
    </w:tbl>
    <w:p w:rsidR="007417EC"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5、报告期末按公允价值占基金资产净值比例大小排序的前五名债券投资明细</w:t>
      </w:r>
    </w:p>
    <w:tbl>
      <w:tblPr>
        <w:tblW w:w="80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7"/>
        <w:gridCol w:w="1199"/>
        <w:gridCol w:w="1198"/>
        <w:gridCol w:w="1462"/>
        <w:gridCol w:w="1855"/>
        <w:gridCol w:w="1383"/>
      </w:tblGrid>
      <w:tr w:rsidR="00565E0D" w:rsidRPr="00565E0D" w:rsidTr="007417EC">
        <w:tc>
          <w:tcPr>
            <w:tcW w:w="959"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cstheme="minorBidi"/>
                <w:kern w:val="0"/>
              </w:rPr>
            </w:pPr>
            <w:r w:rsidRPr="00565E0D">
              <w:rPr>
                <w:rFonts w:asciiTheme="minorEastAsia" w:eastAsiaTheme="minorEastAsia" w:hAnsiTheme="minorEastAsia" w:hint="eastAsia"/>
                <w:kern w:val="0"/>
              </w:rPr>
              <w:t>序号</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债券代码</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债券名称</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数量（张）</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公允价值（元）</w:t>
            </w:r>
          </w:p>
        </w:tc>
        <w:tc>
          <w:tcPr>
            <w:tcW w:w="147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占基金资产净值比例（％）</w:t>
            </w:r>
          </w:p>
        </w:tc>
      </w:tr>
      <w:tr w:rsidR="00565E0D" w:rsidRPr="00565E0D" w:rsidTr="007417EC">
        <w:tc>
          <w:tcPr>
            <w:tcW w:w="959"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szCs w:val="21"/>
              </w:rPr>
            </w:pPr>
            <w:r w:rsidRPr="00565E0D">
              <w:rPr>
                <w:rFonts w:asciiTheme="minorEastAsia" w:eastAsiaTheme="minorEastAsia" w:hAnsiTheme="minorEastAsia" w:hint="eastAsia"/>
                <w:kern w:val="0"/>
              </w:rPr>
              <w:t>1</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szCs w:val="22"/>
              </w:rPr>
            </w:pPr>
            <w:r w:rsidRPr="00565E0D">
              <w:rPr>
                <w:rFonts w:asciiTheme="minorEastAsia" w:eastAsiaTheme="minorEastAsia" w:hAnsiTheme="minorEastAsia" w:hint="eastAsia"/>
                <w:kern w:val="0"/>
              </w:rPr>
              <w:t>190402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19农发02</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1,000,000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100,070,000.00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1.79</w:t>
            </w:r>
          </w:p>
        </w:tc>
      </w:tr>
      <w:tr w:rsidR="00565E0D" w:rsidRPr="00565E0D" w:rsidTr="007417EC">
        <w:tc>
          <w:tcPr>
            <w:tcW w:w="959"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2</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150415</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15农发15</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300,000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30,177,000.00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0.54</w:t>
            </w:r>
          </w:p>
        </w:tc>
      </w:tr>
      <w:tr w:rsidR="00565E0D" w:rsidRPr="00565E0D" w:rsidTr="007417EC">
        <w:tc>
          <w:tcPr>
            <w:tcW w:w="959"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123036</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先导转债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64,271</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6,427,100.00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0.11</w:t>
            </w:r>
          </w:p>
        </w:tc>
      </w:tr>
      <w:tr w:rsidR="00565E0D" w:rsidRPr="00565E0D" w:rsidTr="007417EC">
        <w:tc>
          <w:tcPr>
            <w:tcW w:w="959"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4</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120003</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19华菱EB</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42,276</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4,865,967.60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0.09</w:t>
            </w:r>
          </w:p>
        </w:tc>
      </w:tr>
      <w:tr w:rsidR="00565E0D" w:rsidRPr="00565E0D" w:rsidTr="007417EC">
        <w:tc>
          <w:tcPr>
            <w:tcW w:w="959"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5</w:t>
            </w:r>
          </w:p>
        </w:tc>
        <w:tc>
          <w:tcPr>
            <w:tcW w:w="1276"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113552</w:t>
            </w:r>
          </w:p>
        </w:tc>
        <w:tc>
          <w:tcPr>
            <w:tcW w:w="1275"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克来转债</w:t>
            </w:r>
          </w:p>
        </w:tc>
        <w:tc>
          <w:tcPr>
            <w:tcW w:w="156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18,880</w:t>
            </w:r>
          </w:p>
        </w:tc>
        <w:tc>
          <w:tcPr>
            <w:tcW w:w="198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2,340,742.40</w:t>
            </w:r>
          </w:p>
        </w:tc>
        <w:tc>
          <w:tcPr>
            <w:tcW w:w="1474"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0.04</w:t>
            </w:r>
          </w:p>
        </w:tc>
      </w:tr>
    </w:tbl>
    <w:p w:rsidR="004643D5" w:rsidRPr="00565E0D" w:rsidRDefault="004643D5"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6、报告期末按公允价值占基金资产净值比例大小排序的前十名资产支持证券投资明细</w:t>
      </w:r>
    </w:p>
    <w:p w:rsidR="007417EC"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本基金本报告期末未持有资产支持证券。</w:t>
      </w:r>
    </w:p>
    <w:p w:rsidR="004643D5" w:rsidRPr="00565E0D" w:rsidRDefault="004643D5"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7、报告期末按公允价值占基金资产净值比例大小排序的前五名贵金属投资明细</w:t>
      </w:r>
    </w:p>
    <w:p w:rsidR="007417EC"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本基金本报告期末未持有贵金属。</w:t>
      </w:r>
    </w:p>
    <w:p w:rsidR="004643D5" w:rsidRPr="00565E0D" w:rsidRDefault="004643D5"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8、报告期末按公允价值占基金资产净值比例大小排序的前五名权证投资明细</w:t>
      </w:r>
    </w:p>
    <w:p w:rsidR="007417EC"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本基金本报告期末未持有权证。</w:t>
      </w:r>
    </w:p>
    <w:p w:rsidR="004643D5" w:rsidRPr="00565E0D" w:rsidRDefault="004643D5"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9、报告期末本基金投资的股指期货交易情况说明</w:t>
      </w:r>
    </w:p>
    <w:p w:rsidR="007417EC"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本基金本报告期末未投资股指期货。</w:t>
      </w:r>
    </w:p>
    <w:p w:rsidR="004643D5" w:rsidRPr="00565E0D" w:rsidRDefault="004643D5"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10、报告期末本基金投资的国债期货交易情况说明</w:t>
      </w:r>
    </w:p>
    <w:p w:rsidR="007417EC"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本基金本报告期末未投资国债期货。</w:t>
      </w:r>
    </w:p>
    <w:p w:rsidR="007417EC"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11、投资组合报告附注</w:t>
      </w:r>
    </w:p>
    <w:p w:rsidR="007417EC"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（1）本基金投资的前十名证券的发行主体本期没有出现被监管部门立案调查，或在报告编制日前一年内受到公开谴责、处罚的情形。</w:t>
      </w:r>
    </w:p>
    <w:p w:rsidR="007417EC"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（2）本基金投资的前十名股票没有超出基金合同规定的备选股票库。</w:t>
      </w:r>
    </w:p>
    <w:p w:rsidR="007417EC"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lastRenderedPageBreak/>
        <w:t>（3）其他各项资产构成</w:t>
      </w:r>
    </w:p>
    <w:tbl>
      <w:tblPr>
        <w:tblW w:w="800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3"/>
        <w:gridCol w:w="3647"/>
        <w:gridCol w:w="2700"/>
      </w:tblGrid>
      <w:tr w:rsidR="00565E0D" w:rsidRPr="00565E0D" w:rsidTr="00D7714F">
        <w:tc>
          <w:tcPr>
            <w:tcW w:w="1653"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序号</w:t>
            </w:r>
          </w:p>
        </w:tc>
        <w:tc>
          <w:tcPr>
            <w:tcW w:w="364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名称</w:t>
            </w:r>
          </w:p>
        </w:tc>
        <w:tc>
          <w:tcPr>
            <w:tcW w:w="270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金额（元）</w:t>
            </w:r>
          </w:p>
        </w:tc>
      </w:tr>
      <w:tr w:rsidR="00565E0D" w:rsidRPr="00565E0D" w:rsidTr="00D7714F">
        <w:tc>
          <w:tcPr>
            <w:tcW w:w="1653"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center"/>
              <w:rPr>
                <w:rFonts w:asciiTheme="minorEastAsia" w:eastAsiaTheme="minorEastAsia" w:hAnsiTheme="minorEastAsia"/>
                <w:kern w:val="0"/>
              </w:rPr>
            </w:pPr>
            <w:r w:rsidRPr="00565E0D">
              <w:rPr>
                <w:rFonts w:asciiTheme="minorEastAsia" w:eastAsiaTheme="minorEastAsia" w:hAnsiTheme="minorEastAsia" w:hint="eastAsia"/>
                <w:kern w:val="0"/>
              </w:rPr>
              <w:t>1</w:t>
            </w:r>
          </w:p>
        </w:tc>
        <w:tc>
          <w:tcPr>
            <w:tcW w:w="364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left"/>
              <w:rPr>
                <w:rFonts w:asciiTheme="minorEastAsia" w:eastAsiaTheme="minorEastAsia" w:hAnsiTheme="minorEastAsia"/>
                <w:kern w:val="0"/>
              </w:rPr>
            </w:pPr>
            <w:r w:rsidRPr="00565E0D">
              <w:rPr>
                <w:rFonts w:asciiTheme="minorEastAsia" w:eastAsiaTheme="minorEastAsia" w:hAnsiTheme="minorEastAsia" w:hint="eastAsia"/>
                <w:kern w:val="0"/>
              </w:rPr>
              <w:t>存出保证金</w:t>
            </w:r>
          </w:p>
        </w:tc>
        <w:tc>
          <w:tcPr>
            <w:tcW w:w="270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right"/>
              <w:rPr>
                <w:rFonts w:asciiTheme="minorEastAsia" w:eastAsiaTheme="minorEastAsia" w:hAnsiTheme="minorEastAsia"/>
                <w:kern w:val="0"/>
              </w:rPr>
            </w:pPr>
            <w:r w:rsidRPr="00565E0D">
              <w:rPr>
                <w:rFonts w:asciiTheme="minorEastAsia" w:eastAsiaTheme="minorEastAsia" w:hAnsiTheme="minorEastAsia" w:hint="eastAsia"/>
                <w:kern w:val="0"/>
              </w:rPr>
              <w:t>1,197,942.97</w:t>
            </w:r>
          </w:p>
        </w:tc>
      </w:tr>
      <w:tr w:rsidR="00565E0D" w:rsidRPr="00565E0D" w:rsidTr="00D7714F">
        <w:tc>
          <w:tcPr>
            <w:tcW w:w="1653"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center"/>
              <w:rPr>
                <w:rFonts w:asciiTheme="minorEastAsia" w:eastAsiaTheme="minorEastAsia" w:hAnsiTheme="minorEastAsia"/>
                <w:kern w:val="0"/>
              </w:rPr>
            </w:pPr>
            <w:r w:rsidRPr="00565E0D">
              <w:rPr>
                <w:rFonts w:asciiTheme="minorEastAsia" w:eastAsiaTheme="minorEastAsia" w:hAnsiTheme="minorEastAsia" w:hint="eastAsia"/>
                <w:kern w:val="0"/>
              </w:rPr>
              <w:t>2</w:t>
            </w:r>
          </w:p>
        </w:tc>
        <w:tc>
          <w:tcPr>
            <w:tcW w:w="364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left"/>
              <w:rPr>
                <w:rFonts w:asciiTheme="minorEastAsia" w:eastAsiaTheme="minorEastAsia" w:hAnsiTheme="minorEastAsia"/>
                <w:kern w:val="0"/>
              </w:rPr>
            </w:pPr>
            <w:r w:rsidRPr="00565E0D">
              <w:rPr>
                <w:rFonts w:asciiTheme="minorEastAsia" w:eastAsiaTheme="minorEastAsia" w:hAnsiTheme="minorEastAsia" w:hint="eastAsia"/>
                <w:kern w:val="0"/>
              </w:rPr>
              <w:t>应收证券清算款</w:t>
            </w:r>
          </w:p>
        </w:tc>
        <w:tc>
          <w:tcPr>
            <w:tcW w:w="270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right"/>
              <w:rPr>
                <w:rFonts w:asciiTheme="minorEastAsia" w:eastAsiaTheme="minorEastAsia" w:hAnsiTheme="minorEastAsia"/>
                <w:kern w:val="0"/>
              </w:rPr>
            </w:pPr>
            <w:r w:rsidRPr="00565E0D">
              <w:rPr>
                <w:rFonts w:asciiTheme="minorEastAsia" w:eastAsiaTheme="minorEastAsia" w:hAnsiTheme="minorEastAsia" w:hint="eastAsia"/>
                <w:kern w:val="0"/>
              </w:rPr>
              <w:t>2,986,371.83</w:t>
            </w:r>
          </w:p>
        </w:tc>
      </w:tr>
      <w:tr w:rsidR="00565E0D" w:rsidRPr="00565E0D" w:rsidTr="00D7714F">
        <w:tc>
          <w:tcPr>
            <w:tcW w:w="1653"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center"/>
              <w:rPr>
                <w:rFonts w:asciiTheme="minorEastAsia" w:eastAsiaTheme="minorEastAsia" w:hAnsiTheme="minorEastAsia"/>
                <w:kern w:val="0"/>
              </w:rPr>
            </w:pPr>
            <w:r w:rsidRPr="00565E0D">
              <w:rPr>
                <w:rFonts w:asciiTheme="minorEastAsia" w:eastAsiaTheme="minorEastAsia" w:hAnsiTheme="minorEastAsia" w:hint="eastAsia"/>
                <w:kern w:val="0"/>
              </w:rPr>
              <w:t>3</w:t>
            </w:r>
          </w:p>
        </w:tc>
        <w:tc>
          <w:tcPr>
            <w:tcW w:w="364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left"/>
              <w:rPr>
                <w:rFonts w:asciiTheme="minorEastAsia" w:eastAsiaTheme="minorEastAsia" w:hAnsiTheme="minorEastAsia"/>
                <w:kern w:val="0"/>
              </w:rPr>
            </w:pPr>
            <w:r w:rsidRPr="00565E0D">
              <w:rPr>
                <w:rFonts w:asciiTheme="minorEastAsia" w:eastAsiaTheme="minorEastAsia" w:hAnsiTheme="minorEastAsia" w:hint="eastAsia"/>
                <w:kern w:val="0"/>
              </w:rPr>
              <w:t>应收股利</w:t>
            </w:r>
          </w:p>
        </w:tc>
        <w:tc>
          <w:tcPr>
            <w:tcW w:w="270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D7714F">
        <w:tc>
          <w:tcPr>
            <w:tcW w:w="1653"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center"/>
              <w:rPr>
                <w:rFonts w:asciiTheme="minorEastAsia" w:eastAsiaTheme="minorEastAsia" w:hAnsiTheme="minorEastAsia"/>
                <w:kern w:val="0"/>
              </w:rPr>
            </w:pPr>
            <w:r w:rsidRPr="00565E0D">
              <w:rPr>
                <w:rFonts w:asciiTheme="minorEastAsia" w:eastAsiaTheme="minorEastAsia" w:hAnsiTheme="minorEastAsia" w:hint="eastAsia"/>
                <w:kern w:val="0"/>
              </w:rPr>
              <w:t>4</w:t>
            </w:r>
          </w:p>
        </w:tc>
        <w:tc>
          <w:tcPr>
            <w:tcW w:w="364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left"/>
              <w:rPr>
                <w:rFonts w:asciiTheme="minorEastAsia" w:eastAsiaTheme="minorEastAsia" w:hAnsiTheme="minorEastAsia"/>
                <w:kern w:val="0"/>
              </w:rPr>
            </w:pPr>
            <w:r w:rsidRPr="00565E0D">
              <w:rPr>
                <w:rFonts w:asciiTheme="minorEastAsia" w:eastAsiaTheme="minorEastAsia" w:hAnsiTheme="minorEastAsia" w:hint="eastAsia"/>
                <w:kern w:val="0"/>
              </w:rPr>
              <w:t>应收利息</w:t>
            </w:r>
          </w:p>
        </w:tc>
        <w:tc>
          <w:tcPr>
            <w:tcW w:w="270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right"/>
              <w:rPr>
                <w:rFonts w:asciiTheme="minorEastAsia" w:eastAsiaTheme="minorEastAsia" w:hAnsiTheme="minorEastAsia"/>
                <w:kern w:val="0"/>
              </w:rPr>
            </w:pPr>
            <w:r w:rsidRPr="00565E0D">
              <w:rPr>
                <w:rFonts w:asciiTheme="minorEastAsia" w:eastAsiaTheme="minorEastAsia" w:hAnsiTheme="minorEastAsia" w:hint="eastAsia"/>
                <w:kern w:val="0"/>
              </w:rPr>
              <w:t>2,685,060.67</w:t>
            </w:r>
          </w:p>
        </w:tc>
      </w:tr>
      <w:tr w:rsidR="00565E0D" w:rsidRPr="00565E0D" w:rsidTr="00D7714F">
        <w:tc>
          <w:tcPr>
            <w:tcW w:w="1653"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center"/>
              <w:rPr>
                <w:rFonts w:asciiTheme="minorEastAsia" w:eastAsiaTheme="minorEastAsia" w:hAnsiTheme="minorEastAsia"/>
                <w:kern w:val="0"/>
              </w:rPr>
            </w:pPr>
            <w:r w:rsidRPr="00565E0D">
              <w:rPr>
                <w:rFonts w:asciiTheme="minorEastAsia" w:eastAsiaTheme="minorEastAsia" w:hAnsiTheme="minorEastAsia" w:hint="eastAsia"/>
                <w:kern w:val="0"/>
              </w:rPr>
              <w:t>5</w:t>
            </w:r>
          </w:p>
        </w:tc>
        <w:tc>
          <w:tcPr>
            <w:tcW w:w="364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left"/>
              <w:rPr>
                <w:rFonts w:asciiTheme="minorEastAsia" w:eastAsiaTheme="minorEastAsia" w:hAnsiTheme="minorEastAsia"/>
                <w:kern w:val="0"/>
              </w:rPr>
            </w:pPr>
            <w:r w:rsidRPr="00565E0D">
              <w:rPr>
                <w:rFonts w:asciiTheme="minorEastAsia" w:eastAsiaTheme="minorEastAsia" w:hAnsiTheme="minorEastAsia" w:hint="eastAsia"/>
                <w:kern w:val="0"/>
              </w:rPr>
              <w:t>应收申购款</w:t>
            </w:r>
          </w:p>
        </w:tc>
        <w:tc>
          <w:tcPr>
            <w:tcW w:w="270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right"/>
              <w:rPr>
                <w:rFonts w:asciiTheme="minorEastAsia" w:eastAsiaTheme="minorEastAsia" w:hAnsiTheme="minorEastAsia"/>
                <w:kern w:val="0"/>
              </w:rPr>
            </w:pPr>
            <w:r w:rsidRPr="00565E0D">
              <w:rPr>
                <w:rFonts w:asciiTheme="minorEastAsia" w:eastAsiaTheme="minorEastAsia" w:hAnsiTheme="minorEastAsia" w:hint="eastAsia"/>
                <w:kern w:val="0"/>
              </w:rPr>
              <w:t>1,017,384.00</w:t>
            </w:r>
          </w:p>
        </w:tc>
      </w:tr>
      <w:tr w:rsidR="00565E0D" w:rsidRPr="00565E0D" w:rsidTr="00D7714F">
        <w:tc>
          <w:tcPr>
            <w:tcW w:w="1653"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center"/>
              <w:rPr>
                <w:rFonts w:asciiTheme="minorEastAsia" w:eastAsiaTheme="minorEastAsia" w:hAnsiTheme="minorEastAsia"/>
                <w:kern w:val="0"/>
              </w:rPr>
            </w:pPr>
            <w:r w:rsidRPr="00565E0D">
              <w:rPr>
                <w:rFonts w:asciiTheme="minorEastAsia" w:eastAsiaTheme="minorEastAsia" w:hAnsiTheme="minorEastAsia" w:hint="eastAsia"/>
                <w:kern w:val="0"/>
              </w:rPr>
              <w:t>6</w:t>
            </w:r>
          </w:p>
        </w:tc>
        <w:tc>
          <w:tcPr>
            <w:tcW w:w="364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left"/>
              <w:rPr>
                <w:rFonts w:asciiTheme="minorEastAsia" w:eastAsiaTheme="minorEastAsia" w:hAnsiTheme="minorEastAsia"/>
                <w:kern w:val="0"/>
              </w:rPr>
            </w:pPr>
            <w:r w:rsidRPr="00565E0D">
              <w:rPr>
                <w:rFonts w:asciiTheme="minorEastAsia" w:eastAsiaTheme="minorEastAsia" w:hAnsiTheme="minorEastAsia" w:hint="eastAsia"/>
                <w:kern w:val="0"/>
              </w:rPr>
              <w:t>其他应收款</w:t>
            </w:r>
          </w:p>
        </w:tc>
        <w:tc>
          <w:tcPr>
            <w:tcW w:w="270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D7714F">
        <w:tc>
          <w:tcPr>
            <w:tcW w:w="1653"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center"/>
              <w:rPr>
                <w:rFonts w:asciiTheme="minorEastAsia" w:eastAsiaTheme="minorEastAsia" w:hAnsiTheme="minorEastAsia"/>
                <w:kern w:val="0"/>
              </w:rPr>
            </w:pPr>
            <w:r w:rsidRPr="00565E0D">
              <w:rPr>
                <w:rFonts w:asciiTheme="minorEastAsia" w:eastAsiaTheme="minorEastAsia" w:hAnsiTheme="minorEastAsia" w:hint="eastAsia"/>
                <w:kern w:val="0"/>
              </w:rPr>
              <w:t>7</w:t>
            </w:r>
          </w:p>
        </w:tc>
        <w:tc>
          <w:tcPr>
            <w:tcW w:w="364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left"/>
              <w:rPr>
                <w:rFonts w:asciiTheme="minorEastAsia" w:eastAsiaTheme="minorEastAsia" w:hAnsiTheme="minorEastAsia"/>
                <w:kern w:val="0"/>
              </w:rPr>
            </w:pPr>
            <w:r w:rsidRPr="00565E0D">
              <w:rPr>
                <w:rFonts w:asciiTheme="minorEastAsia" w:eastAsiaTheme="minorEastAsia" w:hAnsiTheme="minorEastAsia" w:hint="eastAsia"/>
                <w:kern w:val="0"/>
              </w:rPr>
              <w:t>待摊费用</w:t>
            </w:r>
          </w:p>
        </w:tc>
        <w:tc>
          <w:tcPr>
            <w:tcW w:w="270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D7714F">
        <w:tc>
          <w:tcPr>
            <w:tcW w:w="1653"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center"/>
              <w:rPr>
                <w:rFonts w:asciiTheme="minorEastAsia" w:eastAsiaTheme="minorEastAsia" w:hAnsiTheme="minorEastAsia"/>
                <w:kern w:val="0"/>
              </w:rPr>
            </w:pPr>
            <w:r w:rsidRPr="00565E0D">
              <w:rPr>
                <w:rFonts w:asciiTheme="minorEastAsia" w:eastAsiaTheme="minorEastAsia" w:hAnsiTheme="minorEastAsia" w:hint="eastAsia"/>
                <w:kern w:val="0"/>
              </w:rPr>
              <w:t>8</w:t>
            </w:r>
          </w:p>
        </w:tc>
        <w:tc>
          <w:tcPr>
            <w:tcW w:w="364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left"/>
              <w:rPr>
                <w:rFonts w:asciiTheme="minorEastAsia" w:eastAsiaTheme="minorEastAsia" w:hAnsiTheme="minorEastAsia"/>
                <w:kern w:val="0"/>
              </w:rPr>
            </w:pPr>
            <w:r w:rsidRPr="00565E0D">
              <w:rPr>
                <w:rFonts w:asciiTheme="minorEastAsia" w:eastAsiaTheme="minorEastAsia" w:hAnsiTheme="minorEastAsia" w:hint="eastAsia"/>
                <w:kern w:val="0"/>
              </w:rPr>
              <w:t>其他</w:t>
            </w:r>
          </w:p>
        </w:tc>
        <w:tc>
          <w:tcPr>
            <w:tcW w:w="270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right"/>
              <w:rPr>
                <w:rFonts w:asciiTheme="minorEastAsia" w:eastAsiaTheme="minorEastAsia" w:hAnsiTheme="minorEastAsia"/>
                <w:kern w:val="0"/>
              </w:rPr>
            </w:pPr>
            <w:r w:rsidRPr="00565E0D">
              <w:rPr>
                <w:rFonts w:asciiTheme="minorEastAsia" w:eastAsiaTheme="minorEastAsia" w:hAnsiTheme="minorEastAsia" w:hint="eastAsia"/>
                <w:kern w:val="0"/>
              </w:rPr>
              <w:t>-</w:t>
            </w:r>
          </w:p>
        </w:tc>
      </w:tr>
      <w:tr w:rsidR="00565E0D" w:rsidRPr="00565E0D" w:rsidTr="00D7714F">
        <w:tc>
          <w:tcPr>
            <w:tcW w:w="1653"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center"/>
              <w:rPr>
                <w:rFonts w:asciiTheme="minorEastAsia" w:eastAsiaTheme="minorEastAsia" w:hAnsiTheme="minorEastAsia"/>
                <w:kern w:val="0"/>
              </w:rPr>
            </w:pPr>
            <w:r w:rsidRPr="00565E0D">
              <w:rPr>
                <w:rFonts w:asciiTheme="minorEastAsia" w:eastAsiaTheme="minorEastAsia" w:hAnsiTheme="minorEastAsia" w:hint="eastAsia"/>
                <w:kern w:val="0"/>
              </w:rPr>
              <w:t>9</w:t>
            </w:r>
          </w:p>
        </w:tc>
        <w:tc>
          <w:tcPr>
            <w:tcW w:w="364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left"/>
              <w:rPr>
                <w:rFonts w:asciiTheme="minorEastAsia" w:eastAsiaTheme="minorEastAsia" w:hAnsiTheme="minorEastAsia"/>
                <w:kern w:val="0"/>
              </w:rPr>
            </w:pPr>
            <w:r w:rsidRPr="00565E0D">
              <w:rPr>
                <w:rFonts w:asciiTheme="minorEastAsia" w:eastAsiaTheme="minorEastAsia" w:hAnsiTheme="minorEastAsia" w:hint="eastAsia"/>
                <w:kern w:val="0"/>
              </w:rPr>
              <w:t>合计</w:t>
            </w:r>
          </w:p>
        </w:tc>
        <w:tc>
          <w:tcPr>
            <w:tcW w:w="2700"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autoSpaceDE w:val="0"/>
              <w:autoSpaceDN w:val="0"/>
              <w:adjustRightInd w:val="0"/>
              <w:spacing w:before="29" w:line="300" w:lineRule="auto"/>
              <w:ind w:left="15"/>
              <w:jc w:val="right"/>
              <w:rPr>
                <w:rFonts w:asciiTheme="minorEastAsia" w:eastAsiaTheme="minorEastAsia" w:hAnsiTheme="minorEastAsia"/>
                <w:kern w:val="0"/>
              </w:rPr>
            </w:pPr>
            <w:r w:rsidRPr="00565E0D">
              <w:rPr>
                <w:rFonts w:asciiTheme="minorEastAsia" w:eastAsiaTheme="minorEastAsia" w:hAnsiTheme="minorEastAsia" w:hint="eastAsia"/>
                <w:kern w:val="0"/>
              </w:rPr>
              <w:t>7,886,759.47</w:t>
            </w:r>
          </w:p>
        </w:tc>
      </w:tr>
    </w:tbl>
    <w:p w:rsidR="007417EC"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（4）报告期末持有的处于转股期的可转换债券明细</w:t>
      </w:r>
    </w:p>
    <w:tbl>
      <w:tblPr>
        <w:tblW w:w="8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9"/>
        <w:gridCol w:w="1625"/>
        <w:gridCol w:w="1559"/>
        <w:gridCol w:w="1596"/>
        <w:gridCol w:w="1525"/>
      </w:tblGrid>
      <w:tr w:rsidR="00565E0D" w:rsidRPr="00565E0D" w:rsidTr="007417EC">
        <w:tc>
          <w:tcPr>
            <w:tcW w:w="1808"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序号</w:t>
            </w:r>
          </w:p>
        </w:tc>
        <w:tc>
          <w:tcPr>
            <w:tcW w:w="1729"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债券代码</w:t>
            </w:r>
          </w:p>
        </w:tc>
        <w:tc>
          <w:tcPr>
            <w:tcW w:w="1658"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债券名称</w:t>
            </w:r>
          </w:p>
        </w:tc>
        <w:tc>
          <w:tcPr>
            <w:tcW w:w="169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公允价值（元）</w:t>
            </w:r>
          </w:p>
        </w:tc>
        <w:tc>
          <w:tcPr>
            <w:tcW w:w="162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before="29" w:line="300" w:lineRule="auto"/>
              <w:ind w:left="17"/>
              <w:jc w:val="center"/>
              <w:rPr>
                <w:rFonts w:asciiTheme="minorEastAsia" w:eastAsiaTheme="minorEastAsia" w:hAnsiTheme="minorEastAsia"/>
                <w:kern w:val="0"/>
              </w:rPr>
            </w:pPr>
            <w:r w:rsidRPr="00565E0D">
              <w:rPr>
                <w:rFonts w:asciiTheme="minorEastAsia" w:eastAsiaTheme="minorEastAsia" w:hAnsiTheme="minorEastAsia" w:hint="eastAsia"/>
                <w:kern w:val="0"/>
              </w:rPr>
              <w:t>占基金资产净值比例（%）</w:t>
            </w:r>
          </w:p>
        </w:tc>
      </w:tr>
      <w:tr w:rsidR="00565E0D" w:rsidRPr="00565E0D" w:rsidTr="007417EC">
        <w:tc>
          <w:tcPr>
            <w:tcW w:w="1808"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szCs w:val="21"/>
              </w:rPr>
            </w:pPr>
            <w:r w:rsidRPr="00565E0D">
              <w:rPr>
                <w:rFonts w:asciiTheme="minorEastAsia" w:eastAsiaTheme="minorEastAsia" w:hAnsiTheme="minorEastAsia" w:hint="eastAsia"/>
                <w:kern w:val="0"/>
              </w:rPr>
              <w:t>1</w:t>
            </w:r>
          </w:p>
        </w:tc>
        <w:tc>
          <w:tcPr>
            <w:tcW w:w="1729"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szCs w:val="22"/>
              </w:rPr>
            </w:pPr>
            <w:r w:rsidRPr="00565E0D">
              <w:rPr>
                <w:rFonts w:asciiTheme="minorEastAsia" w:eastAsiaTheme="minorEastAsia" w:hAnsiTheme="minorEastAsia" w:hint="eastAsia"/>
                <w:kern w:val="0"/>
              </w:rPr>
              <w:t>132014</w:t>
            </w:r>
          </w:p>
        </w:tc>
        <w:tc>
          <w:tcPr>
            <w:tcW w:w="1658"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center"/>
              <w:rPr>
                <w:rFonts w:asciiTheme="minorEastAsia" w:eastAsiaTheme="minorEastAsia" w:hAnsiTheme="minorEastAsia"/>
              </w:rPr>
            </w:pPr>
            <w:r w:rsidRPr="00565E0D">
              <w:rPr>
                <w:rFonts w:asciiTheme="minorEastAsia" w:eastAsiaTheme="minorEastAsia" w:hAnsiTheme="minorEastAsia" w:hint="eastAsia"/>
                <w:kern w:val="0"/>
              </w:rPr>
              <w:t>18中化EB</w:t>
            </w:r>
          </w:p>
        </w:tc>
        <w:tc>
          <w:tcPr>
            <w:tcW w:w="1697"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1,607,703.10</w:t>
            </w:r>
          </w:p>
        </w:tc>
        <w:tc>
          <w:tcPr>
            <w:tcW w:w="1621" w:type="dxa"/>
            <w:tcBorders>
              <w:top w:val="single" w:sz="4" w:space="0" w:color="auto"/>
              <w:left w:val="single" w:sz="4" w:space="0" w:color="auto"/>
              <w:bottom w:val="single" w:sz="4" w:space="0" w:color="auto"/>
              <w:right w:val="single" w:sz="4" w:space="0" w:color="auto"/>
            </w:tcBorders>
            <w:vAlign w:val="center"/>
            <w:hideMark/>
          </w:tcPr>
          <w:p w:rsidR="007417EC" w:rsidRPr="00565E0D" w:rsidRDefault="007417EC">
            <w:pPr>
              <w:spacing w:line="300" w:lineRule="auto"/>
              <w:jc w:val="right"/>
              <w:rPr>
                <w:rFonts w:asciiTheme="minorEastAsia" w:eastAsiaTheme="minorEastAsia" w:hAnsiTheme="minorEastAsia"/>
              </w:rPr>
            </w:pPr>
            <w:r w:rsidRPr="00565E0D">
              <w:rPr>
                <w:rFonts w:asciiTheme="minorEastAsia" w:eastAsiaTheme="minorEastAsia" w:hAnsiTheme="minorEastAsia" w:hint="eastAsia"/>
                <w:kern w:val="0"/>
              </w:rPr>
              <w:t>0.03</w:t>
            </w:r>
          </w:p>
        </w:tc>
      </w:tr>
    </w:tbl>
    <w:p w:rsidR="007417EC" w:rsidRPr="00565E0D" w:rsidRDefault="004643D5"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（5）</w:t>
      </w:r>
      <w:r w:rsidR="007417EC" w:rsidRPr="00565E0D">
        <w:rPr>
          <w:rFonts w:asciiTheme="minorEastAsia" w:eastAsiaTheme="minorEastAsia" w:hAnsiTheme="minorEastAsia" w:hint="eastAsia"/>
          <w:sz w:val="21"/>
          <w:szCs w:val="21"/>
        </w:rPr>
        <w:t>报告期末前十名股票中存在流通受限情况的说明</w:t>
      </w:r>
    </w:p>
    <w:p w:rsidR="004643D5" w:rsidRPr="00565E0D" w:rsidRDefault="007417EC" w:rsidP="00D7714F">
      <w:pPr>
        <w:pStyle w:val="af5"/>
        <w:snapToGrid w:val="0"/>
        <w:spacing w:line="360" w:lineRule="auto"/>
        <w:ind w:firstLineChars="200" w:firstLine="420"/>
        <w:rPr>
          <w:rFonts w:asciiTheme="minorEastAsia" w:eastAsiaTheme="minorEastAsia" w:hAnsiTheme="minorEastAsia"/>
          <w:sz w:val="21"/>
          <w:szCs w:val="21"/>
        </w:rPr>
      </w:pPr>
      <w:r w:rsidRPr="00565E0D">
        <w:rPr>
          <w:rFonts w:asciiTheme="minorEastAsia" w:eastAsiaTheme="minorEastAsia" w:hAnsiTheme="minorEastAsia" w:hint="eastAsia"/>
          <w:sz w:val="21"/>
          <w:szCs w:val="21"/>
        </w:rPr>
        <w:t>本基金本报告期末前十名股票中不存在流通受限情况。</w:t>
      </w:r>
    </w:p>
    <w:p w:rsidR="004643D5" w:rsidRPr="00565E0D" w:rsidRDefault="004643D5">
      <w:pPr>
        <w:widowControl/>
        <w:jc w:val="left"/>
        <w:rPr>
          <w:rFonts w:asciiTheme="minorEastAsia" w:eastAsiaTheme="minorEastAsia" w:hAnsiTheme="minorEastAsia"/>
        </w:rPr>
      </w:pPr>
      <w:r w:rsidRPr="00565E0D">
        <w:rPr>
          <w:rFonts w:asciiTheme="minorEastAsia" w:eastAsiaTheme="minorEastAsia" w:hAnsiTheme="minorEastAsia"/>
        </w:rPr>
        <w:br w:type="page"/>
      </w:r>
    </w:p>
    <w:p w:rsidR="007417EC" w:rsidRPr="00565E0D" w:rsidRDefault="007417EC" w:rsidP="007417EC">
      <w:pPr>
        <w:spacing w:line="300" w:lineRule="auto"/>
        <w:ind w:firstLineChars="200" w:firstLine="420"/>
        <w:rPr>
          <w:rFonts w:asciiTheme="minorEastAsia" w:eastAsiaTheme="minorEastAsia" w:hAnsiTheme="minorEastAsia" w:cstheme="minorBidi"/>
        </w:rPr>
      </w:pPr>
    </w:p>
    <w:p w:rsidR="007417EC" w:rsidRPr="00565E0D" w:rsidRDefault="007417EC" w:rsidP="007417EC">
      <w:pPr>
        <w:spacing w:line="300" w:lineRule="auto"/>
        <w:rPr>
          <w:rFonts w:asciiTheme="minorEastAsia" w:eastAsiaTheme="minorEastAsia" w:hAnsiTheme="minorEastAsia"/>
          <w:szCs w:val="22"/>
        </w:r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pPr>
      <w:bookmarkStart w:id="115" w:name="_Toc38551214"/>
      <w:r w:rsidRPr="00565E0D">
        <w:rPr>
          <w:rFonts w:asciiTheme="minorEastAsia" w:eastAsiaTheme="minorEastAsia" w:hAnsiTheme="minorEastAsia" w:hint="eastAsia"/>
          <w:b/>
          <w:bCs/>
        </w:rPr>
        <w:t>十二、基金的业绩</w:t>
      </w:r>
      <w:bookmarkEnd w:id="115"/>
    </w:p>
    <w:p w:rsidR="00C35BC5" w:rsidRPr="00565E0D" w:rsidRDefault="00C35BC5" w:rsidP="00552BE1">
      <w:pPr>
        <w:autoSpaceDE w:val="0"/>
        <w:autoSpaceDN w:val="0"/>
        <w:adjustRightInd w:val="0"/>
        <w:snapToGrid w:val="0"/>
        <w:spacing w:line="360" w:lineRule="auto"/>
        <w:ind w:firstLine="420"/>
        <w:rPr>
          <w:rFonts w:asciiTheme="minorEastAsia" w:eastAsiaTheme="minorEastAsia" w:hAnsiTheme="minorEastAsia"/>
          <w:kern w:val="0"/>
        </w:rPr>
      </w:pPr>
      <w:r w:rsidRPr="00565E0D">
        <w:rPr>
          <w:rFonts w:asciiTheme="minorEastAsia" w:eastAsiaTheme="minorEastAsia" w:hAnsiTheme="minorEastAsia"/>
          <w:kern w:val="0"/>
        </w:rPr>
        <w:t>基金管理人依照恪尽职守、诚实信用、谨慎勤勉的原则管理和运用基金财产，但不保证基金一定盈利，也不保证最低收益。基金的过往业绩并不代表其未来表现。投资有风险，投资者在</w:t>
      </w:r>
      <w:r w:rsidRPr="00565E0D">
        <w:rPr>
          <w:rFonts w:asciiTheme="minorEastAsia" w:eastAsiaTheme="minorEastAsia" w:hAnsiTheme="minorEastAsia" w:hint="eastAsia"/>
          <w:kern w:val="0"/>
        </w:rPr>
        <w:t>作出</w:t>
      </w:r>
      <w:r w:rsidRPr="00565E0D">
        <w:rPr>
          <w:rFonts w:asciiTheme="minorEastAsia" w:eastAsiaTheme="minorEastAsia" w:hAnsiTheme="minorEastAsia"/>
          <w:kern w:val="0"/>
        </w:rPr>
        <w:t>投资决策前应仔细阅读本基金的招募说明书。</w:t>
      </w:r>
    </w:p>
    <w:p w:rsidR="00C35BC5" w:rsidRPr="00565E0D" w:rsidRDefault="00C35BC5" w:rsidP="00552BE1">
      <w:pPr>
        <w:autoSpaceDE w:val="0"/>
        <w:autoSpaceDN w:val="0"/>
        <w:adjustRightInd w:val="0"/>
        <w:snapToGrid w:val="0"/>
        <w:spacing w:line="360" w:lineRule="auto"/>
        <w:ind w:firstLine="420"/>
        <w:rPr>
          <w:rFonts w:asciiTheme="minorEastAsia" w:eastAsiaTheme="minorEastAsia" w:hAnsiTheme="minorEastAsia"/>
          <w:kern w:val="0"/>
          <w:szCs w:val="21"/>
        </w:rPr>
      </w:pPr>
      <w:r w:rsidRPr="00565E0D">
        <w:rPr>
          <w:rFonts w:asciiTheme="minorEastAsia" w:eastAsiaTheme="minorEastAsia" w:hAnsiTheme="minorEastAsia" w:hint="eastAsia"/>
          <w:kern w:val="0"/>
        </w:rPr>
        <w:t>本基金合同生效日为2007年4月</w:t>
      </w:r>
      <w:r w:rsidRPr="00565E0D">
        <w:rPr>
          <w:rFonts w:asciiTheme="minorEastAsia" w:eastAsiaTheme="minorEastAsia" w:hAnsiTheme="minorEastAsia" w:hint="eastAsia"/>
          <w:kern w:val="0"/>
          <w:szCs w:val="21"/>
        </w:rPr>
        <w:t>2日，</w:t>
      </w:r>
      <w:r w:rsidR="00EC717C" w:rsidRPr="00565E0D">
        <w:rPr>
          <w:rFonts w:asciiTheme="minorEastAsia" w:eastAsiaTheme="minorEastAsia" w:hAnsiTheme="minorEastAsia" w:hint="eastAsia"/>
          <w:kern w:val="0"/>
          <w:szCs w:val="21"/>
        </w:rPr>
        <w:t>本基金最近十个完整会计年度</w:t>
      </w:r>
      <w:r w:rsidR="00252CA4" w:rsidRPr="00565E0D">
        <w:rPr>
          <w:rFonts w:asciiTheme="minorEastAsia" w:eastAsiaTheme="minorEastAsia" w:hAnsiTheme="minorEastAsia" w:hint="eastAsia"/>
          <w:kern w:val="0"/>
          <w:szCs w:val="21"/>
        </w:rPr>
        <w:t>（截至</w:t>
      </w:r>
      <w:r w:rsidR="00252CA4" w:rsidRPr="00565E0D">
        <w:rPr>
          <w:rFonts w:asciiTheme="minorEastAsia" w:eastAsiaTheme="minorEastAsia" w:hAnsiTheme="minorEastAsia" w:hint="eastAsia"/>
          <w:szCs w:val="21"/>
        </w:rPr>
        <w:t>201</w:t>
      </w:r>
      <w:r w:rsidR="004643D5" w:rsidRPr="00565E0D">
        <w:rPr>
          <w:rFonts w:asciiTheme="minorEastAsia" w:eastAsiaTheme="minorEastAsia" w:hAnsiTheme="minorEastAsia" w:hint="eastAsia"/>
          <w:szCs w:val="21"/>
        </w:rPr>
        <w:t>9</w:t>
      </w:r>
      <w:r w:rsidR="00252CA4" w:rsidRPr="00565E0D">
        <w:rPr>
          <w:rFonts w:asciiTheme="minorEastAsia" w:eastAsiaTheme="minorEastAsia" w:hAnsiTheme="minorEastAsia" w:hint="eastAsia"/>
          <w:szCs w:val="21"/>
        </w:rPr>
        <w:t>年</w:t>
      </w:r>
      <w:r w:rsidR="00252CA4" w:rsidRPr="00565E0D">
        <w:rPr>
          <w:rFonts w:asciiTheme="minorEastAsia" w:eastAsiaTheme="minorEastAsia" w:hAnsiTheme="minorEastAsia"/>
          <w:szCs w:val="21"/>
        </w:rPr>
        <w:t>12</w:t>
      </w:r>
      <w:r w:rsidR="00252CA4" w:rsidRPr="00565E0D">
        <w:rPr>
          <w:rFonts w:asciiTheme="minorEastAsia" w:eastAsiaTheme="minorEastAsia" w:hAnsiTheme="minorEastAsia" w:hint="eastAsia"/>
          <w:szCs w:val="21"/>
        </w:rPr>
        <w:t>月3</w:t>
      </w:r>
      <w:r w:rsidR="00252CA4" w:rsidRPr="00565E0D">
        <w:rPr>
          <w:rFonts w:asciiTheme="minorEastAsia" w:eastAsiaTheme="minorEastAsia" w:hAnsiTheme="minorEastAsia"/>
          <w:szCs w:val="21"/>
        </w:rPr>
        <w:t>1</w:t>
      </w:r>
      <w:r w:rsidR="00252CA4" w:rsidRPr="00565E0D">
        <w:rPr>
          <w:rFonts w:asciiTheme="minorEastAsia" w:eastAsiaTheme="minorEastAsia" w:hAnsiTheme="minorEastAsia" w:hint="eastAsia"/>
          <w:szCs w:val="21"/>
        </w:rPr>
        <w:t>日</w:t>
      </w:r>
      <w:r w:rsidR="00252CA4" w:rsidRPr="00565E0D">
        <w:rPr>
          <w:rFonts w:asciiTheme="minorEastAsia" w:eastAsiaTheme="minorEastAsia" w:hAnsiTheme="minorEastAsia" w:hint="eastAsia"/>
          <w:kern w:val="0"/>
          <w:szCs w:val="21"/>
        </w:rPr>
        <w:t>）</w:t>
      </w:r>
      <w:r w:rsidRPr="00565E0D">
        <w:rPr>
          <w:rFonts w:asciiTheme="minorEastAsia" w:eastAsiaTheme="minorEastAsia" w:hAnsiTheme="minorEastAsia" w:hint="eastAsia"/>
          <w:kern w:val="0"/>
          <w:szCs w:val="21"/>
        </w:rPr>
        <w:t>的投资业绩及与同期基准的比较如下表所示：</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992"/>
        <w:gridCol w:w="1134"/>
        <w:gridCol w:w="1276"/>
        <w:gridCol w:w="1418"/>
        <w:gridCol w:w="1134"/>
        <w:gridCol w:w="1275"/>
      </w:tblGrid>
      <w:tr w:rsidR="00565E0D" w:rsidRPr="00565E0D" w:rsidTr="002E7D9F">
        <w:trPr>
          <w:trHeight w:val="315"/>
        </w:trPr>
        <w:tc>
          <w:tcPr>
            <w:tcW w:w="1276" w:type="dxa"/>
            <w:vAlign w:val="center"/>
          </w:tcPr>
          <w:p w:rsidR="00C35BC5" w:rsidRPr="00565E0D" w:rsidRDefault="00C35BC5" w:rsidP="00552BE1">
            <w:pPr>
              <w:snapToGrid w:val="0"/>
              <w:spacing w:line="360" w:lineRule="auto"/>
              <w:jc w:val="center"/>
              <w:rPr>
                <w:rFonts w:asciiTheme="minorEastAsia" w:eastAsiaTheme="minorEastAsia" w:hAnsiTheme="minorEastAsia" w:cs="Arial Unicode MS"/>
                <w:szCs w:val="21"/>
              </w:rPr>
            </w:pPr>
            <w:r w:rsidRPr="00565E0D">
              <w:rPr>
                <w:rFonts w:asciiTheme="minorEastAsia" w:eastAsiaTheme="minorEastAsia" w:hAnsiTheme="minorEastAsia" w:hint="eastAsia"/>
                <w:szCs w:val="21"/>
              </w:rPr>
              <w:t>阶段</w:t>
            </w:r>
          </w:p>
        </w:tc>
        <w:tc>
          <w:tcPr>
            <w:tcW w:w="992" w:type="dxa"/>
            <w:vAlign w:val="center"/>
          </w:tcPr>
          <w:p w:rsidR="00C35BC5" w:rsidRPr="00565E0D" w:rsidRDefault="00C35BC5" w:rsidP="00552BE1">
            <w:pPr>
              <w:snapToGrid w:val="0"/>
              <w:spacing w:line="360" w:lineRule="auto"/>
              <w:jc w:val="center"/>
              <w:rPr>
                <w:rFonts w:asciiTheme="minorEastAsia" w:eastAsiaTheme="minorEastAsia" w:hAnsiTheme="minorEastAsia" w:cs="Arial Unicode MS"/>
                <w:szCs w:val="21"/>
              </w:rPr>
            </w:pPr>
            <w:r w:rsidRPr="00565E0D">
              <w:rPr>
                <w:rFonts w:asciiTheme="minorEastAsia" w:eastAsiaTheme="minorEastAsia" w:hAnsiTheme="minorEastAsia" w:hint="eastAsia"/>
                <w:szCs w:val="21"/>
              </w:rPr>
              <w:t>净值增长率（</w:t>
            </w:r>
            <w:r w:rsidRPr="00565E0D">
              <w:rPr>
                <w:rFonts w:asciiTheme="minorEastAsia" w:eastAsiaTheme="minorEastAsia" w:hAnsiTheme="minorEastAsia"/>
                <w:szCs w:val="21"/>
              </w:rPr>
              <w:t>1）</w:t>
            </w:r>
          </w:p>
        </w:tc>
        <w:tc>
          <w:tcPr>
            <w:tcW w:w="1134" w:type="dxa"/>
            <w:vAlign w:val="center"/>
          </w:tcPr>
          <w:p w:rsidR="00C35BC5" w:rsidRPr="00565E0D" w:rsidRDefault="00C35BC5" w:rsidP="00552BE1">
            <w:pPr>
              <w:snapToGrid w:val="0"/>
              <w:spacing w:line="360" w:lineRule="auto"/>
              <w:jc w:val="center"/>
              <w:rPr>
                <w:rFonts w:asciiTheme="minorEastAsia" w:eastAsiaTheme="minorEastAsia" w:hAnsiTheme="minorEastAsia" w:cs="Arial Unicode MS"/>
                <w:szCs w:val="21"/>
              </w:rPr>
            </w:pPr>
            <w:r w:rsidRPr="00565E0D">
              <w:rPr>
                <w:rFonts w:asciiTheme="minorEastAsia" w:eastAsiaTheme="minorEastAsia" w:hAnsiTheme="minorEastAsia" w:hint="eastAsia"/>
                <w:szCs w:val="21"/>
              </w:rPr>
              <w:t>净值增长率标准差（</w:t>
            </w:r>
            <w:r w:rsidRPr="00565E0D">
              <w:rPr>
                <w:rFonts w:asciiTheme="minorEastAsia" w:eastAsiaTheme="minorEastAsia" w:hAnsiTheme="minorEastAsia"/>
                <w:szCs w:val="21"/>
              </w:rPr>
              <w:t>2）</w:t>
            </w:r>
          </w:p>
        </w:tc>
        <w:tc>
          <w:tcPr>
            <w:tcW w:w="1276" w:type="dxa"/>
            <w:vAlign w:val="center"/>
          </w:tcPr>
          <w:p w:rsidR="00C35BC5" w:rsidRPr="00565E0D" w:rsidRDefault="00C35BC5" w:rsidP="00552BE1">
            <w:pPr>
              <w:snapToGrid w:val="0"/>
              <w:spacing w:line="360" w:lineRule="auto"/>
              <w:jc w:val="center"/>
              <w:rPr>
                <w:rFonts w:asciiTheme="minorEastAsia" w:eastAsiaTheme="minorEastAsia" w:hAnsiTheme="minorEastAsia" w:cs="Arial Unicode MS"/>
                <w:szCs w:val="21"/>
              </w:rPr>
            </w:pPr>
            <w:r w:rsidRPr="00565E0D">
              <w:rPr>
                <w:rFonts w:asciiTheme="minorEastAsia" w:eastAsiaTheme="minorEastAsia" w:hAnsiTheme="minorEastAsia" w:hint="eastAsia"/>
                <w:szCs w:val="21"/>
              </w:rPr>
              <w:t>业绩比较基准收益率（</w:t>
            </w:r>
            <w:r w:rsidRPr="00565E0D">
              <w:rPr>
                <w:rFonts w:asciiTheme="minorEastAsia" w:eastAsiaTheme="minorEastAsia" w:hAnsiTheme="minorEastAsia"/>
                <w:szCs w:val="21"/>
              </w:rPr>
              <w:t>3）</w:t>
            </w:r>
          </w:p>
        </w:tc>
        <w:tc>
          <w:tcPr>
            <w:tcW w:w="1418" w:type="dxa"/>
            <w:vAlign w:val="center"/>
          </w:tcPr>
          <w:p w:rsidR="00C35BC5" w:rsidRPr="00565E0D" w:rsidRDefault="00C35BC5" w:rsidP="00552BE1">
            <w:pPr>
              <w:snapToGrid w:val="0"/>
              <w:spacing w:line="360" w:lineRule="auto"/>
              <w:jc w:val="center"/>
              <w:rPr>
                <w:rFonts w:asciiTheme="minorEastAsia" w:eastAsiaTheme="minorEastAsia" w:hAnsiTheme="minorEastAsia" w:cs="Arial Unicode MS"/>
                <w:szCs w:val="21"/>
              </w:rPr>
            </w:pPr>
            <w:r w:rsidRPr="00565E0D">
              <w:rPr>
                <w:rFonts w:asciiTheme="minorEastAsia" w:eastAsiaTheme="minorEastAsia" w:hAnsiTheme="minorEastAsia" w:hint="eastAsia"/>
                <w:szCs w:val="21"/>
              </w:rPr>
              <w:t>业绩比较基准收益率标准差（</w:t>
            </w:r>
            <w:r w:rsidRPr="00565E0D">
              <w:rPr>
                <w:rFonts w:asciiTheme="minorEastAsia" w:eastAsiaTheme="minorEastAsia" w:hAnsiTheme="minorEastAsia"/>
                <w:szCs w:val="21"/>
              </w:rPr>
              <w:t>4）</w:t>
            </w:r>
          </w:p>
        </w:tc>
        <w:tc>
          <w:tcPr>
            <w:tcW w:w="1134" w:type="dxa"/>
            <w:vAlign w:val="center"/>
          </w:tcPr>
          <w:p w:rsidR="00C35BC5" w:rsidRPr="00565E0D" w:rsidRDefault="00C35BC5" w:rsidP="00552BE1">
            <w:pPr>
              <w:snapToGrid w:val="0"/>
              <w:spacing w:line="360" w:lineRule="auto"/>
              <w:ind w:leftChars="-51" w:left="-107" w:rightChars="-51" w:right="-107"/>
              <w:jc w:val="center"/>
              <w:rPr>
                <w:rFonts w:asciiTheme="minorEastAsia" w:eastAsiaTheme="minorEastAsia" w:hAnsiTheme="minorEastAsia"/>
                <w:szCs w:val="21"/>
              </w:rPr>
            </w:pPr>
            <w:r w:rsidRPr="00565E0D">
              <w:rPr>
                <w:rFonts w:asciiTheme="minorEastAsia" w:eastAsiaTheme="minorEastAsia" w:hAnsiTheme="minorEastAsia"/>
                <w:szCs w:val="21"/>
              </w:rPr>
              <w:t>(1)</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(3)</w:t>
            </w:r>
          </w:p>
        </w:tc>
        <w:tc>
          <w:tcPr>
            <w:tcW w:w="1275" w:type="dxa"/>
            <w:vAlign w:val="center"/>
          </w:tcPr>
          <w:p w:rsidR="00C35BC5" w:rsidRPr="00565E0D" w:rsidRDefault="00C35BC5" w:rsidP="00552BE1">
            <w:pPr>
              <w:snapToGrid w:val="0"/>
              <w:spacing w:line="360" w:lineRule="auto"/>
              <w:ind w:leftChars="-51" w:left="-107"/>
              <w:jc w:val="center"/>
              <w:rPr>
                <w:rFonts w:asciiTheme="minorEastAsia" w:eastAsiaTheme="minorEastAsia" w:hAnsiTheme="minorEastAsia"/>
                <w:szCs w:val="21"/>
              </w:rPr>
            </w:pPr>
            <w:r w:rsidRPr="00565E0D">
              <w:rPr>
                <w:rFonts w:asciiTheme="minorEastAsia" w:eastAsiaTheme="minorEastAsia" w:hAnsiTheme="minorEastAsia"/>
                <w:szCs w:val="21"/>
              </w:rPr>
              <w:t>(2)</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(4)</w:t>
            </w:r>
          </w:p>
        </w:tc>
      </w:tr>
      <w:tr w:rsidR="00565E0D" w:rsidRPr="00565E0D" w:rsidTr="002E7D9F">
        <w:trPr>
          <w:trHeight w:val="300"/>
        </w:trPr>
        <w:tc>
          <w:tcPr>
            <w:tcW w:w="1276" w:type="dxa"/>
            <w:vAlign w:val="center"/>
          </w:tcPr>
          <w:p w:rsidR="00C35BC5" w:rsidRPr="00565E0D" w:rsidRDefault="00C35BC5" w:rsidP="00552BE1">
            <w:pPr>
              <w:snapToGrid w:val="0"/>
              <w:spacing w:line="360" w:lineRule="auto"/>
              <w:ind w:leftChars="-51" w:left="-107" w:rightChars="-51" w:right="-107"/>
              <w:rPr>
                <w:rFonts w:asciiTheme="minorEastAsia" w:eastAsiaTheme="minorEastAsia" w:hAnsiTheme="minorEastAsia"/>
                <w:szCs w:val="21"/>
              </w:rPr>
            </w:pPr>
            <w:r w:rsidRPr="00565E0D">
              <w:rPr>
                <w:rFonts w:asciiTheme="minorEastAsia" w:eastAsiaTheme="minorEastAsia" w:hAnsiTheme="minorEastAsia" w:hint="eastAsia"/>
                <w:kern w:val="0"/>
                <w:szCs w:val="21"/>
              </w:rPr>
              <w:t>2010年1月1日至2010年12月31日</w:t>
            </w:r>
          </w:p>
        </w:tc>
        <w:tc>
          <w:tcPr>
            <w:tcW w:w="992" w:type="dxa"/>
            <w:vAlign w:val="center"/>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cs="TT64E9BFA0tCID-WinCharSetFFFF-H"/>
                <w:kern w:val="0"/>
                <w:szCs w:val="21"/>
              </w:rPr>
              <w:t>2.94%</w:t>
            </w:r>
          </w:p>
        </w:tc>
        <w:tc>
          <w:tcPr>
            <w:tcW w:w="1134" w:type="dxa"/>
            <w:vAlign w:val="center"/>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cs="TT64E9BFA0tCID-WinCharSetFFFF-H"/>
                <w:kern w:val="0"/>
                <w:szCs w:val="21"/>
              </w:rPr>
              <w:t>1.56%</w:t>
            </w:r>
          </w:p>
        </w:tc>
        <w:tc>
          <w:tcPr>
            <w:tcW w:w="1276" w:type="dxa"/>
            <w:vAlign w:val="center"/>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cs="TT64E9BFA0tCID-WinCharSetFFFF-H"/>
                <w:kern w:val="0"/>
                <w:szCs w:val="21"/>
              </w:rPr>
              <w:t>-7.80%</w:t>
            </w:r>
          </w:p>
        </w:tc>
        <w:tc>
          <w:tcPr>
            <w:tcW w:w="1418" w:type="dxa"/>
            <w:vAlign w:val="center"/>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cs="TT64E9BFA0tCID-WinCharSetFFFF-H"/>
                <w:kern w:val="0"/>
                <w:szCs w:val="21"/>
              </w:rPr>
              <w:t>1.11%</w:t>
            </w:r>
          </w:p>
        </w:tc>
        <w:tc>
          <w:tcPr>
            <w:tcW w:w="1134" w:type="dxa"/>
            <w:vAlign w:val="center"/>
          </w:tcPr>
          <w:p w:rsidR="00C35BC5" w:rsidRPr="00565E0D" w:rsidRDefault="00C35BC5"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cs="TT64E9BFA0tCID-WinCharSetFFFF-H"/>
                <w:kern w:val="0"/>
                <w:szCs w:val="21"/>
              </w:rPr>
              <w:t>10.74%</w:t>
            </w:r>
          </w:p>
        </w:tc>
        <w:tc>
          <w:tcPr>
            <w:tcW w:w="1275" w:type="dxa"/>
            <w:vAlign w:val="center"/>
          </w:tcPr>
          <w:p w:rsidR="00C35BC5" w:rsidRPr="00565E0D" w:rsidRDefault="00C35BC5" w:rsidP="00552BE1">
            <w:pPr>
              <w:snapToGrid w:val="0"/>
              <w:spacing w:line="360" w:lineRule="auto"/>
              <w:jc w:val="right"/>
              <w:rPr>
                <w:rFonts w:asciiTheme="minorEastAsia" w:eastAsiaTheme="minorEastAsia" w:hAnsiTheme="minorEastAsia" w:cs="Arial Unicode MS"/>
                <w:szCs w:val="21"/>
              </w:rPr>
            </w:pPr>
            <w:r w:rsidRPr="00565E0D">
              <w:rPr>
                <w:rFonts w:asciiTheme="minorEastAsia" w:eastAsiaTheme="minorEastAsia" w:hAnsiTheme="minorEastAsia" w:cs="TT64E9BFA0tCID-WinCharSetFFFF-H"/>
                <w:kern w:val="0"/>
                <w:szCs w:val="21"/>
              </w:rPr>
              <w:t>0.45%</w:t>
            </w:r>
          </w:p>
        </w:tc>
      </w:tr>
      <w:tr w:rsidR="00565E0D" w:rsidRPr="00565E0D" w:rsidTr="002E7D9F">
        <w:trPr>
          <w:trHeight w:val="300"/>
        </w:trPr>
        <w:tc>
          <w:tcPr>
            <w:tcW w:w="1276" w:type="dxa"/>
            <w:vAlign w:val="center"/>
          </w:tcPr>
          <w:p w:rsidR="00C35BC5" w:rsidRPr="00565E0D" w:rsidRDefault="00C35BC5" w:rsidP="00552BE1">
            <w:pPr>
              <w:snapToGrid w:val="0"/>
              <w:spacing w:line="360" w:lineRule="auto"/>
              <w:ind w:leftChars="-51" w:left="-107" w:rightChars="-51" w:right="-107"/>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2011年1月1日至2011年12月31日</w:t>
            </w:r>
          </w:p>
        </w:tc>
        <w:tc>
          <w:tcPr>
            <w:tcW w:w="992" w:type="dxa"/>
            <w:vAlign w:val="center"/>
          </w:tcPr>
          <w:p w:rsidR="00C35BC5" w:rsidRPr="00565E0D" w:rsidRDefault="00C35BC5"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hint="eastAsia"/>
                <w:kern w:val="0"/>
                <w:szCs w:val="21"/>
              </w:rPr>
              <w:t>-27.53%</w:t>
            </w:r>
          </w:p>
        </w:tc>
        <w:tc>
          <w:tcPr>
            <w:tcW w:w="1134" w:type="dxa"/>
            <w:vAlign w:val="center"/>
          </w:tcPr>
          <w:p w:rsidR="00C35BC5" w:rsidRPr="00565E0D" w:rsidRDefault="00C35BC5"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hint="eastAsia"/>
                <w:kern w:val="0"/>
                <w:szCs w:val="21"/>
              </w:rPr>
              <w:t>1.29%</w:t>
            </w:r>
          </w:p>
        </w:tc>
        <w:tc>
          <w:tcPr>
            <w:tcW w:w="1276" w:type="dxa"/>
            <w:vAlign w:val="center"/>
          </w:tcPr>
          <w:p w:rsidR="00C35BC5" w:rsidRPr="00565E0D" w:rsidRDefault="00C35BC5"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hint="eastAsia"/>
                <w:kern w:val="0"/>
                <w:szCs w:val="21"/>
              </w:rPr>
              <w:t>-16.30%</w:t>
            </w:r>
          </w:p>
        </w:tc>
        <w:tc>
          <w:tcPr>
            <w:tcW w:w="1418" w:type="dxa"/>
            <w:vAlign w:val="center"/>
          </w:tcPr>
          <w:p w:rsidR="00C35BC5" w:rsidRPr="00565E0D" w:rsidRDefault="00C35BC5"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hint="eastAsia"/>
                <w:kern w:val="0"/>
                <w:szCs w:val="21"/>
              </w:rPr>
              <w:t>0.91%</w:t>
            </w:r>
          </w:p>
        </w:tc>
        <w:tc>
          <w:tcPr>
            <w:tcW w:w="1134" w:type="dxa"/>
            <w:vAlign w:val="center"/>
          </w:tcPr>
          <w:p w:rsidR="00C35BC5" w:rsidRPr="00565E0D" w:rsidRDefault="00C35BC5"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hint="eastAsia"/>
                <w:kern w:val="0"/>
                <w:szCs w:val="21"/>
              </w:rPr>
              <w:t>-11.23%</w:t>
            </w:r>
          </w:p>
        </w:tc>
        <w:tc>
          <w:tcPr>
            <w:tcW w:w="1275" w:type="dxa"/>
            <w:vAlign w:val="center"/>
          </w:tcPr>
          <w:p w:rsidR="00C35BC5" w:rsidRPr="00565E0D" w:rsidRDefault="00C35BC5"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hint="eastAsia"/>
                <w:kern w:val="0"/>
                <w:szCs w:val="21"/>
              </w:rPr>
              <w:t>0.38%</w:t>
            </w:r>
          </w:p>
        </w:tc>
      </w:tr>
      <w:tr w:rsidR="00565E0D" w:rsidRPr="00565E0D" w:rsidTr="002E7D9F">
        <w:trPr>
          <w:trHeight w:val="300"/>
        </w:trPr>
        <w:tc>
          <w:tcPr>
            <w:tcW w:w="1276" w:type="dxa"/>
            <w:vAlign w:val="center"/>
          </w:tcPr>
          <w:p w:rsidR="00C326D3" w:rsidRPr="00565E0D" w:rsidRDefault="00C326D3" w:rsidP="00552BE1">
            <w:pPr>
              <w:snapToGrid w:val="0"/>
              <w:spacing w:line="360" w:lineRule="auto"/>
              <w:ind w:leftChars="-51" w:left="-107" w:rightChars="-51" w:right="-107"/>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2012年1月1日至2012年12月31日</w:t>
            </w:r>
          </w:p>
        </w:tc>
        <w:tc>
          <w:tcPr>
            <w:tcW w:w="992" w:type="dxa"/>
            <w:vAlign w:val="center"/>
          </w:tcPr>
          <w:p w:rsidR="00C326D3" w:rsidRPr="00565E0D" w:rsidRDefault="00C326D3"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kern w:val="0"/>
                <w:szCs w:val="21"/>
              </w:rPr>
              <w:t>0.95%</w:t>
            </w:r>
          </w:p>
        </w:tc>
        <w:tc>
          <w:tcPr>
            <w:tcW w:w="1134" w:type="dxa"/>
            <w:vAlign w:val="center"/>
          </w:tcPr>
          <w:p w:rsidR="00C326D3" w:rsidRPr="00565E0D" w:rsidRDefault="00C326D3"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kern w:val="0"/>
                <w:szCs w:val="21"/>
              </w:rPr>
              <w:t>1.21%</w:t>
            </w:r>
          </w:p>
        </w:tc>
        <w:tc>
          <w:tcPr>
            <w:tcW w:w="1276" w:type="dxa"/>
            <w:vAlign w:val="center"/>
          </w:tcPr>
          <w:p w:rsidR="00C326D3" w:rsidRPr="00565E0D" w:rsidRDefault="00C326D3"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kern w:val="0"/>
                <w:szCs w:val="21"/>
              </w:rPr>
              <w:t>6.29%</w:t>
            </w:r>
          </w:p>
        </w:tc>
        <w:tc>
          <w:tcPr>
            <w:tcW w:w="1418" w:type="dxa"/>
            <w:vAlign w:val="center"/>
          </w:tcPr>
          <w:p w:rsidR="00C326D3" w:rsidRPr="00565E0D" w:rsidRDefault="00C326D3"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kern w:val="0"/>
                <w:szCs w:val="21"/>
              </w:rPr>
              <w:t>0.90%</w:t>
            </w:r>
          </w:p>
        </w:tc>
        <w:tc>
          <w:tcPr>
            <w:tcW w:w="1134" w:type="dxa"/>
            <w:vAlign w:val="center"/>
          </w:tcPr>
          <w:p w:rsidR="00C326D3" w:rsidRPr="00565E0D" w:rsidRDefault="00C326D3"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kern w:val="0"/>
                <w:szCs w:val="21"/>
              </w:rPr>
              <w:t>-5.34%</w:t>
            </w:r>
          </w:p>
        </w:tc>
        <w:tc>
          <w:tcPr>
            <w:tcW w:w="1275" w:type="dxa"/>
            <w:vAlign w:val="center"/>
          </w:tcPr>
          <w:p w:rsidR="00C326D3" w:rsidRPr="00565E0D" w:rsidRDefault="00C326D3"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cs="TT64E9BFA0tCID-WinCharSetFFFF-H"/>
                <w:kern w:val="0"/>
                <w:szCs w:val="21"/>
              </w:rPr>
              <w:t>0.31%</w:t>
            </w:r>
          </w:p>
        </w:tc>
      </w:tr>
      <w:tr w:rsidR="00565E0D" w:rsidRPr="00565E0D" w:rsidTr="002E7D9F">
        <w:trPr>
          <w:trHeight w:val="300"/>
        </w:trPr>
        <w:tc>
          <w:tcPr>
            <w:tcW w:w="1276" w:type="dxa"/>
            <w:vAlign w:val="center"/>
          </w:tcPr>
          <w:p w:rsidR="00B249AE" w:rsidRPr="00565E0D" w:rsidRDefault="00B249AE" w:rsidP="00552BE1">
            <w:pPr>
              <w:snapToGrid w:val="0"/>
              <w:spacing w:line="360" w:lineRule="auto"/>
              <w:ind w:leftChars="-51" w:left="-107" w:rightChars="-51" w:right="-107"/>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2013年1月1日至</w:t>
            </w:r>
            <w:r w:rsidRPr="00565E0D">
              <w:rPr>
                <w:rFonts w:asciiTheme="minorEastAsia" w:eastAsiaTheme="minorEastAsia" w:hAnsiTheme="minorEastAsia" w:hint="eastAsia"/>
                <w:szCs w:val="21"/>
              </w:rPr>
              <w:t>2013年12月31日</w:t>
            </w:r>
          </w:p>
        </w:tc>
        <w:tc>
          <w:tcPr>
            <w:tcW w:w="992" w:type="dxa"/>
            <w:vAlign w:val="center"/>
          </w:tcPr>
          <w:p w:rsidR="00B249AE" w:rsidRPr="00565E0D" w:rsidRDefault="00B249AE"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szCs w:val="21"/>
              </w:rPr>
              <w:t>16.53%</w:t>
            </w:r>
          </w:p>
        </w:tc>
        <w:tc>
          <w:tcPr>
            <w:tcW w:w="1134" w:type="dxa"/>
            <w:vAlign w:val="center"/>
          </w:tcPr>
          <w:p w:rsidR="00B249AE" w:rsidRPr="00565E0D" w:rsidRDefault="00B249AE"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szCs w:val="21"/>
              </w:rPr>
              <w:t>1.26%</w:t>
            </w:r>
          </w:p>
        </w:tc>
        <w:tc>
          <w:tcPr>
            <w:tcW w:w="1276" w:type="dxa"/>
            <w:vAlign w:val="center"/>
          </w:tcPr>
          <w:p w:rsidR="00B249AE" w:rsidRPr="00565E0D" w:rsidRDefault="00B249AE"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szCs w:val="21"/>
              </w:rPr>
              <w:t>-4.53%</w:t>
            </w:r>
          </w:p>
        </w:tc>
        <w:tc>
          <w:tcPr>
            <w:tcW w:w="1418" w:type="dxa"/>
            <w:vAlign w:val="center"/>
          </w:tcPr>
          <w:p w:rsidR="00B249AE" w:rsidRPr="00565E0D" w:rsidRDefault="00B249AE"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szCs w:val="21"/>
              </w:rPr>
              <w:t>0.98%</w:t>
            </w:r>
          </w:p>
        </w:tc>
        <w:tc>
          <w:tcPr>
            <w:tcW w:w="1134" w:type="dxa"/>
            <w:vAlign w:val="center"/>
          </w:tcPr>
          <w:p w:rsidR="00B249AE" w:rsidRPr="00565E0D" w:rsidRDefault="00B249AE"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szCs w:val="21"/>
              </w:rPr>
              <w:t>21.06%</w:t>
            </w:r>
          </w:p>
        </w:tc>
        <w:tc>
          <w:tcPr>
            <w:tcW w:w="1275" w:type="dxa"/>
            <w:vAlign w:val="center"/>
          </w:tcPr>
          <w:p w:rsidR="00B249AE" w:rsidRPr="00565E0D" w:rsidRDefault="00B249AE" w:rsidP="00552BE1">
            <w:pPr>
              <w:snapToGrid w:val="0"/>
              <w:spacing w:line="360" w:lineRule="auto"/>
              <w:jc w:val="right"/>
              <w:rPr>
                <w:rFonts w:asciiTheme="minorEastAsia" w:eastAsiaTheme="minorEastAsia" w:hAnsiTheme="minorEastAsia" w:cs="TT64E9BFA0tCID-WinCharSetFFFF-H"/>
                <w:kern w:val="0"/>
                <w:szCs w:val="21"/>
              </w:rPr>
            </w:pPr>
            <w:r w:rsidRPr="00565E0D">
              <w:rPr>
                <w:rFonts w:asciiTheme="minorEastAsia" w:eastAsiaTheme="minorEastAsia" w:hAnsiTheme="minorEastAsia"/>
                <w:szCs w:val="21"/>
              </w:rPr>
              <w:t>0.28%</w:t>
            </w:r>
          </w:p>
        </w:tc>
      </w:tr>
      <w:tr w:rsidR="00565E0D" w:rsidRPr="00565E0D" w:rsidTr="002E7D9F">
        <w:trPr>
          <w:trHeight w:val="300"/>
        </w:trPr>
        <w:tc>
          <w:tcPr>
            <w:tcW w:w="1276" w:type="dxa"/>
            <w:vAlign w:val="center"/>
          </w:tcPr>
          <w:p w:rsidR="004B078E" w:rsidRPr="00565E0D" w:rsidRDefault="00B94E11" w:rsidP="00552BE1">
            <w:pPr>
              <w:snapToGrid w:val="0"/>
              <w:spacing w:line="360" w:lineRule="auto"/>
              <w:ind w:leftChars="-51" w:left="-107" w:rightChars="-51" w:right="-107"/>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2014年1月1日至</w:t>
            </w:r>
            <w:r w:rsidRPr="00565E0D">
              <w:rPr>
                <w:rFonts w:asciiTheme="minorEastAsia" w:eastAsiaTheme="minorEastAsia" w:hAnsiTheme="minorEastAsia" w:hint="eastAsia"/>
                <w:szCs w:val="21"/>
              </w:rPr>
              <w:t>2014年12月31日</w:t>
            </w:r>
          </w:p>
        </w:tc>
        <w:tc>
          <w:tcPr>
            <w:tcW w:w="992" w:type="dxa"/>
            <w:vAlign w:val="center"/>
          </w:tcPr>
          <w:p w:rsidR="00B94E11" w:rsidRPr="00565E0D" w:rsidRDefault="004521C8"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0.13%</w:t>
            </w:r>
          </w:p>
        </w:tc>
        <w:tc>
          <w:tcPr>
            <w:tcW w:w="1134" w:type="dxa"/>
            <w:vAlign w:val="center"/>
          </w:tcPr>
          <w:p w:rsidR="00B94E11" w:rsidRPr="00565E0D" w:rsidRDefault="004521C8"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1.13%</w:t>
            </w:r>
          </w:p>
        </w:tc>
        <w:tc>
          <w:tcPr>
            <w:tcW w:w="1276" w:type="dxa"/>
            <w:vAlign w:val="center"/>
          </w:tcPr>
          <w:p w:rsidR="00B94E11" w:rsidRPr="00565E0D" w:rsidRDefault="004521C8"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37.49%</w:t>
            </w:r>
          </w:p>
        </w:tc>
        <w:tc>
          <w:tcPr>
            <w:tcW w:w="1418" w:type="dxa"/>
            <w:vAlign w:val="center"/>
          </w:tcPr>
          <w:p w:rsidR="00B94E11" w:rsidRPr="00565E0D" w:rsidRDefault="004521C8"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0.85%</w:t>
            </w:r>
          </w:p>
        </w:tc>
        <w:tc>
          <w:tcPr>
            <w:tcW w:w="1134" w:type="dxa"/>
            <w:vAlign w:val="center"/>
          </w:tcPr>
          <w:p w:rsidR="00B94E11" w:rsidRPr="00565E0D" w:rsidRDefault="004521C8"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-37.36%</w:t>
            </w:r>
          </w:p>
        </w:tc>
        <w:tc>
          <w:tcPr>
            <w:tcW w:w="1275" w:type="dxa"/>
            <w:vAlign w:val="center"/>
          </w:tcPr>
          <w:p w:rsidR="00B94E11" w:rsidRPr="00565E0D" w:rsidRDefault="004521C8"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0.28%</w:t>
            </w:r>
          </w:p>
        </w:tc>
      </w:tr>
      <w:tr w:rsidR="00565E0D" w:rsidRPr="00565E0D" w:rsidTr="002E7D9F">
        <w:trPr>
          <w:trHeight w:val="300"/>
        </w:trPr>
        <w:tc>
          <w:tcPr>
            <w:tcW w:w="1276" w:type="dxa"/>
            <w:vAlign w:val="center"/>
          </w:tcPr>
          <w:p w:rsidR="00F57B65" w:rsidRPr="00565E0D" w:rsidRDefault="00F57B65" w:rsidP="00552BE1">
            <w:pPr>
              <w:snapToGrid w:val="0"/>
              <w:spacing w:line="360" w:lineRule="auto"/>
              <w:ind w:leftChars="-51" w:left="-107" w:rightChars="-51" w:right="-107"/>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2015年1月1日至</w:t>
            </w:r>
            <w:r w:rsidRPr="00565E0D">
              <w:rPr>
                <w:rFonts w:asciiTheme="minorEastAsia" w:eastAsiaTheme="minorEastAsia" w:hAnsiTheme="minorEastAsia" w:hint="eastAsia"/>
                <w:szCs w:val="21"/>
              </w:rPr>
              <w:t>2015年12月31日</w:t>
            </w:r>
          </w:p>
        </w:tc>
        <w:tc>
          <w:tcPr>
            <w:tcW w:w="992" w:type="dxa"/>
            <w:vAlign w:val="center"/>
          </w:tcPr>
          <w:p w:rsidR="00F57B65" w:rsidRPr="00565E0D" w:rsidRDefault="00A726EF"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67.65%</w:t>
            </w:r>
          </w:p>
        </w:tc>
        <w:tc>
          <w:tcPr>
            <w:tcW w:w="1134" w:type="dxa"/>
            <w:vAlign w:val="center"/>
          </w:tcPr>
          <w:p w:rsidR="00F57B65" w:rsidRPr="00565E0D" w:rsidRDefault="00A726EF"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2.69%</w:t>
            </w:r>
          </w:p>
        </w:tc>
        <w:tc>
          <w:tcPr>
            <w:tcW w:w="1276" w:type="dxa"/>
            <w:vAlign w:val="center"/>
          </w:tcPr>
          <w:p w:rsidR="00F57B65" w:rsidRPr="00565E0D" w:rsidRDefault="00A726EF"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5.73%</w:t>
            </w:r>
          </w:p>
        </w:tc>
        <w:tc>
          <w:tcPr>
            <w:tcW w:w="1418" w:type="dxa"/>
            <w:vAlign w:val="center"/>
          </w:tcPr>
          <w:p w:rsidR="00F57B65" w:rsidRPr="00565E0D" w:rsidRDefault="00A726EF"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1.74%</w:t>
            </w:r>
          </w:p>
        </w:tc>
        <w:tc>
          <w:tcPr>
            <w:tcW w:w="1134" w:type="dxa"/>
            <w:vAlign w:val="center"/>
          </w:tcPr>
          <w:p w:rsidR="00F57B65" w:rsidRPr="00565E0D" w:rsidRDefault="00A726EF"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61.92%</w:t>
            </w:r>
          </w:p>
        </w:tc>
        <w:tc>
          <w:tcPr>
            <w:tcW w:w="1275" w:type="dxa"/>
            <w:vAlign w:val="center"/>
          </w:tcPr>
          <w:p w:rsidR="00F57B65" w:rsidRPr="00565E0D" w:rsidRDefault="00A726EF" w:rsidP="00552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0.95%</w:t>
            </w:r>
          </w:p>
        </w:tc>
      </w:tr>
      <w:tr w:rsidR="00565E0D" w:rsidRPr="00565E0D" w:rsidTr="002E7D9F">
        <w:trPr>
          <w:trHeight w:val="300"/>
        </w:trPr>
        <w:tc>
          <w:tcPr>
            <w:tcW w:w="1276" w:type="dxa"/>
            <w:vAlign w:val="center"/>
          </w:tcPr>
          <w:p w:rsidR="00371AA7" w:rsidRPr="00565E0D" w:rsidRDefault="00371AA7" w:rsidP="00371AA7">
            <w:pPr>
              <w:snapToGrid w:val="0"/>
              <w:spacing w:line="360" w:lineRule="auto"/>
              <w:ind w:leftChars="-51" w:left="-107" w:rightChars="-51" w:right="-107"/>
              <w:rPr>
                <w:rFonts w:asciiTheme="minorEastAsia" w:eastAsiaTheme="minorEastAsia" w:hAnsiTheme="minorEastAsia"/>
                <w:kern w:val="0"/>
                <w:szCs w:val="21"/>
              </w:rPr>
            </w:pPr>
            <w:r w:rsidRPr="00565E0D">
              <w:rPr>
                <w:rFonts w:asciiTheme="minorEastAsia" w:eastAsiaTheme="minorEastAsia" w:hAnsiTheme="minorEastAsia" w:hint="eastAsia"/>
                <w:kern w:val="0"/>
                <w:szCs w:val="21"/>
              </w:rPr>
              <w:t>2016年</w:t>
            </w:r>
            <w:r w:rsidRPr="00565E0D">
              <w:rPr>
                <w:rFonts w:asciiTheme="minorEastAsia" w:eastAsiaTheme="minorEastAsia" w:hAnsiTheme="minorEastAsia"/>
                <w:kern w:val="0"/>
                <w:szCs w:val="21"/>
              </w:rPr>
              <w:t>1</w:t>
            </w:r>
            <w:r w:rsidRPr="00565E0D">
              <w:rPr>
                <w:rFonts w:asciiTheme="minorEastAsia" w:eastAsiaTheme="minorEastAsia" w:hAnsiTheme="minorEastAsia" w:hint="eastAsia"/>
                <w:kern w:val="0"/>
                <w:szCs w:val="21"/>
              </w:rPr>
              <w:t>月1日</w:t>
            </w:r>
            <w:r w:rsidRPr="00565E0D">
              <w:rPr>
                <w:rFonts w:asciiTheme="minorEastAsia" w:eastAsiaTheme="minorEastAsia" w:hAnsiTheme="minorEastAsia"/>
                <w:kern w:val="0"/>
                <w:szCs w:val="21"/>
              </w:rPr>
              <w:t>至2016年</w:t>
            </w:r>
            <w:r w:rsidRPr="00565E0D">
              <w:rPr>
                <w:rFonts w:asciiTheme="minorEastAsia" w:eastAsiaTheme="minorEastAsia" w:hAnsiTheme="minorEastAsia" w:hint="eastAsia"/>
                <w:kern w:val="0"/>
                <w:szCs w:val="21"/>
              </w:rPr>
              <w:t>12</w:t>
            </w:r>
            <w:r w:rsidRPr="00565E0D">
              <w:rPr>
                <w:rFonts w:asciiTheme="minorEastAsia" w:eastAsiaTheme="minorEastAsia" w:hAnsiTheme="minorEastAsia"/>
                <w:kern w:val="0"/>
                <w:szCs w:val="21"/>
              </w:rPr>
              <w:t>月3</w:t>
            </w:r>
            <w:r w:rsidRPr="00565E0D">
              <w:rPr>
                <w:rFonts w:asciiTheme="minorEastAsia" w:eastAsiaTheme="minorEastAsia" w:hAnsiTheme="minorEastAsia" w:hint="eastAsia"/>
                <w:kern w:val="0"/>
                <w:szCs w:val="21"/>
              </w:rPr>
              <w:t>1</w:t>
            </w:r>
            <w:r w:rsidRPr="00565E0D">
              <w:rPr>
                <w:rFonts w:asciiTheme="minorEastAsia" w:eastAsiaTheme="minorEastAsia" w:hAnsiTheme="minorEastAsia"/>
                <w:kern w:val="0"/>
                <w:szCs w:val="21"/>
              </w:rPr>
              <w:t>日</w:t>
            </w:r>
          </w:p>
        </w:tc>
        <w:tc>
          <w:tcPr>
            <w:tcW w:w="992" w:type="dxa"/>
            <w:vAlign w:val="center"/>
          </w:tcPr>
          <w:p w:rsidR="00371AA7" w:rsidRPr="00565E0D" w:rsidRDefault="00297644" w:rsidP="00E00090">
            <w:pPr>
              <w:snapToGrid w:val="0"/>
              <w:spacing w:line="360" w:lineRule="auto"/>
              <w:jc w:val="right"/>
              <w:rPr>
                <w:rFonts w:asciiTheme="minorEastAsia" w:eastAsiaTheme="minorEastAsia" w:hAnsiTheme="minorEastAsia"/>
                <w:kern w:val="0"/>
                <w:szCs w:val="21"/>
              </w:rPr>
            </w:pPr>
            <w:r w:rsidRPr="00565E0D">
              <w:rPr>
                <w:rFonts w:asciiTheme="minorEastAsia" w:eastAsiaTheme="minorEastAsia" w:hAnsiTheme="minorEastAsia"/>
                <w:szCs w:val="21"/>
              </w:rPr>
              <w:t>-26.01%</w:t>
            </w:r>
          </w:p>
        </w:tc>
        <w:tc>
          <w:tcPr>
            <w:tcW w:w="1134" w:type="dxa"/>
            <w:vAlign w:val="center"/>
          </w:tcPr>
          <w:p w:rsidR="00371AA7" w:rsidRPr="00565E0D" w:rsidRDefault="00297644" w:rsidP="00E00090">
            <w:pPr>
              <w:snapToGrid w:val="0"/>
              <w:spacing w:line="360" w:lineRule="auto"/>
              <w:jc w:val="right"/>
              <w:rPr>
                <w:rFonts w:asciiTheme="minorEastAsia" w:eastAsiaTheme="minorEastAsia" w:hAnsiTheme="minorEastAsia"/>
                <w:kern w:val="0"/>
                <w:szCs w:val="21"/>
              </w:rPr>
            </w:pPr>
            <w:r w:rsidRPr="00565E0D">
              <w:rPr>
                <w:rFonts w:asciiTheme="minorEastAsia" w:eastAsiaTheme="minorEastAsia" w:hAnsiTheme="minorEastAsia"/>
                <w:szCs w:val="21"/>
              </w:rPr>
              <w:t>1.82%</w:t>
            </w:r>
          </w:p>
        </w:tc>
        <w:tc>
          <w:tcPr>
            <w:tcW w:w="1276" w:type="dxa"/>
            <w:vAlign w:val="center"/>
          </w:tcPr>
          <w:p w:rsidR="00371AA7" w:rsidRPr="00565E0D" w:rsidRDefault="00297644" w:rsidP="00E00090">
            <w:pPr>
              <w:snapToGrid w:val="0"/>
              <w:spacing w:line="360" w:lineRule="auto"/>
              <w:jc w:val="right"/>
              <w:rPr>
                <w:rFonts w:asciiTheme="minorEastAsia" w:eastAsiaTheme="minorEastAsia" w:hAnsiTheme="minorEastAsia"/>
                <w:kern w:val="0"/>
                <w:szCs w:val="21"/>
              </w:rPr>
            </w:pPr>
            <w:r w:rsidRPr="00565E0D">
              <w:rPr>
                <w:rFonts w:asciiTheme="minorEastAsia" w:eastAsiaTheme="minorEastAsia" w:hAnsiTheme="minorEastAsia"/>
                <w:szCs w:val="21"/>
              </w:rPr>
              <w:t>-6.88%</w:t>
            </w:r>
          </w:p>
        </w:tc>
        <w:tc>
          <w:tcPr>
            <w:tcW w:w="1418" w:type="dxa"/>
            <w:vAlign w:val="center"/>
          </w:tcPr>
          <w:p w:rsidR="00371AA7" w:rsidRPr="00565E0D" w:rsidRDefault="00297644" w:rsidP="00E00090">
            <w:pPr>
              <w:snapToGrid w:val="0"/>
              <w:spacing w:line="360" w:lineRule="auto"/>
              <w:jc w:val="right"/>
              <w:rPr>
                <w:rFonts w:asciiTheme="minorEastAsia" w:eastAsiaTheme="minorEastAsia" w:hAnsiTheme="minorEastAsia"/>
                <w:kern w:val="0"/>
                <w:szCs w:val="21"/>
              </w:rPr>
            </w:pPr>
            <w:r w:rsidRPr="00565E0D">
              <w:rPr>
                <w:rFonts w:asciiTheme="minorEastAsia" w:eastAsiaTheme="minorEastAsia" w:hAnsiTheme="minorEastAsia"/>
                <w:szCs w:val="21"/>
              </w:rPr>
              <w:t>0.98%</w:t>
            </w:r>
          </w:p>
        </w:tc>
        <w:tc>
          <w:tcPr>
            <w:tcW w:w="1134" w:type="dxa"/>
            <w:vAlign w:val="center"/>
          </w:tcPr>
          <w:p w:rsidR="00371AA7" w:rsidRPr="00565E0D" w:rsidRDefault="00297644" w:rsidP="00E00090">
            <w:pPr>
              <w:snapToGrid w:val="0"/>
              <w:spacing w:line="360" w:lineRule="auto"/>
              <w:jc w:val="right"/>
              <w:rPr>
                <w:rFonts w:asciiTheme="minorEastAsia" w:eastAsiaTheme="minorEastAsia" w:hAnsiTheme="minorEastAsia"/>
                <w:kern w:val="0"/>
                <w:szCs w:val="21"/>
              </w:rPr>
            </w:pPr>
            <w:r w:rsidRPr="00565E0D">
              <w:rPr>
                <w:rFonts w:asciiTheme="minorEastAsia" w:eastAsiaTheme="minorEastAsia" w:hAnsiTheme="minorEastAsia"/>
                <w:szCs w:val="21"/>
              </w:rPr>
              <w:t>-19.13%</w:t>
            </w:r>
          </w:p>
        </w:tc>
        <w:tc>
          <w:tcPr>
            <w:tcW w:w="1275" w:type="dxa"/>
            <w:vAlign w:val="center"/>
          </w:tcPr>
          <w:p w:rsidR="00371AA7" w:rsidRPr="00565E0D" w:rsidRDefault="00297644" w:rsidP="00E00090">
            <w:pPr>
              <w:snapToGrid w:val="0"/>
              <w:spacing w:line="360" w:lineRule="auto"/>
              <w:jc w:val="right"/>
              <w:rPr>
                <w:rFonts w:asciiTheme="minorEastAsia" w:eastAsiaTheme="minorEastAsia" w:hAnsiTheme="minorEastAsia"/>
                <w:kern w:val="0"/>
                <w:szCs w:val="21"/>
              </w:rPr>
            </w:pPr>
            <w:r w:rsidRPr="00565E0D">
              <w:rPr>
                <w:rFonts w:asciiTheme="minorEastAsia" w:eastAsiaTheme="minorEastAsia" w:hAnsiTheme="minorEastAsia"/>
                <w:szCs w:val="21"/>
              </w:rPr>
              <w:t>0.84%</w:t>
            </w:r>
          </w:p>
        </w:tc>
      </w:tr>
      <w:tr w:rsidR="00565E0D" w:rsidRPr="00565E0D" w:rsidTr="005364CC">
        <w:trPr>
          <w:trHeight w:val="300"/>
        </w:trPr>
        <w:tc>
          <w:tcPr>
            <w:tcW w:w="1276" w:type="dxa"/>
          </w:tcPr>
          <w:p w:rsidR="00024290" w:rsidRPr="00565E0D" w:rsidDel="00EE0589" w:rsidRDefault="00024290" w:rsidP="00024290">
            <w:pPr>
              <w:snapToGrid w:val="0"/>
              <w:spacing w:line="360" w:lineRule="auto"/>
              <w:ind w:leftChars="-51" w:left="-107" w:rightChars="-51" w:right="-107"/>
              <w:rPr>
                <w:rFonts w:asciiTheme="minorEastAsia" w:eastAsiaTheme="minorEastAsia" w:hAnsiTheme="minorEastAsia"/>
                <w:kern w:val="0"/>
                <w:szCs w:val="21"/>
              </w:rPr>
            </w:pPr>
            <w:r w:rsidRPr="00565E0D">
              <w:rPr>
                <w:rFonts w:asciiTheme="minorEastAsia" w:eastAsiaTheme="minorEastAsia" w:hAnsiTheme="minorEastAsia" w:hint="eastAsia"/>
                <w:szCs w:val="21"/>
              </w:rPr>
              <w:t>2017年1月1</w:t>
            </w:r>
            <w:r w:rsidRPr="00565E0D">
              <w:rPr>
                <w:rFonts w:asciiTheme="minorEastAsia" w:eastAsiaTheme="minorEastAsia" w:hAnsiTheme="minorEastAsia" w:hint="eastAsia"/>
                <w:szCs w:val="21"/>
              </w:rPr>
              <w:lastRenderedPageBreak/>
              <w:t>日至2017年12月31日</w:t>
            </w:r>
          </w:p>
        </w:tc>
        <w:tc>
          <w:tcPr>
            <w:tcW w:w="992" w:type="dxa"/>
            <w:vAlign w:val="center"/>
          </w:tcPr>
          <w:p w:rsidR="00024290" w:rsidRPr="00565E0D" w:rsidDel="00EE0589" w:rsidRDefault="005F277D" w:rsidP="00717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lastRenderedPageBreak/>
              <w:t>29.78%</w:t>
            </w:r>
          </w:p>
        </w:tc>
        <w:tc>
          <w:tcPr>
            <w:tcW w:w="1134" w:type="dxa"/>
            <w:vAlign w:val="center"/>
          </w:tcPr>
          <w:p w:rsidR="00024290" w:rsidRPr="00565E0D" w:rsidDel="00EE0589" w:rsidRDefault="005F277D" w:rsidP="00717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0.80%</w:t>
            </w:r>
          </w:p>
        </w:tc>
        <w:tc>
          <w:tcPr>
            <w:tcW w:w="1276" w:type="dxa"/>
            <w:vAlign w:val="center"/>
          </w:tcPr>
          <w:p w:rsidR="00024290" w:rsidRPr="00565E0D" w:rsidDel="00EE0589" w:rsidRDefault="005F277D" w:rsidP="00717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15.44%</w:t>
            </w:r>
          </w:p>
        </w:tc>
        <w:tc>
          <w:tcPr>
            <w:tcW w:w="1418" w:type="dxa"/>
            <w:vAlign w:val="center"/>
          </w:tcPr>
          <w:p w:rsidR="00024290" w:rsidRPr="00565E0D" w:rsidDel="00EE0589" w:rsidRDefault="005F277D" w:rsidP="00717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0.45%</w:t>
            </w:r>
          </w:p>
        </w:tc>
        <w:tc>
          <w:tcPr>
            <w:tcW w:w="1134" w:type="dxa"/>
            <w:vAlign w:val="center"/>
          </w:tcPr>
          <w:p w:rsidR="00024290" w:rsidRPr="00565E0D" w:rsidDel="00EE0589" w:rsidRDefault="005F277D" w:rsidP="00717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14.34%</w:t>
            </w:r>
          </w:p>
        </w:tc>
        <w:tc>
          <w:tcPr>
            <w:tcW w:w="1275" w:type="dxa"/>
            <w:vAlign w:val="center"/>
          </w:tcPr>
          <w:p w:rsidR="00024290" w:rsidRPr="00565E0D" w:rsidDel="00EE0589" w:rsidRDefault="005F277D" w:rsidP="00717BE1">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0.35%</w:t>
            </w:r>
          </w:p>
        </w:tc>
      </w:tr>
      <w:tr w:rsidR="00565E0D" w:rsidRPr="00565E0D" w:rsidTr="003D2DD1">
        <w:trPr>
          <w:trHeight w:val="300"/>
        </w:trPr>
        <w:tc>
          <w:tcPr>
            <w:tcW w:w="1276" w:type="dxa"/>
            <w:tcBorders>
              <w:top w:val="single" w:sz="4" w:space="0" w:color="auto"/>
              <w:left w:val="single" w:sz="4" w:space="0" w:color="auto"/>
              <w:bottom w:val="single" w:sz="4" w:space="0" w:color="auto"/>
              <w:right w:val="single" w:sz="4" w:space="0" w:color="auto"/>
            </w:tcBorders>
          </w:tcPr>
          <w:p w:rsidR="00651F68" w:rsidRPr="00565E0D" w:rsidDel="00EE0589" w:rsidRDefault="00651F68" w:rsidP="00651F68">
            <w:pPr>
              <w:snapToGrid w:val="0"/>
              <w:spacing w:line="360" w:lineRule="auto"/>
              <w:ind w:leftChars="-51" w:left="-107" w:rightChars="-51" w:right="-107"/>
              <w:rPr>
                <w:rFonts w:asciiTheme="minorEastAsia" w:eastAsiaTheme="minorEastAsia" w:hAnsiTheme="minorEastAsia"/>
                <w:szCs w:val="21"/>
              </w:rPr>
            </w:pPr>
            <w:r w:rsidRPr="00565E0D">
              <w:rPr>
                <w:rFonts w:asciiTheme="minorEastAsia" w:eastAsiaTheme="minorEastAsia" w:hAnsiTheme="minorEastAsia"/>
                <w:szCs w:val="21"/>
              </w:rPr>
              <w:t>2018年1月1日至2018年12月31日</w:t>
            </w:r>
          </w:p>
        </w:tc>
        <w:tc>
          <w:tcPr>
            <w:tcW w:w="992" w:type="dxa"/>
            <w:tcBorders>
              <w:top w:val="single" w:sz="4" w:space="0" w:color="auto"/>
              <w:left w:val="single" w:sz="4" w:space="0" w:color="auto"/>
              <w:bottom w:val="single" w:sz="4" w:space="0" w:color="auto"/>
              <w:right w:val="single" w:sz="4" w:space="0" w:color="auto"/>
            </w:tcBorders>
            <w:vAlign w:val="center"/>
          </w:tcPr>
          <w:p w:rsidR="00651F68" w:rsidRPr="00565E0D" w:rsidDel="00EE0589" w:rsidRDefault="00651F68" w:rsidP="00651F68">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-27.48%</w:t>
            </w:r>
          </w:p>
        </w:tc>
        <w:tc>
          <w:tcPr>
            <w:tcW w:w="1134" w:type="dxa"/>
            <w:tcBorders>
              <w:top w:val="single" w:sz="4" w:space="0" w:color="auto"/>
              <w:left w:val="single" w:sz="4" w:space="0" w:color="auto"/>
              <w:bottom w:val="single" w:sz="4" w:space="0" w:color="auto"/>
              <w:right w:val="single" w:sz="4" w:space="0" w:color="auto"/>
            </w:tcBorders>
            <w:vAlign w:val="center"/>
          </w:tcPr>
          <w:p w:rsidR="00651F68" w:rsidRPr="00565E0D" w:rsidDel="00EE0589" w:rsidRDefault="00651F68" w:rsidP="00651F68">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1.46%</w:t>
            </w:r>
          </w:p>
        </w:tc>
        <w:tc>
          <w:tcPr>
            <w:tcW w:w="1276" w:type="dxa"/>
            <w:tcBorders>
              <w:top w:val="single" w:sz="4" w:space="0" w:color="auto"/>
              <w:left w:val="single" w:sz="4" w:space="0" w:color="auto"/>
              <w:bottom w:val="single" w:sz="4" w:space="0" w:color="auto"/>
              <w:right w:val="single" w:sz="4" w:space="0" w:color="auto"/>
            </w:tcBorders>
            <w:vAlign w:val="center"/>
          </w:tcPr>
          <w:p w:rsidR="00651F68" w:rsidRPr="00565E0D" w:rsidDel="00EE0589" w:rsidRDefault="00651F68" w:rsidP="00651F68">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-16.03%</w:t>
            </w:r>
          </w:p>
        </w:tc>
        <w:tc>
          <w:tcPr>
            <w:tcW w:w="1418" w:type="dxa"/>
            <w:tcBorders>
              <w:top w:val="single" w:sz="4" w:space="0" w:color="auto"/>
              <w:left w:val="single" w:sz="4" w:space="0" w:color="auto"/>
              <w:bottom w:val="single" w:sz="4" w:space="0" w:color="auto"/>
              <w:right w:val="single" w:sz="4" w:space="0" w:color="auto"/>
            </w:tcBorders>
            <w:vAlign w:val="center"/>
          </w:tcPr>
          <w:p w:rsidR="00651F68" w:rsidRPr="00565E0D" w:rsidDel="00EE0589" w:rsidRDefault="00651F68" w:rsidP="00651F68">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0.94%</w:t>
            </w:r>
          </w:p>
        </w:tc>
        <w:tc>
          <w:tcPr>
            <w:tcW w:w="1134" w:type="dxa"/>
            <w:tcBorders>
              <w:top w:val="single" w:sz="4" w:space="0" w:color="auto"/>
              <w:left w:val="single" w:sz="4" w:space="0" w:color="auto"/>
              <w:bottom w:val="single" w:sz="4" w:space="0" w:color="auto"/>
              <w:right w:val="single" w:sz="4" w:space="0" w:color="auto"/>
            </w:tcBorders>
            <w:vAlign w:val="center"/>
          </w:tcPr>
          <w:p w:rsidR="00651F68" w:rsidRPr="00565E0D" w:rsidDel="00EE0589" w:rsidRDefault="00651F68" w:rsidP="00651F68">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-11.45%</w:t>
            </w:r>
          </w:p>
        </w:tc>
        <w:tc>
          <w:tcPr>
            <w:tcW w:w="1275" w:type="dxa"/>
            <w:tcBorders>
              <w:top w:val="single" w:sz="4" w:space="0" w:color="auto"/>
              <w:left w:val="single" w:sz="4" w:space="0" w:color="auto"/>
              <w:bottom w:val="single" w:sz="4" w:space="0" w:color="auto"/>
              <w:right w:val="single" w:sz="4" w:space="0" w:color="auto"/>
            </w:tcBorders>
            <w:vAlign w:val="center"/>
          </w:tcPr>
          <w:p w:rsidR="00651F68" w:rsidRPr="00565E0D" w:rsidDel="00EE0589" w:rsidRDefault="00651F68" w:rsidP="00651F68">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0.52%</w:t>
            </w:r>
          </w:p>
        </w:tc>
      </w:tr>
      <w:tr w:rsidR="007417EC" w:rsidRPr="00565E0D" w:rsidTr="003D2DD1">
        <w:trPr>
          <w:trHeight w:val="300"/>
        </w:trPr>
        <w:tc>
          <w:tcPr>
            <w:tcW w:w="1276" w:type="dxa"/>
            <w:tcBorders>
              <w:top w:val="single" w:sz="4" w:space="0" w:color="auto"/>
              <w:left w:val="single" w:sz="4" w:space="0" w:color="auto"/>
              <w:bottom w:val="single" w:sz="4" w:space="0" w:color="auto"/>
              <w:right w:val="single" w:sz="4" w:space="0" w:color="auto"/>
            </w:tcBorders>
          </w:tcPr>
          <w:p w:rsidR="007417EC" w:rsidRPr="00565E0D" w:rsidRDefault="007417EC" w:rsidP="00651F68">
            <w:pPr>
              <w:snapToGrid w:val="0"/>
              <w:spacing w:line="360" w:lineRule="auto"/>
              <w:ind w:leftChars="-51" w:left="-107" w:rightChars="-51" w:right="-107"/>
              <w:rPr>
                <w:rFonts w:asciiTheme="minorEastAsia" w:eastAsiaTheme="minorEastAsia" w:hAnsiTheme="minorEastAsia"/>
                <w:szCs w:val="21"/>
              </w:rPr>
            </w:pPr>
            <w:r w:rsidRPr="00565E0D">
              <w:rPr>
                <w:rFonts w:asciiTheme="minorEastAsia" w:eastAsiaTheme="minorEastAsia" w:hAnsiTheme="minorEastAsia"/>
                <w:szCs w:val="21"/>
              </w:rPr>
              <w:t>2019年1月1日至2019年12月31日</w:t>
            </w:r>
          </w:p>
        </w:tc>
        <w:tc>
          <w:tcPr>
            <w:tcW w:w="992" w:type="dxa"/>
            <w:tcBorders>
              <w:top w:val="single" w:sz="4" w:space="0" w:color="auto"/>
              <w:left w:val="single" w:sz="4" w:space="0" w:color="auto"/>
              <w:bottom w:val="single" w:sz="4" w:space="0" w:color="auto"/>
              <w:right w:val="single" w:sz="4" w:space="0" w:color="auto"/>
            </w:tcBorders>
            <w:vAlign w:val="center"/>
          </w:tcPr>
          <w:p w:rsidR="007417EC" w:rsidRPr="00565E0D" w:rsidRDefault="007417EC" w:rsidP="007417EC">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42.09%</w:t>
            </w:r>
          </w:p>
        </w:tc>
        <w:tc>
          <w:tcPr>
            <w:tcW w:w="1134" w:type="dxa"/>
            <w:tcBorders>
              <w:top w:val="single" w:sz="4" w:space="0" w:color="auto"/>
              <w:left w:val="single" w:sz="4" w:space="0" w:color="auto"/>
              <w:bottom w:val="single" w:sz="4" w:space="0" w:color="auto"/>
              <w:right w:val="single" w:sz="4" w:space="0" w:color="auto"/>
            </w:tcBorders>
            <w:vAlign w:val="center"/>
          </w:tcPr>
          <w:p w:rsidR="007417EC" w:rsidRPr="00565E0D" w:rsidRDefault="007417EC">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1.40%</w:t>
            </w:r>
          </w:p>
        </w:tc>
        <w:tc>
          <w:tcPr>
            <w:tcW w:w="1276" w:type="dxa"/>
            <w:tcBorders>
              <w:top w:val="single" w:sz="4" w:space="0" w:color="auto"/>
              <w:left w:val="single" w:sz="4" w:space="0" w:color="auto"/>
              <w:bottom w:val="single" w:sz="4" w:space="0" w:color="auto"/>
              <w:right w:val="single" w:sz="4" w:space="0" w:color="auto"/>
            </w:tcBorders>
            <w:vAlign w:val="center"/>
          </w:tcPr>
          <w:p w:rsidR="007417EC" w:rsidRPr="00565E0D" w:rsidRDefault="007417EC">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26.55%</w:t>
            </w:r>
          </w:p>
        </w:tc>
        <w:tc>
          <w:tcPr>
            <w:tcW w:w="1418" w:type="dxa"/>
            <w:tcBorders>
              <w:top w:val="single" w:sz="4" w:space="0" w:color="auto"/>
              <w:left w:val="single" w:sz="4" w:space="0" w:color="auto"/>
              <w:bottom w:val="single" w:sz="4" w:space="0" w:color="auto"/>
              <w:right w:val="single" w:sz="4" w:space="0" w:color="auto"/>
            </w:tcBorders>
            <w:vAlign w:val="center"/>
          </w:tcPr>
          <w:p w:rsidR="007417EC" w:rsidRPr="00565E0D" w:rsidRDefault="007417EC">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0.87%</w:t>
            </w:r>
          </w:p>
        </w:tc>
        <w:tc>
          <w:tcPr>
            <w:tcW w:w="1134" w:type="dxa"/>
            <w:tcBorders>
              <w:top w:val="single" w:sz="4" w:space="0" w:color="auto"/>
              <w:left w:val="single" w:sz="4" w:space="0" w:color="auto"/>
              <w:bottom w:val="single" w:sz="4" w:space="0" w:color="auto"/>
              <w:right w:val="single" w:sz="4" w:space="0" w:color="auto"/>
            </w:tcBorders>
            <w:vAlign w:val="center"/>
          </w:tcPr>
          <w:p w:rsidR="007417EC" w:rsidRPr="00565E0D" w:rsidRDefault="007417EC">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15.54%</w:t>
            </w:r>
          </w:p>
        </w:tc>
        <w:tc>
          <w:tcPr>
            <w:tcW w:w="1275" w:type="dxa"/>
            <w:tcBorders>
              <w:top w:val="single" w:sz="4" w:space="0" w:color="auto"/>
              <w:left w:val="single" w:sz="4" w:space="0" w:color="auto"/>
              <w:bottom w:val="single" w:sz="4" w:space="0" w:color="auto"/>
              <w:right w:val="single" w:sz="4" w:space="0" w:color="auto"/>
            </w:tcBorders>
            <w:vAlign w:val="center"/>
          </w:tcPr>
          <w:p w:rsidR="007417EC" w:rsidRPr="00565E0D" w:rsidRDefault="007417EC">
            <w:pPr>
              <w:snapToGrid w:val="0"/>
              <w:spacing w:line="360" w:lineRule="auto"/>
              <w:jc w:val="right"/>
              <w:rPr>
                <w:rFonts w:asciiTheme="minorEastAsia" w:eastAsiaTheme="minorEastAsia" w:hAnsiTheme="minorEastAsia"/>
                <w:szCs w:val="21"/>
              </w:rPr>
            </w:pPr>
            <w:r w:rsidRPr="00565E0D">
              <w:rPr>
                <w:rFonts w:asciiTheme="minorEastAsia" w:eastAsiaTheme="minorEastAsia" w:hAnsiTheme="minorEastAsia"/>
                <w:szCs w:val="21"/>
              </w:rPr>
              <w:t>0.53%</w:t>
            </w:r>
          </w:p>
        </w:tc>
      </w:tr>
    </w:tbl>
    <w:p w:rsidR="00C35BC5" w:rsidRPr="00565E0D" w:rsidRDefault="00C35BC5" w:rsidP="00552BE1">
      <w:pPr>
        <w:snapToGrid w:val="0"/>
        <w:spacing w:line="360" w:lineRule="auto"/>
        <w:ind w:firstLine="640"/>
        <w:rPr>
          <w:rFonts w:asciiTheme="minorEastAsia" w:eastAsiaTheme="minorEastAsia" w:hAnsiTheme="minorEastAsia"/>
        </w:r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pPr>
      <w:bookmarkStart w:id="116" w:name="_Toc38551215"/>
      <w:r w:rsidRPr="00565E0D">
        <w:rPr>
          <w:rFonts w:asciiTheme="minorEastAsia" w:eastAsiaTheme="minorEastAsia" w:hAnsiTheme="minorEastAsia" w:hint="eastAsia"/>
          <w:b/>
          <w:bCs/>
        </w:rPr>
        <w:lastRenderedPageBreak/>
        <w:t>十三、基金的财产</w:t>
      </w:r>
      <w:bookmarkEnd w:id="116"/>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117" w:name="_Toc38551216"/>
      <w:r w:rsidRPr="00565E0D">
        <w:rPr>
          <w:rFonts w:asciiTheme="minorEastAsia" w:eastAsiaTheme="minorEastAsia" w:hAnsiTheme="minorEastAsia" w:hint="eastAsia"/>
          <w:b w:val="0"/>
        </w:rPr>
        <w:t>（一）基金资产总值</w:t>
      </w:r>
      <w:bookmarkEnd w:id="117"/>
    </w:p>
    <w:p w:rsidR="00C35BC5" w:rsidRPr="00565E0D" w:rsidRDefault="00C35BC5" w:rsidP="00552BE1">
      <w:pPr>
        <w:pStyle w:val="ad"/>
        <w:snapToGrid w:val="0"/>
        <w:spacing w:after="0" w:line="360" w:lineRule="auto"/>
        <w:ind w:firstLineChars="200"/>
        <w:rPr>
          <w:rFonts w:asciiTheme="minorEastAsia" w:eastAsiaTheme="minorEastAsia" w:hAnsiTheme="minorEastAsia"/>
        </w:rPr>
      </w:pPr>
      <w:bookmarkStart w:id="118" w:name="_Toc79392635"/>
      <w:bookmarkStart w:id="119" w:name="_Toc79556449"/>
      <w:r w:rsidRPr="00565E0D">
        <w:rPr>
          <w:rFonts w:asciiTheme="minorEastAsia" w:eastAsiaTheme="minorEastAsia" w:hAnsiTheme="minorEastAsia" w:hint="eastAsia"/>
        </w:rPr>
        <w:t>基金资产总值是指购买的各类证券价值、银行存款本息和基金应收的申购基金款以及其他投资所形成的价值总和。</w:t>
      </w:r>
      <w:bookmarkEnd w:id="118"/>
      <w:bookmarkEnd w:id="119"/>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其构成主要有：</w:t>
      </w:r>
    </w:p>
    <w:p w:rsidR="00C35BC5" w:rsidRPr="00565E0D" w:rsidRDefault="00C35BC5" w:rsidP="00552BE1">
      <w:pPr>
        <w:numPr>
          <w:ilvl w:val="0"/>
          <w:numId w:val="26"/>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银行存款及其应计利息；</w:t>
      </w:r>
    </w:p>
    <w:p w:rsidR="00C35BC5" w:rsidRPr="00565E0D" w:rsidRDefault="00C35BC5" w:rsidP="00552BE1">
      <w:pPr>
        <w:numPr>
          <w:ilvl w:val="0"/>
          <w:numId w:val="26"/>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清算备付金及其应计利息；</w:t>
      </w:r>
    </w:p>
    <w:p w:rsidR="00C35BC5" w:rsidRPr="00565E0D" w:rsidRDefault="00C35BC5" w:rsidP="00552BE1">
      <w:pPr>
        <w:numPr>
          <w:ilvl w:val="0"/>
          <w:numId w:val="26"/>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根据有关规定缴纳的保证金；</w:t>
      </w:r>
    </w:p>
    <w:p w:rsidR="00C35BC5" w:rsidRPr="00565E0D" w:rsidRDefault="00C35BC5" w:rsidP="00552BE1">
      <w:pPr>
        <w:numPr>
          <w:ilvl w:val="0"/>
          <w:numId w:val="26"/>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应收证券交易清算款；</w:t>
      </w:r>
    </w:p>
    <w:p w:rsidR="00C35BC5" w:rsidRPr="00565E0D" w:rsidRDefault="00C35BC5" w:rsidP="00552BE1">
      <w:pPr>
        <w:numPr>
          <w:ilvl w:val="0"/>
          <w:numId w:val="26"/>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应收申购款；</w:t>
      </w:r>
    </w:p>
    <w:p w:rsidR="00C35BC5" w:rsidRPr="00565E0D" w:rsidRDefault="00C35BC5" w:rsidP="00552BE1">
      <w:pPr>
        <w:numPr>
          <w:ilvl w:val="0"/>
          <w:numId w:val="26"/>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股票投资及其估值调整；</w:t>
      </w:r>
    </w:p>
    <w:p w:rsidR="00C35BC5" w:rsidRPr="00565E0D" w:rsidRDefault="00C35BC5" w:rsidP="00552BE1">
      <w:pPr>
        <w:numPr>
          <w:ilvl w:val="0"/>
          <w:numId w:val="26"/>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债券投资及其估值调整和应计利息；</w:t>
      </w:r>
    </w:p>
    <w:p w:rsidR="00C35BC5" w:rsidRPr="00565E0D" w:rsidRDefault="00C35BC5" w:rsidP="00552BE1">
      <w:pPr>
        <w:numPr>
          <w:ilvl w:val="0"/>
          <w:numId w:val="26"/>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权证投资及其估值调整；</w:t>
      </w:r>
    </w:p>
    <w:p w:rsidR="00C35BC5" w:rsidRPr="00565E0D" w:rsidRDefault="00C35BC5" w:rsidP="00552BE1">
      <w:pPr>
        <w:numPr>
          <w:ilvl w:val="0"/>
          <w:numId w:val="26"/>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其他投资及其估值调整；</w:t>
      </w:r>
    </w:p>
    <w:p w:rsidR="00C35BC5" w:rsidRPr="00565E0D" w:rsidRDefault="00C35BC5" w:rsidP="00552BE1">
      <w:pPr>
        <w:numPr>
          <w:ilvl w:val="0"/>
          <w:numId w:val="26"/>
        </w:numPr>
        <w:snapToGrid w:val="0"/>
        <w:spacing w:line="360" w:lineRule="auto"/>
        <w:rPr>
          <w:rFonts w:asciiTheme="minorEastAsia" w:eastAsiaTheme="minorEastAsia" w:hAnsiTheme="minorEastAsia"/>
        </w:rPr>
      </w:pPr>
      <w:r w:rsidRPr="00565E0D">
        <w:rPr>
          <w:rFonts w:asciiTheme="minorEastAsia" w:eastAsiaTheme="minorEastAsia" w:hAnsiTheme="minorEastAsia" w:hint="eastAsia"/>
        </w:rPr>
        <w:t>其他资产等。</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120" w:name="_Toc38551217"/>
      <w:r w:rsidRPr="00565E0D">
        <w:rPr>
          <w:rFonts w:asciiTheme="minorEastAsia" w:eastAsiaTheme="minorEastAsia" w:hAnsiTheme="minorEastAsia" w:hint="eastAsia"/>
          <w:b w:val="0"/>
        </w:rPr>
        <w:t>（二）基金资产净值</w:t>
      </w:r>
      <w:bookmarkEnd w:id="120"/>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基金资产净值是指基金资产总值减去基金负债后的价值。</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rPr>
      </w:pPr>
      <w:bookmarkStart w:id="121" w:name="_Toc38551218"/>
      <w:r w:rsidRPr="00565E0D">
        <w:rPr>
          <w:rFonts w:asciiTheme="minorEastAsia" w:eastAsiaTheme="minorEastAsia" w:hAnsiTheme="minorEastAsia" w:hint="eastAsia"/>
          <w:b w:val="0"/>
        </w:rPr>
        <w:t>（三）基金财产的账户</w:t>
      </w:r>
      <w:bookmarkEnd w:id="121"/>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w:t>
      </w:r>
      <w:r w:rsidR="00146A02" w:rsidRPr="00565E0D">
        <w:rPr>
          <w:rFonts w:asciiTheme="minorEastAsia" w:eastAsiaTheme="minorEastAsia" w:hAnsiTheme="minorEastAsia" w:hint="eastAsia"/>
        </w:rPr>
        <w:t>销售</w:t>
      </w:r>
      <w:r w:rsidRPr="00565E0D">
        <w:rPr>
          <w:rFonts w:asciiTheme="minorEastAsia" w:eastAsiaTheme="minorEastAsia" w:hAnsiTheme="minorEastAsia" w:hint="eastAsia"/>
        </w:rPr>
        <w:t>机构和基金注册登记人自有的财产账户以及其他基金财产账户相独立。</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122" w:name="_Toc38551219"/>
      <w:r w:rsidRPr="00565E0D">
        <w:rPr>
          <w:rFonts w:asciiTheme="minorEastAsia" w:eastAsiaTheme="minorEastAsia" w:hAnsiTheme="minorEastAsia" w:hint="eastAsia"/>
          <w:b w:val="0"/>
        </w:rPr>
        <w:t>（四）基金财产的保管和处分</w:t>
      </w:r>
      <w:bookmarkEnd w:id="122"/>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本基金财产独立于基金管理人、基金托管人和基金</w:t>
      </w:r>
      <w:r w:rsidR="00146A02" w:rsidRPr="00565E0D">
        <w:rPr>
          <w:rFonts w:asciiTheme="minorEastAsia" w:eastAsiaTheme="minorEastAsia" w:hAnsiTheme="minorEastAsia" w:hint="eastAsia"/>
        </w:rPr>
        <w:t>销售</w:t>
      </w:r>
      <w:r w:rsidRPr="00565E0D">
        <w:rPr>
          <w:rFonts w:asciiTheme="minorEastAsia" w:eastAsiaTheme="minorEastAsia" w:hAnsiTheme="minorEastAsia" w:hint="eastAsia"/>
        </w:rPr>
        <w:t>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人和基金</w:t>
      </w:r>
      <w:r w:rsidR="00146A02" w:rsidRPr="00565E0D">
        <w:rPr>
          <w:rFonts w:asciiTheme="minorEastAsia" w:eastAsiaTheme="minorEastAsia" w:hAnsiTheme="minorEastAsia" w:hint="eastAsia"/>
        </w:rPr>
        <w:t>销售</w:t>
      </w:r>
      <w:r w:rsidRPr="00565E0D">
        <w:rPr>
          <w:rFonts w:asciiTheme="minorEastAsia" w:eastAsiaTheme="minorEastAsia" w:hAnsiTheme="minorEastAsia" w:hint="eastAsia"/>
        </w:rPr>
        <w:t>机构以其自有的财产承担其自身的法律责任，其债权人不得对本基金财产行使请求冻结、扣押或其他权利。除依法律法规和《基金合同》的规定处分外，基金财产不得被处分。</w:t>
      </w:r>
    </w:p>
    <w:p w:rsidR="00C35BC5" w:rsidRPr="00565E0D" w:rsidRDefault="00C35BC5" w:rsidP="00552BE1">
      <w:pPr>
        <w:snapToGrid w:val="0"/>
        <w:spacing w:line="360" w:lineRule="auto"/>
        <w:ind w:firstLine="480"/>
        <w:rPr>
          <w:rFonts w:asciiTheme="minorEastAsia" w:eastAsiaTheme="minorEastAsia" w:hAnsiTheme="minorEastAsia"/>
          <w:kern w:val="0"/>
          <w:szCs w:val="21"/>
        </w:rPr>
      </w:pPr>
      <w:r w:rsidRPr="00565E0D">
        <w:rPr>
          <w:rFonts w:asciiTheme="minorEastAsia" w:eastAsiaTheme="minorEastAsia" w:hAnsiTheme="minorEastAsia" w:hint="eastAsia"/>
        </w:rPr>
        <w:t>基金管理人管理运作基金财产所产生的债权，不得与其固有资产产生的债务相互抵消；基金管理人管理运作不同基金的基金财产所产生的债权债务不得相互</w:t>
      </w:r>
      <w:r w:rsidRPr="00565E0D">
        <w:rPr>
          <w:rFonts w:asciiTheme="minorEastAsia" w:eastAsiaTheme="minorEastAsia" w:hAnsiTheme="minorEastAsia" w:hint="eastAsia"/>
          <w:sz w:val="24"/>
        </w:rPr>
        <w:t>抵消。</w:t>
      </w:r>
    </w:p>
    <w:p w:rsidR="00C35BC5" w:rsidRPr="00565E0D" w:rsidRDefault="00C35BC5" w:rsidP="00552BE1">
      <w:pPr>
        <w:snapToGrid w:val="0"/>
        <w:spacing w:line="360" w:lineRule="auto"/>
        <w:rPr>
          <w:rFonts w:asciiTheme="minorEastAsia" w:eastAsiaTheme="minorEastAsia" w:hAnsiTheme="minorEastAsia"/>
        </w:r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Cs/>
        </w:rPr>
      </w:pPr>
      <w:bookmarkStart w:id="123" w:name="_Toc38551220"/>
      <w:r w:rsidRPr="00565E0D">
        <w:rPr>
          <w:rFonts w:asciiTheme="minorEastAsia" w:eastAsiaTheme="minorEastAsia" w:hAnsiTheme="minorEastAsia" w:hint="eastAsia"/>
          <w:b/>
          <w:bCs/>
        </w:rPr>
        <w:lastRenderedPageBreak/>
        <w:t>十四、基金资产估值</w:t>
      </w:r>
      <w:bookmarkEnd w:id="123"/>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rPr>
      </w:pPr>
      <w:bookmarkStart w:id="124" w:name="_Toc66706733"/>
      <w:bookmarkStart w:id="125" w:name="_Toc86584624"/>
      <w:bookmarkStart w:id="126" w:name="_Toc38551221"/>
      <w:bookmarkStart w:id="127" w:name="_Toc84149655"/>
      <w:r w:rsidRPr="00565E0D">
        <w:rPr>
          <w:rFonts w:asciiTheme="minorEastAsia" w:eastAsiaTheme="minorEastAsia" w:hAnsiTheme="minorEastAsia" w:hint="eastAsia"/>
          <w:b w:val="0"/>
        </w:rPr>
        <w:t>（一）估值目的</w:t>
      </w:r>
      <w:bookmarkEnd w:id="124"/>
      <w:bookmarkEnd w:id="125"/>
      <w:bookmarkEnd w:id="126"/>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rPr>
        <w:t>基金资产估值的目的是客观、准确地反映基金资产是否保值、增值，依据经基金资产估值后确定的基金资产净值而计算出的基金份额净值，是计算基金申购与赎回价格的基础。</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128" w:name="_Toc66706734"/>
      <w:bookmarkStart w:id="129" w:name="_Toc86584625"/>
      <w:bookmarkStart w:id="130" w:name="_Toc38551222"/>
      <w:r w:rsidRPr="00565E0D">
        <w:rPr>
          <w:rFonts w:asciiTheme="minorEastAsia" w:eastAsiaTheme="minorEastAsia" w:hAnsiTheme="minorEastAsia" w:hint="eastAsia"/>
          <w:b w:val="0"/>
        </w:rPr>
        <w:t>（二）估值日</w:t>
      </w:r>
      <w:bookmarkEnd w:id="128"/>
      <w:bookmarkEnd w:id="129"/>
      <w:bookmarkEnd w:id="130"/>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本基金的估值日为相关的证券交易场所的正常营业日以及国家法律法规规定需要对外披露基金净值的非营业日。</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131" w:name="_Toc66706735"/>
      <w:bookmarkStart w:id="132" w:name="_Toc86584626"/>
      <w:bookmarkStart w:id="133" w:name="_Toc38551223"/>
      <w:r w:rsidRPr="00565E0D">
        <w:rPr>
          <w:rFonts w:asciiTheme="minorEastAsia" w:eastAsiaTheme="minorEastAsia" w:hAnsiTheme="minorEastAsia" w:hint="eastAsia"/>
          <w:b w:val="0"/>
        </w:rPr>
        <w:t>（三）估值对象</w:t>
      </w:r>
      <w:bookmarkEnd w:id="131"/>
      <w:bookmarkEnd w:id="132"/>
      <w:bookmarkEnd w:id="133"/>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基金所拥有的股票、债券、权证和银行存款本息等资产和负债。</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rPr>
      </w:pPr>
      <w:bookmarkStart w:id="134" w:name="_Toc38551224"/>
      <w:bookmarkStart w:id="135" w:name="_Toc66706736"/>
      <w:bookmarkStart w:id="136" w:name="_Toc86584627"/>
      <w:r w:rsidRPr="00565E0D">
        <w:rPr>
          <w:rFonts w:asciiTheme="minorEastAsia" w:eastAsiaTheme="minorEastAsia" w:hAnsiTheme="minorEastAsia" w:hint="eastAsia"/>
          <w:b w:val="0"/>
        </w:rPr>
        <w:t>（四）估值程序</w:t>
      </w:r>
      <w:bookmarkEnd w:id="134"/>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137" w:name="_Toc38551225"/>
      <w:r w:rsidRPr="00565E0D">
        <w:rPr>
          <w:rFonts w:asciiTheme="minorEastAsia" w:eastAsiaTheme="minorEastAsia" w:hAnsiTheme="minorEastAsia" w:hint="eastAsia"/>
          <w:b w:val="0"/>
        </w:rPr>
        <w:t>（五）估值方法</w:t>
      </w:r>
      <w:bookmarkEnd w:id="135"/>
      <w:bookmarkEnd w:id="136"/>
      <w:bookmarkEnd w:id="137"/>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本基金按以下方式进行估值：</w:t>
      </w:r>
    </w:p>
    <w:p w:rsidR="00C35BC5" w:rsidRPr="00565E0D" w:rsidRDefault="00552BE1" w:rsidP="00C9149F">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1、</w:t>
      </w:r>
      <w:r w:rsidR="00C35BC5" w:rsidRPr="00565E0D">
        <w:rPr>
          <w:rFonts w:asciiTheme="minorEastAsia" w:eastAsiaTheme="minorEastAsia" w:hAnsiTheme="minorEastAsia" w:hint="eastAsia"/>
        </w:rPr>
        <w:t>证券交易所上市的有价证券的估值</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交易所上市未实行净价交易的债券按估值日收盘价减去债券收盘价中所含的债券应收利息得到的净价进行估值；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（4）交易所上市不存在活跃市场的有价证券，采用估值技术确定公允价值。交易所上市的资产支持证券，采用估值技术确定公允价值，在估值技术难以可靠计量公允价值的情况下，按成本估值。</w:t>
      </w:r>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lastRenderedPageBreak/>
        <w:t>2、</w:t>
      </w:r>
      <w:r w:rsidR="00C35BC5" w:rsidRPr="00565E0D">
        <w:rPr>
          <w:rFonts w:asciiTheme="minorEastAsia" w:eastAsiaTheme="minorEastAsia" w:hAnsiTheme="minorEastAsia" w:hint="eastAsia"/>
        </w:rPr>
        <w:t>处于未上市期间的有价证券应区分如下情况处理：</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（1）送股、转增股、配股和公开增发的新股，按估值日在证券交易所挂牌的同一股票的市价（收盘价）估值；该日无交易的，以最近一日的市价（收盘价）估值；</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（2）首次公开发行未上市的股票、债券和权证，采用估值技术确定公允价值，在估值技术难以可靠计量公允价值的情况下，按成本估值。</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w:t>
      </w:r>
      <w:r w:rsidR="00C35BC5" w:rsidRPr="00565E0D">
        <w:rPr>
          <w:rFonts w:asciiTheme="minorEastAsia" w:eastAsiaTheme="minorEastAsia" w:hAnsiTheme="minorEastAsia" w:hint="eastAsia"/>
        </w:rPr>
        <w:t>因持有股票而享有的配股权，以及停止交易、但未行权的权证，采用估值技术确定公允价值。</w:t>
      </w:r>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4、</w:t>
      </w:r>
      <w:r w:rsidR="00C35BC5" w:rsidRPr="00565E0D">
        <w:rPr>
          <w:rFonts w:asciiTheme="minorEastAsia" w:eastAsiaTheme="minorEastAsia" w:hAnsiTheme="minorEastAsia" w:hint="eastAsia"/>
        </w:rPr>
        <w:t>全国银行间债券市场交易的债券、资产支持证券等固定收益品种，采用估值技术确定公允价值。</w:t>
      </w:r>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5、</w:t>
      </w:r>
      <w:r w:rsidR="00C35BC5" w:rsidRPr="00565E0D">
        <w:rPr>
          <w:rFonts w:asciiTheme="minorEastAsia" w:eastAsiaTheme="minorEastAsia" w:hAnsiTheme="minorEastAsia" w:hint="eastAsia"/>
        </w:rPr>
        <w:t>同一债券同时在两个或两个以上市场交易的，按债券所处的市场分别估值。</w:t>
      </w:r>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6、</w:t>
      </w:r>
      <w:r w:rsidR="00C35BC5" w:rsidRPr="00565E0D">
        <w:rPr>
          <w:rFonts w:asciiTheme="minorEastAsia" w:eastAsiaTheme="minorEastAsia" w:hAnsiTheme="minorEastAsia" w:hint="eastAsia"/>
        </w:rPr>
        <w:t>如有确凿证据表明按上述方法进行估值不能客观反映其公允价值的，基金管理人可根据具体情况与基金托管人商定后，按最能反映公允价值的价格估值。</w:t>
      </w:r>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7、</w:t>
      </w:r>
      <w:r w:rsidR="00C35BC5" w:rsidRPr="00565E0D">
        <w:rPr>
          <w:rFonts w:asciiTheme="minorEastAsia" w:eastAsiaTheme="minorEastAsia" w:hAnsiTheme="minorEastAsia" w:hint="eastAsia"/>
        </w:rPr>
        <w:t>相关法律法规以及监管部门有强制规定的，从其规定。如有新增事项，按国家最新规定估值。</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138" w:name="_Toc181440945"/>
      <w:bookmarkStart w:id="139" w:name="_Toc181441083"/>
      <w:bookmarkStart w:id="140" w:name="_Toc181441219"/>
      <w:bookmarkStart w:id="141" w:name="_Toc181441353"/>
      <w:bookmarkStart w:id="142" w:name="_Toc181441487"/>
      <w:bookmarkStart w:id="143" w:name="_Toc181441855"/>
      <w:bookmarkStart w:id="144" w:name="_Toc182130595"/>
      <w:bookmarkStart w:id="145" w:name="_Toc182134761"/>
      <w:bookmarkStart w:id="146" w:name="_Toc183251180"/>
      <w:bookmarkStart w:id="147" w:name="_Toc183251793"/>
      <w:bookmarkStart w:id="148" w:name="_Toc183251954"/>
      <w:bookmarkStart w:id="149" w:name="_Toc183252111"/>
      <w:bookmarkStart w:id="150" w:name="_Toc183252696"/>
      <w:bookmarkStart w:id="151" w:name="_Toc181440946"/>
      <w:bookmarkStart w:id="152" w:name="_Toc181441084"/>
      <w:bookmarkStart w:id="153" w:name="_Toc181441220"/>
      <w:bookmarkStart w:id="154" w:name="_Toc181441354"/>
      <w:bookmarkStart w:id="155" w:name="_Toc181441488"/>
      <w:bookmarkStart w:id="156" w:name="_Toc181441856"/>
      <w:bookmarkStart w:id="157" w:name="_Toc182130596"/>
      <w:bookmarkStart w:id="158" w:name="_Toc182134762"/>
      <w:bookmarkStart w:id="159" w:name="_Toc183251181"/>
      <w:bookmarkStart w:id="160" w:name="_Toc183251794"/>
      <w:bookmarkStart w:id="161" w:name="_Toc183251955"/>
      <w:bookmarkStart w:id="162" w:name="_Toc183252112"/>
      <w:bookmarkStart w:id="163" w:name="_Toc183252697"/>
      <w:bookmarkStart w:id="164" w:name="_Toc181440947"/>
      <w:bookmarkStart w:id="165" w:name="_Toc181441085"/>
      <w:bookmarkStart w:id="166" w:name="_Toc181441221"/>
      <w:bookmarkStart w:id="167" w:name="_Toc181441355"/>
      <w:bookmarkStart w:id="168" w:name="_Toc181441489"/>
      <w:bookmarkStart w:id="169" w:name="_Toc181441857"/>
      <w:bookmarkStart w:id="170" w:name="_Toc182130597"/>
      <w:bookmarkStart w:id="171" w:name="_Toc182134763"/>
      <w:bookmarkStart w:id="172" w:name="_Toc183251182"/>
      <w:bookmarkStart w:id="173" w:name="_Toc183251795"/>
      <w:bookmarkStart w:id="174" w:name="_Toc183251956"/>
      <w:bookmarkStart w:id="175" w:name="_Toc183252113"/>
      <w:bookmarkStart w:id="176" w:name="_Toc183252698"/>
      <w:bookmarkStart w:id="177" w:name="_Toc181440948"/>
      <w:bookmarkStart w:id="178" w:name="_Toc181441086"/>
      <w:bookmarkStart w:id="179" w:name="_Toc181441222"/>
      <w:bookmarkStart w:id="180" w:name="_Toc181441356"/>
      <w:bookmarkStart w:id="181" w:name="_Toc181441490"/>
      <w:bookmarkStart w:id="182" w:name="_Toc181441858"/>
      <w:bookmarkStart w:id="183" w:name="_Toc182130598"/>
      <w:bookmarkStart w:id="184" w:name="_Toc182134764"/>
      <w:bookmarkStart w:id="185" w:name="_Toc183251183"/>
      <w:bookmarkStart w:id="186" w:name="_Toc183251796"/>
      <w:bookmarkStart w:id="187" w:name="_Toc183251957"/>
      <w:bookmarkStart w:id="188" w:name="_Toc183252114"/>
      <w:bookmarkStart w:id="189" w:name="_Toc183252699"/>
      <w:bookmarkStart w:id="190" w:name="_Toc181440949"/>
      <w:bookmarkStart w:id="191" w:name="_Toc181441087"/>
      <w:bookmarkStart w:id="192" w:name="_Toc181441223"/>
      <w:bookmarkStart w:id="193" w:name="_Toc181441357"/>
      <w:bookmarkStart w:id="194" w:name="_Toc181441491"/>
      <w:bookmarkStart w:id="195" w:name="_Toc181441859"/>
      <w:bookmarkStart w:id="196" w:name="_Toc182130599"/>
      <w:bookmarkStart w:id="197" w:name="_Toc182134765"/>
      <w:bookmarkStart w:id="198" w:name="_Toc183251184"/>
      <w:bookmarkStart w:id="199" w:name="_Toc183251797"/>
      <w:bookmarkStart w:id="200" w:name="_Toc183251958"/>
      <w:bookmarkStart w:id="201" w:name="_Toc183252115"/>
      <w:bookmarkStart w:id="202" w:name="_Toc183252700"/>
      <w:bookmarkStart w:id="203" w:name="_Toc181440950"/>
      <w:bookmarkStart w:id="204" w:name="_Toc181441088"/>
      <w:bookmarkStart w:id="205" w:name="_Toc181441224"/>
      <w:bookmarkStart w:id="206" w:name="_Toc181441358"/>
      <w:bookmarkStart w:id="207" w:name="_Toc181441492"/>
      <w:bookmarkStart w:id="208" w:name="_Toc181441860"/>
      <w:bookmarkStart w:id="209" w:name="_Toc182130600"/>
      <w:bookmarkStart w:id="210" w:name="_Toc182134766"/>
      <w:bookmarkStart w:id="211" w:name="_Toc183251185"/>
      <w:bookmarkStart w:id="212" w:name="_Toc183251798"/>
      <w:bookmarkStart w:id="213" w:name="_Toc183251959"/>
      <w:bookmarkStart w:id="214" w:name="_Toc183252116"/>
      <w:bookmarkStart w:id="215" w:name="_Toc183252701"/>
      <w:bookmarkStart w:id="216" w:name="_Toc181440951"/>
      <w:bookmarkStart w:id="217" w:name="_Toc181441089"/>
      <w:bookmarkStart w:id="218" w:name="_Toc181441225"/>
      <w:bookmarkStart w:id="219" w:name="_Toc181441359"/>
      <w:bookmarkStart w:id="220" w:name="_Toc181441493"/>
      <w:bookmarkStart w:id="221" w:name="_Toc181441861"/>
      <w:bookmarkStart w:id="222" w:name="_Toc182130601"/>
      <w:bookmarkStart w:id="223" w:name="_Toc182134767"/>
      <w:bookmarkStart w:id="224" w:name="_Toc183251186"/>
      <w:bookmarkStart w:id="225" w:name="_Toc183251799"/>
      <w:bookmarkStart w:id="226" w:name="_Toc183251960"/>
      <w:bookmarkStart w:id="227" w:name="_Toc183252117"/>
      <w:bookmarkStart w:id="228" w:name="_Toc183252702"/>
      <w:bookmarkStart w:id="229" w:name="_Toc181440952"/>
      <w:bookmarkStart w:id="230" w:name="_Toc181441090"/>
      <w:bookmarkStart w:id="231" w:name="_Toc181441226"/>
      <w:bookmarkStart w:id="232" w:name="_Toc181441360"/>
      <w:bookmarkStart w:id="233" w:name="_Toc181441494"/>
      <w:bookmarkStart w:id="234" w:name="_Toc181441862"/>
      <w:bookmarkStart w:id="235" w:name="_Toc182130602"/>
      <w:bookmarkStart w:id="236" w:name="_Toc182134768"/>
      <w:bookmarkStart w:id="237" w:name="_Toc183251187"/>
      <w:bookmarkStart w:id="238" w:name="_Toc183251800"/>
      <w:bookmarkStart w:id="239" w:name="_Toc183251961"/>
      <w:bookmarkStart w:id="240" w:name="_Toc183252118"/>
      <w:bookmarkStart w:id="241" w:name="_Toc183252703"/>
      <w:bookmarkStart w:id="242" w:name="_Toc181440953"/>
      <w:bookmarkStart w:id="243" w:name="_Toc181441091"/>
      <w:bookmarkStart w:id="244" w:name="_Toc181441227"/>
      <w:bookmarkStart w:id="245" w:name="_Toc181441361"/>
      <w:bookmarkStart w:id="246" w:name="_Toc181441495"/>
      <w:bookmarkStart w:id="247" w:name="_Toc181441863"/>
      <w:bookmarkStart w:id="248" w:name="_Toc182130603"/>
      <w:bookmarkStart w:id="249" w:name="_Toc182134769"/>
      <w:bookmarkStart w:id="250" w:name="_Toc183251188"/>
      <w:bookmarkStart w:id="251" w:name="_Toc183251801"/>
      <w:bookmarkStart w:id="252" w:name="_Toc183251962"/>
      <w:bookmarkStart w:id="253" w:name="_Toc183252119"/>
      <w:bookmarkStart w:id="254" w:name="_Toc183252704"/>
      <w:bookmarkStart w:id="255" w:name="_Toc181440954"/>
      <w:bookmarkStart w:id="256" w:name="_Toc181441092"/>
      <w:bookmarkStart w:id="257" w:name="_Toc181441228"/>
      <w:bookmarkStart w:id="258" w:name="_Toc181441362"/>
      <w:bookmarkStart w:id="259" w:name="_Toc181441496"/>
      <w:bookmarkStart w:id="260" w:name="_Toc181441864"/>
      <w:bookmarkStart w:id="261" w:name="_Toc182130604"/>
      <w:bookmarkStart w:id="262" w:name="_Toc182134770"/>
      <w:bookmarkStart w:id="263" w:name="_Toc183251189"/>
      <w:bookmarkStart w:id="264" w:name="_Toc183251802"/>
      <w:bookmarkStart w:id="265" w:name="_Toc183251963"/>
      <w:bookmarkStart w:id="266" w:name="_Toc183252120"/>
      <w:bookmarkStart w:id="267" w:name="_Toc183252705"/>
      <w:bookmarkStart w:id="268" w:name="_Toc181440955"/>
      <w:bookmarkStart w:id="269" w:name="_Toc181441093"/>
      <w:bookmarkStart w:id="270" w:name="_Toc181441229"/>
      <w:bookmarkStart w:id="271" w:name="_Toc181441363"/>
      <w:bookmarkStart w:id="272" w:name="_Toc181441497"/>
      <w:bookmarkStart w:id="273" w:name="_Toc181441865"/>
      <w:bookmarkStart w:id="274" w:name="_Toc182130605"/>
      <w:bookmarkStart w:id="275" w:name="_Toc182134771"/>
      <w:bookmarkStart w:id="276" w:name="_Toc183251190"/>
      <w:bookmarkStart w:id="277" w:name="_Toc183251803"/>
      <w:bookmarkStart w:id="278" w:name="_Toc183251964"/>
      <w:bookmarkStart w:id="279" w:name="_Toc183252121"/>
      <w:bookmarkStart w:id="280" w:name="_Toc183252706"/>
      <w:bookmarkStart w:id="281" w:name="_Toc181440956"/>
      <w:bookmarkStart w:id="282" w:name="_Toc181441094"/>
      <w:bookmarkStart w:id="283" w:name="_Toc181441230"/>
      <w:bookmarkStart w:id="284" w:name="_Toc181441364"/>
      <w:bookmarkStart w:id="285" w:name="_Toc181441498"/>
      <w:bookmarkStart w:id="286" w:name="_Toc181441866"/>
      <w:bookmarkStart w:id="287" w:name="_Toc182130606"/>
      <w:bookmarkStart w:id="288" w:name="_Toc182134772"/>
      <w:bookmarkStart w:id="289" w:name="_Toc183251191"/>
      <w:bookmarkStart w:id="290" w:name="_Toc183251804"/>
      <w:bookmarkStart w:id="291" w:name="_Toc183251965"/>
      <w:bookmarkStart w:id="292" w:name="_Toc183252122"/>
      <w:bookmarkStart w:id="293" w:name="_Toc183252707"/>
      <w:bookmarkStart w:id="294" w:name="_Toc181440957"/>
      <w:bookmarkStart w:id="295" w:name="_Toc181441095"/>
      <w:bookmarkStart w:id="296" w:name="_Toc181441231"/>
      <w:bookmarkStart w:id="297" w:name="_Toc181441365"/>
      <w:bookmarkStart w:id="298" w:name="_Toc181441499"/>
      <w:bookmarkStart w:id="299" w:name="_Toc181441867"/>
      <w:bookmarkStart w:id="300" w:name="_Toc182130607"/>
      <w:bookmarkStart w:id="301" w:name="_Toc182134773"/>
      <w:bookmarkStart w:id="302" w:name="_Toc183251192"/>
      <w:bookmarkStart w:id="303" w:name="_Toc183251805"/>
      <w:bookmarkStart w:id="304" w:name="_Toc183251966"/>
      <w:bookmarkStart w:id="305" w:name="_Toc183252123"/>
      <w:bookmarkStart w:id="306" w:name="_Toc183252708"/>
      <w:bookmarkStart w:id="307" w:name="_Toc181440958"/>
      <w:bookmarkStart w:id="308" w:name="_Toc181441096"/>
      <w:bookmarkStart w:id="309" w:name="_Toc181441232"/>
      <w:bookmarkStart w:id="310" w:name="_Toc181441366"/>
      <w:bookmarkStart w:id="311" w:name="_Toc181441500"/>
      <w:bookmarkStart w:id="312" w:name="_Toc181441868"/>
      <w:bookmarkStart w:id="313" w:name="_Toc182130608"/>
      <w:bookmarkStart w:id="314" w:name="_Toc182134774"/>
      <w:bookmarkStart w:id="315" w:name="_Toc183251193"/>
      <w:bookmarkStart w:id="316" w:name="_Toc183251806"/>
      <w:bookmarkStart w:id="317" w:name="_Toc183251967"/>
      <w:bookmarkStart w:id="318" w:name="_Toc183252124"/>
      <w:bookmarkStart w:id="319" w:name="_Toc183252709"/>
      <w:bookmarkStart w:id="320" w:name="_Toc181440959"/>
      <w:bookmarkStart w:id="321" w:name="_Toc181441097"/>
      <w:bookmarkStart w:id="322" w:name="_Toc181441233"/>
      <w:bookmarkStart w:id="323" w:name="_Toc181441367"/>
      <w:bookmarkStart w:id="324" w:name="_Toc181441501"/>
      <w:bookmarkStart w:id="325" w:name="_Toc181441869"/>
      <w:bookmarkStart w:id="326" w:name="_Toc182130609"/>
      <w:bookmarkStart w:id="327" w:name="_Toc182134775"/>
      <w:bookmarkStart w:id="328" w:name="_Toc183251194"/>
      <w:bookmarkStart w:id="329" w:name="_Toc183251807"/>
      <w:bookmarkStart w:id="330" w:name="_Toc183251968"/>
      <w:bookmarkStart w:id="331" w:name="_Toc183252125"/>
      <w:bookmarkStart w:id="332" w:name="_Toc183252710"/>
      <w:bookmarkStart w:id="333" w:name="_Toc181440960"/>
      <w:bookmarkStart w:id="334" w:name="_Toc181441098"/>
      <w:bookmarkStart w:id="335" w:name="_Toc181441234"/>
      <w:bookmarkStart w:id="336" w:name="_Toc181441368"/>
      <w:bookmarkStart w:id="337" w:name="_Toc181441502"/>
      <w:bookmarkStart w:id="338" w:name="_Toc181441870"/>
      <w:bookmarkStart w:id="339" w:name="_Toc182130610"/>
      <w:bookmarkStart w:id="340" w:name="_Toc182134776"/>
      <w:bookmarkStart w:id="341" w:name="_Toc183251195"/>
      <w:bookmarkStart w:id="342" w:name="_Toc183251808"/>
      <w:bookmarkStart w:id="343" w:name="_Toc183251969"/>
      <w:bookmarkStart w:id="344" w:name="_Toc183252126"/>
      <w:bookmarkStart w:id="345" w:name="_Toc183252711"/>
      <w:bookmarkStart w:id="346" w:name="_Toc181440961"/>
      <w:bookmarkStart w:id="347" w:name="_Toc181441099"/>
      <w:bookmarkStart w:id="348" w:name="_Toc181441235"/>
      <w:bookmarkStart w:id="349" w:name="_Toc181441369"/>
      <w:bookmarkStart w:id="350" w:name="_Toc181441503"/>
      <w:bookmarkStart w:id="351" w:name="_Toc181441871"/>
      <w:bookmarkStart w:id="352" w:name="_Toc182130611"/>
      <w:bookmarkStart w:id="353" w:name="_Toc182134777"/>
      <w:bookmarkStart w:id="354" w:name="_Toc183251196"/>
      <w:bookmarkStart w:id="355" w:name="_Toc183251809"/>
      <w:bookmarkStart w:id="356" w:name="_Toc183251970"/>
      <w:bookmarkStart w:id="357" w:name="_Toc183252127"/>
      <w:bookmarkStart w:id="358" w:name="_Toc183252712"/>
      <w:bookmarkStart w:id="359" w:name="_Toc44229106"/>
      <w:bookmarkStart w:id="360" w:name="_Toc44229201"/>
      <w:bookmarkStart w:id="361" w:name="_Toc44229107"/>
      <w:bookmarkStart w:id="362" w:name="_Toc44229202"/>
      <w:bookmarkStart w:id="363" w:name="_Toc44229108"/>
      <w:bookmarkStart w:id="364" w:name="_Toc44229203"/>
      <w:bookmarkStart w:id="365" w:name="_Toc44229109"/>
      <w:bookmarkStart w:id="366" w:name="_Toc44229204"/>
      <w:bookmarkStart w:id="367" w:name="_Toc44229110"/>
      <w:bookmarkStart w:id="368" w:name="_Toc44229205"/>
      <w:bookmarkStart w:id="369" w:name="_Toc44229111"/>
      <w:bookmarkStart w:id="370" w:name="_Toc44229206"/>
      <w:bookmarkStart w:id="371" w:name="_Toc44229112"/>
      <w:bookmarkStart w:id="372" w:name="_Toc44229207"/>
      <w:bookmarkStart w:id="373" w:name="_Toc44229113"/>
      <w:bookmarkStart w:id="374" w:name="_Toc44229208"/>
      <w:bookmarkStart w:id="375" w:name="_Toc181440962"/>
      <w:bookmarkStart w:id="376" w:name="_Toc181441100"/>
      <w:bookmarkStart w:id="377" w:name="_Toc181441236"/>
      <w:bookmarkStart w:id="378" w:name="_Toc181441370"/>
      <w:bookmarkStart w:id="379" w:name="_Toc181441504"/>
      <w:bookmarkStart w:id="380" w:name="_Toc181441872"/>
      <w:bookmarkStart w:id="381" w:name="_Toc182130612"/>
      <w:bookmarkStart w:id="382" w:name="_Toc182134778"/>
      <w:bookmarkStart w:id="383" w:name="_Toc183251197"/>
      <w:bookmarkStart w:id="384" w:name="_Toc183251810"/>
      <w:bookmarkStart w:id="385" w:name="_Toc183251971"/>
      <w:bookmarkStart w:id="386" w:name="_Toc183252128"/>
      <w:bookmarkStart w:id="387" w:name="_Toc183252713"/>
      <w:bookmarkStart w:id="388" w:name="_Toc181440963"/>
      <w:bookmarkStart w:id="389" w:name="_Toc181441101"/>
      <w:bookmarkStart w:id="390" w:name="_Toc181441237"/>
      <w:bookmarkStart w:id="391" w:name="_Toc181441371"/>
      <w:bookmarkStart w:id="392" w:name="_Toc181441505"/>
      <w:bookmarkStart w:id="393" w:name="_Toc181441873"/>
      <w:bookmarkStart w:id="394" w:name="_Toc182130613"/>
      <w:bookmarkStart w:id="395" w:name="_Toc182134779"/>
      <w:bookmarkStart w:id="396" w:name="_Toc183251198"/>
      <w:bookmarkStart w:id="397" w:name="_Toc183251811"/>
      <w:bookmarkStart w:id="398" w:name="_Toc183251972"/>
      <w:bookmarkStart w:id="399" w:name="_Toc183252129"/>
      <w:bookmarkStart w:id="400" w:name="_Toc183252714"/>
      <w:bookmarkStart w:id="401" w:name="_Toc66706738"/>
      <w:bookmarkStart w:id="402" w:name="_Toc86584629"/>
      <w:bookmarkStart w:id="403" w:name="_Toc38551226"/>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r w:rsidRPr="00565E0D">
        <w:rPr>
          <w:rFonts w:asciiTheme="minorEastAsia" w:eastAsiaTheme="minorEastAsia" w:hAnsiTheme="minorEastAsia" w:hint="eastAsia"/>
          <w:b w:val="0"/>
        </w:rPr>
        <w:t>（六）暂停公告净值的情形</w:t>
      </w:r>
      <w:bookmarkEnd w:id="401"/>
      <w:bookmarkEnd w:id="402"/>
      <w:bookmarkEnd w:id="403"/>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1、</w:t>
      </w:r>
      <w:r w:rsidR="00C35BC5" w:rsidRPr="00565E0D">
        <w:rPr>
          <w:rFonts w:asciiTheme="minorEastAsia" w:eastAsiaTheme="minorEastAsia" w:hAnsiTheme="minorEastAsia" w:hint="eastAsia"/>
        </w:rPr>
        <w:t>与本基金投资有关的证券交易场所遇法定节假日或因其他原因暂停营业时；</w:t>
      </w:r>
    </w:p>
    <w:p w:rsidR="00C35BC5" w:rsidRPr="00565E0D" w:rsidRDefault="00552BE1" w:rsidP="00C9149F">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2、</w:t>
      </w:r>
      <w:r w:rsidR="00C35BC5" w:rsidRPr="00565E0D">
        <w:rPr>
          <w:rFonts w:asciiTheme="minorEastAsia" w:eastAsiaTheme="minorEastAsia" w:hAnsiTheme="minorEastAsia" w:hint="eastAsia"/>
        </w:rPr>
        <w:t>因不可抗力或其他情形致使基金管理人无法准确评估基金资产价值时；</w:t>
      </w:r>
    </w:p>
    <w:p w:rsidR="000E5ECA"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w:t>
      </w:r>
      <w:r w:rsidR="000E5ECA" w:rsidRPr="00565E0D">
        <w:rPr>
          <w:rFonts w:asciiTheme="minorEastAsia" w:eastAsiaTheme="minorEastAsia" w:hAnsiTheme="minorEastAsia" w:hint="eastAsia"/>
        </w:rPr>
        <w:t>当前一估值日基金资产净值50%以上的资产出现无可参考的活跃市场价格且采用估值技术仍导致公允价值存在重大不确定性时，经与基金托管人协商一致的；</w:t>
      </w:r>
    </w:p>
    <w:p w:rsidR="00C35BC5" w:rsidRPr="00565E0D" w:rsidRDefault="000E5ECA"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4</w:t>
      </w:r>
      <w:r w:rsidRPr="00565E0D">
        <w:rPr>
          <w:rFonts w:asciiTheme="minorEastAsia" w:eastAsiaTheme="minorEastAsia" w:hAnsiTheme="minorEastAsia"/>
        </w:rPr>
        <w:t>、</w:t>
      </w:r>
      <w:r w:rsidR="00C35BC5" w:rsidRPr="00565E0D">
        <w:rPr>
          <w:rFonts w:asciiTheme="minorEastAsia" w:eastAsiaTheme="minorEastAsia" w:hAnsiTheme="minorEastAsia" w:hint="eastAsia"/>
        </w:rPr>
        <w:t>中国证监会认定的其他情形。</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404" w:name="_Toc66706739"/>
      <w:bookmarkStart w:id="405" w:name="_Toc86584630"/>
      <w:bookmarkStart w:id="406" w:name="_Toc38551227"/>
      <w:r w:rsidRPr="00565E0D">
        <w:rPr>
          <w:rFonts w:asciiTheme="minorEastAsia" w:eastAsiaTheme="minorEastAsia" w:hAnsiTheme="minorEastAsia" w:hint="eastAsia"/>
          <w:b w:val="0"/>
        </w:rPr>
        <w:t>（七）基金份额净值的确认和估值错误处理</w:t>
      </w:r>
      <w:bookmarkEnd w:id="404"/>
      <w:bookmarkEnd w:id="405"/>
      <w:bookmarkEnd w:id="406"/>
    </w:p>
    <w:p w:rsidR="00C35BC5" w:rsidRPr="00565E0D" w:rsidRDefault="00C35BC5" w:rsidP="00552BE1">
      <w:pPr>
        <w:snapToGrid w:val="0"/>
        <w:spacing w:line="360" w:lineRule="auto"/>
        <w:ind w:firstLineChars="200" w:firstLine="420"/>
        <w:rPr>
          <w:rFonts w:asciiTheme="minorEastAsia" w:eastAsiaTheme="minorEastAsia" w:hAnsiTheme="minorEastAsia"/>
        </w:rPr>
      </w:pPr>
      <w:bookmarkStart w:id="407" w:name="_Toc97031289"/>
      <w:bookmarkStart w:id="408" w:name="_Toc97107249"/>
      <w:bookmarkEnd w:id="127"/>
      <w:bookmarkEnd w:id="407"/>
      <w:bookmarkEnd w:id="408"/>
      <w:r w:rsidRPr="00565E0D">
        <w:rPr>
          <w:rFonts w:asciiTheme="minorEastAsia" w:eastAsiaTheme="minorEastAsia" w:hAnsiTheme="minorEastAsia"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w:t>
      </w:r>
      <w:r w:rsidRPr="00565E0D">
        <w:rPr>
          <w:rFonts w:asciiTheme="minorEastAsia" w:eastAsiaTheme="minorEastAsia" w:hAnsiTheme="minorEastAsia"/>
        </w:rPr>
        <w:t>报</w:t>
      </w:r>
      <w:r w:rsidRPr="00565E0D">
        <w:rPr>
          <w:rFonts w:asciiTheme="minorEastAsia" w:eastAsiaTheme="minorEastAsia" w:hAnsiTheme="minorEastAsia" w:hint="eastAsia"/>
        </w:rPr>
        <w:t>中国证监会</w:t>
      </w:r>
      <w:r w:rsidRPr="00565E0D">
        <w:rPr>
          <w:rFonts w:asciiTheme="minorEastAsia" w:eastAsiaTheme="minorEastAsia" w:hAnsiTheme="minorEastAsia"/>
        </w:rPr>
        <w:t>备案</w:t>
      </w:r>
      <w:r w:rsidRPr="00565E0D">
        <w:rPr>
          <w:rFonts w:asciiTheme="minorEastAsia" w:eastAsiaTheme="minorEastAsia" w:hAnsiTheme="minorEastAsia" w:hint="eastAsia"/>
        </w:rPr>
        <w:t>；当估值错误偏差达到</w:t>
      </w:r>
      <w:r w:rsidRPr="00565E0D">
        <w:rPr>
          <w:rFonts w:asciiTheme="minorEastAsia" w:eastAsiaTheme="minorEastAsia" w:hAnsiTheme="minorEastAsia"/>
        </w:rPr>
        <w:t>基金份额净值</w:t>
      </w:r>
      <w:r w:rsidRPr="00565E0D">
        <w:rPr>
          <w:rFonts w:asciiTheme="minorEastAsia" w:eastAsiaTheme="minorEastAsia" w:hAnsiTheme="minorEastAsia" w:hint="eastAsia"/>
        </w:rPr>
        <w:t>的</w:t>
      </w:r>
      <w:r w:rsidRPr="00565E0D">
        <w:rPr>
          <w:rFonts w:asciiTheme="minorEastAsia" w:eastAsiaTheme="minorEastAsia" w:hAnsiTheme="minorEastAsia"/>
        </w:rPr>
        <w:t>0.5%</w:t>
      </w:r>
      <w:r w:rsidRPr="00565E0D">
        <w:rPr>
          <w:rFonts w:asciiTheme="minorEastAsia" w:eastAsiaTheme="minorEastAsia" w:hAnsiTheme="minorEastAsia" w:hint="eastAsia"/>
        </w:rPr>
        <w:t>时，基金管理人</w:t>
      </w:r>
      <w:r w:rsidRPr="00565E0D">
        <w:rPr>
          <w:rFonts w:asciiTheme="minorEastAsia" w:eastAsiaTheme="minorEastAsia" w:hAnsiTheme="minorEastAsia"/>
        </w:rPr>
        <w:t>应当公告，并报</w:t>
      </w:r>
      <w:r w:rsidRPr="00565E0D">
        <w:rPr>
          <w:rFonts w:asciiTheme="minorEastAsia" w:eastAsiaTheme="minorEastAsia" w:hAnsiTheme="minorEastAsia" w:hint="eastAsia"/>
        </w:rPr>
        <w:t>中国证监会</w:t>
      </w:r>
      <w:r w:rsidRPr="00565E0D">
        <w:rPr>
          <w:rFonts w:asciiTheme="minorEastAsia" w:eastAsiaTheme="minorEastAsia" w:hAnsiTheme="minorEastAsia"/>
        </w:rPr>
        <w:t>备案。</w:t>
      </w:r>
      <w:r w:rsidRPr="00565E0D">
        <w:rPr>
          <w:rFonts w:asciiTheme="minorEastAsia" w:eastAsiaTheme="minorEastAsia" w:hAnsiTheme="minorEastAsia" w:hint="eastAsia"/>
        </w:rPr>
        <w:t>因基金估值错误给投资者造成损失的，应先由基金管理人承担，基金管理人对不应由其承担的责任，</w:t>
      </w:r>
      <w:r w:rsidRPr="00565E0D">
        <w:rPr>
          <w:rFonts w:asciiTheme="minorEastAsia" w:eastAsiaTheme="minorEastAsia" w:hAnsiTheme="minorEastAsia" w:hint="eastAsia"/>
        </w:rPr>
        <w:lastRenderedPageBreak/>
        <w:t>有权向过错人追偿。</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关于差错处理，本合同的当事人按照以下约定处理：</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1</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差错类型</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2</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差错处理原则</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1</w:t>
      </w:r>
      <w:r w:rsidRPr="00565E0D">
        <w:rPr>
          <w:rFonts w:asciiTheme="minorEastAsia" w:eastAsiaTheme="minorEastAsia" w:hAnsiTheme="minorEastAsia" w:hint="eastAsia"/>
        </w:rPr>
        <w:t>）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2</w:t>
      </w:r>
      <w:r w:rsidRPr="00565E0D">
        <w:rPr>
          <w:rFonts w:asciiTheme="minorEastAsia" w:eastAsiaTheme="minorEastAsia" w:hAnsiTheme="minorEastAsia" w:hint="eastAsia"/>
        </w:rPr>
        <w:t>）差错的责任方对可能导致有关当事人的直接损失负责，不对间接损失负责，并且仅对差错的有关直接当事人负责，不对第三方负责。</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3</w:t>
      </w:r>
      <w:r w:rsidRPr="00565E0D">
        <w:rPr>
          <w:rFonts w:asciiTheme="minorEastAsia" w:eastAsiaTheme="minorEastAsia" w:hAnsiTheme="minorEastAsia" w:hint="eastAsia"/>
        </w:rPr>
        <w:t>）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4</w:t>
      </w:r>
      <w:r w:rsidRPr="00565E0D">
        <w:rPr>
          <w:rFonts w:asciiTheme="minorEastAsia" w:eastAsiaTheme="minorEastAsia" w:hAnsiTheme="minorEastAsia" w:hint="eastAsia"/>
        </w:rPr>
        <w:t>）差错调整采用尽量恢复至假设未发生差错的正确情形的方式。</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5</w:t>
      </w:r>
      <w:r w:rsidRPr="00565E0D">
        <w:rPr>
          <w:rFonts w:asciiTheme="minorEastAsia" w:eastAsiaTheme="minorEastAsia" w:hAnsiTheme="minorEastAsia" w:hint="eastAsia"/>
        </w:rPr>
        <w:t>）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6</w:t>
      </w:r>
      <w:r w:rsidRPr="00565E0D">
        <w:rPr>
          <w:rFonts w:asciiTheme="minorEastAsia" w:eastAsiaTheme="minorEastAsia" w:hAnsiTheme="minorEastAsia" w:hint="eastAsia"/>
        </w:rPr>
        <w:t>）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w:t>
      </w:r>
      <w:r w:rsidRPr="00565E0D">
        <w:rPr>
          <w:rFonts w:asciiTheme="minorEastAsia" w:eastAsiaTheme="minorEastAsia" w:hAnsiTheme="minorEastAsia" w:hint="eastAsia"/>
        </w:rPr>
        <w:lastRenderedPageBreak/>
        <w:t>的费用和遭受的损失。</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7</w:t>
      </w:r>
      <w:r w:rsidRPr="00565E0D">
        <w:rPr>
          <w:rFonts w:asciiTheme="minorEastAsia" w:eastAsiaTheme="minorEastAsia" w:hAnsiTheme="minorEastAsia" w:hint="eastAsia"/>
        </w:rPr>
        <w:t>）按法律法规规定的其他原则处理差错。</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3</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差错处理程序</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差错被发现后，有关的当事人应当及时进行处理，处理的程序如下：</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1</w:t>
      </w:r>
      <w:r w:rsidRPr="00565E0D">
        <w:rPr>
          <w:rFonts w:asciiTheme="minorEastAsia" w:eastAsiaTheme="minorEastAsia" w:hAnsiTheme="minorEastAsia" w:hint="eastAsia"/>
        </w:rPr>
        <w:t>）查明差错发生的原因，列明所有的当事人，并根据差错发生的原因确定差错的责任方；</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2</w:t>
      </w:r>
      <w:r w:rsidRPr="00565E0D">
        <w:rPr>
          <w:rFonts w:asciiTheme="minorEastAsia" w:eastAsiaTheme="minorEastAsia" w:hAnsiTheme="minorEastAsia" w:hint="eastAsia"/>
        </w:rPr>
        <w:t>）根据差错处理原则或当事人协商的方法对因差错造成的损失进行评估；</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3</w:t>
      </w:r>
      <w:r w:rsidRPr="00565E0D">
        <w:rPr>
          <w:rFonts w:asciiTheme="minorEastAsia" w:eastAsiaTheme="minorEastAsia" w:hAnsiTheme="minorEastAsia" w:hint="eastAsia"/>
        </w:rPr>
        <w:t>）根据差错处理原则或当事人协商的方法由差错的责任方进行更正和赔偿损失；</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w:t>
      </w:r>
      <w:r w:rsidRPr="00565E0D">
        <w:rPr>
          <w:rFonts w:asciiTheme="minorEastAsia" w:eastAsiaTheme="minorEastAsia" w:hAnsiTheme="minorEastAsia"/>
        </w:rPr>
        <w:t>4</w:t>
      </w:r>
      <w:r w:rsidRPr="00565E0D">
        <w:rPr>
          <w:rFonts w:asciiTheme="minorEastAsia" w:eastAsiaTheme="minorEastAsia" w:hAnsiTheme="minorEastAsia" w:hint="eastAsia"/>
        </w:rPr>
        <w:t>）根据差错处理的方法，需要修改基金注册登记机构的交易数据的，由基金注册登记机构进行更正，并就差错的更正向有关当事人进行确认；</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rPr>
        <w:t>（</w:t>
      </w:r>
      <w:r w:rsidRPr="00565E0D">
        <w:rPr>
          <w:rFonts w:asciiTheme="minorEastAsia" w:eastAsiaTheme="minorEastAsia" w:hAnsiTheme="minorEastAsia"/>
        </w:rPr>
        <w:t>5</w:t>
      </w:r>
      <w:r w:rsidRPr="00565E0D">
        <w:rPr>
          <w:rFonts w:asciiTheme="minorEastAsia" w:eastAsiaTheme="minorEastAsia" w:hAnsiTheme="minorEastAsia" w:hint="eastAsia"/>
        </w:rPr>
        <w:t>）基金管理人及基金托管人基金份额净值计算错误偏差达到基金份额净值的</w:t>
      </w:r>
      <w:r w:rsidRPr="00565E0D">
        <w:rPr>
          <w:rFonts w:asciiTheme="minorEastAsia" w:eastAsiaTheme="minorEastAsia" w:hAnsiTheme="minorEastAsia"/>
        </w:rPr>
        <w:t>0.</w:t>
      </w:r>
      <w:r w:rsidRPr="00565E0D">
        <w:rPr>
          <w:rFonts w:asciiTheme="minorEastAsia" w:eastAsiaTheme="minorEastAsia" w:hAnsiTheme="minorEastAsia" w:hint="eastAsia"/>
        </w:rPr>
        <w:t>2</w:t>
      </w:r>
      <w:r w:rsidRPr="00565E0D">
        <w:rPr>
          <w:rFonts w:asciiTheme="minorEastAsia" w:eastAsiaTheme="minorEastAsia" w:hAnsiTheme="minorEastAsia"/>
        </w:rPr>
        <w:t>5%</w:t>
      </w:r>
      <w:r w:rsidRPr="00565E0D">
        <w:rPr>
          <w:rFonts w:asciiTheme="minorEastAsia" w:eastAsiaTheme="minorEastAsia" w:hAnsiTheme="minorEastAsia" w:hint="eastAsia"/>
        </w:rPr>
        <w:t>时，基金管理人应当报告中国证监会；基金管理人及基金托管人基金份额净值计算错误偏差达到基金份额净值的</w:t>
      </w:r>
      <w:r w:rsidRPr="00565E0D">
        <w:rPr>
          <w:rFonts w:asciiTheme="minorEastAsia" w:eastAsiaTheme="minorEastAsia" w:hAnsiTheme="minorEastAsia"/>
        </w:rPr>
        <w:t>0.5%</w:t>
      </w:r>
      <w:r w:rsidRPr="00565E0D">
        <w:rPr>
          <w:rFonts w:asciiTheme="minorEastAsia" w:eastAsiaTheme="minorEastAsia" w:hAnsiTheme="minorEastAsia" w:hint="eastAsia"/>
        </w:rPr>
        <w:t>时，基金管理人应当公告并报中国证监会备案。</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rPr>
      </w:pPr>
      <w:bookmarkStart w:id="409" w:name="_Toc38551228"/>
      <w:r w:rsidRPr="00565E0D">
        <w:rPr>
          <w:rFonts w:asciiTheme="minorEastAsia" w:eastAsiaTheme="minorEastAsia" w:hAnsiTheme="minorEastAsia" w:hint="eastAsia"/>
          <w:b w:val="0"/>
        </w:rPr>
        <w:t>（八）特殊情形的处理</w:t>
      </w:r>
      <w:bookmarkEnd w:id="409"/>
    </w:p>
    <w:p w:rsidR="00C35BC5" w:rsidRPr="00565E0D" w:rsidRDefault="00552BE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00C35BC5" w:rsidRPr="00565E0D">
        <w:rPr>
          <w:rFonts w:asciiTheme="minorEastAsia" w:eastAsiaTheme="minorEastAsia" w:hAnsiTheme="minorEastAsia" w:hint="eastAsia"/>
          <w:szCs w:val="21"/>
        </w:rPr>
        <w:t>基金管理人按估值方法的第6项进行估值时，所造成的误差不作为基金资产估值错误处理；</w:t>
      </w:r>
    </w:p>
    <w:p w:rsidR="00C35BC5" w:rsidRPr="00565E0D" w:rsidRDefault="00552BE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00C35BC5" w:rsidRPr="00565E0D">
        <w:rPr>
          <w:rFonts w:asciiTheme="minorEastAsia" w:eastAsiaTheme="minorEastAsia" w:hAnsiTheme="minorEastAsia" w:hint="eastAsia"/>
          <w:szCs w:val="21"/>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Cs/>
        </w:rPr>
      </w:pPr>
      <w:bookmarkStart w:id="410" w:name="_Toc38551229"/>
      <w:r w:rsidRPr="00565E0D">
        <w:rPr>
          <w:rFonts w:asciiTheme="minorEastAsia" w:eastAsiaTheme="minorEastAsia" w:hAnsiTheme="minorEastAsia" w:hint="eastAsia"/>
          <w:b/>
          <w:bCs/>
        </w:rPr>
        <w:lastRenderedPageBreak/>
        <w:t>十五、基金的收益与分配</w:t>
      </w:r>
      <w:bookmarkEnd w:id="410"/>
    </w:p>
    <w:p w:rsidR="00C35BC5" w:rsidRPr="00565E0D" w:rsidRDefault="00C35BC5" w:rsidP="00B5132A">
      <w:pPr>
        <w:pStyle w:val="2"/>
        <w:snapToGrid w:val="0"/>
        <w:spacing w:beforeLines="0" w:afterLines="0" w:line="360" w:lineRule="auto"/>
        <w:ind w:firstLine="562"/>
        <w:rPr>
          <w:rFonts w:asciiTheme="minorEastAsia" w:eastAsiaTheme="minorEastAsia" w:hAnsiTheme="minorEastAsia"/>
          <w:b w:val="0"/>
        </w:rPr>
      </w:pPr>
      <w:bookmarkStart w:id="411" w:name="_Toc84149664"/>
      <w:bookmarkStart w:id="412" w:name="_Toc86584639"/>
      <w:bookmarkStart w:id="413" w:name="_Toc38551230"/>
      <w:r w:rsidRPr="00565E0D">
        <w:rPr>
          <w:rFonts w:asciiTheme="minorEastAsia" w:eastAsiaTheme="minorEastAsia" w:hAnsiTheme="minorEastAsia" w:hint="eastAsia"/>
        </w:rPr>
        <w:t>（一）收益的构成</w:t>
      </w:r>
      <w:bookmarkEnd w:id="411"/>
      <w:bookmarkEnd w:id="412"/>
      <w:bookmarkEnd w:id="413"/>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基金收益包括：基金投资所得红利、股息、债券利息、买卖证券差价、银行存款利息以及其他收入。因运用基金</w:t>
      </w:r>
      <w:r w:rsidRPr="00565E0D">
        <w:rPr>
          <w:rFonts w:asciiTheme="minorEastAsia" w:eastAsiaTheme="minorEastAsia" w:hAnsiTheme="minorEastAsia" w:hint="eastAsia"/>
        </w:rPr>
        <w:t>资</w:t>
      </w:r>
      <w:r w:rsidRPr="00565E0D">
        <w:rPr>
          <w:rFonts w:asciiTheme="minorEastAsia" w:eastAsiaTheme="minorEastAsia" w:hAnsiTheme="minorEastAsia" w:hint="eastAsia"/>
          <w:szCs w:val="21"/>
        </w:rPr>
        <w:t>产带来的成本或费用的节约计入收益。</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基金净收益为基金收益扣除按照有关规定可以在基金收益中扣除的费用等项目后的余额。</w:t>
      </w:r>
    </w:p>
    <w:p w:rsidR="00C35BC5" w:rsidRPr="00565E0D" w:rsidRDefault="00C35BC5" w:rsidP="00B5132A">
      <w:pPr>
        <w:pStyle w:val="2"/>
        <w:snapToGrid w:val="0"/>
        <w:spacing w:beforeLines="0" w:afterLines="0" w:line="360" w:lineRule="auto"/>
        <w:ind w:firstLine="562"/>
        <w:rPr>
          <w:rFonts w:asciiTheme="minorEastAsia" w:eastAsiaTheme="minorEastAsia" w:hAnsiTheme="minorEastAsia"/>
          <w:b w:val="0"/>
        </w:rPr>
      </w:pPr>
      <w:bookmarkStart w:id="414" w:name="_Toc84149665"/>
      <w:bookmarkStart w:id="415" w:name="_Toc86584640"/>
      <w:bookmarkStart w:id="416" w:name="_Toc38551231"/>
      <w:r w:rsidRPr="00565E0D">
        <w:rPr>
          <w:rFonts w:asciiTheme="minorEastAsia" w:eastAsiaTheme="minorEastAsia" w:hAnsiTheme="minorEastAsia" w:hint="eastAsia"/>
        </w:rPr>
        <w:t>（二）收益分配原则</w:t>
      </w:r>
      <w:bookmarkEnd w:id="414"/>
      <w:bookmarkEnd w:id="415"/>
      <w:bookmarkEnd w:id="416"/>
    </w:p>
    <w:p w:rsidR="00C35BC5" w:rsidRPr="00565E0D" w:rsidRDefault="00552BE1"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1、</w:t>
      </w:r>
      <w:r w:rsidR="00C35BC5" w:rsidRPr="00565E0D">
        <w:rPr>
          <w:rFonts w:asciiTheme="minorEastAsia" w:eastAsiaTheme="minorEastAsia" w:hAnsiTheme="minorEastAsia" w:hint="eastAsia"/>
        </w:rPr>
        <w:t>在符合有关基金分红条件的前提下，本基金每年收益分配次数最多为十二次，全年分配比例不得低于年度可供分配收益的10%，若基金合同生效不满3个月可不进行收益分配。</w:t>
      </w:r>
    </w:p>
    <w:p w:rsidR="00C35BC5" w:rsidRPr="00565E0D" w:rsidRDefault="00552BE1"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2、</w:t>
      </w:r>
      <w:r w:rsidR="00C35BC5" w:rsidRPr="00565E0D">
        <w:rPr>
          <w:rFonts w:asciiTheme="minorEastAsia" w:eastAsiaTheme="minorEastAsia" w:hAnsiTheme="minorEastAsia" w:hint="eastAsia"/>
          <w:szCs w:val="21"/>
        </w:rPr>
        <w:t>本基金收益分配方式分两种：现金分红与红利再投资，投资人可选择现金红利或将现金红利按红利发放日前一工作日的基金份额净值自动转为基金份额进行再投资；若投资者不选择，本基金默认的收益分配方式是现金分红；</w:t>
      </w:r>
    </w:p>
    <w:p w:rsidR="00C35BC5" w:rsidRPr="00565E0D" w:rsidRDefault="00552BE1"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3、</w:t>
      </w:r>
      <w:r w:rsidR="00C35BC5" w:rsidRPr="00565E0D">
        <w:rPr>
          <w:rFonts w:asciiTheme="minorEastAsia" w:eastAsiaTheme="minorEastAsia" w:hAnsiTheme="minorEastAsia" w:hint="eastAsia"/>
          <w:szCs w:val="21"/>
        </w:rPr>
        <w:t>基金投资当期出现净亏损，则不进行收益分配；</w:t>
      </w:r>
    </w:p>
    <w:p w:rsidR="00C35BC5" w:rsidRPr="00565E0D" w:rsidRDefault="00552BE1"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4、</w:t>
      </w:r>
      <w:r w:rsidR="00C35BC5" w:rsidRPr="00565E0D">
        <w:rPr>
          <w:rFonts w:asciiTheme="minorEastAsia" w:eastAsiaTheme="minorEastAsia" w:hAnsiTheme="minorEastAsia" w:hint="eastAsia"/>
          <w:szCs w:val="21"/>
        </w:rPr>
        <w:t>基金当年收益应先弥补上一年度亏损后，才可进行当年收益分配；</w:t>
      </w:r>
    </w:p>
    <w:p w:rsidR="00C35BC5" w:rsidRPr="00565E0D" w:rsidRDefault="00552BE1"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5、</w:t>
      </w:r>
      <w:r w:rsidR="00C35BC5" w:rsidRPr="00565E0D">
        <w:rPr>
          <w:rFonts w:asciiTheme="minorEastAsia" w:eastAsiaTheme="minorEastAsia" w:hAnsiTheme="minorEastAsia" w:hint="eastAsia"/>
          <w:szCs w:val="21"/>
        </w:rPr>
        <w:t>每一基金份额享有同等分配权；</w:t>
      </w:r>
    </w:p>
    <w:p w:rsidR="00C35BC5" w:rsidRPr="00565E0D" w:rsidRDefault="00552BE1"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6、</w:t>
      </w:r>
      <w:r w:rsidR="00C35BC5" w:rsidRPr="00565E0D">
        <w:rPr>
          <w:rFonts w:asciiTheme="minorEastAsia" w:eastAsiaTheme="minorEastAsia" w:hAnsiTheme="minorEastAsia" w:hint="eastAsia"/>
          <w:szCs w:val="21"/>
        </w:rPr>
        <w:t>法律法规或监管机关另有规定的，从其规定。</w:t>
      </w:r>
    </w:p>
    <w:p w:rsidR="00C35BC5" w:rsidRPr="00565E0D" w:rsidRDefault="00C35BC5" w:rsidP="00B5132A">
      <w:pPr>
        <w:pStyle w:val="2"/>
        <w:snapToGrid w:val="0"/>
        <w:spacing w:beforeLines="0" w:afterLines="0" w:line="360" w:lineRule="auto"/>
        <w:ind w:firstLine="562"/>
        <w:rPr>
          <w:rFonts w:asciiTheme="minorEastAsia" w:eastAsiaTheme="minorEastAsia" w:hAnsiTheme="minorEastAsia"/>
          <w:b w:val="0"/>
        </w:rPr>
      </w:pPr>
      <w:bookmarkStart w:id="417" w:name="_Toc84149666"/>
      <w:bookmarkStart w:id="418" w:name="_Toc86584642"/>
      <w:bookmarkStart w:id="419" w:name="_Toc38551232"/>
      <w:r w:rsidRPr="00565E0D">
        <w:rPr>
          <w:rFonts w:asciiTheme="minorEastAsia" w:eastAsiaTheme="minorEastAsia" w:hAnsiTheme="minorEastAsia" w:hint="eastAsia"/>
        </w:rPr>
        <w:t>（三）收益分配方案的确定与公告</w:t>
      </w:r>
      <w:bookmarkEnd w:id="417"/>
      <w:bookmarkEnd w:id="418"/>
      <w:bookmarkEnd w:id="419"/>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本基金收益分配方案由基金管理人拟定，并由基金托管人复核，</w:t>
      </w:r>
      <w:r w:rsidR="00332B90" w:rsidRPr="00565E0D">
        <w:rPr>
          <w:rFonts w:asciiTheme="minorEastAsia" w:eastAsiaTheme="minorEastAsia" w:hAnsiTheme="minorEastAsia" w:hint="eastAsia"/>
          <w:szCs w:val="21"/>
        </w:rPr>
        <w:t>在中国证监会指定媒介公告</w:t>
      </w:r>
      <w:r w:rsidRPr="00565E0D">
        <w:rPr>
          <w:rFonts w:asciiTheme="minorEastAsia" w:eastAsiaTheme="minorEastAsia" w:hAnsiTheme="minorEastAsia" w:hint="eastAsia"/>
          <w:szCs w:val="21"/>
        </w:rPr>
        <w:t>。</w:t>
      </w:r>
    </w:p>
    <w:p w:rsidR="00C35BC5" w:rsidRPr="00565E0D" w:rsidRDefault="00C35BC5" w:rsidP="00B5132A">
      <w:pPr>
        <w:pStyle w:val="2"/>
        <w:snapToGrid w:val="0"/>
        <w:spacing w:beforeLines="0" w:afterLines="0" w:line="360" w:lineRule="auto"/>
        <w:ind w:firstLine="562"/>
        <w:rPr>
          <w:rFonts w:asciiTheme="minorEastAsia" w:eastAsiaTheme="minorEastAsia" w:hAnsiTheme="minorEastAsia"/>
          <w:b w:val="0"/>
        </w:rPr>
      </w:pPr>
      <w:bookmarkStart w:id="420" w:name="_Toc84149667"/>
      <w:bookmarkStart w:id="421" w:name="_Toc86584643"/>
      <w:bookmarkStart w:id="422" w:name="_Toc38551233"/>
      <w:r w:rsidRPr="00565E0D">
        <w:rPr>
          <w:rFonts w:asciiTheme="minorEastAsia" w:eastAsiaTheme="minorEastAsia" w:hAnsiTheme="minorEastAsia" w:hint="eastAsia"/>
        </w:rPr>
        <w:t>（四）</w:t>
      </w:r>
      <w:r w:rsidRPr="00565E0D">
        <w:rPr>
          <w:rFonts w:asciiTheme="minorEastAsia" w:eastAsiaTheme="minorEastAsia" w:hAnsiTheme="minorEastAsia"/>
        </w:rPr>
        <w:t>收益分配中发生的费用</w:t>
      </w:r>
      <w:bookmarkEnd w:id="420"/>
      <w:bookmarkEnd w:id="421"/>
      <w:bookmarkEnd w:id="422"/>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红利分配时所发生的银行转账或其他手续费用由投资者自行承担。当投资者的现金红利小于一定金额，不足于支付银行转账或其他手续费用时，基金注册登记人可将投资者的现金红利按红利发放日前一工作日的基金份额净值自动转为基金份额。红利再投资的计算方法，依照业务规则执行。</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Cs/>
        </w:rPr>
      </w:pPr>
      <w:bookmarkStart w:id="423" w:name="_Toc38551234"/>
      <w:r w:rsidRPr="00565E0D">
        <w:rPr>
          <w:rFonts w:asciiTheme="minorEastAsia" w:eastAsiaTheme="minorEastAsia" w:hAnsiTheme="minorEastAsia" w:hint="eastAsia"/>
          <w:b/>
          <w:bCs/>
        </w:rPr>
        <w:lastRenderedPageBreak/>
        <w:t>十六、基金的费用与税收</w:t>
      </w:r>
      <w:bookmarkEnd w:id="423"/>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rPr>
      </w:pPr>
      <w:bookmarkStart w:id="424" w:name="_Toc84149669"/>
      <w:bookmarkStart w:id="425" w:name="_Toc86584633"/>
      <w:bookmarkStart w:id="426" w:name="_Toc38551235"/>
      <w:r w:rsidRPr="00565E0D">
        <w:rPr>
          <w:rFonts w:asciiTheme="minorEastAsia" w:eastAsiaTheme="minorEastAsia" w:hAnsiTheme="minorEastAsia" w:hint="eastAsia"/>
        </w:rPr>
        <w:t>（一）与基金运作相关的费用</w:t>
      </w:r>
      <w:bookmarkEnd w:id="424"/>
      <w:bookmarkEnd w:id="425"/>
      <w:bookmarkEnd w:id="426"/>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1、</w:t>
      </w:r>
      <w:r w:rsidR="00C35BC5" w:rsidRPr="00565E0D">
        <w:rPr>
          <w:rFonts w:asciiTheme="minorEastAsia" w:eastAsiaTheme="minorEastAsia" w:hAnsiTheme="minorEastAsia" w:hint="eastAsia"/>
        </w:rPr>
        <w:t>基金费用的种类</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（1）基金管理人的管理费；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（2）基金托管人的托管费；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（3）销售服务费；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（4）基金合同生效后的信息披露费用；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（5）基金合同生效后的与基金相关的会计师费和律师费；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（6）基金份额持有人大会费用；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（7）基金的证券交易费用；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（8）银行汇划费用；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（9）按照国家有关规定和《基金合同》约定可以在基金财产中列支的其他费用。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本基金终止清算时所发生费用，按实际支出额从基金财产总值中扣除。</w:t>
      </w:r>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2、</w:t>
      </w:r>
      <w:r w:rsidR="00C35BC5" w:rsidRPr="00565E0D">
        <w:rPr>
          <w:rFonts w:asciiTheme="minorEastAsia" w:eastAsiaTheme="minorEastAsia" w:hAnsiTheme="minorEastAsia" w:hint="eastAsia"/>
        </w:rPr>
        <w:t>基金费用计提方法、计提标准和支付方式</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（1）基金管理人的管理费</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本基金</w:t>
      </w:r>
      <w:r w:rsidRPr="00565E0D">
        <w:rPr>
          <w:rFonts w:asciiTheme="minorEastAsia" w:eastAsiaTheme="minorEastAsia" w:hAnsiTheme="minorEastAsia"/>
          <w:szCs w:val="21"/>
        </w:rPr>
        <w:t>的管理费</w:t>
      </w:r>
      <w:r w:rsidRPr="00565E0D">
        <w:rPr>
          <w:rFonts w:asciiTheme="minorEastAsia" w:eastAsiaTheme="minorEastAsia" w:hAnsiTheme="minorEastAsia" w:hint="eastAsia"/>
          <w:szCs w:val="21"/>
        </w:rPr>
        <w:t>按前一日</w:t>
      </w:r>
      <w:r w:rsidRPr="00565E0D">
        <w:rPr>
          <w:rFonts w:asciiTheme="minorEastAsia" w:eastAsiaTheme="minorEastAsia" w:hAnsiTheme="minorEastAsia"/>
          <w:szCs w:val="21"/>
        </w:rPr>
        <w:t>基金资产净值的</w:t>
      </w:r>
      <w:r w:rsidRPr="00565E0D">
        <w:rPr>
          <w:rFonts w:asciiTheme="minorEastAsia" w:eastAsiaTheme="minorEastAsia" w:hAnsiTheme="minorEastAsia" w:hint="eastAsia"/>
          <w:szCs w:val="21"/>
        </w:rPr>
        <w:t>1.5</w:t>
      </w:r>
      <w:r w:rsidRPr="00565E0D">
        <w:rPr>
          <w:rFonts w:asciiTheme="minorEastAsia" w:eastAsiaTheme="minorEastAsia" w:hAnsiTheme="minorEastAsia"/>
          <w:szCs w:val="21"/>
        </w:rPr>
        <w:t>%年费率计提。</w:t>
      </w:r>
      <w:r w:rsidRPr="00565E0D">
        <w:rPr>
          <w:rFonts w:asciiTheme="minorEastAsia" w:eastAsiaTheme="minorEastAsia" w:hAnsiTheme="minorEastAsia" w:hint="eastAsia"/>
          <w:szCs w:val="21"/>
        </w:rPr>
        <w:t>管理费的</w:t>
      </w:r>
      <w:r w:rsidRPr="00565E0D">
        <w:rPr>
          <w:rFonts w:asciiTheme="minorEastAsia" w:eastAsiaTheme="minorEastAsia" w:hAnsiTheme="minorEastAsia"/>
          <w:szCs w:val="21"/>
        </w:rPr>
        <w:t>计算方法如下：</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H＝E×</w:t>
      </w:r>
      <w:r w:rsidRPr="00565E0D">
        <w:rPr>
          <w:rFonts w:asciiTheme="minorEastAsia" w:eastAsiaTheme="minorEastAsia" w:hAnsiTheme="minorEastAsia" w:hint="eastAsia"/>
          <w:szCs w:val="21"/>
        </w:rPr>
        <w:t>1.5</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当年天数</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H为每日应</w:t>
      </w:r>
      <w:r w:rsidRPr="00565E0D">
        <w:rPr>
          <w:rFonts w:asciiTheme="minorEastAsia" w:eastAsiaTheme="minorEastAsia" w:hAnsiTheme="minorEastAsia" w:hint="eastAsia"/>
          <w:szCs w:val="21"/>
        </w:rPr>
        <w:t>计提</w:t>
      </w:r>
      <w:r w:rsidRPr="00565E0D">
        <w:rPr>
          <w:rFonts w:asciiTheme="minorEastAsia" w:eastAsiaTheme="minorEastAsia" w:hAnsiTheme="minorEastAsia"/>
          <w:szCs w:val="21"/>
        </w:rPr>
        <w:t>的基金管理费</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E</w:t>
      </w:r>
      <w:r w:rsidRPr="00565E0D">
        <w:rPr>
          <w:rFonts w:asciiTheme="minorEastAsia" w:eastAsiaTheme="minorEastAsia" w:hAnsiTheme="minorEastAsia"/>
          <w:szCs w:val="21"/>
        </w:rPr>
        <w:t>为前一日的基金资产净值</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基金管理费每日计算</w:t>
      </w:r>
      <w:r w:rsidRPr="00565E0D">
        <w:rPr>
          <w:rFonts w:asciiTheme="minorEastAsia" w:eastAsiaTheme="minorEastAsia" w:hAnsiTheme="minorEastAsia" w:hint="eastAsia"/>
          <w:szCs w:val="21"/>
        </w:rPr>
        <w:t>，逐日累计至每月月末，</w:t>
      </w:r>
      <w:r w:rsidRPr="00565E0D">
        <w:rPr>
          <w:rFonts w:asciiTheme="minorEastAsia" w:eastAsiaTheme="minorEastAsia" w:hAnsiTheme="minorEastAsia"/>
          <w:szCs w:val="21"/>
        </w:rPr>
        <w:t>按月支付</w:t>
      </w:r>
      <w:r w:rsidRPr="00565E0D">
        <w:rPr>
          <w:rFonts w:asciiTheme="minorEastAsia" w:eastAsiaTheme="minorEastAsia" w:hAnsiTheme="minorEastAsia" w:hint="eastAsia"/>
          <w:szCs w:val="21"/>
        </w:rPr>
        <w:t>，由基金管理人向基金托管人发送基金管理费划款指令，</w:t>
      </w:r>
      <w:r w:rsidRPr="00565E0D">
        <w:rPr>
          <w:rFonts w:asciiTheme="minorEastAsia" w:eastAsiaTheme="minorEastAsia" w:hAnsiTheme="minorEastAsia"/>
          <w:szCs w:val="21"/>
        </w:rPr>
        <w:t>基金托管人</w:t>
      </w:r>
      <w:r w:rsidRPr="00565E0D">
        <w:rPr>
          <w:rFonts w:asciiTheme="minorEastAsia" w:eastAsiaTheme="minorEastAsia" w:hAnsiTheme="minorEastAsia" w:hint="eastAsia"/>
          <w:szCs w:val="21"/>
        </w:rPr>
        <w:t>复核后</w:t>
      </w:r>
      <w:r w:rsidRPr="00565E0D">
        <w:rPr>
          <w:rFonts w:asciiTheme="minorEastAsia" w:eastAsiaTheme="minorEastAsia" w:hAnsiTheme="minorEastAsia"/>
          <w:szCs w:val="21"/>
        </w:rPr>
        <w:t>于次月前</w:t>
      </w: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个工作日内从基金</w:t>
      </w:r>
      <w:r w:rsidRPr="00565E0D">
        <w:rPr>
          <w:rFonts w:asciiTheme="minorEastAsia" w:eastAsiaTheme="minorEastAsia" w:hAnsiTheme="minorEastAsia" w:hint="eastAsia"/>
          <w:szCs w:val="21"/>
        </w:rPr>
        <w:t>财产</w:t>
      </w:r>
      <w:r w:rsidRPr="00565E0D">
        <w:rPr>
          <w:rFonts w:asciiTheme="minorEastAsia" w:eastAsiaTheme="minorEastAsia" w:hAnsiTheme="minorEastAsia"/>
          <w:szCs w:val="21"/>
        </w:rPr>
        <w:t>中一次性支付给基金管理人</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若遇法定节假日、</w:t>
      </w:r>
      <w:r w:rsidRPr="00565E0D">
        <w:rPr>
          <w:rFonts w:asciiTheme="minorEastAsia" w:eastAsiaTheme="minorEastAsia" w:hAnsiTheme="minorEastAsia" w:hint="eastAsia"/>
          <w:szCs w:val="21"/>
        </w:rPr>
        <w:t>公休假</w:t>
      </w:r>
      <w:r w:rsidRPr="00565E0D">
        <w:rPr>
          <w:rFonts w:asciiTheme="minorEastAsia" w:eastAsiaTheme="minorEastAsia" w:hAnsiTheme="minorEastAsia"/>
          <w:szCs w:val="21"/>
        </w:rPr>
        <w:t>等,支付日期顺延。</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（2）基金托管人的托管费</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本</w:t>
      </w:r>
      <w:r w:rsidRPr="00565E0D">
        <w:rPr>
          <w:rFonts w:asciiTheme="minorEastAsia" w:eastAsiaTheme="minorEastAsia" w:hAnsiTheme="minorEastAsia"/>
          <w:szCs w:val="21"/>
        </w:rPr>
        <w:t>基金的托管费按</w:t>
      </w:r>
      <w:r w:rsidRPr="00565E0D">
        <w:rPr>
          <w:rFonts w:asciiTheme="minorEastAsia" w:eastAsiaTheme="minorEastAsia" w:hAnsiTheme="minorEastAsia" w:hint="eastAsia"/>
          <w:szCs w:val="21"/>
        </w:rPr>
        <w:t>前一日</w:t>
      </w:r>
      <w:r w:rsidRPr="00565E0D">
        <w:rPr>
          <w:rFonts w:asciiTheme="minorEastAsia" w:eastAsiaTheme="minorEastAsia" w:hAnsiTheme="minorEastAsia"/>
          <w:szCs w:val="21"/>
        </w:rPr>
        <w:t>基金资产净值的2.5‰的年费率计提。</w:t>
      </w:r>
      <w:r w:rsidRPr="00565E0D">
        <w:rPr>
          <w:rFonts w:asciiTheme="minorEastAsia" w:eastAsiaTheme="minorEastAsia" w:hAnsiTheme="minorEastAsia" w:hint="eastAsia"/>
          <w:szCs w:val="21"/>
        </w:rPr>
        <w:t>托管费的</w:t>
      </w:r>
      <w:r w:rsidRPr="00565E0D">
        <w:rPr>
          <w:rFonts w:asciiTheme="minorEastAsia" w:eastAsiaTheme="minorEastAsia" w:hAnsiTheme="minorEastAsia"/>
          <w:szCs w:val="21"/>
        </w:rPr>
        <w:t>计算方法如下：</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H＝E×2.5‰</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当年天数</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H为每日应</w:t>
      </w:r>
      <w:r w:rsidRPr="00565E0D">
        <w:rPr>
          <w:rFonts w:asciiTheme="minorEastAsia" w:eastAsiaTheme="minorEastAsia" w:hAnsiTheme="minorEastAsia" w:hint="eastAsia"/>
          <w:szCs w:val="21"/>
        </w:rPr>
        <w:t>计提</w:t>
      </w:r>
      <w:r w:rsidRPr="00565E0D">
        <w:rPr>
          <w:rFonts w:asciiTheme="minorEastAsia" w:eastAsiaTheme="minorEastAsia" w:hAnsiTheme="minorEastAsia"/>
          <w:szCs w:val="21"/>
        </w:rPr>
        <w:t>的基金托管费</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E为前一日的基金资产净值</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基金托管费每日计算</w:t>
      </w:r>
      <w:r w:rsidRPr="00565E0D">
        <w:rPr>
          <w:rFonts w:asciiTheme="minorEastAsia" w:eastAsiaTheme="minorEastAsia" w:hAnsiTheme="minorEastAsia" w:hint="eastAsia"/>
          <w:szCs w:val="21"/>
        </w:rPr>
        <w:t>，逐日累计至每月月末，</w:t>
      </w:r>
      <w:r w:rsidRPr="00565E0D">
        <w:rPr>
          <w:rFonts w:asciiTheme="minorEastAsia" w:eastAsiaTheme="minorEastAsia" w:hAnsiTheme="minorEastAsia"/>
          <w:szCs w:val="21"/>
        </w:rPr>
        <w:t>按月支付</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由</w:t>
      </w:r>
      <w:r w:rsidRPr="00565E0D">
        <w:rPr>
          <w:rFonts w:asciiTheme="minorEastAsia" w:eastAsiaTheme="minorEastAsia" w:hAnsiTheme="minorEastAsia" w:hint="eastAsia"/>
          <w:szCs w:val="21"/>
        </w:rPr>
        <w:t>基金管理人向基金托管人发送基金托管费划款指令，</w:t>
      </w:r>
      <w:r w:rsidRPr="00565E0D">
        <w:rPr>
          <w:rFonts w:asciiTheme="minorEastAsia" w:eastAsiaTheme="minorEastAsia" w:hAnsiTheme="minorEastAsia"/>
          <w:szCs w:val="21"/>
        </w:rPr>
        <w:t>基金托管人</w:t>
      </w:r>
      <w:r w:rsidRPr="00565E0D">
        <w:rPr>
          <w:rFonts w:asciiTheme="minorEastAsia" w:eastAsiaTheme="minorEastAsia" w:hAnsiTheme="minorEastAsia" w:hint="eastAsia"/>
          <w:szCs w:val="21"/>
        </w:rPr>
        <w:t>复核后</w:t>
      </w:r>
      <w:r w:rsidRPr="00565E0D">
        <w:rPr>
          <w:rFonts w:asciiTheme="minorEastAsia" w:eastAsiaTheme="minorEastAsia" w:hAnsiTheme="minorEastAsia"/>
          <w:szCs w:val="21"/>
        </w:rPr>
        <w:t>于次月前</w:t>
      </w: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个工作日内从基金财产中一次性支取</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若遇法定节假日、</w:t>
      </w:r>
      <w:r w:rsidRPr="00565E0D">
        <w:rPr>
          <w:rFonts w:asciiTheme="minorEastAsia" w:eastAsiaTheme="minorEastAsia" w:hAnsiTheme="minorEastAsia" w:hint="eastAsia"/>
          <w:szCs w:val="21"/>
        </w:rPr>
        <w:t>公休日</w:t>
      </w:r>
      <w:r w:rsidRPr="00565E0D">
        <w:rPr>
          <w:rFonts w:asciiTheme="minorEastAsia" w:eastAsiaTheme="minorEastAsia" w:hAnsiTheme="minorEastAsia"/>
          <w:szCs w:val="21"/>
        </w:rPr>
        <w:t>等,支付日期顺延。</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上述</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一</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基金费用</w:t>
      </w:r>
      <w:r w:rsidRPr="00565E0D">
        <w:rPr>
          <w:rFonts w:asciiTheme="minorEastAsia" w:eastAsiaTheme="minorEastAsia" w:hAnsiTheme="minorEastAsia" w:hint="eastAsia"/>
          <w:szCs w:val="21"/>
        </w:rPr>
        <w:t>的种类”</w:t>
      </w:r>
      <w:r w:rsidRPr="00565E0D">
        <w:rPr>
          <w:rFonts w:asciiTheme="minorEastAsia" w:eastAsiaTheme="minorEastAsia" w:hAnsiTheme="minorEastAsia"/>
          <w:szCs w:val="21"/>
        </w:rPr>
        <w:t>中第</w:t>
      </w:r>
      <w:r w:rsidRPr="00565E0D">
        <w:rPr>
          <w:rFonts w:asciiTheme="minorEastAsia" w:eastAsiaTheme="minorEastAsia" w:hAnsiTheme="minorEastAsia" w:hint="eastAsia"/>
          <w:szCs w:val="21"/>
        </w:rPr>
        <w:t>“3－8</w:t>
      </w:r>
      <w:r w:rsidRPr="00565E0D">
        <w:rPr>
          <w:rFonts w:asciiTheme="minorEastAsia" w:eastAsiaTheme="minorEastAsia" w:hAnsiTheme="minorEastAsia"/>
          <w:szCs w:val="21"/>
        </w:rPr>
        <w:t>”项费用</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根据有关法规及相应协议规定</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按费用实际支出金额列入当期费用</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由基金托管人从基金财产中支付。</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（3）销售服务费</w:t>
      </w:r>
    </w:p>
    <w:p w:rsidR="00C35BC5" w:rsidRPr="00565E0D" w:rsidRDefault="00C35BC5" w:rsidP="00552BE1">
      <w:pPr>
        <w:pStyle w:val="ad"/>
        <w:snapToGrid w:val="0"/>
        <w:spacing w:after="0" w:line="360" w:lineRule="auto"/>
        <w:ind w:firstLineChars="200"/>
        <w:rPr>
          <w:rFonts w:asciiTheme="minorEastAsia" w:eastAsiaTheme="minorEastAsia" w:hAnsiTheme="minorEastAsia"/>
        </w:rPr>
      </w:pPr>
      <w:r w:rsidRPr="00565E0D">
        <w:rPr>
          <w:rFonts w:asciiTheme="minorEastAsia" w:eastAsiaTheme="minorEastAsia" w:hAnsiTheme="minorEastAsia"/>
        </w:rPr>
        <w:lastRenderedPageBreak/>
        <w:t>销售服务费是指基金管理人根据基金合同的约定及届时有效的相关法律法规的规定，从开放式基金财产中计提的一定比例的费用，用于支付销售机构佣金、基金的营销费用以及基金份额持有人服务费等。</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基金管理人</w:t>
      </w:r>
      <w:r w:rsidRPr="00565E0D">
        <w:rPr>
          <w:rFonts w:asciiTheme="minorEastAsia" w:eastAsiaTheme="minorEastAsia" w:hAnsiTheme="minorEastAsia" w:hint="eastAsia"/>
        </w:rPr>
        <w:t>可以</w:t>
      </w:r>
      <w:r w:rsidRPr="00565E0D">
        <w:rPr>
          <w:rFonts w:asciiTheme="minorEastAsia" w:eastAsiaTheme="minorEastAsia" w:hAnsiTheme="minorEastAsia"/>
        </w:rPr>
        <w:t>选取适当的时机（但应于中国证监会发布有关收取开放式证券投资基金销售费用的</w:t>
      </w:r>
      <w:r w:rsidRPr="00565E0D">
        <w:rPr>
          <w:rFonts w:asciiTheme="minorEastAsia" w:eastAsiaTheme="minorEastAsia" w:hAnsiTheme="minorEastAsia" w:hint="eastAsia"/>
        </w:rPr>
        <w:t>规定</w:t>
      </w:r>
      <w:r w:rsidRPr="00565E0D">
        <w:rPr>
          <w:rFonts w:asciiTheme="minorEastAsia" w:eastAsiaTheme="minorEastAsia" w:hAnsiTheme="minorEastAsia"/>
        </w:rPr>
        <w:t>后）</w:t>
      </w:r>
      <w:r w:rsidRPr="00565E0D">
        <w:rPr>
          <w:rFonts w:asciiTheme="minorEastAsia" w:eastAsiaTheme="minorEastAsia" w:hAnsiTheme="minorEastAsia" w:hint="eastAsia"/>
        </w:rPr>
        <w:t>开始计提</w:t>
      </w:r>
      <w:r w:rsidRPr="00565E0D">
        <w:rPr>
          <w:rFonts w:asciiTheme="minorEastAsia" w:eastAsiaTheme="minorEastAsia" w:hAnsiTheme="minorEastAsia"/>
        </w:rPr>
        <w:t>销售服务费，</w:t>
      </w:r>
      <w:r w:rsidRPr="00565E0D">
        <w:rPr>
          <w:rFonts w:asciiTheme="minorEastAsia" w:eastAsiaTheme="minorEastAsia" w:hAnsiTheme="minorEastAsia" w:hint="eastAsia"/>
        </w:rPr>
        <w:t>但</w:t>
      </w:r>
      <w:r w:rsidRPr="00565E0D">
        <w:rPr>
          <w:rFonts w:asciiTheme="minorEastAsia" w:eastAsiaTheme="minorEastAsia" w:hAnsiTheme="minorEastAsia"/>
        </w:rPr>
        <w:t>至少</w:t>
      </w:r>
      <w:r w:rsidRPr="00565E0D">
        <w:rPr>
          <w:rFonts w:asciiTheme="minorEastAsia" w:eastAsiaTheme="minorEastAsia" w:hAnsiTheme="minorEastAsia" w:hint="eastAsia"/>
        </w:rPr>
        <w:t>应</w:t>
      </w:r>
      <w:r w:rsidRPr="00565E0D">
        <w:rPr>
          <w:rFonts w:asciiTheme="minorEastAsia" w:eastAsiaTheme="minorEastAsia" w:hAnsiTheme="minorEastAsia"/>
        </w:rPr>
        <w:t>提前2个工作日在</w:t>
      </w:r>
      <w:r w:rsidR="00332B90" w:rsidRPr="00565E0D">
        <w:rPr>
          <w:rFonts w:asciiTheme="minorEastAsia" w:eastAsiaTheme="minorEastAsia" w:hAnsiTheme="minorEastAsia" w:hint="eastAsia"/>
        </w:rPr>
        <w:t>指定媒介</w:t>
      </w:r>
      <w:r w:rsidRPr="00565E0D">
        <w:rPr>
          <w:rFonts w:asciiTheme="minorEastAsia" w:eastAsiaTheme="minorEastAsia" w:hAnsiTheme="minorEastAsia"/>
        </w:rPr>
        <w:t>公告。</w:t>
      </w:r>
      <w:r w:rsidRPr="00565E0D">
        <w:rPr>
          <w:rFonts w:asciiTheme="minorEastAsia" w:eastAsiaTheme="minorEastAsia" w:hAnsiTheme="minorEastAsia" w:hint="eastAsia"/>
        </w:rPr>
        <w:t>公告中应规定计提销售服务费的条件、程序、用途和费率标准。</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基金管理人依据本合同及届时有效的有关法律法规公告收取基金销售服务费或酌情降低基金销售服务费的，无须召开基金份额持有人大会。</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rPr>
        <w:t>上述</w:t>
      </w:r>
      <w:r w:rsidRPr="00565E0D">
        <w:rPr>
          <w:rFonts w:asciiTheme="minorEastAsia" w:eastAsiaTheme="minorEastAsia" w:hAnsiTheme="minorEastAsia" w:hint="eastAsia"/>
        </w:rPr>
        <w:t>“</w:t>
      </w:r>
      <w:r w:rsidRPr="00565E0D">
        <w:rPr>
          <w:rFonts w:asciiTheme="minorEastAsia" w:eastAsiaTheme="minorEastAsia" w:hAnsiTheme="minorEastAsia"/>
        </w:rPr>
        <w:t>一</w:t>
      </w:r>
      <w:r w:rsidRPr="00565E0D">
        <w:rPr>
          <w:rFonts w:asciiTheme="minorEastAsia" w:eastAsiaTheme="minorEastAsia" w:hAnsiTheme="minorEastAsia" w:hint="eastAsia"/>
        </w:rPr>
        <w:t>、</w:t>
      </w:r>
      <w:r w:rsidRPr="00565E0D">
        <w:rPr>
          <w:rFonts w:asciiTheme="minorEastAsia" w:eastAsiaTheme="minorEastAsia" w:hAnsiTheme="minorEastAsia"/>
        </w:rPr>
        <w:t>基金费用</w:t>
      </w:r>
      <w:r w:rsidRPr="00565E0D">
        <w:rPr>
          <w:rFonts w:asciiTheme="minorEastAsia" w:eastAsiaTheme="minorEastAsia" w:hAnsiTheme="minorEastAsia" w:hint="eastAsia"/>
        </w:rPr>
        <w:t>的种类”</w:t>
      </w:r>
      <w:r w:rsidRPr="00565E0D">
        <w:rPr>
          <w:rFonts w:asciiTheme="minorEastAsia" w:eastAsiaTheme="minorEastAsia" w:hAnsiTheme="minorEastAsia"/>
        </w:rPr>
        <w:t>中第</w:t>
      </w:r>
      <w:r w:rsidRPr="00565E0D">
        <w:rPr>
          <w:rFonts w:asciiTheme="minorEastAsia" w:eastAsiaTheme="minorEastAsia" w:hAnsiTheme="minorEastAsia" w:hint="eastAsia"/>
        </w:rPr>
        <w:t>“</w:t>
      </w:r>
      <w:r w:rsidRPr="00565E0D">
        <w:rPr>
          <w:rFonts w:asciiTheme="minorEastAsia" w:eastAsiaTheme="minorEastAsia" w:hAnsiTheme="minorEastAsia"/>
        </w:rPr>
        <w:t>4</w:t>
      </w:r>
      <w:r w:rsidRPr="00565E0D">
        <w:rPr>
          <w:rFonts w:asciiTheme="minorEastAsia" w:eastAsiaTheme="minorEastAsia" w:hAnsiTheme="minorEastAsia" w:hint="eastAsia"/>
        </w:rPr>
        <w:t>－</w:t>
      </w:r>
      <w:r w:rsidRPr="00565E0D">
        <w:rPr>
          <w:rFonts w:asciiTheme="minorEastAsia" w:eastAsiaTheme="minorEastAsia" w:hAnsiTheme="minorEastAsia"/>
        </w:rPr>
        <w:t>8</w:t>
      </w:r>
      <w:r w:rsidRPr="00565E0D">
        <w:rPr>
          <w:rFonts w:asciiTheme="minorEastAsia" w:eastAsiaTheme="minorEastAsia" w:hAnsiTheme="minorEastAsia" w:hint="eastAsia"/>
        </w:rPr>
        <w:t>”</w:t>
      </w:r>
      <w:r w:rsidRPr="00565E0D">
        <w:rPr>
          <w:rFonts w:asciiTheme="minorEastAsia" w:eastAsiaTheme="minorEastAsia" w:hAnsiTheme="minorEastAsia"/>
        </w:rPr>
        <w:t>项费用</w:t>
      </w:r>
      <w:r w:rsidRPr="00565E0D">
        <w:rPr>
          <w:rFonts w:asciiTheme="minorEastAsia" w:eastAsiaTheme="minorEastAsia" w:hAnsiTheme="minorEastAsia" w:hint="eastAsia"/>
        </w:rPr>
        <w:t>，</w:t>
      </w:r>
      <w:r w:rsidRPr="00565E0D">
        <w:rPr>
          <w:rFonts w:asciiTheme="minorEastAsia" w:eastAsiaTheme="minorEastAsia" w:hAnsiTheme="minorEastAsia"/>
        </w:rPr>
        <w:t>根据有关法规及相应协议规定</w:t>
      </w:r>
      <w:r w:rsidRPr="00565E0D">
        <w:rPr>
          <w:rFonts w:asciiTheme="minorEastAsia" w:eastAsiaTheme="minorEastAsia" w:hAnsiTheme="minorEastAsia" w:hint="eastAsia"/>
        </w:rPr>
        <w:t>，</w:t>
      </w:r>
      <w:r w:rsidRPr="00565E0D">
        <w:rPr>
          <w:rFonts w:asciiTheme="minorEastAsia" w:eastAsiaTheme="minorEastAsia" w:hAnsiTheme="minorEastAsia"/>
        </w:rPr>
        <w:t>按费用实际支出金额列入当期费用</w:t>
      </w:r>
      <w:r w:rsidRPr="00565E0D">
        <w:rPr>
          <w:rFonts w:asciiTheme="minorEastAsia" w:eastAsiaTheme="minorEastAsia" w:hAnsiTheme="minorEastAsia" w:hint="eastAsia"/>
        </w:rPr>
        <w:t>，</w:t>
      </w:r>
      <w:r w:rsidRPr="00565E0D">
        <w:rPr>
          <w:rFonts w:asciiTheme="minorEastAsia" w:eastAsiaTheme="minorEastAsia" w:hAnsiTheme="minorEastAsia"/>
        </w:rPr>
        <w:t>由基金托管人从基金财产中支付。</w:t>
      </w:r>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w:t>
      </w:r>
      <w:r w:rsidR="00C35BC5" w:rsidRPr="00565E0D">
        <w:rPr>
          <w:rFonts w:asciiTheme="minorEastAsia" w:eastAsiaTheme="minorEastAsia" w:hAnsiTheme="minorEastAsia" w:hint="eastAsia"/>
        </w:rPr>
        <w:t>不列入基金费用的项目</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下列费用不列入基金费用：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（1）基金管理人和基金托管人因未履行或未完全履行义务导致的费用支出或基金财产的损失；</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（2）基金管理人和基金托管人处理与基金运作无关的事项发生的费用；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（3）基金合同生效前的相关费用，包括但不限于验资费、会计师和律师费、信息披露费用等费用；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（4）其他根据相关法律法规及中国证监会的有关规定不得列入基金费用的项目。</w:t>
      </w:r>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4、</w:t>
      </w:r>
      <w:r w:rsidR="00C35BC5" w:rsidRPr="00565E0D">
        <w:rPr>
          <w:rFonts w:asciiTheme="minorEastAsia" w:eastAsiaTheme="minorEastAsia" w:hAnsiTheme="minorEastAsia" w:hint="eastAsia"/>
        </w:rPr>
        <w:t>基金费用的调整</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rPr>
        <w:t>基金管理人和基金托管人协商一致后，可根据基金发展情况调整基金管理费率或基金托管费率等相关费率。调低基金管理费率或基金托管费率，由基金管理人和基金托管人协商一致，经中国证监会核准后公告，此项调整不需要召开基金份额持有人大会。调高基金管理费率、基金托管费率等相关费率须召开基金份额持有人大会审议。基金管理人必须最迟于新的费率实施日前2个工作日在</w:t>
      </w:r>
      <w:r w:rsidR="00332B90" w:rsidRPr="00565E0D">
        <w:rPr>
          <w:rFonts w:asciiTheme="minorEastAsia" w:eastAsiaTheme="minorEastAsia" w:hAnsiTheme="minorEastAsia" w:hint="eastAsia"/>
        </w:rPr>
        <w:t>指定媒介</w:t>
      </w:r>
      <w:r w:rsidRPr="00565E0D">
        <w:rPr>
          <w:rFonts w:asciiTheme="minorEastAsia" w:eastAsiaTheme="minorEastAsia" w:hAnsiTheme="minorEastAsia" w:hint="eastAsia"/>
        </w:rPr>
        <w:t>公告。</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rPr>
      </w:pPr>
      <w:bookmarkStart w:id="427" w:name="_Toc38551236"/>
      <w:r w:rsidRPr="00565E0D">
        <w:rPr>
          <w:rFonts w:asciiTheme="minorEastAsia" w:eastAsiaTheme="minorEastAsia" w:hAnsiTheme="minorEastAsia" w:hint="eastAsia"/>
        </w:rPr>
        <w:t>（二）与基金销售有关的费用</w:t>
      </w:r>
      <w:bookmarkEnd w:id="427"/>
    </w:p>
    <w:p w:rsidR="00552BE1" w:rsidRPr="00565E0D" w:rsidRDefault="00552BE1" w:rsidP="00552BE1">
      <w:pPr>
        <w:snapToGrid w:val="0"/>
        <w:spacing w:line="360" w:lineRule="auto"/>
        <w:ind w:firstLine="420"/>
        <w:jc w:val="left"/>
        <w:rPr>
          <w:rFonts w:asciiTheme="minorEastAsia" w:eastAsiaTheme="minorEastAsia" w:hAnsiTheme="minorEastAsia"/>
          <w:szCs w:val="21"/>
        </w:rPr>
      </w:pPr>
      <w:bookmarkStart w:id="428" w:name="_Toc84149673"/>
      <w:bookmarkStart w:id="429" w:name="_Toc86584637"/>
      <w:r w:rsidRPr="00565E0D">
        <w:rPr>
          <w:rFonts w:asciiTheme="minorEastAsia" w:eastAsiaTheme="minorEastAsia" w:hAnsiTheme="minorEastAsia" w:hint="eastAsia"/>
        </w:rPr>
        <w:t>1、</w:t>
      </w:r>
      <w:r w:rsidR="006928D9" w:rsidRPr="00565E0D">
        <w:rPr>
          <w:rFonts w:asciiTheme="minorEastAsia" w:eastAsiaTheme="minorEastAsia" w:hAnsiTheme="minorEastAsia" w:hint="eastAsia"/>
          <w:szCs w:val="21"/>
        </w:rPr>
        <w:t>申购费、赎回费的费率水平、收取方式和计算公式详见本招募说明书“八、基金份额的申购、赎回”中的“（七）申购、赎回的费率”和“（八）申购份额、赎回金额的计算方式”的相关规定。</w:t>
      </w:r>
    </w:p>
    <w:p w:rsidR="00C35BC5" w:rsidRPr="00565E0D" w:rsidRDefault="006928D9" w:rsidP="00552BE1">
      <w:pPr>
        <w:snapToGrid w:val="0"/>
        <w:spacing w:line="360" w:lineRule="auto"/>
        <w:ind w:firstLine="420"/>
        <w:jc w:val="left"/>
        <w:rPr>
          <w:rFonts w:asciiTheme="minorEastAsia" w:eastAsiaTheme="minorEastAsia" w:hAnsiTheme="minorEastAsia"/>
          <w:szCs w:val="21"/>
        </w:rPr>
      </w:pPr>
      <w:r w:rsidRPr="00565E0D">
        <w:rPr>
          <w:rFonts w:asciiTheme="minorEastAsia" w:eastAsiaTheme="minorEastAsia" w:hAnsiTheme="minorEastAsia" w:hint="eastAsia"/>
          <w:szCs w:val="21"/>
        </w:rPr>
        <w:t>2</w:t>
      </w:r>
      <w:r w:rsidR="00552BE1" w:rsidRPr="00565E0D">
        <w:rPr>
          <w:rFonts w:asciiTheme="minorEastAsia" w:eastAsiaTheme="minorEastAsia" w:hAnsiTheme="minorEastAsia" w:hint="eastAsia"/>
          <w:szCs w:val="21"/>
        </w:rPr>
        <w:t>、</w:t>
      </w:r>
      <w:r w:rsidR="00C35BC5" w:rsidRPr="00565E0D">
        <w:rPr>
          <w:rFonts w:asciiTheme="minorEastAsia" w:eastAsiaTheme="minorEastAsia" w:hAnsiTheme="minorEastAsia"/>
          <w:szCs w:val="21"/>
        </w:rPr>
        <w:t>转换费率</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目前，基金管理人已开通了本基金与旗下部分开放式基金之间的转换业务，具体实施办法和转换费率详见相关公告。基金转换费由基金份额持有人承担，基金转换费用由转出基金赎回费用及基金申购补差费用构成，其中赎回费按照</w:t>
      </w:r>
      <w:r w:rsidR="00601FFA" w:rsidRPr="00565E0D">
        <w:rPr>
          <w:rFonts w:asciiTheme="minorEastAsia" w:eastAsiaTheme="minorEastAsia" w:hAnsiTheme="minorEastAsia" w:hint="eastAsia"/>
        </w:rPr>
        <w:t>各基金</w:t>
      </w:r>
      <w:r w:rsidR="00601FFA" w:rsidRPr="00565E0D">
        <w:rPr>
          <w:rFonts w:asciiTheme="minorEastAsia" w:eastAsiaTheme="minorEastAsia" w:hAnsiTheme="minorEastAsia"/>
        </w:rPr>
        <w:t>的</w:t>
      </w:r>
      <w:r w:rsidRPr="00565E0D">
        <w:rPr>
          <w:rFonts w:asciiTheme="minorEastAsia" w:eastAsiaTheme="minorEastAsia" w:hAnsiTheme="minorEastAsia" w:hint="eastAsia"/>
        </w:rPr>
        <w:t>基金合同、更新的招募说明书及最新的相关公告约定的比例归入基金财产，其余部分用于支付注册登记费等相关手续费，</w:t>
      </w:r>
      <w:r w:rsidRPr="00565E0D">
        <w:rPr>
          <w:rFonts w:asciiTheme="minorEastAsia" w:eastAsiaTheme="minorEastAsia" w:hAnsiTheme="minorEastAsia"/>
        </w:rPr>
        <w:t>转换费用以人民币元为单位，计算结果按照四舍五入方法，保留小数点后两位</w:t>
      </w:r>
      <w:r w:rsidRPr="00565E0D">
        <w:rPr>
          <w:rFonts w:asciiTheme="minorEastAsia" w:eastAsiaTheme="minorEastAsia" w:hAnsiTheme="minorEastAsia" w:hint="eastAsia"/>
        </w:rPr>
        <w:t>。</w:t>
      </w:r>
    </w:p>
    <w:p w:rsidR="00C35BC5" w:rsidRPr="00565E0D" w:rsidRDefault="006928D9"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szCs w:val="21"/>
        </w:rPr>
        <w:lastRenderedPageBreak/>
        <w:t>3</w:t>
      </w:r>
      <w:r w:rsidR="00552BE1" w:rsidRPr="00565E0D">
        <w:rPr>
          <w:rFonts w:asciiTheme="minorEastAsia" w:eastAsiaTheme="minorEastAsia" w:hAnsiTheme="minorEastAsia" w:hint="eastAsia"/>
          <w:szCs w:val="21"/>
        </w:rPr>
        <w:t>、</w:t>
      </w:r>
      <w:r w:rsidR="00C35BC5" w:rsidRPr="00565E0D">
        <w:rPr>
          <w:rFonts w:asciiTheme="minorEastAsia" w:eastAsiaTheme="minorEastAsia" w:hAnsiTheme="minorEastAsia"/>
          <w:szCs w:val="21"/>
        </w:rPr>
        <w:t>基金管理人可以从本基金财产中计提销售服务费</w:t>
      </w:r>
      <w:r w:rsidR="00C35BC5" w:rsidRPr="00565E0D">
        <w:rPr>
          <w:rFonts w:asciiTheme="minorEastAsia" w:eastAsiaTheme="minorEastAsia" w:hAnsiTheme="minorEastAsia" w:hint="eastAsia"/>
          <w:szCs w:val="21"/>
        </w:rPr>
        <w:t>，</w:t>
      </w:r>
      <w:r w:rsidR="00C35BC5" w:rsidRPr="00565E0D">
        <w:rPr>
          <w:rFonts w:asciiTheme="minorEastAsia" w:eastAsiaTheme="minorEastAsia" w:hAnsiTheme="minorEastAsia"/>
          <w:szCs w:val="21"/>
        </w:rPr>
        <w:t>用于基金的持续销售和服务基金份</w:t>
      </w:r>
      <w:r w:rsidR="00C35BC5" w:rsidRPr="00565E0D">
        <w:rPr>
          <w:rFonts w:asciiTheme="minorEastAsia" w:eastAsiaTheme="minorEastAsia" w:hAnsiTheme="minorEastAsia"/>
        </w:rPr>
        <w:t>额持有人</w:t>
      </w:r>
      <w:r w:rsidR="00C35BC5" w:rsidRPr="00565E0D">
        <w:rPr>
          <w:rFonts w:asciiTheme="minorEastAsia" w:eastAsiaTheme="minorEastAsia" w:hAnsiTheme="minorEastAsia" w:hint="eastAsia"/>
        </w:rPr>
        <w:t>，</w:t>
      </w:r>
      <w:r w:rsidR="00C35BC5" w:rsidRPr="00565E0D">
        <w:rPr>
          <w:rFonts w:asciiTheme="minorEastAsia" w:eastAsiaTheme="minorEastAsia" w:hAnsiTheme="minorEastAsia"/>
        </w:rPr>
        <w:t>具体办法按中国证监会有关规定执行。</w:t>
      </w:r>
    </w:p>
    <w:p w:rsidR="00C35BC5" w:rsidRPr="00565E0D" w:rsidRDefault="006928D9"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4</w:t>
      </w:r>
      <w:r w:rsidR="00552BE1" w:rsidRPr="00565E0D">
        <w:rPr>
          <w:rFonts w:asciiTheme="minorEastAsia" w:eastAsiaTheme="minorEastAsia" w:hAnsiTheme="minorEastAsia" w:hint="eastAsia"/>
        </w:rPr>
        <w:t>、</w:t>
      </w:r>
      <w:r w:rsidR="00C35BC5" w:rsidRPr="00565E0D">
        <w:rPr>
          <w:rFonts w:asciiTheme="minorEastAsia" w:eastAsiaTheme="minorEastAsia" w:hAnsiTheme="minorEastAsia" w:hint="eastAsia"/>
          <w:szCs w:val="21"/>
        </w:rPr>
        <w:t>投资者通过本公司网上交易系统（www.efunds.com.cn）进行申购、赎回和转换的交易费率，请具体参照我公司网站上的相关说明。</w:t>
      </w:r>
    </w:p>
    <w:p w:rsidR="00C35BC5" w:rsidRPr="00565E0D" w:rsidRDefault="006928D9" w:rsidP="00552BE1">
      <w:pPr>
        <w:pStyle w:val="af1"/>
        <w:tabs>
          <w:tab w:val="left" w:pos="735"/>
        </w:tabs>
        <w:snapToGrid w:val="0"/>
        <w:spacing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5</w:t>
      </w:r>
      <w:r w:rsidR="00552BE1" w:rsidRPr="00565E0D">
        <w:rPr>
          <w:rFonts w:asciiTheme="minorEastAsia" w:eastAsiaTheme="minorEastAsia" w:hAnsiTheme="minorEastAsia" w:hint="eastAsia"/>
        </w:rPr>
        <w:t>、</w:t>
      </w:r>
      <w:r w:rsidR="00C35BC5" w:rsidRPr="00565E0D">
        <w:rPr>
          <w:rFonts w:asciiTheme="minorEastAsia" w:eastAsiaTheme="minorEastAsia" w:hAnsiTheme="minorEastAsia"/>
        </w:rPr>
        <w:t>基金管理人可以在基金合同规定的范围内调整</w:t>
      </w:r>
      <w:r w:rsidR="00C35BC5" w:rsidRPr="00565E0D">
        <w:rPr>
          <w:rFonts w:asciiTheme="minorEastAsia" w:eastAsiaTheme="minorEastAsia" w:hAnsiTheme="minorEastAsia" w:hint="eastAsia"/>
        </w:rPr>
        <w:t>上述</w:t>
      </w:r>
      <w:r w:rsidR="00C35BC5" w:rsidRPr="00565E0D">
        <w:rPr>
          <w:rFonts w:asciiTheme="minorEastAsia" w:eastAsiaTheme="minorEastAsia" w:hAnsiTheme="minorEastAsia"/>
        </w:rPr>
        <w:t>费率</w:t>
      </w:r>
      <w:r w:rsidR="00C35BC5" w:rsidRPr="00565E0D">
        <w:rPr>
          <w:rFonts w:asciiTheme="minorEastAsia" w:eastAsiaTheme="minorEastAsia" w:hAnsiTheme="minorEastAsia" w:hint="eastAsia"/>
        </w:rPr>
        <w:t>，</w:t>
      </w:r>
      <w:r w:rsidR="00C35BC5" w:rsidRPr="00565E0D">
        <w:rPr>
          <w:rFonts w:asciiTheme="minorEastAsia" w:eastAsiaTheme="minorEastAsia" w:hAnsiTheme="minorEastAsia"/>
        </w:rPr>
        <w:t>上述费率如发生变更，基金管理人应最迟于新的费率实施前</w:t>
      </w:r>
      <w:r w:rsidR="00C35BC5" w:rsidRPr="00565E0D">
        <w:rPr>
          <w:rFonts w:asciiTheme="minorEastAsia" w:eastAsiaTheme="minorEastAsia" w:hAnsiTheme="minorEastAsia" w:hint="eastAsia"/>
        </w:rPr>
        <w:t>2</w:t>
      </w:r>
      <w:r w:rsidR="00C35BC5" w:rsidRPr="00565E0D">
        <w:rPr>
          <w:rFonts w:asciiTheme="minorEastAsia" w:eastAsiaTheme="minorEastAsia" w:hAnsiTheme="minorEastAsia"/>
        </w:rPr>
        <w:t>个工作日在</w:t>
      </w:r>
      <w:r w:rsidR="00C53A0E" w:rsidRPr="00565E0D">
        <w:rPr>
          <w:rFonts w:asciiTheme="minorEastAsia" w:eastAsiaTheme="minorEastAsia" w:hAnsiTheme="minorEastAsia" w:hint="eastAsia"/>
        </w:rPr>
        <w:t>指定媒介</w:t>
      </w:r>
      <w:r w:rsidR="00C35BC5" w:rsidRPr="00565E0D">
        <w:rPr>
          <w:rFonts w:asciiTheme="minorEastAsia" w:eastAsiaTheme="minorEastAsia" w:hAnsiTheme="minorEastAsia"/>
        </w:rPr>
        <w:t>公告。</w:t>
      </w:r>
    </w:p>
    <w:p w:rsidR="00C35BC5" w:rsidRPr="00565E0D" w:rsidRDefault="006928D9" w:rsidP="00552BE1">
      <w:pPr>
        <w:autoSpaceDE w:val="0"/>
        <w:autoSpaceDN w:val="0"/>
        <w:adjustRightInd w:val="0"/>
        <w:snapToGrid w:val="0"/>
        <w:spacing w:line="360" w:lineRule="auto"/>
        <w:ind w:firstLine="420"/>
        <w:jc w:val="left"/>
        <w:rPr>
          <w:rFonts w:asciiTheme="minorEastAsia" w:eastAsiaTheme="minorEastAsia" w:hAnsiTheme="minorEastAsia"/>
        </w:rPr>
      </w:pPr>
      <w:r w:rsidRPr="00565E0D">
        <w:rPr>
          <w:rFonts w:asciiTheme="minorEastAsia" w:eastAsiaTheme="minorEastAsia" w:hAnsiTheme="minorEastAsia" w:hint="eastAsia"/>
        </w:rPr>
        <w:t>6</w:t>
      </w:r>
      <w:r w:rsidR="00552BE1" w:rsidRPr="00565E0D">
        <w:rPr>
          <w:rFonts w:asciiTheme="minorEastAsia" w:eastAsiaTheme="minorEastAsia" w:hAnsiTheme="minorEastAsia" w:hint="eastAsia"/>
        </w:rPr>
        <w:t>、</w:t>
      </w:r>
      <w:r w:rsidR="00610C23" w:rsidRPr="00565E0D">
        <w:rPr>
          <w:rFonts w:asciiTheme="minorEastAsia" w:eastAsiaTheme="minorEastAsia" w:hAnsiTheme="minorEastAsia" w:hint="eastAsia"/>
        </w:rPr>
        <w:t>基金管理人可以在不违反法律法规规定及基金合同约定的情况下根据市场情况制定基金促销计划，针对基金投资者定期和不定期地开展基金促销活动。在基金促销活动期间，基金管理人可以适当调低基金销售费率，或针对特定渠道、特定投资群体开展有差别的费率优惠活动。</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rPr>
      </w:pPr>
      <w:bookmarkStart w:id="430" w:name="_Toc38551237"/>
      <w:r w:rsidRPr="00565E0D">
        <w:rPr>
          <w:rFonts w:asciiTheme="minorEastAsia" w:eastAsiaTheme="minorEastAsia" w:hAnsiTheme="minorEastAsia" w:hint="eastAsia"/>
        </w:rPr>
        <w:t>（三）基金税收</w:t>
      </w:r>
      <w:bookmarkEnd w:id="428"/>
      <w:bookmarkEnd w:id="429"/>
      <w:bookmarkEnd w:id="430"/>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本基金运作过程中涉及的各纳税主体，应按国家税收法律、法规履行其纳税义务。</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Cs/>
        </w:rPr>
      </w:pPr>
      <w:bookmarkStart w:id="431" w:name="_Toc38551238"/>
      <w:r w:rsidRPr="00565E0D">
        <w:rPr>
          <w:rFonts w:asciiTheme="minorEastAsia" w:eastAsiaTheme="minorEastAsia" w:hAnsiTheme="minorEastAsia" w:hint="eastAsia"/>
          <w:b/>
          <w:bCs/>
        </w:rPr>
        <w:lastRenderedPageBreak/>
        <w:t>十七、基金的会计与审计</w:t>
      </w:r>
      <w:bookmarkEnd w:id="431"/>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432" w:name="_Toc38551239"/>
      <w:r w:rsidRPr="00565E0D">
        <w:rPr>
          <w:rFonts w:asciiTheme="minorEastAsia" w:eastAsiaTheme="minorEastAsia" w:hAnsiTheme="minorEastAsia" w:hint="eastAsia"/>
          <w:b w:val="0"/>
        </w:rPr>
        <w:t>（一）基金会计政策</w:t>
      </w:r>
      <w:bookmarkEnd w:id="432"/>
    </w:p>
    <w:p w:rsidR="00C35BC5" w:rsidRPr="00565E0D" w:rsidRDefault="00C35BC5" w:rsidP="00552BE1">
      <w:pPr>
        <w:numPr>
          <w:ilvl w:val="0"/>
          <w:numId w:val="5"/>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基金管理人为本基金的基金会计责任方；</w:t>
      </w:r>
    </w:p>
    <w:p w:rsidR="00C35BC5" w:rsidRPr="00565E0D" w:rsidRDefault="00C35BC5" w:rsidP="00552BE1">
      <w:pPr>
        <w:numPr>
          <w:ilvl w:val="0"/>
          <w:numId w:val="5"/>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基金的会计年度为公历每年1月1日至12月31日；</w:t>
      </w:r>
      <w:r w:rsidRPr="00565E0D">
        <w:rPr>
          <w:rFonts w:asciiTheme="minorEastAsia" w:eastAsiaTheme="minorEastAsia" w:hAnsiTheme="minorEastAsia"/>
          <w:szCs w:val="21"/>
        </w:rPr>
        <w:t>基金首次募集的会计年度按如下原则：如果基金合同生效少于</w:t>
      </w: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个月，可以并入下一个会计年度；</w:t>
      </w:r>
    </w:p>
    <w:p w:rsidR="00C35BC5" w:rsidRPr="00565E0D" w:rsidRDefault="00C35BC5" w:rsidP="00552BE1">
      <w:pPr>
        <w:numPr>
          <w:ilvl w:val="0"/>
          <w:numId w:val="5"/>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基金核算以人民币为记帐本位币，以人民币元为记账单位；</w:t>
      </w:r>
    </w:p>
    <w:p w:rsidR="00C35BC5" w:rsidRPr="00565E0D" w:rsidRDefault="00C35BC5" w:rsidP="00552BE1">
      <w:pPr>
        <w:numPr>
          <w:ilvl w:val="0"/>
          <w:numId w:val="5"/>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会计制度执行国家有关的会计制度；</w:t>
      </w:r>
    </w:p>
    <w:p w:rsidR="00C35BC5" w:rsidRPr="00565E0D" w:rsidRDefault="00C35BC5" w:rsidP="00552BE1">
      <w:pPr>
        <w:numPr>
          <w:ilvl w:val="0"/>
          <w:numId w:val="5"/>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本</w:t>
      </w:r>
      <w:r w:rsidRPr="00565E0D">
        <w:rPr>
          <w:rFonts w:asciiTheme="minorEastAsia" w:eastAsiaTheme="minorEastAsia" w:hAnsiTheme="minorEastAsia"/>
          <w:szCs w:val="21"/>
        </w:rPr>
        <w:t>基金</w:t>
      </w:r>
      <w:r w:rsidRPr="00565E0D">
        <w:rPr>
          <w:rFonts w:asciiTheme="minorEastAsia" w:eastAsiaTheme="minorEastAsia" w:hAnsiTheme="minorEastAsia" w:hint="eastAsia"/>
          <w:szCs w:val="21"/>
        </w:rPr>
        <w:t>独立建帐、独立核算；</w:t>
      </w:r>
    </w:p>
    <w:p w:rsidR="00C35BC5" w:rsidRPr="00565E0D" w:rsidRDefault="00C35BC5" w:rsidP="00552BE1">
      <w:pPr>
        <w:numPr>
          <w:ilvl w:val="0"/>
          <w:numId w:val="5"/>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基金管理人及基金托管人各自保留完整的基金会计帐目、凭证并进行日常的会计核算，按照有关规定编制基金会计报表；</w:t>
      </w:r>
    </w:p>
    <w:p w:rsidR="00C35BC5" w:rsidRPr="00565E0D" w:rsidRDefault="00C35BC5" w:rsidP="00552BE1">
      <w:pPr>
        <w:numPr>
          <w:ilvl w:val="0"/>
          <w:numId w:val="5"/>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基金托管人每月与基金管理人就基金的会计核算、报表编制等进行核对并以书面方式确认。</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433" w:name="_Toc38551240"/>
      <w:r w:rsidRPr="00565E0D">
        <w:rPr>
          <w:rFonts w:asciiTheme="minorEastAsia" w:eastAsiaTheme="minorEastAsia" w:hAnsiTheme="minorEastAsia" w:hint="eastAsia"/>
          <w:b w:val="0"/>
        </w:rPr>
        <w:t>（二）基金年度审计</w:t>
      </w:r>
      <w:bookmarkEnd w:id="433"/>
    </w:p>
    <w:p w:rsidR="00C35BC5" w:rsidRPr="00565E0D" w:rsidRDefault="00C35BC5" w:rsidP="00332B90">
      <w:pPr>
        <w:numPr>
          <w:ilvl w:val="0"/>
          <w:numId w:val="6"/>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基金管理人聘请具有证券</w:t>
      </w:r>
      <w:r w:rsidR="00332B90" w:rsidRPr="00565E0D">
        <w:rPr>
          <w:rFonts w:asciiTheme="minorEastAsia" w:eastAsiaTheme="minorEastAsia" w:hAnsiTheme="minorEastAsia" w:hint="eastAsia"/>
          <w:szCs w:val="21"/>
        </w:rPr>
        <w:t>、期货相关业务资格</w:t>
      </w:r>
      <w:r w:rsidRPr="00565E0D">
        <w:rPr>
          <w:rFonts w:asciiTheme="minorEastAsia" w:eastAsiaTheme="minorEastAsia" w:hAnsiTheme="minorEastAsia" w:hint="eastAsia"/>
          <w:szCs w:val="21"/>
        </w:rPr>
        <w:t>的会计师事务所及其注册会计师对基金年度财务报表及其它规定事项进行审计。会计师事务所及其注册会计师与基金管理人、基金托管人相互独立。</w:t>
      </w:r>
    </w:p>
    <w:p w:rsidR="00C35BC5" w:rsidRPr="00565E0D" w:rsidRDefault="00C35BC5" w:rsidP="00552BE1">
      <w:pPr>
        <w:numPr>
          <w:ilvl w:val="0"/>
          <w:numId w:val="6"/>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会计师事务所更换经办注册会计师时，须事先征得基金管理人和基金托管人同意；</w:t>
      </w:r>
    </w:p>
    <w:p w:rsidR="00C35BC5" w:rsidRPr="00565E0D" w:rsidRDefault="00C35BC5" w:rsidP="00332B90">
      <w:pPr>
        <w:numPr>
          <w:ilvl w:val="0"/>
          <w:numId w:val="6"/>
        </w:numPr>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基金管理人认为有充足理由更换会计师事务所，</w:t>
      </w:r>
      <w:r w:rsidR="00332B90" w:rsidRPr="00565E0D">
        <w:rPr>
          <w:rFonts w:asciiTheme="minorEastAsia" w:eastAsiaTheme="minorEastAsia" w:hAnsiTheme="minorEastAsia" w:hint="eastAsia"/>
          <w:szCs w:val="21"/>
        </w:rPr>
        <w:t>须通报基金托管人</w:t>
      </w:r>
      <w:r w:rsidRPr="00565E0D">
        <w:rPr>
          <w:rFonts w:asciiTheme="minorEastAsia" w:eastAsiaTheme="minorEastAsia" w:hAnsiTheme="minorEastAsia" w:hint="eastAsia"/>
          <w:szCs w:val="21"/>
        </w:rPr>
        <w:t>。基金管理人应当在更换会计师事务所后2日内公告。</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Cs/>
        </w:rPr>
      </w:pPr>
      <w:bookmarkStart w:id="434" w:name="_Toc38551241"/>
      <w:r w:rsidRPr="00565E0D">
        <w:rPr>
          <w:rFonts w:asciiTheme="minorEastAsia" w:eastAsiaTheme="minorEastAsia" w:hAnsiTheme="minorEastAsia" w:hint="eastAsia"/>
          <w:b/>
          <w:bCs/>
        </w:rPr>
        <w:lastRenderedPageBreak/>
        <w:t>十八、基金的信息披露</w:t>
      </w:r>
      <w:bookmarkEnd w:id="434"/>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（一）本基金的信息披露应符合《基金法》、《运作办法》、《信息披露办法》、《基金合同》及其他有关规定。</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（二）信息披露义务人</w:t>
      </w:r>
    </w:p>
    <w:p w:rsidR="00332B90" w:rsidRPr="00565E0D" w:rsidRDefault="00332B90" w:rsidP="00332B90">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本基金信息披露义务人包括基金管理人、基金托管人、召集基金份额持有人大会的基金份额持有人等法律、行政法规和中国证监会规定的自然人、法人和非法人组织。</w:t>
      </w:r>
    </w:p>
    <w:p w:rsidR="00332B90" w:rsidRPr="00565E0D" w:rsidRDefault="00332B90" w:rsidP="00332B90">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本基金信息披露义务人以保护基金份额持有人利益为根本出发点，按照法律法规和中国证监会的规定披露基金信息，并保证所披露信息的真实性、准确性、完整性、及时性、简明性和易得性。</w:t>
      </w:r>
    </w:p>
    <w:p w:rsidR="00C35BC5" w:rsidRPr="00565E0D" w:rsidRDefault="00332B90"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本基金信息披露义务人应当在中国证监会规定时间内，将应予披露的基金信息通过指定媒介披露，并保证基金投资者能够按照《基金合同》约定的时间和方式查阅或者复制公开披露的信息资料。</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（三）本基金信息披露义务人承诺公开披露的基金信息，不得有下列行为：</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rPr>
        <w:t>1</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虚假记载、误导性陈述或者重大遗漏；</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rPr>
        <w:t>2</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对证券投资业绩进行预测；</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rPr>
        <w:t>3</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违规承诺收益或者承担损失；</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rPr>
        <w:t>4</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诋毁其他基金管理人、基金托管人或者基金份额发售机构；</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5</w:t>
      </w:r>
      <w:r w:rsidR="00552BE1" w:rsidRPr="00565E0D">
        <w:rPr>
          <w:rFonts w:asciiTheme="minorEastAsia" w:eastAsiaTheme="minorEastAsia" w:hAnsiTheme="minorEastAsia" w:hint="eastAsia"/>
        </w:rPr>
        <w:t>、</w:t>
      </w:r>
      <w:r w:rsidR="00615F5B" w:rsidRPr="00565E0D">
        <w:rPr>
          <w:rFonts w:asciiTheme="minorEastAsia" w:eastAsiaTheme="minorEastAsia" w:hAnsiTheme="minorEastAsia" w:hint="eastAsia"/>
        </w:rPr>
        <w:t>登载任何自然人、法人和非法人组织的祝贺性、恭维性或推荐性的文字；</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rPr>
        <w:t>6</w:t>
      </w:r>
      <w:r w:rsidR="00552BE1" w:rsidRPr="00565E0D">
        <w:rPr>
          <w:rFonts w:asciiTheme="minorEastAsia" w:eastAsiaTheme="minorEastAsia" w:hAnsiTheme="minorEastAsia" w:hint="eastAsia"/>
        </w:rPr>
        <w:t>、</w:t>
      </w:r>
      <w:r w:rsidRPr="00565E0D">
        <w:rPr>
          <w:rFonts w:asciiTheme="minorEastAsia" w:eastAsiaTheme="minorEastAsia" w:hAnsiTheme="minorEastAsia" w:hint="eastAsia"/>
        </w:rPr>
        <w:t>中国证监会禁止的其他行为。</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（四）本基金公开披露的信息应采用中文文本。如同时采用外文文本的，</w:t>
      </w:r>
      <w:r w:rsidR="00615F5B" w:rsidRPr="00565E0D">
        <w:rPr>
          <w:rFonts w:asciiTheme="minorEastAsia" w:eastAsiaTheme="minorEastAsia" w:hAnsiTheme="minorEastAsia" w:hint="eastAsia"/>
        </w:rPr>
        <w:t>基金信息披露义务人应保证不同文本的内容一致。不同文本之间发生歧义的</w:t>
      </w:r>
      <w:r w:rsidRPr="00565E0D">
        <w:rPr>
          <w:rFonts w:asciiTheme="minorEastAsia" w:eastAsiaTheme="minorEastAsia" w:hAnsiTheme="minorEastAsia" w:hint="eastAsia"/>
        </w:rPr>
        <w:t>。两种文本发生歧义的，以中文文本为准。</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本基金公开披露的信息采用阿拉伯数字；除特别说明外，货币单位为人民币元。</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（五）公开披露的基金信息</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公开披露的基金信息包括：</w:t>
      </w:r>
    </w:p>
    <w:p w:rsidR="00C35BC5" w:rsidRPr="00565E0D" w:rsidRDefault="00552BE1"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1、</w:t>
      </w:r>
      <w:r w:rsidR="00C35BC5" w:rsidRPr="00565E0D">
        <w:rPr>
          <w:rFonts w:asciiTheme="minorEastAsia" w:eastAsiaTheme="minorEastAsia" w:hAnsiTheme="minorEastAsia" w:hint="eastAsia"/>
        </w:rPr>
        <w:t>招募说明书、基金合同、托管协议</w:t>
      </w:r>
      <w:r w:rsidR="00615F5B" w:rsidRPr="00565E0D">
        <w:rPr>
          <w:rFonts w:asciiTheme="minorEastAsia" w:eastAsiaTheme="minorEastAsia" w:hAnsiTheme="minorEastAsia" w:hint="eastAsia"/>
        </w:rPr>
        <w:t>、基金产品资料概要</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基金募集申请经中国证监会核准后，基金管理人在基金份额发售的</w:t>
      </w:r>
      <w:r w:rsidRPr="00565E0D">
        <w:rPr>
          <w:rFonts w:asciiTheme="minorEastAsia" w:eastAsiaTheme="minorEastAsia" w:hAnsiTheme="minorEastAsia"/>
        </w:rPr>
        <w:t>3</w:t>
      </w:r>
      <w:r w:rsidRPr="00565E0D">
        <w:rPr>
          <w:rFonts w:asciiTheme="minorEastAsia" w:eastAsiaTheme="minorEastAsia" w:hAnsiTheme="minorEastAsia" w:hint="eastAsia"/>
        </w:rPr>
        <w:t>日前，将招募说明书、基金合同摘要登载在指定报刊和网站上；基金管理人、基金托管人应当将基金合同、托管协议登载在网站上。</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（1）招募说明书应当最大限度地披露影响基金投资者决策的全部事项，说明基金认购、申购和赎回安排、基金投资、基金产品特性、风险揭示、信息披露及基金份额持有人服务等内容。</w:t>
      </w:r>
      <w:r w:rsidR="00615F5B" w:rsidRPr="00565E0D">
        <w:rPr>
          <w:rFonts w:asciiTheme="minorEastAsia" w:eastAsiaTheme="minorEastAsia" w:hAnsiTheme="minorEastAsia" w:hint="eastAsia"/>
        </w:rPr>
        <w:t>基金合同生效后，基金招募说明书的信息发生重大变更的，基金管理人应当在三个工作日内，更新基金招募说明书并登载在指定网站上；基金招募说明书其他信息发生变更的，</w:t>
      </w:r>
      <w:r w:rsidR="00615F5B" w:rsidRPr="00565E0D">
        <w:rPr>
          <w:rFonts w:asciiTheme="minorEastAsia" w:eastAsiaTheme="minorEastAsia" w:hAnsiTheme="minorEastAsia" w:hint="eastAsia"/>
        </w:rPr>
        <w:lastRenderedPageBreak/>
        <w:t>基金管理人至少每年更新一次。基金终止运作的，基金管理人不再更新基金招募说明书。</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（2）基金合同是界定基金合同当事人的各项权利、义务关系，明确基金份额持有人大会召开的规则及具体程序，说明基金产品的特性等涉及基金投资者重大利益的事项的法律文件。</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（3）托管协议是界定基金托管人和基金管理人在基金财产保管及基金运作监督等活动中的权利、义务关系的法律文件。</w:t>
      </w:r>
    </w:p>
    <w:p w:rsidR="00615F5B" w:rsidRPr="00565E0D" w:rsidRDefault="00615F5B"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2、</w:t>
      </w:r>
      <w:r w:rsidR="00C35BC5" w:rsidRPr="00565E0D">
        <w:rPr>
          <w:rFonts w:asciiTheme="minorEastAsia" w:eastAsiaTheme="minorEastAsia" w:hAnsiTheme="minorEastAsia" w:hint="eastAsia"/>
        </w:rPr>
        <w:t>基金份额发售公告</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基金管理人应当就基金份额发售的具体事宜编制基金份额发售公告，并在披露招募说明书的当日登载于指定报刊和网站上。</w:t>
      </w:r>
    </w:p>
    <w:p w:rsidR="00C35BC5" w:rsidRPr="00565E0D" w:rsidRDefault="00552BE1"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w:t>
      </w:r>
      <w:r w:rsidR="00C35BC5" w:rsidRPr="00565E0D">
        <w:rPr>
          <w:rFonts w:asciiTheme="minorEastAsia" w:eastAsiaTheme="minorEastAsia" w:hAnsiTheme="minorEastAsia" w:hint="eastAsia"/>
        </w:rPr>
        <w:t>基金合同生效公告</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基金管理人应当在本基金合同生效的次日在指定报刊和网站上登载基金合同生效公告。</w:t>
      </w:r>
    </w:p>
    <w:p w:rsidR="00615F5B" w:rsidRPr="00565E0D" w:rsidRDefault="00270A0D"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4、</w:t>
      </w:r>
      <w:r w:rsidR="00615F5B" w:rsidRPr="00565E0D">
        <w:rPr>
          <w:rFonts w:asciiTheme="minorEastAsia" w:eastAsiaTheme="minorEastAsia" w:hAnsiTheme="minorEastAsia" w:hint="eastAsia"/>
        </w:rPr>
        <w:t>基金净值信息</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《基金合同》生效后，在开始办理基金份额申购或者赎回前，基金管理人应当至少每周在指定网站披露一次基金份额净值和基金份额累计净值。</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在开始办理基金份额申购或者赎回后，基金管理人应当在不晚于每个开放日的次日，通过指定网站、基金销售机构网站或者营业网点披露开放日的基金份额净值和基金份额累计净值。</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基金管理人应当在不晚于半年度和年度最后一日的次日，在指定网站披露半年度和年度最后一日的基金份额净值和基金份额累计净值。</w:t>
      </w:r>
    </w:p>
    <w:p w:rsidR="00615F5B" w:rsidRPr="00565E0D" w:rsidRDefault="00270A0D"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5、</w:t>
      </w:r>
      <w:r w:rsidR="00615F5B" w:rsidRPr="00565E0D">
        <w:rPr>
          <w:rFonts w:asciiTheme="minorEastAsia" w:eastAsiaTheme="minorEastAsia" w:hAnsiTheme="minorEastAsia" w:hint="eastAsia"/>
        </w:rPr>
        <w:t>基金份额申购、赎回价格</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615F5B" w:rsidRPr="00565E0D" w:rsidRDefault="00270A0D"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6、</w:t>
      </w:r>
      <w:r w:rsidR="00615F5B" w:rsidRPr="00565E0D">
        <w:rPr>
          <w:rFonts w:asciiTheme="minorEastAsia" w:eastAsiaTheme="minorEastAsia" w:hAnsiTheme="minorEastAsia" w:hint="eastAsia"/>
        </w:rPr>
        <w:t>基金定期报告，包括基金年度报告、基金中期报告和基金季度报告</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基金管理人应当在上半年结束之日起两个月内，编制完成基金中期报告，将中期报告登载在指定网站上，并将中期报告提示性公告登载在指定报刊上。</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lastRenderedPageBreak/>
        <w:t>基金管理人应当在季度结束之日起15个工作日内，编制完成基金季度报告，将季度报告登载在指定网站上，并将季度报告提示性公告登载在指定报刊上。</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《基金合同》生效不足2个月的，基金管理人可以不编制当期季度报告、中期报告或者年度报告。</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基金管理人应当在基金年度报告和中期报告中披露基金组合资产情况及其流动性风险分析等。</w:t>
      </w:r>
    </w:p>
    <w:p w:rsidR="00615F5B" w:rsidRPr="00565E0D" w:rsidRDefault="00270A0D"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7、</w:t>
      </w:r>
      <w:r w:rsidR="00615F5B" w:rsidRPr="00565E0D">
        <w:rPr>
          <w:rFonts w:asciiTheme="minorEastAsia" w:eastAsiaTheme="minorEastAsia" w:hAnsiTheme="minorEastAsia" w:hint="eastAsia"/>
        </w:rPr>
        <w:t>临时报告</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本基金发生重大事件，有关信息披露义务人应当在2日内编制临时报告书，并登载在指定报刊和指定网站上。</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前款所称重大事件，是指可能对基金份额持有人权益或者基金份额的价格产生重大影响的下列事件：</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基金份额持有人大会的召开及决定的事项；</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基金合同终止、基金清算；</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转换基金运作方式、基金合并；</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更换基金管理人、基金托管人、基金份额登记机构，基金改聘会计师事务所；</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基金管理人委托基金服务机构代为办理基金的份额登记、核算、估值等事项，基金托管人委托基金服务机构代为办理基金的核算、估值、复核等事项；</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基金管理人、基金托管人的法定名称、住所发生变更；</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基金管理公司变更持有百分之五以上股权的股东、基金管理人的实际控制人变更；</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基金募集期延长或提前结束募集；</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基金管理人的高级管理人员、基金经理和基金托管人专门基金托管部门负责人发生变动；</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基金管理人的董事在最近</w:t>
      </w:r>
      <w:r w:rsidRPr="00565E0D">
        <w:rPr>
          <w:rFonts w:asciiTheme="minorEastAsia" w:eastAsiaTheme="minorEastAsia" w:hAnsiTheme="minorEastAsia"/>
        </w:rPr>
        <w:t>12</w:t>
      </w:r>
      <w:r w:rsidRPr="00565E0D">
        <w:rPr>
          <w:rFonts w:asciiTheme="minorEastAsia" w:eastAsiaTheme="minorEastAsia" w:hAnsiTheme="minorEastAsia" w:hint="eastAsia"/>
        </w:rPr>
        <w:t>个月内变更超过百分之五十，基金管理人、基金托管人专门基金托管部门的主要业务人员在最近</w:t>
      </w:r>
      <w:r w:rsidRPr="00565E0D">
        <w:rPr>
          <w:rFonts w:asciiTheme="minorEastAsia" w:eastAsiaTheme="minorEastAsia" w:hAnsiTheme="minorEastAsia"/>
        </w:rPr>
        <w:t>12</w:t>
      </w:r>
      <w:r w:rsidRPr="00565E0D">
        <w:rPr>
          <w:rFonts w:asciiTheme="minorEastAsia" w:eastAsiaTheme="minorEastAsia" w:hAnsiTheme="minorEastAsia" w:hint="eastAsia"/>
        </w:rPr>
        <w:t>个月内变动超过百分之三十；</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涉及基金财产、基金管理业务、基金托管业务的诉讼或仲裁；</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基金管理人或其高级管理人员、基金经理因基金管理业务相关行为受到重大行政处罚、刑事处罚，基金托管人或其专门基金托管部门负责人因基金托管业务相关行为受到重大行政处罚、刑事处罚；</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基金管理人运用基金财产买卖基金管理人、基金托管人及其控股股东、实际控制人或者与其有重大利害关系的公司发行的证券或者承销期内承销的证券，或者从事其他重</w:t>
      </w:r>
      <w:r w:rsidRPr="00565E0D">
        <w:rPr>
          <w:rFonts w:asciiTheme="minorEastAsia" w:eastAsiaTheme="minorEastAsia" w:hAnsiTheme="minorEastAsia" w:hint="eastAsia"/>
        </w:rPr>
        <w:lastRenderedPageBreak/>
        <w:t>大关联交易事项，中国证监会另有规定的情形除外；</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基金收益分配事项；</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管理费、托管费、销售服务费、申购费、赎回费等费用计提标准、计提方式和费率发生变更；</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基金份额净值计价错误达基金份额净值百分之零点五；</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本基金开始办理申购、赎回；</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本基金暂停接受申购、赎回申请或重新接受申购、赎回申请；</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调整基金份额类别的设置；</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基金推出新业务或服务；</w:t>
      </w:r>
    </w:p>
    <w:p w:rsidR="00615F5B" w:rsidRPr="00565E0D" w:rsidRDefault="00615F5B" w:rsidP="005C20C2">
      <w:pPr>
        <w:pStyle w:val="afff3"/>
        <w:numPr>
          <w:ilvl w:val="2"/>
          <w:numId w:val="46"/>
        </w:numPr>
        <w:snapToGrid w:val="0"/>
        <w:spacing w:line="360" w:lineRule="auto"/>
        <w:ind w:left="420" w:firstLineChars="0"/>
        <w:rPr>
          <w:rFonts w:asciiTheme="minorEastAsia" w:eastAsiaTheme="minorEastAsia" w:hAnsiTheme="minorEastAsia"/>
        </w:rPr>
      </w:pPr>
      <w:r w:rsidRPr="00565E0D">
        <w:rPr>
          <w:rFonts w:asciiTheme="minorEastAsia" w:eastAsiaTheme="minorEastAsia" w:hAnsiTheme="minorEastAsia" w:hint="eastAsia"/>
        </w:rPr>
        <w:t>基金信息披露义务人认为可能对基金份额持有人权益或者基金份额的价格产生重大影响的其他事项或中国证监会规定的其他事项。</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（八）澄清公告</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615F5B" w:rsidRPr="00565E0D" w:rsidRDefault="00615F5B" w:rsidP="00615F5B">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（九）清算报告</w:t>
      </w:r>
    </w:p>
    <w:p w:rsidR="00C35BC5" w:rsidRPr="00565E0D" w:rsidRDefault="00615F5B"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基金合同终止的，基金管理人应当依法组织基金财产清算小组对基金财产进行清算并作出清算报告。基金财产清算小组应当将清算报告登载在指定网站上，并将清算报告提示性公告登载在指定报刊上。</w:t>
      </w:r>
    </w:p>
    <w:p w:rsidR="00C35BC5" w:rsidRPr="00565E0D" w:rsidRDefault="00615F5B"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10</w:t>
      </w:r>
      <w:r w:rsidR="00552BE1" w:rsidRPr="00565E0D">
        <w:rPr>
          <w:rFonts w:asciiTheme="minorEastAsia" w:eastAsiaTheme="minorEastAsia" w:hAnsiTheme="minorEastAsia" w:hint="eastAsia"/>
        </w:rPr>
        <w:t>、</w:t>
      </w:r>
      <w:r w:rsidR="00C35BC5" w:rsidRPr="00565E0D">
        <w:rPr>
          <w:rFonts w:asciiTheme="minorEastAsia" w:eastAsiaTheme="minorEastAsia" w:hAnsiTheme="minorEastAsia" w:hint="eastAsia"/>
        </w:rPr>
        <w:t>基金份额持有人大会决议</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基金份额持有人大会决定的事项，应当依法报中国证监会核准或者备案，并予以公告。召开基金份额持有人大会的，召集人应当至少提前4</w:t>
      </w:r>
      <w:r w:rsidRPr="00565E0D">
        <w:rPr>
          <w:rFonts w:asciiTheme="minorEastAsia" w:eastAsiaTheme="minorEastAsia" w:hAnsiTheme="minorEastAsia"/>
        </w:rPr>
        <w:t>0</w:t>
      </w:r>
      <w:r w:rsidRPr="00565E0D">
        <w:rPr>
          <w:rFonts w:asciiTheme="minorEastAsia" w:eastAsiaTheme="minorEastAsia" w:hAnsiTheme="minorEastAsia" w:hint="eastAsia"/>
        </w:rPr>
        <w:t>日公告基金份额持有人大会的召开时间、会议形式、审议事项、议事程序和表决方式等事项。</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基金份额持有人依法自行召集基金份额持有人大会，本基金管理人、本基金托管人对基金份额持有人大会决定的事项不依法履行信息披露义务的，召集人应当履行相关信息披露义务。</w:t>
      </w:r>
    </w:p>
    <w:p w:rsidR="00C35BC5" w:rsidRPr="00565E0D" w:rsidRDefault="00615F5B"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1</w:t>
      </w:r>
      <w:r w:rsidRPr="00565E0D">
        <w:rPr>
          <w:rFonts w:asciiTheme="minorEastAsia" w:eastAsiaTheme="minorEastAsia" w:hAnsiTheme="minorEastAsia"/>
        </w:rPr>
        <w:t>1</w:t>
      </w:r>
      <w:r w:rsidR="00552BE1" w:rsidRPr="00565E0D">
        <w:rPr>
          <w:rFonts w:asciiTheme="minorEastAsia" w:eastAsiaTheme="minorEastAsia" w:hAnsiTheme="minorEastAsia" w:hint="eastAsia"/>
        </w:rPr>
        <w:t>、</w:t>
      </w:r>
      <w:r w:rsidR="00C35BC5" w:rsidRPr="00565E0D">
        <w:rPr>
          <w:rFonts w:asciiTheme="minorEastAsia" w:eastAsiaTheme="minorEastAsia" w:hAnsiTheme="minorEastAsia" w:hint="eastAsia"/>
        </w:rPr>
        <w:t>中国证监会规定的其他信息。</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（六）信息披露事务管理</w:t>
      </w:r>
    </w:p>
    <w:p w:rsidR="00AE597E" w:rsidRPr="00565E0D" w:rsidRDefault="00AE597E" w:rsidP="00AE597E">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基金管理人、基金托管人应当建立健全信息披露管理制度，指定专门部门及高级管理人员负责管理信息披露事务。</w:t>
      </w:r>
    </w:p>
    <w:p w:rsidR="00AE597E" w:rsidRPr="00565E0D" w:rsidRDefault="00AE597E" w:rsidP="00AE597E">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基金信息披露义务人公开披露基金信息，应当符合中国证监会相关基金信息披露内容与格式准则等法规的规定。</w:t>
      </w:r>
    </w:p>
    <w:p w:rsidR="00AE597E" w:rsidRPr="00565E0D" w:rsidRDefault="00AE597E" w:rsidP="00AE597E">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基金托管人应当按照相关法律法规、中国证监会的规定和《基金合同》的约定，对基金管理人编制的基金资产净值、基金份额净值、基金份额申购赎回价格、基金定期报告、更新</w:t>
      </w:r>
      <w:r w:rsidRPr="00565E0D">
        <w:rPr>
          <w:rFonts w:asciiTheme="minorEastAsia" w:eastAsiaTheme="minorEastAsia" w:hAnsiTheme="minorEastAsia" w:hint="eastAsia"/>
        </w:rPr>
        <w:lastRenderedPageBreak/>
        <w:t>的招募说明书、基金产品资料概要、基金清算报告等公开披露的相关基金信息进行复核、审查，并向基金管理人进行书面或电子确认。</w:t>
      </w:r>
    </w:p>
    <w:p w:rsidR="00AE597E" w:rsidRPr="00565E0D" w:rsidRDefault="00AE597E" w:rsidP="00AE597E">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AE597E" w:rsidRPr="00565E0D" w:rsidRDefault="00AE597E" w:rsidP="00AE597E">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C35BC5" w:rsidRPr="00565E0D" w:rsidRDefault="00AE597E"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（七）信息披露文件的存放与查阅</w:t>
      </w:r>
    </w:p>
    <w:p w:rsidR="00C35BC5" w:rsidRPr="00565E0D" w:rsidRDefault="00AE597E"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依法必须披露的信息发布后，基金管理人、基金托管人应当按照相关法律法规规定将信息置备于公司办公场所，供社会公众查阅、复制。</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rPr>
      </w:pPr>
      <w:bookmarkStart w:id="435" w:name="_Toc38551242"/>
      <w:r w:rsidRPr="00565E0D">
        <w:rPr>
          <w:rFonts w:asciiTheme="minorEastAsia" w:eastAsiaTheme="minorEastAsia" w:hAnsiTheme="minorEastAsia" w:hint="eastAsia"/>
          <w:b/>
          <w:bCs/>
        </w:rPr>
        <w:lastRenderedPageBreak/>
        <w:t>十九、风险揭示</w:t>
      </w:r>
      <w:bookmarkEnd w:id="435"/>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436" w:name="_Toc38551243"/>
      <w:r w:rsidRPr="00565E0D">
        <w:rPr>
          <w:rFonts w:asciiTheme="minorEastAsia" w:eastAsiaTheme="minorEastAsia" w:hAnsiTheme="minorEastAsia" w:hint="eastAsia"/>
          <w:b w:val="0"/>
        </w:rPr>
        <w:t>（一）市场风险</w:t>
      </w:r>
      <w:bookmarkEnd w:id="436"/>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本</w:t>
      </w:r>
      <w:r w:rsidRPr="00565E0D">
        <w:rPr>
          <w:rFonts w:asciiTheme="minorEastAsia" w:eastAsiaTheme="minorEastAsia" w:hAnsiTheme="minorEastAsia"/>
        </w:rPr>
        <w:t>基金主要投资于证券市场，而证券市场价格因受到经济因素、政治因素、投资者心理和交易制度等各种因素的影响而产生波动，从而导致基金收益水平发生变化，产生风险。主要的风险因素包括：</w:t>
      </w:r>
    </w:p>
    <w:p w:rsidR="00C35BC5" w:rsidRPr="00565E0D" w:rsidRDefault="00C35BC5" w:rsidP="00552BE1">
      <w:pPr>
        <w:numPr>
          <w:ilvl w:val="0"/>
          <w:numId w:val="13"/>
        </w:numPr>
        <w:tabs>
          <w:tab w:val="clear" w:pos="1065"/>
          <w:tab w:val="num" w:pos="420"/>
          <w:tab w:val="num" w:pos="840"/>
        </w:tabs>
        <w:snapToGrid w:val="0"/>
        <w:spacing w:line="360" w:lineRule="auto"/>
        <w:ind w:left="840" w:hanging="420"/>
        <w:rPr>
          <w:rFonts w:asciiTheme="minorEastAsia" w:eastAsiaTheme="minorEastAsia" w:hAnsiTheme="minorEastAsia"/>
        </w:rPr>
      </w:pPr>
      <w:r w:rsidRPr="00565E0D">
        <w:rPr>
          <w:rFonts w:asciiTheme="minorEastAsia" w:eastAsiaTheme="minorEastAsia" w:hAnsiTheme="minorEastAsia"/>
        </w:rPr>
        <w:t>政策风险</w:t>
      </w:r>
    </w:p>
    <w:p w:rsidR="00C35BC5" w:rsidRPr="00565E0D" w:rsidRDefault="00C35BC5" w:rsidP="00552BE1">
      <w:pPr>
        <w:snapToGrid w:val="0"/>
        <w:spacing w:line="360" w:lineRule="auto"/>
        <w:ind w:leftChars="200" w:left="420" w:firstLineChars="200" w:firstLine="420"/>
        <w:rPr>
          <w:rFonts w:asciiTheme="minorEastAsia" w:eastAsiaTheme="minorEastAsia" w:hAnsiTheme="minorEastAsia"/>
        </w:rPr>
      </w:pPr>
      <w:r w:rsidRPr="00565E0D">
        <w:rPr>
          <w:rFonts w:asciiTheme="minorEastAsia" w:eastAsiaTheme="minorEastAsia" w:hAnsiTheme="minorEastAsia"/>
        </w:rPr>
        <w:t>因财政政策、货币政策、产业政策、地区发展政策等国家宏观政策发生变化，导致市场价格波动，影响基金收益而产生风险。</w:t>
      </w:r>
    </w:p>
    <w:p w:rsidR="00C35BC5" w:rsidRPr="00565E0D" w:rsidRDefault="00C35BC5" w:rsidP="00552BE1">
      <w:pPr>
        <w:numPr>
          <w:ilvl w:val="0"/>
          <w:numId w:val="13"/>
        </w:numPr>
        <w:tabs>
          <w:tab w:val="clear" w:pos="1065"/>
          <w:tab w:val="num" w:pos="420"/>
          <w:tab w:val="num" w:pos="840"/>
        </w:tabs>
        <w:snapToGrid w:val="0"/>
        <w:spacing w:line="360" w:lineRule="auto"/>
        <w:ind w:left="840" w:hanging="420"/>
        <w:rPr>
          <w:rFonts w:asciiTheme="minorEastAsia" w:eastAsiaTheme="minorEastAsia" w:hAnsiTheme="minorEastAsia"/>
        </w:rPr>
      </w:pPr>
      <w:r w:rsidRPr="00565E0D">
        <w:rPr>
          <w:rFonts w:asciiTheme="minorEastAsia" w:eastAsiaTheme="minorEastAsia" w:hAnsiTheme="minorEastAsia"/>
        </w:rPr>
        <w:t>经济周期风险</w:t>
      </w:r>
    </w:p>
    <w:p w:rsidR="00C35BC5" w:rsidRPr="00565E0D" w:rsidRDefault="00C35BC5" w:rsidP="00552BE1">
      <w:pPr>
        <w:snapToGrid w:val="0"/>
        <w:spacing w:line="360" w:lineRule="auto"/>
        <w:ind w:leftChars="200" w:left="420" w:firstLineChars="200" w:firstLine="420"/>
        <w:rPr>
          <w:rFonts w:asciiTheme="minorEastAsia" w:eastAsiaTheme="minorEastAsia" w:hAnsiTheme="minorEastAsia"/>
        </w:rPr>
      </w:pPr>
      <w:r w:rsidRPr="00565E0D">
        <w:rPr>
          <w:rFonts w:asciiTheme="minorEastAsia" w:eastAsiaTheme="minorEastAsia" w:hAnsiTheme="minorEastAsia"/>
        </w:rPr>
        <w:t>随着经济运行的周期性变化，证券市场的收益水平也呈周期性变化，基金投资的收益水平也会随之变化，从而产生风险。</w:t>
      </w:r>
    </w:p>
    <w:p w:rsidR="00C35BC5" w:rsidRPr="00565E0D" w:rsidRDefault="00C35BC5" w:rsidP="00552BE1">
      <w:pPr>
        <w:numPr>
          <w:ilvl w:val="0"/>
          <w:numId w:val="13"/>
        </w:numPr>
        <w:tabs>
          <w:tab w:val="clear" w:pos="1065"/>
          <w:tab w:val="num" w:pos="420"/>
          <w:tab w:val="num" w:pos="840"/>
        </w:tabs>
        <w:snapToGrid w:val="0"/>
        <w:spacing w:line="360" w:lineRule="auto"/>
        <w:ind w:left="840" w:hanging="420"/>
        <w:rPr>
          <w:rFonts w:asciiTheme="minorEastAsia" w:eastAsiaTheme="minorEastAsia" w:hAnsiTheme="minorEastAsia"/>
        </w:rPr>
      </w:pPr>
      <w:r w:rsidRPr="00565E0D">
        <w:rPr>
          <w:rFonts w:asciiTheme="minorEastAsia" w:eastAsiaTheme="minorEastAsia" w:hAnsiTheme="minorEastAsia"/>
        </w:rPr>
        <w:t>利率风险</w:t>
      </w:r>
    </w:p>
    <w:p w:rsidR="00C35BC5" w:rsidRPr="00565E0D" w:rsidRDefault="00C35BC5" w:rsidP="00552BE1">
      <w:pPr>
        <w:snapToGrid w:val="0"/>
        <w:spacing w:line="360" w:lineRule="auto"/>
        <w:ind w:leftChars="200" w:left="420" w:firstLineChars="200" w:firstLine="420"/>
        <w:rPr>
          <w:rFonts w:asciiTheme="minorEastAsia" w:eastAsiaTheme="minorEastAsia" w:hAnsiTheme="minorEastAsia"/>
        </w:rPr>
      </w:pPr>
      <w:r w:rsidRPr="00565E0D">
        <w:rPr>
          <w:rFonts w:asciiTheme="minorEastAsia" w:eastAsiaTheme="minorEastAsia" w:hAnsiTheme="minorEastAsia"/>
        </w:rPr>
        <w:t>金融市场利率的波动会导致证券市场价格和收益率的变动。利率直接影响着债券的价格和收益率，影响着企业的融资成本和利润。基金投资于债券和股票，其收益水平可能会受到利率变化的影响。</w:t>
      </w:r>
    </w:p>
    <w:p w:rsidR="00C35BC5" w:rsidRPr="00565E0D" w:rsidRDefault="00C35BC5" w:rsidP="00552BE1">
      <w:pPr>
        <w:numPr>
          <w:ilvl w:val="0"/>
          <w:numId w:val="13"/>
        </w:numPr>
        <w:tabs>
          <w:tab w:val="clear" w:pos="1065"/>
          <w:tab w:val="num" w:pos="420"/>
          <w:tab w:val="num" w:pos="840"/>
        </w:tabs>
        <w:snapToGrid w:val="0"/>
        <w:spacing w:line="360" w:lineRule="auto"/>
        <w:ind w:left="840" w:hanging="420"/>
        <w:rPr>
          <w:rFonts w:asciiTheme="minorEastAsia" w:eastAsiaTheme="minorEastAsia" w:hAnsiTheme="minorEastAsia"/>
        </w:rPr>
      </w:pPr>
      <w:r w:rsidRPr="00565E0D">
        <w:rPr>
          <w:rFonts w:asciiTheme="minorEastAsia" w:eastAsiaTheme="minorEastAsia" w:hAnsiTheme="minorEastAsia"/>
        </w:rPr>
        <w:t>上市公司经营风险</w:t>
      </w:r>
    </w:p>
    <w:p w:rsidR="00C35BC5" w:rsidRPr="00565E0D" w:rsidRDefault="00C35BC5" w:rsidP="00552BE1">
      <w:pPr>
        <w:snapToGrid w:val="0"/>
        <w:spacing w:line="360" w:lineRule="auto"/>
        <w:ind w:leftChars="200" w:left="420" w:firstLineChars="200" w:firstLine="420"/>
        <w:rPr>
          <w:rFonts w:asciiTheme="minorEastAsia" w:eastAsiaTheme="minorEastAsia" w:hAnsiTheme="minorEastAsia"/>
        </w:rPr>
      </w:pPr>
      <w:r w:rsidRPr="00565E0D">
        <w:rPr>
          <w:rFonts w:asciiTheme="minorEastAsia" w:eastAsiaTheme="minorEastAsia" w:hAnsiTheme="minorEastAsia"/>
        </w:rPr>
        <w:t>上市公司的经营状况受多种因素的影响，如管理能力、行业竞争、市场前景、技术更新、新产品研究开发等都会导致公司盈利发生变化。如果基金所投资的上市公司经营不善，其股票价格可能下跌，或者能够用于分配的利润减少，使基金投资收益下降。虽然基金可以通过投资多样化来分散这种非系统风险，但不能完全避免。</w:t>
      </w:r>
    </w:p>
    <w:p w:rsidR="00C35BC5" w:rsidRPr="00565E0D" w:rsidRDefault="00C35BC5" w:rsidP="00552BE1">
      <w:pPr>
        <w:numPr>
          <w:ilvl w:val="0"/>
          <w:numId w:val="13"/>
        </w:numPr>
        <w:tabs>
          <w:tab w:val="clear" w:pos="1065"/>
          <w:tab w:val="num" w:pos="420"/>
          <w:tab w:val="num" w:pos="840"/>
        </w:tabs>
        <w:snapToGrid w:val="0"/>
        <w:spacing w:line="360" w:lineRule="auto"/>
        <w:ind w:left="840" w:hanging="420"/>
        <w:rPr>
          <w:rFonts w:asciiTheme="minorEastAsia" w:eastAsiaTheme="minorEastAsia" w:hAnsiTheme="minorEastAsia"/>
        </w:rPr>
      </w:pPr>
      <w:r w:rsidRPr="00565E0D">
        <w:rPr>
          <w:rFonts w:asciiTheme="minorEastAsia" w:eastAsiaTheme="minorEastAsia" w:hAnsiTheme="minorEastAsia"/>
        </w:rPr>
        <w:t>购买力风险</w:t>
      </w:r>
    </w:p>
    <w:p w:rsidR="00C35BC5" w:rsidRPr="00565E0D" w:rsidRDefault="00C35BC5" w:rsidP="00552BE1">
      <w:pPr>
        <w:snapToGrid w:val="0"/>
        <w:spacing w:line="360" w:lineRule="auto"/>
        <w:ind w:leftChars="200" w:left="420" w:firstLineChars="200" w:firstLine="420"/>
        <w:rPr>
          <w:rFonts w:asciiTheme="minorEastAsia" w:eastAsiaTheme="minorEastAsia" w:hAnsiTheme="minorEastAsia"/>
        </w:rPr>
      </w:pPr>
      <w:r w:rsidRPr="00565E0D">
        <w:rPr>
          <w:rFonts w:asciiTheme="minorEastAsia" w:eastAsiaTheme="minorEastAsia" w:hAnsiTheme="minorEastAsia"/>
        </w:rPr>
        <w:t>基金</w:t>
      </w:r>
      <w:r w:rsidRPr="00565E0D">
        <w:rPr>
          <w:rFonts w:asciiTheme="minorEastAsia" w:eastAsiaTheme="minorEastAsia" w:hAnsiTheme="minorEastAsia" w:hint="eastAsia"/>
        </w:rPr>
        <w:t>份额</w:t>
      </w:r>
      <w:r w:rsidRPr="00565E0D">
        <w:rPr>
          <w:rFonts w:asciiTheme="minorEastAsia" w:eastAsiaTheme="minorEastAsia" w:hAnsiTheme="minorEastAsia"/>
        </w:rPr>
        <w:t>持有人收益将主要通过现金形式来分配，而现金可能因为通货膨胀因素而使其购买力下降,从而使基金的实际收益下降。</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437" w:name="_Toc38551244"/>
      <w:r w:rsidRPr="00565E0D">
        <w:rPr>
          <w:rFonts w:asciiTheme="minorEastAsia" w:eastAsiaTheme="minorEastAsia" w:hAnsiTheme="minorEastAsia"/>
          <w:b w:val="0"/>
        </w:rPr>
        <w:t>（</w:t>
      </w:r>
      <w:r w:rsidRPr="00565E0D">
        <w:rPr>
          <w:rFonts w:asciiTheme="minorEastAsia" w:eastAsiaTheme="minorEastAsia" w:hAnsiTheme="minorEastAsia" w:hint="eastAsia"/>
          <w:b w:val="0"/>
        </w:rPr>
        <w:t>二</w:t>
      </w:r>
      <w:r w:rsidRPr="00565E0D">
        <w:rPr>
          <w:rFonts w:asciiTheme="minorEastAsia" w:eastAsiaTheme="minorEastAsia" w:hAnsiTheme="minorEastAsia"/>
          <w:b w:val="0"/>
        </w:rPr>
        <w:t>）管理风险</w:t>
      </w:r>
      <w:bookmarkEnd w:id="437"/>
    </w:p>
    <w:p w:rsidR="00C35BC5" w:rsidRPr="00565E0D" w:rsidRDefault="00C35BC5" w:rsidP="00552BE1">
      <w:pPr>
        <w:numPr>
          <w:ilvl w:val="0"/>
          <w:numId w:val="11"/>
        </w:numPr>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rPr>
        <w:t>在基金管理运作过程中，基金管理人的知识、经验、判断、决策、技能等，会影响其对信息的占有以及对经济形势、证券价格走势的判断，从而影响基金收益水平；</w:t>
      </w:r>
    </w:p>
    <w:p w:rsidR="00C35BC5" w:rsidRPr="00565E0D" w:rsidRDefault="00C35BC5" w:rsidP="00552BE1">
      <w:pPr>
        <w:numPr>
          <w:ilvl w:val="0"/>
          <w:numId w:val="11"/>
        </w:numPr>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rPr>
        <w:t>基金管理人和基金托管人的管理手段和管理技术等因素的变化也会影响基金收益水平。</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438" w:name="_Toc38551245"/>
      <w:r w:rsidRPr="00565E0D">
        <w:rPr>
          <w:rFonts w:asciiTheme="minorEastAsia" w:eastAsiaTheme="minorEastAsia" w:hAnsiTheme="minorEastAsia"/>
          <w:b w:val="0"/>
        </w:rPr>
        <w:t>（</w:t>
      </w:r>
      <w:r w:rsidRPr="00565E0D">
        <w:rPr>
          <w:rFonts w:asciiTheme="minorEastAsia" w:eastAsiaTheme="minorEastAsia" w:hAnsiTheme="minorEastAsia" w:hint="eastAsia"/>
          <w:b w:val="0"/>
        </w:rPr>
        <w:t>三</w:t>
      </w:r>
      <w:r w:rsidRPr="00565E0D">
        <w:rPr>
          <w:rFonts w:asciiTheme="minorEastAsia" w:eastAsiaTheme="minorEastAsia" w:hAnsiTheme="minorEastAsia"/>
          <w:b w:val="0"/>
        </w:rPr>
        <w:t>）流动性风险</w:t>
      </w:r>
      <w:bookmarkEnd w:id="438"/>
    </w:p>
    <w:p w:rsidR="000E5ECA" w:rsidRPr="00565E0D" w:rsidRDefault="000E5ECA" w:rsidP="000E5ECA">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1.流动性风险评估</w:t>
      </w:r>
    </w:p>
    <w:p w:rsidR="000E5ECA" w:rsidRPr="00565E0D" w:rsidRDefault="000E5ECA" w:rsidP="000E5ECA">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本基金为混合型基金，可</w:t>
      </w:r>
      <w:r w:rsidRPr="00565E0D">
        <w:rPr>
          <w:rFonts w:asciiTheme="minorEastAsia" w:eastAsiaTheme="minorEastAsia" w:hAnsiTheme="minorEastAsia"/>
        </w:rPr>
        <w:t>投资于</w:t>
      </w:r>
      <w:r w:rsidR="00CC3AD2" w:rsidRPr="00565E0D">
        <w:rPr>
          <w:rFonts w:asciiTheme="minorEastAsia" w:eastAsiaTheme="minorEastAsia" w:hAnsiTheme="minorEastAsia" w:hint="eastAsia"/>
          <w:szCs w:val="21"/>
        </w:rPr>
        <w:t>国内依法发行上市的股票、债券、现金、短期金融工具、权证</w:t>
      </w:r>
      <w:r w:rsidRPr="00565E0D">
        <w:rPr>
          <w:rFonts w:asciiTheme="minorEastAsia" w:eastAsiaTheme="minorEastAsia" w:hAnsiTheme="minorEastAsia" w:hint="eastAsia"/>
        </w:rPr>
        <w:t>，一般情况下，这些资产市场流动性较好，但不排除在特定阶段、特定市场环境下特定</w:t>
      </w:r>
      <w:r w:rsidRPr="00565E0D">
        <w:rPr>
          <w:rFonts w:asciiTheme="minorEastAsia" w:eastAsiaTheme="minorEastAsia" w:hAnsiTheme="minorEastAsia" w:hint="eastAsia"/>
        </w:rPr>
        <w:lastRenderedPageBreak/>
        <w:t>投资标的出现流动性较差的情况。因此，本基金投资于上述资产时，可能存在以下流动性风险：一是基金管理人建仓或进行组合调整时，可能由于特定投资标的流动性相对不足而无法按预期的价格买进或卖出；二是为应付投资者的赎回，基金被迫以不适当的价格卖出股票、债券或其他资产。两者均可能使基金净值受到不利影响。</w:t>
      </w:r>
    </w:p>
    <w:p w:rsidR="000E5ECA" w:rsidRPr="00565E0D" w:rsidRDefault="000E5ECA" w:rsidP="000E5ECA">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2.巨额赎回情形下的流动性风险管理措施</w:t>
      </w:r>
    </w:p>
    <w:p w:rsidR="000E5ECA" w:rsidRPr="00565E0D" w:rsidRDefault="000E5ECA" w:rsidP="000E5ECA">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当本基金出现巨额赎回时，基金管理人可以根据基金当时的资产组合状况决定全额赎回或部分延期赎回；此外，如</w:t>
      </w:r>
      <w:r w:rsidR="00CC3AD2" w:rsidRPr="00565E0D">
        <w:rPr>
          <w:rFonts w:asciiTheme="minorEastAsia" w:eastAsiaTheme="minorEastAsia" w:hAnsiTheme="minorEastAsia" w:hint="eastAsia"/>
        </w:rPr>
        <w:t>本基金连续2个开放日以上发生巨额赎回，如基金管理人认为有必要，可暂停接受赎回申请；已经接受的赎回申请可以延缓支付赎回款项，但不得超过正常支付时间20个工作日</w:t>
      </w:r>
      <w:r w:rsidRPr="00565E0D">
        <w:rPr>
          <w:rFonts w:asciiTheme="minorEastAsia" w:eastAsiaTheme="minorEastAsia" w:hAnsiTheme="minorEastAsia" w:hint="eastAsia"/>
        </w:rPr>
        <w:t>。当</w:t>
      </w:r>
      <w:r w:rsidR="00CC3AD2" w:rsidRPr="00565E0D">
        <w:rPr>
          <w:rFonts w:asciiTheme="minorEastAsia" w:eastAsiaTheme="minorEastAsia" w:hAnsiTheme="minorEastAsia" w:hint="eastAsia"/>
        </w:rPr>
        <w:t>本基金发生巨额赎回且单个基金份额持有人的赎回申请超过上一开放日基金总份额10%的，基金管理人有权对该单个基金份额持有人超出该比例的赎回申请实施延期办理</w:t>
      </w:r>
      <w:r w:rsidRPr="00565E0D">
        <w:rPr>
          <w:rFonts w:asciiTheme="minorEastAsia" w:eastAsiaTheme="minorEastAsia" w:hAnsiTheme="minorEastAsia" w:hint="eastAsia"/>
        </w:rPr>
        <w:t>。具体情形、程序见招募说明书“</w:t>
      </w:r>
      <w:r w:rsidR="00CC3AD2" w:rsidRPr="00565E0D">
        <w:rPr>
          <w:rFonts w:asciiTheme="minorEastAsia" w:eastAsiaTheme="minorEastAsia" w:hAnsiTheme="minorEastAsia" w:hint="eastAsia"/>
        </w:rPr>
        <w:t>八</w:t>
      </w:r>
      <w:r w:rsidRPr="00565E0D">
        <w:rPr>
          <w:rFonts w:asciiTheme="minorEastAsia" w:eastAsiaTheme="minorEastAsia" w:hAnsiTheme="minorEastAsia" w:hint="eastAsia"/>
        </w:rPr>
        <w:t>、基金份额的申购、赎回”“（</w:t>
      </w:r>
      <w:r w:rsidR="00CC3AD2" w:rsidRPr="00565E0D">
        <w:rPr>
          <w:rFonts w:asciiTheme="minorEastAsia" w:eastAsiaTheme="minorEastAsia" w:hAnsiTheme="minorEastAsia" w:hint="eastAsia"/>
        </w:rPr>
        <w:t>十</w:t>
      </w:r>
      <w:r w:rsidRPr="00565E0D">
        <w:rPr>
          <w:rFonts w:asciiTheme="minorEastAsia" w:eastAsiaTheme="minorEastAsia" w:hAnsiTheme="minorEastAsia" w:hint="eastAsia"/>
        </w:rPr>
        <w:t>）</w:t>
      </w:r>
      <w:r w:rsidR="00CC3AD2" w:rsidRPr="00565E0D">
        <w:rPr>
          <w:rFonts w:asciiTheme="minorEastAsia" w:eastAsiaTheme="minorEastAsia" w:hAnsiTheme="minorEastAsia" w:hint="eastAsia"/>
        </w:rPr>
        <w:t>巨额赎回的认定及处理方式</w:t>
      </w:r>
      <w:r w:rsidRPr="00565E0D">
        <w:rPr>
          <w:rFonts w:asciiTheme="minorEastAsia" w:eastAsiaTheme="minorEastAsia" w:hAnsiTheme="minorEastAsia" w:hint="eastAsia"/>
        </w:rPr>
        <w:t>。”</w:t>
      </w:r>
    </w:p>
    <w:p w:rsidR="000E5ECA" w:rsidRPr="00565E0D" w:rsidRDefault="000E5ECA" w:rsidP="000E5ECA">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发生上述情形时，投资人面临无法全部赎回或无法及时获得赎回资金的风险。在本基金暂停或延期办理投资者赎回申请的情况下，投资者未能赎回的基金份额还将面临净值波动的风险。</w:t>
      </w:r>
    </w:p>
    <w:p w:rsidR="000E5ECA" w:rsidRPr="00565E0D" w:rsidRDefault="000E5ECA" w:rsidP="000E5ECA">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3.除巨额赎回情形外实施备用的流动性风险管理工具的情形、程序及对投资者的潜在影响</w:t>
      </w:r>
    </w:p>
    <w:p w:rsidR="000E5ECA" w:rsidRPr="00565E0D" w:rsidRDefault="000E5ECA" w:rsidP="000E5ECA">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除巨额赎回情形外，本基金备用流动性风险管理工具包括但不限于暂停接受赎回申请、延缓支付赎回款项、收取短期赎回费、暂停基金估值以及证监会认定的其他措施。</w:t>
      </w:r>
    </w:p>
    <w:p w:rsidR="000E5ECA" w:rsidRPr="00565E0D" w:rsidRDefault="000E5ECA" w:rsidP="000E5ECA">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暂停接受赎回申请、延缓支付赎回款项等工具的情形、程序见招募说明书“九、基金份额的申购、赎回”之“（十</w:t>
      </w:r>
      <w:r w:rsidR="00CC3AD2" w:rsidRPr="00565E0D">
        <w:rPr>
          <w:rFonts w:asciiTheme="minorEastAsia" w:eastAsiaTheme="minorEastAsia" w:hAnsiTheme="minorEastAsia" w:hint="eastAsia"/>
        </w:rPr>
        <w:t>一</w:t>
      </w:r>
      <w:r w:rsidRPr="00565E0D">
        <w:rPr>
          <w:rFonts w:asciiTheme="minorEastAsia" w:eastAsiaTheme="minorEastAsia" w:hAnsiTheme="minorEastAsia" w:hint="eastAsia"/>
        </w:rPr>
        <w:t>）</w:t>
      </w:r>
      <w:r w:rsidR="00CC3AD2" w:rsidRPr="00565E0D">
        <w:rPr>
          <w:rFonts w:asciiTheme="minorEastAsia" w:eastAsiaTheme="minorEastAsia" w:hAnsiTheme="minorEastAsia" w:hint="eastAsia"/>
        </w:rPr>
        <w:t>拒绝或暂停申购、赎回的情形及处理方式</w:t>
      </w:r>
      <w:r w:rsidRPr="00565E0D">
        <w:rPr>
          <w:rFonts w:asciiTheme="minorEastAsia" w:eastAsiaTheme="minorEastAsia" w:hAnsiTheme="minorEastAsia" w:hint="eastAsia"/>
        </w:rPr>
        <w:t>”的相关规定。若本基金暂停赎回申请，投资者在暂停赎回期间将无法赎回其持有的基金份额。若本基金延缓支付赎回款项，赎回款支付时间将后延，可能对投资者的资金安排带来不利影响。</w:t>
      </w:r>
    </w:p>
    <w:p w:rsidR="000E5ECA" w:rsidRPr="00565E0D" w:rsidRDefault="000E5ECA" w:rsidP="000E5ECA">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短期赎回费适用于持续持有期少于7日的投资者，费率为1.5%。短期赎回费由赎回基金份额的基金份额持有人承担，在基金份额持有人赎回基金份额时收取，并全额计入基金财产。短期赎回费的收取将使得投资者在持续持有期限少于7日时会承担较高的赎回费。</w:t>
      </w:r>
    </w:p>
    <w:p w:rsidR="00C35BC5" w:rsidRPr="00565E0D" w:rsidRDefault="000E5ECA" w:rsidP="000E5ECA">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暂停基金估值的情形、程序见招募说明书“十</w:t>
      </w:r>
      <w:r w:rsidR="00CC3AD2" w:rsidRPr="00565E0D">
        <w:rPr>
          <w:rFonts w:asciiTheme="minorEastAsia" w:eastAsiaTheme="minorEastAsia" w:hAnsiTheme="minorEastAsia" w:hint="eastAsia"/>
        </w:rPr>
        <w:t>四</w:t>
      </w:r>
      <w:r w:rsidRPr="00565E0D">
        <w:rPr>
          <w:rFonts w:asciiTheme="minorEastAsia" w:eastAsiaTheme="minorEastAsia" w:hAnsiTheme="minorEastAsia" w:hint="eastAsia"/>
        </w:rPr>
        <w:t>、基金资产估值”之“（六）</w:t>
      </w:r>
      <w:r w:rsidR="00CC3AD2" w:rsidRPr="00565E0D">
        <w:rPr>
          <w:rFonts w:asciiTheme="minorEastAsia" w:eastAsiaTheme="minorEastAsia" w:hAnsiTheme="minorEastAsia" w:hint="eastAsia"/>
        </w:rPr>
        <w:t>暂停公告净值的情形</w:t>
      </w:r>
      <w:r w:rsidRPr="00565E0D">
        <w:rPr>
          <w:rFonts w:asciiTheme="minorEastAsia" w:eastAsiaTheme="minorEastAsia" w:hAnsiTheme="minorEastAsia" w:hint="eastAsia"/>
        </w:rPr>
        <w:t>”的相关规定。若本基金暂停基金估值，一方面投资者将无法知晓本基金的基金份额净值，另一方面基金将暂停接受申购赎回申请或延缓支付赎回款项，将导致投资者无法申购或赎回本基金，或赎回款支付时间将后延，可能对投资者的资金安排带来不利影响。</w:t>
      </w:r>
    </w:p>
    <w:p w:rsidR="000342D0" w:rsidRPr="00565E0D" w:rsidRDefault="000342D0" w:rsidP="005C20C2">
      <w:pPr>
        <w:pStyle w:val="2"/>
        <w:snapToGrid w:val="0"/>
        <w:spacing w:beforeLines="0" w:afterLines="0" w:line="360" w:lineRule="auto"/>
        <w:ind w:firstLineChars="0" w:firstLine="0"/>
        <w:rPr>
          <w:rFonts w:asciiTheme="minorEastAsia" w:eastAsiaTheme="minorEastAsia" w:hAnsiTheme="minorEastAsia"/>
        </w:rPr>
      </w:pPr>
      <w:bookmarkStart w:id="439" w:name="_Toc38551246"/>
      <w:r w:rsidRPr="00565E0D">
        <w:rPr>
          <w:rFonts w:asciiTheme="minorEastAsia" w:eastAsiaTheme="minorEastAsia" w:hAnsiTheme="minorEastAsia" w:hint="eastAsia"/>
          <w:b w:val="0"/>
        </w:rPr>
        <w:t>（四）本基金法律文件中涉及基金风险特征的表述与销售机构对基金的风险评级可能不一致的风险</w:t>
      </w:r>
      <w:bookmarkEnd w:id="439"/>
    </w:p>
    <w:p w:rsidR="000342D0" w:rsidRPr="00565E0D" w:rsidRDefault="000342D0" w:rsidP="000342D0">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本基金基金合同、招募说明书等法律文件中涉及基金风险收益特征或风险状况的表述仅</w:t>
      </w:r>
      <w:r w:rsidRPr="00565E0D">
        <w:rPr>
          <w:rFonts w:asciiTheme="minorEastAsia" w:eastAsiaTheme="minorEastAsia" w:hAnsiTheme="minorEastAsia" w:hint="eastAsia"/>
        </w:rPr>
        <w:lastRenderedPageBreak/>
        <w:t>为主要基于基金投资方向与策略特点的概括性表述；而本基金各销售机构依据中国证券投资基金业协会发布的《基金募集机构投资者适当性管理实施指引（试行）》及内部评级标准，将基金产品按照风险由低到高顺序进行风险级别评定划分，其风险评级结果所依据的评价要素可能更多、范围更广，与本基金法律文件中的风险收益特征或风险状况表述并不必然一致或存在对应关系。同时，不同销售机构因其采取的具体评价标准和方法的差异，对同一产品风险级别的评定也可能各有不同；销售机构还可能根据监管要求、市场变化及基金实际运作情况等适时调整对本基金的风险评级。敬请投资人知悉，在购买本基金时按照销售机构的要求完成风险承受能力与产品风险之间的匹配检验，并须及时关注销售机构对于本基金风险评级的调整情况，谨慎作出投资决策。</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440" w:name="_Toc38551247"/>
      <w:r w:rsidRPr="00565E0D">
        <w:rPr>
          <w:rFonts w:asciiTheme="minorEastAsia" w:eastAsiaTheme="minorEastAsia" w:hAnsiTheme="minorEastAsia"/>
          <w:b w:val="0"/>
        </w:rPr>
        <w:t>（</w:t>
      </w:r>
      <w:r w:rsidR="000342D0" w:rsidRPr="00565E0D">
        <w:rPr>
          <w:rFonts w:asciiTheme="minorEastAsia" w:eastAsiaTheme="minorEastAsia" w:hAnsiTheme="minorEastAsia" w:hint="eastAsia"/>
          <w:b w:val="0"/>
        </w:rPr>
        <w:t>五</w:t>
      </w:r>
      <w:r w:rsidRPr="00565E0D">
        <w:rPr>
          <w:rFonts w:asciiTheme="minorEastAsia" w:eastAsiaTheme="minorEastAsia" w:hAnsiTheme="minorEastAsia"/>
          <w:b w:val="0"/>
        </w:rPr>
        <w:t>）本基金特有的风险</w:t>
      </w:r>
      <w:bookmarkEnd w:id="440"/>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rPr>
        <w:t>本基金主要投资成长与价值特征突出的股票。本基金特有的风险主要包括：</w:t>
      </w:r>
      <w:r w:rsidR="00447902" w:rsidRPr="00565E0D">
        <w:rPr>
          <w:rFonts w:asciiTheme="minorEastAsia" w:eastAsiaTheme="minorEastAsia" w:hAnsiTheme="minorEastAsia" w:hint="eastAsia"/>
        </w:rPr>
        <w:t>1.</w:t>
      </w:r>
      <w:r w:rsidRPr="00565E0D">
        <w:rPr>
          <w:rFonts w:asciiTheme="minorEastAsia" w:eastAsiaTheme="minorEastAsia" w:hAnsiTheme="minorEastAsia" w:hint="eastAsia"/>
        </w:rPr>
        <w:t>模型风险。本基金使用“易方达成长与价值股评价模型”进行选股，模型中的指标、权重、计算方法的选取不当会影响组合中股票构成与投资业绩。本基金会持续地进行投资模型的研究与改进。</w:t>
      </w:r>
      <w:r w:rsidR="00447902" w:rsidRPr="00565E0D">
        <w:rPr>
          <w:rFonts w:asciiTheme="minorEastAsia" w:eastAsiaTheme="minorEastAsia" w:hAnsiTheme="minorEastAsia" w:hint="eastAsia"/>
        </w:rPr>
        <w:t>2.</w:t>
      </w:r>
      <w:r w:rsidRPr="00565E0D">
        <w:rPr>
          <w:rFonts w:asciiTheme="minorEastAsia" w:eastAsiaTheme="minorEastAsia" w:hAnsiTheme="minorEastAsia" w:hint="eastAsia"/>
        </w:rPr>
        <w:t>股票研究不深入与业绩预测不准确带来的风险。在本基金的选股模型中，使用了预测性的指标，包括当年的净利润增长率、预期中长期净利润增长率、预期市盈率等，如果研究不深入、业绩预测不准确会增加投资风险。</w:t>
      </w:r>
      <w:r w:rsidR="00447902" w:rsidRPr="00565E0D">
        <w:rPr>
          <w:rFonts w:asciiTheme="minorEastAsia" w:eastAsiaTheme="minorEastAsia" w:hAnsiTheme="minorEastAsia" w:hint="eastAsia"/>
        </w:rPr>
        <w:t>3.</w:t>
      </w:r>
      <w:r w:rsidRPr="00565E0D">
        <w:rPr>
          <w:rFonts w:asciiTheme="minorEastAsia" w:eastAsiaTheme="minorEastAsia" w:hAnsiTheme="minorEastAsia" w:hint="eastAsia"/>
        </w:rPr>
        <w:t>行业配置风险。本基金主要以风格因素进行选股，在某段时期，风格特征鲜明的股票可能大多出自少数几个行业，造成本基金的行业风险较高。为避免此风险，本基金会在组合构造过程中，注意行业集中度风险。</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441" w:name="_Toc38551248"/>
      <w:r w:rsidRPr="00565E0D">
        <w:rPr>
          <w:rFonts w:asciiTheme="minorEastAsia" w:eastAsiaTheme="minorEastAsia" w:hAnsiTheme="minorEastAsia"/>
          <w:b w:val="0"/>
        </w:rPr>
        <w:t>（</w:t>
      </w:r>
      <w:r w:rsidR="000342D0" w:rsidRPr="00565E0D">
        <w:rPr>
          <w:rFonts w:asciiTheme="minorEastAsia" w:eastAsiaTheme="minorEastAsia" w:hAnsiTheme="minorEastAsia" w:hint="eastAsia"/>
          <w:b w:val="0"/>
        </w:rPr>
        <w:t>六</w:t>
      </w:r>
      <w:r w:rsidRPr="00565E0D">
        <w:rPr>
          <w:rFonts w:asciiTheme="minorEastAsia" w:eastAsiaTheme="minorEastAsia" w:hAnsiTheme="minorEastAsia"/>
          <w:b w:val="0"/>
        </w:rPr>
        <w:t>）其他风险</w:t>
      </w:r>
      <w:bookmarkEnd w:id="441"/>
    </w:p>
    <w:p w:rsidR="00C35BC5" w:rsidRPr="00565E0D" w:rsidRDefault="00C35BC5" w:rsidP="00552BE1">
      <w:pPr>
        <w:numPr>
          <w:ilvl w:val="0"/>
          <w:numId w:val="12"/>
        </w:numPr>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rPr>
        <w:t>因技术因素而产生的风险，如电脑系统不可靠产生的风险；</w:t>
      </w:r>
    </w:p>
    <w:p w:rsidR="00C35BC5" w:rsidRPr="00565E0D" w:rsidRDefault="00C35BC5" w:rsidP="00552BE1">
      <w:pPr>
        <w:numPr>
          <w:ilvl w:val="0"/>
          <w:numId w:val="12"/>
        </w:numPr>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hint="eastAsia"/>
        </w:rPr>
        <w:t>因战争、自然灾害等不可抗力导致的基金管理人、基金托管人、基金</w:t>
      </w:r>
      <w:r w:rsidR="00146A02" w:rsidRPr="00565E0D">
        <w:rPr>
          <w:rFonts w:asciiTheme="minorEastAsia" w:eastAsiaTheme="minorEastAsia" w:hAnsiTheme="minorEastAsia" w:hint="eastAsia"/>
        </w:rPr>
        <w:t>销售</w:t>
      </w:r>
      <w:r w:rsidRPr="00565E0D">
        <w:rPr>
          <w:rFonts w:asciiTheme="minorEastAsia" w:eastAsiaTheme="minorEastAsia" w:hAnsiTheme="minorEastAsia" w:hint="eastAsia"/>
        </w:rPr>
        <w:t>机构等机构无法正常工作，从而影响基金运作的风险；</w:t>
      </w:r>
    </w:p>
    <w:p w:rsidR="00C35BC5" w:rsidRPr="00565E0D" w:rsidRDefault="00C35BC5" w:rsidP="00552BE1">
      <w:pPr>
        <w:numPr>
          <w:ilvl w:val="0"/>
          <w:numId w:val="12"/>
        </w:numPr>
        <w:snapToGrid w:val="0"/>
        <w:spacing w:line="360" w:lineRule="auto"/>
        <w:ind w:left="0" w:firstLineChars="200" w:firstLine="420"/>
        <w:rPr>
          <w:rFonts w:asciiTheme="minorEastAsia" w:eastAsiaTheme="minorEastAsia" w:hAnsiTheme="minorEastAsia"/>
        </w:rPr>
      </w:pPr>
      <w:r w:rsidRPr="00565E0D">
        <w:rPr>
          <w:rFonts w:asciiTheme="minorEastAsia" w:eastAsiaTheme="minorEastAsia" w:hAnsiTheme="minorEastAsia" w:hint="eastAsia"/>
        </w:rPr>
        <w:t>因金融市场危机、代理商违约、基金托管人违约等超出基金管理人自身控制能力的因素出现，可能导致基金或者基金份额持有人利益受损的风险。</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Cs/>
        </w:rPr>
      </w:pPr>
      <w:bookmarkStart w:id="442" w:name="_Toc38551249"/>
      <w:r w:rsidRPr="00565E0D">
        <w:rPr>
          <w:rFonts w:asciiTheme="minorEastAsia" w:eastAsiaTheme="minorEastAsia" w:hAnsiTheme="minorEastAsia" w:hint="eastAsia"/>
          <w:b/>
          <w:bCs/>
        </w:rPr>
        <w:lastRenderedPageBreak/>
        <w:t>二十、基金合同的终止与基金财产的清算</w:t>
      </w:r>
      <w:bookmarkEnd w:id="442"/>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443" w:name="_Toc97031319"/>
      <w:bookmarkStart w:id="444" w:name="_Toc97107279"/>
      <w:bookmarkStart w:id="445" w:name="_Toc86584659"/>
      <w:bookmarkStart w:id="446" w:name="_Toc38551250"/>
      <w:bookmarkEnd w:id="443"/>
      <w:bookmarkEnd w:id="444"/>
      <w:r w:rsidRPr="00565E0D">
        <w:rPr>
          <w:rFonts w:asciiTheme="minorEastAsia" w:eastAsiaTheme="minorEastAsia" w:hAnsiTheme="minorEastAsia" w:hint="eastAsia"/>
          <w:b w:val="0"/>
        </w:rPr>
        <w:t>（一）基金合同的终止</w:t>
      </w:r>
      <w:bookmarkEnd w:id="445"/>
      <w:bookmarkEnd w:id="446"/>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出现下列情形之一的，经中国证监会核准后基金合同终止：</w:t>
      </w:r>
    </w:p>
    <w:p w:rsidR="00C35BC5" w:rsidRPr="00565E0D" w:rsidRDefault="00552BE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00C35BC5" w:rsidRPr="00565E0D">
        <w:rPr>
          <w:rFonts w:asciiTheme="minorEastAsia" w:eastAsiaTheme="minorEastAsia" w:hAnsiTheme="minorEastAsia" w:hint="eastAsia"/>
          <w:szCs w:val="21"/>
        </w:rPr>
        <w:t>基金份额持有人</w:t>
      </w:r>
      <w:r w:rsidR="00C35BC5" w:rsidRPr="00565E0D">
        <w:rPr>
          <w:rFonts w:asciiTheme="minorEastAsia" w:eastAsiaTheme="minorEastAsia" w:hAnsiTheme="minorEastAsia" w:hint="eastAsia"/>
        </w:rPr>
        <w:t>大会</w:t>
      </w:r>
      <w:r w:rsidR="00C35BC5" w:rsidRPr="00565E0D">
        <w:rPr>
          <w:rFonts w:asciiTheme="minorEastAsia" w:eastAsiaTheme="minorEastAsia" w:hAnsiTheme="minorEastAsia" w:hint="eastAsia"/>
          <w:szCs w:val="21"/>
        </w:rPr>
        <w:t>决定终止的；</w:t>
      </w:r>
    </w:p>
    <w:p w:rsidR="00C35BC5" w:rsidRPr="00565E0D" w:rsidRDefault="00552BE1"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2、</w:t>
      </w:r>
      <w:r w:rsidR="00C35BC5" w:rsidRPr="00565E0D">
        <w:rPr>
          <w:rFonts w:asciiTheme="minorEastAsia" w:eastAsiaTheme="minorEastAsia" w:hAnsiTheme="minorEastAsia" w:hint="eastAsia"/>
          <w:szCs w:val="21"/>
        </w:rPr>
        <w:t>基金管理人、基金托管人职责终止，在6个月内没有新基金管理人、新基金托管人承接的；</w:t>
      </w:r>
    </w:p>
    <w:p w:rsidR="00C35BC5" w:rsidRPr="00565E0D" w:rsidRDefault="00552BE1"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3、</w:t>
      </w:r>
      <w:r w:rsidR="00C35BC5" w:rsidRPr="00565E0D">
        <w:rPr>
          <w:rFonts w:asciiTheme="minorEastAsia" w:eastAsiaTheme="minorEastAsia" w:hAnsiTheme="minorEastAsia" w:hint="eastAsia"/>
          <w:szCs w:val="21"/>
        </w:rPr>
        <w:t>《基金合同》约定的其他情形；</w:t>
      </w:r>
    </w:p>
    <w:p w:rsidR="00C35BC5" w:rsidRPr="00565E0D" w:rsidRDefault="00552BE1"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4、</w:t>
      </w:r>
      <w:r w:rsidR="00C35BC5" w:rsidRPr="00565E0D">
        <w:rPr>
          <w:rFonts w:asciiTheme="minorEastAsia" w:eastAsiaTheme="minorEastAsia" w:hAnsiTheme="minorEastAsia" w:hint="eastAsia"/>
          <w:szCs w:val="21"/>
        </w:rPr>
        <w:t>相关法律法规和中国证监会规定的其他情况。</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基金合同终止后，基金管理人和基金托管人依照《基金法》、《运作办法》、基金合同及其他有关规定，行使请求给付报酬、从基金资产中获得补偿的权利时，可以留置基金资产或者对基金资产的权利归属人提出请求。</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447" w:name="_Toc86584660"/>
      <w:bookmarkStart w:id="448" w:name="_Toc38551251"/>
      <w:r w:rsidRPr="00565E0D">
        <w:rPr>
          <w:rFonts w:asciiTheme="minorEastAsia" w:eastAsiaTheme="minorEastAsia" w:hAnsiTheme="minorEastAsia" w:hint="eastAsia"/>
          <w:b w:val="0"/>
        </w:rPr>
        <w:t>（二）基金财产的清算</w:t>
      </w:r>
      <w:bookmarkEnd w:id="447"/>
      <w:bookmarkEnd w:id="448"/>
    </w:p>
    <w:p w:rsidR="00C35BC5" w:rsidRPr="00565E0D" w:rsidRDefault="00C35BC5" w:rsidP="00552BE1">
      <w:pPr>
        <w:numPr>
          <w:ilvl w:val="0"/>
          <w:numId w:val="24"/>
        </w:numPr>
        <w:tabs>
          <w:tab w:val="clear" w:pos="0"/>
          <w:tab w:val="num" w:pos="420"/>
        </w:tabs>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清算小组</w:t>
      </w:r>
    </w:p>
    <w:p w:rsidR="00C35BC5" w:rsidRPr="00565E0D" w:rsidRDefault="00C35BC5" w:rsidP="00552BE1">
      <w:pPr>
        <w:numPr>
          <w:ilvl w:val="0"/>
          <w:numId w:val="14"/>
        </w:numPr>
        <w:snapToGrid w:val="0"/>
        <w:spacing w:line="360" w:lineRule="auto"/>
        <w:ind w:left="0"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自基金合同终止之日起30个工作日内成立清算小组，清算小组在中国证监会的监督下进行清算。</w:t>
      </w:r>
    </w:p>
    <w:p w:rsidR="00C35BC5" w:rsidRPr="00565E0D" w:rsidRDefault="00C35BC5" w:rsidP="00552BE1">
      <w:pPr>
        <w:numPr>
          <w:ilvl w:val="0"/>
          <w:numId w:val="14"/>
        </w:numPr>
        <w:snapToGrid w:val="0"/>
        <w:spacing w:line="360" w:lineRule="auto"/>
        <w:ind w:left="0"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清算小组成员由基金管理人、基金托管人、具有从事证券相关业务资格的注册会计师、律师以及中国证监会指定的人员组成。清算小组可以聘用必要的工作人员。清算小组在成立后五个工作日内应当公告。</w:t>
      </w:r>
    </w:p>
    <w:p w:rsidR="00C35BC5" w:rsidRPr="00565E0D" w:rsidRDefault="00C35BC5" w:rsidP="00552BE1">
      <w:pPr>
        <w:numPr>
          <w:ilvl w:val="0"/>
          <w:numId w:val="14"/>
        </w:numPr>
        <w:snapToGrid w:val="0"/>
        <w:spacing w:line="360" w:lineRule="auto"/>
        <w:ind w:left="0"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清算小组负责基金资产的保管、清理、估价、变现和分配。清算小组可以依法以基金的名义进行必要的民事活动。</w:t>
      </w:r>
    </w:p>
    <w:p w:rsidR="00C35BC5" w:rsidRPr="00565E0D" w:rsidRDefault="00C35BC5" w:rsidP="00552BE1">
      <w:pPr>
        <w:numPr>
          <w:ilvl w:val="0"/>
          <w:numId w:val="24"/>
        </w:numPr>
        <w:tabs>
          <w:tab w:val="clear" w:pos="0"/>
          <w:tab w:val="num" w:pos="420"/>
        </w:tabs>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清算程序</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（1）基金合同终止后，由基金财产清算小组统一接管基金；</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（2）对基金财产和债权债务进行清理和确认；</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（3）对基金财产进行估值和变现；</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（4）制作清算报告；</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（5）聘请会计师事务所对清算报告进行外部审计，聘请律师事务所对清算报告出具法律意见书；</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（6）将清算报告报中国证监会备案并公告；</w:t>
      </w:r>
    </w:p>
    <w:p w:rsidR="00C35BC5" w:rsidRPr="00565E0D" w:rsidRDefault="00C35BC5" w:rsidP="00552BE1">
      <w:pPr>
        <w:autoSpaceDE w:val="0"/>
        <w:autoSpaceDN w:val="0"/>
        <w:snapToGrid w:val="0"/>
        <w:spacing w:line="360" w:lineRule="auto"/>
        <w:ind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（7）对基金财产进行分配。</w:t>
      </w:r>
    </w:p>
    <w:p w:rsidR="00C35BC5" w:rsidRPr="00565E0D" w:rsidRDefault="00C35BC5" w:rsidP="00552BE1">
      <w:pPr>
        <w:numPr>
          <w:ilvl w:val="0"/>
          <w:numId w:val="24"/>
        </w:numPr>
        <w:tabs>
          <w:tab w:val="clear" w:pos="0"/>
          <w:tab w:val="num" w:pos="420"/>
        </w:tabs>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清算费用</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清算费用是指清算小组在进行基金财产清算过程中发生的所有合理费用，清算费用由清算小组优先从基金资产中支付。</w:t>
      </w:r>
    </w:p>
    <w:p w:rsidR="00C35BC5" w:rsidRPr="00565E0D" w:rsidRDefault="00C35BC5" w:rsidP="00552BE1">
      <w:pPr>
        <w:numPr>
          <w:ilvl w:val="0"/>
          <w:numId w:val="24"/>
        </w:numPr>
        <w:tabs>
          <w:tab w:val="clear" w:pos="0"/>
          <w:tab w:val="num" w:pos="420"/>
        </w:tabs>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基金财产清算剩余资产的分配</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依据基金财产清算的分配方案，将基金财产清算后的全部剩余资产扣除基金财产清算费用后，按基金份额持有人持有的基金份额比例进行分配。</w:t>
      </w:r>
    </w:p>
    <w:p w:rsidR="00C35BC5" w:rsidRPr="00565E0D" w:rsidRDefault="00C35BC5" w:rsidP="00552BE1">
      <w:pPr>
        <w:numPr>
          <w:ilvl w:val="0"/>
          <w:numId w:val="24"/>
        </w:numPr>
        <w:tabs>
          <w:tab w:val="clear" w:pos="0"/>
          <w:tab w:val="num" w:pos="420"/>
        </w:tabs>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基金财产清算的公告</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清算过程中的有关重大事项须及时公告；基金财产清算报告经会计师事务所审计并由律师事务所出具法律意见书后报中国证监会备案并公告。</w:t>
      </w:r>
    </w:p>
    <w:p w:rsidR="00C35BC5" w:rsidRPr="00565E0D" w:rsidRDefault="00C35BC5" w:rsidP="00552BE1">
      <w:pPr>
        <w:numPr>
          <w:ilvl w:val="0"/>
          <w:numId w:val="24"/>
        </w:numPr>
        <w:tabs>
          <w:tab w:val="clear" w:pos="0"/>
          <w:tab w:val="num" w:pos="420"/>
        </w:tabs>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t>清算帐册及文件的保存</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清算帐册及有关文件由基金托管人保存</w:t>
      </w:r>
      <w:r w:rsidRPr="00565E0D">
        <w:rPr>
          <w:rFonts w:asciiTheme="minorEastAsia" w:eastAsiaTheme="minorEastAsia" w:hAnsiTheme="minorEastAsia"/>
          <w:szCs w:val="21"/>
        </w:rPr>
        <w:t>15</w:t>
      </w:r>
      <w:r w:rsidRPr="00565E0D">
        <w:rPr>
          <w:rFonts w:asciiTheme="minorEastAsia" w:eastAsiaTheme="minorEastAsia" w:hAnsiTheme="minorEastAsia" w:hint="eastAsia"/>
          <w:szCs w:val="21"/>
        </w:rPr>
        <w:t>年以上。</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Cs/>
        </w:rPr>
      </w:pPr>
      <w:bookmarkStart w:id="449" w:name="_Toc38551252"/>
      <w:r w:rsidRPr="00565E0D">
        <w:rPr>
          <w:rFonts w:asciiTheme="minorEastAsia" w:eastAsiaTheme="minorEastAsia" w:hAnsiTheme="minorEastAsia" w:hint="eastAsia"/>
          <w:b/>
          <w:bCs/>
        </w:rPr>
        <w:lastRenderedPageBreak/>
        <w:t>二十一、基金合同内容摘要</w:t>
      </w:r>
      <w:bookmarkEnd w:id="449"/>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Cs w:val="21"/>
        </w:rPr>
      </w:pPr>
      <w:bookmarkStart w:id="450" w:name="_Toc38551253"/>
      <w:r w:rsidRPr="00565E0D">
        <w:rPr>
          <w:rFonts w:asciiTheme="minorEastAsia" w:eastAsiaTheme="minorEastAsia" w:hAnsiTheme="minorEastAsia" w:hint="eastAsia"/>
          <w:b w:val="0"/>
          <w:bCs/>
        </w:rPr>
        <w:t>（一）前言</w:t>
      </w:r>
      <w:bookmarkEnd w:id="450"/>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为保护基金投资者合法权益，明确《基金合同》当事人的权利与义务，规范易方达价值成长混合型证券投资基金运作，依照《中华人民共和国合同法》、《中国人民共和国证券投资基金法》（以下简称《基金法》）、《证券投资基金运作管理办法》（以下简称《运作办法》）、《证券投资基金销售管理办法》（以下简称《销售办法》）、《</w:t>
      </w:r>
      <w:r w:rsidR="00C53A0E" w:rsidRPr="00565E0D">
        <w:rPr>
          <w:rFonts w:asciiTheme="minorEastAsia" w:eastAsiaTheme="minorEastAsia" w:hAnsiTheme="minorEastAsia" w:hint="eastAsia"/>
          <w:szCs w:val="21"/>
        </w:rPr>
        <w:t>公开募集</w:t>
      </w:r>
      <w:r w:rsidRPr="00565E0D">
        <w:rPr>
          <w:rFonts w:asciiTheme="minorEastAsia" w:eastAsiaTheme="minorEastAsia" w:hAnsiTheme="minorEastAsia" w:hint="eastAsia"/>
          <w:szCs w:val="21"/>
        </w:rPr>
        <w:t>证券投资基金信息披露管理办法》（以下简称《信息披露办法》）及其他有关规定，在平等自愿、诚实信用、充分保护基金投资者及相关当事人的合法权益的原则基础上，特订立《易方达价值成长混合型证券投资基金基金合同》（以下简称“本合同”或“《基金合同》”）。</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合同》是规定基金合同当事人之间权利义务的基本法律文件，其他与本基金相关的涉及基金合同当事人之间权利义务关系的任何文件或表述，均以本合同为准。《基金合同》的当事人包括基金管理人、基金托管人和基金份额持有人。基金投资者自依《基金合同》取得基金份额，即成为基金份额持有人和《基金合同》的当事人，其持有基金份额的行为本身即表明其对《基金合同》的承认和接受。《基金合同》的当事人按照法律法规和《基金合同》的规定享有权利，同时需承担相应的义务。</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易方达价值成长混合型证券投资基金（以下简称“本基金”或“基金”）由基金管理人按照法律法规和《基金合同》的规定募集，并经中国证监会核准。中国证监会对基金募集的核准并不表明其对本基金的价值和收益作出实质性判断或保证，也不表明投资于本基金没有风险。投资者投资于本基金，必须自担风险。</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基金管理人依照恪尽职守、诚实信用、勤勉尽责的原则管理和运用基金财产，但不保证</w:t>
      </w:r>
      <w:r w:rsidRPr="00565E0D">
        <w:rPr>
          <w:rFonts w:asciiTheme="minorEastAsia" w:eastAsiaTheme="minorEastAsia" w:hAnsiTheme="minorEastAsia"/>
          <w:szCs w:val="21"/>
        </w:rPr>
        <w:t>投资</w:t>
      </w:r>
      <w:r w:rsidRPr="00565E0D">
        <w:rPr>
          <w:rFonts w:asciiTheme="minorEastAsia" w:eastAsiaTheme="minorEastAsia" w:hAnsiTheme="minorEastAsia" w:hint="eastAsia"/>
          <w:szCs w:val="21"/>
        </w:rPr>
        <w:t>本基金一定盈利，也不保证基金份额持有人的最低收益。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合同》应当适用《基金法》及相应法律法规之规定，若因法律法规的修改或更新导致《基金合同》的内容存在与届时有效的法律法规的规定不一致之处，应当以届时有效的法律法规的规定为准，及时作出相应的变更和调整，同时就该等变更或调整进行公告。</w:t>
      </w:r>
    </w:p>
    <w:p w:rsidR="00C53A0E" w:rsidRPr="00565E0D" w:rsidRDefault="00C53A0E"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本基金合同约定的基金产品资料概要编制、披露与更新要求，自《信息披露办法》实施之日起一年后开始执行。</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rPr>
      </w:pPr>
      <w:bookmarkStart w:id="451" w:name="_Toc38551254"/>
      <w:r w:rsidRPr="00565E0D">
        <w:rPr>
          <w:rFonts w:asciiTheme="minorEastAsia" w:eastAsiaTheme="minorEastAsia" w:hAnsiTheme="minorEastAsia" w:hint="eastAsia"/>
          <w:b w:val="0"/>
          <w:bCs/>
        </w:rPr>
        <w:t>（二）基金管理人的权利与义务</w:t>
      </w:r>
      <w:bookmarkEnd w:id="451"/>
    </w:p>
    <w:p w:rsidR="00C35BC5" w:rsidRPr="00565E0D" w:rsidRDefault="00552BE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00C35BC5" w:rsidRPr="00565E0D">
        <w:rPr>
          <w:rFonts w:asciiTheme="minorEastAsia" w:eastAsiaTheme="minorEastAsia" w:hAnsiTheme="minorEastAsia" w:hint="eastAsia"/>
          <w:szCs w:val="21"/>
        </w:rPr>
        <w:t>根据《基金法》、《运作办法》及其他有关规定，基金管理人的权利包括但不限于：</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hint="eastAsia"/>
          <w:szCs w:val="21"/>
        </w:rPr>
        <w:tab/>
        <w:t>依法募集基金；</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hint="eastAsia"/>
          <w:szCs w:val="21"/>
        </w:rPr>
        <w:tab/>
        <w:t>自《基金合同》生效之日起，根据法律法规和《基金合同》独立运用并管理基金财产；</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w:t>
      </w:r>
      <w:r w:rsidRPr="00565E0D">
        <w:rPr>
          <w:rFonts w:asciiTheme="minorEastAsia" w:eastAsiaTheme="minorEastAsia" w:hAnsiTheme="minorEastAsia" w:hint="eastAsia"/>
          <w:szCs w:val="21"/>
        </w:rPr>
        <w:tab/>
        <w:t>依照《基金合同》收取基金管理费以及法律法规规定或中国证监会批准的其他费用；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（4）</w:t>
      </w:r>
      <w:r w:rsidRPr="00565E0D">
        <w:rPr>
          <w:rFonts w:asciiTheme="minorEastAsia" w:eastAsiaTheme="minorEastAsia" w:hAnsiTheme="minorEastAsia" w:hint="eastAsia"/>
          <w:szCs w:val="21"/>
        </w:rPr>
        <w:tab/>
        <w:t>销售基金份额；</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w:t>
      </w:r>
      <w:r w:rsidRPr="00565E0D">
        <w:rPr>
          <w:rFonts w:asciiTheme="minorEastAsia" w:eastAsiaTheme="minorEastAsia" w:hAnsiTheme="minorEastAsia" w:hint="eastAsia"/>
          <w:szCs w:val="21"/>
        </w:rPr>
        <w:tab/>
        <w:t>召集基金份额持有人大会；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（6）</w:t>
      </w:r>
      <w:r w:rsidRPr="00565E0D">
        <w:rPr>
          <w:rFonts w:asciiTheme="minorEastAsia" w:eastAsiaTheme="minorEastAsia" w:hAnsiTheme="minorEastAsia" w:hint="eastAsia"/>
          <w:szCs w:val="21"/>
        </w:rPr>
        <w:tab/>
        <w:t>依据《基金合同》及有关法律规定监督基金托管人，如认为基金托管人违反了《基金合同》及国家有关法律规定，应呈报中国证监会和其他监管部门，并采取必要措施保护基金投资者的利益；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（7）</w:t>
      </w:r>
      <w:r w:rsidRPr="00565E0D">
        <w:rPr>
          <w:rFonts w:asciiTheme="minorEastAsia" w:eastAsiaTheme="minorEastAsia" w:hAnsiTheme="minorEastAsia" w:hint="eastAsia"/>
          <w:szCs w:val="21"/>
        </w:rPr>
        <w:tab/>
        <w:t>在基金托管人更换时，提名新的基金托管人；</w:t>
      </w:r>
    </w:p>
    <w:p w:rsidR="00C35BC5" w:rsidRPr="00565E0D" w:rsidRDefault="00C35BC5" w:rsidP="00552BE1">
      <w:pPr>
        <w:snapToGrid w:val="0"/>
        <w:spacing w:line="360" w:lineRule="auto"/>
        <w:ind w:leftChars="200" w:left="420"/>
        <w:rPr>
          <w:rFonts w:asciiTheme="minorEastAsia" w:eastAsiaTheme="minorEastAsia" w:hAnsiTheme="minorEastAsia"/>
          <w:szCs w:val="21"/>
        </w:rPr>
      </w:pPr>
      <w:r w:rsidRPr="00565E0D">
        <w:rPr>
          <w:rFonts w:asciiTheme="minorEastAsia" w:eastAsiaTheme="minorEastAsia" w:hAnsiTheme="minorEastAsia" w:hint="eastAsia"/>
          <w:szCs w:val="21"/>
        </w:rPr>
        <w:t>（8）</w:t>
      </w:r>
      <w:r w:rsidRPr="00565E0D">
        <w:rPr>
          <w:rFonts w:asciiTheme="minorEastAsia" w:eastAsiaTheme="minorEastAsia" w:hAnsiTheme="minorEastAsia" w:hint="eastAsia"/>
          <w:szCs w:val="21"/>
        </w:rPr>
        <w:tab/>
        <w:t>选择、委托、更换基金代销机构，对基金代销机构的相关行为进行监督和处理；（9）</w:t>
      </w:r>
      <w:r w:rsidRPr="00565E0D">
        <w:rPr>
          <w:rFonts w:asciiTheme="minorEastAsia" w:eastAsiaTheme="minorEastAsia" w:hAnsiTheme="minorEastAsia" w:hint="eastAsia"/>
          <w:szCs w:val="21"/>
        </w:rPr>
        <w:tab/>
        <w:t>担任或委托其他符合条件的机构担任基金注册登记人办理基金注册登记业务并获得《基金合同》规定的费用；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（10）</w:t>
      </w:r>
      <w:r w:rsidRPr="00565E0D">
        <w:rPr>
          <w:rFonts w:asciiTheme="minorEastAsia" w:eastAsiaTheme="minorEastAsia" w:hAnsiTheme="minorEastAsia" w:hint="eastAsia"/>
          <w:szCs w:val="21"/>
        </w:rPr>
        <w:tab/>
        <w:t>依据《基金合同》及有关法律规定决定基金收益的分配方案；</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（11）</w:t>
      </w:r>
      <w:r w:rsidRPr="00565E0D">
        <w:rPr>
          <w:rFonts w:asciiTheme="minorEastAsia" w:eastAsiaTheme="minorEastAsia" w:hAnsiTheme="minorEastAsia" w:hint="eastAsia"/>
          <w:szCs w:val="21"/>
        </w:rPr>
        <w:tab/>
        <w:t>在《基金合同》约定的范围内，拒绝或暂停受理申购与赎回申请；</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（12）</w:t>
      </w:r>
      <w:r w:rsidRPr="00565E0D">
        <w:rPr>
          <w:rFonts w:asciiTheme="minorEastAsia" w:eastAsiaTheme="minorEastAsia" w:hAnsiTheme="minorEastAsia" w:hint="eastAsia"/>
          <w:szCs w:val="21"/>
        </w:rPr>
        <w:tab/>
        <w:t>在符合有关法律法规和《基金合同》的前提下，制订和调整开放式基金业务规则，决定和调整除托管费率之外的基金相关费率结构和收费方式；</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（13）</w:t>
      </w:r>
      <w:r w:rsidRPr="00565E0D">
        <w:rPr>
          <w:rFonts w:asciiTheme="minorEastAsia" w:eastAsiaTheme="minorEastAsia" w:hAnsiTheme="minorEastAsia" w:hint="eastAsia"/>
          <w:szCs w:val="21"/>
        </w:rPr>
        <w:tab/>
        <w:t>依照法律法规为基金的利益对被投资公司行使股东权利，为基金的利益行使因基金财产投资于证券所产生的权利；</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（14）</w:t>
      </w:r>
      <w:r w:rsidRPr="00565E0D">
        <w:rPr>
          <w:rFonts w:asciiTheme="minorEastAsia" w:eastAsiaTheme="minorEastAsia" w:hAnsiTheme="minorEastAsia" w:hint="eastAsia"/>
          <w:szCs w:val="21"/>
        </w:rPr>
        <w:tab/>
        <w:t>在法律法规允许的前提下，为基金的利益依法为基金进行融资；</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（15）</w:t>
      </w:r>
      <w:r w:rsidRPr="00565E0D">
        <w:rPr>
          <w:rFonts w:asciiTheme="minorEastAsia" w:eastAsiaTheme="minorEastAsia" w:hAnsiTheme="minorEastAsia" w:hint="eastAsia"/>
          <w:szCs w:val="21"/>
        </w:rPr>
        <w:tab/>
        <w:t>以基金管理人的名义，代表基金份额持有人的利益行使诉讼权利或者实施其他法律行为；</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（16）</w:t>
      </w:r>
      <w:r w:rsidRPr="00565E0D">
        <w:rPr>
          <w:rFonts w:asciiTheme="minorEastAsia" w:eastAsiaTheme="minorEastAsia" w:hAnsiTheme="minorEastAsia" w:hint="eastAsia"/>
          <w:szCs w:val="21"/>
        </w:rPr>
        <w:tab/>
        <w:t>选择、更换律师、审计师、证券经纪商或其他为基金提供服务的外部机构；</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（17）</w:t>
      </w:r>
      <w:r w:rsidRPr="00565E0D">
        <w:rPr>
          <w:rFonts w:asciiTheme="minorEastAsia" w:eastAsiaTheme="minorEastAsia" w:hAnsiTheme="minorEastAsia" w:hint="eastAsia"/>
          <w:szCs w:val="21"/>
        </w:rPr>
        <w:tab/>
        <w:t>法律法规、中国证监会规定的和《基金合同》约定的其他权利。</w:t>
      </w:r>
    </w:p>
    <w:p w:rsidR="00C35BC5" w:rsidRPr="00565E0D" w:rsidRDefault="00552BE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00C35BC5" w:rsidRPr="00565E0D">
        <w:rPr>
          <w:rFonts w:asciiTheme="minorEastAsia" w:eastAsiaTheme="minorEastAsia" w:hAnsiTheme="minorEastAsia" w:hint="eastAsia"/>
          <w:szCs w:val="21"/>
        </w:rPr>
        <w:t>根据《基金法》、《运作办法》及其他有关规定，基金管理人的义务包括但不限于：</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hint="eastAsia"/>
          <w:szCs w:val="21"/>
        </w:rPr>
        <w:tab/>
        <w:t>依法募集基金，办理基金备案手续；</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hint="eastAsia"/>
          <w:szCs w:val="21"/>
        </w:rPr>
        <w:tab/>
        <w:t>自基金合同生效之日起</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以诚实信用、谨慎勤勉的原则管理和运用基金财产；</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w:t>
      </w:r>
      <w:r w:rsidRPr="00565E0D">
        <w:rPr>
          <w:rFonts w:asciiTheme="minorEastAsia" w:eastAsiaTheme="minorEastAsia" w:hAnsiTheme="minorEastAsia" w:hint="eastAsia"/>
          <w:szCs w:val="21"/>
        </w:rPr>
        <w:tab/>
        <w:t>配备足够的具有专业资格的人员进行基金投资分析、决策，以专业化的经营方式管理和运作基金财产；</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w:t>
      </w:r>
      <w:r w:rsidRPr="00565E0D">
        <w:rPr>
          <w:rFonts w:asciiTheme="minorEastAsia" w:eastAsiaTheme="minorEastAsia" w:hAnsiTheme="minorEastAsia" w:hint="eastAsia"/>
          <w:szCs w:val="21"/>
        </w:rPr>
        <w:tab/>
        <w:t>办理或者委托经中国证监会认定的其他机构代为办理基金份额的发售、申购、赎回和登记事宜；如认为基金代销机构违反《基金合同》、基金销售与服务代理协议及国家有关法律规定，应呈报中国证监会和其他监管部门，并采取必要措施保护基金投资者的利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w:t>
      </w:r>
      <w:r w:rsidRPr="00565E0D">
        <w:rPr>
          <w:rFonts w:asciiTheme="minorEastAsia" w:eastAsiaTheme="minorEastAsia" w:hAnsiTheme="minorEastAsia" w:hint="eastAsia"/>
          <w:szCs w:val="21"/>
        </w:rPr>
        <w:tab/>
        <w:t>建立健全内部风险控制、监察与稽核、财务管理及人事管理等制度，保证所管理的基金财产和基金管理人的财产相互独立</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对所管理的不同基金分别管理，分别记账，进行证券投资；</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（6）</w:t>
      </w:r>
      <w:r w:rsidRPr="00565E0D">
        <w:rPr>
          <w:rFonts w:asciiTheme="minorEastAsia" w:eastAsiaTheme="minorEastAsia" w:hAnsiTheme="minorEastAsia" w:hint="eastAsia"/>
          <w:szCs w:val="21"/>
        </w:rPr>
        <w:tab/>
        <w:t>除依据《基金法》、《基金合同》及其他有关规定外</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不得利用基金财产为自己及任何第三人谋取利益，不得委托第三人运作基金财产；</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（7）</w:t>
      </w:r>
      <w:r w:rsidRPr="00565E0D">
        <w:rPr>
          <w:rFonts w:asciiTheme="minorEastAsia" w:eastAsiaTheme="minorEastAsia" w:hAnsiTheme="minorEastAsia" w:hint="eastAsia"/>
          <w:szCs w:val="21"/>
        </w:rPr>
        <w:tab/>
        <w:t>依法接受基金托管人的监督；</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（8）</w:t>
      </w:r>
      <w:r w:rsidRPr="00565E0D">
        <w:rPr>
          <w:rFonts w:asciiTheme="minorEastAsia" w:eastAsiaTheme="minorEastAsia" w:hAnsiTheme="minorEastAsia" w:hint="eastAsia"/>
          <w:szCs w:val="21"/>
        </w:rPr>
        <w:tab/>
        <w:t>采取适当合理的措施使计算基金份额认购、申购、赎回和注销价格的方法符合《基金合同》等法律文件的规定，按有关规定计算并公告基金</w:t>
      </w:r>
      <w:r w:rsidR="00C53A0E" w:rsidRPr="00565E0D">
        <w:rPr>
          <w:rFonts w:asciiTheme="minorEastAsia" w:eastAsiaTheme="minorEastAsia" w:hAnsiTheme="minorEastAsia" w:hint="eastAsia"/>
          <w:szCs w:val="21"/>
        </w:rPr>
        <w:t>净值信息</w:t>
      </w:r>
      <w:r w:rsidRPr="00565E0D">
        <w:rPr>
          <w:rFonts w:asciiTheme="minorEastAsia" w:eastAsiaTheme="minorEastAsia" w:hAnsiTheme="minorEastAsia" w:hint="eastAsia"/>
          <w:szCs w:val="21"/>
        </w:rPr>
        <w:t>，确定基金份额申购、赎回的价格；</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（9）</w:t>
      </w:r>
      <w:r w:rsidRPr="00565E0D">
        <w:rPr>
          <w:rFonts w:asciiTheme="minorEastAsia" w:eastAsiaTheme="minorEastAsia" w:hAnsiTheme="minorEastAsia" w:hint="eastAsia"/>
          <w:szCs w:val="21"/>
        </w:rPr>
        <w:tab/>
        <w:t>进行基金会计核算并编制基金财务会计报告；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（10）</w:t>
      </w:r>
      <w:r w:rsidRPr="00565E0D">
        <w:rPr>
          <w:rFonts w:asciiTheme="minorEastAsia" w:eastAsiaTheme="minorEastAsia" w:hAnsiTheme="minorEastAsia" w:hint="eastAsia"/>
          <w:szCs w:val="21"/>
        </w:rPr>
        <w:tab/>
        <w:t>编制</w:t>
      </w:r>
      <w:r w:rsidR="00C53A0E" w:rsidRPr="00565E0D">
        <w:rPr>
          <w:rFonts w:asciiTheme="minorEastAsia" w:eastAsiaTheme="minorEastAsia" w:hAnsiTheme="minorEastAsia" w:hint="eastAsia"/>
          <w:szCs w:val="21"/>
        </w:rPr>
        <w:t>季度报告、中期报告和年度报告</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（11）</w:t>
      </w:r>
      <w:r w:rsidRPr="00565E0D">
        <w:rPr>
          <w:rFonts w:asciiTheme="minorEastAsia" w:eastAsiaTheme="minorEastAsia" w:hAnsiTheme="minorEastAsia" w:hint="eastAsia"/>
          <w:szCs w:val="21"/>
        </w:rPr>
        <w:tab/>
        <w:t>严格按照《基金法》、《基金合同》及其他有关规定，履行信息披露及报告义务；</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（12）</w:t>
      </w:r>
      <w:r w:rsidRPr="00565E0D">
        <w:rPr>
          <w:rFonts w:asciiTheme="minorEastAsia" w:eastAsiaTheme="minorEastAsia" w:hAnsiTheme="minorEastAsia" w:hint="eastAsia"/>
          <w:szCs w:val="21"/>
        </w:rPr>
        <w:tab/>
        <w:t>保守基金商业秘密，不泄露基金投资计划、投资意向等。除《基金法》、《基金合同》及其他有关规定另有规定外，在基金信息公开披露前应予保密，不向他人泄露；</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（13）</w:t>
      </w:r>
      <w:r w:rsidRPr="00565E0D">
        <w:rPr>
          <w:rFonts w:asciiTheme="minorEastAsia" w:eastAsiaTheme="minorEastAsia" w:hAnsiTheme="minorEastAsia" w:hint="eastAsia"/>
          <w:szCs w:val="21"/>
        </w:rPr>
        <w:tab/>
        <w:t>按《基金合同》的约定确定基金收益分配方案，及时向基金份额持有人分配基金收益；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（14）</w:t>
      </w:r>
      <w:r w:rsidRPr="00565E0D">
        <w:rPr>
          <w:rFonts w:asciiTheme="minorEastAsia" w:eastAsiaTheme="minorEastAsia" w:hAnsiTheme="minorEastAsia" w:hint="eastAsia"/>
          <w:szCs w:val="21"/>
        </w:rPr>
        <w:tab/>
        <w:t>按规定受理申购与赎回申请，及时、足额支付赎回款项；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（15）</w:t>
      </w:r>
      <w:r w:rsidRPr="00565E0D">
        <w:rPr>
          <w:rFonts w:asciiTheme="minorEastAsia" w:eastAsiaTheme="minorEastAsia" w:hAnsiTheme="minorEastAsia" w:hint="eastAsia"/>
          <w:szCs w:val="21"/>
        </w:rPr>
        <w:tab/>
        <w:t>依据《基金法》、《基金合同》及其他有关规定召集基金份额持有人大会</w:t>
      </w:r>
      <w:r w:rsidRPr="00565E0D">
        <w:rPr>
          <w:rFonts w:asciiTheme="minorEastAsia" w:eastAsiaTheme="minorEastAsia" w:hAnsiTheme="minorEastAsia"/>
          <w:szCs w:val="21"/>
        </w:rPr>
        <w:t>或配合基金托管人、基金份额持有人依法召集基金份额持有人大会</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（16）</w:t>
      </w:r>
      <w:r w:rsidRPr="00565E0D">
        <w:rPr>
          <w:rFonts w:asciiTheme="minorEastAsia" w:eastAsiaTheme="minorEastAsia" w:hAnsiTheme="minorEastAsia" w:hint="eastAsia"/>
          <w:szCs w:val="21"/>
        </w:rPr>
        <w:tab/>
        <w:t>按规定保存基金财产管理业务活动的会计账册、报表、记录和其他相关资料15年以上；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（17）</w:t>
      </w:r>
      <w:r w:rsidRPr="00565E0D">
        <w:rPr>
          <w:rFonts w:asciiTheme="minorEastAsia" w:eastAsiaTheme="minorEastAsia" w:hAnsiTheme="minorEastAsia" w:hint="eastAsia"/>
          <w:szCs w:val="21"/>
        </w:rPr>
        <w:tab/>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（18）</w:t>
      </w:r>
      <w:r w:rsidRPr="00565E0D">
        <w:rPr>
          <w:rFonts w:asciiTheme="minorEastAsia" w:eastAsiaTheme="minorEastAsia" w:hAnsiTheme="minorEastAsia" w:hint="eastAsia"/>
          <w:szCs w:val="21"/>
        </w:rPr>
        <w:tab/>
        <w:t>组织并参加基金财产清算小组</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参与基金财产的保管、清理、估价、变现和分配；</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（19）</w:t>
      </w:r>
      <w:r w:rsidRPr="00565E0D">
        <w:rPr>
          <w:rFonts w:asciiTheme="minorEastAsia" w:eastAsiaTheme="minorEastAsia" w:hAnsiTheme="minorEastAsia" w:hint="eastAsia"/>
          <w:szCs w:val="21"/>
        </w:rPr>
        <w:tab/>
        <w:t>面临解散、依法被撤销或者被依法宣告破产时，及时报告中国证监会并通知基金托管人；</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（20）</w:t>
      </w:r>
      <w:r w:rsidRPr="00565E0D">
        <w:rPr>
          <w:rFonts w:asciiTheme="minorEastAsia" w:eastAsiaTheme="minorEastAsia" w:hAnsiTheme="minorEastAsia" w:hint="eastAsia"/>
          <w:szCs w:val="21"/>
        </w:rPr>
        <w:tab/>
        <w:t>因违反《基金合同》导致基金财产的损失</w:t>
      </w:r>
      <w:r w:rsidRPr="00565E0D">
        <w:rPr>
          <w:rFonts w:asciiTheme="minorEastAsia" w:eastAsiaTheme="minorEastAsia" w:hAnsiTheme="minorEastAsia"/>
          <w:szCs w:val="21"/>
        </w:rPr>
        <w:t>或损害基金份额持有人合法权益</w:t>
      </w:r>
      <w:r w:rsidRPr="00565E0D">
        <w:rPr>
          <w:rFonts w:asciiTheme="minorEastAsia" w:eastAsiaTheme="minorEastAsia" w:hAnsiTheme="minorEastAsia" w:hint="eastAsia"/>
          <w:szCs w:val="21"/>
        </w:rPr>
        <w:t>时，应当承担赔偿责任，其赔偿责任不因其退任而免除；</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（21）监督基金托管人按法律法规和基金合同规定履行自己的义务，基金托管人违反基金合同造成基金财产损失时，基金管理人应为基金份额持有人利益向基金托管人追偿；</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22）当基金管理人将其义务委托第三方处理时，应当对第三方处理有关基金事务的行为承担责任；但因第三方过错导致基金财产或基金份额持有人利益受到损失，而基金管理人首先承担了责任的情况下，基金管理人有权向第三方追偿；</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（23）以基金管理人名义，代表基金份额持有人利益行使诉讼权利或实施其他法律行为；</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（24）基金管理人在募集期间未能达到基金的备案条件，《基金合同》不能生效，基金管理人承担全部募集费用，将已募集资金并加计银行同期存款利息在基金募集期结束后30日内退还基金认购人；</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（25）</w:t>
      </w:r>
      <w:r w:rsidRPr="00565E0D">
        <w:rPr>
          <w:rFonts w:asciiTheme="minorEastAsia" w:eastAsiaTheme="minorEastAsia" w:hAnsiTheme="minorEastAsia"/>
          <w:szCs w:val="21"/>
        </w:rPr>
        <w:t>执行生效的基金份额持有人大会的决定</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（26）</w:t>
      </w:r>
      <w:r w:rsidRPr="00565E0D">
        <w:rPr>
          <w:rFonts w:asciiTheme="minorEastAsia" w:eastAsiaTheme="minorEastAsia" w:hAnsiTheme="minorEastAsia"/>
          <w:szCs w:val="21"/>
        </w:rPr>
        <w:t>建立并保存基金份额持有人名册</w:t>
      </w:r>
      <w:r w:rsidRPr="00565E0D">
        <w:rPr>
          <w:rFonts w:asciiTheme="minorEastAsia" w:eastAsiaTheme="minorEastAsia" w:hAnsiTheme="minorEastAsia" w:hint="eastAsia"/>
          <w:szCs w:val="21"/>
        </w:rPr>
        <w:t>，根据托管协议的约定向基金托管人提供基金份额持有人名册</w:t>
      </w:r>
      <w:r w:rsidRPr="00565E0D">
        <w:rPr>
          <w:rFonts w:asciiTheme="minorEastAsia" w:eastAsiaTheme="minorEastAsia" w:hAnsiTheme="minor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（27）</w:t>
      </w:r>
      <w:r w:rsidRPr="00565E0D">
        <w:rPr>
          <w:rFonts w:asciiTheme="minorEastAsia" w:eastAsiaTheme="minorEastAsia" w:hAnsiTheme="minorEastAsia" w:hint="eastAsia"/>
          <w:szCs w:val="21"/>
        </w:rPr>
        <w:tab/>
        <w:t>法律法规、中国证监会规定的和《基金合同》约定的其他义务。</w:t>
      </w:r>
    </w:p>
    <w:p w:rsidR="00C35BC5" w:rsidRPr="00565E0D" w:rsidRDefault="00C35BC5" w:rsidP="00B5132A">
      <w:pPr>
        <w:pStyle w:val="2"/>
        <w:adjustRightInd w:val="0"/>
        <w:snapToGrid w:val="0"/>
        <w:spacing w:beforeLines="0" w:afterLines="0" w:line="360" w:lineRule="auto"/>
        <w:ind w:firstLineChars="0" w:firstLine="0"/>
        <w:rPr>
          <w:rFonts w:asciiTheme="minorEastAsia" w:eastAsiaTheme="minorEastAsia" w:hAnsiTheme="minorEastAsia"/>
          <w:b w:val="0"/>
          <w:bCs/>
          <w:szCs w:val="21"/>
        </w:rPr>
      </w:pPr>
      <w:bookmarkStart w:id="452" w:name="_Toc38551255"/>
      <w:r w:rsidRPr="00565E0D">
        <w:rPr>
          <w:rFonts w:asciiTheme="minorEastAsia" w:eastAsiaTheme="minorEastAsia" w:hAnsiTheme="minorEastAsia" w:hint="eastAsia"/>
          <w:b w:val="0"/>
          <w:bCs/>
        </w:rPr>
        <w:t>（三）基金托管人的权利与义务</w:t>
      </w:r>
      <w:bookmarkEnd w:id="452"/>
    </w:p>
    <w:p w:rsidR="00C35BC5" w:rsidRPr="00565E0D" w:rsidRDefault="00552BE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00C35BC5" w:rsidRPr="00565E0D">
        <w:rPr>
          <w:rFonts w:asciiTheme="minorEastAsia" w:eastAsiaTheme="minorEastAsia" w:hAnsiTheme="minorEastAsia" w:hint="eastAsia"/>
          <w:szCs w:val="21"/>
        </w:rPr>
        <w:t>根据《基金法》、《运作办法》及其他有关规定，基金托管人的权利包括但不限于：</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hint="eastAsia"/>
          <w:szCs w:val="21"/>
        </w:rPr>
        <w:tab/>
        <w:t>自本基金合同生效之日起，依法律法规和《基金合同》的规定安全保管基金财产；</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hint="eastAsia"/>
          <w:szCs w:val="21"/>
        </w:rPr>
        <w:tab/>
        <w:t>依《基金合同》约定获得基金托管费以及法律法规规定或监管部门批准的其他收入；</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ab/>
        <w:t>监督基金管理人对本基金的投资运作，如发现基金管理人有违反《基金合同》及国家法律法规行为，应呈报中国证监会，并采取必要措施保护基金投资者的利益；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w:t>
      </w:r>
      <w:r w:rsidRPr="00565E0D">
        <w:rPr>
          <w:rFonts w:asciiTheme="minorEastAsia" w:eastAsiaTheme="minorEastAsia" w:hAnsiTheme="minorEastAsia" w:hint="eastAsia"/>
          <w:szCs w:val="21"/>
        </w:rPr>
        <w:tab/>
      </w:r>
      <w:r w:rsidRPr="00565E0D">
        <w:rPr>
          <w:rFonts w:asciiTheme="minorEastAsia" w:eastAsiaTheme="minorEastAsia" w:hAnsiTheme="minorEastAsia"/>
          <w:szCs w:val="21"/>
        </w:rPr>
        <w:t>以基金托管人和基金联名的方式在中国证券登记结算有限公司上海分公司和深圳分公司开设证券账户；</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w:t>
      </w:r>
      <w:r w:rsidRPr="00565E0D">
        <w:rPr>
          <w:rFonts w:asciiTheme="minorEastAsia" w:eastAsiaTheme="minorEastAsia" w:hAnsiTheme="minorEastAsia" w:hint="eastAsia"/>
          <w:szCs w:val="21"/>
        </w:rPr>
        <w:tab/>
      </w:r>
      <w:r w:rsidRPr="00565E0D">
        <w:rPr>
          <w:rFonts w:asciiTheme="minorEastAsia" w:eastAsiaTheme="minorEastAsia" w:hAnsiTheme="minorEastAsia"/>
          <w:szCs w:val="21"/>
        </w:rPr>
        <w:t>以基金托管人名义开立证券交易资金账户，用于证券交易资金清算；</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（6）</w:t>
      </w:r>
      <w:r w:rsidRPr="00565E0D">
        <w:rPr>
          <w:rFonts w:asciiTheme="minorEastAsia" w:eastAsiaTheme="minorEastAsia" w:hAnsiTheme="minorEastAsia" w:hint="eastAsia"/>
          <w:szCs w:val="21"/>
        </w:rPr>
        <w:tab/>
      </w:r>
      <w:r w:rsidRPr="00565E0D">
        <w:rPr>
          <w:rFonts w:asciiTheme="minorEastAsia" w:eastAsiaTheme="minorEastAsia" w:hAnsiTheme="minorEastAsia"/>
          <w:szCs w:val="21"/>
        </w:rPr>
        <w:t>以基金的名义在中央国债登记结算有限公司开设</w:t>
      </w:r>
      <w:r w:rsidRPr="00565E0D">
        <w:rPr>
          <w:rFonts w:asciiTheme="minorEastAsia" w:eastAsiaTheme="minorEastAsia" w:hAnsiTheme="minorEastAsia" w:hint="eastAsia"/>
          <w:szCs w:val="21"/>
        </w:rPr>
        <w:t>银行间</w:t>
      </w:r>
      <w:r w:rsidRPr="00565E0D">
        <w:rPr>
          <w:rFonts w:asciiTheme="minorEastAsia" w:eastAsiaTheme="minorEastAsia" w:hAnsiTheme="minorEastAsia"/>
          <w:szCs w:val="21"/>
        </w:rPr>
        <w:t>债券托管账户</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负责基金</w:t>
      </w:r>
      <w:r w:rsidRPr="00565E0D">
        <w:rPr>
          <w:rFonts w:asciiTheme="minorEastAsia" w:eastAsiaTheme="minorEastAsia" w:hAnsiTheme="minorEastAsia" w:hint="eastAsia"/>
          <w:szCs w:val="21"/>
        </w:rPr>
        <w:t>投资</w:t>
      </w:r>
      <w:r w:rsidRPr="00565E0D">
        <w:rPr>
          <w:rFonts w:asciiTheme="minorEastAsia" w:eastAsiaTheme="minorEastAsia" w:hAnsiTheme="minorEastAsia"/>
          <w:szCs w:val="21"/>
        </w:rPr>
        <w:t>债券</w:t>
      </w:r>
      <w:r w:rsidRPr="00565E0D">
        <w:rPr>
          <w:rFonts w:asciiTheme="minorEastAsia" w:eastAsiaTheme="minorEastAsia" w:hAnsiTheme="minorEastAsia" w:hint="eastAsia"/>
          <w:szCs w:val="21"/>
        </w:rPr>
        <w:t>的后台匹配</w:t>
      </w:r>
      <w:r w:rsidRPr="00565E0D">
        <w:rPr>
          <w:rFonts w:asciiTheme="minorEastAsia" w:eastAsiaTheme="minorEastAsia" w:hAnsiTheme="minorEastAsia"/>
          <w:szCs w:val="21"/>
        </w:rPr>
        <w:t>及资金的清算；</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（7）</w:t>
      </w:r>
      <w:r w:rsidRPr="00565E0D">
        <w:rPr>
          <w:rFonts w:asciiTheme="minorEastAsia" w:eastAsiaTheme="minorEastAsia" w:hAnsiTheme="minorEastAsia" w:hint="eastAsia"/>
          <w:szCs w:val="21"/>
        </w:rPr>
        <w:tab/>
        <w:t>提议召开基金份额持有人大会；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（8）</w:t>
      </w:r>
      <w:r w:rsidRPr="00565E0D">
        <w:rPr>
          <w:rFonts w:asciiTheme="minorEastAsia" w:eastAsiaTheme="minorEastAsia" w:hAnsiTheme="minorEastAsia" w:hint="eastAsia"/>
          <w:szCs w:val="21"/>
        </w:rPr>
        <w:tab/>
        <w:t>在基金管理人更换时，提名新的基金管理人；</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（9）</w:t>
      </w:r>
      <w:r w:rsidRPr="00565E0D">
        <w:rPr>
          <w:rFonts w:asciiTheme="minorEastAsia" w:eastAsiaTheme="minorEastAsia" w:hAnsiTheme="minorEastAsia" w:hint="eastAsia"/>
          <w:szCs w:val="21"/>
        </w:rPr>
        <w:tab/>
        <w:t>法律法规和《基金合同》规定的其他权利。</w:t>
      </w:r>
    </w:p>
    <w:p w:rsidR="00C35BC5" w:rsidRPr="00565E0D" w:rsidRDefault="00552BE1"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00C35BC5" w:rsidRPr="00565E0D">
        <w:rPr>
          <w:rFonts w:asciiTheme="minorEastAsia" w:eastAsiaTheme="minorEastAsia" w:hAnsiTheme="minorEastAsia" w:hint="eastAsia"/>
          <w:szCs w:val="21"/>
        </w:rPr>
        <w:t>根据《基金法》、《运作办法》及其他有关规定，基金托管人的义务包括但不限于：</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hint="eastAsia"/>
          <w:szCs w:val="21"/>
        </w:rPr>
        <w:tab/>
        <w:t>以诚实信用、勤勉尽责的原则持有并安全保管基金财产；</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hint="eastAsia"/>
          <w:szCs w:val="21"/>
        </w:rPr>
        <w:tab/>
        <w:t>设立专门的基金托管部门，具有符合要求的营业场所，配备足够的、合格的熟悉基金托管业务的专职人员，负责基金财产托管事宜；</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w:t>
      </w:r>
      <w:r w:rsidRPr="00565E0D">
        <w:rPr>
          <w:rFonts w:asciiTheme="minorEastAsia" w:eastAsiaTheme="minorEastAsia" w:hAnsiTheme="minorEastAsia" w:hint="eastAsia"/>
          <w:szCs w:val="21"/>
        </w:rPr>
        <w:tab/>
        <w:t>建立健全内部风险控制、监察与稽核、财务管理及人事管理等制度，确保基金财产的安全，保证其托管的基金财产与基金托管人自有财产以及不同的基金财产相互独立；对不同的基金分别设置账户，独立核算，分账管理，保证不同基金之间在名册登记、账户设置、资金划拨、账册记录等方面相互独立；</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w:t>
      </w:r>
      <w:r w:rsidRPr="00565E0D">
        <w:rPr>
          <w:rFonts w:asciiTheme="minorEastAsia" w:eastAsiaTheme="minorEastAsia" w:hAnsiTheme="minorEastAsia" w:hint="eastAsia"/>
          <w:szCs w:val="21"/>
        </w:rPr>
        <w:tab/>
        <w:t>除依据《基金法》、《基金合同》及其他有关规定外，不得利用基金财产为自己及任何第三人谋取利益，不得委托第三人托管基金财产；</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w:t>
      </w:r>
      <w:r w:rsidRPr="00565E0D">
        <w:rPr>
          <w:rFonts w:asciiTheme="minorEastAsia" w:eastAsiaTheme="minorEastAsia" w:hAnsiTheme="minorEastAsia" w:hint="eastAsia"/>
          <w:szCs w:val="21"/>
        </w:rPr>
        <w:tab/>
        <w:t>保管由基金管理人代表基金签订的与基金有关的重大合同及有关凭证；</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（6）</w:t>
      </w:r>
      <w:r w:rsidRPr="00565E0D">
        <w:rPr>
          <w:rFonts w:asciiTheme="minorEastAsia" w:eastAsiaTheme="minorEastAsia" w:hAnsiTheme="minorEastAsia" w:hint="eastAsia"/>
          <w:szCs w:val="21"/>
        </w:rPr>
        <w:tab/>
        <w:t>按规定开设基金财产的资金账户和证券账户</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按照《基金合同》的约定，根据基金管理人的投资指令，及时办理清算、交割事宜；</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（7）</w:t>
      </w:r>
      <w:r w:rsidRPr="00565E0D">
        <w:rPr>
          <w:rFonts w:asciiTheme="minorEastAsia" w:eastAsiaTheme="minorEastAsia" w:hAnsiTheme="minorEastAsia" w:hint="eastAsia"/>
          <w:szCs w:val="21"/>
        </w:rPr>
        <w:tab/>
        <w:t>保守基金商业秘密，除《基金法》、《基金合同》及其他有关规定另有规定外，在基金信息公开披露前予以保密，不得向他人泄露；</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（8）</w:t>
      </w:r>
      <w:r w:rsidRPr="00565E0D">
        <w:rPr>
          <w:rFonts w:asciiTheme="minorEastAsia" w:eastAsiaTheme="minorEastAsia" w:hAnsiTheme="minorEastAsia" w:hint="eastAsia"/>
          <w:szCs w:val="21"/>
        </w:rPr>
        <w:tab/>
        <w:t>复核、审查基金管理人计算的基金资产净值、</w:t>
      </w:r>
      <w:r w:rsidR="00C53A0E" w:rsidRPr="00565E0D">
        <w:rPr>
          <w:rFonts w:asciiTheme="minorEastAsia" w:eastAsiaTheme="minorEastAsia" w:hAnsiTheme="minorEastAsia" w:hint="eastAsia"/>
          <w:szCs w:val="21"/>
        </w:rPr>
        <w:t>基金份额净值、</w:t>
      </w:r>
      <w:r w:rsidRPr="00565E0D">
        <w:rPr>
          <w:rFonts w:asciiTheme="minorEastAsia" w:eastAsiaTheme="minorEastAsia" w:hAnsiTheme="minorEastAsia" w:hint="eastAsia"/>
          <w:szCs w:val="21"/>
        </w:rPr>
        <w:t>基金份额申购、赎回价格；</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（9）</w:t>
      </w:r>
      <w:r w:rsidRPr="00565E0D">
        <w:rPr>
          <w:rFonts w:asciiTheme="minorEastAsia" w:eastAsiaTheme="minorEastAsia" w:hAnsiTheme="minorEastAsia" w:hint="eastAsia"/>
          <w:szCs w:val="21"/>
        </w:rPr>
        <w:tab/>
        <w:t>办理与基金托管业务活动有关的信息披露事项；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（10）</w:t>
      </w:r>
      <w:r w:rsidRPr="00565E0D">
        <w:rPr>
          <w:rFonts w:asciiTheme="minorEastAsia" w:eastAsiaTheme="minorEastAsia" w:hAnsiTheme="minorEastAsia" w:hint="eastAsia"/>
          <w:szCs w:val="21"/>
        </w:rPr>
        <w:tab/>
        <w:t>对基金财务会计报告、</w:t>
      </w:r>
      <w:r w:rsidR="00C53A0E" w:rsidRPr="00565E0D">
        <w:rPr>
          <w:rFonts w:asciiTheme="minorEastAsia" w:eastAsiaTheme="minorEastAsia" w:hAnsiTheme="minorEastAsia" w:hint="eastAsia"/>
          <w:szCs w:val="21"/>
        </w:rPr>
        <w:t>季度报告、中期报告和年度报告</w:t>
      </w:r>
      <w:r w:rsidRPr="00565E0D">
        <w:rPr>
          <w:rFonts w:asciiTheme="minorEastAsia" w:eastAsiaTheme="minorEastAsia" w:hAnsiTheme="minorEastAsia" w:hint="eastAsia"/>
          <w:szCs w:val="21"/>
        </w:rPr>
        <w:t>出具意见，说明基金管理人在各重要方面的运作是否严格按照《基金合同》的规定进行；如果基金管理人有未执行《基金合同》规定的行为，还应当说明基金托管人是否采取了适当的措施；</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（11）</w:t>
      </w:r>
      <w:r w:rsidRPr="00565E0D">
        <w:rPr>
          <w:rFonts w:asciiTheme="minorEastAsia" w:eastAsiaTheme="minorEastAsia" w:hAnsiTheme="minorEastAsia" w:hint="eastAsia"/>
          <w:szCs w:val="21"/>
        </w:rPr>
        <w:tab/>
        <w:t>按有关规定，保存基金托管业务活动的记录、账册、报表和其他相关资料15年以上；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（12）</w:t>
      </w:r>
      <w:r w:rsidRPr="00565E0D">
        <w:rPr>
          <w:rFonts w:asciiTheme="minorEastAsia" w:eastAsiaTheme="minorEastAsia" w:hAnsiTheme="minorEastAsia" w:hint="eastAsia"/>
          <w:szCs w:val="21"/>
        </w:rPr>
        <w:tab/>
      </w:r>
      <w:r w:rsidRPr="00565E0D">
        <w:rPr>
          <w:rFonts w:asciiTheme="minorEastAsia" w:eastAsiaTheme="minorEastAsia" w:hAnsiTheme="minorEastAsia"/>
          <w:szCs w:val="21"/>
        </w:rPr>
        <w:t>建立并保存基金份额持有人名册</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（13）</w:t>
      </w:r>
      <w:r w:rsidRPr="00565E0D">
        <w:rPr>
          <w:rFonts w:asciiTheme="minorEastAsia" w:eastAsiaTheme="minorEastAsia" w:hAnsiTheme="minorEastAsia" w:hint="eastAsia"/>
          <w:szCs w:val="21"/>
        </w:rPr>
        <w:tab/>
        <w:t>按规定制作相关账册并与基金管理人核对；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（14）</w:t>
      </w:r>
      <w:r w:rsidRPr="00565E0D">
        <w:rPr>
          <w:rFonts w:asciiTheme="minorEastAsia" w:eastAsiaTheme="minorEastAsia" w:hAnsiTheme="minorEastAsia" w:hint="eastAsia"/>
          <w:szCs w:val="21"/>
        </w:rPr>
        <w:tab/>
        <w:t>依据基金管理人的指令或有关规定向基金份额持有人支付基金收益和赎回款项；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（15）</w:t>
      </w:r>
      <w:r w:rsidRPr="00565E0D">
        <w:rPr>
          <w:rFonts w:asciiTheme="minorEastAsia" w:eastAsiaTheme="minorEastAsia" w:hAnsiTheme="minorEastAsia" w:hint="eastAsia"/>
          <w:szCs w:val="21"/>
        </w:rPr>
        <w:tab/>
        <w:t>按照规定召集基金份额持有人大会或配合基金份额持有人依法自行召集基金份额持有人大会；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（16）</w:t>
      </w:r>
      <w:r w:rsidRPr="00565E0D">
        <w:rPr>
          <w:rFonts w:asciiTheme="minorEastAsia" w:eastAsiaTheme="minorEastAsia" w:hAnsiTheme="minorEastAsia" w:hint="eastAsia"/>
          <w:szCs w:val="21"/>
        </w:rPr>
        <w:tab/>
        <w:t>按照法律法规和基金合同的规定监督基金管理人的投资运作；</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（17）</w:t>
      </w:r>
      <w:r w:rsidRPr="00565E0D">
        <w:rPr>
          <w:rFonts w:asciiTheme="minorEastAsia" w:eastAsiaTheme="minorEastAsia" w:hAnsiTheme="minorEastAsia" w:hint="eastAsia"/>
          <w:szCs w:val="21"/>
        </w:rPr>
        <w:tab/>
        <w:t>参加基金财产清算小组，参与基金财产的保管、清理、估价、变现和分配；</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（18）</w:t>
      </w:r>
      <w:r w:rsidRPr="00565E0D">
        <w:rPr>
          <w:rFonts w:asciiTheme="minorEastAsia" w:eastAsiaTheme="minorEastAsia" w:hAnsiTheme="minorEastAsia" w:hint="eastAsia"/>
          <w:szCs w:val="21"/>
        </w:rPr>
        <w:tab/>
        <w:t>面临解散、依法被撤销或者被依法宣告破产时，及时报告中国证监会和银行监管机构，并通知基金管理人；</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（19）</w:t>
      </w:r>
      <w:r w:rsidRPr="00565E0D">
        <w:rPr>
          <w:rFonts w:asciiTheme="minorEastAsia" w:eastAsiaTheme="minorEastAsia" w:hAnsiTheme="minorEastAsia" w:hint="eastAsia"/>
          <w:szCs w:val="21"/>
        </w:rPr>
        <w:tab/>
        <w:t>因违反《基金合同》导致基金财产损失时，应承担赔偿责任，其赔偿责任不因其退任而免除；</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（20）</w:t>
      </w:r>
      <w:r w:rsidRPr="00565E0D">
        <w:rPr>
          <w:rFonts w:asciiTheme="minorEastAsia" w:eastAsiaTheme="minorEastAsia" w:hAnsiTheme="minorEastAsia" w:hint="eastAsia"/>
          <w:szCs w:val="21"/>
        </w:rPr>
        <w:tab/>
        <w:t>监督基金管理人按法律法规和基金合同规定履行自己的义务，基金管理人因违反《基金合同》造成基金财产损失时，应为基金利益向基金管理人追偿；</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（21）</w:t>
      </w:r>
      <w:r w:rsidRPr="00565E0D">
        <w:rPr>
          <w:rFonts w:asciiTheme="minorEastAsia" w:eastAsiaTheme="minorEastAsia" w:hAnsiTheme="minorEastAsia" w:hint="eastAsia"/>
          <w:szCs w:val="21"/>
        </w:rPr>
        <w:tab/>
      </w:r>
      <w:r w:rsidRPr="00565E0D">
        <w:rPr>
          <w:rFonts w:asciiTheme="minorEastAsia" w:eastAsiaTheme="minorEastAsia" w:hAnsiTheme="minorEastAsia"/>
          <w:szCs w:val="21"/>
        </w:rPr>
        <w:t>执行生效的基金份额持有人大会的决定</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（22）</w:t>
      </w:r>
      <w:r w:rsidRPr="00565E0D">
        <w:rPr>
          <w:rFonts w:asciiTheme="minorEastAsia" w:eastAsiaTheme="minorEastAsia" w:hAnsiTheme="minorEastAsia" w:hint="eastAsia"/>
          <w:szCs w:val="21"/>
        </w:rPr>
        <w:tab/>
        <w:t>法律法规、中国证监会规定的和《基金合同》约定的其他义务。</w:t>
      </w:r>
    </w:p>
    <w:p w:rsidR="00C35BC5" w:rsidRPr="00565E0D" w:rsidRDefault="00C35BC5" w:rsidP="00B5132A">
      <w:pPr>
        <w:pStyle w:val="2"/>
        <w:adjustRightInd w:val="0"/>
        <w:snapToGrid w:val="0"/>
        <w:spacing w:beforeLines="0" w:afterLines="0" w:line="360" w:lineRule="auto"/>
        <w:ind w:firstLineChars="0" w:firstLine="0"/>
        <w:rPr>
          <w:rFonts w:asciiTheme="minorEastAsia" w:eastAsiaTheme="minorEastAsia" w:hAnsiTheme="minorEastAsia"/>
          <w:szCs w:val="21"/>
        </w:rPr>
      </w:pPr>
      <w:bookmarkStart w:id="453" w:name="_Toc38551256"/>
      <w:r w:rsidRPr="00565E0D">
        <w:rPr>
          <w:rFonts w:asciiTheme="minorEastAsia" w:eastAsiaTheme="minorEastAsia" w:hAnsiTheme="minorEastAsia" w:hint="eastAsia"/>
          <w:b w:val="0"/>
          <w:bCs/>
        </w:rPr>
        <w:t>（四）基金份额持有人的权利与义务</w:t>
      </w:r>
      <w:bookmarkEnd w:id="453"/>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本《基金合同》当事人并不以在《基金合同》上书面签章或签字为必要条件。</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每份基金份额具有同等的合法权益。</w:t>
      </w:r>
    </w:p>
    <w:p w:rsidR="00C35BC5" w:rsidRPr="00565E0D" w:rsidRDefault="00016F1C"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00C35BC5" w:rsidRPr="00565E0D">
        <w:rPr>
          <w:rFonts w:asciiTheme="minorEastAsia" w:eastAsiaTheme="minorEastAsia" w:hAnsiTheme="minorEastAsia" w:hint="eastAsia"/>
          <w:szCs w:val="21"/>
        </w:rPr>
        <w:t>根据《基金法》、《运作办法》及其他有关规定，基金份额持有人的权利包括但不限于：</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hint="eastAsia"/>
          <w:szCs w:val="21"/>
        </w:rPr>
        <w:tab/>
        <w:t>分享基金财产收益；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hint="eastAsia"/>
          <w:szCs w:val="21"/>
        </w:rPr>
        <w:tab/>
      </w:r>
      <w:r w:rsidRPr="00565E0D">
        <w:rPr>
          <w:rFonts w:asciiTheme="minorEastAsia" w:eastAsiaTheme="minorEastAsia" w:hAnsiTheme="minorEastAsia"/>
          <w:szCs w:val="21"/>
        </w:rPr>
        <w:t>参与分配清算后的剩余基金财产</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（3）</w:t>
      </w:r>
      <w:r w:rsidRPr="00565E0D">
        <w:rPr>
          <w:rFonts w:asciiTheme="minorEastAsia" w:eastAsiaTheme="minorEastAsia" w:hAnsiTheme="minorEastAsia" w:hint="eastAsia"/>
          <w:szCs w:val="21"/>
        </w:rPr>
        <w:tab/>
        <w:t>依法申请赎回其持有的基金份额</w:t>
      </w:r>
      <w:r w:rsidRPr="00565E0D">
        <w:rPr>
          <w:rFonts w:asciiTheme="minorEastAsia" w:eastAsiaTheme="minorEastAsia" w:hAnsiTheme="minor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w:t>
      </w:r>
      <w:r w:rsidRPr="00565E0D">
        <w:rPr>
          <w:rFonts w:asciiTheme="minorEastAsia" w:eastAsiaTheme="minorEastAsia" w:hAnsiTheme="minorEastAsia" w:hint="eastAsia"/>
          <w:szCs w:val="21"/>
        </w:rPr>
        <w:tab/>
      </w:r>
      <w:r w:rsidRPr="00565E0D">
        <w:rPr>
          <w:rFonts w:asciiTheme="minorEastAsia" w:eastAsiaTheme="minorEastAsia" w:hAnsiTheme="minorEastAsia"/>
          <w:szCs w:val="21"/>
        </w:rPr>
        <w:t>按照规定要求召开基金份额持有人大会</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w:t>
      </w:r>
      <w:r w:rsidRPr="00565E0D">
        <w:rPr>
          <w:rFonts w:asciiTheme="minorEastAsia" w:eastAsiaTheme="minorEastAsia" w:hAnsiTheme="minorEastAsia" w:hint="eastAsia"/>
          <w:szCs w:val="21"/>
        </w:rPr>
        <w:tab/>
        <w:t>出席或者委派代表出席基金</w:t>
      </w:r>
      <w:r w:rsidRPr="00565E0D">
        <w:rPr>
          <w:rFonts w:asciiTheme="minorEastAsia" w:eastAsiaTheme="minorEastAsia" w:hAnsiTheme="minorEastAsia"/>
          <w:szCs w:val="21"/>
        </w:rPr>
        <w:t>份额</w:t>
      </w:r>
      <w:r w:rsidRPr="00565E0D">
        <w:rPr>
          <w:rFonts w:asciiTheme="minorEastAsia" w:eastAsiaTheme="minorEastAsia" w:hAnsiTheme="minorEastAsia" w:hint="eastAsia"/>
          <w:szCs w:val="21"/>
        </w:rPr>
        <w:t>持有人大会，</w:t>
      </w:r>
      <w:r w:rsidRPr="00565E0D">
        <w:rPr>
          <w:rFonts w:asciiTheme="minorEastAsia" w:eastAsiaTheme="minorEastAsia" w:hAnsiTheme="minorEastAsia"/>
          <w:szCs w:val="21"/>
        </w:rPr>
        <w:t>对基金份额持有人大会审议事项行使表决权</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（6）</w:t>
      </w:r>
      <w:r w:rsidRPr="00565E0D">
        <w:rPr>
          <w:rFonts w:asciiTheme="minorEastAsia" w:eastAsiaTheme="minorEastAsia" w:hAnsiTheme="minorEastAsia" w:hint="eastAsia"/>
          <w:szCs w:val="21"/>
        </w:rPr>
        <w:tab/>
      </w:r>
      <w:r w:rsidRPr="00565E0D">
        <w:rPr>
          <w:rFonts w:asciiTheme="minorEastAsia" w:eastAsiaTheme="minorEastAsia" w:hAnsiTheme="minorEastAsia"/>
          <w:szCs w:val="21"/>
        </w:rPr>
        <w:t>查阅或者复制公开披露的基金信息资料；</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（7）</w:t>
      </w:r>
      <w:r w:rsidRPr="00565E0D">
        <w:rPr>
          <w:rFonts w:asciiTheme="minorEastAsia" w:eastAsiaTheme="minorEastAsia" w:hAnsiTheme="minorEastAsia" w:hint="eastAsia"/>
          <w:szCs w:val="21"/>
        </w:rPr>
        <w:tab/>
      </w:r>
      <w:r w:rsidRPr="00565E0D">
        <w:rPr>
          <w:rFonts w:asciiTheme="minorEastAsia" w:eastAsiaTheme="minorEastAsia" w:hAnsiTheme="minorEastAsia"/>
          <w:szCs w:val="21"/>
        </w:rPr>
        <w:t>监督基金管理人的投资运作</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（8）</w:t>
      </w:r>
      <w:r w:rsidRPr="00565E0D">
        <w:rPr>
          <w:rFonts w:asciiTheme="minorEastAsia" w:eastAsiaTheme="minorEastAsia" w:hAnsiTheme="minorEastAsia" w:hint="eastAsia"/>
          <w:szCs w:val="21"/>
        </w:rPr>
        <w:tab/>
        <w:t>对基金管理人、基金托管人、基金份额发售机构损害其合法权益的行为依法提起诉讼；</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（9）</w:t>
      </w:r>
      <w:r w:rsidRPr="00565E0D">
        <w:rPr>
          <w:rFonts w:asciiTheme="minorEastAsia" w:eastAsiaTheme="minorEastAsia" w:hAnsiTheme="minorEastAsia" w:hint="eastAsia"/>
          <w:szCs w:val="21"/>
        </w:rPr>
        <w:tab/>
        <w:t>法律法规和《基金合同》规定的其他权利。</w:t>
      </w:r>
    </w:p>
    <w:p w:rsidR="00C35BC5" w:rsidRPr="00565E0D" w:rsidRDefault="00016F1C"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00C35BC5" w:rsidRPr="00565E0D">
        <w:rPr>
          <w:rFonts w:asciiTheme="minorEastAsia" w:eastAsiaTheme="minorEastAsia" w:hAnsiTheme="minorEastAsia" w:hint="eastAsia"/>
          <w:szCs w:val="21"/>
        </w:rPr>
        <w:t>根据《基金法》、《运作办法》及其他有关规定，基金份额持有人的义务包括但不限于：</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hint="eastAsia"/>
          <w:szCs w:val="21"/>
        </w:rPr>
        <w:tab/>
        <w:t>遵守《基金合同》；</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hint="eastAsia"/>
          <w:szCs w:val="21"/>
        </w:rPr>
        <w:tab/>
        <w:t>缴纳基金认购、申购款项及法律法规和《基金合同》所规定的费用；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w:t>
      </w:r>
      <w:r w:rsidRPr="00565E0D">
        <w:rPr>
          <w:rFonts w:asciiTheme="minorEastAsia" w:eastAsiaTheme="minorEastAsia" w:hAnsiTheme="minorEastAsia" w:hint="eastAsia"/>
          <w:szCs w:val="21"/>
        </w:rPr>
        <w:tab/>
        <w:t>在其持有的基金份额范围内，承担基金亏损或者《基金合同》终止的有限责任；</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w:t>
      </w:r>
      <w:r w:rsidRPr="00565E0D">
        <w:rPr>
          <w:rFonts w:asciiTheme="minorEastAsia" w:eastAsiaTheme="minorEastAsia" w:hAnsiTheme="minorEastAsia" w:hint="eastAsia"/>
          <w:szCs w:val="21"/>
        </w:rPr>
        <w:tab/>
        <w:t>不从事任何有损基金及其他《基金合同》当事人</w:t>
      </w:r>
      <w:r w:rsidRPr="00565E0D">
        <w:rPr>
          <w:rFonts w:asciiTheme="minorEastAsia" w:eastAsiaTheme="minorEastAsia" w:hAnsiTheme="minorEastAsia"/>
          <w:szCs w:val="21"/>
        </w:rPr>
        <w:t>合法权益</w:t>
      </w:r>
      <w:r w:rsidRPr="00565E0D">
        <w:rPr>
          <w:rFonts w:asciiTheme="minorEastAsia" w:eastAsiaTheme="minorEastAsia" w:hAnsiTheme="minorEastAsia" w:hint="eastAsia"/>
          <w:szCs w:val="21"/>
        </w:rPr>
        <w:t>的活动；</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w:t>
      </w:r>
      <w:r w:rsidRPr="00565E0D">
        <w:rPr>
          <w:rFonts w:asciiTheme="minorEastAsia" w:eastAsiaTheme="minorEastAsia" w:hAnsiTheme="minorEastAsia" w:hint="eastAsia"/>
          <w:szCs w:val="21"/>
        </w:rPr>
        <w:tab/>
        <w:t>返还在基金交易过程中因任何原因，自基金管理人、基金托管人及代销机构处获得的不当得利；</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（6）执行生效的基金份额持有人大会的决定；</w:t>
      </w:r>
    </w:p>
    <w:p w:rsidR="00C35BC5" w:rsidRPr="00565E0D" w:rsidRDefault="00C35BC5" w:rsidP="00552BE1">
      <w:pPr>
        <w:snapToGrid w:val="0"/>
        <w:spacing w:line="360" w:lineRule="auto"/>
        <w:ind w:firstLineChars="200" w:firstLine="420"/>
        <w:rPr>
          <w:rFonts w:asciiTheme="minorEastAsia" w:eastAsiaTheme="minorEastAsia" w:hAnsiTheme="minorEastAsia"/>
          <w:b/>
          <w:bCs/>
          <w:szCs w:val="21"/>
        </w:rPr>
      </w:pPr>
      <w:r w:rsidRPr="00565E0D">
        <w:rPr>
          <w:rFonts w:asciiTheme="minorEastAsia" w:eastAsiaTheme="minorEastAsia" w:hAnsiTheme="minorEastAsia" w:hint="eastAsia"/>
          <w:szCs w:val="21"/>
        </w:rPr>
        <w:t>（7）</w:t>
      </w:r>
      <w:r w:rsidRPr="00565E0D">
        <w:rPr>
          <w:rFonts w:asciiTheme="minorEastAsia" w:eastAsiaTheme="minorEastAsia" w:hAnsiTheme="minorEastAsia" w:hint="eastAsia"/>
          <w:szCs w:val="21"/>
        </w:rPr>
        <w:tab/>
        <w:t>法律法规及中国证监会规定的和《基金合同》约定的其他义务。</w:t>
      </w:r>
    </w:p>
    <w:p w:rsidR="00C35BC5" w:rsidRPr="00565E0D" w:rsidRDefault="00C35BC5" w:rsidP="00B5132A">
      <w:pPr>
        <w:pStyle w:val="2"/>
        <w:adjustRightInd w:val="0"/>
        <w:snapToGrid w:val="0"/>
        <w:spacing w:beforeLines="0" w:afterLines="0" w:line="360" w:lineRule="auto"/>
        <w:ind w:firstLineChars="0" w:firstLine="0"/>
        <w:rPr>
          <w:rFonts w:asciiTheme="minorEastAsia" w:eastAsiaTheme="minorEastAsia" w:hAnsiTheme="minorEastAsia"/>
        </w:rPr>
      </w:pPr>
      <w:bookmarkStart w:id="454" w:name="_Toc38551257"/>
      <w:r w:rsidRPr="00565E0D">
        <w:rPr>
          <w:rFonts w:asciiTheme="minorEastAsia" w:eastAsiaTheme="minorEastAsia" w:hAnsiTheme="minorEastAsia" w:hint="eastAsia"/>
          <w:b w:val="0"/>
          <w:bCs/>
        </w:rPr>
        <w:t>（五）基金份额持有人大会</w:t>
      </w:r>
      <w:bookmarkEnd w:id="454"/>
    </w:p>
    <w:p w:rsidR="00C35BC5" w:rsidRPr="00565E0D" w:rsidRDefault="00C35BC5" w:rsidP="00552BE1">
      <w:pPr>
        <w:adjustRightInd w:val="0"/>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基金份额持有人大会由基金份额持有人或基金份额持有人的合法授权代表共同组成。基金份额持有人持有的每一基金份额拥有平等的投票权。</w:t>
      </w:r>
    </w:p>
    <w:p w:rsidR="00C35BC5" w:rsidRPr="00565E0D" w:rsidRDefault="00C35BC5" w:rsidP="00552BE1">
      <w:pPr>
        <w:adjustRightInd w:val="0"/>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召开事由</w:t>
      </w:r>
    </w:p>
    <w:p w:rsidR="00C35BC5" w:rsidRPr="00565E0D" w:rsidRDefault="00C35BC5" w:rsidP="00552BE1">
      <w:pPr>
        <w:adjustRightInd w:val="0"/>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（1）当出现或需要决定下列事由之一的，应当召开基金份额持有人大会：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1）终止《基金合同》；</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2）更换基金管理人；</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3）更换基金托管人；</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4）转换基金运作方式；</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5）提高基金管理人、基金托管人的报酬标准；</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6）</w:t>
      </w:r>
      <w:r w:rsidRPr="00565E0D">
        <w:rPr>
          <w:rFonts w:asciiTheme="minorEastAsia" w:eastAsiaTheme="minorEastAsia" w:hAnsiTheme="minorEastAsia"/>
          <w:szCs w:val="21"/>
        </w:rPr>
        <w:t>变更基金类别</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7）</w:t>
      </w:r>
      <w:r w:rsidRPr="00565E0D">
        <w:rPr>
          <w:rFonts w:asciiTheme="minorEastAsia" w:eastAsiaTheme="minorEastAsia" w:hAnsiTheme="minorEastAsia"/>
          <w:szCs w:val="21"/>
        </w:rPr>
        <w:t>变更基金投资目标、范围或策略</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8）</w:t>
      </w:r>
      <w:r w:rsidRPr="00565E0D">
        <w:rPr>
          <w:rFonts w:asciiTheme="minorEastAsia" w:eastAsiaTheme="minorEastAsia" w:hAnsiTheme="minorEastAsia"/>
          <w:szCs w:val="21"/>
        </w:rPr>
        <w:t>变更基金份额持有人大会程序</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9）对基金当事人权利和义务产生重大影响的事项；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10）基金管理人或基金托管人要求召开基金份额持有人大会；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11）单独或合计持有本基金总份额10％以上（含10％）基金份额的基金份额持有人（以基金管理人收到提议当日的基金份额计算，下同）书面要求召开基金份额持有人大会；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12）法律法规、《基金合同》或中国证监会规定的其他应当召开基金份额持有人大会的事项。</w:t>
      </w:r>
    </w:p>
    <w:p w:rsidR="00C35BC5" w:rsidRPr="00565E0D" w:rsidRDefault="00C35BC5" w:rsidP="00552BE1">
      <w:pPr>
        <w:adjustRightInd w:val="0"/>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（2）以下情况可由基金管理人和基金托管人协商后修改，不需召开基金份额持有人大会：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（1）调低基金管理费、基金托管费、基金销售服务费；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（2）法律法规允许增加的基金费用的收取；</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（3）在《基金合同》规定的范围内调低本基金的申购费率、赎回费率或变更收费方式；</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（4）因相应的法律法规发生变动而应当对《基金合同》进行修改；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（5）对《基金合同》的修改对基金份额持有人利益无实质性不利影响或修改不涉及基金合同当事人权利义务关系发生变化；</w:t>
      </w:r>
    </w:p>
    <w:p w:rsidR="00C35BC5" w:rsidRPr="00565E0D" w:rsidRDefault="00C35BC5" w:rsidP="00552BE1">
      <w:pPr>
        <w:adjustRightInd w:val="0"/>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szCs w:val="21"/>
        </w:rPr>
        <w:t>（6）除按照法律法规和《基金合同》规定应当召开基金份额持有人大会的以外的其他情形。</w:t>
      </w:r>
    </w:p>
    <w:p w:rsidR="00C35BC5" w:rsidRPr="00565E0D" w:rsidRDefault="00C35BC5" w:rsidP="00552BE1">
      <w:pPr>
        <w:adjustRightInd w:val="0"/>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szCs w:val="21"/>
        </w:rPr>
        <w:t>3</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会议召集人及召集方式</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1）除法律法规规定或《基金合同》另有约定外，基金份额持有人大会由基金管理人召集；</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2）基金管理人未按规定召集或不能召集时，由基金托管人召集；</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w:t>
      </w:r>
      <w:r w:rsidRPr="00565E0D">
        <w:rPr>
          <w:rFonts w:asciiTheme="minorEastAsia" w:eastAsiaTheme="minorEastAsia" w:hAnsiTheme="minorEastAsia"/>
          <w:szCs w:val="21"/>
        </w:rPr>
        <w:t>基金托管人认为有必要召开基金份额持有人大会的，应当向基金管理人提出书面提议。基金管理人应当自收到书面提议之日起</w:t>
      </w:r>
      <w:r w:rsidRPr="00565E0D">
        <w:rPr>
          <w:rFonts w:asciiTheme="minorEastAsia" w:eastAsiaTheme="minorEastAsia" w:hAnsiTheme="minorEastAsia" w:hint="eastAsia"/>
          <w:szCs w:val="21"/>
        </w:rPr>
        <w:t>10</w:t>
      </w:r>
      <w:r w:rsidRPr="00565E0D">
        <w:rPr>
          <w:rFonts w:asciiTheme="minorEastAsia" w:eastAsiaTheme="minorEastAsia" w:hAnsiTheme="minorEastAsia"/>
          <w:szCs w:val="21"/>
        </w:rPr>
        <w:t>日内决定是否召集，并书面告知基金托管人。基金管理人决定召集的，应当自出具书面决定之日起</w:t>
      </w:r>
      <w:r w:rsidRPr="00565E0D">
        <w:rPr>
          <w:rFonts w:asciiTheme="minorEastAsia" w:eastAsiaTheme="minorEastAsia" w:hAnsiTheme="minorEastAsia" w:hint="eastAsia"/>
          <w:szCs w:val="21"/>
        </w:rPr>
        <w:t>60</w:t>
      </w:r>
      <w:r w:rsidRPr="00565E0D">
        <w:rPr>
          <w:rFonts w:asciiTheme="minorEastAsia" w:eastAsiaTheme="minorEastAsia" w:hAnsiTheme="minorEastAsia"/>
          <w:szCs w:val="21"/>
        </w:rPr>
        <w:t>日内召开；基金管理人决定不召集，基金托管人仍认为有必要召开的，应当</w:t>
      </w:r>
      <w:r w:rsidRPr="00565E0D">
        <w:rPr>
          <w:rFonts w:asciiTheme="minorEastAsia" w:eastAsiaTheme="minorEastAsia" w:hAnsiTheme="minorEastAsia" w:hint="eastAsia"/>
          <w:szCs w:val="21"/>
        </w:rPr>
        <w:t>由基金托管人</w:t>
      </w:r>
      <w:r w:rsidRPr="00565E0D">
        <w:rPr>
          <w:rFonts w:asciiTheme="minorEastAsia" w:eastAsiaTheme="minorEastAsia" w:hAnsiTheme="minorEastAsia"/>
          <w:szCs w:val="21"/>
        </w:rPr>
        <w:t>自行召集。</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4）代表基金份额10%以上（含10%）的基金份额持有人就同一事项认为有必要召开基金份额持有人大会的，</w:t>
      </w:r>
      <w:r w:rsidRPr="00565E0D">
        <w:rPr>
          <w:rFonts w:asciiTheme="minorEastAsia" w:eastAsiaTheme="minorEastAsia" w:hAnsiTheme="minorEastAsia"/>
          <w:szCs w:val="21"/>
        </w:rPr>
        <w:t>应当向基金管理人提出书面提议。基金管理人应当自收到书面提议之日起</w:t>
      </w:r>
      <w:r w:rsidRPr="00565E0D">
        <w:rPr>
          <w:rFonts w:asciiTheme="minorEastAsia" w:eastAsiaTheme="minorEastAsia" w:hAnsiTheme="minorEastAsia" w:hint="eastAsia"/>
          <w:szCs w:val="21"/>
        </w:rPr>
        <w:t>10</w:t>
      </w:r>
      <w:r w:rsidRPr="00565E0D">
        <w:rPr>
          <w:rFonts w:asciiTheme="minorEastAsia" w:eastAsiaTheme="minorEastAsia" w:hAnsiTheme="minorEastAsia"/>
          <w:szCs w:val="21"/>
        </w:rPr>
        <w:t>日内决定是否召集，并书面告知提出提议的基金份额持有人代表和基金托管人。基金管理人决定召集的，应当自出具书面决定之日起</w:t>
      </w:r>
      <w:r w:rsidRPr="00565E0D">
        <w:rPr>
          <w:rFonts w:asciiTheme="minorEastAsia" w:eastAsiaTheme="minorEastAsia" w:hAnsiTheme="minorEastAsia" w:hint="eastAsia"/>
          <w:szCs w:val="21"/>
        </w:rPr>
        <w:t>60</w:t>
      </w:r>
      <w:r w:rsidRPr="00565E0D">
        <w:rPr>
          <w:rFonts w:asciiTheme="minorEastAsia" w:eastAsiaTheme="minorEastAsia" w:hAnsiTheme="minorEastAsia"/>
          <w:szCs w:val="21"/>
        </w:rPr>
        <w:t>日内召开；基金管理人决定不召集，代表基金份额</w:t>
      </w:r>
      <w:r w:rsidRPr="00565E0D">
        <w:rPr>
          <w:rFonts w:asciiTheme="minorEastAsia" w:eastAsiaTheme="minorEastAsia" w:hAnsiTheme="minorEastAsia" w:hint="eastAsia"/>
          <w:szCs w:val="21"/>
        </w:rPr>
        <w:t>10%</w:t>
      </w:r>
      <w:r w:rsidRPr="00565E0D">
        <w:rPr>
          <w:rFonts w:asciiTheme="minorEastAsia" w:eastAsiaTheme="minorEastAsia" w:hAnsiTheme="minorEastAsia"/>
          <w:szCs w:val="21"/>
        </w:rPr>
        <w:t>以上</w:t>
      </w:r>
      <w:r w:rsidRPr="00565E0D">
        <w:rPr>
          <w:rFonts w:asciiTheme="minorEastAsia" w:eastAsiaTheme="minorEastAsia" w:hAnsiTheme="minorEastAsia" w:hint="eastAsia"/>
          <w:szCs w:val="21"/>
        </w:rPr>
        <w:t>（含10%）</w:t>
      </w:r>
      <w:r w:rsidRPr="00565E0D">
        <w:rPr>
          <w:rFonts w:asciiTheme="minorEastAsia" w:eastAsiaTheme="minorEastAsia" w:hAnsiTheme="minorEastAsia"/>
          <w:szCs w:val="21"/>
        </w:rPr>
        <w:t>的基金份额持有人仍认为有必要召开的，应当向基金托管人提出书面提议。基金托管人应当自收到书面提议之日起</w:t>
      </w:r>
      <w:r w:rsidRPr="00565E0D">
        <w:rPr>
          <w:rFonts w:asciiTheme="minorEastAsia" w:eastAsiaTheme="minorEastAsia" w:hAnsiTheme="minorEastAsia" w:hint="eastAsia"/>
          <w:szCs w:val="21"/>
        </w:rPr>
        <w:t>10</w:t>
      </w:r>
      <w:r w:rsidRPr="00565E0D">
        <w:rPr>
          <w:rFonts w:asciiTheme="minorEastAsia" w:eastAsiaTheme="minorEastAsia" w:hAnsiTheme="minorEastAsia"/>
          <w:szCs w:val="21"/>
        </w:rPr>
        <w:t>日内决定是否召集，并书面告知提出提议的基金份额持有人代表和基金管理人；基金托管人决定召集的，应当自出具书面决定之日起</w:t>
      </w:r>
      <w:r w:rsidRPr="00565E0D">
        <w:rPr>
          <w:rFonts w:asciiTheme="minorEastAsia" w:eastAsiaTheme="minorEastAsia" w:hAnsiTheme="minorEastAsia" w:hint="eastAsia"/>
          <w:szCs w:val="21"/>
        </w:rPr>
        <w:t>60</w:t>
      </w:r>
      <w:r w:rsidRPr="00565E0D">
        <w:rPr>
          <w:rFonts w:asciiTheme="minorEastAsia" w:eastAsiaTheme="minorEastAsia" w:hAnsiTheme="minorEastAsia"/>
          <w:szCs w:val="21"/>
        </w:rPr>
        <w:t>日内召开。</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如在上述第4条情况下，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C35BC5" w:rsidRPr="00565E0D" w:rsidRDefault="00C35BC5" w:rsidP="00552BE1">
      <w:pPr>
        <w:adjustRightInd w:val="0"/>
        <w:snapToGrid w:val="0"/>
        <w:spacing w:line="360" w:lineRule="auto"/>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6）基金份额持有人会议的召集人负责选择确定开会时间、地点、方式和权益登记日。</w:t>
      </w:r>
    </w:p>
    <w:p w:rsidR="00C35BC5" w:rsidRPr="00565E0D" w:rsidRDefault="00C35BC5" w:rsidP="00552BE1">
      <w:pPr>
        <w:adjustRightInd w:val="0"/>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4</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召开基金份额持有人大会的通知时间、通知内容、通知方式</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（1）召开基金份额持有人大会，召集人应于会议召开前4</w:t>
      </w:r>
      <w:r w:rsidRPr="00565E0D">
        <w:rPr>
          <w:rFonts w:asciiTheme="minorEastAsia" w:eastAsiaTheme="minorEastAsia" w:hAnsiTheme="minorEastAsia"/>
          <w:szCs w:val="21"/>
        </w:rPr>
        <w:t>0</w:t>
      </w:r>
      <w:r w:rsidRPr="00565E0D">
        <w:rPr>
          <w:rFonts w:asciiTheme="minorEastAsia" w:eastAsiaTheme="minorEastAsia" w:hAnsiTheme="minorEastAsia" w:hint="eastAsia"/>
          <w:szCs w:val="21"/>
        </w:rPr>
        <w:t>天，在</w:t>
      </w:r>
      <w:r w:rsidR="00C53A0E" w:rsidRPr="00565E0D">
        <w:rPr>
          <w:rFonts w:asciiTheme="minorEastAsia" w:eastAsiaTheme="minorEastAsia" w:hAnsiTheme="minorEastAsia" w:hint="eastAsia"/>
          <w:szCs w:val="21"/>
        </w:rPr>
        <w:t>指定媒介</w:t>
      </w:r>
      <w:r w:rsidRPr="00565E0D">
        <w:rPr>
          <w:rFonts w:asciiTheme="minorEastAsia" w:eastAsiaTheme="minorEastAsia" w:hAnsiTheme="minorEastAsia" w:hint="eastAsia"/>
          <w:szCs w:val="21"/>
        </w:rPr>
        <w:t>上公告。基金份额持有人大会通知应至少载明以下内容：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1）会议召开的时间、地点、方式；</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2）会议拟审议的事项、议事程序；</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3）有权出席基金份额持有人大会的基金份额持有人的权益登记日；</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4）代理投票授权委托书送达时间和地点；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5）会务常设联系人姓名及联系电话。</w:t>
      </w:r>
    </w:p>
    <w:p w:rsidR="00C35BC5" w:rsidRPr="00565E0D" w:rsidRDefault="00C35BC5" w:rsidP="00552BE1">
      <w:pPr>
        <w:adjustRightInd w:val="0"/>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szCs w:val="21"/>
        </w:rPr>
        <w:t>（2）采</w:t>
      </w:r>
      <w:r w:rsidRPr="00565E0D">
        <w:rPr>
          <w:rFonts w:asciiTheme="minorEastAsia" w:eastAsiaTheme="minorEastAsia" w:hAnsiTheme="minorEastAsia"/>
          <w:szCs w:val="21"/>
        </w:rPr>
        <w:t>取通讯开会方式并进行表决的情况下，</w:t>
      </w:r>
      <w:r w:rsidRPr="00565E0D">
        <w:rPr>
          <w:rFonts w:asciiTheme="minorEastAsia" w:eastAsiaTheme="minorEastAsia" w:hAnsiTheme="minorEastAsia" w:hint="eastAsia"/>
          <w:szCs w:val="21"/>
        </w:rPr>
        <w:t>由会议召集人决定通讯方式和书面表决方式，并在会议通知中说明本次基金份额持有人大会所采取的具体通讯方式、委托的公证机关及其联系方式和联系人、书面表决意见的寄交的截止时间和收取方式。</w:t>
      </w:r>
    </w:p>
    <w:p w:rsidR="00C35BC5" w:rsidRPr="00565E0D" w:rsidRDefault="00C35BC5" w:rsidP="00552BE1">
      <w:pPr>
        <w:adjustRightInd w:val="0"/>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5</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基金份额持有人出席</w:t>
      </w:r>
      <w:r w:rsidRPr="00565E0D">
        <w:rPr>
          <w:rFonts w:asciiTheme="minorEastAsia" w:eastAsiaTheme="minorEastAsia" w:hAnsiTheme="minorEastAsia"/>
          <w:szCs w:val="21"/>
        </w:rPr>
        <w:t>会议方式</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基金份额持有人大会</w:t>
      </w:r>
      <w:r w:rsidRPr="00565E0D">
        <w:rPr>
          <w:rFonts w:asciiTheme="minorEastAsia" w:eastAsiaTheme="minorEastAsia" w:hAnsiTheme="minorEastAsia" w:hint="eastAsia"/>
          <w:szCs w:val="21"/>
        </w:rPr>
        <w:t>可通过现场开会方式或通讯开会方式召开。</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会议的召开方式由</w:t>
      </w:r>
      <w:r w:rsidRPr="00565E0D">
        <w:rPr>
          <w:rFonts w:asciiTheme="minorEastAsia" w:eastAsiaTheme="minorEastAsia" w:hAnsiTheme="minorEastAsia" w:hint="eastAsia"/>
          <w:szCs w:val="21"/>
        </w:rPr>
        <w:t>会议</w:t>
      </w:r>
      <w:r w:rsidRPr="00565E0D">
        <w:rPr>
          <w:rFonts w:asciiTheme="minorEastAsia" w:eastAsiaTheme="minorEastAsia" w:hAnsiTheme="minorEastAsia"/>
          <w:szCs w:val="21"/>
        </w:rPr>
        <w:t>召集人确定，但更换基金管理人和基金托管人必须以现场开会方式召开。</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现场开会。由基金份额持有人本人出席或以代理投票授权委托书委派代表出席，现场开会时基金管理人和基金托管人的授权代表应当</w:t>
      </w:r>
      <w:r w:rsidRPr="00565E0D">
        <w:rPr>
          <w:rFonts w:asciiTheme="minorEastAsia" w:eastAsiaTheme="minorEastAsia" w:hAnsiTheme="minorEastAsia" w:hint="eastAsia"/>
          <w:szCs w:val="21"/>
        </w:rPr>
        <w:t>列席</w:t>
      </w:r>
      <w:r w:rsidRPr="00565E0D">
        <w:rPr>
          <w:rFonts w:asciiTheme="minorEastAsia" w:eastAsiaTheme="minorEastAsia" w:hAnsiTheme="minorEastAsia"/>
          <w:szCs w:val="21"/>
        </w:rPr>
        <w:t>基金份额持有人大会</w:t>
      </w:r>
      <w:r w:rsidRPr="00565E0D">
        <w:rPr>
          <w:rFonts w:asciiTheme="minorEastAsia" w:eastAsiaTheme="minorEastAsia" w:hAnsiTheme="minorEastAsia" w:hint="eastAsia"/>
          <w:szCs w:val="21"/>
        </w:rPr>
        <w:t>，基金管理人或托管人不派代表列席的，不影响表决效力</w:t>
      </w:r>
      <w:r w:rsidRPr="00565E0D">
        <w:rPr>
          <w:rFonts w:asciiTheme="minorEastAsia" w:eastAsiaTheme="minorEastAsia" w:hAnsiTheme="minorEastAsia"/>
          <w:szCs w:val="21"/>
        </w:rPr>
        <w:t>。现场开会同时符合以下条件时，可以进行基金份额持有人大会议程：</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亲自出席会议者持有基金份额的凭证、受托出席会议者出具的委托人持有基金份额的凭证及委托人的代理投票授权委托书符合法律法规、《基金合同》和会议通知的规定；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经核对，汇总到会者出示的在权</w:t>
      </w:r>
      <w:r w:rsidRPr="00565E0D">
        <w:rPr>
          <w:rFonts w:asciiTheme="minorEastAsia" w:eastAsiaTheme="minorEastAsia" w:hAnsiTheme="minorEastAsia" w:hint="eastAsia"/>
          <w:szCs w:val="21"/>
        </w:rPr>
        <w:t>益</w:t>
      </w:r>
      <w:r w:rsidRPr="00565E0D">
        <w:rPr>
          <w:rFonts w:asciiTheme="minorEastAsia" w:eastAsiaTheme="minorEastAsia" w:hAnsiTheme="minorEastAsia"/>
          <w:szCs w:val="21"/>
        </w:rPr>
        <w:t>登记日持有基金份额的凭证显示，有效的基金份额</w:t>
      </w:r>
      <w:r w:rsidRPr="00565E0D">
        <w:rPr>
          <w:rFonts w:asciiTheme="minorEastAsia" w:eastAsiaTheme="minorEastAsia" w:hAnsiTheme="minorEastAsia" w:hint="eastAsia"/>
          <w:szCs w:val="21"/>
        </w:rPr>
        <w:t>不少</w:t>
      </w:r>
      <w:r w:rsidRPr="00565E0D">
        <w:rPr>
          <w:rFonts w:asciiTheme="minorEastAsia" w:eastAsiaTheme="minorEastAsia" w:hAnsiTheme="minorEastAsia"/>
          <w:szCs w:val="21"/>
        </w:rPr>
        <w:t>于本基金在</w:t>
      </w:r>
      <w:r w:rsidRPr="00565E0D">
        <w:rPr>
          <w:rFonts w:asciiTheme="minorEastAsia" w:eastAsiaTheme="minorEastAsia" w:hAnsiTheme="minorEastAsia" w:hint="eastAsia"/>
          <w:szCs w:val="21"/>
        </w:rPr>
        <w:t>权益</w:t>
      </w:r>
      <w:r w:rsidRPr="00565E0D">
        <w:rPr>
          <w:rFonts w:asciiTheme="minorEastAsia" w:eastAsiaTheme="minorEastAsia" w:hAnsiTheme="minorEastAsia"/>
          <w:szCs w:val="21"/>
        </w:rPr>
        <w:t>登记日基金总</w:t>
      </w:r>
      <w:r w:rsidRPr="00565E0D">
        <w:rPr>
          <w:rFonts w:asciiTheme="minorEastAsia" w:eastAsiaTheme="minorEastAsia" w:hAnsiTheme="minorEastAsia" w:hint="eastAsia"/>
          <w:szCs w:val="21"/>
        </w:rPr>
        <w:t>份</w:t>
      </w:r>
      <w:r w:rsidRPr="00565E0D">
        <w:rPr>
          <w:rFonts w:asciiTheme="minorEastAsia" w:eastAsiaTheme="minorEastAsia" w:hAnsiTheme="minorEastAsia"/>
          <w:szCs w:val="21"/>
        </w:rPr>
        <w:t>额的</w:t>
      </w:r>
      <w:r w:rsidRPr="00565E0D">
        <w:rPr>
          <w:rFonts w:asciiTheme="minorEastAsia" w:eastAsiaTheme="minorEastAsia" w:hAnsiTheme="minorEastAsia" w:hint="eastAsia"/>
          <w:szCs w:val="21"/>
        </w:rPr>
        <w:t>50</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（含50%）</w:t>
      </w:r>
      <w:r w:rsidRPr="00565E0D">
        <w:rPr>
          <w:rFonts w:asciiTheme="minorEastAsia" w:eastAsiaTheme="minorEastAsia" w:hAnsiTheme="minor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通讯开会。</w:t>
      </w:r>
      <w:r w:rsidRPr="00565E0D">
        <w:rPr>
          <w:rFonts w:asciiTheme="minorEastAsia" w:eastAsiaTheme="minorEastAsia" w:hAnsiTheme="minorEastAsia" w:hint="eastAsia"/>
          <w:szCs w:val="21"/>
        </w:rPr>
        <w:t>通讯开会系指基金份额持有人将其对表决事项的投票以书面形式在表决截止日以前送达至召集人指定的地址。</w:t>
      </w:r>
      <w:r w:rsidRPr="00565E0D">
        <w:rPr>
          <w:rFonts w:asciiTheme="minorEastAsia" w:eastAsiaTheme="minorEastAsia" w:hAnsiTheme="minorEastAsia"/>
          <w:szCs w:val="21"/>
        </w:rPr>
        <w:t>通讯开会应以书面方式进行表决。</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在</w:t>
      </w:r>
      <w:r w:rsidRPr="00565E0D">
        <w:rPr>
          <w:rFonts w:asciiTheme="minorEastAsia" w:eastAsiaTheme="minorEastAsia" w:hAnsiTheme="minorEastAsia" w:hint="eastAsia"/>
          <w:szCs w:val="21"/>
        </w:rPr>
        <w:t>同时</w:t>
      </w:r>
      <w:r w:rsidRPr="00565E0D">
        <w:rPr>
          <w:rFonts w:asciiTheme="minorEastAsia" w:eastAsiaTheme="minorEastAsia" w:hAnsiTheme="minorEastAsia"/>
          <w:szCs w:val="21"/>
        </w:rPr>
        <w:t>符合以下条件时，通讯开会的方式视为有效：</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（1）会议召集人</w:t>
      </w:r>
      <w:r w:rsidRPr="00565E0D">
        <w:rPr>
          <w:rFonts w:asciiTheme="minorEastAsia" w:eastAsiaTheme="minorEastAsia" w:hAnsiTheme="minorEastAsia"/>
          <w:szCs w:val="21"/>
        </w:rPr>
        <w:t>按《基金合同》规定公布会议通知后，在</w:t>
      </w: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个工作日内连续公布相关提示性公告；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（2）会议召集人</w:t>
      </w:r>
      <w:r w:rsidRPr="00565E0D">
        <w:rPr>
          <w:rFonts w:asciiTheme="minorEastAsia" w:eastAsiaTheme="minorEastAsia" w:hAnsiTheme="minorEastAsia"/>
          <w:szCs w:val="21"/>
        </w:rPr>
        <w:t>在基金托管人</w:t>
      </w:r>
      <w:r w:rsidRPr="00565E0D">
        <w:rPr>
          <w:rFonts w:asciiTheme="minorEastAsia" w:eastAsiaTheme="minorEastAsia" w:hAnsiTheme="minorEastAsia" w:hint="eastAsia"/>
          <w:szCs w:val="21"/>
        </w:rPr>
        <w:t>（如果基金托管人为召集人，则为基金管理人）</w:t>
      </w:r>
      <w:r w:rsidRPr="00565E0D">
        <w:rPr>
          <w:rFonts w:asciiTheme="minorEastAsia" w:eastAsiaTheme="minorEastAsia" w:hAnsiTheme="minorEastAsia"/>
          <w:szCs w:val="21"/>
        </w:rPr>
        <w:t>和公证机关的监督下按照会议通知规定的方式收取基金份额持有人的书面表决意见；</w:t>
      </w:r>
      <w:r w:rsidRPr="00565E0D">
        <w:rPr>
          <w:rFonts w:asciiTheme="minorEastAsia" w:eastAsiaTheme="minorEastAsia" w:hAnsiTheme="minorEastAsia" w:hint="eastAsia"/>
          <w:szCs w:val="21"/>
        </w:rPr>
        <w:t>基金托管人或基金管理人经通知不参加收取书面表决意见的，不影响表决效力</w:t>
      </w:r>
      <w:r w:rsidRPr="00565E0D">
        <w:rPr>
          <w:rFonts w:asciiTheme="minorEastAsia" w:eastAsiaTheme="minorEastAsia" w:hAnsiTheme="minorEastAsia"/>
          <w:szCs w:val="21"/>
        </w:rPr>
        <w:t>；</w:t>
      </w:r>
    </w:p>
    <w:p w:rsidR="00C35BC5" w:rsidRPr="00565E0D" w:rsidRDefault="00C35BC5" w:rsidP="00552BE1">
      <w:pPr>
        <w:snapToGrid w:val="0"/>
        <w:spacing w:line="360" w:lineRule="auto"/>
        <w:ind w:firstLineChars="225" w:firstLine="473"/>
        <w:rPr>
          <w:rFonts w:asciiTheme="minorEastAsia" w:eastAsiaTheme="minorEastAsia" w:hAnsiTheme="minorEastAsia"/>
          <w:szCs w:val="21"/>
        </w:rPr>
      </w:pPr>
      <w:r w:rsidRPr="00565E0D">
        <w:rPr>
          <w:rFonts w:asciiTheme="minorEastAsia" w:eastAsiaTheme="minorEastAsia" w:hAnsiTheme="minorEastAsia" w:hint="eastAsia"/>
          <w:szCs w:val="21"/>
        </w:rPr>
        <w:t>（3）</w:t>
      </w:r>
      <w:r w:rsidRPr="00565E0D">
        <w:rPr>
          <w:rFonts w:asciiTheme="minorEastAsia" w:eastAsiaTheme="minorEastAsia" w:hAnsiTheme="minorEastAsia"/>
          <w:szCs w:val="21"/>
        </w:rPr>
        <w:t>本人直接出具书面意见或授权他人代表出具书面意见的，基金份额持有人所持有的基金份额</w:t>
      </w:r>
      <w:r w:rsidRPr="00565E0D">
        <w:rPr>
          <w:rFonts w:asciiTheme="minorEastAsia" w:eastAsiaTheme="minorEastAsia" w:hAnsiTheme="minorEastAsia" w:hint="eastAsia"/>
          <w:szCs w:val="21"/>
        </w:rPr>
        <w:t>不小</w:t>
      </w:r>
      <w:r w:rsidRPr="00565E0D">
        <w:rPr>
          <w:rFonts w:asciiTheme="minorEastAsia" w:eastAsiaTheme="minorEastAsia" w:hAnsiTheme="minorEastAsia"/>
          <w:szCs w:val="21"/>
        </w:rPr>
        <w:t>于在</w:t>
      </w:r>
      <w:r w:rsidRPr="00565E0D">
        <w:rPr>
          <w:rFonts w:asciiTheme="minorEastAsia" w:eastAsiaTheme="minorEastAsia" w:hAnsiTheme="minorEastAsia" w:hint="eastAsia"/>
          <w:szCs w:val="21"/>
        </w:rPr>
        <w:t>权益</w:t>
      </w:r>
      <w:r w:rsidRPr="00565E0D">
        <w:rPr>
          <w:rFonts w:asciiTheme="minorEastAsia" w:eastAsiaTheme="minorEastAsia" w:hAnsiTheme="minorEastAsia"/>
          <w:szCs w:val="21"/>
        </w:rPr>
        <w:t>登记日基金总份额的</w:t>
      </w:r>
      <w:r w:rsidRPr="00565E0D">
        <w:rPr>
          <w:rFonts w:asciiTheme="minorEastAsia" w:eastAsiaTheme="minorEastAsia" w:hAnsiTheme="minorEastAsia" w:hint="eastAsia"/>
          <w:szCs w:val="21"/>
        </w:rPr>
        <w:t>50%（含50%）</w:t>
      </w:r>
      <w:r w:rsidRPr="00565E0D">
        <w:rPr>
          <w:rFonts w:asciiTheme="minorEastAsia" w:eastAsiaTheme="minorEastAsia" w:hAnsiTheme="minor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（4）上述第（3）项中</w:t>
      </w:r>
      <w:r w:rsidRPr="00565E0D">
        <w:rPr>
          <w:rFonts w:asciiTheme="minorEastAsia" w:eastAsiaTheme="minorEastAsia" w:hAnsiTheme="minorEastAsia"/>
          <w:szCs w:val="21"/>
        </w:rPr>
        <w:t>直接出具书面意见的基金份额持有人或受托代表他人出具书面意见的代理人，同时提交的持有基金份额的凭证、受托</w:t>
      </w:r>
      <w:r w:rsidRPr="00565E0D">
        <w:rPr>
          <w:rFonts w:asciiTheme="minorEastAsia" w:eastAsiaTheme="minorEastAsia" w:hAnsiTheme="minorEastAsia" w:hint="eastAsia"/>
          <w:szCs w:val="21"/>
        </w:rPr>
        <w:t>出具书面意见的代理人</w:t>
      </w:r>
      <w:r w:rsidRPr="00565E0D">
        <w:rPr>
          <w:rFonts w:asciiTheme="minorEastAsia" w:eastAsiaTheme="minorEastAsia" w:hAnsiTheme="minorEastAsia"/>
          <w:szCs w:val="21"/>
        </w:rPr>
        <w:t>出具的委托人持有基金份额的凭证及委托人的代理投票授权委托书符合法律法规、《基金合同》和会议通知的规定；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w:t>
      </w:r>
      <w:r w:rsidRPr="00565E0D">
        <w:rPr>
          <w:rFonts w:asciiTheme="minorEastAsia" w:eastAsiaTheme="minorEastAsia" w:hAnsiTheme="minorEastAsia"/>
          <w:szCs w:val="21"/>
        </w:rPr>
        <w:t>会议通知公布前报中国证监会备案。</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6</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议事内容与程序</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议事内容及提案权</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议事内容为关系基金份额持有人利益的重大事项，如</w:t>
      </w:r>
      <w:r w:rsidRPr="00565E0D">
        <w:rPr>
          <w:rFonts w:asciiTheme="minorEastAsia" w:eastAsiaTheme="minorEastAsia" w:hAnsiTheme="minorEastAsia" w:hint="eastAsia"/>
          <w:szCs w:val="21"/>
        </w:rPr>
        <w:t>《基金合同》的重大修改</w:t>
      </w:r>
      <w:r w:rsidRPr="00565E0D">
        <w:rPr>
          <w:rFonts w:asciiTheme="minorEastAsia" w:eastAsiaTheme="minorEastAsia" w:hAnsiTheme="minorEastAsia"/>
          <w:szCs w:val="21"/>
        </w:rPr>
        <w:t>、决定终止</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基金</w:t>
      </w:r>
      <w:r w:rsidRPr="00565E0D">
        <w:rPr>
          <w:rFonts w:asciiTheme="minorEastAsia" w:eastAsiaTheme="minorEastAsia" w:hAnsiTheme="minorEastAsia" w:hint="eastAsia"/>
          <w:szCs w:val="21"/>
        </w:rPr>
        <w:t>合同》</w:t>
      </w:r>
      <w:r w:rsidRPr="00565E0D">
        <w:rPr>
          <w:rFonts w:asciiTheme="minorEastAsia" w:eastAsiaTheme="minorEastAsia" w:hAnsiTheme="minorEastAsia"/>
          <w:szCs w:val="21"/>
        </w:rPr>
        <w:t>、更换基金管理人、更换基金托管人、与其他基金合并</w:t>
      </w:r>
      <w:r w:rsidRPr="00565E0D">
        <w:rPr>
          <w:rFonts w:asciiTheme="minorEastAsia" w:eastAsiaTheme="minorEastAsia" w:hAnsiTheme="minorEastAsia" w:hint="eastAsia"/>
          <w:szCs w:val="21"/>
        </w:rPr>
        <w:t>、法律法规及《基金合同》规定的其他事项</w:t>
      </w:r>
      <w:r w:rsidRPr="00565E0D">
        <w:rPr>
          <w:rFonts w:asciiTheme="minorEastAsia" w:eastAsiaTheme="minorEastAsia" w:hAnsiTheme="minorEastAsia"/>
          <w:szCs w:val="21"/>
        </w:rPr>
        <w:t>以及</w:t>
      </w:r>
      <w:r w:rsidRPr="00565E0D">
        <w:rPr>
          <w:rFonts w:asciiTheme="minorEastAsia" w:eastAsiaTheme="minorEastAsia" w:hAnsiTheme="minorEastAsia" w:hint="eastAsia"/>
          <w:szCs w:val="21"/>
        </w:rPr>
        <w:t>会议</w:t>
      </w:r>
      <w:r w:rsidRPr="00565E0D">
        <w:rPr>
          <w:rFonts w:asciiTheme="minorEastAsia" w:eastAsiaTheme="minorEastAsia" w:hAnsiTheme="minorEastAsia"/>
          <w:szCs w:val="21"/>
        </w:rPr>
        <w:t>召集人认为需提交基金份额持有人大会讨论的其他事项。</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基金管理人、基金托管人、单独或合并持有权</w:t>
      </w:r>
      <w:r w:rsidRPr="00565E0D">
        <w:rPr>
          <w:rFonts w:asciiTheme="minorEastAsia" w:eastAsiaTheme="minorEastAsia" w:hAnsiTheme="minorEastAsia" w:hint="eastAsia"/>
          <w:szCs w:val="21"/>
        </w:rPr>
        <w:t>益</w:t>
      </w:r>
      <w:r w:rsidRPr="00565E0D">
        <w:rPr>
          <w:rFonts w:asciiTheme="minorEastAsia" w:eastAsiaTheme="minorEastAsia" w:hAnsiTheme="minorEastAsia"/>
          <w:szCs w:val="21"/>
        </w:rPr>
        <w:t>登记日基金总份额10%</w:t>
      </w:r>
      <w:r w:rsidRPr="00565E0D">
        <w:rPr>
          <w:rFonts w:asciiTheme="minorEastAsia" w:eastAsiaTheme="minorEastAsia" w:hAnsiTheme="minorEastAsia" w:hint="eastAsia"/>
          <w:szCs w:val="21"/>
        </w:rPr>
        <w:t>（含10%）</w:t>
      </w:r>
      <w:r w:rsidRPr="00565E0D">
        <w:rPr>
          <w:rFonts w:asciiTheme="minorEastAsia" w:eastAsiaTheme="minorEastAsia" w:hAnsiTheme="minorEastAsia"/>
          <w:szCs w:val="21"/>
        </w:rPr>
        <w:t>以上的基金份额持有人可以在大会召集人发出会议通知前向大会召集人提交需由基金份额持有人大会审议表决的提案；也可以在会议通知发出后向大会召集人提交临时提案，临时提案应当在大会召开日</w:t>
      </w:r>
      <w:r w:rsidRPr="00565E0D">
        <w:rPr>
          <w:rFonts w:asciiTheme="minorEastAsia" w:eastAsiaTheme="minorEastAsia" w:hAnsiTheme="minorEastAsia" w:hint="eastAsia"/>
          <w:szCs w:val="21"/>
        </w:rPr>
        <w:t>至少35</w:t>
      </w:r>
      <w:r w:rsidRPr="00565E0D">
        <w:rPr>
          <w:rFonts w:asciiTheme="minorEastAsia" w:eastAsiaTheme="minorEastAsia" w:hAnsiTheme="minorEastAsia"/>
          <w:szCs w:val="21"/>
        </w:rPr>
        <w:t>天</w:t>
      </w:r>
      <w:r w:rsidRPr="00565E0D">
        <w:rPr>
          <w:rFonts w:asciiTheme="minorEastAsia" w:eastAsiaTheme="minorEastAsia" w:hAnsiTheme="minorEastAsia" w:hint="eastAsia"/>
          <w:szCs w:val="21"/>
        </w:rPr>
        <w:t>前</w:t>
      </w:r>
      <w:r w:rsidRPr="00565E0D">
        <w:rPr>
          <w:rFonts w:asciiTheme="minorEastAsia" w:eastAsiaTheme="minorEastAsia" w:hAnsiTheme="minorEastAsia"/>
          <w:szCs w:val="21"/>
        </w:rPr>
        <w:t>提交召集人</w:t>
      </w:r>
      <w:r w:rsidRPr="00565E0D">
        <w:rPr>
          <w:rFonts w:asciiTheme="minorEastAsia" w:eastAsiaTheme="minorEastAsia" w:hAnsiTheme="minorEastAsia" w:hint="eastAsia"/>
          <w:szCs w:val="21"/>
        </w:rPr>
        <w:t>并由召集人公告</w:t>
      </w:r>
      <w:r w:rsidRPr="00565E0D">
        <w:rPr>
          <w:rFonts w:asciiTheme="minorEastAsia" w:eastAsiaTheme="minorEastAsia" w:hAnsiTheme="minor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基金份额持有人大会的召集人发出召集会议的通知后，对原有提案的修改应当在基金份额持有人大会召开日</w:t>
      </w:r>
      <w:r w:rsidRPr="00565E0D">
        <w:rPr>
          <w:rFonts w:asciiTheme="minorEastAsia" w:eastAsiaTheme="minorEastAsia" w:hAnsiTheme="minorEastAsia" w:hint="eastAsia"/>
          <w:szCs w:val="21"/>
        </w:rPr>
        <w:t>30</w:t>
      </w:r>
      <w:r w:rsidRPr="00565E0D">
        <w:rPr>
          <w:rFonts w:asciiTheme="minorEastAsia" w:eastAsiaTheme="minorEastAsia" w:hAnsiTheme="minorEastAsia"/>
          <w:szCs w:val="21"/>
        </w:rPr>
        <w:t>天</w:t>
      </w:r>
      <w:r w:rsidRPr="00565E0D">
        <w:rPr>
          <w:rFonts w:asciiTheme="minorEastAsia" w:eastAsiaTheme="minorEastAsia" w:hAnsiTheme="minorEastAsia" w:hint="eastAsia"/>
          <w:szCs w:val="21"/>
        </w:rPr>
        <w:t>前</w:t>
      </w:r>
      <w:r w:rsidRPr="00565E0D">
        <w:rPr>
          <w:rFonts w:asciiTheme="minorEastAsia" w:eastAsiaTheme="minorEastAsia" w:hAnsiTheme="minorEastAsia"/>
          <w:szCs w:val="21"/>
        </w:rPr>
        <w:t>公告。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基金份额持有人大会不得对未事先公告的议事内容进行表决。</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召集人对于基金管理人</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基金托管人和</w:t>
      </w:r>
      <w:r w:rsidRPr="00565E0D">
        <w:rPr>
          <w:rFonts w:asciiTheme="minorEastAsia" w:eastAsiaTheme="minorEastAsia" w:hAnsiTheme="minorEastAsia" w:hint="eastAsia"/>
          <w:szCs w:val="21"/>
        </w:rPr>
        <w:t>基金份额持有人</w:t>
      </w:r>
      <w:r w:rsidRPr="00565E0D">
        <w:rPr>
          <w:rFonts w:asciiTheme="minorEastAsia" w:eastAsiaTheme="minorEastAsia" w:hAnsiTheme="minorEastAsia"/>
          <w:szCs w:val="21"/>
        </w:rPr>
        <w:t>提交的临时提案</w:t>
      </w:r>
      <w:r w:rsidRPr="00565E0D">
        <w:rPr>
          <w:rFonts w:asciiTheme="minorEastAsia" w:eastAsiaTheme="minorEastAsia" w:hAnsiTheme="minorEastAsia" w:hint="eastAsia"/>
          <w:szCs w:val="21"/>
        </w:rPr>
        <w:t>进行审核，符合条件的</w:t>
      </w:r>
      <w:r w:rsidRPr="00565E0D">
        <w:rPr>
          <w:rFonts w:asciiTheme="minorEastAsia" w:eastAsiaTheme="minorEastAsia" w:hAnsiTheme="minorEastAsia"/>
          <w:szCs w:val="21"/>
        </w:rPr>
        <w:t>应当在大会召开日</w:t>
      </w:r>
      <w:r w:rsidRPr="00565E0D">
        <w:rPr>
          <w:rFonts w:asciiTheme="minorEastAsia" w:eastAsiaTheme="minorEastAsia" w:hAnsiTheme="minorEastAsia" w:hint="eastAsia"/>
          <w:szCs w:val="21"/>
        </w:rPr>
        <w:t>30</w:t>
      </w:r>
      <w:r w:rsidRPr="00565E0D">
        <w:rPr>
          <w:rFonts w:asciiTheme="minorEastAsia" w:eastAsiaTheme="minorEastAsia" w:hAnsiTheme="minorEastAsia"/>
          <w:szCs w:val="21"/>
        </w:rPr>
        <w:t>天前公告。大会召集人应当按照以下原则对提案进行审核：</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关联性。大会召集人对于提案涉及事项与基金有直接关系，并且不超出法律法规和</w:t>
      </w:r>
      <w:r w:rsidRPr="00565E0D">
        <w:rPr>
          <w:rFonts w:asciiTheme="minorEastAsia" w:eastAsiaTheme="minorEastAsia" w:hAnsiTheme="minorEastAsia" w:hint="eastAsia"/>
          <w:szCs w:val="21"/>
        </w:rPr>
        <w:t>《基金合同》</w:t>
      </w:r>
      <w:r w:rsidRPr="00565E0D">
        <w:rPr>
          <w:rFonts w:asciiTheme="minorEastAsia" w:eastAsiaTheme="minorEastAsia" w:hAnsiTheme="minorEastAsia"/>
          <w:szCs w:val="21"/>
        </w:rPr>
        <w:t>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程序性。大会召集人可以对提案涉及的程序性问题</w:t>
      </w:r>
      <w:r w:rsidRPr="00565E0D">
        <w:rPr>
          <w:rFonts w:asciiTheme="minorEastAsia" w:eastAsiaTheme="minorEastAsia" w:hAnsiTheme="minorEastAsia" w:hint="eastAsia"/>
          <w:szCs w:val="21"/>
        </w:rPr>
        <w:t>做</w:t>
      </w:r>
      <w:r w:rsidRPr="00565E0D">
        <w:rPr>
          <w:rFonts w:asciiTheme="minorEastAsia" w:eastAsiaTheme="minorEastAsia" w:hAnsiTheme="minorEastAsia"/>
          <w:szCs w:val="21"/>
        </w:rPr>
        <w:t>出决定。如将提案进行分拆或合并表决，需征得原提案人同意；原提案人不同意变更的，大会主持人可以就程序性问题提请基金份额持有人大会</w:t>
      </w:r>
      <w:r w:rsidRPr="00565E0D">
        <w:rPr>
          <w:rFonts w:asciiTheme="minorEastAsia" w:eastAsiaTheme="minorEastAsia" w:hAnsiTheme="minorEastAsia" w:hint="eastAsia"/>
          <w:szCs w:val="21"/>
        </w:rPr>
        <w:t>做</w:t>
      </w:r>
      <w:r w:rsidRPr="00565E0D">
        <w:rPr>
          <w:rFonts w:asciiTheme="minorEastAsia" w:eastAsiaTheme="minorEastAsia" w:hAnsiTheme="minorEastAsia"/>
          <w:szCs w:val="21"/>
        </w:rPr>
        <w:t>出决定，并按照基金份额持有人大会决定的程序进行审议。</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单独或合并持有权益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w:t>
      </w:r>
      <w:r w:rsidRPr="00565E0D">
        <w:rPr>
          <w:rFonts w:asciiTheme="minorEastAsia" w:eastAsiaTheme="minorEastAsia" w:hAnsiTheme="minorEastAsia"/>
          <w:szCs w:val="21"/>
        </w:rPr>
        <w:t>但法律法规另有规定或中国证监会另有要求的除外。</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（2）</w:t>
      </w:r>
      <w:r w:rsidRPr="00565E0D">
        <w:rPr>
          <w:rFonts w:asciiTheme="minorEastAsia" w:eastAsiaTheme="minorEastAsia" w:hAnsiTheme="minorEastAsia"/>
          <w:szCs w:val="21"/>
        </w:rPr>
        <w:t>议事程序</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现场开会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在现场开会的方式下，首先由大会主持人按照下列第七</w:t>
      </w:r>
      <w:r w:rsidRPr="00565E0D">
        <w:rPr>
          <w:rFonts w:asciiTheme="minorEastAsia" w:eastAsiaTheme="minorEastAsia" w:hAnsiTheme="minorEastAsia" w:hint="eastAsia"/>
          <w:szCs w:val="21"/>
        </w:rPr>
        <w:t>条</w:t>
      </w:r>
      <w:r w:rsidRPr="00565E0D">
        <w:rPr>
          <w:rFonts w:asciiTheme="minorEastAsia" w:eastAsiaTheme="minorEastAsia" w:hAnsiTheme="minorEastAsia"/>
          <w:szCs w:val="21"/>
        </w:rPr>
        <w:t>规定程序确定和公布监票人，然后由大会主持人宣读提案，经讨论后进行表决，并形成大会决议。大会主持人为基金管理人授权出席会议的代表，在基金管理人</w:t>
      </w:r>
      <w:r w:rsidRPr="00565E0D">
        <w:rPr>
          <w:rFonts w:asciiTheme="minorEastAsia" w:eastAsiaTheme="minorEastAsia" w:hAnsiTheme="minorEastAsia" w:hint="eastAsia"/>
          <w:szCs w:val="21"/>
        </w:rPr>
        <w:t>授权代表</w:t>
      </w:r>
      <w:r w:rsidRPr="00565E0D">
        <w:rPr>
          <w:rFonts w:asciiTheme="minorEastAsia" w:eastAsiaTheme="minorEastAsia" w:hAnsiTheme="minorEastAsia"/>
          <w:szCs w:val="21"/>
        </w:rPr>
        <w:t>未能主持大会的情况下，由基金托管人授权其出席会议的代表主持；如果基金管理人</w:t>
      </w:r>
      <w:r w:rsidRPr="00565E0D">
        <w:rPr>
          <w:rFonts w:asciiTheme="minorEastAsia" w:eastAsiaTheme="minorEastAsia" w:hAnsiTheme="minorEastAsia" w:hint="eastAsia"/>
          <w:szCs w:val="21"/>
        </w:rPr>
        <w:t>授权代表</w:t>
      </w:r>
      <w:r w:rsidRPr="00565E0D">
        <w:rPr>
          <w:rFonts w:asciiTheme="minorEastAsia" w:eastAsiaTheme="minorEastAsia" w:hAnsiTheme="minorEastAsia"/>
          <w:szCs w:val="21"/>
        </w:rPr>
        <w:t>和基金托管人</w:t>
      </w:r>
      <w:r w:rsidRPr="00565E0D">
        <w:rPr>
          <w:rFonts w:asciiTheme="minorEastAsia" w:eastAsiaTheme="minorEastAsia" w:hAnsiTheme="minorEastAsia" w:hint="eastAsia"/>
          <w:szCs w:val="21"/>
        </w:rPr>
        <w:t>授权代表</w:t>
      </w:r>
      <w:r w:rsidRPr="00565E0D">
        <w:rPr>
          <w:rFonts w:asciiTheme="minorEastAsia" w:eastAsiaTheme="minorEastAsia" w:hAnsiTheme="minorEastAsia"/>
          <w:szCs w:val="21"/>
        </w:rPr>
        <w:t>均未能主持大会，则由出席大会的基金份额持有人</w:t>
      </w:r>
      <w:r w:rsidRPr="00565E0D">
        <w:rPr>
          <w:rFonts w:asciiTheme="minorEastAsia" w:eastAsiaTheme="minorEastAsia" w:hAnsiTheme="minorEastAsia" w:hint="eastAsia"/>
          <w:szCs w:val="21"/>
        </w:rPr>
        <w:t>所持表决权的</w:t>
      </w:r>
      <w:r w:rsidRPr="00565E0D">
        <w:rPr>
          <w:rFonts w:asciiTheme="minorEastAsia" w:eastAsiaTheme="minorEastAsia" w:hAnsiTheme="minorEastAsia"/>
          <w:szCs w:val="21"/>
        </w:rPr>
        <w:t>50%以上（含50%）</w:t>
      </w:r>
      <w:r w:rsidRPr="00565E0D">
        <w:rPr>
          <w:rFonts w:asciiTheme="minorEastAsia" w:eastAsiaTheme="minorEastAsia" w:hAnsiTheme="minorEastAsia" w:hint="eastAsia"/>
          <w:szCs w:val="21"/>
        </w:rPr>
        <w:t>选举</w:t>
      </w:r>
      <w:r w:rsidRPr="00565E0D">
        <w:rPr>
          <w:rFonts w:asciiTheme="minorEastAsia" w:eastAsiaTheme="minorEastAsia" w:hAnsiTheme="minorEastAsia"/>
          <w:szCs w:val="21"/>
        </w:rPr>
        <w:t>产生一名基金份额持有人作为该次基金份额持有人大会的主持人。</w:t>
      </w:r>
      <w:r w:rsidRPr="00565E0D">
        <w:rPr>
          <w:rFonts w:asciiTheme="minorEastAsia" w:eastAsiaTheme="minorEastAsia" w:hAnsiTheme="minorEastAsia" w:hint="eastAsia"/>
          <w:szCs w:val="21"/>
        </w:rPr>
        <w:t>基金管理人和基金托管人不出席或主持基金份额持有人大会，不影响基金份额持有人大会作出的决议的效力。</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通讯开会</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szCs w:val="21"/>
        </w:rPr>
        <w:t>在通讯开会的情况下，</w:t>
      </w:r>
      <w:r w:rsidRPr="00565E0D">
        <w:rPr>
          <w:rFonts w:asciiTheme="minorEastAsia" w:eastAsiaTheme="minorEastAsia" w:hAnsiTheme="minorEastAsia" w:hint="eastAsia"/>
          <w:szCs w:val="21"/>
        </w:rPr>
        <w:t>公告会议通知时应当同时</w:t>
      </w:r>
      <w:r w:rsidRPr="00565E0D">
        <w:rPr>
          <w:rFonts w:asciiTheme="minorEastAsia" w:eastAsiaTheme="minorEastAsia" w:hAnsiTheme="minorEastAsia"/>
          <w:szCs w:val="21"/>
        </w:rPr>
        <w:t>公布提案，在所通知的表决截止日期</w:t>
      </w:r>
      <w:r w:rsidRPr="00565E0D">
        <w:rPr>
          <w:rFonts w:asciiTheme="minorEastAsia" w:eastAsiaTheme="minorEastAsia" w:hAnsiTheme="minorEastAsia" w:hint="eastAsia"/>
          <w:szCs w:val="21"/>
        </w:rPr>
        <w:t>后2个工作日内</w:t>
      </w:r>
      <w:r w:rsidRPr="00565E0D">
        <w:rPr>
          <w:rFonts w:asciiTheme="minorEastAsia" w:eastAsiaTheme="minorEastAsia" w:hAnsiTheme="minorEastAsia"/>
          <w:szCs w:val="21"/>
        </w:rPr>
        <w:t>统计全部有效表决，在公证</w:t>
      </w:r>
      <w:r w:rsidRPr="00565E0D">
        <w:rPr>
          <w:rFonts w:asciiTheme="minorEastAsia" w:eastAsiaTheme="minorEastAsia" w:hAnsiTheme="minorEastAsia" w:hint="eastAsia"/>
          <w:szCs w:val="21"/>
        </w:rPr>
        <w:t>机关</w:t>
      </w:r>
      <w:r w:rsidRPr="00565E0D">
        <w:rPr>
          <w:rFonts w:asciiTheme="minorEastAsia" w:eastAsiaTheme="minorEastAsia" w:hAnsiTheme="minorEastAsia"/>
          <w:szCs w:val="21"/>
        </w:rPr>
        <w:t>监督下形成决议。</w:t>
      </w:r>
    </w:p>
    <w:p w:rsidR="00C35BC5" w:rsidRPr="00565E0D" w:rsidRDefault="00C35BC5" w:rsidP="00552BE1">
      <w:pPr>
        <w:adjustRightInd w:val="0"/>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7</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表决</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基金份额持有人所持每份基金份额有一票表决权。</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基金份额持有人大会决议分为一般决议和特别决议：</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一般决议，一般决议须经参加大会的基金份额持有人</w:t>
      </w:r>
      <w:r w:rsidRPr="00565E0D">
        <w:rPr>
          <w:rFonts w:asciiTheme="minorEastAsia" w:eastAsiaTheme="minorEastAsia" w:hAnsiTheme="minorEastAsia" w:hint="eastAsia"/>
          <w:szCs w:val="21"/>
        </w:rPr>
        <w:t>或其代理人</w:t>
      </w:r>
      <w:r w:rsidRPr="00565E0D">
        <w:rPr>
          <w:rFonts w:asciiTheme="minorEastAsia" w:eastAsiaTheme="minorEastAsia" w:hAnsiTheme="minorEastAsia"/>
          <w:szCs w:val="21"/>
        </w:rPr>
        <w:t>所持表决权的</w:t>
      </w:r>
      <w:r w:rsidRPr="00565E0D">
        <w:rPr>
          <w:rFonts w:asciiTheme="minorEastAsia" w:eastAsiaTheme="minorEastAsia" w:hAnsiTheme="minorEastAsia" w:hint="eastAsia"/>
          <w:szCs w:val="21"/>
        </w:rPr>
        <w:t>50%</w:t>
      </w:r>
      <w:r w:rsidRPr="00565E0D">
        <w:rPr>
          <w:rFonts w:asciiTheme="minorEastAsia" w:eastAsiaTheme="minorEastAsia" w:hAnsiTheme="minorEastAsia"/>
          <w:szCs w:val="21"/>
        </w:rPr>
        <w:t>以上（含</w:t>
      </w:r>
      <w:r w:rsidRPr="00565E0D">
        <w:rPr>
          <w:rFonts w:asciiTheme="minorEastAsia" w:eastAsiaTheme="minorEastAsia" w:hAnsiTheme="minorEastAsia" w:hint="eastAsia"/>
          <w:szCs w:val="21"/>
        </w:rPr>
        <w:t>50%</w:t>
      </w:r>
      <w:r w:rsidRPr="00565E0D">
        <w:rPr>
          <w:rFonts w:asciiTheme="minorEastAsia" w:eastAsiaTheme="minorEastAsia" w:hAnsiTheme="minorEastAsia"/>
          <w:szCs w:val="21"/>
        </w:rPr>
        <w:t>）通过方为有效；除下列</w:t>
      </w:r>
      <w:r w:rsidRPr="00565E0D">
        <w:rPr>
          <w:rFonts w:asciiTheme="minorEastAsia" w:eastAsiaTheme="minorEastAsia" w:hAnsiTheme="minorEastAsia" w:hint="eastAsia"/>
          <w:szCs w:val="21"/>
        </w:rPr>
        <w:t>第2项</w:t>
      </w:r>
      <w:r w:rsidRPr="00565E0D">
        <w:rPr>
          <w:rFonts w:asciiTheme="minorEastAsia" w:eastAsiaTheme="minorEastAsia" w:hAnsiTheme="minorEastAsia"/>
          <w:szCs w:val="21"/>
        </w:rPr>
        <w:t>所规定的须以特别决议通过事项以外的其他事项均以一般决议的方式通过。</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特别决议，特别决议应当经参加大会的基金份额持有人</w:t>
      </w:r>
      <w:r w:rsidRPr="00565E0D">
        <w:rPr>
          <w:rFonts w:asciiTheme="minorEastAsia" w:eastAsiaTheme="minorEastAsia" w:hAnsiTheme="minorEastAsia" w:hint="eastAsia"/>
          <w:szCs w:val="21"/>
        </w:rPr>
        <w:t>或其代理人</w:t>
      </w:r>
      <w:r w:rsidRPr="00565E0D">
        <w:rPr>
          <w:rFonts w:asciiTheme="minorEastAsia" w:eastAsiaTheme="minorEastAsia" w:hAnsiTheme="minorEastAsia"/>
          <w:szCs w:val="21"/>
        </w:rPr>
        <w:t>所持表决权的三分之二</w:t>
      </w:r>
      <w:r w:rsidRPr="00565E0D">
        <w:rPr>
          <w:rFonts w:asciiTheme="minorEastAsia" w:eastAsiaTheme="minorEastAsia" w:hAnsiTheme="minorEastAsia" w:hint="eastAsia"/>
          <w:szCs w:val="21"/>
        </w:rPr>
        <w:t>以上（含</w:t>
      </w:r>
      <w:r w:rsidRPr="00565E0D">
        <w:rPr>
          <w:rFonts w:asciiTheme="minorEastAsia" w:eastAsiaTheme="minorEastAsia" w:hAnsiTheme="minorEastAsia"/>
          <w:szCs w:val="21"/>
        </w:rPr>
        <w:t>三分之二</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通过方可</w:t>
      </w:r>
      <w:r w:rsidRPr="00565E0D">
        <w:rPr>
          <w:rFonts w:asciiTheme="minorEastAsia" w:eastAsiaTheme="minorEastAsia" w:hAnsiTheme="minorEastAsia" w:hint="eastAsia"/>
          <w:szCs w:val="21"/>
        </w:rPr>
        <w:t>做</w:t>
      </w:r>
      <w:r w:rsidRPr="00565E0D">
        <w:rPr>
          <w:rFonts w:asciiTheme="minorEastAsia" w:eastAsiaTheme="minorEastAsia" w:hAnsiTheme="minorEastAsia"/>
          <w:szCs w:val="21"/>
        </w:rPr>
        <w:t>出。转换基金运作方式、更换基金管理人或者基金托管人、终止</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基金合同</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以特别决议通过方为有效。</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基金份额持有人大会采取记名方式进行投票表决。</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采取通讯方式进行表决时，</w:t>
      </w:r>
      <w:r w:rsidRPr="00565E0D">
        <w:rPr>
          <w:rFonts w:asciiTheme="minorEastAsia" w:eastAsiaTheme="minorEastAsia" w:hAnsiTheme="minorEastAsia" w:hint="eastAsia"/>
          <w:szCs w:val="21"/>
        </w:rPr>
        <w:t>除非在计票时有充分的相反证据证明，提交符合会议通知中规定的确认投资者身份文件的表决视为有效出席的投资者，</w:t>
      </w:r>
      <w:r w:rsidRPr="00565E0D">
        <w:rPr>
          <w:rFonts w:asciiTheme="minorEastAsia" w:eastAsiaTheme="minorEastAsia" w:hAnsiTheme="minorEastAsia"/>
          <w:szCs w:val="21"/>
        </w:rPr>
        <w:t>符合会议通知规定的书面表决意见视为有效表决</w:t>
      </w:r>
      <w:r w:rsidRPr="00565E0D">
        <w:rPr>
          <w:rFonts w:asciiTheme="minorEastAsia" w:eastAsiaTheme="minorEastAsia" w:hAnsiTheme="minorEastAsia" w:hint="eastAsia"/>
          <w:szCs w:val="21"/>
        </w:rPr>
        <w:t>，表决意见模糊不清或相互矛盾的视为弃权表决，但应当计入出具书面意见的基金份额持有人所代表的基金份额总数。</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基金份额持有人大会的各项提案或同一项提案内并列的各项议题应当分开审议、逐项表决。</w:t>
      </w:r>
    </w:p>
    <w:p w:rsidR="00C35BC5" w:rsidRPr="00565E0D" w:rsidRDefault="00C35BC5" w:rsidP="00552BE1">
      <w:pPr>
        <w:adjustRightInd w:val="0"/>
        <w:snapToGrid w:val="0"/>
        <w:spacing w:line="360" w:lineRule="auto"/>
        <w:ind w:firstLine="480"/>
        <w:rPr>
          <w:rFonts w:asciiTheme="minorEastAsia" w:eastAsiaTheme="minorEastAsia" w:hAnsiTheme="minorEastAsia"/>
        </w:rPr>
      </w:pPr>
      <w:r w:rsidRPr="00565E0D">
        <w:rPr>
          <w:rFonts w:asciiTheme="minorEastAsia" w:eastAsiaTheme="minorEastAsia" w:hAnsiTheme="minorEastAsia" w:hint="eastAsia"/>
        </w:rPr>
        <w:t>8</w:t>
      </w:r>
      <w:r w:rsidR="00016F1C" w:rsidRPr="00565E0D">
        <w:rPr>
          <w:rFonts w:asciiTheme="minorEastAsia" w:eastAsiaTheme="minorEastAsia" w:hAnsiTheme="minorEastAsia" w:hint="eastAsia"/>
        </w:rPr>
        <w:t>、</w:t>
      </w:r>
      <w:r w:rsidRPr="00565E0D">
        <w:rPr>
          <w:rFonts w:asciiTheme="minorEastAsia" w:eastAsiaTheme="minorEastAsia" w:hAnsiTheme="minorEastAsia" w:hint="eastAsia"/>
        </w:rPr>
        <w:t>计票</w:t>
      </w:r>
    </w:p>
    <w:p w:rsidR="00C35BC5" w:rsidRPr="00565E0D" w:rsidRDefault="00C35BC5" w:rsidP="00552BE1">
      <w:pPr>
        <w:snapToGrid w:val="0"/>
        <w:spacing w:line="360" w:lineRule="auto"/>
        <w:ind w:left="420" w:firstLineChars="28" w:firstLine="59"/>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现场开会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Pr="00565E0D">
        <w:rPr>
          <w:rFonts w:asciiTheme="minorEastAsia" w:eastAsiaTheme="minorEastAsia" w:hAnsiTheme="minorEastAsia"/>
          <w:szCs w:val="21"/>
        </w:rPr>
        <w:t>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w:t>
      </w:r>
      <w:r w:rsidRPr="00565E0D">
        <w:rPr>
          <w:rFonts w:asciiTheme="minorEastAsia" w:eastAsiaTheme="minorEastAsia" w:hAnsiTheme="minorEastAsia" w:hint="eastAsia"/>
          <w:szCs w:val="21"/>
        </w:rPr>
        <w:t>或大会虽然由基金管理人或基金托管人召集，但是基金管理人或基金托管人未出席大会的</w:t>
      </w:r>
      <w:r w:rsidRPr="00565E0D">
        <w:rPr>
          <w:rFonts w:asciiTheme="minorEastAsia" w:eastAsiaTheme="minorEastAsia" w:hAnsiTheme="minorEastAsia"/>
          <w:szCs w:val="21"/>
        </w:rPr>
        <w:t>，基金份额持有人大会的</w:t>
      </w:r>
      <w:r w:rsidRPr="00565E0D">
        <w:rPr>
          <w:rFonts w:asciiTheme="minorEastAsia" w:eastAsiaTheme="minorEastAsia" w:hAnsiTheme="minorEastAsia"/>
          <w:szCs w:val="21"/>
        </w:rPr>
        <w:lastRenderedPageBreak/>
        <w:t>主持人应当在会议开始后宣布在出席会议的基金份额持有人中选举三名基金份额持有人代表担任监票人。</w:t>
      </w:r>
      <w:r w:rsidRPr="00565E0D">
        <w:rPr>
          <w:rFonts w:asciiTheme="minorEastAsia" w:eastAsiaTheme="minorEastAsia" w:hAnsiTheme="minorEastAsia" w:hint="eastAsia"/>
          <w:szCs w:val="21"/>
        </w:rPr>
        <w:t>基金管理人或基金托管人不出席大会的，不影响计票的效力。</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监票人应当在基金份额持有人表决后立即进行清点并由大会主持人当场公布计票结果。</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w:t>
      </w:r>
      <w:r w:rsidRPr="00565E0D">
        <w:rPr>
          <w:rFonts w:asciiTheme="minorEastAsia" w:eastAsiaTheme="minorEastAsia" w:hAnsiTheme="minorEastAsia"/>
          <w:szCs w:val="21"/>
        </w:rPr>
        <w:t>如果会议主持人</w:t>
      </w:r>
      <w:r w:rsidRPr="00565E0D">
        <w:rPr>
          <w:rFonts w:asciiTheme="minorEastAsia" w:eastAsiaTheme="minorEastAsia" w:hAnsiTheme="minorEastAsia" w:hint="eastAsia"/>
          <w:szCs w:val="21"/>
        </w:rPr>
        <w:t>或</w:t>
      </w:r>
      <w:r w:rsidRPr="00565E0D">
        <w:rPr>
          <w:rFonts w:asciiTheme="minorEastAsia" w:eastAsiaTheme="minorEastAsia" w:hAnsiTheme="minorEastAsia"/>
          <w:szCs w:val="21"/>
        </w:rPr>
        <w:t>基金份额持有人对于提交的表决结果有怀疑，可以在宣布表决结果后立即对所投票数</w:t>
      </w:r>
      <w:r w:rsidRPr="00565E0D">
        <w:rPr>
          <w:rFonts w:asciiTheme="minorEastAsia" w:eastAsiaTheme="minorEastAsia" w:hAnsiTheme="minorEastAsia" w:hint="eastAsia"/>
          <w:szCs w:val="21"/>
        </w:rPr>
        <w:t>要求</w:t>
      </w:r>
      <w:r w:rsidRPr="00565E0D">
        <w:rPr>
          <w:rFonts w:asciiTheme="minorEastAsia" w:eastAsiaTheme="minorEastAsia" w:hAnsiTheme="minorEastAsia"/>
          <w:szCs w:val="21"/>
        </w:rPr>
        <w:t>进行重新清点</w:t>
      </w:r>
      <w:r w:rsidRPr="00565E0D">
        <w:rPr>
          <w:rFonts w:asciiTheme="minorEastAsia" w:eastAsiaTheme="minorEastAsia" w:hAnsiTheme="minorEastAsia" w:hint="eastAsia"/>
          <w:szCs w:val="21"/>
        </w:rPr>
        <w:t>。监票人应当进行重新清点，重新清点以一次为限。重新清点后，大会主持人应当当场公布重新清点结果。</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4）计票过程应由公证机关予以公证,基金管理人或基金托管人拒不出席大会的，不影响计票的效力。</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通讯开会</w:t>
      </w:r>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szCs w:val="21"/>
        </w:rPr>
        <w:t>在通讯开会的情况下，计票方式为：由大会召集人授权的两名监督员在基金托管人授权代表</w:t>
      </w:r>
      <w:r w:rsidRPr="00565E0D">
        <w:rPr>
          <w:rFonts w:asciiTheme="minorEastAsia" w:eastAsiaTheme="minorEastAsia" w:hAnsiTheme="minorEastAsia" w:hint="eastAsia"/>
          <w:szCs w:val="21"/>
        </w:rPr>
        <w:t>（若由基金托管人召集，则为基金管理人</w:t>
      </w:r>
      <w:r w:rsidRPr="00565E0D">
        <w:rPr>
          <w:rFonts w:asciiTheme="minorEastAsia" w:eastAsiaTheme="minorEastAsia" w:hAnsiTheme="minorEastAsia"/>
          <w:szCs w:val="21"/>
        </w:rPr>
        <w:t>授权代表</w:t>
      </w:r>
      <w:r w:rsidRPr="00565E0D">
        <w:rPr>
          <w:rFonts w:asciiTheme="minorEastAsia" w:eastAsiaTheme="minorEastAsia" w:hAnsiTheme="minorEastAsia" w:hint="eastAsia"/>
          <w:szCs w:val="21"/>
        </w:rPr>
        <w:t>）</w:t>
      </w:r>
      <w:r w:rsidRPr="00565E0D">
        <w:rPr>
          <w:rFonts w:asciiTheme="minorEastAsia" w:eastAsiaTheme="minorEastAsia" w:hAnsiTheme="minorEastAsia"/>
          <w:szCs w:val="21"/>
        </w:rPr>
        <w:t>的监督下进行计票，并由公证机关对其计票过程予以公证。</w:t>
      </w:r>
      <w:r w:rsidRPr="00565E0D">
        <w:rPr>
          <w:rFonts w:asciiTheme="minorEastAsia" w:eastAsiaTheme="minorEastAsia" w:hAnsiTheme="minorEastAsia" w:hint="eastAsia"/>
          <w:szCs w:val="21"/>
        </w:rPr>
        <w:t>基金管理人或基金托管人拒派代表对书面表决意见的计票进行监督的，不影响计票和表决结果。</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9</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生效与公告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基金份额持有人大会的决议，召集人应当自通过之日起5日内报中国证监会核准或者备案。</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基金份额持有人大会的决议自中国证监会依法核准或者出具无异议意见之日起生效。</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szCs w:val="21"/>
        </w:rPr>
        <w:t>基金份额持有人大会决议自生效之日起</w:t>
      </w:r>
      <w:r w:rsidRPr="00565E0D">
        <w:rPr>
          <w:rFonts w:asciiTheme="minorEastAsia" w:eastAsiaTheme="minorEastAsia" w:hAnsiTheme="minorEastAsia" w:hint="eastAsia"/>
          <w:szCs w:val="21"/>
        </w:rPr>
        <w:t>2</w:t>
      </w:r>
      <w:r w:rsidRPr="00565E0D">
        <w:rPr>
          <w:rFonts w:asciiTheme="minorEastAsia" w:eastAsiaTheme="minorEastAsia" w:hAnsiTheme="minorEastAsia"/>
          <w:szCs w:val="21"/>
        </w:rPr>
        <w:t>日内在</w:t>
      </w:r>
      <w:r w:rsidR="00C53A0E" w:rsidRPr="00565E0D">
        <w:rPr>
          <w:rFonts w:asciiTheme="minorEastAsia" w:eastAsiaTheme="minorEastAsia" w:hAnsiTheme="minorEastAsia" w:hint="eastAsia"/>
        </w:rPr>
        <w:t>指定媒介</w:t>
      </w:r>
      <w:r w:rsidRPr="00565E0D">
        <w:rPr>
          <w:rFonts w:asciiTheme="minorEastAsia" w:eastAsiaTheme="minorEastAsia" w:hAnsiTheme="minorEastAsia" w:hint="eastAsia"/>
          <w:szCs w:val="21"/>
        </w:rPr>
        <w:t>上</w:t>
      </w:r>
      <w:r w:rsidRPr="00565E0D">
        <w:rPr>
          <w:rFonts w:asciiTheme="minorEastAsia" w:eastAsiaTheme="minorEastAsia" w:hAnsiTheme="minorEastAsia"/>
          <w:szCs w:val="21"/>
        </w:rPr>
        <w:t>公告。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基金管理人、基金托管人和基金份额持有人应当执行生效的基金份额持有人大会的决议。</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szCs w:val="21"/>
        </w:rPr>
        <w:t>基金份额持有人大会决议对全体基金份额持有人、基金管理人、基金托管人均有约束力。</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455" w:name="_Toc38551258"/>
      <w:r w:rsidRPr="00565E0D">
        <w:rPr>
          <w:rFonts w:asciiTheme="minorEastAsia" w:eastAsiaTheme="minorEastAsia" w:hAnsiTheme="minorEastAsia" w:hint="eastAsia"/>
          <w:b w:val="0"/>
          <w:bCs/>
        </w:rPr>
        <w:t>（六）基金合同的变更和终止</w:t>
      </w:r>
      <w:bookmarkEnd w:id="455"/>
    </w:p>
    <w:p w:rsidR="00C35BC5" w:rsidRPr="00565E0D" w:rsidRDefault="00C35BC5" w:rsidP="00552BE1">
      <w:pPr>
        <w:snapToGrid w:val="0"/>
        <w:spacing w:line="360" w:lineRule="auto"/>
        <w:ind w:firstLine="420"/>
        <w:rPr>
          <w:rFonts w:asciiTheme="minorEastAsia" w:eastAsiaTheme="minorEastAsia" w:hAnsiTheme="minorEastAsia"/>
        </w:rPr>
      </w:pPr>
      <w:r w:rsidRPr="00565E0D">
        <w:rPr>
          <w:rFonts w:asciiTheme="minorEastAsia" w:eastAsiaTheme="minorEastAsia" w:hAnsiTheme="minorEastAsia" w:hint="eastAsia"/>
          <w:szCs w:val="21"/>
        </w:rPr>
        <w:t>1</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基金合同的变更</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（1）除非法律法规和《基金合同》另有规定，对《基金合同》的变更应当召开基金份额持有人大会的，《基金合同》变更的内容应经基金份额持有人大会决议通过，并报中国证监会核准或备案。</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（2）依现行有效的有关法律法规，对《基金合同》的变更自中国证监会核准或出具无异议意见之日起生效。</w:t>
      </w:r>
    </w:p>
    <w:p w:rsidR="00C35BC5" w:rsidRPr="00565E0D" w:rsidRDefault="00C35BC5" w:rsidP="00552BE1">
      <w:pPr>
        <w:adjustRightInd w:val="0"/>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3）除依本《基金合同》和/或依现行有效的有关法律法规，对《基金合同》的变更须基金份额持有人大会决议通过和/或须报中国证监会核准以外的情形，经基金管理人和基金托管人同意可对《基金合同》进行变更后公布，并报中国证监会备案。</w:t>
      </w:r>
    </w:p>
    <w:p w:rsidR="00C35BC5" w:rsidRPr="00565E0D" w:rsidRDefault="00C35BC5" w:rsidP="00552BE1">
      <w:pPr>
        <w:adjustRightInd w:val="0"/>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基金合同的终止</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有下列情形之一的，基金合同应当终止：</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（1）基金份额持有人大会决定终止的；</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lastRenderedPageBreak/>
        <w:t>（2）</w:t>
      </w:r>
      <w:r w:rsidRPr="00565E0D">
        <w:rPr>
          <w:rFonts w:asciiTheme="minorEastAsia" w:eastAsiaTheme="minorEastAsia" w:hAnsiTheme="minorEastAsia" w:hint="eastAsia"/>
        </w:rPr>
        <w:t>基金管理人、基金托管人职责终止，在6个月内没有新基金管理人、新基金托管人承接的</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（3）《基金合同》约定的其他情形；</w:t>
      </w:r>
    </w:p>
    <w:p w:rsidR="00C35BC5" w:rsidRPr="00565E0D" w:rsidRDefault="00C35BC5" w:rsidP="00552BE1">
      <w:pPr>
        <w:adjustRightInd w:val="0"/>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（4）</w:t>
      </w:r>
      <w:r w:rsidRPr="00565E0D">
        <w:rPr>
          <w:rFonts w:asciiTheme="minorEastAsia" w:eastAsiaTheme="minorEastAsia" w:hAnsiTheme="minorEastAsia" w:hint="eastAsia"/>
          <w:sz w:val="24"/>
          <w:szCs w:val="21"/>
        </w:rPr>
        <w:t>相关法律法规和</w:t>
      </w:r>
      <w:r w:rsidRPr="00565E0D">
        <w:rPr>
          <w:rFonts w:asciiTheme="minorEastAsia" w:eastAsiaTheme="minorEastAsia" w:hAnsiTheme="minorEastAsia" w:hint="eastAsia"/>
          <w:szCs w:val="21"/>
        </w:rPr>
        <w:t>中国证监会允许的其他情况。</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456" w:name="_Toc38437218"/>
      <w:bookmarkStart w:id="457" w:name="_Toc38437354"/>
      <w:bookmarkStart w:id="458" w:name="_Toc38437490"/>
      <w:bookmarkStart w:id="459" w:name="_Toc38437626"/>
      <w:bookmarkStart w:id="460" w:name="_Toc38437772"/>
      <w:bookmarkStart w:id="461" w:name="_Toc38437918"/>
      <w:bookmarkStart w:id="462" w:name="_Toc38438064"/>
      <w:bookmarkStart w:id="463" w:name="_Toc38438210"/>
      <w:bookmarkStart w:id="464" w:name="_Toc38438547"/>
      <w:bookmarkStart w:id="465" w:name="_Toc38438884"/>
      <w:bookmarkStart w:id="466" w:name="_Toc38439221"/>
      <w:bookmarkStart w:id="467" w:name="_Toc38439558"/>
      <w:bookmarkStart w:id="468" w:name="_Toc38439895"/>
      <w:bookmarkStart w:id="469" w:name="_Toc38440232"/>
      <w:bookmarkStart w:id="470" w:name="_Toc38440569"/>
      <w:bookmarkStart w:id="471" w:name="_Toc38440768"/>
      <w:bookmarkStart w:id="472" w:name="_Toc38441101"/>
      <w:bookmarkStart w:id="473" w:name="_Toc38441433"/>
      <w:bookmarkStart w:id="474" w:name="_Toc38441765"/>
      <w:bookmarkStart w:id="475" w:name="_Toc38442093"/>
      <w:bookmarkStart w:id="476" w:name="_Toc38442425"/>
      <w:bookmarkStart w:id="477" w:name="_Toc38442757"/>
      <w:bookmarkStart w:id="478" w:name="_Toc38443088"/>
      <w:bookmarkStart w:id="479" w:name="_Toc38443419"/>
      <w:bookmarkStart w:id="480" w:name="_Toc38443750"/>
      <w:bookmarkStart w:id="481" w:name="_Toc38433500"/>
      <w:bookmarkStart w:id="482" w:name="_Toc38433635"/>
      <w:bookmarkStart w:id="483" w:name="_Toc38433769"/>
      <w:bookmarkStart w:id="484" w:name="_Toc38433919"/>
      <w:bookmarkStart w:id="485" w:name="_Toc38434067"/>
      <w:bookmarkStart w:id="486" w:name="_Toc38434215"/>
      <w:bookmarkStart w:id="487" w:name="_Toc38434361"/>
      <w:bookmarkStart w:id="488" w:name="_Toc38434504"/>
      <w:bookmarkStart w:id="489" w:name="_Toc38434647"/>
      <w:bookmarkStart w:id="490" w:name="_Toc38434790"/>
      <w:bookmarkStart w:id="491" w:name="_Toc38434934"/>
      <w:bookmarkStart w:id="492" w:name="_Toc38437630"/>
      <w:bookmarkStart w:id="493" w:name="_Toc38437776"/>
      <w:bookmarkStart w:id="494" w:name="_Toc38437922"/>
      <w:bookmarkStart w:id="495" w:name="_Toc38438068"/>
      <w:bookmarkStart w:id="496" w:name="_Toc38438214"/>
      <w:bookmarkStart w:id="497" w:name="_Toc38438551"/>
      <w:bookmarkStart w:id="498" w:name="_Toc38438888"/>
      <w:bookmarkStart w:id="499" w:name="_Toc38439225"/>
      <w:bookmarkStart w:id="500" w:name="_Toc38439562"/>
      <w:bookmarkStart w:id="501" w:name="_Toc38439899"/>
      <w:bookmarkStart w:id="502" w:name="_Toc38440236"/>
      <w:bookmarkStart w:id="503" w:name="_Toc38440573"/>
      <w:bookmarkStart w:id="504" w:name="_Toc38440772"/>
      <w:bookmarkStart w:id="505" w:name="_Toc38441105"/>
      <w:bookmarkStart w:id="506" w:name="_Toc38441437"/>
      <w:bookmarkStart w:id="507" w:name="_Toc38441769"/>
      <w:bookmarkStart w:id="508" w:name="_Toc38442097"/>
      <w:bookmarkStart w:id="509" w:name="_Toc38442429"/>
      <w:bookmarkStart w:id="510" w:name="_Toc38442761"/>
      <w:bookmarkStart w:id="511" w:name="_Toc38443092"/>
      <w:bookmarkStart w:id="512" w:name="_Toc38443423"/>
      <w:bookmarkStart w:id="513" w:name="_Toc38443754"/>
      <w:bookmarkStart w:id="514" w:name="_Toc38433501"/>
      <w:bookmarkStart w:id="515" w:name="_Toc38433636"/>
      <w:bookmarkStart w:id="516" w:name="_Toc38433770"/>
      <w:bookmarkStart w:id="517" w:name="_Toc38433920"/>
      <w:bookmarkStart w:id="518" w:name="_Toc38434068"/>
      <w:bookmarkStart w:id="519" w:name="_Toc38434216"/>
      <w:bookmarkStart w:id="520" w:name="_Toc38434362"/>
      <w:bookmarkStart w:id="521" w:name="_Toc38434505"/>
      <w:bookmarkStart w:id="522" w:name="_Toc38434648"/>
      <w:bookmarkStart w:id="523" w:name="_Toc38434791"/>
      <w:bookmarkStart w:id="524" w:name="_Toc38434935"/>
      <w:bookmarkStart w:id="525" w:name="_Toc38437631"/>
      <w:bookmarkStart w:id="526" w:name="_Toc38437777"/>
      <w:bookmarkStart w:id="527" w:name="_Toc38437923"/>
      <w:bookmarkStart w:id="528" w:name="_Toc38438069"/>
      <w:bookmarkStart w:id="529" w:name="_Toc38438215"/>
      <w:bookmarkStart w:id="530" w:name="_Toc38438552"/>
      <w:bookmarkStart w:id="531" w:name="_Toc38438889"/>
      <w:bookmarkStart w:id="532" w:name="_Toc38439226"/>
      <w:bookmarkStart w:id="533" w:name="_Toc38439563"/>
      <w:bookmarkStart w:id="534" w:name="_Toc38439900"/>
      <w:bookmarkStart w:id="535" w:name="_Toc38440237"/>
      <w:bookmarkStart w:id="536" w:name="_Toc38440574"/>
      <w:bookmarkStart w:id="537" w:name="_Toc38440773"/>
      <w:bookmarkStart w:id="538" w:name="_Toc38441106"/>
      <w:bookmarkStart w:id="539" w:name="_Toc38441438"/>
      <w:bookmarkStart w:id="540" w:name="_Toc38441770"/>
      <w:bookmarkStart w:id="541" w:name="_Toc38442098"/>
      <w:bookmarkStart w:id="542" w:name="_Toc38442430"/>
      <w:bookmarkStart w:id="543" w:name="_Toc38442762"/>
      <w:bookmarkStart w:id="544" w:name="_Toc38443093"/>
      <w:bookmarkStart w:id="545" w:name="_Toc38443424"/>
      <w:bookmarkStart w:id="546" w:name="_Toc38443755"/>
      <w:bookmarkStart w:id="547" w:name="_Toc38433502"/>
      <w:bookmarkStart w:id="548" w:name="_Toc38433637"/>
      <w:bookmarkStart w:id="549" w:name="_Toc38433771"/>
      <w:bookmarkStart w:id="550" w:name="_Toc38433921"/>
      <w:bookmarkStart w:id="551" w:name="_Toc38434069"/>
      <w:bookmarkStart w:id="552" w:name="_Toc38434217"/>
      <w:bookmarkStart w:id="553" w:name="_Toc38434363"/>
      <w:bookmarkStart w:id="554" w:name="_Toc38434506"/>
      <w:bookmarkStart w:id="555" w:name="_Toc38434649"/>
      <w:bookmarkStart w:id="556" w:name="_Toc38434792"/>
      <w:bookmarkStart w:id="557" w:name="_Toc38434936"/>
      <w:bookmarkStart w:id="558" w:name="_Toc38437632"/>
      <w:bookmarkStart w:id="559" w:name="_Toc38437778"/>
      <w:bookmarkStart w:id="560" w:name="_Toc38437924"/>
      <w:bookmarkStart w:id="561" w:name="_Toc38438070"/>
      <w:bookmarkStart w:id="562" w:name="_Toc38438216"/>
      <w:bookmarkStart w:id="563" w:name="_Toc38438553"/>
      <w:bookmarkStart w:id="564" w:name="_Toc38438890"/>
      <w:bookmarkStart w:id="565" w:name="_Toc38439227"/>
      <w:bookmarkStart w:id="566" w:name="_Toc38439564"/>
      <w:bookmarkStart w:id="567" w:name="_Toc38439901"/>
      <w:bookmarkStart w:id="568" w:name="_Toc38440238"/>
      <w:bookmarkStart w:id="569" w:name="_Toc38440575"/>
      <w:bookmarkStart w:id="570" w:name="_Toc38440774"/>
      <w:bookmarkStart w:id="571" w:name="_Toc38441107"/>
      <w:bookmarkStart w:id="572" w:name="_Toc38441439"/>
      <w:bookmarkStart w:id="573" w:name="_Toc38441771"/>
      <w:bookmarkStart w:id="574" w:name="_Toc38442099"/>
      <w:bookmarkStart w:id="575" w:name="_Toc38442431"/>
      <w:bookmarkStart w:id="576" w:name="_Toc38442763"/>
      <w:bookmarkStart w:id="577" w:name="_Toc38443094"/>
      <w:bookmarkStart w:id="578" w:name="_Toc38443425"/>
      <w:bookmarkStart w:id="579" w:name="_Toc38443756"/>
      <w:bookmarkStart w:id="580" w:name="_Toc38433503"/>
      <w:bookmarkStart w:id="581" w:name="_Toc38433638"/>
      <w:bookmarkStart w:id="582" w:name="_Toc38433772"/>
      <w:bookmarkStart w:id="583" w:name="_Toc38433922"/>
      <w:bookmarkStart w:id="584" w:name="_Toc38434070"/>
      <w:bookmarkStart w:id="585" w:name="_Toc38434218"/>
      <w:bookmarkStart w:id="586" w:name="_Toc38434364"/>
      <w:bookmarkStart w:id="587" w:name="_Toc38434507"/>
      <w:bookmarkStart w:id="588" w:name="_Toc38434650"/>
      <w:bookmarkStart w:id="589" w:name="_Toc38434793"/>
      <w:bookmarkStart w:id="590" w:name="_Toc38434937"/>
      <w:bookmarkStart w:id="591" w:name="_Toc38437633"/>
      <w:bookmarkStart w:id="592" w:name="_Toc38437779"/>
      <w:bookmarkStart w:id="593" w:name="_Toc38437925"/>
      <w:bookmarkStart w:id="594" w:name="_Toc38438071"/>
      <w:bookmarkStart w:id="595" w:name="_Toc38438217"/>
      <w:bookmarkStart w:id="596" w:name="_Toc38438554"/>
      <w:bookmarkStart w:id="597" w:name="_Toc38438891"/>
      <w:bookmarkStart w:id="598" w:name="_Toc38439228"/>
      <w:bookmarkStart w:id="599" w:name="_Toc38439565"/>
      <w:bookmarkStart w:id="600" w:name="_Toc38439902"/>
      <w:bookmarkStart w:id="601" w:name="_Toc38440239"/>
      <w:bookmarkStart w:id="602" w:name="_Toc38440576"/>
      <w:bookmarkStart w:id="603" w:name="_Toc38440775"/>
      <w:bookmarkStart w:id="604" w:name="_Toc38441108"/>
      <w:bookmarkStart w:id="605" w:name="_Toc38441440"/>
      <w:bookmarkStart w:id="606" w:name="_Toc38441772"/>
      <w:bookmarkStart w:id="607" w:name="_Toc38442100"/>
      <w:bookmarkStart w:id="608" w:name="_Toc38442432"/>
      <w:bookmarkStart w:id="609" w:name="_Toc38442764"/>
      <w:bookmarkStart w:id="610" w:name="_Toc38443095"/>
      <w:bookmarkStart w:id="611" w:name="_Toc38443426"/>
      <w:bookmarkStart w:id="612" w:name="_Toc38443757"/>
      <w:bookmarkStart w:id="613" w:name="_Toc38433504"/>
      <w:bookmarkStart w:id="614" w:name="_Toc38433639"/>
      <w:bookmarkStart w:id="615" w:name="_Toc38433773"/>
      <w:bookmarkStart w:id="616" w:name="_Toc38433923"/>
      <w:bookmarkStart w:id="617" w:name="_Toc38434071"/>
      <w:bookmarkStart w:id="618" w:name="_Toc38434219"/>
      <w:bookmarkStart w:id="619" w:name="_Toc38434365"/>
      <w:bookmarkStart w:id="620" w:name="_Toc38434508"/>
      <w:bookmarkStart w:id="621" w:name="_Toc38434651"/>
      <w:bookmarkStart w:id="622" w:name="_Toc38434794"/>
      <w:bookmarkStart w:id="623" w:name="_Toc38434938"/>
      <w:bookmarkStart w:id="624" w:name="_Toc38437634"/>
      <w:bookmarkStart w:id="625" w:name="_Toc38437780"/>
      <w:bookmarkStart w:id="626" w:name="_Toc38437926"/>
      <w:bookmarkStart w:id="627" w:name="_Toc38438072"/>
      <w:bookmarkStart w:id="628" w:name="_Toc38438218"/>
      <w:bookmarkStart w:id="629" w:name="_Toc38438555"/>
      <w:bookmarkStart w:id="630" w:name="_Toc38438892"/>
      <w:bookmarkStart w:id="631" w:name="_Toc38439229"/>
      <w:bookmarkStart w:id="632" w:name="_Toc38439566"/>
      <w:bookmarkStart w:id="633" w:name="_Toc38439903"/>
      <w:bookmarkStart w:id="634" w:name="_Toc38440240"/>
      <w:bookmarkStart w:id="635" w:name="_Toc38440577"/>
      <w:bookmarkStart w:id="636" w:name="_Toc38440776"/>
      <w:bookmarkStart w:id="637" w:name="_Toc38441109"/>
      <w:bookmarkStart w:id="638" w:name="_Toc38441441"/>
      <w:bookmarkStart w:id="639" w:name="_Toc38441773"/>
      <w:bookmarkStart w:id="640" w:name="_Toc38442101"/>
      <w:bookmarkStart w:id="641" w:name="_Toc38442433"/>
      <w:bookmarkStart w:id="642" w:name="_Toc38442765"/>
      <w:bookmarkStart w:id="643" w:name="_Toc38443096"/>
      <w:bookmarkStart w:id="644" w:name="_Toc38443427"/>
      <w:bookmarkStart w:id="645" w:name="_Toc38443758"/>
      <w:bookmarkStart w:id="646" w:name="_Toc38433505"/>
      <w:bookmarkStart w:id="647" w:name="_Toc38433640"/>
      <w:bookmarkStart w:id="648" w:name="_Toc38433774"/>
      <w:bookmarkStart w:id="649" w:name="_Toc38433924"/>
      <w:bookmarkStart w:id="650" w:name="_Toc38434072"/>
      <w:bookmarkStart w:id="651" w:name="_Toc38434220"/>
      <w:bookmarkStart w:id="652" w:name="_Toc38434366"/>
      <w:bookmarkStart w:id="653" w:name="_Toc38434509"/>
      <w:bookmarkStart w:id="654" w:name="_Toc38434652"/>
      <w:bookmarkStart w:id="655" w:name="_Toc38434795"/>
      <w:bookmarkStart w:id="656" w:name="_Toc38434939"/>
      <w:bookmarkStart w:id="657" w:name="_Toc38437635"/>
      <w:bookmarkStart w:id="658" w:name="_Toc38437781"/>
      <w:bookmarkStart w:id="659" w:name="_Toc38437927"/>
      <w:bookmarkStart w:id="660" w:name="_Toc38438073"/>
      <w:bookmarkStart w:id="661" w:name="_Toc38438219"/>
      <w:bookmarkStart w:id="662" w:name="_Toc38438556"/>
      <w:bookmarkStart w:id="663" w:name="_Toc38438893"/>
      <w:bookmarkStart w:id="664" w:name="_Toc38439230"/>
      <w:bookmarkStart w:id="665" w:name="_Toc38439567"/>
      <w:bookmarkStart w:id="666" w:name="_Toc38439904"/>
      <w:bookmarkStart w:id="667" w:name="_Toc38440241"/>
      <w:bookmarkStart w:id="668" w:name="_Toc38440578"/>
      <w:bookmarkStart w:id="669" w:name="_Toc38440777"/>
      <w:bookmarkStart w:id="670" w:name="_Toc38441110"/>
      <w:bookmarkStart w:id="671" w:name="_Toc38441442"/>
      <w:bookmarkStart w:id="672" w:name="_Toc38441774"/>
      <w:bookmarkStart w:id="673" w:name="_Toc38442102"/>
      <w:bookmarkStart w:id="674" w:name="_Toc38442434"/>
      <w:bookmarkStart w:id="675" w:name="_Toc38442766"/>
      <w:bookmarkStart w:id="676" w:name="_Toc38443097"/>
      <w:bookmarkStart w:id="677" w:name="_Toc38443428"/>
      <w:bookmarkStart w:id="678" w:name="_Toc38443759"/>
      <w:bookmarkStart w:id="679" w:name="_Toc38433506"/>
      <w:bookmarkStart w:id="680" w:name="_Toc38433641"/>
      <w:bookmarkStart w:id="681" w:name="_Toc38433775"/>
      <w:bookmarkStart w:id="682" w:name="_Toc38433925"/>
      <w:bookmarkStart w:id="683" w:name="_Toc38434073"/>
      <w:bookmarkStart w:id="684" w:name="_Toc38434221"/>
      <w:bookmarkStart w:id="685" w:name="_Toc38434367"/>
      <w:bookmarkStart w:id="686" w:name="_Toc38434510"/>
      <w:bookmarkStart w:id="687" w:name="_Toc38434653"/>
      <w:bookmarkStart w:id="688" w:name="_Toc38434796"/>
      <w:bookmarkStart w:id="689" w:name="_Toc38434940"/>
      <w:bookmarkStart w:id="690" w:name="_Toc38437636"/>
      <w:bookmarkStart w:id="691" w:name="_Toc38437782"/>
      <w:bookmarkStart w:id="692" w:name="_Toc38437928"/>
      <w:bookmarkStart w:id="693" w:name="_Toc38438074"/>
      <w:bookmarkStart w:id="694" w:name="_Toc38438220"/>
      <w:bookmarkStart w:id="695" w:name="_Toc38438557"/>
      <w:bookmarkStart w:id="696" w:name="_Toc38438894"/>
      <w:bookmarkStart w:id="697" w:name="_Toc38439231"/>
      <w:bookmarkStart w:id="698" w:name="_Toc38439568"/>
      <w:bookmarkStart w:id="699" w:name="_Toc38439905"/>
      <w:bookmarkStart w:id="700" w:name="_Toc38440242"/>
      <w:bookmarkStart w:id="701" w:name="_Toc38440579"/>
      <w:bookmarkStart w:id="702" w:name="_Toc38440778"/>
      <w:bookmarkStart w:id="703" w:name="_Toc38441111"/>
      <w:bookmarkStart w:id="704" w:name="_Toc38441443"/>
      <w:bookmarkStart w:id="705" w:name="_Toc38441775"/>
      <w:bookmarkStart w:id="706" w:name="_Toc38442103"/>
      <w:bookmarkStart w:id="707" w:name="_Toc38442435"/>
      <w:bookmarkStart w:id="708" w:name="_Toc38442767"/>
      <w:bookmarkStart w:id="709" w:name="_Toc38443098"/>
      <w:bookmarkStart w:id="710" w:name="_Toc38443429"/>
      <w:bookmarkStart w:id="711" w:name="_Toc38443760"/>
      <w:bookmarkStart w:id="712" w:name="_Toc38433507"/>
      <w:bookmarkStart w:id="713" w:name="_Toc38433642"/>
      <w:bookmarkStart w:id="714" w:name="_Toc38433776"/>
      <w:bookmarkStart w:id="715" w:name="_Toc38433926"/>
      <w:bookmarkStart w:id="716" w:name="_Toc38434074"/>
      <w:bookmarkStart w:id="717" w:name="_Toc38434222"/>
      <w:bookmarkStart w:id="718" w:name="_Toc38434368"/>
      <w:bookmarkStart w:id="719" w:name="_Toc38434511"/>
      <w:bookmarkStart w:id="720" w:name="_Toc38434654"/>
      <w:bookmarkStart w:id="721" w:name="_Toc38434797"/>
      <w:bookmarkStart w:id="722" w:name="_Toc38434941"/>
      <w:bookmarkStart w:id="723" w:name="_Toc38437637"/>
      <w:bookmarkStart w:id="724" w:name="_Toc38437783"/>
      <w:bookmarkStart w:id="725" w:name="_Toc38437929"/>
      <w:bookmarkStart w:id="726" w:name="_Toc38438075"/>
      <w:bookmarkStart w:id="727" w:name="_Toc38438221"/>
      <w:bookmarkStart w:id="728" w:name="_Toc38438558"/>
      <w:bookmarkStart w:id="729" w:name="_Toc38438895"/>
      <w:bookmarkStart w:id="730" w:name="_Toc38439232"/>
      <w:bookmarkStart w:id="731" w:name="_Toc38439569"/>
      <w:bookmarkStart w:id="732" w:name="_Toc38439906"/>
      <w:bookmarkStart w:id="733" w:name="_Toc38440243"/>
      <w:bookmarkStart w:id="734" w:name="_Toc38440580"/>
      <w:bookmarkStart w:id="735" w:name="_Toc38440779"/>
      <w:bookmarkStart w:id="736" w:name="_Toc38441112"/>
      <w:bookmarkStart w:id="737" w:name="_Toc38441444"/>
      <w:bookmarkStart w:id="738" w:name="_Toc38441776"/>
      <w:bookmarkStart w:id="739" w:name="_Toc38442104"/>
      <w:bookmarkStart w:id="740" w:name="_Toc38442436"/>
      <w:bookmarkStart w:id="741" w:name="_Toc38442768"/>
      <w:bookmarkStart w:id="742" w:name="_Toc38443099"/>
      <w:bookmarkStart w:id="743" w:name="_Toc38443430"/>
      <w:bookmarkStart w:id="744" w:name="_Toc38443761"/>
      <w:bookmarkStart w:id="745" w:name="_Toc38433508"/>
      <w:bookmarkStart w:id="746" w:name="_Toc38433643"/>
      <w:bookmarkStart w:id="747" w:name="_Toc38433777"/>
      <w:bookmarkStart w:id="748" w:name="_Toc38433927"/>
      <w:bookmarkStart w:id="749" w:name="_Toc38434075"/>
      <w:bookmarkStart w:id="750" w:name="_Toc38434223"/>
      <w:bookmarkStart w:id="751" w:name="_Toc38434369"/>
      <w:bookmarkStart w:id="752" w:name="_Toc38434512"/>
      <w:bookmarkStart w:id="753" w:name="_Toc38434655"/>
      <w:bookmarkStart w:id="754" w:name="_Toc38434798"/>
      <w:bookmarkStart w:id="755" w:name="_Toc38434942"/>
      <w:bookmarkStart w:id="756" w:name="_Toc38437638"/>
      <w:bookmarkStart w:id="757" w:name="_Toc38437784"/>
      <w:bookmarkStart w:id="758" w:name="_Toc38437930"/>
      <w:bookmarkStart w:id="759" w:name="_Toc38438076"/>
      <w:bookmarkStart w:id="760" w:name="_Toc38438222"/>
      <w:bookmarkStart w:id="761" w:name="_Toc38438559"/>
      <w:bookmarkStart w:id="762" w:name="_Toc38438896"/>
      <w:bookmarkStart w:id="763" w:name="_Toc38439233"/>
      <w:bookmarkStart w:id="764" w:name="_Toc38439570"/>
      <w:bookmarkStart w:id="765" w:name="_Toc38439907"/>
      <w:bookmarkStart w:id="766" w:name="_Toc38440244"/>
      <w:bookmarkStart w:id="767" w:name="_Toc38440581"/>
      <w:bookmarkStart w:id="768" w:name="_Toc38440780"/>
      <w:bookmarkStart w:id="769" w:name="_Toc38441113"/>
      <w:bookmarkStart w:id="770" w:name="_Toc38441445"/>
      <w:bookmarkStart w:id="771" w:name="_Toc38441777"/>
      <w:bookmarkStart w:id="772" w:name="_Toc38442105"/>
      <w:bookmarkStart w:id="773" w:name="_Toc38442437"/>
      <w:bookmarkStart w:id="774" w:name="_Toc38442769"/>
      <w:bookmarkStart w:id="775" w:name="_Toc38443100"/>
      <w:bookmarkStart w:id="776" w:name="_Toc38443431"/>
      <w:bookmarkStart w:id="777" w:name="_Toc38443762"/>
      <w:bookmarkStart w:id="778" w:name="_Toc38433510"/>
      <w:bookmarkStart w:id="779" w:name="_Toc38433645"/>
      <w:bookmarkStart w:id="780" w:name="_Toc38433779"/>
      <w:bookmarkStart w:id="781" w:name="_Toc38433929"/>
      <w:bookmarkStart w:id="782" w:name="_Toc38434077"/>
      <w:bookmarkStart w:id="783" w:name="_Toc38434225"/>
      <w:bookmarkStart w:id="784" w:name="_Toc38434371"/>
      <w:bookmarkStart w:id="785" w:name="_Toc38434514"/>
      <w:bookmarkStart w:id="786" w:name="_Toc38434657"/>
      <w:bookmarkStart w:id="787" w:name="_Toc38434800"/>
      <w:bookmarkStart w:id="788" w:name="_Toc38434944"/>
      <w:bookmarkStart w:id="789" w:name="_Toc38437640"/>
      <w:bookmarkStart w:id="790" w:name="_Toc38437786"/>
      <w:bookmarkStart w:id="791" w:name="_Toc38437932"/>
      <w:bookmarkStart w:id="792" w:name="_Toc38438078"/>
      <w:bookmarkStart w:id="793" w:name="_Toc38438224"/>
      <w:bookmarkStart w:id="794" w:name="_Toc38438561"/>
      <w:bookmarkStart w:id="795" w:name="_Toc38438898"/>
      <w:bookmarkStart w:id="796" w:name="_Toc38439235"/>
      <w:bookmarkStart w:id="797" w:name="_Toc38439572"/>
      <w:bookmarkStart w:id="798" w:name="_Toc38439909"/>
      <w:bookmarkStart w:id="799" w:name="_Toc38440246"/>
      <w:bookmarkStart w:id="800" w:name="_Toc38440583"/>
      <w:bookmarkStart w:id="801" w:name="_Toc38440782"/>
      <w:bookmarkStart w:id="802" w:name="_Toc38441115"/>
      <w:bookmarkStart w:id="803" w:name="_Toc38441447"/>
      <w:bookmarkStart w:id="804" w:name="_Toc38441779"/>
      <w:bookmarkStart w:id="805" w:name="_Toc38442107"/>
      <w:bookmarkStart w:id="806" w:name="_Toc38442439"/>
      <w:bookmarkStart w:id="807" w:name="_Toc38442771"/>
      <w:bookmarkStart w:id="808" w:name="_Toc38443102"/>
      <w:bookmarkStart w:id="809" w:name="_Toc38443433"/>
      <w:bookmarkStart w:id="810" w:name="_Toc38443764"/>
      <w:bookmarkStart w:id="811" w:name="_Toc13148353"/>
      <w:bookmarkStart w:id="812" w:name="_Toc13150581"/>
      <w:bookmarkStart w:id="813" w:name="_Toc13291966"/>
      <w:bookmarkStart w:id="814" w:name="_Toc13504692"/>
      <w:bookmarkStart w:id="815" w:name="_Toc13504808"/>
      <w:bookmarkStart w:id="816" w:name="_Toc13556301"/>
      <w:bookmarkStart w:id="817" w:name="_Toc14337423"/>
      <w:bookmarkStart w:id="818" w:name="_Toc13148354"/>
      <w:bookmarkStart w:id="819" w:name="_Toc13150582"/>
      <w:bookmarkStart w:id="820" w:name="_Toc13291967"/>
      <w:bookmarkStart w:id="821" w:name="_Toc13504693"/>
      <w:bookmarkStart w:id="822" w:name="_Toc13504809"/>
      <w:bookmarkStart w:id="823" w:name="_Toc13556302"/>
      <w:bookmarkStart w:id="824" w:name="_Toc14337424"/>
      <w:bookmarkStart w:id="825" w:name="_Toc13148355"/>
      <w:bookmarkStart w:id="826" w:name="_Toc13150583"/>
      <w:bookmarkStart w:id="827" w:name="_Toc13291968"/>
      <w:bookmarkStart w:id="828" w:name="_Toc13504694"/>
      <w:bookmarkStart w:id="829" w:name="_Toc13504810"/>
      <w:bookmarkStart w:id="830" w:name="_Toc13556303"/>
      <w:bookmarkStart w:id="831" w:name="_Toc14337425"/>
      <w:bookmarkStart w:id="832" w:name="_Toc13148356"/>
      <w:bookmarkStart w:id="833" w:name="_Toc13150584"/>
      <w:bookmarkStart w:id="834" w:name="_Toc13291969"/>
      <w:bookmarkStart w:id="835" w:name="_Toc13504695"/>
      <w:bookmarkStart w:id="836" w:name="_Toc13504811"/>
      <w:bookmarkStart w:id="837" w:name="_Toc13556304"/>
      <w:bookmarkStart w:id="838" w:name="_Toc14337426"/>
      <w:bookmarkStart w:id="839" w:name="_Toc13148357"/>
      <w:bookmarkStart w:id="840" w:name="_Toc13150585"/>
      <w:bookmarkStart w:id="841" w:name="_Toc13291970"/>
      <w:bookmarkStart w:id="842" w:name="_Toc13504696"/>
      <w:bookmarkStart w:id="843" w:name="_Toc13504812"/>
      <w:bookmarkStart w:id="844" w:name="_Toc13556305"/>
      <w:bookmarkStart w:id="845" w:name="_Toc14337427"/>
      <w:bookmarkStart w:id="846" w:name="_Toc13148358"/>
      <w:bookmarkStart w:id="847" w:name="_Toc13150586"/>
      <w:bookmarkStart w:id="848" w:name="_Toc13291971"/>
      <w:bookmarkStart w:id="849" w:name="_Toc13504697"/>
      <w:bookmarkStart w:id="850" w:name="_Toc13504813"/>
      <w:bookmarkStart w:id="851" w:name="_Toc13556306"/>
      <w:bookmarkStart w:id="852" w:name="_Toc14337428"/>
      <w:bookmarkStart w:id="853" w:name="_Toc13148359"/>
      <w:bookmarkStart w:id="854" w:name="_Toc13150587"/>
      <w:bookmarkStart w:id="855" w:name="_Toc13291972"/>
      <w:bookmarkStart w:id="856" w:name="_Toc13504698"/>
      <w:bookmarkStart w:id="857" w:name="_Toc13504814"/>
      <w:bookmarkStart w:id="858" w:name="_Toc13556307"/>
      <w:bookmarkStart w:id="859" w:name="_Toc14337429"/>
      <w:bookmarkStart w:id="860" w:name="_Toc13148360"/>
      <w:bookmarkStart w:id="861" w:name="_Toc13150588"/>
      <w:bookmarkStart w:id="862" w:name="_Toc13291973"/>
      <w:bookmarkStart w:id="863" w:name="_Toc13504699"/>
      <w:bookmarkStart w:id="864" w:name="_Toc13504815"/>
      <w:bookmarkStart w:id="865" w:name="_Toc13556308"/>
      <w:bookmarkStart w:id="866" w:name="_Toc14337430"/>
      <w:bookmarkStart w:id="867" w:name="_Toc13148361"/>
      <w:bookmarkStart w:id="868" w:name="_Toc13150589"/>
      <w:bookmarkStart w:id="869" w:name="_Toc13291974"/>
      <w:bookmarkStart w:id="870" w:name="_Toc13504700"/>
      <w:bookmarkStart w:id="871" w:name="_Toc13504816"/>
      <w:bookmarkStart w:id="872" w:name="_Toc13556309"/>
      <w:bookmarkStart w:id="873" w:name="_Toc14337431"/>
      <w:bookmarkStart w:id="874" w:name="_Toc13148362"/>
      <w:bookmarkStart w:id="875" w:name="_Toc13150590"/>
      <w:bookmarkStart w:id="876" w:name="_Toc13291975"/>
      <w:bookmarkStart w:id="877" w:name="_Toc13504701"/>
      <w:bookmarkStart w:id="878" w:name="_Toc13504817"/>
      <w:bookmarkStart w:id="879" w:name="_Toc13556310"/>
      <w:bookmarkStart w:id="880" w:name="_Toc14337432"/>
      <w:bookmarkStart w:id="881" w:name="_Toc13148369"/>
      <w:bookmarkStart w:id="882" w:name="_Toc13150597"/>
      <w:bookmarkStart w:id="883" w:name="_Toc13291982"/>
      <w:bookmarkStart w:id="884" w:name="_Toc13504708"/>
      <w:bookmarkStart w:id="885" w:name="_Toc13504824"/>
      <w:bookmarkStart w:id="886" w:name="_Toc13556317"/>
      <w:bookmarkStart w:id="887" w:name="_Toc14337439"/>
      <w:bookmarkStart w:id="888" w:name="_Toc13148370"/>
      <w:bookmarkStart w:id="889" w:name="_Toc13150598"/>
      <w:bookmarkStart w:id="890" w:name="_Toc13291983"/>
      <w:bookmarkStart w:id="891" w:name="_Toc13504709"/>
      <w:bookmarkStart w:id="892" w:name="_Toc13504825"/>
      <w:bookmarkStart w:id="893" w:name="_Toc13556318"/>
      <w:bookmarkStart w:id="894" w:name="_Toc14337440"/>
      <w:bookmarkStart w:id="895" w:name="_Toc13148371"/>
      <w:bookmarkStart w:id="896" w:name="_Toc13150599"/>
      <w:bookmarkStart w:id="897" w:name="_Toc13291984"/>
      <w:bookmarkStart w:id="898" w:name="_Toc13504710"/>
      <w:bookmarkStart w:id="899" w:name="_Toc13504826"/>
      <w:bookmarkStart w:id="900" w:name="_Toc13556319"/>
      <w:bookmarkStart w:id="901" w:name="_Toc14337441"/>
      <w:bookmarkStart w:id="902" w:name="_Toc13148372"/>
      <w:bookmarkStart w:id="903" w:name="_Toc13150600"/>
      <w:bookmarkStart w:id="904" w:name="_Toc13291985"/>
      <w:bookmarkStart w:id="905" w:name="_Toc13504711"/>
      <w:bookmarkStart w:id="906" w:name="_Toc13504827"/>
      <w:bookmarkStart w:id="907" w:name="_Toc13556320"/>
      <w:bookmarkStart w:id="908" w:name="_Toc14337442"/>
      <w:bookmarkStart w:id="909" w:name="_Toc13148373"/>
      <w:bookmarkStart w:id="910" w:name="_Toc13150601"/>
      <w:bookmarkStart w:id="911" w:name="_Toc13291986"/>
      <w:bookmarkStart w:id="912" w:name="_Toc13504712"/>
      <w:bookmarkStart w:id="913" w:name="_Toc13504828"/>
      <w:bookmarkStart w:id="914" w:name="_Toc13556321"/>
      <w:bookmarkStart w:id="915" w:name="_Toc14337443"/>
      <w:bookmarkStart w:id="916" w:name="_Toc13148374"/>
      <w:bookmarkStart w:id="917" w:name="_Toc13150602"/>
      <w:bookmarkStart w:id="918" w:name="_Toc13291987"/>
      <w:bookmarkStart w:id="919" w:name="_Toc13504713"/>
      <w:bookmarkStart w:id="920" w:name="_Toc13504829"/>
      <w:bookmarkStart w:id="921" w:name="_Toc13556322"/>
      <w:bookmarkStart w:id="922" w:name="_Toc14337444"/>
      <w:bookmarkStart w:id="923" w:name="_Toc13148376"/>
      <w:bookmarkStart w:id="924" w:name="_Toc13150604"/>
      <w:bookmarkStart w:id="925" w:name="_Toc13291989"/>
      <w:bookmarkStart w:id="926" w:name="_Toc13504715"/>
      <w:bookmarkStart w:id="927" w:name="_Toc13504831"/>
      <w:bookmarkStart w:id="928" w:name="_Toc13556324"/>
      <w:bookmarkStart w:id="929" w:name="_Toc14337446"/>
      <w:bookmarkStart w:id="930" w:name="_Toc13148377"/>
      <w:bookmarkStart w:id="931" w:name="_Toc13150605"/>
      <w:bookmarkStart w:id="932" w:name="_Toc13291990"/>
      <w:bookmarkStart w:id="933" w:name="_Toc13504716"/>
      <w:bookmarkStart w:id="934" w:name="_Toc13504832"/>
      <w:bookmarkStart w:id="935" w:name="_Toc13556325"/>
      <w:bookmarkStart w:id="936" w:name="_Toc14337447"/>
      <w:bookmarkStart w:id="937" w:name="_Toc13148379"/>
      <w:bookmarkStart w:id="938" w:name="_Toc13150607"/>
      <w:bookmarkStart w:id="939" w:name="_Toc13291992"/>
      <w:bookmarkStart w:id="940" w:name="_Toc13504718"/>
      <w:bookmarkStart w:id="941" w:name="_Toc13504834"/>
      <w:bookmarkStart w:id="942" w:name="_Toc13556327"/>
      <w:bookmarkStart w:id="943" w:name="_Toc14337449"/>
      <w:bookmarkStart w:id="944" w:name="_Toc13148381"/>
      <w:bookmarkStart w:id="945" w:name="_Toc13150609"/>
      <w:bookmarkStart w:id="946" w:name="_Toc13291994"/>
      <w:bookmarkStart w:id="947" w:name="_Toc13504720"/>
      <w:bookmarkStart w:id="948" w:name="_Toc13504836"/>
      <w:bookmarkStart w:id="949" w:name="_Toc13556329"/>
      <w:bookmarkStart w:id="950" w:name="_Toc14337451"/>
      <w:bookmarkStart w:id="951" w:name="_Toc13148384"/>
      <w:bookmarkStart w:id="952" w:name="_Toc13150612"/>
      <w:bookmarkStart w:id="953" w:name="_Toc13291997"/>
      <w:bookmarkStart w:id="954" w:name="_Toc13504723"/>
      <w:bookmarkStart w:id="955" w:name="_Toc13504839"/>
      <w:bookmarkStart w:id="956" w:name="_Toc13556332"/>
      <w:bookmarkStart w:id="957" w:name="_Toc14337454"/>
      <w:bookmarkStart w:id="958" w:name="_Toc13148385"/>
      <w:bookmarkStart w:id="959" w:name="_Toc13150613"/>
      <w:bookmarkStart w:id="960" w:name="_Toc13291998"/>
      <w:bookmarkStart w:id="961" w:name="_Toc13504724"/>
      <w:bookmarkStart w:id="962" w:name="_Toc13504840"/>
      <w:bookmarkStart w:id="963" w:name="_Toc13556333"/>
      <w:bookmarkStart w:id="964" w:name="_Toc14337455"/>
      <w:bookmarkStart w:id="965" w:name="_Toc13148390"/>
      <w:bookmarkStart w:id="966" w:name="_Toc13150618"/>
      <w:bookmarkStart w:id="967" w:name="_Toc13292003"/>
      <w:bookmarkStart w:id="968" w:name="_Toc13504729"/>
      <w:bookmarkStart w:id="969" w:name="_Toc13504845"/>
      <w:bookmarkStart w:id="970" w:name="_Toc13556338"/>
      <w:bookmarkStart w:id="971" w:name="_Toc14337460"/>
      <w:bookmarkStart w:id="972" w:name="_Toc13148391"/>
      <w:bookmarkStart w:id="973" w:name="_Toc13150619"/>
      <w:bookmarkStart w:id="974" w:name="_Toc13292004"/>
      <w:bookmarkStart w:id="975" w:name="_Toc13504730"/>
      <w:bookmarkStart w:id="976" w:name="_Toc13504846"/>
      <w:bookmarkStart w:id="977" w:name="_Toc13556339"/>
      <w:bookmarkStart w:id="978" w:name="_Toc14337461"/>
      <w:bookmarkStart w:id="979" w:name="_Toc13148392"/>
      <w:bookmarkStart w:id="980" w:name="_Toc13150620"/>
      <w:bookmarkStart w:id="981" w:name="_Toc13292005"/>
      <w:bookmarkStart w:id="982" w:name="_Toc13504731"/>
      <w:bookmarkStart w:id="983" w:name="_Toc13504847"/>
      <w:bookmarkStart w:id="984" w:name="_Toc13556340"/>
      <w:bookmarkStart w:id="985" w:name="_Toc14337462"/>
      <w:bookmarkStart w:id="986" w:name="_Toc13148393"/>
      <w:bookmarkStart w:id="987" w:name="_Toc13150621"/>
      <w:bookmarkStart w:id="988" w:name="_Toc13292006"/>
      <w:bookmarkStart w:id="989" w:name="_Toc13504732"/>
      <w:bookmarkStart w:id="990" w:name="_Toc13504848"/>
      <w:bookmarkStart w:id="991" w:name="_Toc13556341"/>
      <w:bookmarkStart w:id="992" w:name="_Toc14337463"/>
      <w:bookmarkStart w:id="993" w:name="_Toc13148394"/>
      <w:bookmarkStart w:id="994" w:name="_Toc13150622"/>
      <w:bookmarkStart w:id="995" w:name="_Toc13292007"/>
      <w:bookmarkStart w:id="996" w:name="_Toc13504733"/>
      <w:bookmarkStart w:id="997" w:name="_Toc13504849"/>
      <w:bookmarkStart w:id="998" w:name="_Toc13556342"/>
      <w:bookmarkStart w:id="999" w:name="_Toc14337464"/>
      <w:bookmarkStart w:id="1000" w:name="_Toc13148395"/>
      <w:bookmarkStart w:id="1001" w:name="_Toc13150623"/>
      <w:bookmarkStart w:id="1002" w:name="_Toc13292008"/>
      <w:bookmarkStart w:id="1003" w:name="_Toc13504734"/>
      <w:bookmarkStart w:id="1004" w:name="_Toc13504850"/>
      <w:bookmarkStart w:id="1005" w:name="_Toc13556343"/>
      <w:bookmarkStart w:id="1006" w:name="_Toc14337465"/>
      <w:bookmarkStart w:id="1007" w:name="_Toc13148396"/>
      <w:bookmarkStart w:id="1008" w:name="_Toc13150624"/>
      <w:bookmarkStart w:id="1009" w:name="_Toc13292009"/>
      <w:bookmarkStart w:id="1010" w:name="_Toc13504735"/>
      <w:bookmarkStart w:id="1011" w:name="_Toc13504851"/>
      <w:bookmarkStart w:id="1012" w:name="_Toc13556344"/>
      <w:bookmarkStart w:id="1013" w:name="_Toc14337466"/>
      <w:bookmarkStart w:id="1014" w:name="_Toc13148397"/>
      <w:bookmarkStart w:id="1015" w:name="_Toc13150625"/>
      <w:bookmarkStart w:id="1016" w:name="_Toc13292010"/>
      <w:bookmarkStart w:id="1017" w:name="_Toc13504736"/>
      <w:bookmarkStart w:id="1018" w:name="_Toc13504852"/>
      <w:bookmarkStart w:id="1019" w:name="_Toc13556345"/>
      <w:bookmarkStart w:id="1020" w:name="_Toc14337467"/>
      <w:bookmarkStart w:id="1021" w:name="_Toc13148398"/>
      <w:bookmarkStart w:id="1022" w:name="_Toc13150626"/>
      <w:bookmarkStart w:id="1023" w:name="_Toc13292011"/>
      <w:bookmarkStart w:id="1024" w:name="_Toc13504737"/>
      <w:bookmarkStart w:id="1025" w:name="_Toc13504853"/>
      <w:bookmarkStart w:id="1026" w:name="_Toc13556346"/>
      <w:bookmarkStart w:id="1027" w:name="_Toc14337468"/>
      <w:bookmarkStart w:id="1028" w:name="_Toc13148399"/>
      <w:bookmarkStart w:id="1029" w:name="_Toc13150627"/>
      <w:bookmarkStart w:id="1030" w:name="_Toc13292012"/>
      <w:bookmarkStart w:id="1031" w:name="_Toc13504738"/>
      <w:bookmarkStart w:id="1032" w:name="_Toc13504854"/>
      <w:bookmarkStart w:id="1033" w:name="_Toc13556347"/>
      <w:bookmarkStart w:id="1034" w:name="_Toc14337469"/>
      <w:bookmarkStart w:id="1035" w:name="_Toc13148400"/>
      <w:bookmarkStart w:id="1036" w:name="_Toc13150628"/>
      <w:bookmarkStart w:id="1037" w:name="_Toc13292013"/>
      <w:bookmarkStart w:id="1038" w:name="_Toc13504739"/>
      <w:bookmarkStart w:id="1039" w:name="_Toc13504855"/>
      <w:bookmarkStart w:id="1040" w:name="_Toc13556348"/>
      <w:bookmarkStart w:id="1041" w:name="_Toc14337470"/>
      <w:bookmarkStart w:id="1042" w:name="_Toc13148401"/>
      <w:bookmarkStart w:id="1043" w:name="_Toc13150629"/>
      <w:bookmarkStart w:id="1044" w:name="_Toc13292014"/>
      <w:bookmarkStart w:id="1045" w:name="_Toc13504740"/>
      <w:bookmarkStart w:id="1046" w:name="_Toc13504856"/>
      <w:bookmarkStart w:id="1047" w:name="_Toc13556349"/>
      <w:bookmarkStart w:id="1048" w:name="_Toc14337471"/>
      <w:bookmarkStart w:id="1049" w:name="_Toc13148402"/>
      <w:bookmarkStart w:id="1050" w:name="_Toc13150630"/>
      <w:bookmarkStart w:id="1051" w:name="_Toc13292015"/>
      <w:bookmarkStart w:id="1052" w:name="_Toc13504741"/>
      <w:bookmarkStart w:id="1053" w:name="_Toc13504857"/>
      <w:bookmarkStart w:id="1054" w:name="_Toc13556350"/>
      <w:bookmarkStart w:id="1055" w:name="_Toc14337472"/>
      <w:bookmarkStart w:id="1056" w:name="_Toc13148408"/>
      <w:bookmarkStart w:id="1057" w:name="_Toc13150636"/>
      <w:bookmarkStart w:id="1058" w:name="_Toc13292021"/>
      <w:bookmarkStart w:id="1059" w:name="_Toc13504747"/>
      <w:bookmarkStart w:id="1060" w:name="_Toc13504863"/>
      <w:bookmarkStart w:id="1061" w:name="_Toc13556356"/>
      <w:bookmarkStart w:id="1062" w:name="_Toc14337478"/>
      <w:bookmarkStart w:id="1063" w:name="_Toc13148409"/>
      <w:bookmarkStart w:id="1064" w:name="_Toc13150637"/>
      <w:bookmarkStart w:id="1065" w:name="_Toc13292022"/>
      <w:bookmarkStart w:id="1066" w:name="_Toc13504748"/>
      <w:bookmarkStart w:id="1067" w:name="_Toc13504864"/>
      <w:bookmarkStart w:id="1068" w:name="_Toc13556357"/>
      <w:bookmarkStart w:id="1069" w:name="_Toc14337479"/>
      <w:bookmarkStart w:id="1070" w:name="_Toc13148411"/>
      <w:bookmarkStart w:id="1071" w:name="_Toc13150639"/>
      <w:bookmarkStart w:id="1072" w:name="_Toc13292024"/>
      <w:bookmarkStart w:id="1073" w:name="_Toc13504750"/>
      <w:bookmarkStart w:id="1074" w:name="_Toc13504866"/>
      <w:bookmarkStart w:id="1075" w:name="_Toc13556359"/>
      <w:bookmarkStart w:id="1076" w:name="_Toc14337481"/>
      <w:bookmarkStart w:id="1077" w:name="_Toc13148412"/>
      <w:bookmarkStart w:id="1078" w:name="_Toc13150640"/>
      <w:bookmarkStart w:id="1079" w:name="_Toc13292025"/>
      <w:bookmarkStart w:id="1080" w:name="_Toc13504751"/>
      <w:bookmarkStart w:id="1081" w:name="_Toc13504867"/>
      <w:bookmarkStart w:id="1082" w:name="_Toc13556360"/>
      <w:bookmarkStart w:id="1083" w:name="_Toc14337482"/>
      <w:bookmarkStart w:id="1084" w:name="_Toc13148413"/>
      <w:bookmarkStart w:id="1085" w:name="_Toc13150641"/>
      <w:bookmarkStart w:id="1086" w:name="_Toc13292026"/>
      <w:bookmarkStart w:id="1087" w:name="_Toc13504752"/>
      <w:bookmarkStart w:id="1088" w:name="_Toc13504868"/>
      <w:bookmarkStart w:id="1089" w:name="_Toc13556361"/>
      <w:bookmarkStart w:id="1090" w:name="_Toc14337483"/>
      <w:bookmarkStart w:id="1091" w:name="_Toc38551259"/>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r w:rsidRPr="00565E0D">
        <w:rPr>
          <w:rFonts w:asciiTheme="minorEastAsia" w:eastAsiaTheme="minorEastAsia" w:hAnsiTheme="minorEastAsia" w:hint="eastAsia"/>
          <w:b w:val="0"/>
          <w:bCs/>
        </w:rPr>
        <w:t>（七）争议的处理</w:t>
      </w:r>
      <w:bookmarkStart w:id="1092" w:name="_Toc38438236"/>
      <w:bookmarkStart w:id="1093" w:name="_Toc38438573"/>
      <w:bookmarkStart w:id="1094" w:name="_Toc38438910"/>
      <w:bookmarkStart w:id="1095" w:name="_Toc38439247"/>
      <w:bookmarkStart w:id="1096" w:name="_Toc38439584"/>
      <w:bookmarkStart w:id="1097" w:name="_Toc38439921"/>
      <w:bookmarkStart w:id="1098" w:name="_Toc38440258"/>
      <w:bookmarkStart w:id="1099" w:name="_Toc38440595"/>
      <w:bookmarkStart w:id="1100" w:name="_Toc38440794"/>
      <w:bookmarkStart w:id="1101" w:name="_Toc38441127"/>
      <w:bookmarkStart w:id="1102" w:name="_Toc38441459"/>
      <w:bookmarkStart w:id="1103" w:name="_Toc38441791"/>
      <w:bookmarkStart w:id="1104" w:name="_Toc38442119"/>
      <w:bookmarkStart w:id="1105" w:name="_Toc38442451"/>
      <w:bookmarkStart w:id="1106" w:name="_Toc38442783"/>
      <w:bookmarkStart w:id="1107" w:name="_Toc38443114"/>
      <w:bookmarkStart w:id="1108" w:name="_Toc38443445"/>
      <w:bookmarkStart w:id="1109" w:name="_Toc38443776"/>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p>
    <w:p w:rsidR="00C35BC5" w:rsidRPr="00565E0D" w:rsidRDefault="00C35BC5" w:rsidP="00552BE1">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各方当事人同意，因《基金合同》而产生的或与《基金合同》有关的一切争议，如经友好协商未能解决的，应提交中国国际经济贸易仲裁委员会根据该会当时有效的仲裁规则进行仲裁，仲裁的地点在北京，仲裁裁决是终局性的并对各方当事人具有约束力，仲裁费由败诉方承担。本《基金合同》受中国法律管辖。</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110" w:name="_Toc110945633"/>
      <w:bookmarkStart w:id="1111" w:name="_Toc136870035"/>
      <w:bookmarkStart w:id="1112" w:name="_Toc38551260"/>
      <w:r w:rsidRPr="00565E0D">
        <w:rPr>
          <w:rFonts w:asciiTheme="minorEastAsia" w:eastAsiaTheme="minorEastAsia" w:hAnsiTheme="minorEastAsia" w:hint="eastAsia"/>
          <w:b w:val="0"/>
          <w:bCs/>
        </w:rPr>
        <w:t>（八）基金合同的存放及查阅方式</w:t>
      </w:r>
      <w:bookmarkEnd w:id="1110"/>
      <w:bookmarkEnd w:id="1111"/>
      <w:bookmarkEnd w:id="1112"/>
    </w:p>
    <w:p w:rsidR="00C35BC5" w:rsidRPr="00565E0D" w:rsidRDefault="00C35BC5" w:rsidP="00552BE1">
      <w:pPr>
        <w:autoSpaceDE w:val="0"/>
        <w:autoSpaceDN w:val="0"/>
        <w:snapToGrid w:val="0"/>
        <w:spacing w:line="360" w:lineRule="auto"/>
        <w:ind w:firstLineChars="200" w:firstLine="420"/>
        <w:textAlignment w:val="bottom"/>
        <w:rPr>
          <w:rFonts w:asciiTheme="minorEastAsia" w:eastAsiaTheme="minorEastAsia" w:hAnsiTheme="minorEastAsia"/>
          <w:szCs w:val="21"/>
        </w:rPr>
      </w:pPr>
      <w:r w:rsidRPr="00565E0D">
        <w:rPr>
          <w:rFonts w:asciiTheme="minorEastAsia" w:eastAsiaTheme="minorEastAsia" w:hAnsiTheme="minorEastAsia" w:hint="eastAsia"/>
          <w:szCs w:val="21"/>
        </w:rPr>
        <w:t>《基金合同》</w:t>
      </w:r>
      <w:r w:rsidRPr="00565E0D">
        <w:rPr>
          <w:rFonts w:asciiTheme="minorEastAsia" w:eastAsiaTheme="minorEastAsia" w:hAnsiTheme="minorEastAsia"/>
          <w:szCs w:val="21"/>
        </w:rPr>
        <w:t>可印制成册</w:t>
      </w:r>
      <w:r w:rsidRPr="00565E0D">
        <w:rPr>
          <w:rFonts w:asciiTheme="minorEastAsia" w:eastAsiaTheme="minorEastAsia" w:hAnsiTheme="minorEastAsia" w:hint="eastAsia"/>
          <w:szCs w:val="21"/>
        </w:rPr>
        <w:t>，供投资者在基金管理人、基金托管人、代销机构的办公场所和营业场所查阅；投资者也可按工本费购买《基金合同》复制件或复印件，但内容应以本基金合同正本为准。</w:t>
      </w:r>
    </w:p>
    <w:p w:rsidR="00C35BC5" w:rsidRPr="00565E0D" w:rsidRDefault="00C35BC5" w:rsidP="00552BE1">
      <w:pPr>
        <w:snapToGrid w:val="0"/>
        <w:spacing w:line="360" w:lineRule="auto"/>
        <w:ind w:firstLine="420"/>
        <w:rPr>
          <w:rFonts w:asciiTheme="minorEastAsia" w:eastAsiaTheme="minorEastAsia" w:hAnsiTheme="minorEastAsia"/>
          <w:kern w:val="0"/>
          <w:sz w:val="20"/>
          <w:szCs w:val="20"/>
        </w:r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Cs/>
        </w:rPr>
      </w:pPr>
      <w:bookmarkStart w:id="1113" w:name="_Toc38551261"/>
      <w:r w:rsidRPr="00565E0D">
        <w:rPr>
          <w:rFonts w:asciiTheme="minorEastAsia" w:eastAsiaTheme="minorEastAsia" w:hAnsiTheme="minorEastAsia" w:hint="eastAsia"/>
          <w:b/>
          <w:bCs/>
        </w:rPr>
        <w:lastRenderedPageBreak/>
        <w:t>二十二、基金托管协议的内容摘要</w:t>
      </w:r>
      <w:bookmarkEnd w:id="1113"/>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sz w:val="24"/>
        </w:rPr>
      </w:pPr>
      <w:bookmarkStart w:id="1114" w:name="_Toc40511576"/>
      <w:bookmarkStart w:id="1115" w:name="_Toc38551262"/>
      <w:r w:rsidRPr="00565E0D">
        <w:rPr>
          <w:rFonts w:asciiTheme="minorEastAsia" w:eastAsiaTheme="minorEastAsia" w:hAnsiTheme="minorEastAsia" w:hint="eastAsia"/>
          <w:b w:val="0"/>
          <w:bCs/>
        </w:rPr>
        <w:t>（一）托管协议当事人</w:t>
      </w:r>
      <w:bookmarkEnd w:id="1114"/>
      <w:bookmarkEnd w:id="1115"/>
    </w:p>
    <w:p w:rsidR="00C35BC5" w:rsidRPr="00565E0D" w:rsidRDefault="00016F1C" w:rsidP="00552BE1">
      <w:pPr>
        <w:pStyle w:val="af2"/>
        <w:snapToGrid w:val="0"/>
        <w:spacing w:line="360" w:lineRule="auto"/>
        <w:ind w:firstLineChars="192" w:firstLine="403"/>
        <w:rPr>
          <w:rFonts w:asciiTheme="minorEastAsia" w:eastAsiaTheme="minorEastAsia" w:hAnsiTheme="minorEastAsia"/>
        </w:rPr>
      </w:pPr>
      <w:r w:rsidRPr="00565E0D">
        <w:rPr>
          <w:rFonts w:asciiTheme="minorEastAsia" w:eastAsiaTheme="minorEastAsia" w:hAnsiTheme="minorEastAsia" w:hint="eastAsia"/>
        </w:rPr>
        <w:t>1、</w:t>
      </w:r>
      <w:r w:rsidR="00C35BC5" w:rsidRPr="00565E0D">
        <w:rPr>
          <w:rFonts w:asciiTheme="minorEastAsia" w:eastAsiaTheme="minorEastAsia" w:hAnsiTheme="minorEastAsia" w:hint="eastAsia"/>
        </w:rPr>
        <w:t>基金管理人（或简称“管理人”）</w:t>
      </w:r>
    </w:p>
    <w:p w:rsidR="00C35BC5" w:rsidRPr="00565E0D" w:rsidRDefault="00C35BC5" w:rsidP="00552BE1">
      <w:pPr>
        <w:snapToGrid w:val="0"/>
        <w:spacing w:line="360" w:lineRule="auto"/>
        <w:ind w:right="26" w:firstLineChars="192" w:firstLine="403"/>
        <w:rPr>
          <w:rFonts w:asciiTheme="minorEastAsia" w:eastAsiaTheme="minorEastAsia" w:hAnsiTheme="minorEastAsia"/>
        </w:rPr>
      </w:pPr>
      <w:r w:rsidRPr="00565E0D">
        <w:rPr>
          <w:rFonts w:asciiTheme="minorEastAsia" w:eastAsiaTheme="minorEastAsia" w:hAnsiTheme="minorEastAsia" w:hint="eastAsia"/>
        </w:rPr>
        <w:t>名称：易方达基金管理有限公司</w:t>
      </w:r>
    </w:p>
    <w:p w:rsidR="00C35BC5" w:rsidRPr="00565E0D" w:rsidRDefault="00C35BC5" w:rsidP="00552BE1">
      <w:pPr>
        <w:snapToGrid w:val="0"/>
        <w:spacing w:line="360" w:lineRule="auto"/>
        <w:ind w:right="26" w:firstLineChars="192" w:firstLine="403"/>
        <w:rPr>
          <w:rFonts w:asciiTheme="minorEastAsia" w:eastAsiaTheme="minorEastAsia" w:hAnsiTheme="minorEastAsia"/>
          <w:szCs w:val="18"/>
        </w:rPr>
      </w:pPr>
      <w:r w:rsidRPr="00565E0D">
        <w:rPr>
          <w:rFonts w:asciiTheme="minorEastAsia" w:eastAsiaTheme="minorEastAsia" w:hAnsiTheme="minorEastAsia" w:hint="eastAsia"/>
        </w:rPr>
        <w:t>注册地址：</w:t>
      </w:r>
      <w:r w:rsidR="0018727C" w:rsidRPr="00565E0D">
        <w:rPr>
          <w:rFonts w:asciiTheme="minorEastAsia" w:eastAsiaTheme="minorEastAsia" w:hAnsiTheme="minorEastAsia" w:hint="eastAsia"/>
          <w:szCs w:val="18"/>
        </w:rPr>
        <w:t>广东省珠海市横琴新区宝华路6号105室－42891（集中办公区）</w:t>
      </w:r>
    </w:p>
    <w:p w:rsidR="00C35BC5" w:rsidRPr="00565E0D" w:rsidRDefault="00C35BC5" w:rsidP="00552BE1">
      <w:pPr>
        <w:snapToGrid w:val="0"/>
        <w:spacing w:line="360" w:lineRule="auto"/>
        <w:ind w:right="26" w:firstLineChars="192" w:firstLine="403"/>
        <w:rPr>
          <w:rFonts w:asciiTheme="minorEastAsia" w:eastAsiaTheme="minorEastAsia" w:hAnsiTheme="minorEastAsia"/>
        </w:rPr>
      </w:pPr>
      <w:r w:rsidRPr="00565E0D">
        <w:rPr>
          <w:rFonts w:asciiTheme="minorEastAsia" w:eastAsiaTheme="minorEastAsia" w:hAnsiTheme="minorEastAsia" w:hint="eastAsia"/>
        </w:rPr>
        <w:t>法定代表人:</w:t>
      </w:r>
      <w:r w:rsidR="00A626CA" w:rsidRPr="00565E0D">
        <w:rPr>
          <w:rFonts w:asciiTheme="minorEastAsia" w:eastAsiaTheme="minorEastAsia" w:hAnsiTheme="minorEastAsia" w:hint="eastAsia"/>
        </w:rPr>
        <w:t>刘晓艳</w:t>
      </w:r>
    </w:p>
    <w:p w:rsidR="00C35BC5" w:rsidRPr="00565E0D" w:rsidRDefault="00F7635A" w:rsidP="00552BE1">
      <w:pPr>
        <w:snapToGrid w:val="0"/>
        <w:spacing w:line="360" w:lineRule="auto"/>
        <w:ind w:right="26" w:firstLineChars="192" w:firstLine="403"/>
        <w:rPr>
          <w:rFonts w:asciiTheme="minorEastAsia" w:eastAsiaTheme="minorEastAsia" w:hAnsiTheme="minorEastAsia"/>
        </w:rPr>
      </w:pPr>
      <w:r w:rsidRPr="00565E0D">
        <w:rPr>
          <w:rFonts w:asciiTheme="minorEastAsia" w:eastAsiaTheme="minorEastAsia" w:hAnsiTheme="minorEastAsia" w:hint="eastAsia"/>
        </w:rPr>
        <w:t>注册资本：13,244.2万元人民币</w:t>
      </w:r>
    </w:p>
    <w:p w:rsidR="00C35BC5" w:rsidRPr="00565E0D" w:rsidRDefault="00C35BC5" w:rsidP="00552BE1">
      <w:pPr>
        <w:snapToGrid w:val="0"/>
        <w:spacing w:line="360" w:lineRule="auto"/>
        <w:ind w:right="26" w:firstLineChars="200" w:firstLine="420"/>
        <w:rPr>
          <w:rFonts w:asciiTheme="minorEastAsia" w:eastAsiaTheme="minorEastAsia" w:hAnsiTheme="minorEastAsia"/>
        </w:rPr>
      </w:pPr>
      <w:r w:rsidRPr="00565E0D">
        <w:rPr>
          <w:rFonts w:asciiTheme="minorEastAsia" w:eastAsiaTheme="minorEastAsia" w:hAnsiTheme="minorEastAsia" w:hint="eastAsia"/>
        </w:rPr>
        <w:t>经营范围：</w:t>
      </w:r>
      <w:r w:rsidR="00024290" w:rsidRPr="00565E0D">
        <w:rPr>
          <w:rFonts w:asciiTheme="minorEastAsia" w:eastAsiaTheme="minorEastAsia" w:hAnsiTheme="minorEastAsia" w:hint="eastAsia"/>
        </w:rPr>
        <w:t>公开募集证券投资基金管理、基金销售、特定客户资产管理</w:t>
      </w:r>
    </w:p>
    <w:p w:rsidR="00C35BC5" w:rsidRPr="00565E0D" w:rsidRDefault="00C35BC5" w:rsidP="00552BE1">
      <w:pPr>
        <w:snapToGrid w:val="0"/>
        <w:spacing w:line="360" w:lineRule="auto"/>
        <w:ind w:right="26" w:firstLineChars="192" w:firstLine="403"/>
        <w:rPr>
          <w:rFonts w:asciiTheme="minorEastAsia" w:eastAsiaTheme="minorEastAsia" w:hAnsiTheme="minorEastAsia"/>
        </w:rPr>
      </w:pPr>
      <w:r w:rsidRPr="00565E0D">
        <w:rPr>
          <w:rFonts w:asciiTheme="minorEastAsia" w:eastAsiaTheme="minorEastAsia" w:hAnsiTheme="minorEastAsia" w:hint="eastAsia"/>
        </w:rPr>
        <w:t>组织形式：有限责任公司</w:t>
      </w:r>
    </w:p>
    <w:p w:rsidR="00C35BC5" w:rsidRPr="00565E0D" w:rsidRDefault="00C35BC5" w:rsidP="00552BE1">
      <w:pPr>
        <w:pStyle w:val="af2"/>
        <w:snapToGrid w:val="0"/>
        <w:spacing w:line="360" w:lineRule="auto"/>
        <w:ind w:firstLineChars="192" w:firstLine="403"/>
        <w:rPr>
          <w:rFonts w:asciiTheme="minorEastAsia" w:eastAsiaTheme="minorEastAsia" w:hAnsiTheme="minorEastAsia"/>
        </w:rPr>
      </w:pPr>
      <w:r w:rsidRPr="00565E0D">
        <w:rPr>
          <w:rFonts w:asciiTheme="minorEastAsia" w:eastAsiaTheme="minorEastAsia" w:hAnsiTheme="minorEastAsia" w:hint="eastAsia"/>
        </w:rPr>
        <w:t>营业期限：持续经营</w:t>
      </w:r>
    </w:p>
    <w:p w:rsidR="00C35BC5" w:rsidRPr="00565E0D" w:rsidRDefault="00016F1C" w:rsidP="00552BE1">
      <w:pPr>
        <w:pStyle w:val="af2"/>
        <w:snapToGrid w:val="0"/>
        <w:spacing w:line="360" w:lineRule="auto"/>
        <w:ind w:firstLineChars="192" w:firstLine="403"/>
        <w:rPr>
          <w:rFonts w:asciiTheme="minorEastAsia" w:eastAsiaTheme="minorEastAsia" w:hAnsiTheme="minorEastAsia"/>
        </w:rPr>
      </w:pPr>
      <w:r w:rsidRPr="00565E0D">
        <w:rPr>
          <w:rFonts w:asciiTheme="minorEastAsia" w:eastAsiaTheme="minorEastAsia" w:hAnsiTheme="minorEastAsia" w:hint="eastAsia"/>
        </w:rPr>
        <w:t>2、</w:t>
      </w:r>
      <w:r w:rsidR="00C35BC5" w:rsidRPr="00565E0D">
        <w:rPr>
          <w:rFonts w:asciiTheme="minorEastAsia" w:eastAsiaTheme="minorEastAsia" w:hAnsiTheme="minorEastAsia" w:hint="eastAsia"/>
        </w:rPr>
        <w:t>基金托管人（或简称“托管人”）</w:t>
      </w:r>
    </w:p>
    <w:p w:rsidR="00C35BC5" w:rsidRPr="00565E0D" w:rsidRDefault="00C35BC5" w:rsidP="00552BE1">
      <w:pPr>
        <w:snapToGrid w:val="0"/>
        <w:spacing w:line="360" w:lineRule="auto"/>
        <w:ind w:right="26" w:firstLineChars="200" w:firstLine="420"/>
        <w:rPr>
          <w:rFonts w:asciiTheme="minorEastAsia" w:eastAsiaTheme="minorEastAsia" w:hAnsiTheme="minorEastAsia"/>
        </w:rPr>
      </w:pPr>
      <w:r w:rsidRPr="00565E0D">
        <w:rPr>
          <w:rFonts w:asciiTheme="minorEastAsia" w:eastAsiaTheme="minorEastAsia" w:hAnsiTheme="minorEastAsia" w:hint="eastAsia"/>
        </w:rPr>
        <w:t>基金托管人名称：中国工商银行股份有限公司</w:t>
      </w:r>
    </w:p>
    <w:p w:rsidR="00C35BC5" w:rsidRPr="00565E0D" w:rsidRDefault="00C35BC5" w:rsidP="00552BE1">
      <w:pPr>
        <w:snapToGrid w:val="0"/>
        <w:spacing w:line="360" w:lineRule="auto"/>
        <w:ind w:right="26" w:firstLineChars="200" w:firstLine="420"/>
        <w:rPr>
          <w:rFonts w:asciiTheme="minorEastAsia" w:eastAsiaTheme="minorEastAsia" w:hAnsiTheme="minorEastAsia"/>
        </w:rPr>
      </w:pPr>
      <w:r w:rsidRPr="00565E0D">
        <w:rPr>
          <w:rFonts w:asciiTheme="minorEastAsia" w:eastAsiaTheme="minorEastAsia" w:hAnsiTheme="minorEastAsia" w:hint="eastAsia"/>
        </w:rPr>
        <w:t>注册地址：北京市西城区复兴门内大街55号</w:t>
      </w:r>
    </w:p>
    <w:p w:rsidR="00C35BC5" w:rsidRPr="00565E0D" w:rsidRDefault="00C35BC5" w:rsidP="00552BE1">
      <w:pPr>
        <w:snapToGrid w:val="0"/>
        <w:spacing w:line="360" w:lineRule="auto"/>
        <w:ind w:right="26" w:firstLineChars="200" w:firstLine="420"/>
        <w:rPr>
          <w:rFonts w:asciiTheme="minorEastAsia" w:eastAsiaTheme="minorEastAsia" w:hAnsiTheme="minorEastAsia"/>
        </w:rPr>
      </w:pPr>
      <w:r w:rsidRPr="00565E0D">
        <w:rPr>
          <w:rFonts w:asciiTheme="minorEastAsia" w:eastAsiaTheme="minorEastAsia" w:hAnsiTheme="minorEastAsia" w:hint="eastAsia"/>
        </w:rPr>
        <w:t>法定代表人：</w:t>
      </w:r>
      <w:r w:rsidR="00C53A0E" w:rsidRPr="00565E0D">
        <w:rPr>
          <w:rFonts w:asciiTheme="minorEastAsia" w:eastAsiaTheme="minorEastAsia" w:hAnsiTheme="minorEastAsia" w:hint="eastAsia"/>
          <w:spacing w:val="6"/>
        </w:rPr>
        <w:t>陈四清</w:t>
      </w:r>
    </w:p>
    <w:p w:rsidR="00C35BC5" w:rsidRPr="00565E0D" w:rsidRDefault="00C35BC5" w:rsidP="00552BE1">
      <w:pPr>
        <w:snapToGrid w:val="0"/>
        <w:spacing w:line="360" w:lineRule="auto"/>
        <w:ind w:right="26" w:firstLineChars="200" w:firstLine="420"/>
        <w:rPr>
          <w:rFonts w:asciiTheme="minorEastAsia" w:eastAsiaTheme="minorEastAsia" w:hAnsiTheme="minorEastAsia"/>
        </w:rPr>
      </w:pPr>
      <w:r w:rsidRPr="00565E0D">
        <w:rPr>
          <w:rFonts w:asciiTheme="minorEastAsia" w:eastAsiaTheme="minorEastAsia" w:hAnsiTheme="minorEastAsia"/>
        </w:rPr>
        <w:t>成立时间：1984年1月1日</w:t>
      </w:r>
    </w:p>
    <w:p w:rsidR="00C35BC5" w:rsidRPr="00565E0D" w:rsidRDefault="00C35BC5" w:rsidP="00552BE1">
      <w:pPr>
        <w:snapToGrid w:val="0"/>
        <w:spacing w:line="360" w:lineRule="auto"/>
        <w:ind w:leftChars="200" w:left="420" w:right="26"/>
        <w:rPr>
          <w:rFonts w:asciiTheme="minorEastAsia" w:eastAsiaTheme="minorEastAsia" w:hAnsiTheme="minorEastAsia"/>
        </w:rPr>
      </w:pPr>
      <w:r w:rsidRPr="00565E0D">
        <w:rPr>
          <w:rFonts w:asciiTheme="minorEastAsia" w:eastAsiaTheme="minorEastAsia" w:hAnsiTheme="minorEastAsia"/>
        </w:rPr>
        <w:t>批准设立机关及批准设立文号：</w:t>
      </w:r>
      <w:r w:rsidRPr="00565E0D">
        <w:rPr>
          <w:rFonts w:asciiTheme="minorEastAsia" w:eastAsiaTheme="minorEastAsia" w:hAnsiTheme="minorEastAsia" w:hint="eastAsia"/>
        </w:rPr>
        <w:t>国务院《关于中国人民银行专门行使中央银行职能的决定》（国发[1983]146号）</w:t>
      </w:r>
    </w:p>
    <w:p w:rsidR="00C35BC5" w:rsidRPr="00565E0D" w:rsidRDefault="00C35BC5" w:rsidP="00552BE1">
      <w:pPr>
        <w:snapToGrid w:val="0"/>
        <w:spacing w:line="360" w:lineRule="auto"/>
        <w:ind w:right="26" w:firstLineChars="200" w:firstLine="420"/>
        <w:rPr>
          <w:rFonts w:asciiTheme="minorEastAsia" w:eastAsiaTheme="minorEastAsia" w:hAnsiTheme="minorEastAsia"/>
        </w:rPr>
      </w:pPr>
      <w:r w:rsidRPr="00565E0D">
        <w:rPr>
          <w:rFonts w:asciiTheme="minorEastAsia" w:eastAsiaTheme="minorEastAsia" w:hAnsiTheme="minorEastAsia" w:hint="eastAsia"/>
        </w:rPr>
        <w:t>组织形式：股份有限公司</w:t>
      </w:r>
    </w:p>
    <w:p w:rsidR="00C35BC5" w:rsidRPr="00565E0D" w:rsidRDefault="00C35BC5" w:rsidP="00552BE1">
      <w:pPr>
        <w:snapToGrid w:val="0"/>
        <w:spacing w:line="360" w:lineRule="auto"/>
        <w:ind w:right="26" w:firstLineChars="200" w:firstLine="420"/>
        <w:rPr>
          <w:rFonts w:asciiTheme="minorEastAsia" w:eastAsiaTheme="minorEastAsia" w:hAnsiTheme="minorEastAsia"/>
        </w:rPr>
      </w:pPr>
      <w:r w:rsidRPr="00565E0D">
        <w:rPr>
          <w:rFonts w:asciiTheme="minorEastAsia" w:eastAsiaTheme="minorEastAsia" w:hAnsiTheme="minorEastAsia" w:hint="eastAsia"/>
        </w:rPr>
        <w:t>注册资本：</w:t>
      </w:r>
      <w:r w:rsidR="0093167D" w:rsidRPr="00565E0D">
        <w:rPr>
          <w:rFonts w:asciiTheme="minorEastAsia" w:eastAsiaTheme="minorEastAsia" w:hAnsiTheme="minorEastAsia" w:hint="eastAsia"/>
          <w:szCs w:val="21"/>
        </w:rPr>
        <w:t>人民币35,640,625.7089万元</w:t>
      </w:r>
    </w:p>
    <w:p w:rsidR="00C35BC5" w:rsidRPr="00565E0D" w:rsidRDefault="00C35BC5" w:rsidP="00552BE1">
      <w:pPr>
        <w:snapToGrid w:val="0"/>
        <w:spacing w:line="360" w:lineRule="auto"/>
        <w:ind w:right="26" w:firstLineChars="200" w:firstLine="420"/>
        <w:rPr>
          <w:rFonts w:asciiTheme="minorEastAsia" w:eastAsiaTheme="minorEastAsia" w:hAnsiTheme="minorEastAsia"/>
        </w:rPr>
      </w:pPr>
      <w:r w:rsidRPr="00565E0D">
        <w:rPr>
          <w:rFonts w:asciiTheme="minorEastAsia" w:eastAsiaTheme="minorEastAsia" w:hAnsiTheme="minorEastAsia" w:hint="eastAsia"/>
        </w:rPr>
        <w:t>存续期间：持续经营</w:t>
      </w:r>
    </w:p>
    <w:p w:rsidR="00C35BC5" w:rsidRPr="00565E0D" w:rsidRDefault="00C35BC5" w:rsidP="00552BE1">
      <w:pPr>
        <w:snapToGrid w:val="0"/>
        <w:spacing w:line="360" w:lineRule="auto"/>
        <w:ind w:right="26" w:firstLineChars="200" w:firstLine="420"/>
        <w:rPr>
          <w:rFonts w:asciiTheme="minorEastAsia" w:eastAsiaTheme="minorEastAsia" w:hAnsiTheme="minorEastAsia"/>
        </w:rPr>
      </w:pPr>
      <w:r w:rsidRPr="00565E0D">
        <w:rPr>
          <w:rFonts w:asciiTheme="minorEastAsia" w:eastAsiaTheme="minorEastAsia" w:hAnsiTheme="minorEastAsia" w:hint="eastAsia"/>
        </w:rPr>
        <w:t>经营范围：</w:t>
      </w:r>
    </w:p>
    <w:p w:rsidR="00C35BC5" w:rsidRPr="00565E0D" w:rsidRDefault="00C35BC5" w:rsidP="00552BE1">
      <w:pPr>
        <w:snapToGrid w:val="0"/>
        <w:spacing w:line="360" w:lineRule="auto"/>
        <w:ind w:right="26" w:firstLineChars="200" w:firstLine="420"/>
        <w:rPr>
          <w:rFonts w:asciiTheme="minorEastAsia" w:eastAsiaTheme="minorEastAsia" w:hAnsiTheme="minorEastAsia"/>
        </w:rPr>
      </w:pPr>
      <w:r w:rsidRPr="00565E0D">
        <w:rPr>
          <w:rFonts w:asciiTheme="minorEastAsia" w:eastAsiaTheme="minorEastAsia" w:hAnsiTheme="minorEastAsia" w:hint="eastAsia"/>
        </w:rPr>
        <w:t>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116" w:name="_Toc40511578"/>
      <w:bookmarkStart w:id="1117" w:name="_Toc38551263"/>
      <w:r w:rsidRPr="00565E0D">
        <w:rPr>
          <w:rFonts w:asciiTheme="minorEastAsia" w:eastAsiaTheme="minorEastAsia" w:hAnsiTheme="minorEastAsia" w:hint="eastAsia"/>
          <w:b w:val="0"/>
          <w:bCs/>
        </w:rPr>
        <w:lastRenderedPageBreak/>
        <w:t>（二）</w:t>
      </w:r>
      <w:bookmarkStart w:id="1118" w:name="_Toc124749227"/>
      <w:bookmarkStart w:id="1119" w:name="_Toc124749938"/>
      <w:bookmarkStart w:id="1120" w:name="_Toc125361075"/>
      <w:r w:rsidRPr="00565E0D">
        <w:rPr>
          <w:rFonts w:asciiTheme="minorEastAsia" w:eastAsiaTheme="minorEastAsia" w:hAnsiTheme="minorEastAsia" w:hint="eastAsia"/>
          <w:b w:val="0"/>
          <w:bCs/>
        </w:rPr>
        <w:t>基金托管人对基金管理人的业务监督和核查</w:t>
      </w:r>
      <w:bookmarkEnd w:id="1116"/>
      <w:bookmarkEnd w:id="1117"/>
      <w:bookmarkEnd w:id="1118"/>
      <w:bookmarkEnd w:id="1119"/>
      <w:bookmarkEnd w:id="1120"/>
    </w:p>
    <w:p w:rsidR="00C35BC5" w:rsidRPr="00565E0D" w:rsidRDefault="00016F1C"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00C35BC5" w:rsidRPr="00565E0D">
        <w:rPr>
          <w:rFonts w:asciiTheme="minorEastAsia" w:eastAsiaTheme="minorEastAsia" w:hAnsiTheme="minorEastAsia" w:hint="eastAsia"/>
          <w:szCs w:val="21"/>
        </w:rPr>
        <w:t>基金托管人对基金管理人的投资行为行使监督权</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（1）基金托管人根据有关法律法规的规定和基金合同的约定，对下述基金投资范围、投资对象进行监督。</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本基金将投资于以下金融工具：</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rPr>
      </w:pPr>
      <w:r w:rsidRPr="00565E0D">
        <w:rPr>
          <w:rFonts w:asciiTheme="minorEastAsia" w:eastAsiaTheme="minorEastAsia" w:hAnsiTheme="minorEastAsia" w:cs="宋体" w:hint="eastAsia"/>
          <w:kern w:val="0"/>
        </w:rPr>
        <w:t>本基金将投资于具有良好流动性的金融工具，包括国内依法发行和上市交易的公司股票和债券以及经中国证监会允许基金投资的其他金融工具。</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kern w:val="0"/>
        </w:rPr>
        <w:t>本基金不得投资于</w:t>
      </w:r>
      <w:r w:rsidRPr="00565E0D">
        <w:rPr>
          <w:rFonts w:asciiTheme="minorEastAsia" w:eastAsiaTheme="minorEastAsia" w:hAnsiTheme="minorEastAsia" w:hint="eastAsia"/>
          <w:kern w:val="0"/>
        </w:rPr>
        <w:t>相关法律、法规、部门规章及《基金合同》禁止投资的投资工具</w:t>
      </w:r>
      <w:r w:rsidRPr="00565E0D">
        <w:rPr>
          <w:rFonts w:asciiTheme="minorEastAsia" w:eastAsiaTheme="minorEastAsia" w:hAnsiTheme="minorEastAsia"/>
          <w:kern w:val="0"/>
        </w:rPr>
        <w:t>。</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（2）基金托管人根据有关法律法规的规定及基金合同的约定对下述基金投融资比例进行监督：</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1）按法律法规的规定及基金合同的约定，本基金的投资资产配置比例为：</w:t>
      </w:r>
    </w:p>
    <w:p w:rsidR="00C35BC5" w:rsidRPr="00565E0D" w:rsidRDefault="00C35BC5" w:rsidP="00552BE1">
      <w:pPr>
        <w:snapToGrid w:val="0"/>
        <w:spacing w:line="360" w:lineRule="auto"/>
        <w:ind w:firstLineChars="300" w:firstLine="630"/>
        <w:rPr>
          <w:rFonts w:asciiTheme="minorEastAsia" w:eastAsiaTheme="minorEastAsia" w:hAnsiTheme="minorEastAsia"/>
        </w:rPr>
      </w:pPr>
      <w:r w:rsidRPr="00565E0D">
        <w:rPr>
          <w:rFonts w:asciiTheme="minorEastAsia" w:eastAsiaTheme="minorEastAsia" w:hAnsiTheme="minorEastAsia" w:hint="eastAsia"/>
        </w:rPr>
        <w:t>股票资产占基金资产的40</w:t>
      </w:r>
      <w:r w:rsidRPr="00565E0D">
        <w:rPr>
          <w:rFonts w:asciiTheme="minorEastAsia" w:eastAsiaTheme="minorEastAsia" w:hAnsiTheme="minorEastAsia"/>
        </w:rPr>
        <w:t>%</w:t>
      </w:r>
      <w:r w:rsidRPr="00565E0D">
        <w:rPr>
          <w:rFonts w:asciiTheme="minorEastAsia" w:eastAsiaTheme="minorEastAsia" w:hAnsiTheme="minorEastAsia" w:hint="eastAsia"/>
        </w:rPr>
        <w:t>—</w:t>
      </w:r>
      <w:r w:rsidRPr="00565E0D">
        <w:rPr>
          <w:rFonts w:asciiTheme="minorEastAsia" w:eastAsiaTheme="minorEastAsia" w:hAnsiTheme="minorEastAsia"/>
        </w:rPr>
        <w:t>95%</w:t>
      </w:r>
      <w:r w:rsidRPr="00565E0D">
        <w:rPr>
          <w:rFonts w:asciiTheme="minorEastAsia" w:eastAsiaTheme="minorEastAsia" w:hAnsiTheme="minorEastAsia" w:hint="eastAsia"/>
        </w:rPr>
        <w:t>；现金、债券资产、权证以及中国证监会允许基金投资的其他证券品种占基金资产的5</w:t>
      </w:r>
      <w:r w:rsidRPr="00565E0D">
        <w:rPr>
          <w:rFonts w:asciiTheme="minorEastAsia" w:eastAsiaTheme="minorEastAsia" w:hAnsiTheme="minorEastAsia"/>
        </w:rPr>
        <w:t>%-</w:t>
      </w:r>
      <w:r w:rsidRPr="00565E0D">
        <w:rPr>
          <w:rFonts w:asciiTheme="minorEastAsia" w:eastAsiaTheme="minorEastAsia" w:hAnsiTheme="minorEastAsia" w:hint="eastAsia"/>
        </w:rPr>
        <w:t>60</w:t>
      </w:r>
      <w:r w:rsidRPr="00565E0D">
        <w:rPr>
          <w:rFonts w:asciiTheme="minorEastAsia" w:eastAsiaTheme="minorEastAsia" w:hAnsiTheme="minorEastAsia"/>
        </w:rPr>
        <w:t>%</w:t>
      </w:r>
      <w:r w:rsidRPr="00565E0D">
        <w:rPr>
          <w:rFonts w:asciiTheme="minorEastAsia" w:eastAsiaTheme="minorEastAsia" w:hAnsiTheme="minorEastAsia" w:hint="eastAsia"/>
        </w:rPr>
        <w:t>，其中，基金持有全部股改权证的市值不得超过基金资产净值的3%，基金保留的现金以及投资于到期日在一年以内的政府债券的比例合计不低于基金资产净值的</w:t>
      </w:r>
      <w:r w:rsidRPr="00565E0D">
        <w:rPr>
          <w:rFonts w:asciiTheme="minorEastAsia" w:eastAsiaTheme="minorEastAsia" w:hAnsiTheme="minorEastAsia"/>
        </w:rPr>
        <w:t>5%</w:t>
      </w:r>
      <w:r w:rsidR="000E5ECA" w:rsidRPr="00565E0D">
        <w:rPr>
          <w:rFonts w:asciiTheme="minorEastAsia" w:eastAsiaTheme="minorEastAsia" w:hAnsiTheme="minorEastAsia" w:hint="eastAsia"/>
        </w:rPr>
        <w:t>，现金不包括结算备付金、存出保证金、应收申购款等</w:t>
      </w:r>
      <w:r w:rsidRPr="00565E0D">
        <w:rPr>
          <w:rFonts w:asciiTheme="minorEastAsia" w:eastAsiaTheme="minorEastAsia" w:hAnsiTheme="minorEastAsia" w:hint="eastAsia"/>
        </w:rPr>
        <w:t>。</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2）根据法律法规的规定及基金合同的约定，本基金投资组合遵循以下投资限制：</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①</w:t>
      </w:r>
      <w:r w:rsidRPr="00565E0D">
        <w:rPr>
          <w:rFonts w:asciiTheme="minorEastAsia" w:eastAsiaTheme="minorEastAsia" w:hAnsiTheme="minorEastAsia"/>
          <w:szCs w:val="21"/>
        </w:rPr>
        <w:t>持有一家</w:t>
      </w:r>
      <w:r w:rsidRPr="00565E0D">
        <w:rPr>
          <w:rFonts w:asciiTheme="minorEastAsia" w:eastAsiaTheme="minorEastAsia" w:hAnsiTheme="minorEastAsia" w:hint="eastAsia"/>
          <w:szCs w:val="21"/>
        </w:rPr>
        <w:t>上市</w:t>
      </w:r>
      <w:r w:rsidRPr="00565E0D">
        <w:rPr>
          <w:rFonts w:asciiTheme="minorEastAsia" w:eastAsiaTheme="minorEastAsia" w:hAnsiTheme="minorEastAsia"/>
          <w:szCs w:val="21"/>
        </w:rPr>
        <w:t>公司的股票，</w:t>
      </w:r>
      <w:r w:rsidRPr="00565E0D">
        <w:rPr>
          <w:rFonts w:asciiTheme="minorEastAsia" w:eastAsiaTheme="minorEastAsia" w:hAnsiTheme="minorEastAsia" w:hint="eastAsia"/>
          <w:szCs w:val="21"/>
        </w:rPr>
        <w:t>其市值</w:t>
      </w:r>
      <w:r w:rsidRPr="00565E0D">
        <w:rPr>
          <w:rFonts w:asciiTheme="minorEastAsia" w:eastAsiaTheme="minorEastAsia" w:hAnsiTheme="minorEastAsia"/>
          <w:szCs w:val="21"/>
        </w:rPr>
        <w:t>不得超过基金资产净值的10%；</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②</w:t>
      </w:r>
      <w:r w:rsidRPr="00565E0D">
        <w:rPr>
          <w:rFonts w:asciiTheme="minorEastAsia" w:eastAsiaTheme="minorEastAsia" w:hAnsiTheme="minorEastAsia"/>
          <w:szCs w:val="21"/>
        </w:rPr>
        <w:t>本基金与由本基金管理人管理的其他基金</w:t>
      </w:r>
      <w:r w:rsidRPr="00565E0D">
        <w:rPr>
          <w:rFonts w:asciiTheme="minorEastAsia" w:eastAsiaTheme="minorEastAsia" w:hAnsiTheme="minorEastAsia" w:hint="eastAsia"/>
          <w:szCs w:val="21"/>
        </w:rPr>
        <w:t>共同</w:t>
      </w:r>
      <w:r w:rsidRPr="00565E0D">
        <w:rPr>
          <w:rFonts w:asciiTheme="minorEastAsia" w:eastAsiaTheme="minorEastAsia" w:hAnsiTheme="minorEastAsia"/>
          <w:szCs w:val="21"/>
        </w:rPr>
        <w:t>持有一家公司发行的证券，不得超过该证券的10%；</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③本基金投资股权分置改革中产生的权证，在任何交易日买入的总金额，不超过上一交易日基金资产净值的0.5%，基金持有的全部股改权证的市值不超过基金资产净值的3%，本公司管理的全部基金持有同一股改权证的比例不超过该权证的10%；本基金投资于其它权证的有关比例限制，遵从法规或监管部门的相关规定；</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④现金和到期日不超过1年的政府债券不低于5%</w:t>
      </w:r>
      <w:r w:rsidR="000E5ECA" w:rsidRPr="00565E0D">
        <w:rPr>
          <w:rFonts w:asciiTheme="minorEastAsia" w:eastAsiaTheme="minorEastAsia" w:hAnsiTheme="minorEastAsia" w:hint="eastAsia"/>
          <w:szCs w:val="21"/>
        </w:rPr>
        <w:t>，现金不包括结算备付金、存出保证金、应收申购款等</w:t>
      </w:r>
      <w:r w:rsidRPr="00565E0D">
        <w:rPr>
          <w:rFonts w:asciiTheme="minorEastAsia" w:eastAsiaTheme="minorEastAsia" w:hAnsiTheme="minorEastAsia" w:hint="eastAsia"/>
          <w:szCs w:val="21"/>
        </w:rPr>
        <w:t>；</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⑤本基金财产参与股票发行申购，所申报的金额不得超过本基金的总资产，所申报的股票数量不得超过拟发行股票公司本次发行股票的总量；</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⑥本基金不得违反本基金合同关于投资范围、投资策略和投资比例的约定；</w:t>
      </w:r>
    </w:p>
    <w:p w:rsidR="000E5ECA" w:rsidRPr="00565E0D" w:rsidRDefault="002B0131" w:rsidP="000E5ECA">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szCs w:val="21"/>
        </w:rPr>
        <w:fldChar w:fldCharType="begin"/>
      </w:r>
      <w:r w:rsidR="00C35BC5" w:rsidRPr="00565E0D">
        <w:rPr>
          <w:rFonts w:asciiTheme="minorEastAsia" w:eastAsiaTheme="minorEastAsia" w:hAnsiTheme="minorEastAsia"/>
          <w:szCs w:val="21"/>
        </w:rPr>
        <w:instrText xml:space="preserve"> = 7 \* GB3 </w:instrText>
      </w:r>
      <w:r w:rsidRPr="00565E0D">
        <w:rPr>
          <w:rFonts w:asciiTheme="minorEastAsia" w:eastAsiaTheme="minorEastAsia" w:hAnsiTheme="minorEastAsia"/>
          <w:szCs w:val="21"/>
        </w:rPr>
        <w:fldChar w:fldCharType="separate"/>
      </w:r>
      <w:r w:rsidR="00C35BC5" w:rsidRPr="00565E0D">
        <w:rPr>
          <w:rFonts w:asciiTheme="minorEastAsia" w:eastAsiaTheme="minorEastAsia" w:hAnsiTheme="minorEastAsia"/>
          <w:szCs w:val="21"/>
        </w:rPr>
        <w:t>⑦</w:t>
      </w:r>
      <w:r w:rsidRPr="00565E0D">
        <w:rPr>
          <w:rFonts w:asciiTheme="minorEastAsia" w:eastAsiaTheme="minorEastAsia" w:hAnsiTheme="minorEastAsia"/>
          <w:szCs w:val="21"/>
        </w:rPr>
        <w:fldChar w:fldCharType="end"/>
      </w:r>
      <w:r w:rsidR="000E5ECA" w:rsidRPr="00565E0D">
        <w:rPr>
          <w:rFonts w:asciiTheme="minorEastAsia" w:eastAsiaTheme="minorEastAsia" w:hAnsiTheme="minorEastAsia" w:hint="eastAsia"/>
          <w:szCs w:val="21"/>
        </w:rPr>
        <w:t>本基金管理人管理且由本基金托管人托管的全部开放式基金持有一家上市公司发行的可流通股票，不得超过该上市公司可流通股票的15%；本基金管理人管理且由本基金托管人托管的全部投资组合持有一家上市公司发行的可流通股票，不得超过该上市公司可流通股票的30%；</w:t>
      </w:r>
    </w:p>
    <w:p w:rsidR="000E5ECA" w:rsidRPr="00565E0D" w:rsidRDefault="000E5ECA" w:rsidP="000E5ECA">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⑧本基金主动投资于流动性受限资产的市值合计不得超过该基金资产净值的15%。</w:t>
      </w:r>
    </w:p>
    <w:p w:rsidR="00C35BC5" w:rsidRPr="00565E0D" w:rsidRDefault="002B0131"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szCs w:val="21"/>
        </w:rPr>
        <w:fldChar w:fldCharType="begin"/>
      </w:r>
      <w:r w:rsidR="000E5ECA" w:rsidRPr="00565E0D">
        <w:rPr>
          <w:rFonts w:asciiTheme="minorEastAsia" w:eastAsiaTheme="minorEastAsia" w:hAnsiTheme="minorEastAsia"/>
          <w:szCs w:val="21"/>
        </w:rPr>
        <w:instrText xml:space="preserve"> </w:instrText>
      </w:r>
      <w:r w:rsidR="000E5ECA" w:rsidRPr="00565E0D">
        <w:rPr>
          <w:rFonts w:asciiTheme="minorEastAsia" w:eastAsiaTheme="minorEastAsia" w:hAnsiTheme="minorEastAsia" w:hint="eastAsia"/>
          <w:szCs w:val="21"/>
        </w:rPr>
        <w:instrText>= 9 \* GB3</w:instrText>
      </w:r>
      <w:r w:rsidR="000E5ECA" w:rsidRPr="00565E0D">
        <w:rPr>
          <w:rFonts w:asciiTheme="minorEastAsia" w:eastAsiaTheme="minorEastAsia" w:hAnsiTheme="minorEastAsia"/>
          <w:szCs w:val="21"/>
        </w:rPr>
        <w:instrText xml:space="preserve"> </w:instrText>
      </w:r>
      <w:r w:rsidRPr="00565E0D">
        <w:rPr>
          <w:rFonts w:asciiTheme="minorEastAsia" w:eastAsiaTheme="minorEastAsia" w:hAnsiTheme="minorEastAsia"/>
          <w:szCs w:val="21"/>
        </w:rPr>
        <w:fldChar w:fldCharType="separate"/>
      </w:r>
      <w:r w:rsidR="000E5ECA" w:rsidRPr="00565E0D">
        <w:rPr>
          <w:rFonts w:asciiTheme="minorEastAsia" w:eastAsiaTheme="minorEastAsia" w:hAnsiTheme="minorEastAsia" w:hint="eastAsia"/>
          <w:noProof/>
          <w:szCs w:val="21"/>
        </w:rPr>
        <w:t>⑨</w:t>
      </w:r>
      <w:r w:rsidRPr="00565E0D">
        <w:rPr>
          <w:rFonts w:asciiTheme="minorEastAsia" w:eastAsiaTheme="minorEastAsia" w:hAnsiTheme="minorEastAsia"/>
          <w:szCs w:val="21"/>
        </w:rPr>
        <w:fldChar w:fldCharType="end"/>
      </w:r>
      <w:r w:rsidR="00C35BC5" w:rsidRPr="00565E0D">
        <w:rPr>
          <w:rFonts w:asciiTheme="minorEastAsia" w:eastAsiaTheme="minorEastAsia" w:hAnsiTheme="minorEastAsia" w:hint="eastAsia"/>
          <w:szCs w:val="21"/>
        </w:rPr>
        <w:t>相关法律法规以及监管部门规定的其它投资限制。</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szCs w:val="21"/>
        </w:rPr>
        <w:lastRenderedPageBreak/>
        <w:t>《基金法》及其他有关法律法规或监管部门</w:t>
      </w:r>
      <w:r w:rsidRPr="00565E0D">
        <w:rPr>
          <w:rFonts w:asciiTheme="minorEastAsia" w:eastAsiaTheme="minorEastAsia" w:hAnsiTheme="minorEastAsia" w:hint="eastAsia"/>
          <w:szCs w:val="21"/>
        </w:rPr>
        <w:t>取消</w:t>
      </w:r>
      <w:r w:rsidRPr="00565E0D">
        <w:rPr>
          <w:rFonts w:asciiTheme="minorEastAsia" w:eastAsiaTheme="minorEastAsia" w:hAnsiTheme="minorEastAsia"/>
          <w:szCs w:val="21"/>
        </w:rPr>
        <w:t>上述限制</w:t>
      </w:r>
      <w:r w:rsidRPr="00565E0D">
        <w:rPr>
          <w:rFonts w:asciiTheme="minorEastAsia" w:eastAsiaTheme="minorEastAsia" w:hAnsiTheme="minorEastAsia" w:hint="eastAsia"/>
          <w:szCs w:val="21"/>
        </w:rPr>
        <w:t>的</w:t>
      </w:r>
      <w:r w:rsidRPr="00565E0D">
        <w:rPr>
          <w:rFonts w:asciiTheme="minorEastAsia" w:eastAsiaTheme="minorEastAsia" w:hAnsiTheme="minorEastAsia"/>
          <w:szCs w:val="21"/>
        </w:rPr>
        <w:t>，</w:t>
      </w:r>
      <w:r w:rsidRPr="00565E0D">
        <w:rPr>
          <w:rFonts w:asciiTheme="minorEastAsia" w:eastAsiaTheme="minorEastAsia" w:hAnsiTheme="minorEastAsia" w:hint="eastAsia"/>
          <w:szCs w:val="21"/>
        </w:rPr>
        <w:t>基金不受上述限制</w:t>
      </w:r>
      <w:r w:rsidRPr="00565E0D">
        <w:rPr>
          <w:rFonts w:asciiTheme="minorEastAsia" w:eastAsiaTheme="minorEastAsia" w:hAnsiTheme="minorEastAsia"/>
          <w:szCs w:val="21"/>
        </w:rPr>
        <w:t>。</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3）法规允许的基金投资比例调整期限</w:t>
      </w:r>
    </w:p>
    <w:p w:rsidR="00C35BC5" w:rsidRPr="00565E0D" w:rsidRDefault="000E5ECA"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除上述④、⑤、⑧以外，</w:t>
      </w:r>
      <w:r w:rsidR="00C35BC5" w:rsidRPr="00565E0D">
        <w:rPr>
          <w:rFonts w:asciiTheme="minorEastAsia" w:eastAsiaTheme="minorEastAsia" w:hAnsiTheme="minorEastAsia"/>
          <w:szCs w:val="21"/>
        </w:rPr>
        <w:t>由于</w:t>
      </w:r>
      <w:r w:rsidR="00C35BC5" w:rsidRPr="00565E0D">
        <w:rPr>
          <w:rFonts w:asciiTheme="minorEastAsia" w:eastAsiaTheme="minorEastAsia" w:hAnsiTheme="minorEastAsia" w:hint="eastAsia"/>
          <w:szCs w:val="21"/>
        </w:rPr>
        <w:t>证券市场波动、上市公司合并</w:t>
      </w:r>
      <w:r w:rsidR="00C35BC5" w:rsidRPr="00565E0D">
        <w:rPr>
          <w:rFonts w:asciiTheme="minorEastAsia" w:eastAsiaTheme="minorEastAsia" w:hAnsiTheme="minorEastAsia"/>
          <w:szCs w:val="21"/>
        </w:rPr>
        <w:t>或</w:t>
      </w:r>
      <w:r w:rsidR="00C35BC5" w:rsidRPr="00565E0D">
        <w:rPr>
          <w:rFonts w:asciiTheme="minorEastAsia" w:eastAsiaTheme="minorEastAsia" w:hAnsiTheme="minorEastAsia" w:hint="eastAsia"/>
          <w:szCs w:val="21"/>
        </w:rPr>
        <w:t>基金规模变动等基金管理人之外的原因</w:t>
      </w:r>
      <w:r w:rsidR="00C35BC5" w:rsidRPr="00565E0D">
        <w:rPr>
          <w:rFonts w:asciiTheme="minorEastAsia" w:eastAsiaTheme="minorEastAsia" w:hAnsiTheme="minorEastAsia"/>
          <w:szCs w:val="21"/>
        </w:rPr>
        <w:t>导致的投资组合</w:t>
      </w:r>
      <w:r w:rsidR="00C35BC5" w:rsidRPr="00565E0D">
        <w:rPr>
          <w:rFonts w:asciiTheme="minorEastAsia" w:eastAsiaTheme="minorEastAsia" w:hAnsiTheme="minorEastAsia" w:hint="eastAsia"/>
          <w:szCs w:val="21"/>
        </w:rPr>
        <w:t>不符合</w:t>
      </w:r>
      <w:r w:rsidR="00C35BC5" w:rsidRPr="00565E0D">
        <w:rPr>
          <w:rFonts w:asciiTheme="minorEastAsia" w:eastAsiaTheme="minorEastAsia" w:hAnsiTheme="minorEastAsia"/>
          <w:szCs w:val="21"/>
        </w:rPr>
        <w:t>上述约定的比例</w:t>
      </w:r>
      <w:r w:rsidR="00C35BC5" w:rsidRPr="00565E0D">
        <w:rPr>
          <w:rFonts w:asciiTheme="minorEastAsia" w:eastAsiaTheme="minorEastAsia" w:hAnsiTheme="minorEastAsia" w:hint="eastAsia"/>
          <w:szCs w:val="21"/>
        </w:rPr>
        <w:t>，</w:t>
      </w:r>
      <w:r w:rsidR="00C35BC5" w:rsidRPr="00565E0D">
        <w:rPr>
          <w:rFonts w:asciiTheme="minorEastAsia" w:eastAsiaTheme="minorEastAsia" w:hAnsiTheme="minorEastAsia"/>
          <w:szCs w:val="21"/>
        </w:rPr>
        <w:t>不在限制之内，但基金管理人应在</w:t>
      </w:r>
      <w:r w:rsidR="00C35BC5" w:rsidRPr="00565E0D">
        <w:rPr>
          <w:rFonts w:asciiTheme="minorEastAsia" w:eastAsiaTheme="minorEastAsia" w:hAnsiTheme="minorEastAsia" w:hint="eastAsia"/>
          <w:szCs w:val="21"/>
        </w:rPr>
        <w:t>10个交易日</w:t>
      </w:r>
      <w:r w:rsidR="00C35BC5" w:rsidRPr="00565E0D">
        <w:rPr>
          <w:rFonts w:asciiTheme="minorEastAsia" w:eastAsiaTheme="minorEastAsia" w:hAnsiTheme="minorEastAsia"/>
          <w:szCs w:val="21"/>
        </w:rPr>
        <w:t>内进行调整，以达到</w:t>
      </w:r>
      <w:r w:rsidR="00C35BC5" w:rsidRPr="00565E0D">
        <w:rPr>
          <w:rFonts w:asciiTheme="minorEastAsia" w:eastAsiaTheme="minorEastAsia" w:hAnsiTheme="minorEastAsia" w:hint="eastAsia"/>
          <w:szCs w:val="21"/>
        </w:rPr>
        <w:t>规定的投资比例限制要求。法律法规另有规定的从其规定。</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4）本基金可以按照国家的有关规定进行融资。</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5）相关法律、法规或部门规章规定的其他比例限制。</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基金托管人对基金投资的监督和检查自本基金合同生效之日起开始。</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（3）基金托管人根据有关法律法规的规定及基金合同的约定对下述基金投资禁止行为进行监督：</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根据法律法规的规定及基金合同的约定，本基金禁止从事下列行为：</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1）承销证券；</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2）向他人贷款或提供担保；</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w:t>
      </w:r>
      <w:r w:rsidRPr="00565E0D">
        <w:rPr>
          <w:rFonts w:asciiTheme="minorEastAsia" w:eastAsiaTheme="minorEastAsia" w:hAnsiTheme="minorEastAsia"/>
          <w:szCs w:val="21"/>
        </w:rPr>
        <w:t>从事</w:t>
      </w:r>
      <w:r w:rsidRPr="00565E0D">
        <w:rPr>
          <w:rFonts w:asciiTheme="minorEastAsia" w:eastAsiaTheme="minorEastAsia" w:hAnsiTheme="minorEastAsia" w:hint="eastAsia"/>
          <w:szCs w:val="21"/>
        </w:rPr>
        <w:t>可能使基金</w:t>
      </w:r>
      <w:r w:rsidRPr="00565E0D">
        <w:rPr>
          <w:rFonts w:asciiTheme="minorEastAsia" w:eastAsiaTheme="minorEastAsia" w:hAnsiTheme="minorEastAsia"/>
          <w:szCs w:val="21"/>
        </w:rPr>
        <w:t>承担无限责任的投资；</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4）买卖其他基金份额，但国务院另有规定的除外；</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5）向基金管理人、基金托管人出资或者买卖其基金管理人、基金托管人发行的股票或债券；</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6）买卖与基金管理人、基金托管人有控股关系的股东或者与基金管理人、基金托管人有其他重大利害关系的公司发行的证券或者承销期内承销的证券；</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7）从事内幕交易、操纵证券价格及其他不正当的证券交易活动；</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8）当时有效的法律法规、中国证监会及《基金合同》规定禁止从事的其他行为。</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kern w:val="0"/>
        </w:rPr>
        <w:t>法律法规或监管部门取消上述限制的，则本基金不受上述限制。</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（4）基金托管人依据有关法律法规的规定和基金合同的约定对于基金关联投资限制进行监督。</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若基金托管人发现基金管理人与关联交易名单中列示的关联方进行法律法规禁止基金从事的关联交易时，基金托管人应及时提醒并协助基金管理人采取必要措施阻止该关联交</w:t>
      </w:r>
      <w:r w:rsidRPr="00565E0D">
        <w:rPr>
          <w:rFonts w:asciiTheme="minorEastAsia" w:eastAsiaTheme="minorEastAsia" w:hAnsiTheme="minorEastAsia" w:hint="eastAsia"/>
          <w:szCs w:val="21"/>
        </w:rPr>
        <w:lastRenderedPageBreak/>
        <w:t>易的发生，若基金托管人采取必要措施后仍无法阻止关联交易发生时，基金托管人有权向中国证监会报告。对于交易所场内已成交的关联交易，基金托管人无法阻止该关联交易的发生，只能进行结算，同时向中国证监会报告。</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（5）基金托管人依据有关法律法规的规定和基金合同的约定对基金管理人参与银行间债券市场进行监督。</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1）基金托管人依据有关法律法规的规定和基金合同的约定对于基金管理人参与银行间市场交易时面临的交易对手资信风险进行监督。</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发出书面通知，基金托管人应于2个工作日内回函确认收到。基金管理人收到基金托管人书面确认后，被确认调整的名单开始生效，新名单生效前已与本次剔除的交易对手所进行但尚未结算的交易，仍应按照协议进行结算。</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2）基金托管人对于基金管理人参与银行间市场交易的交易方式的控制</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基金管理人有权要求相关责任人进行赔偿，如果基金托管人在运作中严格遵循了上述监督流程，则对于由于交易对手资信风险引起的损失，不承担赔偿责任。</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（6）基金托管人对基金管理人选择存款银行进行监督。</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kern w:val="0"/>
          <w:szCs w:val="20"/>
        </w:rPr>
        <w:t>本基金投资银行存款的信用风险主要包括存款银行的信用等级、存款银行的支付能力等涉及到存款银行选择方面的风险。本基金核心存款银行名单为</w:t>
      </w:r>
      <w:r w:rsidRPr="00565E0D">
        <w:rPr>
          <w:rFonts w:asciiTheme="minorEastAsia" w:eastAsiaTheme="minorEastAsia" w:hAnsiTheme="minorEastAsia" w:hint="eastAsia"/>
          <w:szCs w:val="21"/>
        </w:rPr>
        <w:t>中国工商银行、中国银行、中国建设银行、中国农业银行和交通银行，</w:t>
      </w:r>
      <w:r w:rsidRPr="00565E0D">
        <w:rPr>
          <w:rFonts w:asciiTheme="minorEastAsia" w:eastAsiaTheme="minorEastAsia" w:hAnsiTheme="minorEastAsia" w:hint="eastAsia"/>
          <w:kern w:val="0"/>
          <w:szCs w:val="20"/>
        </w:rPr>
        <w:t>本</w:t>
      </w:r>
      <w:r w:rsidRPr="00565E0D">
        <w:rPr>
          <w:rFonts w:asciiTheme="minorEastAsia" w:eastAsiaTheme="minorEastAsia" w:hAnsiTheme="minorEastAsia" w:hint="eastAsia"/>
          <w:szCs w:val="21"/>
        </w:rPr>
        <w:t>基金投资除核心存款银行以外的银行存款出现由于存款银行信用风险而造成的损失时，先由基金管理人负责赔偿，之后有权要求相关</w:t>
      </w:r>
      <w:r w:rsidRPr="00565E0D">
        <w:rPr>
          <w:rFonts w:asciiTheme="minorEastAsia" w:eastAsiaTheme="minorEastAsia" w:hAnsiTheme="minorEastAsia" w:hint="eastAsia"/>
          <w:szCs w:val="21"/>
        </w:rPr>
        <w:lastRenderedPageBreak/>
        <w:t>责任人进行赔偿，如果基金托管人在运作过程中遵循上述监督流程，则对于由于存款银行信用风险引起的损失，不承担赔偿责任。基金管理人与基金托管人协商一致后，可以根据当时的市场情况对于核心存款银行名单进行调整。</w:t>
      </w:r>
    </w:p>
    <w:p w:rsidR="00C35BC5" w:rsidRPr="00565E0D" w:rsidRDefault="00016F1C"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00C35BC5" w:rsidRPr="00565E0D">
        <w:rPr>
          <w:rFonts w:asciiTheme="minorEastAsia" w:eastAsiaTheme="minorEastAsia" w:hAnsiTheme="minorEastAsia" w:hint="eastAsia"/>
          <w:szCs w:val="21"/>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35BC5" w:rsidRPr="00565E0D" w:rsidRDefault="00016F1C"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3、</w:t>
      </w:r>
      <w:r w:rsidR="00C35BC5" w:rsidRPr="00565E0D">
        <w:rPr>
          <w:rFonts w:asciiTheme="minorEastAsia" w:eastAsiaTheme="minorEastAsia" w:hAnsiTheme="minorEastAsia" w:hint="eastAsia"/>
          <w:szCs w:val="21"/>
        </w:rPr>
        <w:t>基金托管人发现基金管理人的实际投资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C35BC5" w:rsidRPr="00565E0D" w:rsidRDefault="00C35BC5" w:rsidP="00552BE1">
      <w:pPr>
        <w:pStyle w:val="af2"/>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基金托管人发现基金管理人的投资指令违反关法律法规规定或者违反《基金合同》约定的，应当拒绝执行，立即通知基金管理人，并向中国证监会报告。</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rPr>
        <w:t>基金托管人发现基金管理人依据交易程序已经生效的投资指令违反法律、行政法规和其他有关规定，或者违反《基金合同》约定的，应当立即通知基金管理人，并报告中国证监会。</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基金托管人发现基金管理人有重大违规行为，应立即报告中国证监会，同时通知基金管理人限期纠正。</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121" w:name="_Toc38551264"/>
      <w:r w:rsidRPr="00565E0D">
        <w:rPr>
          <w:rFonts w:asciiTheme="minorEastAsia" w:eastAsiaTheme="minorEastAsia" w:hAnsiTheme="minorEastAsia" w:hint="eastAsia"/>
          <w:b w:val="0"/>
          <w:bCs/>
        </w:rPr>
        <w:t>（三）</w:t>
      </w:r>
      <w:bookmarkStart w:id="1122" w:name="_Toc123705448"/>
      <w:bookmarkStart w:id="1123" w:name="_Toc124749228"/>
      <w:bookmarkStart w:id="1124" w:name="_Toc124749939"/>
      <w:bookmarkStart w:id="1125" w:name="_Toc125361076"/>
      <w:r w:rsidRPr="00565E0D">
        <w:rPr>
          <w:rFonts w:asciiTheme="minorEastAsia" w:eastAsiaTheme="minorEastAsia" w:hAnsiTheme="minorEastAsia" w:hint="eastAsia"/>
          <w:b w:val="0"/>
          <w:bCs/>
        </w:rPr>
        <w:t>基金管理人对基金托管人的业务核查</w:t>
      </w:r>
      <w:bookmarkEnd w:id="1121"/>
      <w:bookmarkEnd w:id="1122"/>
      <w:bookmarkEnd w:id="1123"/>
      <w:bookmarkEnd w:id="1124"/>
      <w:bookmarkEnd w:id="1125"/>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应在收到通知后下一个工作日内及时核对确认并以书面形式向基金管理人发出回函。在限期内，基金管理人有权随时对通知事项进行复查，督促基金托管人改正，并予协助</w:t>
      </w:r>
      <w:r w:rsidRPr="00565E0D">
        <w:rPr>
          <w:rFonts w:asciiTheme="minorEastAsia" w:eastAsiaTheme="minorEastAsia" w:hAnsiTheme="minorEastAsia" w:hint="eastAsia"/>
          <w:szCs w:val="21"/>
        </w:rPr>
        <w:lastRenderedPageBreak/>
        <w:t>配合。基金托管人对基金管理人通知的违规事项未能在限期内纠正的，基金管理人应报告中国证监会。</w:t>
      </w:r>
      <w:r w:rsidRPr="00565E0D">
        <w:rPr>
          <w:rFonts w:asciiTheme="minorEastAsia" w:eastAsiaTheme="minorEastAsia" w:hAnsiTheme="minorEastAsia" w:hint="eastAsia"/>
          <w:kern w:val="0"/>
        </w:rPr>
        <w:t>基金管理人有义务要求基金托管人赔偿基金因此所遭受的损失。</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基金管理人发现基金托管人有重大违规行为，应立即报告中国证监会和银行业监督管理机构，同时通知基金托管人限期纠正。</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基金托管人应积极配合基金管理人的核查行为，包括但不限于：提交相关资料以供基金管理人核查托管财产的完整性和真实性，在规定时间内答复基金管理人并改正。</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126" w:name="_Toc40511579"/>
      <w:bookmarkStart w:id="1127" w:name="_Toc38551265"/>
      <w:r w:rsidRPr="00565E0D">
        <w:rPr>
          <w:rFonts w:asciiTheme="minorEastAsia" w:eastAsiaTheme="minorEastAsia" w:hAnsiTheme="minorEastAsia" w:hint="eastAsia"/>
          <w:b w:val="0"/>
          <w:bCs/>
        </w:rPr>
        <w:t>（四）基金财产保管</w:t>
      </w:r>
      <w:bookmarkEnd w:id="1126"/>
      <w:bookmarkEnd w:id="1127"/>
    </w:p>
    <w:p w:rsidR="00C35BC5" w:rsidRPr="00565E0D" w:rsidRDefault="00016F1C" w:rsidP="00552BE1">
      <w:pPr>
        <w:snapToGrid w:val="0"/>
        <w:spacing w:line="360" w:lineRule="auto"/>
        <w:ind w:firstLineChars="200" w:firstLine="420"/>
        <w:rPr>
          <w:rFonts w:asciiTheme="minorEastAsia" w:eastAsiaTheme="minorEastAsia" w:hAnsiTheme="minorEastAsia"/>
        </w:rPr>
      </w:pPr>
      <w:bookmarkStart w:id="1128" w:name="_Toc37159173"/>
      <w:r w:rsidRPr="00565E0D">
        <w:rPr>
          <w:rFonts w:asciiTheme="minorEastAsia" w:eastAsiaTheme="minorEastAsia" w:hAnsiTheme="minorEastAsia" w:hint="eastAsia"/>
        </w:rPr>
        <w:t>1、</w:t>
      </w:r>
      <w:r w:rsidR="00C35BC5" w:rsidRPr="00565E0D">
        <w:rPr>
          <w:rFonts w:asciiTheme="minorEastAsia" w:eastAsiaTheme="minorEastAsia" w:hAnsiTheme="minorEastAsia" w:hint="eastAsia"/>
        </w:rPr>
        <w:t>基金财产保管的原则</w:t>
      </w:r>
      <w:bookmarkEnd w:id="1128"/>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1）基金财产应独立于基金管理人、基金托管人的固有财产。</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2）基金托管人应安全保管基金财产。未经基金管理人的正当指令，不得自行运用、处分、分配基金的任何财产。</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3）基金托管人按照规定开设基金财产的资金账户和证券账户。</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4）基金托管人对所托管的不同基金财产分别设置账户，与基金托管人的其他业务和其他基金的托管业务实行严格的分账管理，确保基金财产的完整与独立。</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5）对于因基金认（申）购、基金投资过程中产生的应收财产，应由基金管理人负责与有关当事人确定到账日期并通知托管人，到账日基金财产没有到达托管人处的，托管人应及时通知基金管理人采取措施进行催收。由此给基金造成损失的，基金管理人应负责向有关当事人追偿，基金托管人对此不承担责任。</w:t>
      </w:r>
    </w:p>
    <w:p w:rsidR="00C35BC5" w:rsidRPr="00565E0D" w:rsidRDefault="00016F1C" w:rsidP="00552BE1">
      <w:pPr>
        <w:snapToGrid w:val="0"/>
        <w:spacing w:line="360" w:lineRule="auto"/>
        <w:ind w:firstLineChars="200" w:firstLine="420"/>
        <w:rPr>
          <w:rFonts w:asciiTheme="minorEastAsia" w:eastAsiaTheme="minorEastAsia" w:hAnsiTheme="minorEastAsia"/>
        </w:rPr>
      </w:pPr>
      <w:bookmarkStart w:id="1129" w:name="_Toc37159174"/>
      <w:r w:rsidRPr="00565E0D">
        <w:rPr>
          <w:rFonts w:asciiTheme="minorEastAsia" w:eastAsiaTheme="minorEastAsia" w:hAnsiTheme="minorEastAsia" w:hint="eastAsia"/>
        </w:rPr>
        <w:t>2、</w:t>
      </w:r>
      <w:r w:rsidR="00C35BC5" w:rsidRPr="00565E0D">
        <w:rPr>
          <w:rFonts w:asciiTheme="minorEastAsia" w:eastAsiaTheme="minorEastAsia" w:hAnsiTheme="minorEastAsia" w:hint="eastAsia"/>
        </w:rPr>
        <w:t>募集资金的验证</w:t>
      </w:r>
      <w:bookmarkEnd w:id="1129"/>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募集期内销售机构按销售与服务代理协议的约定，将认购资金划入基金管理人在具有托管资格的商业银行开设的易方达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565E0D">
        <w:rPr>
          <w:rFonts w:asciiTheme="minorEastAsia" w:eastAsiaTheme="minorEastAsia" w:hAnsiTheme="minorEastAsia"/>
        </w:rPr>
        <w:t>2</w:t>
      </w:r>
      <w:r w:rsidRPr="00565E0D">
        <w:rPr>
          <w:rFonts w:asciiTheme="minorEastAsia" w:eastAsiaTheme="minorEastAsia" w:hAnsiTheme="minorEastAsia" w:hint="eastAsia"/>
        </w:rPr>
        <w:t>名以上（含</w:t>
      </w:r>
      <w:r w:rsidRPr="00565E0D">
        <w:rPr>
          <w:rFonts w:asciiTheme="minorEastAsia" w:eastAsiaTheme="minorEastAsia" w:hAnsiTheme="minorEastAsia"/>
        </w:rPr>
        <w:t>2</w:t>
      </w:r>
      <w:r w:rsidRPr="00565E0D">
        <w:rPr>
          <w:rFonts w:asciiTheme="minorEastAsia" w:eastAsiaTheme="minorEastAsia" w:hAnsiTheme="minorEastAsia" w:hint="eastAsia"/>
        </w:rPr>
        <w:t>名）中国注册会计师签字方为有效。验资完成，基金管理人应将募集的</w:t>
      </w:r>
      <w:r w:rsidRPr="00565E0D">
        <w:rPr>
          <w:rFonts w:asciiTheme="minorEastAsia" w:eastAsiaTheme="minorEastAsia" w:hAnsiTheme="minorEastAsia" w:hint="eastAsia"/>
          <w:szCs w:val="21"/>
        </w:rPr>
        <w:t>属于本基金财产的全部资金</w:t>
      </w:r>
      <w:r w:rsidRPr="00565E0D">
        <w:rPr>
          <w:rFonts w:asciiTheme="minorEastAsia" w:eastAsiaTheme="minorEastAsia" w:hAnsiTheme="minorEastAsia" w:hint="eastAsia"/>
        </w:rPr>
        <w:t>划入基金托管人为基金开立的资产托管专户中，基金托管人在收到资金当日出具确认文件。</w:t>
      </w:r>
    </w:p>
    <w:p w:rsidR="00C35BC5" w:rsidRPr="00565E0D" w:rsidRDefault="00C35BC5" w:rsidP="00552BE1">
      <w:pPr>
        <w:pStyle w:val="ae"/>
        <w:snapToGrid w:val="0"/>
        <w:spacing w:after="0" w:line="360" w:lineRule="auto"/>
        <w:ind w:leftChars="6" w:left="13" w:firstLineChars="200" w:firstLine="420"/>
        <w:rPr>
          <w:rFonts w:asciiTheme="minorEastAsia" w:eastAsiaTheme="minorEastAsia" w:hAnsiTheme="minorEastAsia" w:cs="Arial"/>
        </w:rPr>
      </w:pPr>
      <w:r w:rsidRPr="00565E0D">
        <w:rPr>
          <w:rFonts w:asciiTheme="minorEastAsia" w:eastAsiaTheme="minorEastAsia" w:hAnsiTheme="minorEastAsia" w:cs="Arial" w:hint="eastAsia"/>
        </w:rPr>
        <w:t>若基金募集期限届满，未能达到基金合同生效的条件，由基金管理人按规定办理退款事宜。</w:t>
      </w:r>
    </w:p>
    <w:p w:rsidR="00C35BC5" w:rsidRPr="00565E0D" w:rsidRDefault="00016F1C"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w:t>
      </w:r>
      <w:r w:rsidR="00C35BC5" w:rsidRPr="00565E0D">
        <w:rPr>
          <w:rFonts w:asciiTheme="minorEastAsia" w:eastAsiaTheme="minorEastAsia" w:hAnsiTheme="minorEastAsia" w:hint="eastAsia"/>
        </w:rPr>
        <w:t>基金的银行账户的开立和管理</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基金托管人以基金托管人的名义在其营业机构开设资产托管专户，保管基金的银行存款。该资产托管专户是指基金托管人在集中托管模式下，代表所托管的基金与中国证券登记结算</w:t>
      </w:r>
      <w:r w:rsidRPr="00565E0D">
        <w:rPr>
          <w:rFonts w:asciiTheme="minorEastAsia" w:eastAsiaTheme="minorEastAsia" w:hAnsiTheme="minorEastAsia" w:hint="eastAsia"/>
        </w:rPr>
        <w:lastRenderedPageBreak/>
        <w:t>有限责任公司进行一级结算的专用账户。该账户的开设和管理由基金托管人承担。本基金的一切货币收支活动，均需通过基金托管人的资产托管专户进行。</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资产托管专户的管理应符合《银行账户管理办法》、《现金管理条例》、《中国人民银行利率管理的有关规定》、《关于大额现金支付管理的通知》、《支付结算办法》以及银行业监督管理机构的其他规定。</w:t>
      </w:r>
    </w:p>
    <w:p w:rsidR="00C35BC5" w:rsidRPr="00565E0D" w:rsidRDefault="00016F1C"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4、</w:t>
      </w:r>
      <w:r w:rsidR="00C35BC5" w:rsidRPr="00565E0D">
        <w:rPr>
          <w:rFonts w:asciiTheme="minorEastAsia" w:eastAsiaTheme="minorEastAsia" w:hAnsiTheme="minorEastAsia" w:hint="eastAsia"/>
        </w:rPr>
        <w:t>基金证券账户与证券交易资金账户的开设和管理</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基金托管人应代表本基金，以基金托管人和本基金联名的方式在中国证券登记结算有限公司上海分公司/深圳分公司开设证券账户。</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基金托管人</w:t>
      </w:r>
      <w:r w:rsidRPr="00565E0D">
        <w:rPr>
          <w:rFonts w:asciiTheme="minorEastAsia" w:eastAsiaTheme="minorEastAsia" w:hAnsiTheme="minorEastAsia"/>
        </w:rPr>
        <w:t>以</w:t>
      </w:r>
      <w:r w:rsidRPr="00565E0D">
        <w:rPr>
          <w:rFonts w:asciiTheme="minorEastAsia" w:eastAsiaTheme="minorEastAsia" w:hAnsiTheme="minorEastAsia" w:hint="eastAsia"/>
        </w:rPr>
        <w:t>基金托管人的名义在中国证券登记结算有限责任公司上海分公司/深圳分公司开立基金证券交易资金账户，用于证券清算。</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C35BC5" w:rsidRPr="00565E0D" w:rsidRDefault="00016F1C"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5、</w:t>
      </w:r>
      <w:r w:rsidR="00C35BC5" w:rsidRPr="00565E0D">
        <w:rPr>
          <w:rFonts w:asciiTheme="minorEastAsia" w:eastAsiaTheme="minorEastAsia" w:hAnsiTheme="minorEastAsia" w:hint="eastAsia"/>
        </w:rPr>
        <w:t>债券托管账户的开立和管理</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2）基金管理人和基金托管人应一起负责为基金对外签订全国银行间国债市场回购主协议，正本由基金托管人保管，基金管理人保存副本。</w:t>
      </w:r>
    </w:p>
    <w:p w:rsidR="00C35BC5" w:rsidRPr="00565E0D" w:rsidRDefault="00016F1C"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6、</w:t>
      </w:r>
      <w:r w:rsidR="00C35BC5" w:rsidRPr="00565E0D">
        <w:rPr>
          <w:rFonts w:asciiTheme="minorEastAsia" w:eastAsiaTheme="minorEastAsia" w:hAnsiTheme="minorEastAsia" w:hint="eastAsia"/>
        </w:rPr>
        <w:t>其他账户的开设和管理</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C35BC5" w:rsidRPr="00565E0D" w:rsidRDefault="00016F1C"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7、</w:t>
      </w:r>
      <w:r w:rsidR="00C35BC5" w:rsidRPr="00565E0D">
        <w:rPr>
          <w:rFonts w:asciiTheme="minorEastAsia" w:eastAsiaTheme="minorEastAsia" w:hAnsiTheme="minorEastAsia" w:hint="eastAsia"/>
        </w:rPr>
        <w:t>基金财产投资的有关实物证券等有价凭证的保管</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基金财产投资的有关实物证券由基金托管人存放于托管银行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上述托管人以外机构实际有效控制的实物证券不承担保管责任。</w:t>
      </w:r>
    </w:p>
    <w:p w:rsidR="00C35BC5" w:rsidRPr="00565E0D" w:rsidRDefault="00016F1C"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lastRenderedPageBreak/>
        <w:t>8、</w:t>
      </w:r>
      <w:r w:rsidR="00C35BC5" w:rsidRPr="00565E0D">
        <w:rPr>
          <w:rFonts w:asciiTheme="minorEastAsia" w:eastAsiaTheme="minorEastAsia" w:hAnsiTheme="minorEastAsia" w:hint="eastAsia"/>
        </w:rPr>
        <w:t>与基金财产有关的重大合同的保管</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10个工作日内通过专人送达、挂号邮寄等安全方式将合同原件送达基金托管人处。合同原件应存放于基金管理人和基金托管人各自文件保管部门15年以上。</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130" w:name="_Toc38551266"/>
      <w:r w:rsidRPr="00565E0D">
        <w:rPr>
          <w:rFonts w:asciiTheme="minorEastAsia" w:eastAsiaTheme="minorEastAsia" w:hAnsiTheme="minorEastAsia" w:hint="eastAsia"/>
          <w:b w:val="0"/>
          <w:bCs/>
        </w:rPr>
        <w:t>（五）基金资产净值计算与复核</w:t>
      </w:r>
      <w:bookmarkEnd w:id="1130"/>
    </w:p>
    <w:p w:rsidR="00C35BC5" w:rsidRPr="00565E0D" w:rsidRDefault="00016F1C"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1、</w:t>
      </w:r>
      <w:r w:rsidR="00C35BC5" w:rsidRPr="00565E0D">
        <w:rPr>
          <w:rFonts w:asciiTheme="minorEastAsia" w:eastAsiaTheme="minorEastAsia" w:hAnsiTheme="minorEastAsia" w:hint="eastAsia"/>
          <w:szCs w:val="21"/>
        </w:rPr>
        <w:t>基金资产净值是指基金资产总值减去负债后的价值。基金份额净值是指计算日基金资产净值除以计算日基金份额总份额后的价值。</w:t>
      </w:r>
    </w:p>
    <w:p w:rsidR="00C35BC5" w:rsidRPr="00565E0D" w:rsidRDefault="00016F1C"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2、</w:t>
      </w:r>
      <w:r w:rsidR="00C35BC5" w:rsidRPr="00565E0D">
        <w:rPr>
          <w:rFonts w:asciiTheme="minorEastAsia" w:eastAsiaTheme="minorEastAsia" w:hAnsiTheme="minorEastAsia" w:hint="eastAsia"/>
          <w:szCs w:val="21"/>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w:t>
      </w:r>
      <w:r w:rsidR="00C35BC5" w:rsidRPr="00565E0D">
        <w:rPr>
          <w:rFonts w:asciiTheme="minorEastAsia" w:eastAsiaTheme="minorEastAsia" w:hAnsiTheme="minorEastAsia" w:hint="eastAsia"/>
        </w:rPr>
        <w:t>份额</w:t>
      </w:r>
      <w:r w:rsidR="00C35BC5" w:rsidRPr="00565E0D">
        <w:rPr>
          <w:rFonts w:asciiTheme="minorEastAsia" w:eastAsiaTheme="minorEastAsia" w:hAnsiTheme="minorEastAsia" w:hint="eastAsia"/>
          <w:szCs w:val="21"/>
        </w:rPr>
        <w:t>净值并以加密传真方式发送给基金托管人。基金托管人对净值计算结果复核后，签名、盖章并以加密传真方式传送给基金管理人，由基金管理人对基金净值予以公布。</w:t>
      </w:r>
    </w:p>
    <w:p w:rsidR="00C35BC5" w:rsidRPr="00565E0D" w:rsidRDefault="00C35BC5" w:rsidP="00552BE1">
      <w:pPr>
        <w:snapToGrid w:val="0"/>
        <w:spacing w:line="360" w:lineRule="auto"/>
        <w:ind w:right="28" w:firstLineChars="200" w:firstLine="420"/>
        <w:rPr>
          <w:rFonts w:asciiTheme="minorEastAsia" w:eastAsiaTheme="minorEastAsia" w:hAnsiTheme="minorEastAsia"/>
        </w:rPr>
      </w:pPr>
      <w:r w:rsidRPr="00565E0D">
        <w:rPr>
          <w:rFonts w:asciiTheme="minorEastAsia" w:eastAsiaTheme="minorEastAsia" w:hAnsiTheme="minorEastAsia" w:hint="eastAsia"/>
        </w:rPr>
        <w:t>本基金的估值方法为：</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（1）证券交易所上市的有价证券的估值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A.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B.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C.交易所上市未实行净价交易的债券按估值日收盘价减去债券收盘价中所含的债券应收利息得到的净价进行估值；估值日没有交易的，且最近交易日后经济环境未发生重大变化，按有交易的最近交易日所采用的净价估值。如最近交易日后经济环境发生了重大变化的，可参考类似投资品种的现行市价及重大变化因素，调整最近交易市价，确定公允价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D.交易所上市不存在活跃市场的有价证券，采用估值技术确定公允价值。交易所上市的资产支持证券，采用估值技术确定公允价值，在估值技术难以可靠计量公允价值的情况下，按成本估值。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（2）处于未上市期间的有价证券应区分如下情况处理：</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lastRenderedPageBreak/>
        <w:t>A.送股、转增股、配股和公开增发的新股，按估值日在证券交易所挂牌的同一股票的市价（收盘价）估值；该日无交易的，以最近一日的市价（收盘价）估值；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B.首次公开发行未上市的股票、债券和权证，采用估值技术确定公允价值，在估值技术难以可靠计量公允价值的情况下，按成本估值。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C.首次公开发行有明确锁定期的股票，同一股票在交易所上市后，按交易所上市的同一股票的市价（收盘价）估值；非公开发行有明确锁定期的股票，按监管机构或行业协会有关规定确定公允价值。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（3）因持有股票而享有的配股权，以及停止交易、但未行权的权证，采用估值技术确定公允价值。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（4）全国银行间债券市场交易的债券、资产支持证券等固定收益品种，采用估值技术确定公允价值。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（5）同一债券同时在两个或两个以上市场交易的，按债券所处的市场分别估值。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（6）如有确凿证据表明按上述方法进行估值不能客观反映其公允价值的，基金管理人可根据具体情况与基金托管人商定后，按最能反映公允价值的价格估值。</w:t>
      </w:r>
    </w:p>
    <w:p w:rsidR="00C35BC5" w:rsidRPr="00565E0D" w:rsidRDefault="00C35BC5" w:rsidP="00552BE1">
      <w:pPr>
        <w:widowControl/>
        <w:snapToGrid w:val="0"/>
        <w:spacing w:line="360" w:lineRule="auto"/>
        <w:ind w:firstLineChars="200" w:firstLine="420"/>
        <w:jc w:val="left"/>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（7）相关法律法规以及监管部门有强制规定的，从其规定。如有新增事项，按国家最新规定估值。</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sz w:val="21"/>
        </w:rPr>
      </w:pPr>
      <w:bookmarkStart w:id="1131" w:name="_Toc38551267"/>
      <w:r w:rsidRPr="00565E0D">
        <w:rPr>
          <w:rFonts w:asciiTheme="minorEastAsia" w:eastAsiaTheme="minorEastAsia" w:hAnsiTheme="minorEastAsia" w:hint="eastAsia"/>
          <w:b w:val="0"/>
          <w:bCs/>
        </w:rPr>
        <w:t>（六）基金份额持有人名册的保管</w:t>
      </w:r>
      <w:bookmarkEnd w:id="1131"/>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持有人的名称和持有的基金份额。</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基金份额持有人名册由基金的注册登记人编制，由基金的注册登记人保管。保管方式可以采用电子或文档的形式。保管期限为永久保存。</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C35BC5" w:rsidRPr="00565E0D" w:rsidRDefault="00C35BC5" w:rsidP="00552BE1">
      <w:pPr>
        <w:snapToGrid w:val="0"/>
        <w:spacing w:line="360" w:lineRule="auto"/>
        <w:ind w:right="28"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基金托管人以电子版形式妥善保管基金份额持有人名册，并定期刻成光盘备份，保存期限为15年。基金托管人不得将所保管的基金份额持有人名册用于基金托管业务以外的其他用途，并应遵守保密义务。</w:t>
      </w:r>
    </w:p>
    <w:p w:rsidR="00C35BC5" w:rsidRPr="00565E0D" w:rsidRDefault="00C35BC5" w:rsidP="00552BE1">
      <w:pPr>
        <w:snapToGrid w:val="0"/>
        <w:spacing w:line="360" w:lineRule="auto"/>
        <w:ind w:right="28" w:firstLineChars="200" w:firstLine="420"/>
        <w:rPr>
          <w:rFonts w:asciiTheme="minorEastAsia" w:eastAsiaTheme="minorEastAsia" w:hAnsiTheme="minorEastAsia"/>
          <w:b/>
          <w:bCs/>
        </w:rPr>
      </w:pPr>
      <w:r w:rsidRPr="00565E0D">
        <w:rPr>
          <w:rFonts w:asciiTheme="minorEastAsia" w:eastAsiaTheme="minorEastAsia" w:hAnsiTheme="minorEastAsia" w:hint="eastAsia"/>
          <w:szCs w:val="21"/>
        </w:rPr>
        <w:t>若基金管理人或基金托管人由于自身原因无法妥善保管基金份额持有人名册，应按有关法规规定各自承担相应的责任。</w:t>
      </w:r>
    </w:p>
    <w:p w:rsidR="00C35BC5" w:rsidRPr="00565E0D" w:rsidRDefault="00A11BDF" w:rsidP="00B5132A">
      <w:pPr>
        <w:pStyle w:val="2"/>
        <w:snapToGrid w:val="0"/>
        <w:spacing w:beforeLines="0" w:afterLines="0" w:line="360" w:lineRule="auto"/>
        <w:ind w:firstLineChars="0" w:firstLine="0"/>
        <w:rPr>
          <w:rFonts w:asciiTheme="minorEastAsia" w:eastAsiaTheme="minorEastAsia" w:hAnsiTheme="minorEastAsia"/>
          <w:b w:val="0"/>
          <w:bCs/>
          <w:sz w:val="21"/>
        </w:rPr>
      </w:pPr>
      <w:bookmarkStart w:id="1132" w:name="_Toc38551268"/>
      <w:r w:rsidRPr="00565E0D">
        <w:rPr>
          <w:rFonts w:asciiTheme="minorEastAsia" w:eastAsiaTheme="minorEastAsia" w:hAnsiTheme="minorEastAsia" w:hint="eastAsia"/>
          <w:b w:val="0"/>
          <w:bCs/>
        </w:rPr>
        <w:lastRenderedPageBreak/>
        <w:t>（七</w:t>
      </w:r>
      <w:r w:rsidR="00C35BC5" w:rsidRPr="00565E0D">
        <w:rPr>
          <w:rFonts w:asciiTheme="minorEastAsia" w:eastAsiaTheme="minorEastAsia" w:hAnsiTheme="minorEastAsia" w:hint="eastAsia"/>
          <w:b w:val="0"/>
          <w:bCs/>
        </w:rPr>
        <w:t>）争议解决方式</w:t>
      </w:r>
      <w:bookmarkEnd w:id="1132"/>
    </w:p>
    <w:p w:rsidR="00C35BC5" w:rsidRPr="00565E0D" w:rsidRDefault="00C35BC5" w:rsidP="00552BE1">
      <w:pPr>
        <w:snapToGrid w:val="0"/>
        <w:spacing w:line="360" w:lineRule="auto"/>
        <w:ind w:right="28" w:firstLineChars="200" w:firstLine="420"/>
        <w:rPr>
          <w:rFonts w:asciiTheme="minorEastAsia" w:eastAsiaTheme="minorEastAsia" w:hAnsiTheme="minorEastAsia"/>
        </w:rPr>
      </w:pPr>
      <w:r w:rsidRPr="00565E0D">
        <w:rPr>
          <w:rFonts w:asciiTheme="minorEastAsia" w:eastAsiaTheme="minorEastAsia" w:hAnsiTheme="minorEastAsia"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C35BC5" w:rsidRPr="00565E0D" w:rsidRDefault="00C35BC5" w:rsidP="00552BE1">
      <w:pPr>
        <w:autoSpaceDE w:val="0"/>
        <w:autoSpaceDN w:val="0"/>
        <w:adjustRightInd w:val="0"/>
        <w:snapToGrid w:val="0"/>
        <w:spacing w:line="360" w:lineRule="auto"/>
        <w:ind w:firstLineChars="200" w:firstLine="420"/>
        <w:rPr>
          <w:rFonts w:asciiTheme="minorEastAsia" w:eastAsiaTheme="minorEastAsia" w:hAnsiTheme="minorEastAsia"/>
          <w:b/>
          <w:bCs/>
        </w:rPr>
      </w:pPr>
      <w:r w:rsidRPr="00565E0D">
        <w:rPr>
          <w:rFonts w:asciiTheme="minorEastAsia" w:eastAsiaTheme="minorEastAsia" w:hAnsiTheme="minorEastAsia" w:hint="eastAsia"/>
        </w:rPr>
        <w:t>争议处理期间，相关各方当事人应恪守基金管理人和基金托管人职责，继续忠实、勤勉、尽责地履行《基金合同》和托管协议规定的义务，维护基金份额持有人的合法权益。本协议受中华人民共和国（为本协议之目的，不包括香港、澳门及台湾）法律管辖。</w:t>
      </w:r>
    </w:p>
    <w:p w:rsidR="00C35BC5" w:rsidRPr="00565E0D" w:rsidRDefault="00A11BDF" w:rsidP="00B5132A">
      <w:pPr>
        <w:pStyle w:val="2"/>
        <w:snapToGrid w:val="0"/>
        <w:spacing w:beforeLines="0" w:afterLines="0" w:line="360" w:lineRule="auto"/>
        <w:ind w:firstLineChars="0" w:firstLine="0"/>
        <w:rPr>
          <w:rFonts w:asciiTheme="minorEastAsia" w:eastAsiaTheme="minorEastAsia" w:hAnsiTheme="minorEastAsia"/>
          <w:b w:val="0"/>
          <w:bCs/>
          <w:sz w:val="21"/>
        </w:rPr>
      </w:pPr>
      <w:bookmarkStart w:id="1133" w:name="_Toc38551269"/>
      <w:r w:rsidRPr="00565E0D">
        <w:rPr>
          <w:rFonts w:asciiTheme="minorEastAsia" w:eastAsiaTheme="minorEastAsia" w:hAnsiTheme="minorEastAsia" w:hint="eastAsia"/>
          <w:b w:val="0"/>
          <w:bCs/>
        </w:rPr>
        <w:t>（八</w:t>
      </w:r>
      <w:r w:rsidR="00C35BC5" w:rsidRPr="00565E0D">
        <w:rPr>
          <w:rFonts w:asciiTheme="minorEastAsia" w:eastAsiaTheme="minorEastAsia" w:hAnsiTheme="minorEastAsia" w:hint="eastAsia"/>
          <w:b w:val="0"/>
          <w:bCs/>
        </w:rPr>
        <w:t>）托管协议的变更与终止</w:t>
      </w:r>
      <w:bookmarkEnd w:id="1133"/>
    </w:p>
    <w:p w:rsidR="00C35BC5" w:rsidRPr="00565E0D" w:rsidRDefault="00C35BC5" w:rsidP="00126B45">
      <w:pPr>
        <w:autoSpaceDE w:val="0"/>
        <w:autoSpaceDN w:val="0"/>
        <w:adjustRightInd w:val="0"/>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1</w:t>
      </w:r>
      <w:r w:rsidR="00016F1C" w:rsidRPr="00565E0D">
        <w:rPr>
          <w:rFonts w:asciiTheme="minorEastAsia" w:eastAsiaTheme="minorEastAsia" w:hAnsiTheme="minorEastAsia" w:hint="eastAsia"/>
        </w:rPr>
        <w:t>、</w:t>
      </w:r>
      <w:r w:rsidRPr="00565E0D">
        <w:rPr>
          <w:rFonts w:asciiTheme="minorEastAsia" w:eastAsiaTheme="minorEastAsia" w:hAnsiTheme="minorEastAsia" w:hint="eastAsia"/>
        </w:rPr>
        <w:t>本协议相关各方当事人经协商一致，可以对协议进行变更。变更后的托管协议，其内容不得与《基金合同》的规定有任何冲突。基金托管协议的变更报中国证监会核准后生效。</w:t>
      </w:r>
    </w:p>
    <w:p w:rsidR="00C35BC5" w:rsidRPr="00565E0D" w:rsidRDefault="00C35BC5" w:rsidP="00126B45">
      <w:pPr>
        <w:autoSpaceDE w:val="0"/>
        <w:autoSpaceDN w:val="0"/>
        <w:adjustRightInd w:val="0"/>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rPr>
        <w:t>2</w:t>
      </w:r>
      <w:r w:rsidR="00016F1C" w:rsidRPr="00565E0D">
        <w:rPr>
          <w:rFonts w:asciiTheme="minorEastAsia" w:eastAsiaTheme="minorEastAsia" w:hAnsiTheme="minorEastAsia" w:hint="eastAsia"/>
        </w:rPr>
        <w:t>、</w:t>
      </w:r>
      <w:r w:rsidRPr="00565E0D">
        <w:rPr>
          <w:rFonts w:asciiTheme="minorEastAsia" w:eastAsiaTheme="minorEastAsia" w:hAnsiTheme="minorEastAsia" w:hint="eastAsia"/>
        </w:rPr>
        <w:t>发生以下情况，本托管协议终止：</w:t>
      </w:r>
    </w:p>
    <w:p w:rsidR="00C35BC5" w:rsidRPr="00565E0D" w:rsidRDefault="00C35BC5" w:rsidP="00126B45">
      <w:pPr>
        <w:autoSpaceDE w:val="0"/>
        <w:autoSpaceDN w:val="0"/>
        <w:adjustRightInd w:val="0"/>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（1）《基金合同》终止；</w:t>
      </w:r>
    </w:p>
    <w:p w:rsidR="00C35BC5" w:rsidRPr="00565E0D" w:rsidRDefault="00C35BC5" w:rsidP="00126B45">
      <w:pPr>
        <w:autoSpaceDE w:val="0"/>
        <w:autoSpaceDN w:val="0"/>
        <w:adjustRightInd w:val="0"/>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（2）基金托管人解散、依法被撤销、破产或有其他基金托管人接管基金财产；</w:t>
      </w:r>
    </w:p>
    <w:p w:rsidR="00C35BC5" w:rsidRPr="00565E0D" w:rsidRDefault="00C35BC5" w:rsidP="00126B45">
      <w:pPr>
        <w:autoSpaceDE w:val="0"/>
        <w:autoSpaceDN w:val="0"/>
        <w:adjustRightInd w:val="0"/>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（3）基金管理人解散、依法被撤销、破产或有其他基金管理人接管基金管理权；</w:t>
      </w:r>
    </w:p>
    <w:p w:rsidR="00C35BC5" w:rsidRPr="00565E0D" w:rsidRDefault="00C35BC5" w:rsidP="00126B45">
      <w:pPr>
        <w:autoSpaceDE w:val="0"/>
        <w:autoSpaceDN w:val="0"/>
        <w:adjustRightInd w:val="0"/>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（4）发生法律法规或基金合同规定的终止事项。</w:t>
      </w:r>
    </w:p>
    <w:p w:rsidR="00C35BC5" w:rsidRPr="00565E0D" w:rsidRDefault="00C35BC5" w:rsidP="00126B45">
      <w:pPr>
        <w:autoSpaceDE w:val="0"/>
        <w:autoSpaceDN w:val="0"/>
        <w:adjustRightInd w:val="0"/>
        <w:snapToGrid w:val="0"/>
        <w:spacing w:line="360" w:lineRule="auto"/>
        <w:ind w:firstLineChars="200" w:firstLine="420"/>
        <w:rPr>
          <w:rFonts w:asciiTheme="minorEastAsia" w:eastAsiaTheme="minorEastAsia" w:hAnsiTheme="minorEastAsia"/>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pPr>
      <w:bookmarkStart w:id="1134" w:name="_Toc38551270"/>
      <w:r w:rsidRPr="00565E0D">
        <w:rPr>
          <w:rFonts w:asciiTheme="minorEastAsia" w:eastAsiaTheme="minorEastAsia" w:hAnsiTheme="minorEastAsia" w:hint="eastAsia"/>
          <w:b/>
          <w:bCs/>
        </w:rPr>
        <w:lastRenderedPageBreak/>
        <w:t>二</w:t>
      </w:r>
      <w:bookmarkStart w:id="1135" w:name="_Toc38438238"/>
      <w:bookmarkStart w:id="1136" w:name="_Toc38438575"/>
      <w:bookmarkStart w:id="1137" w:name="_Toc38438912"/>
      <w:bookmarkStart w:id="1138" w:name="_Toc38439249"/>
      <w:bookmarkStart w:id="1139" w:name="_Toc38439586"/>
      <w:bookmarkStart w:id="1140" w:name="_Toc38439923"/>
      <w:bookmarkStart w:id="1141" w:name="_Toc38440260"/>
      <w:bookmarkStart w:id="1142" w:name="_Toc38440597"/>
      <w:bookmarkStart w:id="1143" w:name="_Toc38440796"/>
      <w:bookmarkStart w:id="1144" w:name="_Toc38441129"/>
      <w:bookmarkStart w:id="1145" w:name="_Toc38441461"/>
      <w:bookmarkStart w:id="1146" w:name="_Toc38441793"/>
      <w:bookmarkStart w:id="1147" w:name="_Toc38442121"/>
      <w:bookmarkStart w:id="1148" w:name="_Toc38442453"/>
      <w:bookmarkStart w:id="1149" w:name="_Toc38442785"/>
      <w:bookmarkStart w:id="1150" w:name="_Toc38443116"/>
      <w:bookmarkStart w:id="1151" w:name="_Toc38443447"/>
      <w:bookmarkStart w:id="1152" w:name="_Toc38443778"/>
      <w:bookmarkStart w:id="1153" w:name="_Toc38438239"/>
      <w:bookmarkStart w:id="1154" w:name="_Toc38438576"/>
      <w:bookmarkStart w:id="1155" w:name="_Toc38438913"/>
      <w:bookmarkStart w:id="1156" w:name="_Toc38439250"/>
      <w:bookmarkStart w:id="1157" w:name="_Toc38439587"/>
      <w:bookmarkStart w:id="1158" w:name="_Toc38439924"/>
      <w:bookmarkStart w:id="1159" w:name="_Toc38440261"/>
      <w:bookmarkStart w:id="1160" w:name="_Toc38440598"/>
      <w:bookmarkStart w:id="1161" w:name="_Toc38440797"/>
      <w:bookmarkStart w:id="1162" w:name="_Toc38441130"/>
      <w:bookmarkStart w:id="1163" w:name="_Toc38441462"/>
      <w:bookmarkStart w:id="1164" w:name="_Toc38441794"/>
      <w:bookmarkStart w:id="1165" w:name="_Toc38442122"/>
      <w:bookmarkStart w:id="1166" w:name="_Toc38442454"/>
      <w:bookmarkStart w:id="1167" w:name="_Toc38442786"/>
      <w:bookmarkStart w:id="1168" w:name="_Toc38443117"/>
      <w:bookmarkStart w:id="1169" w:name="_Toc38443448"/>
      <w:bookmarkStart w:id="1170" w:name="_Toc38443779"/>
      <w:bookmarkStart w:id="1171" w:name="_Toc38438240"/>
      <w:bookmarkStart w:id="1172" w:name="_Toc38438577"/>
      <w:bookmarkStart w:id="1173" w:name="_Toc38438914"/>
      <w:bookmarkStart w:id="1174" w:name="_Toc38439251"/>
      <w:bookmarkStart w:id="1175" w:name="_Toc38439588"/>
      <w:bookmarkStart w:id="1176" w:name="_Toc38439925"/>
      <w:bookmarkStart w:id="1177" w:name="_Toc38440262"/>
      <w:bookmarkStart w:id="1178" w:name="_Toc38440599"/>
      <w:bookmarkStart w:id="1179" w:name="_Toc38440798"/>
      <w:bookmarkStart w:id="1180" w:name="_Toc38441131"/>
      <w:bookmarkStart w:id="1181" w:name="_Toc38441463"/>
      <w:bookmarkStart w:id="1182" w:name="_Toc38441795"/>
      <w:bookmarkStart w:id="1183" w:name="_Toc38442123"/>
      <w:bookmarkStart w:id="1184" w:name="_Toc38442455"/>
      <w:bookmarkStart w:id="1185" w:name="_Toc38442787"/>
      <w:bookmarkStart w:id="1186" w:name="_Toc38443118"/>
      <w:bookmarkStart w:id="1187" w:name="_Toc38443449"/>
      <w:bookmarkStart w:id="1188" w:name="_Toc38443780"/>
      <w:bookmarkStart w:id="1189" w:name="_Toc38438241"/>
      <w:bookmarkStart w:id="1190" w:name="_Toc38438578"/>
      <w:bookmarkStart w:id="1191" w:name="_Toc38438915"/>
      <w:bookmarkStart w:id="1192" w:name="_Toc38439252"/>
      <w:bookmarkStart w:id="1193" w:name="_Toc38439589"/>
      <w:bookmarkStart w:id="1194" w:name="_Toc38439926"/>
      <w:bookmarkStart w:id="1195" w:name="_Toc38440263"/>
      <w:bookmarkStart w:id="1196" w:name="_Toc38440600"/>
      <w:bookmarkStart w:id="1197" w:name="_Toc38440799"/>
      <w:bookmarkStart w:id="1198" w:name="_Toc38441132"/>
      <w:bookmarkStart w:id="1199" w:name="_Toc38441464"/>
      <w:bookmarkStart w:id="1200" w:name="_Toc38441796"/>
      <w:bookmarkStart w:id="1201" w:name="_Toc38442124"/>
      <w:bookmarkStart w:id="1202" w:name="_Toc38442456"/>
      <w:bookmarkStart w:id="1203" w:name="_Toc38442788"/>
      <w:bookmarkStart w:id="1204" w:name="_Toc38443119"/>
      <w:bookmarkStart w:id="1205" w:name="_Toc38443450"/>
      <w:bookmarkStart w:id="1206" w:name="_Toc38443781"/>
      <w:bookmarkStart w:id="1207" w:name="_Toc38438242"/>
      <w:bookmarkStart w:id="1208" w:name="_Toc38438579"/>
      <w:bookmarkStart w:id="1209" w:name="_Toc38438916"/>
      <w:bookmarkStart w:id="1210" w:name="_Toc38439253"/>
      <w:bookmarkStart w:id="1211" w:name="_Toc38439590"/>
      <w:bookmarkStart w:id="1212" w:name="_Toc38439927"/>
      <w:bookmarkStart w:id="1213" w:name="_Toc38440264"/>
      <w:bookmarkStart w:id="1214" w:name="_Toc38440601"/>
      <w:bookmarkStart w:id="1215" w:name="_Toc38440800"/>
      <w:bookmarkStart w:id="1216" w:name="_Toc38441133"/>
      <w:bookmarkStart w:id="1217" w:name="_Toc38441465"/>
      <w:bookmarkStart w:id="1218" w:name="_Toc38441797"/>
      <w:bookmarkStart w:id="1219" w:name="_Toc38442125"/>
      <w:bookmarkStart w:id="1220" w:name="_Toc38442457"/>
      <w:bookmarkStart w:id="1221" w:name="_Toc38442789"/>
      <w:bookmarkStart w:id="1222" w:name="_Toc38443120"/>
      <w:bookmarkStart w:id="1223" w:name="_Toc38443451"/>
      <w:bookmarkStart w:id="1224" w:name="_Toc38443782"/>
      <w:bookmarkStart w:id="1225" w:name="_Toc38438243"/>
      <w:bookmarkStart w:id="1226" w:name="_Toc38438580"/>
      <w:bookmarkStart w:id="1227" w:name="_Toc38438917"/>
      <w:bookmarkStart w:id="1228" w:name="_Toc38439254"/>
      <w:bookmarkStart w:id="1229" w:name="_Toc38439591"/>
      <w:bookmarkStart w:id="1230" w:name="_Toc38439928"/>
      <w:bookmarkStart w:id="1231" w:name="_Toc38440265"/>
      <w:bookmarkStart w:id="1232" w:name="_Toc38440602"/>
      <w:bookmarkStart w:id="1233" w:name="_Toc38440801"/>
      <w:bookmarkStart w:id="1234" w:name="_Toc38441134"/>
      <w:bookmarkStart w:id="1235" w:name="_Toc38441466"/>
      <w:bookmarkStart w:id="1236" w:name="_Toc38441798"/>
      <w:bookmarkStart w:id="1237" w:name="_Toc38442126"/>
      <w:bookmarkStart w:id="1238" w:name="_Toc38442458"/>
      <w:bookmarkStart w:id="1239" w:name="_Toc38442790"/>
      <w:bookmarkStart w:id="1240" w:name="_Toc38443121"/>
      <w:bookmarkStart w:id="1241" w:name="_Toc38443452"/>
      <w:bookmarkStart w:id="1242" w:name="_Toc38443783"/>
      <w:bookmarkStart w:id="1243" w:name="_Toc38438244"/>
      <w:bookmarkStart w:id="1244" w:name="_Toc38438581"/>
      <w:bookmarkStart w:id="1245" w:name="_Toc38438918"/>
      <w:bookmarkStart w:id="1246" w:name="_Toc38439255"/>
      <w:bookmarkStart w:id="1247" w:name="_Toc38439592"/>
      <w:bookmarkStart w:id="1248" w:name="_Toc38439929"/>
      <w:bookmarkStart w:id="1249" w:name="_Toc38440266"/>
      <w:bookmarkStart w:id="1250" w:name="_Toc38440603"/>
      <w:bookmarkStart w:id="1251" w:name="_Toc38440802"/>
      <w:bookmarkStart w:id="1252" w:name="_Toc38441135"/>
      <w:bookmarkStart w:id="1253" w:name="_Toc38441467"/>
      <w:bookmarkStart w:id="1254" w:name="_Toc38441799"/>
      <w:bookmarkStart w:id="1255" w:name="_Toc38442127"/>
      <w:bookmarkStart w:id="1256" w:name="_Toc38442459"/>
      <w:bookmarkStart w:id="1257" w:name="_Toc38442791"/>
      <w:bookmarkStart w:id="1258" w:name="_Toc38443122"/>
      <w:bookmarkStart w:id="1259" w:name="_Toc38443453"/>
      <w:bookmarkStart w:id="1260" w:name="_Toc38443784"/>
      <w:bookmarkStart w:id="1261" w:name="_Toc38438245"/>
      <w:bookmarkStart w:id="1262" w:name="_Toc38438582"/>
      <w:bookmarkStart w:id="1263" w:name="_Toc38438919"/>
      <w:bookmarkStart w:id="1264" w:name="_Toc38439256"/>
      <w:bookmarkStart w:id="1265" w:name="_Toc38439593"/>
      <w:bookmarkStart w:id="1266" w:name="_Toc38439930"/>
      <w:bookmarkStart w:id="1267" w:name="_Toc38440267"/>
      <w:bookmarkStart w:id="1268" w:name="_Toc38440604"/>
      <w:bookmarkStart w:id="1269" w:name="_Toc38440803"/>
      <w:bookmarkStart w:id="1270" w:name="_Toc38441136"/>
      <w:bookmarkStart w:id="1271" w:name="_Toc38441468"/>
      <w:bookmarkStart w:id="1272" w:name="_Toc38441800"/>
      <w:bookmarkStart w:id="1273" w:name="_Toc38442128"/>
      <w:bookmarkStart w:id="1274" w:name="_Toc38442460"/>
      <w:bookmarkStart w:id="1275" w:name="_Toc38442792"/>
      <w:bookmarkStart w:id="1276" w:name="_Toc38443123"/>
      <w:bookmarkStart w:id="1277" w:name="_Toc38443454"/>
      <w:bookmarkStart w:id="1278" w:name="_Toc38443785"/>
      <w:bookmarkStart w:id="1279" w:name="_Toc38438246"/>
      <w:bookmarkStart w:id="1280" w:name="_Toc38438583"/>
      <w:bookmarkStart w:id="1281" w:name="_Toc38438920"/>
      <w:bookmarkStart w:id="1282" w:name="_Toc38439257"/>
      <w:bookmarkStart w:id="1283" w:name="_Toc38439594"/>
      <w:bookmarkStart w:id="1284" w:name="_Toc38439931"/>
      <w:bookmarkStart w:id="1285" w:name="_Toc38440268"/>
      <w:bookmarkStart w:id="1286" w:name="_Toc38440605"/>
      <w:bookmarkStart w:id="1287" w:name="_Toc38440804"/>
      <w:bookmarkStart w:id="1288" w:name="_Toc38441137"/>
      <w:bookmarkStart w:id="1289" w:name="_Toc38441469"/>
      <w:bookmarkStart w:id="1290" w:name="_Toc38441801"/>
      <w:bookmarkStart w:id="1291" w:name="_Toc38442129"/>
      <w:bookmarkStart w:id="1292" w:name="_Toc38442461"/>
      <w:bookmarkStart w:id="1293" w:name="_Toc38442793"/>
      <w:bookmarkStart w:id="1294" w:name="_Toc38443124"/>
      <w:bookmarkStart w:id="1295" w:name="_Toc38443455"/>
      <w:bookmarkStart w:id="1296" w:name="_Toc38443786"/>
      <w:bookmarkStart w:id="1297" w:name="_Toc38438247"/>
      <w:bookmarkStart w:id="1298" w:name="_Toc38438584"/>
      <w:bookmarkStart w:id="1299" w:name="_Toc38438921"/>
      <w:bookmarkStart w:id="1300" w:name="_Toc38439258"/>
      <w:bookmarkStart w:id="1301" w:name="_Toc38439595"/>
      <w:bookmarkStart w:id="1302" w:name="_Toc38439932"/>
      <w:bookmarkStart w:id="1303" w:name="_Toc38440269"/>
      <w:bookmarkStart w:id="1304" w:name="_Toc38440606"/>
      <w:bookmarkStart w:id="1305" w:name="_Toc38440805"/>
      <w:bookmarkStart w:id="1306" w:name="_Toc38441138"/>
      <w:bookmarkStart w:id="1307" w:name="_Toc38441470"/>
      <w:bookmarkStart w:id="1308" w:name="_Toc38441802"/>
      <w:bookmarkStart w:id="1309" w:name="_Toc38442130"/>
      <w:bookmarkStart w:id="1310" w:name="_Toc38442462"/>
      <w:bookmarkStart w:id="1311" w:name="_Toc38442794"/>
      <w:bookmarkStart w:id="1312" w:name="_Toc38443125"/>
      <w:bookmarkStart w:id="1313" w:name="_Toc38443456"/>
      <w:bookmarkStart w:id="1314" w:name="_Toc38443787"/>
      <w:bookmarkStart w:id="1315" w:name="_Toc38438248"/>
      <w:bookmarkStart w:id="1316" w:name="_Toc38438585"/>
      <w:bookmarkStart w:id="1317" w:name="_Toc38438922"/>
      <w:bookmarkStart w:id="1318" w:name="_Toc38439259"/>
      <w:bookmarkStart w:id="1319" w:name="_Toc38439596"/>
      <w:bookmarkStart w:id="1320" w:name="_Toc38439933"/>
      <w:bookmarkStart w:id="1321" w:name="_Toc38440270"/>
      <w:bookmarkStart w:id="1322" w:name="_Toc38440607"/>
      <w:bookmarkStart w:id="1323" w:name="_Toc38440806"/>
      <w:bookmarkStart w:id="1324" w:name="_Toc38441139"/>
      <w:bookmarkStart w:id="1325" w:name="_Toc38441471"/>
      <w:bookmarkStart w:id="1326" w:name="_Toc38441803"/>
      <w:bookmarkStart w:id="1327" w:name="_Toc38442131"/>
      <w:bookmarkStart w:id="1328" w:name="_Toc38442463"/>
      <w:bookmarkStart w:id="1329" w:name="_Toc38442795"/>
      <w:bookmarkStart w:id="1330" w:name="_Toc38443126"/>
      <w:bookmarkStart w:id="1331" w:name="_Toc38443457"/>
      <w:bookmarkStart w:id="1332" w:name="_Toc38443788"/>
      <w:bookmarkStart w:id="1333" w:name="_Toc38438249"/>
      <w:bookmarkStart w:id="1334" w:name="_Toc38438586"/>
      <w:bookmarkStart w:id="1335" w:name="_Toc38438923"/>
      <w:bookmarkStart w:id="1336" w:name="_Toc38439260"/>
      <w:bookmarkStart w:id="1337" w:name="_Toc38439597"/>
      <w:bookmarkStart w:id="1338" w:name="_Toc38439934"/>
      <w:bookmarkStart w:id="1339" w:name="_Toc38440271"/>
      <w:bookmarkStart w:id="1340" w:name="_Toc38440608"/>
      <w:bookmarkStart w:id="1341" w:name="_Toc38440807"/>
      <w:bookmarkStart w:id="1342" w:name="_Toc38441140"/>
      <w:bookmarkStart w:id="1343" w:name="_Toc38441472"/>
      <w:bookmarkStart w:id="1344" w:name="_Toc38441804"/>
      <w:bookmarkStart w:id="1345" w:name="_Toc38442132"/>
      <w:bookmarkStart w:id="1346" w:name="_Toc38442464"/>
      <w:bookmarkStart w:id="1347" w:name="_Toc38442796"/>
      <w:bookmarkStart w:id="1348" w:name="_Toc38443127"/>
      <w:bookmarkStart w:id="1349" w:name="_Toc38443458"/>
      <w:bookmarkStart w:id="1350" w:name="_Toc38443789"/>
      <w:bookmarkStart w:id="1351" w:name="_Toc38438250"/>
      <w:bookmarkStart w:id="1352" w:name="_Toc38438587"/>
      <w:bookmarkStart w:id="1353" w:name="_Toc38438924"/>
      <w:bookmarkStart w:id="1354" w:name="_Toc38439261"/>
      <w:bookmarkStart w:id="1355" w:name="_Toc38439598"/>
      <w:bookmarkStart w:id="1356" w:name="_Toc38439935"/>
      <w:bookmarkStart w:id="1357" w:name="_Toc38440272"/>
      <w:bookmarkStart w:id="1358" w:name="_Toc38440609"/>
      <w:bookmarkStart w:id="1359" w:name="_Toc38440808"/>
      <w:bookmarkStart w:id="1360" w:name="_Toc38441141"/>
      <w:bookmarkStart w:id="1361" w:name="_Toc38441473"/>
      <w:bookmarkStart w:id="1362" w:name="_Toc38441805"/>
      <w:bookmarkStart w:id="1363" w:name="_Toc38442133"/>
      <w:bookmarkStart w:id="1364" w:name="_Toc38442465"/>
      <w:bookmarkStart w:id="1365" w:name="_Toc38442797"/>
      <w:bookmarkStart w:id="1366" w:name="_Toc38443128"/>
      <w:bookmarkStart w:id="1367" w:name="_Toc38443459"/>
      <w:bookmarkStart w:id="1368" w:name="_Toc38443790"/>
      <w:bookmarkStart w:id="1369" w:name="_Toc38438251"/>
      <w:bookmarkStart w:id="1370" w:name="_Toc38438588"/>
      <w:bookmarkStart w:id="1371" w:name="_Toc38438925"/>
      <w:bookmarkStart w:id="1372" w:name="_Toc38439262"/>
      <w:bookmarkStart w:id="1373" w:name="_Toc38439599"/>
      <w:bookmarkStart w:id="1374" w:name="_Toc38439936"/>
      <w:bookmarkStart w:id="1375" w:name="_Toc38440273"/>
      <w:bookmarkStart w:id="1376" w:name="_Toc38440610"/>
      <w:bookmarkStart w:id="1377" w:name="_Toc38440809"/>
      <w:bookmarkStart w:id="1378" w:name="_Toc38441142"/>
      <w:bookmarkStart w:id="1379" w:name="_Toc38441474"/>
      <w:bookmarkStart w:id="1380" w:name="_Toc38441806"/>
      <w:bookmarkStart w:id="1381" w:name="_Toc38442134"/>
      <w:bookmarkStart w:id="1382" w:name="_Toc38442466"/>
      <w:bookmarkStart w:id="1383" w:name="_Toc38442798"/>
      <w:bookmarkStart w:id="1384" w:name="_Toc38443129"/>
      <w:bookmarkStart w:id="1385" w:name="_Toc38443460"/>
      <w:bookmarkStart w:id="1386" w:name="_Toc38443791"/>
      <w:bookmarkStart w:id="1387" w:name="_Toc38438252"/>
      <w:bookmarkStart w:id="1388" w:name="_Toc38438589"/>
      <w:bookmarkStart w:id="1389" w:name="_Toc38438926"/>
      <w:bookmarkStart w:id="1390" w:name="_Toc38439263"/>
      <w:bookmarkStart w:id="1391" w:name="_Toc38439600"/>
      <w:bookmarkStart w:id="1392" w:name="_Toc38439937"/>
      <w:bookmarkStart w:id="1393" w:name="_Toc38440274"/>
      <w:bookmarkStart w:id="1394" w:name="_Toc38440611"/>
      <w:bookmarkStart w:id="1395" w:name="_Toc38440810"/>
      <w:bookmarkStart w:id="1396" w:name="_Toc38441143"/>
      <w:bookmarkStart w:id="1397" w:name="_Toc38441475"/>
      <w:bookmarkStart w:id="1398" w:name="_Toc38441807"/>
      <w:bookmarkStart w:id="1399" w:name="_Toc38442135"/>
      <w:bookmarkStart w:id="1400" w:name="_Toc38442467"/>
      <w:bookmarkStart w:id="1401" w:name="_Toc38442799"/>
      <w:bookmarkStart w:id="1402" w:name="_Toc38443130"/>
      <w:bookmarkStart w:id="1403" w:name="_Toc38443461"/>
      <w:bookmarkStart w:id="1404" w:name="_Toc38443792"/>
      <w:bookmarkStart w:id="1405" w:name="_Toc38438253"/>
      <w:bookmarkStart w:id="1406" w:name="_Toc38438590"/>
      <w:bookmarkStart w:id="1407" w:name="_Toc38438927"/>
      <w:bookmarkStart w:id="1408" w:name="_Toc38439264"/>
      <w:bookmarkStart w:id="1409" w:name="_Toc38439601"/>
      <w:bookmarkStart w:id="1410" w:name="_Toc38439938"/>
      <w:bookmarkStart w:id="1411" w:name="_Toc38440275"/>
      <w:bookmarkStart w:id="1412" w:name="_Toc38440612"/>
      <w:bookmarkStart w:id="1413" w:name="_Toc38440811"/>
      <w:bookmarkStart w:id="1414" w:name="_Toc38441144"/>
      <w:bookmarkStart w:id="1415" w:name="_Toc38441476"/>
      <w:bookmarkStart w:id="1416" w:name="_Toc38441808"/>
      <w:bookmarkStart w:id="1417" w:name="_Toc38442136"/>
      <w:bookmarkStart w:id="1418" w:name="_Toc38442468"/>
      <w:bookmarkStart w:id="1419" w:name="_Toc38442800"/>
      <w:bookmarkStart w:id="1420" w:name="_Toc38443131"/>
      <w:bookmarkStart w:id="1421" w:name="_Toc38443462"/>
      <w:bookmarkStart w:id="1422" w:name="_Toc38443793"/>
      <w:bookmarkStart w:id="1423" w:name="_Toc38438254"/>
      <w:bookmarkStart w:id="1424" w:name="_Toc38438591"/>
      <w:bookmarkStart w:id="1425" w:name="_Toc38438928"/>
      <w:bookmarkStart w:id="1426" w:name="_Toc38439265"/>
      <w:bookmarkStart w:id="1427" w:name="_Toc38439602"/>
      <w:bookmarkStart w:id="1428" w:name="_Toc38439939"/>
      <w:bookmarkStart w:id="1429" w:name="_Toc38440276"/>
      <w:bookmarkStart w:id="1430" w:name="_Toc38440613"/>
      <w:bookmarkStart w:id="1431" w:name="_Toc38440812"/>
      <w:bookmarkStart w:id="1432" w:name="_Toc38441145"/>
      <w:bookmarkStart w:id="1433" w:name="_Toc38441477"/>
      <w:bookmarkStart w:id="1434" w:name="_Toc38441809"/>
      <w:bookmarkStart w:id="1435" w:name="_Toc38442137"/>
      <w:bookmarkStart w:id="1436" w:name="_Toc38442469"/>
      <w:bookmarkStart w:id="1437" w:name="_Toc38442801"/>
      <w:bookmarkStart w:id="1438" w:name="_Toc38443132"/>
      <w:bookmarkStart w:id="1439" w:name="_Toc38443463"/>
      <w:bookmarkStart w:id="1440" w:name="_Toc3844379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r w:rsidRPr="00565E0D">
        <w:rPr>
          <w:rFonts w:asciiTheme="minorEastAsia" w:eastAsiaTheme="minorEastAsia" w:hAnsiTheme="minorEastAsia" w:hint="eastAsia"/>
          <w:b/>
          <w:bCs/>
        </w:rPr>
        <w:t>十三、对基金份额持有人的服务</w:t>
      </w:r>
      <w:bookmarkStart w:id="1441" w:name="_Toc38186634"/>
      <w:bookmarkEnd w:id="1134"/>
    </w:p>
    <w:p w:rsidR="00C35BC5" w:rsidRPr="00565E0D" w:rsidRDefault="00C35BC5" w:rsidP="00552BE1">
      <w:pPr>
        <w:pStyle w:val="ad"/>
        <w:autoSpaceDE w:val="0"/>
        <w:autoSpaceDN w:val="0"/>
        <w:adjustRightInd w:val="0"/>
        <w:snapToGrid w:val="0"/>
        <w:spacing w:after="0"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基金管理人承诺为基金份额持有人提供一系列的服务。以下是主要的服务内容，基金管理人根据基金份额持有人的需要和市场的变化，有权增加、修改这些服务项目：</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442" w:name="_Toc38551271"/>
      <w:r w:rsidRPr="00565E0D">
        <w:rPr>
          <w:rFonts w:asciiTheme="minorEastAsia" w:eastAsiaTheme="minorEastAsia" w:hAnsiTheme="minorEastAsia" w:hint="eastAsia"/>
          <w:bCs/>
          <w:sz w:val="24"/>
          <w:szCs w:val="24"/>
        </w:rPr>
        <w:t>（一）基金份额持有人投资交易确认服务</w:t>
      </w:r>
      <w:bookmarkEnd w:id="1442"/>
    </w:p>
    <w:p w:rsidR="00C35BC5" w:rsidRPr="00565E0D" w:rsidRDefault="00C35BC5" w:rsidP="00552BE1">
      <w:pPr>
        <w:pStyle w:val="ad"/>
        <w:autoSpaceDE w:val="0"/>
        <w:autoSpaceDN w:val="0"/>
        <w:adjustRightInd w:val="0"/>
        <w:snapToGrid w:val="0"/>
        <w:spacing w:after="0"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注册登记机构保留基金份额持有人名册上列明的所有基金份额持有人的基金交易记录。</w:t>
      </w:r>
    </w:p>
    <w:p w:rsidR="00C35BC5" w:rsidRPr="00565E0D" w:rsidRDefault="00C35BC5" w:rsidP="00552BE1">
      <w:pPr>
        <w:pStyle w:val="ad"/>
        <w:autoSpaceDE w:val="0"/>
        <w:autoSpaceDN w:val="0"/>
        <w:adjustRightInd w:val="0"/>
        <w:snapToGrid w:val="0"/>
        <w:spacing w:after="0"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基金管理人直销</w:t>
      </w:r>
      <w:r w:rsidR="002564C2" w:rsidRPr="00565E0D">
        <w:rPr>
          <w:rFonts w:asciiTheme="minorEastAsia" w:eastAsiaTheme="minorEastAsia" w:hAnsiTheme="minorEastAsia" w:hint="eastAsia"/>
        </w:rPr>
        <w:t>网点</w:t>
      </w:r>
      <w:r w:rsidRPr="00565E0D">
        <w:rPr>
          <w:rFonts w:asciiTheme="minorEastAsia" w:eastAsiaTheme="minorEastAsia" w:hAnsiTheme="minorEastAsia" w:hint="eastAsia"/>
        </w:rPr>
        <w:t>应根据在基金管理人直销</w:t>
      </w:r>
      <w:r w:rsidR="002564C2" w:rsidRPr="00565E0D">
        <w:rPr>
          <w:rFonts w:asciiTheme="minorEastAsia" w:eastAsiaTheme="minorEastAsia" w:hAnsiTheme="minorEastAsia" w:hint="eastAsia"/>
        </w:rPr>
        <w:t>网点</w:t>
      </w:r>
      <w:r w:rsidRPr="00565E0D">
        <w:rPr>
          <w:rFonts w:asciiTheme="minorEastAsia" w:eastAsiaTheme="minorEastAsia" w:hAnsiTheme="minorEastAsia" w:hint="eastAsia"/>
        </w:rPr>
        <w:t>进行交易的投资者的要求</w:t>
      </w:r>
      <w:r w:rsidR="00254A49" w:rsidRPr="00565E0D">
        <w:rPr>
          <w:rFonts w:asciiTheme="minorEastAsia" w:eastAsiaTheme="minorEastAsia" w:hAnsiTheme="minorEastAsia" w:hint="eastAsia"/>
        </w:rPr>
        <w:t>提</w:t>
      </w:r>
      <w:r w:rsidR="005B730D" w:rsidRPr="00565E0D">
        <w:rPr>
          <w:rFonts w:asciiTheme="minorEastAsia" w:eastAsiaTheme="minorEastAsia" w:hAnsiTheme="minorEastAsia" w:hint="eastAsia"/>
        </w:rPr>
        <w:t>供</w:t>
      </w:r>
      <w:r w:rsidRPr="00565E0D">
        <w:rPr>
          <w:rFonts w:asciiTheme="minorEastAsia" w:eastAsiaTheme="minorEastAsia" w:hAnsiTheme="minorEastAsia" w:hint="eastAsia"/>
        </w:rPr>
        <w:t>成交确认单。</w:t>
      </w:r>
      <w:r w:rsidR="00C85C52" w:rsidRPr="00565E0D">
        <w:rPr>
          <w:rFonts w:asciiTheme="minorEastAsia" w:eastAsiaTheme="minorEastAsia" w:hAnsiTheme="minorEastAsia" w:hint="eastAsia"/>
        </w:rPr>
        <w:t>基金非直销销售机构应根据在销售网点进行交易的投资者的要求提供成交确认单。</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 w:val="0"/>
          <w:bCs/>
        </w:rPr>
      </w:pPr>
      <w:bookmarkStart w:id="1443" w:name="_Toc38551272"/>
      <w:r w:rsidRPr="00565E0D">
        <w:rPr>
          <w:rFonts w:asciiTheme="minorEastAsia" w:eastAsiaTheme="minorEastAsia" w:hAnsiTheme="minorEastAsia" w:hint="eastAsia"/>
          <w:bCs/>
          <w:sz w:val="24"/>
          <w:szCs w:val="24"/>
        </w:rPr>
        <w:t>（二）基金份额持有人交易记录查询服务</w:t>
      </w:r>
      <w:bookmarkEnd w:id="1443"/>
    </w:p>
    <w:p w:rsidR="00C35BC5" w:rsidRPr="00565E0D" w:rsidRDefault="00C35BC5" w:rsidP="00552BE1">
      <w:pPr>
        <w:autoSpaceDE w:val="0"/>
        <w:autoSpaceDN w:val="0"/>
        <w:adjustRightInd w:val="0"/>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本基金份额持有人可通过基金管理人的客户服务中心查询历史交易记录。</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Cs/>
          <w:sz w:val="24"/>
          <w:szCs w:val="24"/>
        </w:rPr>
      </w:pPr>
      <w:bookmarkStart w:id="1444" w:name="_Toc291611090"/>
      <w:bookmarkStart w:id="1445" w:name="_Toc38551273"/>
      <w:r w:rsidRPr="00565E0D">
        <w:rPr>
          <w:rFonts w:asciiTheme="minorEastAsia" w:eastAsiaTheme="minorEastAsia" w:hAnsiTheme="minorEastAsia" w:hint="eastAsia"/>
          <w:bCs/>
          <w:sz w:val="24"/>
          <w:szCs w:val="24"/>
        </w:rPr>
        <w:t>（三）基金份额持有人的对</w:t>
      </w:r>
      <w:r w:rsidR="00E62308" w:rsidRPr="00565E0D">
        <w:rPr>
          <w:rFonts w:asciiTheme="minorEastAsia" w:eastAsiaTheme="minorEastAsia" w:hAnsiTheme="minorEastAsia" w:hint="eastAsia"/>
          <w:bCs/>
          <w:sz w:val="24"/>
          <w:szCs w:val="24"/>
        </w:rPr>
        <w:t>账</w:t>
      </w:r>
      <w:r w:rsidRPr="00565E0D">
        <w:rPr>
          <w:rFonts w:asciiTheme="minorEastAsia" w:eastAsiaTheme="minorEastAsia" w:hAnsiTheme="minorEastAsia" w:hint="eastAsia"/>
          <w:bCs/>
          <w:sz w:val="24"/>
          <w:szCs w:val="24"/>
        </w:rPr>
        <w:t>单服务</w:t>
      </w:r>
      <w:bookmarkEnd w:id="1444"/>
      <w:bookmarkEnd w:id="1445"/>
    </w:p>
    <w:p w:rsidR="00C35BC5" w:rsidRPr="00565E0D" w:rsidRDefault="00C35BC5" w:rsidP="00552BE1">
      <w:pPr>
        <w:autoSpaceDE w:val="0"/>
        <w:autoSpaceDN w:val="0"/>
        <w:adjustRightInd w:val="0"/>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1</w:t>
      </w:r>
      <w:r w:rsidR="00016F1C" w:rsidRPr="00565E0D">
        <w:rPr>
          <w:rFonts w:asciiTheme="minorEastAsia" w:eastAsiaTheme="minorEastAsia" w:hAnsiTheme="minorEastAsia" w:hint="eastAsia"/>
        </w:rPr>
        <w:t>、</w:t>
      </w:r>
      <w:r w:rsidRPr="00565E0D">
        <w:rPr>
          <w:rFonts w:asciiTheme="minorEastAsia" w:eastAsiaTheme="minorEastAsia" w:hAnsiTheme="minorEastAsia" w:hint="eastAsia"/>
        </w:rPr>
        <w:t>基金份额持有人可登录本公司网站（</w:t>
      </w:r>
      <w:hyperlink r:id="rId18" w:history="1">
        <w:r w:rsidRPr="00565E0D">
          <w:rPr>
            <w:rFonts w:asciiTheme="minorEastAsia" w:eastAsiaTheme="minorEastAsia" w:hAnsiTheme="minorEastAsia" w:hint="eastAsia"/>
          </w:rPr>
          <w:t>http://www.efunds.com.cn</w:t>
        </w:r>
      </w:hyperlink>
      <w:r w:rsidRPr="00565E0D">
        <w:rPr>
          <w:rFonts w:asciiTheme="minorEastAsia" w:eastAsiaTheme="minorEastAsia" w:hAnsiTheme="minorEastAsia" w:hint="eastAsia"/>
        </w:rPr>
        <w:t>）查阅对账单。</w:t>
      </w:r>
    </w:p>
    <w:p w:rsidR="00C35BC5" w:rsidRPr="00565E0D" w:rsidRDefault="00C35BC5" w:rsidP="00552BE1">
      <w:pPr>
        <w:autoSpaceDE w:val="0"/>
        <w:autoSpaceDN w:val="0"/>
        <w:adjustRightInd w:val="0"/>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2</w:t>
      </w:r>
      <w:r w:rsidR="00016F1C" w:rsidRPr="00565E0D">
        <w:rPr>
          <w:rFonts w:asciiTheme="minorEastAsia" w:eastAsiaTheme="minorEastAsia" w:hAnsiTheme="minorEastAsia" w:hint="eastAsia"/>
        </w:rPr>
        <w:t>、</w:t>
      </w:r>
      <w:r w:rsidRPr="00565E0D">
        <w:rPr>
          <w:rFonts w:asciiTheme="minorEastAsia" w:eastAsiaTheme="minorEastAsia" w:hAnsiTheme="minorEastAsia" w:hint="eastAsia"/>
        </w:rPr>
        <w:t>基金份额持有人也可向本公司定制纸质、电子或短信形式的定期或不定期对账单。</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szCs w:val="21"/>
        </w:rPr>
        <w:t>具体查阅和定制账单的方法可参见本公司网站或拨打客服热线咨询。</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Cs/>
          <w:sz w:val="24"/>
          <w:szCs w:val="24"/>
        </w:rPr>
      </w:pPr>
      <w:bookmarkStart w:id="1446" w:name="_Toc38551274"/>
      <w:r w:rsidRPr="00565E0D">
        <w:rPr>
          <w:rFonts w:asciiTheme="minorEastAsia" w:eastAsiaTheme="minorEastAsia" w:hAnsiTheme="minorEastAsia" w:hint="eastAsia"/>
          <w:bCs/>
          <w:sz w:val="24"/>
          <w:szCs w:val="24"/>
        </w:rPr>
        <w:t>（</w:t>
      </w:r>
      <w:r w:rsidR="00254A49" w:rsidRPr="00565E0D">
        <w:rPr>
          <w:rFonts w:asciiTheme="minorEastAsia" w:eastAsiaTheme="minorEastAsia" w:hAnsiTheme="minorEastAsia" w:hint="eastAsia"/>
          <w:bCs/>
          <w:sz w:val="24"/>
          <w:szCs w:val="24"/>
        </w:rPr>
        <w:t>四</w:t>
      </w:r>
      <w:r w:rsidRPr="00565E0D">
        <w:rPr>
          <w:rFonts w:asciiTheme="minorEastAsia" w:eastAsiaTheme="minorEastAsia" w:hAnsiTheme="minorEastAsia" w:hint="eastAsia"/>
          <w:bCs/>
          <w:sz w:val="24"/>
          <w:szCs w:val="24"/>
        </w:rPr>
        <w:t>）定期定额投资计划</w:t>
      </w:r>
      <w:bookmarkEnd w:id="1446"/>
    </w:p>
    <w:p w:rsidR="002C2586" w:rsidRPr="00565E0D" w:rsidRDefault="002C2586" w:rsidP="00552BE1">
      <w:pPr>
        <w:pStyle w:val="ad"/>
        <w:autoSpaceDE w:val="0"/>
        <w:autoSpaceDN w:val="0"/>
        <w:adjustRightInd w:val="0"/>
        <w:snapToGrid w:val="0"/>
        <w:spacing w:after="0"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基金管理人可利用</w:t>
      </w:r>
      <w:r w:rsidR="00C85C52" w:rsidRPr="00565E0D">
        <w:rPr>
          <w:rFonts w:asciiTheme="minorEastAsia" w:eastAsiaTheme="minorEastAsia" w:hAnsiTheme="minorEastAsia" w:hint="eastAsia"/>
        </w:rPr>
        <w:t>非直销销售</w:t>
      </w:r>
      <w:r w:rsidRPr="00565E0D">
        <w:rPr>
          <w:rFonts w:asciiTheme="minorEastAsia" w:eastAsiaTheme="minorEastAsia" w:hAnsiTheme="minorEastAsia" w:hint="eastAsia"/>
        </w:rPr>
        <w:t>机构网点和本公司网上交易系统为投资者提供定期定额投资的服务（本公司网上交易系统的定期定额投资服务目前仅对个人投资者开通）。通过定期定额投资计划，投资者可以通过固定的渠道，定期定额申购基金份额，具体实施方法见</w:t>
      </w:r>
      <w:r w:rsidR="00254A49" w:rsidRPr="00565E0D">
        <w:rPr>
          <w:rFonts w:asciiTheme="minorEastAsia" w:eastAsiaTheme="minorEastAsia" w:hAnsiTheme="minorEastAsia" w:hint="eastAsia"/>
        </w:rPr>
        <w:t>相关</w:t>
      </w:r>
      <w:r w:rsidRPr="00565E0D">
        <w:rPr>
          <w:rFonts w:asciiTheme="minorEastAsia" w:eastAsiaTheme="minorEastAsia" w:hAnsiTheme="minorEastAsia" w:hint="eastAsia"/>
        </w:rPr>
        <w:t>公告。</w:t>
      </w:r>
    </w:p>
    <w:p w:rsidR="00C35BC5" w:rsidRPr="00565E0D" w:rsidRDefault="00C35BC5" w:rsidP="00B5132A">
      <w:pPr>
        <w:pStyle w:val="2"/>
        <w:snapToGrid w:val="0"/>
        <w:spacing w:beforeLines="0" w:afterLines="0" w:line="360" w:lineRule="auto"/>
        <w:ind w:firstLineChars="0" w:firstLine="0"/>
        <w:rPr>
          <w:rFonts w:asciiTheme="minorEastAsia" w:eastAsiaTheme="minorEastAsia" w:hAnsiTheme="minorEastAsia"/>
          <w:bCs/>
          <w:sz w:val="24"/>
          <w:szCs w:val="24"/>
        </w:rPr>
      </w:pPr>
      <w:bookmarkStart w:id="1447" w:name="_Toc38551275"/>
      <w:r w:rsidRPr="00565E0D">
        <w:rPr>
          <w:rFonts w:asciiTheme="minorEastAsia" w:eastAsiaTheme="minorEastAsia" w:hAnsiTheme="minorEastAsia" w:hint="eastAsia"/>
          <w:bCs/>
          <w:sz w:val="24"/>
          <w:szCs w:val="24"/>
        </w:rPr>
        <w:t>（</w:t>
      </w:r>
      <w:r w:rsidR="00254A49" w:rsidRPr="00565E0D">
        <w:rPr>
          <w:rFonts w:asciiTheme="minorEastAsia" w:eastAsiaTheme="minorEastAsia" w:hAnsiTheme="minorEastAsia" w:hint="eastAsia"/>
          <w:bCs/>
          <w:sz w:val="24"/>
          <w:szCs w:val="24"/>
        </w:rPr>
        <w:t>五</w:t>
      </w:r>
      <w:r w:rsidRPr="00565E0D">
        <w:rPr>
          <w:rFonts w:asciiTheme="minorEastAsia" w:eastAsiaTheme="minorEastAsia" w:hAnsiTheme="minorEastAsia" w:hint="eastAsia"/>
          <w:bCs/>
          <w:sz w:val="24"/>
          <w:szCs w:val="24"/>
        </w:rPr>
        <w:t>）资讯服务</w:t>
      </w:r>
      <w:bookmarkEnd w:id="1447"/>
    </w:p>
    <w:p w:rsidR="00C35BC5" w:rsidRPr="00565E0D" w:rsidRDefault="00C35BC5" w:rsidP="00552BE1">
      <w:pPr>
        <w:pStyle w:val="ad"/>
        <w:autoSpaceDE w:val="0"/>
        <w:autoSpaceDN w:val="0"/>
        <w:adjustRightInd w:val="0"/>
        <w:snapToGrid w:val="0"/>
        <w:spacing w:after="0"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1</w:t>
      </w:r>
      <w:r w:rsidR="00016F1C" w:rsidRPr="00565E0D">
        <w:rPr>
          <w:rFonts w:asciiTheme="minorEastAsia" w:eastAsiaTheme="minorEastAsia" w:hAnsiTheme="minorEastAsia" w:hint="eastAsia"/>
        </w:rPr>
        <w:t>、</w:t>
      </w:r>
      <w:r w:rsidRPr="00565E0D">
        <w:rPr>
          <w:rFonts w:asciiTheme="minorEastAsia" w:eastAsiaTheme="minorEastAsia" w:hAnsiTheme="minorEastAsia" w:hint="eastAsia"/>
        </w:rPr>
        <w:t>客户服务电话</w:t>
      </w:r>
    </w:p>
    <w:p w:rsidR="00C35BC5" w:rsidRPr="00565E0D" w:rsidRDefault="00C35BC5" w:rsidP="00552BE1">
      <w:pPr>
        <w:pStyle w:val="ad"/>
        <w:autoSpaceDE w:val="0"/>
        <w:autoSpaceDN w:val="0"/>
        <w:adjustRightInd w:val="0"/>
        <w:snapToGrid w:val="0"/>
        <w:spacing w:after="0"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投资者如果想了解申购与赎回的交易情况、基金账户余额、基金产品与服务等信息，</w:t>
      </w:r>
      <w:r w:rsidR="005B730D" w:rsidRPr="00565E0D">
        <w:rPr>
          <w:rFonts w:asciiTheme="minorEastAsia" w:eastAsiaTheme="minorEastAsia" w:hAnsiTheme="minorEastAsia" w:hint="eastAsia"/>
          <w:kern w:val="0"/>
        </w:rPr>
        <w:t>或反馈投资过程中需要投诉与建议的情况，</w:t>
      </w:r>
      <w:r w:rsidRPr="00565E0D">
        <w:rPr>
          <w:rFonts w:asciiTheme="minorEastAsia" w:eastAsiaTheme="minorEastAsia" w:hAnsiTheme="minorEastAsia" w:hint="eastAsia"/>
        </w:rPr>
        <w:t>可拨打如下电话：4008818088</w:t>
      </w:r>
      <w:r w:rsidRPr="00565E0D">
        <w:rPr>
          <w:rFonts w:asciiTheme="minorEastAsia" w:eastAsiaTheme="minorEastAsia" w:hAnsiTheme="minorEastAsia"/>
        </w:rPr>
        <w:t>（免长途话费）</w:t>
      </w:r>
      <w:r w:rsidRPr="00565E0D">
        <w:rPr>
          <w:rFonts w:asciiTheme="minorEastAsia" w:eastAsiaTheme="minorEastAsia" w:hAnsiTheme="minorEastAsia" w:hint="eastAsia"/>
        </w:rPr>
        <w:t>。</w:t>
      </w:r>
      <w:r w:rsidR="005B730D" w:rsidRPr="00565E0D">
        <w:rPr>
          <w:rFonts w:asciiTheme="minorEastAsia" w:eastAsiaTheme="minorEastAsia" w:hAnsiTheme="minorEastAsia" w:hint="eastAsia"/>
          <w:kern w:val="0"/>
          <w:szCs w:val="21"/>
        </w:rPr>
        <w:t>投资者如果认为自己不能准确理解本基金《招募说明书》、《基金合同》的具体内容，也可拨打上述电话详询。</w:t>
      </w:r>
    </w:p>
    <w:p w:rsidR="00C35BC5" w:rsidRPr="00565E0D" w:rsidRDefault="00C35BC5" w:rsidP="00552BE1">
      <w:pPr>
        <w:pStyle w:val="ad"/>
        <w:autoSpaceDE w:val="0"/>
        <w:autoSpaceDN w:val="0"/>
        <w:adjustRightInd w:val="0"/>
        <w:snapToGrid w:val="0"/>
        <w:spacing w:after="0"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2</w:t>
      </w:r>
      <w:r w:rsidR="00016F1C" w:rsidRPr="00565E0D">
        <w:rPr>
          <w:rFonts w:asciiTheme="minorEastAsia" w:eastAsiaTheme="minorEastAsia" w:hAnsiTheme="minorEastAsia" w:hint="eastAsia"/>
        </w:rPr>
        <w:t>、</w:t>
      </w:r>
      <w:r w:rsidRPr="00565E0D">
        <w:rPr>
          <w:rFonts w:asciiTheme="minorEastAsia" w:eastAsiaTheme="minorEastAsia" w:hAnsiTheme="minorEastAsia" w:hint="eastAsia"/>
        </w:rPr>
        <w:t>互联网站及电子信箱</w:t>
      </w:r>
    </w:p>
    <w:p w:rsidR="00C35BC5" w:rsidRPr="00565E0D" w:rsidRDefault="00C35BC5" w:rsidP="00552BE1">
      <w:pPr>
        <w:pStyle w:val="ad"/>
        <w:autoSpaceDE w:val="0"/>
        <w:autoSpaceDN w:val="0"/>
        <w:adjustRightInd w:val="0"/>
        <w:snapToGrid w:val="0"/>
        <w:spacing w:after="0"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网址：</w:t>
      </w:r>
      <w:hyperlink r:id="rId19" w:history="1">
        <w:r w:rsidRPr="00565E0D">
          <w:rPr>
            <w:rFonts w:asciiTheme="minorEastAsia" w:eastAsiaTheme="minorEastAsia" w:hAnsiTheme="minorEastAsia" w:hint="eastAsia"/>
          </w:rPr>
          <w:t>http://www.efunds.com.cn</w:t>
        </w:r>
      </w:hyperlink>
    </w:p>
    <w:p w:rsidR="00C35BC5" w:rsidRPr="00565E0D" w:rsidRDefault="00C35BC5" w:rsidP="00552BE1">
      <w:pPr>
        <w:pStyle w:val="ad"/>
        <w:autoSpaceDE w:val="0"/>
        <w:autoSpaceDN w:val="0"/>
        <w:adjustRightInd w:val="0"/>
        <w:snapToGrid w:val="0"/>
        <w:spacing w:after="0" w:line="360" w:lineRule="auto"/>
        <w:ind w:firstLineChars="200"/>
        <w:rPr>
          <w:rFonts w:asciiTheme="minorEastAsia" w:eastAsiaTheme="minorEastAsia" w:hAnsiTheme="minorEastAsia"/>
        </w:rPr>
      </w:pPr>
      <w:r w:rsidRPr="00565E0D">
        <w:rPr>
          <w:rFonts w:asciiTheme="minorEastAsia" w:eastAsiaTheme="minorEastAsia" w:hAnsiTheme="minorEastAsia" w:hint="eastAsia"/>
        </w:rPr>
        <w:t>电子信箱：</w:t>
      </w:r>
      <w:hyperlink r:id="rId20" w:history="1">
        <w:r w:rsidRPr="00565E0D">
          <w:rPr>
            <w:rFonts w:asciiTheme="minorEastAsia" w:eastAsiaTheme="minorEastAsia" w:hAnsiTheme="minorEastAsia" w:hint="eastAsia"/>
          </w:rPr>
          <w:t>service@efunds.com.cn</w:t>
        </w:r>
      </w:hyperlink>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sectPr w:rsidR="00C35BC5" w:rsidRPr="00565E0D" w:rsidSect="002A0168">
          <w:pgSz w:w="11906" w:h="16838" w:code="9"/>
          <w:pgMar w:top="1440" w:right="1800" w:bottom="1440" w:left="1800" w:header="851" w:footer="992" w:gutter="0"/>
          <w:cols w:space="425"/>
          <w:docGrid w:type="lines" w:linePitch="312"/>
        </w:sectPr>
      </w:pPr>
      <w:bookmarkStart w:id="1448" w:name="_Toc38438275"/>
      <w:bookmarkStart w:id="1449" w:name="_Toc38438612"/>
      <w:bookmarkStart w:id="1450" w:name="_Toc38438949"/>
      <w:bookmarkStart w:id="1451" w:name="_Toc38439286"/>
      <w:bookmarkStart w:id="1452" w:name="_Toc38439623"/>
      <w:bookmarkStart w:id="1453" w:name="_Toc38439960"/>
      <w:bookmarkStart w:id="1454" w:name="_Toc38440297"/>
      <w:bookmarkStart w:id="1455" w:name="_Toc38440630"/>
      <w:bookmarkStart w:id="1456" w:name="_Toc38440829"/>
      <w:bookmarkStart w:id="1457" w:name="_Toc38441161"/>
      <w:bookmarkStart w:id="1458" w:name="_Toc38441493"/>
      <w:bookmarkStart w:id="1459" w:name="_Toc38441821"/>
      <w:bookmarkStart w:id="1460" w:name="_Toc38442153"/>
      <w:bookmarkStart w:id="1461" w:name="_Toc38442485"/>
      <w:bookmarkStart w:id="1462" w:name="_Toc38442816"/>
      <w:bookmarkStart w:id="1463" w:name="_Toc38443147"/>
      <w:bookmarkStart w:id="1464" w:name="_Toc38443478"/>
      <w:bookmarkStart w:id="1465" w:name="_Toc38443809"/>
      <w:bookmarkStart w:id="1466" w:name="_Toc38438277"/>
      <w:bookmarkStart w:id="1467" w:name="_Toc38438614"/>
      <w:bookmarkStart w:id="1468" w:name="_Toc38438951"/>
      <w:bookmarkStart w:id="1469" w:name="_Toc38439288"/>
      <w:bookmarkStart w:id="1470" w:name="_Toc38439625"/>
      <w:bookmarkStart w:id="1471" w:name="_Toc38439962"/>
      <w:bookmarkStart w:id="1472" w:name="_Toc38440299"/>
      <w:bookmarkStart w:id="1473" w:name="_Toc38440632"/>
      <w:bookmarkStart w:id="1474" w:name="_Toc38440831"/>
      <w:bookmarkStart w:id="1475" w:name="_Toc38441163"/>
      <w:bookmarkStart w:id="1476" w:name="_Toc38441495"/>
      <w:bookmarkStart w:id="1477" w:name="_Toc38441823"/>
      <w:bookmarkStart w:id="1478" w:name="_Toc38442155"/>
      <w:bookmarkStart w:id="1479" w:name="_Toc38442487"/>
      <w:bookmarkStart w:id="1480" w:name="_Toc38442818"/>
      <w:bookmarkStart w:id="1481" w:name="_Toc38443149"/>
      <w:bookmarkStart w:id="1482" w:name="_Toc38443480"/>
      <w:bookmarkStart w:id="1483" w:name="_Toc38443811"/>
      <w:bookmarkStart w:id="1484" w:name="_Toc38438278"/>
      <w:bookmarkStart w:id="1485" w:name="_Toc38438615"/>
      <w:bookmarkStart w:id="1486" w:name="_Toc38438952"/>
      <w:bookmarkStart w:id="1487" w:name="_Toc38439289"/>
      <w:bookmarkStart w:id="1488" w:name="_Toc38439626"/>
      <w:bookmarkStart w:id="1489" w:name="_Toc38439963"/>
      <w:bookmarkStart w:id="1490" w:name="_Toc38440300"/>
      <w:bookmarkStart w:id="1491" w:name="_Toc38440633"/>
      <w:bookmarkStart w:id="1492" w:name="_Toc38440832"/>
      <w:bookmarkStart w:id="1493" w:name="_Toc38441164"/>
      <w:bookmarkStart w:id="1494" w:name="_Toc38441496"/>
      <w:bookmarkStart w:id="1495" w:name="_Toc38441824"/>
      <w:bookmarkStart w:id="1496" w:name="_Toc38442156"/>
      <w:bookmarkStart w:id="1497" w:name="_Toc38442488"/>
      <w:bookmarkStart w:id="1498" w:name="_Toc38442819"/>
      <w:bookmarkStart w:id="1499" w:name="_Toc38443150"/>
      <w:bookmarkStart w:id="1500" w:name="_Toc38443481"/>
      <w:bookmarkStart w:id="1501" w:name="_Toc38443812"/>
      <w:bookmarkStart w:id="1502" w:name="_Toc38438279"/>
      <w:bookmarkStart w:id="1503" w:name="_Toc38438616"/>
      <w:bookmarkStart w:id="1504" w:name="_Toc38438953"/>
      <w:bookmarkStart w:id="1505" w:name="_Toc38439290"/>
      <w:bookmarkStart w:id="1506" w:name="_Toc38439627"/>
      <w:bookmarkStart w:id="1507" w:name="_Toc38439964"/>
      <w:bookmarkStart w:id="1508" w:name="_Toc38440301"/>
      <w:bookmarkStart w:id="1509" w:name="_Toc38440634"/>
      <w:bookmarkStart w:id="1510" w:name="_Toc38440833"/>
      <w:bookmarkStart w:id="1511" w:name="_Toc38441165"/>
      <w:bookmarkStart w:id="1512" w:name="_Toc38441497"/>
      <w:bookmarkStart w:id="1513" w:name="_Toc38441825"/>
      <w:bookmarkStart w:id="1514" w:name="_Toc38442157"/>
      <w:bookmarkStart w:id="1515" w:name="_Toc38442489"/>
      <w:bookmarkStart w:id="1516" w:name="_Toc38442820"/>
      <w:bookmarkStart w:id="1517" w:name="_Toc38443151"/>
      <w:bookmarkStart w:id="1518" w:name="_Toc38443482"/>
      <w:bookmarkStart w:id="1519" w:name="_Toc38443813"/>
      <w:bookmarkStart w:id="1520" w:name="_Toc38438280"/>
      <w:bookmarkStart w:id="1521" w:name="_Toc38438617"/>
      <w:bookmarkStart w:id="1522" w:name="_Toc38438954"/>
      <w:bookmarkStart w:id="1523" w:name="_Toc38439291"/>
      <w:bookmarkStart w:id="1524" w:name="_Toc38439628"/>
      <w:bookmarkStart w:id="1525" w:name="_Toc38439965"/>
      <w:bookmarkStart w:id="1526" w:name="_Toc38440302"/>
      <w:bookmarkStart w:id="1527" w:name="_Toc38440635"/>
      <w:bookmarkStart w:id="1528" w:name="_Toc38440834"/>
      <w:bookmarkStart w:id="1529" w:name="_Toc38441166"/>
      <w:bookmarkStart w:id="1530" w:name="_Toc38441498"/>
      <w:bookmarkStart w:id="1531" w:name="_Toc38441826"/>
      <w:bookmarkStart w:id="1532" w:name="_Toc38442158"/>
      <w:bookmarkStart w:id="1533" w:name="_Toc38442490"/>
      <w:bookmarkStart w:id="1534" w:name="_Toc38442821"/>
      <w:bookmarkStart w:id="1535" w:name="_Toc38443152"/>
      <w:bookmarkStart w:id="1536" w:name="_Toc38443483"/>
      <w:bookmarkStart w:id="1537" w:name="_Toc38443814"/>
      <w:bookmarkStart w:id="1538" w:name="_Toc38438281"/>
      <w:bookmarkStart w:id="1539" w:name="_Toc38438618"/>
      <w:bookmarkStart w:id="1540" w:name="_Toc38438955"/>
      <w:bookmarkStart w:id="1541" w:name="_Toc38439292"/>
      <w:bookmarkStart w:id="1542" w:name="_Toc38439629"/>
      <w:bookmarkStart w:id="1543" w:name="_Toc38439966"/>
      <w:bookmarkStart w:id="1544" w:name="_Toc38440303"/>
      <w:bookmarkStart w:id="1545" w:name="_Toc38440636"/>
      <w:bookmarkStart w:id="1546" w:name="_Toc38440835"/>
      <w:bookmarkStart w:id="1547" w:name="_Toc38441167"/>
      <w:bookmarkStart w:id="1548" w:name="_Toc38441499"/>
      <w:bookmarkStart w:id="1549" w:name="_Toc38441827"/>
      <w:bookmarkStart w:id="1550" w:name="_Toc38442159"/>
      <w:bookmarkStart w:id="1551" w:name="_Toc38442491"/>
      <w:bookmarkStart w:id="1552" w:name="_Toc38442822"/>
      <w:bookmarkStart w:id="1553" w:name="_Toc38443153"/>
      <w:bookmarkStart w:id="1554" w:name="_Toc38443484"/>
      <w:bookmarkStart w:id="1555" w:name="_Toc38443815"/>
      <w:bookmarkStart w:id="1556" w:name="_Toc38438282"/>
      <w:bookmarkStart w:id="1557" w:name="_Toc38438619"/>
      <w:bookmarkStart w:id="1558" w:name="_Toc38438956"/>
      <w:bookmarkStart w:id="1559" w:name="_Toc38439293"/>
      <w:bookmarkStart w:id="1560" w:name="_Toc38439630"/>
      <w:bookmarkStart w:id="1561" w:name="_Toc38439967"/>
      <w:bookmarkStart w:id="1562" w:name="_Toc38440304"/>
      <w:bookmarkStart w:id="1563" w:name="_Toc38440637"/>
      <w:bookmarkStart w:id="1564" w:name="_Toc38440836"/>
      <w:bookmarkStart w:id="1565" w:name="_Toc38441168"/>
      <w:bookmarkStart w:id="1566" w:name="_Toc38441500"/>
      <w:bookmarkStart w:id="1567" w:name="_Toc38441828"/>
      <w:bookmarkStart w:id="1568" w:name="_Toc38442160"/>
      <w:bookmarkStart w:id="1569" w:name="_Toc38442492"/>
      <w:bookmarkStart w:id="1570" w:name="_Toc38442823"/>
      <w:bookmarkStart w:id="1571" w:name="_Toc38443154"/>
      <w:bookmarkStart w:id="1572" w:name="_Toc38443485"/>
      <w:bookmarkStart w:id="1573" w:name="_Toc38443816"/>
      <w:bookmarkStart w:id="1574" w:name="_Toc38438283"/>
      <w:bookmarkStart w:id="1575" w:name="_Toc38438620"/>
      <w:bookmarkStart w:id="1576" w:name="_Toc38438957"/>
      <w:bookmarkStart w:id="1577" w:name="_Toc38439294"/>
      <w:bookmarkStart w:id="1578" w:name="_Toc38439631"/>
      <w:bookmarkStart w:id="1579" w:name="_Toc38439968"/>
      <w:bookmarkStart w:id="1580" w:name="_Toc38440305"/>
      <w:bookmarkStart w:id="1581" w:name="_Toc38440638"/>
      <w:bookmarkStart w:id="1582" w:name="_Toc38440837"/>
      <w:bookmarkStart w:id="1583" w:name="_Toc38441169"/>
      <w:bookmarkStart w:id="1584" w:name="_Toc38441501"/>
      <w:bookmarkStart w:id="1585" w:name="_Toc38441829"/>
      <w:bookmarkStart w:id="1586" w:name="_Toc38442161"/>
      <w:bookmarkStart w:id="1587" w:name="_Toc38442493"/>
      <w:bookmarkStart w:id="1588" w:name="_Toc38442824"/>
      <w:bookmarkStart w:id="1589" w:name="_Toc38443155"/>
      <w:bookmarkStart w:id="1590" w:name="_Toc38443486"/>
      <w:bookmarkStart w:id="1591" w:name="_Toc38443817"/>
      <w:bookmarkStart w:id="1592" w:name="_Toc38438284"/>
      <w:bookmarkStart w:id="1593" w:name="_Toc38438621"/>
      <w:bookmarkStart w:id="1594" w:name="_Toc38438958"/>
      <w:bookmarkStart w:id="1595" w:name="_Toc38439295"/>
      <w:bookmarkStart w:id="1596" w:name="_Toc38439632"/>
      <w:bookmarkStart w:id="1597" w:name="_Toc38439969"/>
      <w:bookmarkStart w:id="1598" w:name="_Toc38440306"/>
      <w:bookmarkStart w:id="1599" w:name="_Toc38440639"/>
      <w:bookmarkStart w:id="1600" w:name="_Toc38440838"/>
      <w:bookmarkStart w:id="1601" w:name="_Toc38441170"/>
      <w:bookmarkStart w:id="1602" w:name="_Toc38441502"/>
      <w:bookmarkStart w:id="1603" w:name="_Toc38441830"/>
      <w:bookmarkStart w:id="1604" w:name="_Toc38442162"/>
      <w:bookmarkStart w:id="1605" w:name="_Toc38442494"/>
      <w:bookmarkStart w:id="1606" w:name="_Toc38442825"/>
      <w:bookmarkStart w:id="1607" w:name="_Toc38443156"/>
      <w:bookmarkStart w:id="1608" w:name="_Toc38443487"/>
      <w:bookmarkStart w:id="1609" w:name="_Toc38443818"/>
      <w:bookmarkStart w:id="1610" w:name="_Toc38438285"/>
      <w:bookmarkStart w:id="1611" w:name="_Toc38438622"/>
      <w:bookmarkStart w:id="1612" w:name="_Toc38438959"/>
      <w:bookmarkStart w:id="1613" w:name="_Toc38439296"/>
      <w:bookmarkStart w:id="1614" w:name="_Toc38439633"/>
      <w:bookmarkStart w:id="1615" w:name="_Toc38439970"/>
      <w:bookmarkStart w:id="1616" w:name="_Toc38440307"/>
      <w:bookmarkStart w:id="1617" w:name="_Toc38440640"/>
      <w:bookmarkStart w:id="1618" w:name="_Toc38440839"/>
      <w:bookmarkStart w:id="1619" w:name="_Toc38441171"/>
      <w:bookmarkStart w:id="1620" w:name="_Toc38441503"/>
      <w:bookmarkStart w:id="1621" w:name="_Toc38441831"/>
      <w:bookmarkStart w:id="1622" w:name="_Toc38442163"/>
      <w:bookmarkStart w:id="1623" w:name="_Toc38442495"/>
      <w:bookmarkStart w:id="1624" w:name="_Toc38442826"/>
      <w:bookmarkStart w:id="1625" w:name="_Toc38443157"/>
      <w:bookmarkStart w:id="1626" w:name="_Toc38443488"/>
      <w:bookmarkStart w:id="1627" w:name="_Toc38443819"/>
      <w:bookmarkStart w:id="1628" w:name="_Toc38438286"/>
      <w:bookmarkStart w:id="1629" w:name="_Toc38438623"/>
      <w:bookmarkStart w:id="1630" w:name="_Toc38438960"/>
      <w:bookmarkStart w:id="1631" w:name="_Toc38439297"/>
      <w:bookmarkStart w:id="1632" w:name="_Toc38439634"/>
      <w:bookmarkStart w:id="1633" w:name="_Toc38439971"/>
      <w:bookmarkStart w:id="1634" w:name="_Toc38440308"/>
      <w:bookmarkStart w:id="1635" w:name="_Toc38440641"/>
      <w:bookmarkStart w:id="1636" w:name="_Toc38440840"/>
      <w:bookmarkStart w:id="1637" w:name="_Toc38441172"/>
      <w:bookmarkStart w:id="1638" w:name="_Toc38441504"/>
      <w:bookmarkStart w:id="1639" w:name="_Toc38441832"/>
      <w:bookmarkStart w:id="1640" w:name="_Toc38442164"/>
      <w:bookmarkStart w:id="1641" w:name="_Toc38442496"/>
      <w:bookmarkStart w:id="1642" w:name="_Toc38442827"/>
      <w:bookmarkStart w:id="1643" w:name="_Toc38443158"/>
      <w:bookmarkStart w:id="1644" w:name="_Toc38443489"/>
      <w:bookmarkStart w:id="1645" w:name="_Toc38443820"/>
      <w:bookmarkStart w:id="1646" w:name="_Toc38438287"/>
      <w:bookmarkStart w:id="1647" w:name="_Toc38438624"/>
      <w:bookmarkStart w:id="1648" w:name="_Toc38438961"/>
      <w:bookmarkStart w:id="1649" w:name="_Toc38439298"/>
      <w:bookmarkStart w:id="1650" w:name="_Toc38439635"/>
      <w:bookmarkStart w:id="1651" w:name="_Toc38439972"/>
      <w:bookmarkStart w:id="1652" w:name="_Toc38440309"/>
      <w:bookmarkStart w:id="1653" w:name="_Toc38440642"/>
      <w:bookmarkStart w:id="1654" w:name="_Toc38440841"/>
      <w:bookmarkStart w:id="1655" w:name="_Toc38441173"/>
      <w:bookmarkStart w:id="1656" w:name="_Toc38441505"/>
      <w:bookmarkStart w:id="1657" w:name="_Toc38441833"/>
      <w:bookmarkStart w:id="1658" w:name="_Toc38442165"/>
      <w:bookmarkStart w:id="1659" w:name="_Toc38442497"/>
      <w:bookmarkStart w:id="1660" w:name="_Toc38442828"/>
      <w:bookmarkStart w:id="1661" w:name="_Toc38443159"/>
      <w:bookmarkStart w:id="1662" w:name="_Toc38443490"/>
      <w:bookmarkStart w:id="1663" w:name="_Toc38443821"/>
      <w:bookmarkStart w:id="1664" w:name="_Toc38438288"/>
      <w:bookmarkStart w:id="1665" w:name="_Toc38438625"/>
      <w:bookmarkStart w:id="1666" w:name="_Toc38438962"/>
      <w:bookmarkStart w:id="1667" w:name="_Toc38439299"/>
      <w:bookmarkStart w:id="1668" w:name="_Toc38439636"/>
      <w:bookmarkStart w:id="1669" w:name="_Toc38439973"/>
      <w:bookmarkStart w:id="1670" w:name="_Toc38440310"/>
      <w:bookmarkStart w:id="1671" w:name="_Toc38440643"/>
      <w:bookmarkStart w:id="1672" w:name="_Toc38440842"/>
      <w:bookmarkStart w:id="1673" w:name="_Toc38441174"/>
      <w:bookmarkStart w:id="1674" w:name="_Toc38441506"/>
      <w:bookmarkStart w:id="1675" w:name="_Toc38441834"/>
      <w:bookmarkStart w:id="1676" w:name="_Toc38442166"/>
      <w:bookmarkStart w:id="1677" w:name="_Toc38442498"/>
      <w:bookmarkStart w:id="1678" w:name="_Toc38442829"/>
      <w:bookmarkStart w:id="1679" w:name="_Toc38443160"/>
      <w:bookmarkStart w:id="1680" w:name="_Toc38443491"/>
      <w:bookmarkStart w:id="1681" w:name="_Toc38443822"/>
      <w:bookmarkStart w:id="1682" w:name="_Toc38438289"/>
      <w:bookmarkStart w:id="1683" w:name="_Toc38438626"/>
      <w:bookmarkStart w:id="1684" w:name="_Toc38438963"/>
      <w:bookmarkStart w:id="1685" w:name="_Toc38439300"/>
      <w:bookmarkStart w:id="1686" w:name="_Toc38439637"/>
      <w:bookmarkStart w:id="1687" w:name="_Toc38439974"/>
      <w:bookmarkStart w:id="1688" w:name="_Toc38440311"/>
      <w:bookmarkStart w:id="1689" w:name="_Toc38440644"/>
      <w:bookmarkStart w:id="1690" w:name="_Toc38440843"/>
      <w:bookmarkStart w:id="1691" w:name="_Toc38441175"/>
      <w:bookmarkStart w:id="1692" w:name="_Toc38441507"/>
      <w:bookmarkStart w:id="1693" w:name="_Toc38441835"/>
      <w:bookmarkStart w:id="1694" w:name="_Toc38442167"/>
      <w:bookmarkStart w:id="1695" w:name="_Toc38442499"/>
      <w:bookmarkStart w:id="1696" w:name="_Toc38442830"/>
      <w:bookmarkStart w:id="1697" w:name="_Toc38443161"/>
      <w:bookmarkStart w:id="1698" w:name="_Toc38443492"/>
      <w:bookmarkStart w:id="1699" w:name="_Toc38443823"/>
      <w:bookmarkStart w:id="1700" w:name="_Toc38438290"/>
      <w:bookmarkStart w:id="1701" w:name="_Toc38438627"/>
      <w:bookmarkStart w:id="1702" w:name="_Toc38438964"/>
      <w:bookmarkStart w:id="1703" w:name="_Toc38439301"/>
      <w:bookmarkStart w:id="1704" w:name="_Toc38439638"/>
      <w:bookmarkStart w:id="1705" w:name="_Toc38439975"/>
      <w:bookmarkStart w:id="1706" w:name="_Toc38440312"/>
      <w:bookmarkStart w:id="1707" w:name="_Toc38440645"/>
      <w:bookmarkStart w:id="1708" w:name="_Toc38440844"/>
      <w:bookmarkStart w:id="1709" w:name="_Toc38441176"/>
      <w:bookmarkStart w:id="1710" w:name="_Toc38441508"/>
      <w:bookmarkStart w:id="1711" w:name="_Toc38441836"/>
      <w:bookmarkStart w:id="1712" w:name="_Toc38442168"/>
      <w:bookmarkStart w:id="1713" w:name="_Toc38442500"/>
      <w:bookmarkStart w:id="1714" w:name="_Toc38442831"/>
      <w:bookmarkStart w:id="1715" w:name="_Toc38443162"/>
      <w:bookmarkStart w:id="1716" w:name="_Toc38443493"/>
      <w:bookmarkStart w:id="1717" w:name="_Toc38443824"/>
      <w:bookmarkStart w:id="1718" w:name="_Toc38438291"/>
      <w:bookmarkStart w:id="1719" w:name="_Toc38438628"/>
      <w:bookmarkStart w:id="1720" w:name="_Toc38438965"/>
      <w:bookmarkStart w:id="1721" w:name="_Toc38439302"/>
      <w:bookmarkStart w:id="1722" w:name="_Toc38439639"/>
      <w:bookmarkStart w:id="1723" w:name="_Toc38439976"/>
      <w:bookmarkStart w:id="1724" w:name="_Toc38440313"/>
      <w:bookmarkStart w:id="1725" w:name="_Toc38440646"/>
      <w:bookmarkStart w:id="1726" w:name="_Toc38440845"/>
      <w:bookmarkStart w:id="1727" w:name="_Toc38441177"/>
      <w:bookmarkStart w:id="1728" w:name="_Toc38441509"/>
      <w:bookmarkStart w:id="1729" w:name="_Toc38441837"/>
      <w:bookmarkStart w:id="1730" w:name="_Toc38442169"/>
      <w:bookmarkStart w:id="1731" w:name="_Toc38442501"/>
      <w:bookmarkStart w:id="1732" w:name="_Toc38442832"/>
      <w:bookmarkStart w:id="1733" w:name="_Toc38443163"/>
      <w:bookmarkStart w:id="1734" w:name="_Toc38443494"/>
      <w:bookmarkStart w:id="1735" w:name="_Toc38443825"/>
      <w:bookmarkStart w:id="1736" w:name="_Toc38438292"/>
      <w:bookmarkStart w:id="1737" w:name="_Toc38438629"/>
      <w:bookmarkStart w:id="1738" w:name="_Toc38438966"/>
      <w:bookmarkStart w:id="1739" w:name="_Toc38439303"/>
      <w:bookmarkStart w:id="1740" w:name="_Toc38439640"/>
      <w:bookmarkStart w:id="1741" w:name="_Toc38439977"/>
      <w:bookmarkStart w:id="1742" w:name="_Toc38440314"/>
      <w:bookmarkStart w:id="1743" w:name="_Toc38440647"/>
      <w:bookmarkStart w:id="1744" w:name="_Toc38440846"/>
      <w:bookmarkStart w:id="1745" w:name="_Toc38441178"/>
      <w:bookmarkStart w:id="1746" w:name="_Toc38441510"/>
      <w:bookmarkStart w:id="1747" w:name="_Toc38441838"/>
      <w:bookmarkStart w:id="1748" w:name="_Toc38442170"/>
      <w:bookmarkStart w:id="1749" w:name="_Toc38442502"/>
      <w:bookmarkStart w:id="1750" w:name="_Toc38442833"/>
      <w:bookmarkStart w:id="1751" w:name="_Toc38443164"/>
      <w:bookmarkStart w:id="1752" w:name="_Toc38443495"/>
      <w:bookmarkStart w:id="1753" w:name="_Toc38443826"/>
      <w:bookmarkStart w:id="1754" w:name="_Toc38438293"/>
      <w:bookmarkStart w:id="1755" w:name="_Toc38438630"/>
      <w:bookmarkStart w:id="1756" w:name="_Toc38438967"/>
      <w:bookmarkStart w:id="1757" w:name="_Toc38439304"/>
      <w:bookmarkStart w:id="1758" w:name="_Toc38439641"/>
      <w:bookmarkStart w:id="1759" w:name="_Toc38439978"/>
      <w:bookmarkStart w:id="1760" w:name="_Toc38440315"/>
      <w:bookmarkStart w:id="1761" w:name="_Toc38440648"/>
      <w:bookmarkStart w:id="1762" w:name="_Toc38440847"/>
      <w:bookmarkStart w:id="1763" w:name="_Toc38441179"/>
      <w:bookmarkStart w:id="1764" w:name="_Toc38441511"/>
      <w:bookmarkStart w:id="1765" w:name="_Toc38441839"/>
      <w:bookmarkStart w:id="1766" w:name="_Toc38442171"/>
      <w:bookmarkStart w:id="1767" w:name="_Toc38442503"/>
      <w:bookmarkStart w:id="1768" w:name="_Toc38442834"/>
      <w:bookmarkStart w:id="1769" w:name="_Toc38443165"/>
      <w:bookmarkStart w:id="1770" w:name="_Toc38443496"/>
      <w:bookmarkStart w:id="1771" w:name="_Toc38443827"/>
      <w:bookmarkStart w:id="1772" w:name="_Toc38438296"/>
      <w:bookmarkStart w:id="1773" w:name="_Toc38438633"/>
      <w:bookmarkStart w:id="1774" w:name="_Toc38438970"/>
      <w:bookmarkStart w:id="1775" w:name="_Toc38439307"/>
      <w:bookmarkStart w:id="1776" w:name="_Toc38439644"/>
      <w:bookmarkStart w:id="1777" w:name="_Toc38439981"/>
      <w:bookmarkStart w:id="1778" w:name="_Toc38440318"/>
      <w:bookmarkStart w:id="1779" w:name="_Toc38440651"/>
      <w:bookmarkStart w:id="1780" w:name="_Toc38440850"/>
      <w:bookmarkStart w:id="1781" w:name="_Toc38441182"/>
      <w:bookmarkStart w:id="1782" w:name="_Toc38441514"/>
      <w:bookmarkStart w:id="1783" w:name="_Toc38441842"/>
      <w:bookmarkStart w:id="1784" w:name="_Toc38442174"/>
      <w:bookmarkStart w:id="1785" w:name="_Toc38442506"/>
      <w:bookmarkStart w:id="1786" w:name="_Toc38442837"/>
      <w:bookmarkStart w:id="1787" w:name="_Toc38443168"/>
      <w:bookmarkStart w:id="1788" w:name="_Toc38443499"/>
      <w:bookmarkStart w:id="1789" w:name="_Toc38443830"/>
      <w:bookmarkStart w:id="1790" w:name="_Toc38438297"/>
      <w:bookmarkStart w:id="1791" w:name="_Toc38438634"/>
      <w:bookmarkStart w:id="1792" w:name="_Toc38438971"/>
      <w:bookmarkStart w:id="1793" w:name="_Toc38439308"/>
      <w:bookmarkStart w:id="1794" w:name="_Toc38439645"/>
      <w:bookmarkStart w:id="1795" w:name="_Toc38439982"/>
      <w:bookmarkStart w:id="1796" w:name="_Toc38440319"/>
      <w:bookmarkStart w:id="1797" w:name="_Toc38440652"/>
      <w:bookmarkStart w:id="1798" w:name="_Toc38440851"/>
      <w:bookmarkStart w:id="1799" w:name="_Toc38441183"/>
      <w:bookmarkStart w:id="1800" w:name="_Toc38441515"/>
      <w:bookmarkStart w:id="1801" w:name="_Toc38441843"/>
      <w:bookmarkStart w:id="1802" w:name="_Toc38442175"/>
      <w:bookmarkStart w:id="1803" w:name="_Toc38442507"/>
      <w:bookmarkStart w:id="1804" w:name="_Toc38442838"/>
      <w:bookmarkStart w:id="1805" w:name="_Toc38443169"/>
      <w:bookmarkStart w:id="1806" w:name="_Toc38443500"/>
      <w:bookmarkStart w:id="1807" w:name="_Toc38443831"/>
      <w:bookmarkStart w:id="1808" w:name="_Toc38438298"/>
      <w:bookmarkStart w:id="1809" w:name="_Toc38438635"/>
      <w:bookmarkStart w:id="1810" w:name="_Toc38438972"/>
      <w:bookmarkStart w:id="1811" w:name="_Toc38439309"/>
      <w:bookmarkStart w:id="1812" w:name="_Toc38439646"/>
      <w:bookmarkStart w:id="1813" w:name="_Toc38439983"/>
      <w:bookmarkStart w:id="1814" w:name="_Toc38440320"/>
      <w:bookmarkStart w:id="1815" w:name="_Toc38440653"/>
      <w:bookmarkStart w:id="1816" w:name="_Toc38440852"/>
      <w:bookmarkStart w:id="1817" w:name="_Toc38441184"/>
      <w:bookmarkStart w:id="1818" w:name="_Toc38441516"/>
      <w:bookmarkStart w:id="1819" w:name="_Toc38441844"/>
      <w:bookmarkStart w:id="1820" w:name="_Toc38442176"/>
      <w:bookmarkStart w:id="1821" w:name="_Toc38442508"/>
      <w:bookmarkStart w:id="1822" w:name="_Toc38442839"/>
      <w:bookmarkStart w:id="1823" w:name="_Toc38443170"/>
      <w:bookmarkStart w:id="1824" w:name="_Toc38443501"/>
      <w:bookmarkStart w:id="1825" w:name="_Toc38443832"/>
      <w:bookmarkStart w:id="1826" w:name="_Toc38438299"/>
      <w:bookmarkStart w:id="1827" w:name="_Toc38438636"/>
      <w:bookmarkStart w:id="1828" w:name="_Toc38438973"/>
      <w:bookmarkStart w:id="1829" w:name="_Toc38439310"/>
      <w:bookmarkStart w:id="1830" w:name="_Toc38439647"/>
      <w:bookmarkStart w:id="1831" w:name="_Toc38439984"/>
      <w:bookmarkStart w:id="1832" w:name="_Toc38440321"/>
      <w:bookmarkStart w:id="1833" w:name="_Toc38440654"/>
      <w:bookmarkStart w:id="1834" w:name="_Toc38440853"/>
      <w:bookmarkStart w:id="1835" w:name="_Toc38441185"/>
      <w:bookmarkStart w:id="1836" w:name="_Toc38441517"/>
      <w:bookmarkStart w:id="1837" w:name="_Toc38441845"/>
      <w:bookmarkStart w:id="1838" w:name="_Toc38442177"/>
      <w:bookmarkStart w:id="1839" w:name="_Toc38442509"/>
      <w:bookmarkStart w:id="1840" w:name="_Toc38442840"/>
      <w:bookmarkStart w:id="1841" w:name="_Toc38443171"/>
      <w:bookmarkStart w:id="1842" w:name="_Toc38443502"/>
      <w:bookmarkStart w:id="1843" w:name="_Toc38443833"/>
      <w:bookmarkStart w:id="1844" w:name="_Toc38438301"/>
      <w:bookmarkStart w:id="1845" w:name="_Toc38438638"/>
      <w:bookmarkStart w:id="1846" w:name="_Toc38438975"/>
      <w:bookmarkStart w:id="1847" w:name="_Toc38439312"/>
      <w:bookmarkStart w:id="1848" w:name="_Toc38439649"/>
      <w:bookmarkStart w:id="1849" w:name="_Toc38439986"/>
      <w:bookmarkStart w:id="1850" w:name="_Toc38440323"/>
      <w:bookmarkStart w:id="1851" w:name="_Toc38440656"/>
      <w:bookmarkStart w:id="1852" w:name="_Toc38440855"/>
      <w:bookmarkStart w:id="1853" w:name="_Toc38441187"/>
      <w:bookmarkStart w:id="1854" w:name="_Toc38441519"/>
      <w:bookmarkStart w:id="1855" w:name="_Toc38441847"/>
      <w:bookmarkStart w:id="1856" w:name="_Toc38442179"/>
      <w:bookmarkStart w:id="1857" w:name="_Toc38442511"/>
      <w:bookmarkStart w:id="1858" w:name="_Toc38442842"/>
      <w:bookmarkStart w:id="1859" w:name="_Toc38443173"/>
      <w:bookmarkStart w:id="1860" w:name="_Toc38443504"/>
      <w:bookmarkStart w:id="1861" w:name="_Toc38443835"/>
      <w:bookmarkStart w:id="1862" w:name="_Toc38438302"/>
      <w:bookmarkStart w:id="1863" w:name="_Toc38438639"/>
      <w:bookmarkStart w:id="1864" w:name="_Toc38438976"/>
      <w:bookmarkStart w:id="1865" w:name="_Toc38439313"/>
      <w:bookmarkStart w:id="1866" w:name="_Toc38439650"/>
      <w:bookmarkStart w:id="1867" w:name="_Toc38439987"/>
      <w:bookmarkStart w:id="1868" w:name="_Toc38440324"/>
      <w:bookmarkStart w:id="1869" w:name="_Toc38440657"/>
      <w:bookmarkStart w:id="1870" w:name="_Toc38440856"/>
      <w:bookmarkStart w:id="1871" w:name="_Toc38441188"/>
      <w:bookmarkStart w:id="1872" w:name="_Toc38441520"/>
      <w:bookmarkStart w:id="1873" w:name="_Toc38441848"/>
      <w:bookmarkStart w:id="1874" w:name="_Toc38442180"/>
      <w:bookmarkStart w:id="1875" w:name="_Toc38442512"/>
      <w:bookmarkStart w:id="1876" w:name="_Toc38442843"/>
      <w:bookmarkStart w:id="1877" w:name="_Toc38443174"/>
      <w:bookmarkStart w:id="1878" w:name="_Toc38443505"/>
      <w:bookmarkStart w:id="1879" w:name="_Toc38443836"/>
      <w:bookmarkStart w:id="1880" w:name="_Toc38438303"/>
      <w:bookmarkStart w:id="1881" w:name="_Toc38438640"/>
      <w:bookmarkStart w:id="1882" w:name="_Toc38438977"/>
      <w:bookmarkStart w:id="1883" w:name="_Toc38439314"/>
      <w:bookmarkStart w:id="1884" w:name="_Toc38439651"/>
      <w:bookmarkStart w:id="1885" w:name="_Toc38439988"/>
      <w:bookmarkStart w:id="1886" w:name="_Toc38440325"/>
      <w:bookmarkStart w:id="1887" w:name="_Toc38440658"/>
      <w:bookmarkStart w:id="1888" w:name="_Toc38440857"/>
      <w:bookmarkStart w:id="1889" w:name="_Toc38441189"/>
      <w:bookmarkStart w:id="1890" w:name="_Toc38441521"/>
      <w:bookmarkStart w:id="1891" w:name="_Toc38441849"/>
      <w:bookmarkStart w:id="1892" w:name="_Toc38442181"/>
      <w:bookmarkStart w:id="1893" w:name="_Toc38442513"/>
      <w:bookmarkStart w:id="1894" w:name="_Toc38442844"/>
      <w:bookmarkStart w:id="1895" w:name="_Toc38443175"/>
      <w:bookmarkStart w:id="1896" w:name="_Toc38443506"/>
      <w:bookmarkStart w:id="1897" w:name="_Toc38443837"/>
      <w:bookmarkStart w:id="1898" w:name="_Toc38438304"/>
      <w:bookmarkStart w:id="1899" w:name="_Toc38438641"/>
      <w:bookmarkStart w:id="1900" w:name="_Toc38438978"/>
      <w:bookmarkStart w:id="1901" w:name="_Toc38439315"/>
      <w:bookmarkStart w:id="1902" w:name="_Toc38439652"/>
      <w:bookmarkStart w:id="1903" w:name="_Toc38439989"/>
      <w:bookmarkStart w:id="1904" w:name="_Toc38440326"/>
      <w:bookmarkStart w:id="1905" w:name="_Toc38440659"/>
      <w:bookmarkStart w:id="1906" w:name="_Toc38440858"/>
      <w:bookmarkStart w:id="1907" w:name="_Toc38441190"/>
      <w:bookmarkStart w:id="1908" w:name="_Toc38441522"/>
      <w:bookmarkStart w:id="1909" w:name="_Toc38441850"/>
      <w:bookmarkStart w:id="1910" w:name="_Toc38442182"/>
      <w:bookmarkStart w:id="1911" w:name="_Toc38442514"/>
      <w:bookmarkStart w:id="1912" w:name="_Toc38442845"/>
      <w:bookmarkStart w:id="1913" w:name="_Toc38443176"/>
      <w:bookmarkStart w:id="1914" w:name="_Toc38443507"/>
      <w:bookmarkStart w:id="1915" w:name="_Toc38443838"/>
      <w:bookmarkStart w:id="1916" w:name="_Toc38438305"/>
      <w:bookmarkStart w:id="1917" w:name="_Toc38438642"/>
      <w:bookmarkStart w:id="1918" w:name="_Toc38438979"/>
      <w:bookmarkStart w:id="1919" w:name="_Toc38439316"/>
      <w:bookmarkStart w:id="1920" w:name="_Toc38439653"/>
      <w:bookmarkStart w:id="1921" w:name="_Toc38439990"/>
      <w:bookmarkStart w:id="1922" w:name="_Toc38440327"/>
      <w:bookmarkStart w:id="1923" w:name="_Toc38440660"/>
      <w:bookmarkStart w:id="1924" w:name="_Toc38440859"/>
      <w:bookmarkStart w:id="1925" w:name="_Toc38441191"/>
      <w:bookmarkStart w:id="1926" w:name="_Toc38441523"/>
      <w:bookmarkStart w:id="1927" w:name="_Toc38441851"/>
      <w:bookmarkStart w:id="1928" w:name="_Toc38442183"/>
      <w:bookmarkStart w:id="1929" w:name="_Toc38442515"/>
      <w:bookmarkStart w:id="1930" w:name="_Toc38442846"/>
      <w:bookmarkStart w:id="1931" w:name="_Toc38443177"/>
      <w:bookmarkStart w:id="1932" w:name="_Toc38443508"/>
      <w:bookmarkStart w:id="1933" w:name="_Toc38443839"/>
      <w:bookmarkStart w:id="1934" w:name="_Toc38438306"/>
      <w:bookmarkStart w:id="1935" w:name="_Toc38438643"/>
      <w:bookmarkStart w:id="1936" w:name="_Toc38438980"/>
      <w:bookmarkStart w:id="1937" w:name="_Toc38439317"/>
      <w:bookmarkStart w:id="1938" w:name="_Toc38439654"/>
      <w:bookmarkStart w:id="1939" w:name="_Toc38439991"/>
      <w:bookmarkStart w:id="1940" w:name="_Toc38440328"/>
      <w:bookmarkStart w:id="1941" w:name="_Toc38440661"/>
      <w:bookmarkStart w:id="1942" w:name="_Toc38440860"/>
      <w:bookmarkStart w:id="1943" w:name="_Toc38441192"/>
      <w:bookmarkStart w:id="1944" w:name="_Toc38441524"/>
      <w:bookmarkStart w:id="1945" w:name="_Toc38441852"/>
      <w:bookmarkStart w:id="1946" w:name="_Toc38442184"/>
      <w:bookmarkStart w:id="1947" w:name="_Toc38442516"/>
      <w:bookmarkStart w:id="1948" w:name="_Toc38442847"/>
      <w:bookmarkStart w:id="1949" w:name="_Toc38443178"/>
      <w:bookmarkStart w:id="1950" w:name="_Toc38443509"/>
      <w:bookmarkStart w:id="1951" w:name="_Toc38443840"/>
      <w:bookmarkStart w:id="1952" w:name="_Toc38438310"/>
      <w:bookmarkStart w:id="1953" w:name="_Toc38438647"/>
      <w:bookmarkStart w:id="1954" w:name="_Toc38438984"/>
      <w:bookmarkStart w:id="1955" w:name="_Toc38439321"/>
      <w:bookmarkStart w:id="1956" w:name="_Toc38439658"/>
      <w:bookmarkStart w:id="1957" w:name="_Toc38439995"/>
      <w:bookmarkStart w:id="1958" w:name="_Toc38440332"/>
      <w:bookmarkStart w:id="1959" w:name="_Toc38440665"/>
      <w:bookmarkStart w:id="1960" w:name="_Toc38440864"/>
      <w:bookmarkStart w:id="1961" w:name="_Toc38441196"/>
      <w:bookmarkStart w:id="1962" w:name="_Toc38441528"/>
      <w:bookmarkStart w:id="1963" w:name="_Toc38441856"/>
      <w:bookmarkStart w:id="1964" w:name="_Toc38442188"/>
      <w:bookmarkStart w:id="1965" w:name="_Toc38442520"/>
      <w:bookmarkStart w:id="1966" w:name="_Toc38442851"/>
      <w:bookmarkStart w:id="1967" w:name="_Toc38443182"/>
      <w:bookmarkStart w:id="1968" w:name="_Toc38443513"/>
      <w:bookmarkStart w:id="1969" w:name="_Toc38443844"/>
      <w:bookmarkStart w:id="1970" w:name="_Toc38438311"/>
      <w:bookmarkStart w:id="1971" w:name="_Toc38438648"/>
      <w:bookmarkStart w:id="1972" w:name="_Toc38438985"/>
      <w:bookmarkStart w:id="1973" w:name="_Toc38439322"/>
      <w:bookmarkStart w:id="1974" w:name="_Toc38439659"/>
      <w:bookmarkStart w:id="1975" w:name="_Toc38439996"/>
      <w:bookmarkStart w:id="1976" w:name="_Toc38440333"/>
      <w:bookmarkStart w:id="1977" w:name="_Toc38440666"/>
      <w:bookmarkStart w:id="1978" w:name="_Toc38440865"/>
      <w:bookmarkStart w:id="1979" w:name="_Toc38441197"/>
      <w:bookmarkStart w:id="1980" w:name="_Toc38441529"/>
      <w:bookmarkStart w:id="1981" w:name="_Toc38441857"/>
      <w:bookmarkStart w:id="1982" w:name="_Toc38442189"/>
      <w:bookmarkStart w:id="1983" w:name="_Toc38442521"/>
      <w:bookmarkStart w:id="1984" w:name="_Toc38442852"/>
      <w:bookmarkStart w:id="1985" w:name="_Toc38443183"/>
      <w:bookmarkStart w:id="1986" w:name="_Toc38443514"/>
      <w:bookmarkStart w:id="1987" w:name="_Toc38443845"/>
      <w:bookmarkStart w:id="1988" w:name="_Toc38438312"/>
      <w:bookmarkStart w:id="1989" w:name="_Toc38438649"/>
      <w:bookmarkStart w:id="1990" w:name="_Toc38438986"/>
      <w:bookmarkStart w:id="1991" w:name="_Toc38439323"/>
      <w:bookmarkStart w:id="1992" w:name="_Toc38439660"/>
      <w:bookmarkStart w:id="1993" w:name="_Toc38439997"/>
      <w:bookmarkStart w:id="1994" w:name="_Toc38440334"/>
      <w:bookmarkStart w:id="1995" w:name="_Toc38440667"/>
      <w:bookmarkStart w:id="1996" w:name="_Toc38440866"/>
      <w:bookmarkStart w:id="1997" w:name="_Toc38441198"/>
      <w:bookmarkStart w:id="1998" w:name="_Toc38441530"/>
      <w:bookmarkStart w:id="1999" w:name="_Toc38441858"/>
      <w:bookmarkStart w:id="2000" w:name="_Toc38442190"/>
      <w:bookmarkStart w:id="2001" w:name="_Toc38442522"/>
      <w:bookmarkStart w:id="2002" w:name="_Toc38442853"/>
      <w:bookmarkStart w:id="2003" w:name="_Toc38443184"/>
      <w:bookmarkStart w:id="2004" w:name="_Toc38443515"/>
      <w:bookmarkStart w:id="2005" w:name="_Toc38443846"/>
      <w:bookmarkStart w:id="2006" w:name="_Toc38438313"/>
      <w:bookmarkStart w:id="2007" w:name="_Toc38438650"/>
      <w:bookmarkStart w:id="2008" w:name="_Toc38438987"/>
      <w:bookmarkStart w:id="2009" w:name="_Toc38439324"/>
      <w:bookmarkStart w:id="2010" w:name="_Toc38439661"/>
      <w:bookmarkStart w:id="2011" w:name="_Toc38439998"/>
      <w:bookmarkStart w:id="2012" w:name="_Toc38440335"/>
      <w:bookmarkStart w:id="2013" w:name="_Toc38440668"/>
      <w:bookmarkStart w:id="2014" w:name="_Toc38440867"/>
      <w:bookmarkStart w:id="2015" w:name="_Toc38441199"/>
      <w:bookmarkStart w:id="2016" w:name="_Toc38441531"/>
      <w:bookmarkStart w:id="2017" w:name="_Toc38441859"/>
      <w:bookmarkStart w:id="2018" w:name="_Toc38442191"/>
      <w:bookmarkStart w:id="2019" w:name="_Toc38442523"/>
      <w:bookmarkStart w:id="2020" w:name="_Toc38442854"/>
      <w:bookmarkStart w:id="2021" w:name="_Toc38443185"/>
      <w:bookmarkStart w:id="2022" w:name="_Toc38443516"/>
      <w:bookmarkStart w:id="2023" w:name="_Toc38443847"/>
      <w:bookmarkStart w:id="2024" w:name="_Toc38438314"/>
      <w:bookmarkStart w:id="2025" w:name="_Toc38438651"/>
      <w:bookmarkStart w:id="2026" w:name="_Toc38438988"/>
      <w:bookmarkStart w:id="2027" w:name="_Toc38439325"/>
      <w:bookmarkStart w:id="2028" w:name="_Toc38439662"/>
      <w:bookmarkStart w:id="2029" w:name="_Toc38439999"/>
      <w:bookmarkStart w:id="2030" w:name="_Toc38440336"/>
      <w:bookmarkStart w:id="2031" w:name="_Toc38440669"/>
      <w:bookmarkStart w:id="2032" w:name="_Toc38440868"/>
      <w:bookmarkStart w:id="2033" w:name="_Toc38441200"/>
      <w:bookmarkStart w:id="2034" w:name="_Toc38441532"/>
      <w:bookmarkStart w:id="2035" w:name="_Toc38441860"/>
      <w:bookmarkStart w:id="2036" w:name="_Toc38442192"/>
      <w:bookmarkStart w:id="2037" w:name="_Toc38442524"/>
      <w:bookmarkStart w:id="2038" w:name="_Toc38442855"/>
      <w:bookmarkStart w:id="2039" w:name="_Toc38443186"/>
      <w:bookmarkStart w:id="2040" w:name="_Toc38443517"/>
      <w:bookmarkStart w:id="2041" w:name="_Toc38443848"/>
      <w:bookmarkStart w:id="2042" w:name="_Toc38438315"/>
      <w:bookmarkStart w:id="2043" w:name="_Toc38438652"/>
      <w:bookmarkStart w:id="2044" w:name="_Toc38438989"/>
      <w:bookmarkStart w:id="2045" w:name="_Toc38439326"/>
      <w:bookmarkStart w:id="2046" w:name="_Toc38439663"/>
      <w:bookmarkStart w:id="2047" w:name="_Toc38440000"/>
      <w:bookmarkStart w:id="2048" w:name="_Toc38440337"/>
      <w:bookmarkStart w:id="2049" w:name="_Toc38440670"/>
      <w:bookmarkStart w:id="2050" w:name="_Toc38440869"/>
      <w:bookmarkStart w:id="2051" w:name="_Toc38441201"/>
      <w:bookmarkStart w:id="2052" w:name="_Toc38441533"/>
      <w:bookmarkStart w:id="2053" w:name="_Toc38441861"/>
      <w:bookmarkStart w:id="2054" w:name="_Toc38442193"/>
      <w:bookmarkStart w:id="2055" w:name="_Toc38442525"/>
      <w:bookmarkStart w:id="2056" w:name="_Toc38442856"/>
      <w:bookmarkStart w:id="2057" w:name="_Toc38443187"/>
      <w:bookmarkStart w:id="2058" w:name="_Toc38443518"/>
      <w:bookmarkStart w:id="2059" w:name="_Toc38443849"/>
      <w:bookmarkStart w:id="2060" w:name="_Toc38438316"/>
      <w:bookmarkStart w:id="2061" w:name="_Toc38438653"/>
      <w:bookmarkStart w:id="2062" w:name="_Toc38438990"/>
      <w:bookmarkStart w:id="2063" w:name="_Toc38439327"/>
      <w:bookmarkStart w:id="2064" w:name="_Toc38439664"/>
      <w:bookmarkStart w:id="2065" w:name="_Toc38440001"/>
      <w:bookmarkStart w:id="2066" w:name="_Toc38440338"/>
      <w:bookmarkStart w:id="2067" w:name="_Toc38440671"/>
      <w:bookmarkStart w:id="2068" w:name="_Toc38440870"/>
      <w:bookmarkStart w:id="2069" w:name="_Toc38441202"/>
      <w:bookmarkStart w:id="2070" w:name="_Toc38441534"/>
      <w:bookmarkStart w:id="2071" w:name="_Toc38441862"/>
      <w:bookmarkStart w:id="2072" w:name="_Toc38442194"/>
      <w:bookmarkStart w:id="2073" w:name="_Toc38442526"/>
      <w:bookmarkStart w:id="2074" w:name="_Toc38442857"/>
      <w:bookmarkStart w:id="2075" w:name="_Toc38443188"/>
      <w:bookmarkStart w:id="2076" w:name="_Toc38443519"/>
      <w:bookmarkStart w:id="2077" w:name="_Toc38443850"/>
      <w:bookmarkStart w:id="2078" w:name="_Toc38438317"/>
      <w:bookmarkStart w:id="2079" w:name="_Toc38438654"/>
      <w:bookmarkStart w:id="2080" w:name="_Toc38438991"/>
      <w:bookmarkStart w:id="2081" w:name="_Toc38439328"/>
      <w:bookmarkStart w:id="2082" w:name="_Toc38439665"/>
      <w:bookmarkStart w:id="2083" w:name="_Toc38440002"/>
      <w:bookmarkStart w:id="2084" w:name="_Toc38440339"/>
      <w:bookmarkStart w:id="2085" w:name="_Toc38440672"/>
      <w:bookmarkStart w:id="2086" w:name="_Toc38440871"/>
      <w:bookmarkStart w:id="2087" w:name="_Toc38441203"/>
      <w:bookmarkStart w:id="2088" w:name="_Toc38441535"/>
      <w:bookmarkStart w:id="2089" w:name="_Toc38441863"/>
      <w:bookmarkStart w:id="2090" w:name="_Toc38442195"/>
      <w:bookmarkStart w:id="2091" w:name="_Toc38442527"/>
      <w:bookmarkStart w:id="2092" w:name="_Toc38442858"/>
      <w:bookmarkStart w:id="2093" w:name="_Toc38443189"/>
      <w:bookmarkStart w:id="2094" w:name="_Toc38443520"/>
      <w:bookmarkStart w:id="2095" w:name="_Toc38443851"/>
      <w:bookmarkStart w:id="2096" w:name="_Toc38438318"/>
      <w:bookmarkStart w:id="2097" w:name="_Toc38438655"/>
      <w:bookmarkStart w:id="2098" w:name="_Toc38438992"/>
      <w:bookmarkStart w:id="2099" w:name="_Toc38439329"/>
      <w:bookmarkStart w:id="2100" w:name="_Toc38439666"/>
      <w:bookmarkStart w:id="2101" w:name="_Toc38440003"/>
      <w:bookmarkStart w:id="2102" w:name="_Toc38440340"/>
      <w:bookmarkStart w:id="2103" w:name="_Toc38440673"/>
      <w:bookmarkStart w:id="2104" w:name="_Toc38440872"/>
      <w:bookmarkStart w:id="2105" w:name="_Toc38441204"/>
      <w:bookmarkStart w:id="2106" w:name="_Toc38441536"/>
      <w:bookmarkStart w:id="2107" w:name="_Toc38441864"/>
      <w:bookmarkStart w:id="2108" w:name="_Toc38442196"/>
      <w:bookmarkStart w:id="2109" w:name="_Toc38442528"/>
      <w:bookmarkStart w:id="2110" w:name="_Toc38442859"/>
      <w:bookmarkStart w:id="2111" w:name="_Toc38443190"/>
      <w:bookmarkStart w:id="2112" w:name="_Toc38443521"/>
      <w:bookmarkStart w:id="2113" w:name="_Toc38443852"/>
      <w:bookmarkStart w:id="2114" w:name="_Toc38438319"/>
      <w:bookmarkStart w:id="2115" w:name="_Toc38438656"/>
      <w:bookmarkStart w:id="2116" w:name="_Toc38438993"/>
      <w:bookmarkStart w:id="2117" w:name="_Toc38439330"/>
      <w:bookmarkStart w:id="2118" w:name="_Toc38439667"/>
      <w:bookmarkStart w:id="2119" w:name="_Toc38440004"/>
      <w:bookmarkStart w:id="2120" w:name="_Toc38440341"/>
      <w:bookmarkStart w:id="2121" w:name="_Toc38440674"/>
      <w:bookmarkStart w:id="2122" w:name="_Toc38440873"/>
      <w:bookmarkStart w:id="2123" w:name="_Toc38441205"/>
      <w:bookmarkStart w:id="2124" w:name="_Toc38441537"/>
      <w:bookmarkStart w:id="2125" w:name="_Toc38441865"/>
      <w:bookmarkStart w:id="2126" w:name="_Toc38442197"/>
      <w:bookmarkStart w:id="2127" w:name="_Toc38442529"/>
      <w:bookmarkStart w:id="2128" w:name="_Toc38442860"/>
      <w:bookmarkStart w:id="2129" w:name="_Toc38443191"/>
      <w:bookmarkStart w:id="2130" w:name="_Toc38443522"/>
      <w:bookmarkStart w:id="2131" w:name="_Toc38443853"/>
      <w:bookmarkStart w:id="2132" w:name="_Toc38438320"/>
      <w:bookmarkStart w:id="2133" w:name="_Toc38438657"/>
      <w:bookmarkStart w:id="2134" w:name="_Toc38438994"/>
      <w:bookmarkStart w:id="2135" w:name="_Toc38439331"/>
      <w:bookmarkStart w:id="2136" w:name="_Toc38439668"/>
      <w:bookmarkStart w:id="2137" w:name="_Toc38440005"/>
      <w:bookmarkStart w:id="2138" w:name="_Toc38440342"/>
      <w:bookmarkStart w:id="2139" w:name="_Toc38440675"/>
      <w:bookmarkStart w:id="2140" w:name="_Toc38440874"/>
      <w:bookmarkStart w:id="2141" w:name="_Toc38441206"/>
      <w:bookmarkStart w:id="2142" w:name="_Toc38441538"/>
      <w:bookmarkStart w:id="2143" w:name="_Toc38441866"/>
      <w:bookmarkStart w:id="2144" w:name="_Toc38442198"/>
      <w:bookmarkStart w:id="2145" w:name="_Toc38442530"/>
      <w:bookmarkStart w:id="2146" w:name="_Toc38442861"/>
      <w:bookmarkStart w:id="2147" w:name="_Toc38443192"/>
      <w:bookmarkStart w:id="2148" w:name="_Toc38443523"/>
      <w:bookmarkStart w:id="2149" w:name="_Toc38443854"/>
      <w:bookmarkStart w:id="2150" w:name="_Toc38438321"/>
      <w:bookmarkStart w:id="2151" w:name="_Toc38438658"/>
      <w:bookmarkStart w:id="2152" w:name="_Toc38438995"/>
      <w:bookmarkStart w:id="2153" w:name="_Toc38439332"/>
      <w:bookmarkStart w:id="2154" w:name="_Toc38439669"/>
      <w:bookmarkStart w:id="2155" w:name="_Toc38440006"/>
      <w:bookmarkStart w:id="2156" w:name="_Toc38440343"/>
      <w:bookmarkStart w:id="2157" w:name="_Toc38440676"/>
      <w:bookmarkStart w:id="2158" w:name="_Toc38440875"/>
      <w:bookmarkStart w:id="2159" w:name="_Toc38441207"/>
      <w:bookmarkStart w:id="2160" w:name="_Toc38441539"/>
      <w:bookmarkStart w:id="2161" w:name="_Toc38441867"/>
      <w:bookmarkStart w:id="2162" w:name="_Toc38442199"/>
      <w:bookmarkStart w:id="2163" w:name="_Toc38442531"/>
      <w:bookmarkStart w:id="2164" w:name="_Toc38442862"/>
      <w:bookmarkStart w:id="2165" w:name="_Toc38443193"/>
      <w:bookmarkStart w:id="2166" w:name="_Toc38443524"/>
      <w:bookmarkStart w:id="2167" w:name="_Toc38443855"/>
      <w:bookmarkStart w:id="2168" w:name="_Toc38438322"/>
      <w:bookmarkStart w:id="2169" w:name="_Toc38438659"/>
      <w:bookmarkStart w:id="2170" w:name="_Toc38438996"/>
      <w:bookmarkStart w:id="2171" w:name="_Toc38439333"/>
      <w:bookmarkStart w:id="2172" w:name="_Toc38439670"/>
      <w:bookmarkStart w:id="2173" w:name="_Toc38440007"/>
      <w:bookmarkStart w:id="2174" w:name="_Toc38440344"/>
      <w:bookmarkStart w:id="2175" w:name="_Toc38440677"/>
      <w:bookmarkStart w:id="2176" w:name="_Toc38440876"/>
      <w:bookmarkStart w:id="2177" w:name="_Toc38441208"/>
      <w:bookmarkStart w:id="2178" w:name="_Toc38441540"/>
      <w:bookmarkStart w:id="2179" w:name="_Toc38441868"/>
      <w:bookmarkStart w:id="2180" w:name="_Toc38442200"/>
      <w:bookmarkStart w:id="2181" w:name="_Toc38442532"/>
      <w:bookmarkStart w:id="2182" w:name="_Toc38442863"/>
      <w:bookmarkStart w:id="2183" w:name="_Toc38443194"/>
      <w:bookmarkStart w:id="2184" w:name="_Toc38443525"/>
      <w:bookmarkStart w:id="2185" w:name="_Toc38443856"/>
      <w:bookmarkStart w:id="2186" w:name="_Toc38438323"/>
      <w:bookmarkStart w:id="2187" w:name="_Toc38438660"/>
      <w:bookmarkStart w:id="2188" w:name="_Toc38438997"/>
      <w:bookmarkStart w:id="2189" w:name="_Toc38439334"/>
      <w:bookmarkStart w:id="2190" w:name="_Toc38439671"/>
      <w:bookmarkStart w:id="2191" w:name="_Toc38440008"/>
      <w:bookmarkStart w:id="2192" w:name="_Toc38440345"/>
      <w:bookmarkStart w:id="2193" w:name="_Toc38440678"/>
      <w:bookmarkStart w:id="2194" w:name="_Toc38440877"/>
      <w:bookmarkStart w:id="2195" w:name="_Toc38441209"/>
      <w:bookmarkStart w:id="2196" w:name="_Toc38441541"/>
      <w:bookmarkStart w:id="2197" w:name="_Toc38441869"/>
      <w:bookmarkStart w:id="2198" w:name="_Toc38442201"/>
      <w:bookmarkStart w:id="2199" w:name="_Toc38442533"/>
      <w:bookmarkStart w:id="2200" w:name="_Toc38442864"/>
      <w:bookmarkStart w:id="2201" w:name="_Toc38443195"/>
      <w:bookmarkStart w:id="2202" w:name="_Toc38443526"/>
      <w:bookmarkStart w:id="2203" w:name="_Toc38443857"/>
      <w:bookmarkStart w:id="2204" w:name="_Toc38438324"/>
      <w:bookmarkStart w:id="2205" w:name="_Toc38438661"/>
      <w:bookmarkStart w:id="2206" w:name="_Toc38438998"/>
      <w:bookmarkStart w:id="2207" w:name="_Toc38439335"/>
      <w:bookmarkStart w:id="2208" w:name="_Toc38439672"/>
      <w:bookmarkStart w:id="2209" w:name="_Toc38440009"/>
      <w:bookmarkStart w:id="2210" w:name="_Toc38440346"/>
      <w:bookmarkStart w:id="2211" w:name="_Toc38440679"/>
      <w:bookmarkStart w:id="2212" w:name="_Toc38440878"/>
      <w:bookmarkStart w:id="2213" w:name="_Toc38441210"/>
      <w:bookmarkStart w:id="2214" w:name="_Toc38441542"/>
      <w:bookmarkStart w:id="2215" w:name="_Toc38441870"/>
      <w:bookmarkStart w:id="2216" w:name="_Toc38442202"/>
      <w:bookmarkStart w:id="2217" w:name="_Toc38442534"/>
      <w:bookmarkStart w:id="2218" w:name="_Toc38442865"/>
      <w:bookmarkStart w:id="2219" w:name="_Toc38443196"/>
      <w:bookmarkStart w:id="2220" w:name="_Toc38443527"/>
      <w:bookmarkStart w:id="2221" w:name="_Toc38443858"/>
      <w:bookmarkStart w:id="2222" w:name="_Toc38438325"/>
      <w:bookmarkStart w:id="2223" w:name="_Toc38438662"/>
      <w:bookmarkStart w:id="2224" w:name="_Toc38438999"/>
      <w:bookmarkStart w:id="2225" w:name="_Toc38439336"/>
      <w:bookmarkStart w:id="2226" w:name="_Toc38439673"/>
      <w:bookmarkStart w:id="2227" w:name="_Toc38440010"/>
      <w:bookmarkStart w:id="2228" w:name="_Toc38440347"/>
      <w:bookmarkStart w:id="2229" w:name="_Toc38440879"/>
      <w:bookmarkStart w:id="2230" w:name="_Toc38441211"/>
      <w:bookmarkStart w:id="2231" w:name="_Toc38441543"/>
      <w:bookmarkStart w:id="2232" w:name="_Toc38441871"/>
      <w:bookmarkStart w:id="2233" w:name="_Toc38442203"/>
      <w:bookmarkStart w:id="2234" w:name="_Toc38442535"/>
      <w:bookmarkStart w:id="2235" w:name="_Toc38442866"/>
      <w:bookmarkStart w:id="2236" w:name="_Toc38443197"/>
      <w:bookmarkStart w:id="2237" w:name="_Toc38443528"/>
      <w:bookmarkStart w:id="2238" w:name="_Toc38443859"/>
      <w:bookmarkStart w:id="2239" w:name="_Toc38438326"/>
      <w:bookmarkStart w:id="2240" w:name="_Toc38438663"/>
      <w:bookmarkStart w:id="2241" w:name="_Toc38439000"/>
      <w:bookmarkStart w:id="2242" w:name="_Toc38439337"/>
      <w:bookmarkStart w:id="2243" w:name="_Toc38439674"/>
      <w:bookmarkStart w:id="2244" w:name="_Toc38440011"/>
      <w:bookmarkStart w:id="2245" w:name="_Toc38440348"/>
      <w:bookmarkStart w:id="2246" w:name="_Toc38440880"/>
      <w:bookmarkStart w:id="2247" w:name="_Toc38441212"/>
      <w:bookmarkStart w:id="2248" w:name="_Toc38441544"/>
      <w:bookmarkStart w:id="2249" w:name="_Toc38441872"/>
      <w:bookmarkStart w:id="2250" w:name="_Toc38442204"/>
      <w:bookmarkStart w:id="2251" w:name="_Toc38442536"/>
      <w:bookmarkStart w:id="2252" w:name="_Toc38442867"/>
      <w:bookmarkStart w:id="2253" w:name="_Toc38443198"/>
      <w:bookmarkStart w:id="2254" w:name="_Toc38443529"/>
      <w:bookmarkStart w:id="2255" w:name="_Toc38443860"/>
      <w:bookmarkStart w:id="2256" w:name="_Toc38438327"/>
      <w:bookmarkStart w:id="2257" w:name="_Toc38438664"/>
      <w:bookmarkStart w:id="2258" w:name="_Toc38439001"/>
      <w:bookmarkStart w:id="2259" w:name="_Toc38439338"/>
      <w:bookmarkStart w:id="2260" w:name="_Toc38439675"/>
      <w:bookmarkStart w:id="2261" w:name="_Toc38440012"/>
      <w:bookmarkStart w:id="2262" w:name="_Toc38440349"/>
      <w:bookmarkStart w:id="2263" w:name="_Toc38440881"/>
      <w:bookmarkStart w:id="2264" w:name="_Toc38441213"/>
      <w:bookmarkStart w:id="2265" w:name="_Toc38441545"/>
      <w:bookmarkStart w:id="2266" w:name="_Toc38441873"/>
      <w:bookmarkStart w:id="2267" w:name="_Toc38442205"/>
      <w:bookmarkStart w:id="2268" w:name="_Toc38442537"/>
      <w:bookmarkStart w:id="2269" w:name="_Toc38442868"/>
      <w:bookmarkStart w:id="2270" w:name="_Toc38443199"/>
      <w:bookmarkStart w:id="2271" w:name="_Toc38443530"/>
      <w:bookmarkStart w:id="2272" w:name="_Toc38443861"/>
      <w:bookmarkStart w:id="2273" w:name="_Toc38438328"/>
      <w:bookmarkStart w:id="2274" w:name="_Toc38438665"/>
      <w:bookmarkStart w:id="2275" w:name="_Toc38439002"/>
      <w:bookmarkStart w:id="2276" w:name="_Toc38439339"/>
      <w:bookmarkStart w:id="2277" w:name="_Toc38439676"/>
      <w:bookmarkStart w:id="2278" w:name="_Toc38440013"/>
      <w:bookmarkStart w:id="2279" w:name="_Toc38440350"/>
      <w:bookmarkStart w:id="2280" w:name="_Toc38440882"/>
      <w:bookmarkStart w:id="2281" w:name="_Toc38441214"/>
      <w:bookmarkStart w:id="2282" w:name="_Toc38441546"/>
      <w:bookmarkStart w:id="2283" w:name="_Toc38441874"/>
      <w:bookmarkStart w:id="2284" w:name="_Toc38442206"/>
      <w:bookmarkStart w:id="2285" w:name="_Toc38442538"/>
      <w:bookmarkStart w:id="2286" w:name="_Toc38442869"/>
      <w:bookmarkStart w:id="2287" w:name="_Toc38443200"/>
      <w:bookmarkStart w:id="2288" w:name="_Toc38443531"/>
      <w:bookmarkStart w:id="2289" w:name="_Toc38443862"/>
      <w:bookmarkStart w:id="2290" w:name="_Toc38438329"/>
      <w:bookmarkStart w:id="2291" w:name="_Toc38438666"/>
      <w:bookmarkStart w:id="2292" w:name="_Toc38439003"/>
      <w:bookmarkStart w:id="2293" w:name="_Toc38439340"/>
      <w:bookmarkStart w:id="2294" w:name="_Toc38439677"/>
      <w:bookmarkStart w:id="2295" w:name="_Toc38440014"/>
      <w:bookmarkStart w:id="2296" w:name="_Toc38440351"/>
      <w:bookmarkStart w:id="2297" w:name="_Toc38440883"/>
      <w:bookmarkStart w:id="2298" w:name="_Toc38441215"/>
      <w:bookmarkStart w:id="2299" w:name="_Toc38441547"/>
      <w:bookmarkStart w:id="2300" w:name="_Toc38441875"/>
      <w:bookmarkStart w:id="2301" w:name="_Toc38442207"/>
      <w:bookmarkStart w:id="2302" w:name="_Toc38442539"/>
      <w:bookmarkStart w:id="2303" w:name="_Toc38442870"/>
      <w:bookmarkStart w:id="2304" w:name="_Toc38443201"/>
      <w:bookmarkStart w:id="2305" w:name="_Toc38443532"/>
      <w:bookmarkStart w:id="2306" w:name="_Toc38443863"/>
      <w:bookmarkStart w:id="2307" w:name="_Toc38438330"/>
      <w:bookmarkStart w:id="2308" w:name="_Toc38438667"/>
      <w:bookmarkStart w:id="2309" w:name="_Toc38439004"/>
      <w:bookmarkStart w:id="2310" w:name="_Toc38439341"/>
      <w:bookmarkStart w:id="2311" w:name="_Toc38439678"/>
      <w:bookmarkStart w:id="2312" w:name="_Toc38440015"/>
      <w:bookmarkStart w:id="2313" w:name="_Toc38440352"/>
      <w:bookmarkStart w:id="2314" w:name="_Toc38440884"/>
      <w:bookmarkStart w:id="2315" w:name="_Toc38441216"/>
      <w:bookmarkStart w:id="2316" w:name="_Toc38441548"/>
      <w:bookmarkStart w:id="2317" w:name="_Toc38441876"/>
      <w:bookmarkStart w:id="2318" w:name="_Toc38442208"/>
      <w:bookmarkStart w:id="2319" w:name="_Toc38442540"/>
      <w:bookmarkStart w:id="2320" w:name="_Toc38442871"/>
      <w:bookmarkStart w:id="2321" w:name="_Toc38443202"/>
      <w:bookmarkStart w:id="2322" w:name="_Toc38443533"/>
      <w:bookmarkStart w:id="2323" w:name="_Toc38443864"/>
      <w:bookmarkStart w:id="2324" w:name="_Toc38438331"/>
      <w:bookmarkStart w:id="2325" w:name="_Toc38438668"/>
      <w:bookmarkStart w:id="2326" w:name="_Toc38439005"/>
      <w:bookmarkStart w:id="2327" w:name="_Toc38439342"/>
      <w:bookmarkStart w:id="2328" w:name="_Toc38439679"/>
      <w:bookmarkStart w:id="2329" w:name="_Toc38440016"/>
      <w:bookmarkStart w:id="2330" w:name="_Toc38440353"/>
      <w:bookmarkStart w:id="2331" w:name="_Toc38440885"/>
      <w:bookmarkStart w:id="2332" w:name="_Toc38441217"/>
      <w:bookmarkStart w:id="2333" w:name="_Toc38441549"/>
      <w:bookmarkStart w:id="2334" w:name="_Toc38441877"/>
      <w:bookmarkStart w:id="2335" w:name="_Toc38442209"/>
      <w:bookmarkStart w:id="2336" w:name="_Toc38442541"/>
      <w:bookmarkStart w:id="2337" w:name="_Toc38442872"/>
      <w:bookmarkStart w:id="2338" w:name="_Toc38443203"/>
      <w:bookmarkStart w:id="2339" w:name="_Toc38443534"/>
      <w:bookmarkStart w:id="2340" w:name="_Toc38443865"/>
      <w:bookmarkStart w:id="2341" w:name="_Toc38438332"/>
      <w:bookmarkStart w:id="2342" w:name="_Toc38438669"/>
      <w:bookmarkStart w:id="2343" w:name="_Toc38439006"/>
      <w:bookmarkStart w:id="2344" w:name="_Toc38439343"/>
      <w:bookmarkStart w:id="2345" w:name="_Toc38439680"/>
      <w:bookmarkStart w:id="2346" w:name="_Toc38440017"/>
      <w:bookmarkStart w:id="2347" w:name="_Toc38440354"/>
      <w:bookmarkStart w:id="2348" w:name="_Toc38440886"/>
      <w:bookmarkStart w:id="2349" w:name="_Toc38441218"/>
      <w:bookmarkStart w:id="2350" w:name="_Toc38441550"/>
      <w:bookmarkStart w:id="2351" w:name="_Toc38441878"/>
      <w:bookmarkStart w:id="2352" w:name="_Toc38442210"/>
      <w:bookmarkStart w:id="2353" w:name="_Toc38442542"/>
      <w:bookmarkStart w:id="2354" w:name="_Toc38442873"/>
      <w:bookmarkStart w:id="2355" w:name="_Toc38443204"/>
      <w:bookmarkStart w:id="2356" w:name="_Toc38443535"/>
      <w:bookmarkStart w:id="2357" w:name="_Toc38443866"/>
      <w:bookmarkStart w:id="2358" w:name="_Toc38438333"/>
      <w:bookmarkStart w:id="2359" w:name="_Toc38438670"/>
      <w:bookmarkStart w:id="2360" w:name="_Toc38439007"/>
      <w:bookmarkStart w:id="2361" w:name="_Toc38439344"/>
      <w:bookmarkStart w:id="2362" w:name="_Toc38439681"/>
      <w:bookmarkStart w:id="2363" w:name="_Toc38440018"/>
      <w:bookmarkStart w:id="2364" w:name="_Toc38440355"/>
      <w:bookmarkStart w:id="2365" w:name="_Toc38440887"/>
      <w:bookmarkStart w:id="2366" w:name="_Toc38441219"/>
      <w:bookmarkStart w:id="2367" w:name="_Toc38441551"/>
      <w:bookmarkStart w:id="2368" w:name="_Toc38441879"/>
      <w:bookmarkStart w:id="2369" w:name="_Toc38442211"/>
      <w:bookmarkStart w:id="2370" w:name="_Toc38442543"/>
      <w:bookmarkStart w:id="2371" w:name="_Toc38442874"/>
      <w:bookmarkStart w:id="2372" w:name="_Toc38443205"/>
      <w:bookmarkStart w:id="2373" w:name="_Toc38443536"/>
      <w:bookmarkStart w:id="2374" w:name="_Toc38443867"/>
      <w:bookmarkStart w:id="2375" w:name="_Toc38438334"/>
      <w:bookmarkStart w:id="2376" w:name="_Toc38438671"/>
      <w:bookmarkStart w:id="2377" w:name="_Toc38439008"/>
      <w:bookmarkStart w:id="2378" w:name="_Toc38439345"/>
      <w:bookmarkStart w:id="2379" w:name="_Toc38439682"/>
      <w:bookmarkStart w:id="2380" w:name="_Toc38440019"/>
      <w:bookmarkStart w:id="2381" w:name="_Toc38440356"/>
      <w:bookmarkStart w:id="2382" w:name="_Toc38440888"/>
      <w:bookmarkStart w:id="2383" w:name="_Toc38441220"/>
      <w:bookmarkStart w:id="2384" w:name="_Toc38441552"/>
      <w:bookmarkStart w:id="2385" w:name="_Toc38441880"/>
      <w:bookmarkStart w:id="2386" w:name="_Toc38442212"/>
      <w:bookmarkStart w:id="2387" w:name="_Toc38442544"/>
      <w:bookmarkStart w:id="2388" w:name="_Toc38442875"/>
      <w:bookmarkStart w:id="2389" w:name="_Toc38443206"/>
      <w:bookmarkStart w:id="2390" w:name="_Toc38443537"/>
      <w:bookmarkStart w:id="2391" w:name="_Toc38443868"/>
      <w:bookmarkStart w:id="2392" w:name="_Toc38438335"/>
      <w:bookmarkStart w:id="2393" w:name="_Toc38438672"/>
      <w:bookmarkStart w:id="2394" w:name="_Toc38439009"/>
      <w:bookmarkStart w:id="2395" w:name="_Toc38439346"/>
      <w:bookmarkStart w:id="2396" w:name="_Toc38439683"/>
      <w:bookmarkStart w:id="2397" w:name="_Toc38440020"/>
      <w:bookmarkStart w:id="2398" w:name="_Toc38440357"/>
      <w:bookmarkStart w:id="2399" w:name="_Toc38440889"/>
      <w:bookmarkStart w:id="2400" w:name="_Toc38441221"/>
      <w:bookmarkStart w:id="2401" w:name="_Toc38441553"/>
      <w:bookmarkStart w:id="2402" w:name="_Toc38441881"/>
      <w:bookmarkStart w:id="2403" w:name="_Toc38442213"/>
      <w:bookmarkStart w:id="2404" w:name="_Toc38442545"/>
      <w:bookmarkStart w:id="2405" w:name="_Toc38442876"/>
      <w:bookmarkStart w:id="2406" w:name="_Toc38443207"/>
      <w:bookmarkStart w:id="2407" w:name="_Toc38443538"/>
      <w:bookmarkStart w:id="2408" w:name="_Toc38443869"/>
      <w:bookmarkStart w:id="2409" w:name="_Toc38438336"/>
      <w:bookmarkStart w:id="2410" w:name="_Toc38438673"/>
      <w:bookmarkStart w:id="2411" w:name="_Toc38439010"/>
      <w:bookmarkStart w:id="2412" w:name="_Toc38439347"/>
      <w:bookmarkStart w:id="2413" w:name="_Toc38439684"/>
      <w:bookmarkStart w:id="2414" w:name="_Toc38440021"/>
      <w:bookmarkStart w:id="2415" w:name="_Toc38440358"/>
      <w:bookmarkStart w:id="2416" w:name="_Toc38440890"/>
      <w:bookmarkStart w:id="2417" w:name="_Toc38441222"/>
      <w:bookmarkStart w:id="2418" w:name="_Toc38441554"/>
      <w:bookmarkStart w:id="2419" w:name="_Toc38441882"/>
      <w:bookmarkStart w:id="2420" w:name="_Toc38442214"/>
      <w:bookmarkStart w:id="2421" w:name="_Toc38442546"/>
      <w:bookmarkStart w:id="2422" w:name="_Toc38442877"/>
      <w:bookmarkStart w:id="2423" w:name="_Toc38443208"/>
      <w:bookmarkStart w:id="2424" w:name="_Toc38443539"/>
      <w:bookmarkStart w:id="2425" w:name="_Toc38443870"/>
      <w:bookmarkStart w:id="2426" w:name="_Toc38438337"/>
      <w:bookmarkStart w:id="2427" w:name="_Toc38438674"/>
      <w:bookmarkStart w:id="2428" w:name="_Toc38439011"/>
      <w:bookmarkStart w:id="2429" w:name="_Toc38439348"/>
      <w:bookmarkStart w:id="2430" w:name="_Toc38439685"/>
      <w:bookmarkStart w:id="2431" w:name="_Toc38440022"/>
      <w:bookmarkStart w:id="2432" w:name="_Toc38440359"/>
      <w:bookmarkStart w:id="2433" w:name="_Toc38440891"/>
      <w:bookmarkStart w:id="2434" w:name="_Toc38441223"/>
      <w:bookmarkStart w:id="2435" w:name="_Toc38441555"/>
      <w:bookmarkStart w:id="2436" w:name="_Toc38441883"/>
      <w:bookmarkStart w:id="2437" w:name="_Toc38442215"/>
      <w:bookmarkStart w:id="2438" w:name="_Toc38442547"/>
      <w:bookmarkStart w:id="2439" w:name="_Toc38442878"/>
      <w:bookmarkStart w:id="2440" w:name="_Toc38443209"/>
      <w:bookmarkStart w:id="2441" w:name="_Toc38443540"/>
      <w:bookmarkStart w:id="2442" w:name="_Toc38443871"/>
      <w:bookmarkStart w:id="2443" w:name="_Toc38438338"/>
      <w:bookmarkStart w:id="2444" w:name="_Toc38438675"/>
      <w:bookmarkStart w:id="2445" w:name="_Toc38439012"/>
      <w:bookmarkStart w:id="2446" w:name="_Toc38439349"/>
      <w:bookmarkStart w:id="2447" w:name="_Toc38439686"/>
      <w:bookmarkStart w:id="2448" w:name="_Toc38440023"/>
      <w:bookmarkStart w:id="2449" w:name="_Toc38440360"/>
      <w:bookmarkStart w:id="2450" w:name="_Toc38440892"/>
      <w:bookmarkStart w:id="2451" w:name="_Toc38441224"/>
      <w:bookmarkStart w:id="2452" w:name="_Toc38441556"/>
      <w:bookmarkStart w:id="2453" w:name="_Toc38441884"/>
      <w:bookmarkStart w:id="2454" w:name="_Toc38442216"/>
      <w:bookmarkStart w:id="2455" w:name="_Toc38442548"/>
      <w:bookmarkStart w:id="2456" w:name="_Toc38442879"/>
      <w:bookmarkStart w:id="2457" w:name="_Toc38443210"/>
      <w:bookmarkStart w:id="2458" w:name="_Toc38443541"/>
      <w:bookmarkStart w:id="2459" w:name="_Toc38443872"/>
      <w:bookmarkStart w:id="2460" w:name="_Toc38438339"/>
      <w:bookmarkStart w:id="2461" w:name="_Toc38438676"/>
      <w:bookmarkStart w:id="2462" w:name="_Toc38439013"/>
      <w:bookmarkStart w:id="2463" w:name="_Toc38439350"/>
      <w:bookmarkStart w:id="2464" w:name="_Toc38439687"/>
      <w:bookmarkStart w:id="2465" w:name="_Toc38440024"/>
      <w:bookmarkStart w:id="2466" w:name="_Toc38440361"/>
      <w:bookmarkStart w:id="2467" w:name="_Toc38440893"/>
      <w:bookmarkStart w:id="2468" w:name="_Toc38441225"/>
      <w:bookmarkStart w:id="2469" w:name="_Toc38441557"/>
      <w:bookmarkStart w:id="2470" w:name="_Toc38441885"/>
      <w:bookmarkStart w:id="2471" w:name="_Toc38442217"/>
      <w:bookmarkStart w:id="2472" w:name="_Toc38442549"/>
      <w:bookmarkStart w:id="2473" w:name="_Toc38442880"/>
      <w:bookmarkStart w:id="2474" w:name="_Toc38443211"/>
      <w:bookmarkStart w:id="2475" w:name="_Toc38443542"/>
      <w:bookmarkStart w:id="2476" w:name="_Toc38443873"/>
      <w:bookmarkStart w:id="2477" w:name="_Toc38438340"/>
      <w:bookmarkStart w:id="2478" w:name="_Toc38438677"/>
      <w:bookmarkStart w:id="2479" w:name="_Toc38439014"/>
      <w:bookmarkStart w:id="2480" w:name="_Toc38439351"/>
      <w:bookmarkStart w:id="2481" w:name="_Toc38439688"/>
      <w:bookmarkStart w:id="2482" w:name="_Toc38440025"/>
      <w:bookmarkStart w:id="2483" w:name="_Toc38440362"/>
      <w:bookmarkStart w:id="2484" w:name="_Toc38440894"/>
      <w:bookmarkStart w:id="2485" w:name="_Toc38441226"/>
      <w:bookmarkStart w:id="2486" w:name="_Toc38441558"/>
      <w:bookmarkStart w:id="2487" w:name="_Toc38441886"/>
      <w:bookmarkStart w:id="2488" w:name="_Toc38442218"/>
      <w:bookmarkStart w:id="2489" w:name="_Toc38442550"/>
      <w:bookmarkStart w:id="2490" w:name="_Toc38442881"/>
      <w:bookmarkStart w:id="2491" w:name="_Toc38443212"/>
      <w:bookmarkStart w:id="2492" w:name="_Toc38443543"/>
      <w:bookmarkStart w:id="2493" w:name="_Toc38443874"/>
      <w:bookmarkStart w:id="2494" w:name="_Toc38438341"/>
      <w:bookmarkStart w:id="2495" w:name="_Toc38438678"/>
      <w:bookmarkStart w:id="2496" w:name="_Toc38439015"/>
      <w:bookmarkStart w:id="2497" w:name="_Toc38439352"/>
      <w:bookmarkStart w:id="2498" w:name="_Toc38439689"/>
      <w:bookmarkStart w:id="2499" w:name="_Toc38440026"/>
      <w:bookmarkStart w:id="2500" w:name="_Toc38440363"/>
      <w:bookmarkStart w:id="2501" w:name="_Toc38440895"/>
      <w:bookmarkStart w:id="2502" w:name="_Toc38441227"/>
      <w:bookmarkStart w:id="2503" w:name="_Toc38441559"/>
      <w:bookmarkStart w:id="2504" w:name="_Toc38441887"/>
      <w:bookmarkStart w:id="2505" w:name="_Toc38442219"/>
      <w:bookmarkStart w:id="2506" w:name="_Toc38442551"/>
      <w:bookmarkStart w:id="2507" w:name="_Toc38442882"/>
      <w:bookmarkStart w:id="2508" w:name="_Toc38443213"/>
      <w:bookmarkStart w:id="2509" w:name="_Toc38443544"/>
      <w:bookmarkStart w:id="2510" w:name="_Toc38443875"/>
      <w:bookmarkStart w:id="2511" w:name="_Toc38438342"/>
      <w:bookmarkStart w:id="2512" w:name="_Toc38438679"/>
      <w:bookmarkStart w:id="2513" w:name="_Toc38439016"/>
      <w:bookmarkStart w:id="2514" w:name="_Toc38439353"/>
      <w:bookmarkStart w:id="2515" w:name="_Toc38439690"/>
      <w:bookmarkStart w:id="2516" w:name="_Toc38440027"/>
      <w:bookmarkStart w:id="2517" w:name="_Toc38440364"/>
      <w:bookmarkStart w:id="2518" w:name="_Toc38440896"/>
      <w:bookmarkStart w:id="2519" w:name="_Toc38441228"/>
      <w:bookmarkStart w:id="2520" w:name="_Toc38441560"/>
      <w:bookmarkStart w:id="2521" w:name="_Toc38441888"/>
      <w:bookmarkStart w:id="2522" w:name="_Toc38442220"/>
      <w:bookmarkStart w:id="2523" w:name="_Toc38442552"/>
      <w:bookmarkStart w:id="2524" w:name="_Toc38442883"/>
      <w:bookmarkStart w:id="2525" w:name="_Toc38443214"/>
      <w:bookmarkStart w:id="2526" w:name="_Toc38443545"/>
      <w:bookmarkStart w:id="2527" w:name="_Toc38443876"/>
      <w:bookmarkStart w:id="2528" w:name="_Toc38438343"/>
      <w:bookmarkStart w:id="2529" w:name="_Toc38438680"/>
      <w:bookmarkStart w:id="2530" w:name="_Toc38439017"/>
      <w:bookmarkStart w:id="2531" w:name="_Toc38439354"/>
      <w:bookmarkStart w:id="2532" w:name="_Toc38439691"/>
      <w:bookmarkStart w:id="2533" w:name="_Toc38440028"/>
      <w:bookmarkStart w:id="2534" w:name="_Toc38440365"/>
      <w:bookmarkStart w:id="2535" w:name="_Toc38440897"/>
      <w:bookmarkStart w:id="2536" w:name="_Toc38441229"/>
      <w:bookmarkStart w:id="2537" w:name="_Toc38441561"/>
      <w:bookmarkStart w:id="2538" w:name="_Toc38441889"/>
      <w:bookmarkStart w:id="2539" w:name="_Toc38442221"/>
      <w:bookmarkStart w:id="2540" w:name="_Toc38442553"/>
      <w:bookmarkStart w:id="2541" w:name="_Toc38442884"/>
      <w:bookmarkStart w:id="2542" w:name="_Toc38443215"/>
      <w:bookmarkStart w:id="2543" w:name="_Toc38443546"/>
      <w:bookmarkStart w:id="2544" w:name="_Toc38443877"/>
      <w:bookmarkStart w:id="2545" w:name="_Toc13148422"/>
      <w:bookmarkEnd w:id="1441"/>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bookmarkEnd w:id="1796"/>
      <w:bookmarkEnd w:id="1797"/>
      <w:bookmarkEnd w:id="1798"/>
      <w:bookmarkEnd w:id="1799"/>
      <w:bookmarkEnd w:id="1800"/>
      <w:bookmarkEnd w:id="1801"/>
      <w:bookmarkEnd w:id="1802"/>
      <w:bookmarkEnd w:id="1803"/>
      <w:bookmarkEnd w:id="1804"/>
      <w:bookmarkEnd w:id="1805"/>
      <w:bookmarkEnd w:id="1806"/>
      <w:bookmarkEnd w:id="1807"/>
      <w:bookmarkEnd w:id="1808"/>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bookmarkEnd w:id="1845"/>
      <w:bookmarkEnd w:id="1846"/>
      <w:bookmarkEnd w:id="1847"/>
      <w:bookmarkEnd w:id="1848"/>
      <w:bookmarkEnd w:id="1849"/>
      <w:bookmarkEnd w:id="1850"/>
      <w:bookmarkEnd w:id="1851"/>
      <w:bookmarkEnd w:id="1852"/>
      <w:bookmarkEnd w:id="1853"/>
      <w:bookmarkEnd w:id="1854"/>
      <w:bookmarkEnd w:id="1855"/>
      <w:bookmarkEnd w:id="1856"/>
      <w:bookmarkEnd w:id="1857"/>
      <w:bookmarkEnd w:id="1858"/>
      <w:bookmarkEnd w:id="1859"/>
      <w:bookmarkEnd w:id="1860"/>
      <w:bookmarkEnd w:id="1861"/>
      <w:bookmarkEnd w:id="1862"/>
      <w:bookmarkEnd w:id="1863"/>
      <w:bookmarkEnd w:id="1864"/>
      <w:bookmarkEnd w:id="1865"/>
      <w:bookmarkEnd w:id="1866"/>
      <w:bookmarkEnd w:id="1867"/>
      <w:bookmarkEnd w:id="1868"/>
      <w:bookmarkEnd w:id="1869"/>
      <w:bookmarkEnd w:id="1870"/>
      <w:bookmarkEnd w:id="1871"/>
      <w:bookmarkEnd w:id="1872"/>
      <w:bookmarkEnd w:id="1873"/>
      <w:bookmarkEnd w:id="1874"/>
      <w:bookmarkEnd w:id="1875"/>
      <w:bookmarkEnd w:id="1876"/>
      <w:bookmarkEnd w:id="1877"/>
      <w:bookmarkEnd w:id="1878"/>
      <w:bookmarkEnd w:id="1879"/>
      <w:bookmarkEnd w:id="1880"/>
      <w:bookmarkEnd w:id="1881"/>
      <w:bookmarkEnd w:id="1882"/>
      <w:bookmarkEnd w:id="1883"/>
      <w:bookmarkEnd w:id="1884"/>
      <w:bookmarkEnd w:id="1885"/>
      <w:bookmarkEnd w:id="1886"/>
      <w:bookmarkEnd w:id="1887"/>
      <w:bookmarkEnd w:id="1888"/>
      <w:bookmarkEnd w:id="1889"/>
      <w:bookmarkEnd w:id="1890"/>
      <w:bookmarkEnd w:id="1891"/>
      <w:bookmarkEnd w:id="1892"/>
      <w:bookmarkEnd w:id="1893"/>
      <w:bookmarkEnd w:id="1894"/>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bookmarkEnd w:id="1931"/>
      <w:bookmarkEnd w:id="1932"/>
      <w:bookmarkEnd w:id="1933"/>
      <w:bookmarkEnd w:id="1934"/>
      <w:bookmarkEnd w:id="1935"/>
      <w:bookmarkEnd w:id="1936"/>
      <w:bookmarkEnd w:id="1937"/>
      <w:bookmarkEnd w:id="1938"/>
      <w:bookmarkEnd w:id="1939"/>
      <w:bookmarkEnd w:id="1940"/>
      <w:bookmarkEnd w:id="1941"/>
      <w:bookmarkEnd w:id="1942"/>
      <w:bookmarkEnd w:id="1943"/>
      <w:bookmarkEnd w:id="1944"/>
      <w:bookmarkEnd w:id="1945"/>
      <w:bookmarkEnd w:id="1946"/>
      <w:bookmarkEnd w:id="1947"/>
      <w:bookmarkEnd w:id="1948"/>
      <w:bookmarkEnd w:id="1949"/>
      <w:bookmarkEnd w:id="1950"/>
      <w:bookmarkEnd w:id="1951"/>
      <w:bookmarkEnd w:id="1952"/>
      <w:bookmarkEnd w:id="1953"/>
      <w:bookmarkEnd w:id="1954"/>
      <w:bookmarkEnd w:id="1955"/>
      <w:bookmarkEnd w:id="1956"/>
      <w:bookmarkEnd w:id="1957"/>
      <w:bookmarkEnd w:id="1958"/>
      <w:bookmarkEnd w:id="1959"/>
      <w:bookmarkEnd w:id="1960"/>
      <w:bookmarkEnd w:id="1961"/>
      <w:bookmarkEnd w:id="1962"/>
      <w:bookmarkEnd w:id="1963"/>
      <w:bookmarkEnd w:id="1964"/>
      <w:bookmarkEnd w:id="1965"/>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bookmarkEnd w:id="2002"/>
      <w:bookmarkEnd w:id="2003"/>
      <w:bookmarkEnd w:id="2004"/>
      <w:bookmarkEnd w:id="2005"/>
      <w:bookmarkEnd w:id="2006"/>
      <w:bookmarkEnd w:id="2007"/>
      <w:bookmarkEnd w:id="2008"/>
      <w:bookmarkEnd w:id="2009"/>
      <w:bookmarkEnd w:id="2010"/>
      <w:bookmarkEnd w:id="2011"/>
      <w:bookmarkEnd w:id="2012"/>
      <w:bookmarkEnd w:id="2013"/>
      <w:bookmarkEnd w:id="2014"/>
      <w:bookmarkEnd w:id="2015"/>
      <w:bookmarkEnd w:id="2016"/>
      <w:bookmarkEnd w:id="2017"/>
      <w:bookmarkEnd w:id="2018"/>
      <w:bookmarkEnd w:id="2019"/>
      <w:bookmarkEnd w:id="2020"/>
      <w:bookmarkEnd w:id="2021"/>
      <w:bookmarkEnd w:id="2022"/>
      <w:bookmarkEnd w:id="2023"/>
      <w:bookmarkEnd w:id="2024"/>
      <w:bookmarkEnd w:id="2025"/>
      <w:bookmarkEnd w:id="2026"/>
      <w:bookmarkEnd w:id="2027"/>
      <w:bookmarkEnd w:id="2028"/>
      <w:bookmarkEnd w:id="2029"/>
      <w:bookmarkEnd w:id="2030"/>
      <w:bookmarkEnd w:id="2031"/>
      <w:bookmarkEnd w:id="2032"/>
      <w:bookmarkEnd w:id="2033"/>
      <w:bookmarkEnd w:id="2034"/>
      <w:bookmarkEnd w:id="2035"/>
      <w:bookmarkEnd w:id="2036"/>
      <w:bookmarkEnd w:id="2037"/>
      <w:bookmarkEnd w:id="2038"/>
      <w:bookmarkEnd w:id="2039"/>
      <w:bookmarkEnd w:id="2040"/>
      <w:bookmarkEnd w:id="2041"/>
      <w:bookmarkEnd w:id="2042"/>
      <w:bookmarkEnd w:id="2043"/>
      <w:bookmarkEnd w:id="2044"/>
      <w:bookmarkEnd w:id="2045"/>
      <w:bookmarkEnd w:id="2046"/>
      <w:bookmarkEnd w:id="2047"/>
      <w:bookmarkEnd w:id="2048"/>
      <w:bookmarkEnd w:id="2049"/>
      <w:bookmarkEnd w:id="2050"/>
      <w:bookmarkEnd w:id="2051"/>
      <w:bookmarkEnd w:id="2052"/>
      <w:bookmarkEnd w:id="2053"/>
      <w:bookmarkEnd w:id="2054"/>
      <w:bookmarkEnd w:id="2055"/>
      <w:bookmarkEnd w:id="2056"/>
      <w:bookmarkEnd w:id="2057"/>
      <w:bookmarkEnd w:id="2058"/>
      <w:bookmarkEnd w:id="2059"/>
      <w:bookmarkEnd w:id="2060"/>
      <w:bookmarkEnd w:id="2061"/>
      <w:bookmarkEnd w:id="2062"/>
      <w:bookmarkEnd w:id="2063"/>
      <w:bookmarkEnd w:id="2064"/>
      <w:bookmarkEnd w:id="2065"/>
      <w:bookmarkEnd w:id="2066"/>
      <w:bookmarkEnd w:id="2067"/>
      <w:bookmarkEnd w:id="2068"/>
      <w:bookmarkEnd w:id="2069"/>
      <w:bookmarkEnd w:id="2070"/>
      <w:bookmarkEnd w:id="2071"/>
      <w:bookmarkEnd w:id="2072"/>
      <w:bookmarkEnd w:id="2073"/>
      <w:bookmarkEnd w:id="2074"/>
      <w:bookmarkEnd w:id="2075"/>
      <w:bookmarkEnd w:id="2076"/>
      <w:bookmarkEnd w:id="2077"/>
      <w:bookmarkEnd w:id="2078"/>
      <w:bookmarkEnd w:id="2079"/>
      <w:bookmarkEnd w:id="2080"/>
      <w:bookmarkEnd w:id="2081"/>
      <w:bookmarkEnd w:id="2082"/>
      <w:bookmarkEnd w:id="2083"/>
      <w:bookmarkEnd w:id="2084"/>
      <w:bookmarkEnd w:id="2085"/>
      <w:bookmarkEnd w:id="2086"/>
      <w:bookmarkEnd w:id="2087"/>
      <w:bookmarkEnd w:id="2088"/>
      <w:bookmarkEnd w:id="2089"/>
      <w:bookmarkEnd w:id="2090"/>
      <w:bookmarkEnd w:id="2091"/>
      <w:bookmarkEnd w:id="2092"/>
      <w:bookmarkEnd w:id="2093"/>
      <w:bookmarkEnd w:id="2094"/>
      <w:bookmarkEnd w:id="2095"/>
      <w:bookmarkEnd w:id="2096"/>
      <w:bookmarkEnd w:id="2097"/>
      <w:bookmarkEnd w:id="2098"/>
      <w:bookmarkEnd w:id="2099"/>
      <w:bookmarkEnd w:id="2100"/>
      <w:bookmarkEnd w:id="2101"/>
      <w:bookmarkEnd w:id="2102"/>
      <w:bookmarkEnd w:id="2103"/>
      <w:bookmarkEnd w:id="2104"/>
      <w:bookmarkEnd w:id="2105"/>
      <w:bookmarkEnd w:id="2106"/>
      <w:bookmarkEnd w:id="2107"/>
      <w:bookmarkEnd w:id="2108"/>
      <w:bookmarkEnd w:id="2109"/>
      <w:bookmarkEnd w:id="2110"/>
      <w:bookmarkEnd w:id="2111"/>
      <w:bookmarkEnd w:id="2112"/>
      <w:bookmarkEnd w:id="2113"/>
      <w:bookmarkEnd w:id="2114"/>
      <w:bookmarkEnd w:id="2115"/>
      <w:bookmarkEnd w:id="2116"/>
      <w:bookmarkEnd w:id="2117"/>
      <w:bookmarkEnd w:id="2118"/>
      <w:bookmarkEnd w:id="2119"/>
      <w:bookmarkEnd w:id="2120"/>
      <w:bookmarkEnd w:id="2121"/>
      <w:bookmarkEnd w:id="2122"/>
      <w:bookmarkEnd w:id="2123"/>
      <w:bookmarkEnd w:id="2124"/>
      <w:bookmarkEnd w:id="2125"/>
      <w:bookmarkEnd w:id="2126"/>
      <w:bookmarkEnd w:id="2127"/>
      <w:bookmarkEnd w:id="2128"/>
      <w:bookmarkEnd w:id="2129"/>
      <w:bookmarkEnd w:id="2130"/>
      <w:bookmarkEnd w:id="2131"/>
      <w:bookmarkEnd w:id="2132"/>
      <w:bookmarkEnd w:id="2133"/>
      <w:bookmarkEnd w:id="2134"/>
      <w:bookmarkEnd w:id="2135"/>
      <w:bookmarkEnd w:id="2136"/>
      <w:bookmarkEnd w:id="2137"/>
      <w:bookmarkEnd w:id="2138"/>
      <w:bookmarkEnd w:id="2139"/>
      <w:bookmarkEnd w:id="2140"/>
      <w:bookmarkEnd w:id="2141"/>
      <w:bookmarkEnd w:id="2142"/>
      <w:bookmarkEnd w:id="2143"/>
      <w:bookmarkEnd w:id="2144"/>
      <w:bookmarkEnd w:id="2145"/>
      <w:bookmarkEnd w:id="2146"/>
      <w:bookmarkEnd w:id="2147"/>
      <w:bookmarkEnd w:id="2148"/>
      <w:bookmarkEnd w:id="2149"/>
      <w:bookmarkEnd w:id="2150"/>
      <w:bookmarkEnd w:id="2151"/>
      <w:bookmarkEnd w:id="2152"/>
      <w:bookmarkEnd w:id="2153"/>
      <w:bookmarkEnd w:id="2154"/>
      <w:bookmarkEnd w:id="2155"/>
      <w:bookmarkEnd w:id="2156"/>
      <w:bookmarkEnd w:id="2157"/>
      <w:bookmarkEnd w:id="2158"/>
      <w:bookmarkEnd w:id="2159"/>
      <w:bookmarkEnd w:id="2160"/>
      <w:bookmarkEnd w:id="2161"/>
      <w:bookmarkEnd w:id="2162"/>
      <w:bookmarkEnd w:id="2163"/>
      <w:bookmarkEnd w:id="2164"/>
      <w:bookmarkEnd w:id="2165"/>
      <w:bookmarkEnd w:id="2166"/>
      <w:bookmarkEnd w:id="2167"/>
      <w:bookmarkEnd w:id="2168"/>
      <w:bookmarkEnd w:id="2169"/>
      <w:bookmarkEnd w:id="2170"/>
      <w:bookmarkEnd w:id="2171"/>
      <w:bookmarkEnd w:id="2172"/>
      <w:bookmarkEnd w:id="2173"/>
      <w:bookmarkEnd w:id="2174"/>
      <w:bookmarkEnd w:id="2175"/>
      <w:bookmarkEnd w:id="2176"/>
      <w:bookmarkEnd w:id="2177"/>
      <w:bookmarkEnd w:id="2178"/>
      <w:bookmarkEnd w:id="2179"/>
      <w:bookmarkEnd w:id="2180"/>
      <w:bookmarkEnd w:id="2181"/>
      <w:bookmarkEnd w:id="2182"/>
      <w:bookmarkEnd w:id="2183"/>
      <w:bookmarkEnd w:id="2184"/>
      <w:bookmarkEnd w:id="2185"/>
      <w:bookmarkEnd w:id="2186"/>
      <w:bookmarkEnd w:id="2187"/>
      <w:bookmarkEnd w:id="2188"/>
      <w:bookmarkEnd w:id="2189"/>
      <w:bookmarkEnd w:id="2190"/>
      <w:bookmarkEnd w:id="2191"/>
      <w:bookmarkEnd w:id="2192"/>
      <w:bookmarkEnd w:id="2193"/>
      <w:bookmarkEnd w:id="2194"/>
      <w:bookmarkEnd w:id="2195"/>
      <w:bookmarkEnd w:id="2196"/>
      <w:bookmarkEnd w:id="2197"/>
      <w:bookmarkEnd w:id="2198"/>
      <w:bookmarkEnd w:id="2199"/>
      <w:bookmarkEnd w:id="2200"/>
      <w:bookmarkEnd w:id="2201"/>
      <w:bookmarkEnd w:id="2202"/>
      <w:bookmarkEnd w:id="2203"/>
      <w:bookmarkEnd w:id="2204"/>
      <w:bookmarkEnd w:id="2205"/>
      <w:bookmarkEnd w:id="2206"/>
      <w:bookmarkEnd w:id="2207"/>
      <w:bookmarkEnd w:id="2208"/>
      <w:bookmarkEnd w:id="2209"/>
      <w:bookmarkEnd w:id="2210"/>
      <w:bookmarkEnd w:id="2211"/>
      <w:bookmarkEnd w:id="2212"/>
      <w:bookmarkEnd w:id="2213"/>
      <w:bookmarkEnd w:id="2214"/>
      <w:bookmarkEnd w:id="2215"/>
      <w:bookmarkEnd w:id="2216"/>
      <w:bookmarkEnd w:id="2217"/>
      <w:bookmarkEnd w:id="2218"/>
      <w:bookmarkEnd w:id="2219"/>
      <w:bookmarkEnd w:id="2220"/>
      <w:bookmarkEnd w:id="2221"/>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bookmarkEnd w:id="2258"/>
      <w:bookmarkEnd w:id="2259"/>
      <w:bookmarkEnd w:id="2260"/>
      <w:bookmarkEnd w:id="2261"/>
      <w:bookmarkEnd w:id="2262"/>
      <w:bookmarkEnd w:id="2263"/>
      <w:bookmarkEnd w:id="2264"/>
      <w:bookmarkEnd w:id="2265"/>
      <w:bookmarkEnd w:id="2266"/>
      <w:bookmarkEnd w:id="2267"/>
      <w:bookmarkEnd w:id="2268"/>
      <w:bookmarkEnd w:id="2269"/>
      <w:bookmarkEnd w:id="2270"/>
      <w:bookmarkEnd w:id="2271"/>
      <w:bookmarkEnd w:id="2272"/>
      <w:bookmarkEnd w:id="2273"/>
      <w:bookmarkEnd w:id="2274"/>
      <w:bookmarkEnd w:id="2275"/>
      <w:bookmarkEnd w:id="2276"/>
      <w:bookmarkEnd w:id="2277"/>
      <w:bookmarkEnd w:id="2278"/>
      <w:bookmarkEnd w:id="2279"/>
      <w:bookmarkEnd w:id="2280"/>
      <w:bookmarkEnd w:id="2281"/>
      <w:bookmarkEnd w:id="2282"/>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bookmarkEnd w:id="2319"/>
      <w:bookmarkEnd w:id="2320"/>
      <w:bookmarkEnd w:id="2321"/>
      <w:bookmarkEnd w:id="2322"/>
      <w:bookmarkEnd w:id="2323"/>
      <w:bookmarkEnd w:id="2324"/>
      <w:bookmarkEnd w:id="2325"/>
      <w:bookmarkEnd w:id="2326"/>
      <w:bookmarkEnd w:id="2327"/>
      <w:bookmarkEnd w:id="2328"/>
      <w:bookmarkEnd w:id="2329"/>
      <w:bookmarkEnd w:id="2330"/>
      <w:bookmarkEnd w:id="2331"/>
      <w:bookmarkEnd w:id="2332"/>
      <w:bookmarkEnd w:id="2333"/>
      <w:bookmarkEnd w:id="2334"/>
      <w:bookmarkEnd w:id="2335"/>
      <w:bookmarkEnd w:id="2336"/>
      <w:bookmarkEnd w:id="2337"/>
      <w:bookmarkEnd w:id="2338"/>
      <w:bookmarkEnd w:id="2339"/>
      <w:bookmarkEnd w:id="2340"/>
      <w:bookmarkEnd w:id="2341"/>
      <w:bookmarkEnd w:id="2342"/>
      <w:bookmarkEnd w:id="2343"/>
      <w:bookmarkEnd w:id="2344"/>
      <w:bookmarkEnd w:id="2345"/>
      <w:bookmarkEnd w:id="2346"/>
      <w:bookmarkEnd w:id="2347"/>
      <w:bookmarkEnd w:id="2348"/>
      <w:bookmarkEnd w:id="2349"/>
      <w:bookmarkEnd w:id="2350"/>
      <w:bookmarkEnd w:id="2351"/>
      <w:bookmarkEnd w:id="2352"/>
      <w:bookmarkEnd w:id="2353"/>
      <w:bookmarkEnd w:id="2354"/>
      <w:bookmarkEnd w:id="2355"/>
      <w:bookmarkEnd w:id="2356"/>
      <w:bookmarkEnd w:id="2357"/>
      <w:bookmarkEnd w:id="2358"/>
      <w:bookmarkEnd w:id="2359"/>
      <w:bookmarkEnd w:id="2360"/>
      <w:bookmarkEnd w:id="2361"/>
      <w:bookmarkEnd w:id="2362"/>
      <w:bookmarkEnd w:id="2363"/>
      <w:bookmarkEnd w:id="2364"/>
      <w:bookmarkEnd w:id="2365"/>
      <w:bookmarkEnd w:id="2366"/>
      <w:bookmarkEnd w:id="2367"/>
      <w:bookmarkEnd w:id="2368"/>
      <w:bookmarkEnd w:id="2369"/>
      <w:bookmarkEnd w:id="2370"/>
      <w:bookmarkEnd w:id="2371"/>
      <w:bookmarkEnd w:id="2372"/>
      <w:bookmarkEnd w:id="2373"/>
      <w:bookmarkEnd w:id="2374"/>
      <w:bookmarkEnd w:id="2375"/>
      <w:bookmarkEnd w:id="2376"/>
      <w:bookmarkEnd w:id="2377"/>
      <w:bookmarkEnd w:id="2378"/>
      <w:bookmarkEnd w:id="2379"/>
      <w:bookmarkEnd w:id="2380"/>
      <w:bookmarkEnd w:id="2381"/>
      <w:bookmarkEnd w:id="2382"/>
      <w:bookmarkEnd w:id="2383"/>
      <w:bookmarkEnd w:id="2384"/>
      <w:bookmarkEnd w:id="2385"/>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bookmarkEnd w:id="2422"/>
      <w:bookmarkEnd w:id="2423"/>
      <w:bookmarkEnd w:id="2424"/>
      <w:bookmarkEnd w:id="2425"/>
      <w:bookmarkEnd w:id="2426"/>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bCs/>
        </w:rPr>
      </w:pPr>
      <w:bookmarkStart w:id="2546" w:name="_Toc38551276"/>
      <w:r w:rsidRPr="00565E0D">
        <w:rPr>
          <w:rFonts w:asciiTheme="minorEastAsia" w:eastAsiaTheme="minorEastAsia" w:hAnsiTheme="minorEastAsia" w:hint="eastAsia"/>
          <w:b/>
          <w:bCs/>
        </w:rPr>
        <w:lastRenderedPageBreak/>
        <w:t>二十四、</w:t>
      </w:r>
      <w:bookmarkEnd w:id="2545"/>
      <w:r w:rsidRPr="00565E0D">
        <w:rPr>
          <w:rFonts w:asciiTheme="minorEastAsia" w:eastAsiaTheme="minorEastAsia" w:hAnsiTheme="minorEastAsia" w:hint="eastAsia"/>
          <w:b/>
          <w:bCs/>
        </w:rPr>
        <w:t>其他应披露事项</w:t>
      </w:r>
      <w:bookmarkEnd w:id="2546"/>
    </w:p>
    <w:tbl>
      <w:tblPr>
        <w:tblW w:w="7928" w:type="dxa"/>
        <w:tblInd w:w="118" w:type="dxa"/>
        <w:tblLayout w:type="fixed"/>
        <w:tblLook w:val="04A0" w:firstRow="1" w:lastRow="0" w:firstColumn="1" w:lastColumn="0" w:noHBand="0" w:noVBand="1"/>
      </w:tblPr>
      <w:tblGrid>
        <w:gridCol w:w="6511"/>
        <w:gridCol w:w="1417"/>
      </w:tblGrid>
      <w:tr w:rsidR="00565E0D" w:rsidRPr="00565E0D" w:rsidTr="008358E5">
        <w:trPr>
          <w:trHeight w:val="285"/>
        </w:trPr>
        <w:tc>
          <w:tcPr>
            <w:tcW w:w="651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024290" w:rsidRPr="00565E0D" w:rsidRDefault="007417EC" w:rsidP="00024290">
            <w:pPr>
              <w:widowControl/>
              <w:jc w:val="center"/>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公告事项</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024290" w:rsidRPr="00565E0D" w:rsidRDefault="007417EC" w:rsidP="00024290">
            <w:pPr>
              <w:widowControl/>
              <w:jc w:val="center"/>
              <w:rPr>
                <w:rFonts w:asciiTheme="minorEastAsia" w:eastAsiaTheme="minorEastAsia" w:hAnsiTheme="minorEastAsia" w:cs="宋体"/>
                <w:kern w:val="0"/>
                <w:szCs w:val="21"/>
              </w:rPr>
            </w:pPr>
            <w:r w:rsidRPr="00565E0D">
              <w:rPr>
                <w:rFonts w:asciiTheme="minorEastAsia" w:eastAsiaTheme="minorEastAsia" w:hAnsiTheme="minorEastAsia" w:cs="宋体" w:hint="eastAsia"/>
                <w:kern w:val="0"/>
                <w:szCs w:val="21"/>
              </w:rPr>
              <w:t>披露日期</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易方达基金管理有限公司关于旗下部分开放式基金增加青岛银行为销售机构的公告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2019-04-08</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易方达基金管理有限公司关于旗下部分开放式基金参加国盛证券费率优惠活动的公告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2019-04-12</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易方达基金管理有限公司关于旗下部分开放式基金参加齐商银行费率优惠活动的公告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2019-05-07</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易方达基金管理有限公司关于旗下部分开放式基金参加中国民生银行费率优惠活动的公告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2019-05-16</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易方达基金管理有限公司关于民族证券并入方正证券期间基金业务安排的提示性公告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2019-05-22</w:t>
            </w:r>
          </w:p>
        </w:tc>
      </w:tr>
      <w:tr w:rsidR="00565E0D" w:rsidRPr="00565E0D" w:rsidTr="008358E5">
        <w:trPr>
          <w:trHeight w:val="28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易方达基金管理有限公司关于提醒网上直销个人投资者及时上传身份证件照片并完善、更新身份信息以免影响日常交易的公告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2019-05-28</w:t>
            </w:r>
          </w:p>
        </w:tc>
      </w:tr>
      <w:tr w:rsidR="00565E0D" w:rsidRPr="00565E0D" w:rsidTr="008358E5">
        <w:trPr>
          <w:trHeight w:val="285"/>
        </w:trPr>
        <w:tc>
          <w:tcPr>
            <w:tcW w:w="6511" w:type="dxa"/>
            <w:tcBorders>
              <w:top w:val="nil"/>
              <w:left w:val="single" w:sz="8" w:space="0" w:color="auto"/>
              <w:bottom w:val="single" w:sz="8" w:space="0" w:color="auto"/>
              <w:right w:val="single" w:sz="8" w:space="0" w:color="auto"/>
            </w:tcBorders>
            <w:shd w:val="clear" w:color="auto" w:fill="auto"/>
            <w:vAlign w:val="bottom"/>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易方达基金管理有限公司关于调整转换业务货币市场基金未付收益支付规则的公告</w:t>
            </w:r>
          </w:p>
        </w:tc>
        <w:tc>
          <w:tcPr>
            <w:tcW w:w="1417" w:type="dxa"/>
            <w:tcBorders>
              <w:top w:val="nil"/>
              <w:left w:val="nil"/>
              <w:bottom w:val="single" w:sz="8" w:space="0" w:color="auto"/>
              <w:right w:val="single" w:sz="8"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2019-06-20</w:t>
            </w:r>
          </w:p>
        </w:tc>
      </w:tr>
      <w:tr w:rsidR="00565E0D" w:rsidRPr="00565E0D" w:rsidTr="008358E5">
        <w:trPr>
          <w:trHeight w:val="285"/>
        </w:trPr>
        <w:tc>
          <w:tcPr>
            <w:tcW w:w="6511" w:type="dxa"/>
            <w:tcBorders>
              <w:top w:val="nil"/>
              <w:left w:val="single" w:sz="8" w:space="0" w:color="auto"/>
              <w:bottom w:val="single" w:sz="8" w:space="0" w:color="auto"/>
              <w:right w:val="single" w:sz="8" w:space="0" w:color="auto"/>
            </w:tcBorders>
            <w:shd w:val="clear" w:color="auto" w:fill="auto"/>
            <w:vAlign w:val="bottom"/>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易方达基金管理有限公司关于旗下部分开放式基金参加佛山农商银行费率优惠活动的公告</w:t>
            </w:r>
          </w:p>
        </w:tc>
        <w:tc>
          <w:tcPr>
            <w:tcW w:w="1417" w:type="dxa"/>
            <w:tcBorders>
              <w:top w:val="nil"/>
              <w:left w:val="nil"/>
              <w:bottom w:val="single" w:sz="8" w:space="0" w:color="auto"/>
              <w:right w:val="single" w:sz="8"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2019-06-21</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易方达基金管理有限公司关于旗下部分公开募集证券投资基金可投资于科创板股票的公告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2019-06-22</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易方达基金管理有限公司关于旗下部分开放式基金参加德邦证券费率优惠活动的公告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2019-06-24</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易方达基金管理有限公司关于旗下部分开放式基金参加长城国瑞证券费率优惠活动的公告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2019-06-28</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易方达基金管理有限公司关于旗下部分开放式基金参加云南红塔银行费率优惠活动的公告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2019-07-05</w:t>
            </w:r>
          </w:p>
        </w:tc>
      </w:tr>
      <w:tr w:rsidR="00565E0D" w:rsidRPr="00565E0D" w:rsidTr="008358E5">
        <w:trPr>
          <w:trHeight w:val="540"/>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易方达基金管理有限公司关于旗下部分开放式基金参加安信证券定期定额投资费率优惠活动的公告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2019-07-15</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易方达基金管理有限公司关于旗下部分开放式基金参加红塔证券费率优惠活动的公告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2019-07-15</w:t>
            </w:r>
          </w:p>
        </w:tc>
      </w:tr>
      <w:tr w:rsidR="00565E0D" w:rsidRPr="00565E0D" w:rsidTr="008358E5">
        <w:trPr>
          <w:trHeight w:val="28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易方达基金管理有限公司关于旗下部分开放式基金参加天津农商银行费率优惠活动的公告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2019-07-16</w:t>
            </w:r>
          </w:p>
        </w:tc>
      </w:tr>
      <w:tr w:rsidR="00565E0D" w:rsidRPr="00565E0D" w:rsidTr="008358E5">
        <w:trPr>
          <w:trHeight w:val="28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易方达基金管理有限公司关于旗下部分开放式基金参加海通证券费率优惠活动的公告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2019-08-12</w:t>
            </w:r>
          </w:p>
        </w:tc>
      </w:tr>
      <w:tr w:rsidR="00565E0D" w:rsidRPr="00565E0D" w:rsidTr="008358E5">
        <w:trPr>
          <w:trHeight w:val="28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易方达基金管理有限公司关于暂停北京中期时代基金销售有限公司办理旗下基金相关销售业务的公告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2019-08-13</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易方达基金管理有限公司关于旗下部分开放式基金参加销售机构申购费率优惠活动的公告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2019-08-13</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易方达基金管理有限公司关于暂停厦门市鑫鼎盛控股有限公司办理旗下基金相关销售业务的公告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2019-08-14</w:t>
            </w:r>
          </w:p>
        </w:tc>
      </w:tr>
      <w:tr w:rsidR="00565E0D" w:rsidRPr="00565E0D" w:rsidTr="008358E5">
        <w:trPr>
          <w:trHeight w:val="28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易方达基金管理有限公司关于暂停北京加和基金销售有限公司办理旗下基金相关销售业务的公告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2019-08-14</w:t>
            </w:r>
          </w:p>
        </w:tc>
      </w:tr>
      <w:tr w:rsidR="00565E0D" w:rsidRPr="00565E0D" w:rsidTr="008358E5">
        <w:trPr>
          <w:trHeight w:val="52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lastRenderedPageBreak/>
              <w:t>易方达基金管理有限公司关于暂停上海凯石财富基金销售有限公司办理旗下基金相关销售业务的公告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2019-08-14</w:t>
            </w:r>
          </w:p>
        </w:tc>
      </w:tr>
      <w:tr w:rsidR="00565E0D" w:rsidRPr="00565E0D" w:rsidTr="008358E5">
        <w:trPr>
          <w:trHeight w:val="285"/>
        </w:trPr>
        <w:tc>
          <w:tcPr>
            <w:tcW w:w="6511" w:type="dxa"/>
            <w:tcBorders>
              <w:top w:val="nil"/>
              <w:left w:val="single" w:sz="8" w:space="0" w:color="auto"/>
              <w:bottom w:val="single" w:sz="8"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易方达基金管理有限公司关于暂停深圳宜投基金销售有限公司办理旗下基金相关销售业务的公告</w:t>
            </w:r>
          </w:p>
        </w:tc>
        <w:tc>
          <w:tcPr>
            <w:tcW w:w="1417" w:type="dxa"/>
            <w:tcBorders>
              <w:top w:val="nil"/>
              <w:left w:val="nil"/>
              <w:bottom w:val="single" w:sz="8"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2019-08-14</w:t>
            </w:r>
          </w:p>
        </w:tc>
      </w:tr>
      <w:tr w:rsidR="00565E0D" w:rsidRPr="00565E0D" w:rsidTr="008358E5">
        <w:trPr>
          <w:trHeight w:val="525"/>
        </w:trPr>
        <w:tc>
          <w:tcPr>
            <w:tcW w:w="6511" w:type="dxa"/>
            <w:tcBorders>
              <w:top w:val="nil"/>
              <w:left w:val="single" w:sz="8" w:space="0" w:color="auto"/>
              <w:bottom w:val="single" w:sz="4" w:space="0" w:color="auto"/>
              <w:right w:val="single" w:sz="8"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易方达基金管理有限公司关于旗下部分开放式基金参加潍坊银行费率优惠活动的公告</w:t>
            </w:r>
          </w:p>
        </w:tc>
        <w:tc>
          <w:tcPr>
            <w:tcW w:w="1417" w:type="dxa"/>
            <w:tcBorders>
              <w:top w:val="nil"/>
              <w:left w:val="nil"/>
              <w:bottom w:val="single" w:sz="4" w:space="0" w:color="auto"/>
              <w:right w:val="single" w:sz="8"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2019-08-26</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易方达基金管理有限公司旗下部分开放式基金参加广东南粤银行费率优惠活动的公告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42044" w:rsidRPr="00565E0D" w:rsidRDefault="00442044" w:rsidP="00442044">
            <w:pPr>
              <w:widowControl/>
              <w:jc w:val="center"/>
              <w:rPr>
                <w:rFonts w:asciiTheme="minorEastAsia" w:eastAsiaTheme="minorEastAsia" w:hAnsiTheme="minorEastAsia"/>
                <w:kern w:val="0"/>
                <w:szCs w:val="21"/>
              </w:rPr>
            </w:pPr>
            <w:r w:rsidRPr="00565E0D">
              <w:rPr>
                <w:rFonts w:asciiTheme="minorEastAsia" w:eastAsiaTheme="minorEastAsia" w:hAnsiTheme="minorEastAsia" w:hint="eastAsia"/>
                <w:sz w:val="22"/>
                <w:szCs w:val="22"/>
              </w:rPr>
              <w:t>2019-09-30</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易方达基金管理有限公司旗下基金季度报告提示性公告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2019-10-24</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易方达基金管理有限公司旗下部分开放式基金参加方正证券费率优惠活动的公告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2019-11-08</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易方达基金管理有限公司旗下部分开放式基金增加中邮证券为销售机构的公告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2019-11-13</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cs="宋体"/>
                <w:kern w:val="0"/>
                <w:szCs w:val="21"/>
              </w:rPr>
            </w:pPr>
            <w:r w:rsidRPr="00565E0D">
              <w:rPr>
                <w:rFonts w:asciiTheme="minorEastAsia" w:eastAsiaTheme="minorEastAsia" w:hAnsiTheme="minorEastAsia" w:hint="eastAsia"/>
                <w:sz w:val="22"/>
                <w:szCs w:val="22"/>
              </w:rPr>
              <w:t>易方达基金管理有限公司旗下部分开放式基金参加中国邮政储蓄银行个人网上银行和手机银行申购费率优惠活动的公告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2019-12-30</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易方达基金管理有限公司关于公司股权变更的公告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2019-12-31</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易方达基金管理有限公司旗下部分开放式基金参加烟台银行定期定额投资费率优惠活动的公告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2019-12-31</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易方达基金管理有限公司旗下部分开放式基金参加交通银行手机银行费率优惠活动的公告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2019-12-31</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易方达基金管理有限公司旗下部分开放式基金参加中国工商银行“2020倾心回馈”基金定期定额投资费率优惠活动的公告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2019-12-31</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易方达基金管理有限公司旗下部分开放式基金参加中国工商银行个人电子银行渠道申购费率优惠活动的公告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2019-12-31</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易方达基金管理有限公司旗下部分开放式基金参加昆仑银行费率优惠活动的公告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2019-12-31</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易方达基金管理有限公司旗下部分开放式基金参加苏州银行费率优惠活动的公告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2019-12-31</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易方达基金管理有限公司关于易方达价值成长混合型证券投资基金根据《公开募集证券投资基金信息披露管理办法》修订基金合同、托管协议部分条款的公告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2019-12-31</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易方达基金管理有限公司旗下部分开放式基金参加中国农业银行费率优惠活动的公告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2020-01-06</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易方达基金管理有限公司旗下基金2019年第4季度报告提示性公告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2020-01-18</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易方达价值成长混合型证券投资基金暂停机构客户申购、转换转入及定期定额投资业务的公告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2020-01-20</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易方达价值成长混合型证券投资基金分红公告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2020-01-21</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易方达价值成长混合型证券投资基金恢复机构客户申购、转换转入及定期定额投资业务的公告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2020-01-21</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易方达基金管理有限公司旗下部分开放式基金参加泉州银行费率</w:t>
            </w:r>
            <w:r w:rsidRPr="00565E0D">
              <w:rPr>
                <w:rFonts w:asciiTheme="minorEastAsia" w:eastAsiaTheme="minorEastAsia" w:hAnsiTheme="minorEastAsia" w:hint="eastAsia"/>
                <w:sz w:val="22"/>
                <w:szCs w:val="22"/>
              </w:rPr>
              <w:lastRenderedPageBreak/>
              <w:t>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lastRenderedPageBreak/>
              <w:t>2020-01-23</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易方达基金管理有限公司关于旗下基金2020年1月31日不开放申购、赎回、转换、定期定额投资等业务的提示性公告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2020-01-30</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易方达基金管理有限公司及全资子公司投资旗下基金相关事宜的公告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2020-02-04</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易方达基金管理有限公司旗下部分开放式基金参加中金公司费率优惠活动的公告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2020-03-05</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易方达价值成长混合型证券投资基金暂停机构客户申购、转换转入及定期定额投资业务的公告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2020-03-05</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易方达价值成长混合型证券投资基金分红公告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2020-03-06</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易方达价值成长混合型证券投资基金恢复机构客户申购、转换转入及定期定额投资业务的公告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2020-03-06</w:t>
            </w:r>
          </w:p>
        </w:tc>
      </w:tr>
      <w:tr w:rsidR="00565E0D" w:rsidRPr="00565E0D" w:rsidTr="008358E5">
        <w:trPr>
          <w:trHeight w:val="525"/>
        </w:trPr>
        <w:tc>
          <w:tcPr>
            <w:tcW w:w="6511"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rPr>
                <w:rFonts w:asciiTheme="minorEastAsia" w:eastAsiaTheme="minorEastAsia" w:hAnsiTheme="minorEastAsia"/>
              </w:rPr>
            </w:pPr>
            <w:r w:rsidRPr="00565E0D">
              <w:rPr>
                <w:rFonts w:asciiTheme="minorEastAsia" w:eastAsiaTheme="minorEastAsia" w:hAnsiTheme="minorEastAsia" w:hint="eastAsia"/>
                <w:sz w:val="22"/>
                <w:szCs w:val="22"/>
              </w:rPr>
              <w:t>易方达基金管理有限公司旗下部分开放式基金参加百度百盈费率优惠活动的公告</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tcPr>
          <w:p w:rsidR="00442044" w:rsidRPr="00565E0D" w:rsidRDefault="00442044" w:rsidP="00442044">
            <w:pPr>
              <w:widowControl/>
              <w:jc w:val="center"/>
              <w:rPr>
                <w:rFonts w:asciiTheme="minorEastAsia" w:eastAsiaTheme="minorEastAsia" w:hAnsiTheme="minorEastAsia"/>
              </w:rPr>
            </w:pPr>
            <w:r w:rsidRPr="00565E0D">
              <w:rPr>
                <w:rFonts w:asciiTheme="minorEastAsia" w:eastAsiaTheme="minorEastAsia" w:hAnsiTheme="minorEastAsia" w:hint="eastAsia"/>
                <w:sz w:val="22"/>
                <w:szCs w:val="22"/>
              </w:rPr>
              <w:t>2020-03-10</w:t>
            </w:r>
          </w:p>
        </w:tc>
      </w:tr>
    </w:tbl>
    <w:p w:rsidR="00301D6E" w:rsidRPr="00565E0D" w:rsidRDefault="00717BE1" w:rsidP="00D33AC5">
      <w:pPr>
        <w:rPr>
          <w:rFonts w:asciiTheme="minorEastAsia" w:eastAsiaTheme="minorEastAsia" w:hAnsiTheme="minorEastAsia"/>
          <w:szCs w:val="21"/>
        </w:rPr>
      </w:pPr>
      <w:r w:rsidRPr="00565E0D">
        <w:rPr>
          <w:rFonts w:asciiTheme="minorEastAsia" w:eastAsiaTheme="minorEastAsia" w:hAnsiTheme="minorEastAsia" w:hint="eastAsia"/>
          <w:szCs w:val="21"/>
        </w:rPr>
        <w:t>注：以上公告事项披露在指定媒介及基金管理人网站上。</w:t>
      </w:r>
    </w:p>
    <w:p w:rsidR="00C35BC5" w:rsidRPr="00565E0D" w:rsidRDefault="00C35BC5" w:rsidP="00552BE1">
      <w:pPr>
        <w:snapToGrid w:val="0"/>
        <w:spacing w:line="360" w:lineRule="auto"/>
        <w:rPr>
          <w:rFonts w:asciiTheme="minorEastAsia" w:eastAsiaTheme="minorEastAsia" w:hAnsiTheme="minorEastAsia"/>
          <w:szCs w:val="21"/>
        </w:rPr>
      </w:pPr>
      <w:bookmarkStart w:id="2547" w:name="_Toc38438350"/>
      <w:bookmarkStart w:id="2548" w:name="_Toc38438687"/>
      <w:bookmarkStart w:id="2549" w:name="_Toc38439024"/>
      <w:bookmarkStart w:id="2550" w:name="_Toc38439361"/>
      <w:bookmarkStart w:id="2551" w:name="_Toc38439698"/>
      <w:bookmarkStart w:id="2552" w:name="_Toc38440035"/>
      <w:bookmarkStart w:id="2553" w:name="_Toc38440372"/>
      <w:bookmarkStart w:id="2554" w:name="_Toc38440904"/>
      <w:bookmarkStart w:id="2555" w:name="_Toc38441236"/>
      <w:bookmarkStart w:id="2556" w:name="_Toc38441568"/>
      <w:bookmarkStart w:id="2557" w:name="_Toc38441896"/>
      <w:bookmarkStart w:id="2558" w:name="_Toc38442228"/>
      <w:bookmarkStart w:id="2559" w:name="_Toc38442560"/>
      <w:bookmarkStart w:id="2560" w:name="_Toc38442891"/>
      <w:bookmarkStart w:id="2561" w:name="_Toc38443222"/>
      <w:bookmarkStart w:id="2562" w:name="_Toc38443553"/>
      <w:bookmarkStart w:id="2563" w:name="_Toc38443883"/>
      <w:bookmarkStart w:id="2564" w:name="_Toc38438351"/>
      <w:bookmarkStart w:id="2565" w:name="_Toc38438688"/>
      <w:bookmarkStart w:id="2566" w:name="_Toc38439025"/>
      <w:bookmarkStart w:id="2567" w:name="_Toc38439362"/>
      <w:bookmarkStart w:id="2568" w:name="_Toc38439699"/>
      <w:bookmarkStart w:id="2569" w:name="_Toc38440036"/>
      <w:bookmarkStart w:id="2570" w:name="_Toc38440373"/>
      <w:bookmarkStart w:id="2571" w:name="_Toc38440905"/>
      <w:bookmarkStart w:id="2572" w:name="_Toc38441237"/>
      <w:bookmarkStart w:id="2573" w:name="_Toc38441569"/>
      <w:bookmarkStart w:id="2574" w:name="_Toc38441897"/>
      <w:bookmarkStart w:id="2575" w:name="_Toc38442229"/>
      <w:bookmarkStart w:id="2576" w:name="_Toc38442561"/>
      <w:bookmarkStart w:id="2577" w:name="_Toc38442892"/>
      <w:bookmarkStart w:id="2578" w:name="_Toc38443223"/>
      <w:bookmarkStart w:id="2579" w:name="_Toc38443554"/>
      <w:bookmarkStart w:id="2580" w:name="_Toc38443884"/>
      <w:bookmarkStart w:id="2581" w:name="_Toc38438352"/>
      <w:bookmarkStart w:id="2582" w:name="_Toc38438689"/>
      <w:bookmarkStart w:id="2583" w:name="_Toc38439026"/>
      <w:bookmarkStart w:id="2584" w:name="_Toc38439363"/>
      <w:bookmarkStart w:id="2585" w:name="_Toc38439700"/>
      <w:bookmarkStart w:id="2586" w:name="_Toc38440037"/>
      <w:bookmarkStart w:id="2587" w:name="_Toc38440374"/>
      <w:bookmarkStart w:id="2588" w:name="_Toc38440906"/>
      <w:bookmarkStart w:id="2589" w:name="_Toc38441238"/>
      <w:bookmarkStart w:id="2590" w:name="_Toc38441570"/>
      <w:bookmarkStart w:id="2591" w:name="_Toc38441898"/>
      <w:bookmarkStart w:id="2592" w:name="_Toc38442230"/>
      <w:bookmarkStart w:id="2593" w:name="_Toc38442562"/>
      <w:bookmarkStart w:id="2594" w:name="_Toc38442893"/>
      <w:bookmarkStart w:id="2595" w:name="_Toc38443224"/>
      <w:bookmarkStart w:id="2596" w:name="_Toc38443555"/>
      <w:bookmarkStart w:id="2597" w:name="_Toc38443885"/>
      <w:bookmarkStart w:id="2598" w:name="_Toc38438353"/>
      <w:bookmarkStart w:id="2599" w:name="_Toc38438690"/>
      <w:bookmarkStart w:id="2600" w:name="_Toc38439027"/>
      <w:bookmarkStart w:id="2601" w:name="_Toc38439364"/>
      <w:bookmarkStart w:id="2602" w:name="_Toc38439701"/>
      <w:bookmarkStart w:id="2603" w:name="_Toc38440038"/>
      <w:bookmarkStart w:id="2604" w:name="_Toc38440375"/>
      <w:bookmarkStart w:id="2605" w:name="_Toc38440907"/>
      <w:bookmarkStart w:id="2606" w:name="_Toc38441239"/>
      <w:bookmarkStart w:id="2607" w:name="_Toc38441571"/>
      <w:bookmarkStart w:id="2608" w:name="_Toc38441899"/>
      <w:bookmarkStart w:id="2609" w:name="_Toc38442231"/>
      <w:bookmarkStart w:id="2610" w:name="_Toc38442563"/>
      <w:bookmarkStart w:id="2611" w:name="_Toc38442894"/>
      <w:bookmarkStart w:id="2612" w:name="_Toc38443225"/>
      <w:bookmarkStart w:id="2613" w:name="_Toc38443556"/>
      <w:bookmarkStart w:id="2614" w:name="_Toc38443886"/>
      <w:bookmarkStart w:id="2615" w:name="_Toc38438354"/>
      <w:bookmarkStart w:id="2616" w:name="_Toc38438691"/>
      <w:bookmarkStart w:id="2617" w:name="_Toc38439028"/>
      <w:bookmarkStart w:id="2618" w:name="_Toc38439365"/>
      <w:bookmarkStart w:id="2619" w:name="_Toc38439702"/>
      <w:bookmarkStart w:id="2620" w:name="_Toc38440039"/>
      <w:bookmarkStart w:id="2621" w:name="_Toc38440376"/>
      <w:bookmarkStart w:id="2622" w:name="_Toc38440908"/>
      <w:bookmarkStart w:id="2623" w:name="_Toc38441240"/>
      <w:bookmarkStart w:id="2624" w:name="_Toc38441572"/>
      <w:bookmarkStart w:id="2625" w:name="_Toc38441900"/>
      <w:bookmarkStart w:id="2626" w:name="_Toc38442232"/>
      <w:bookmarkStart w:id="2627" w:name="_Toc38442564"/>
      <w:bookmarkStart w:id="2628" w:name="_Toc38442895"/>
      <w:bookmarkStart w:id="2629" w:name="_Toc38443226"/>
      <w:bookmarkStart w:id="2630" w:name="_Toc38443557"/>
      <w:bookmarkStart w:id="2631" w:name="_Toc38443887"/>
      <w:bookmarkStart w:id="2632" w:name="_Toc38438355"/>
      <w:bookmarkStart w:id="2633" w:name="_Toc38438692"/>
      <w:bookmarkStart w:id="2634" w:name="_Toc38439029"/>
      <w:bookmarkStart w:id="2635" w:name="_Toc38439366"/>
      <w:bookmarkStart w:id="2636" w:name="_Toc38439703"/>
      <w:bookmarkStart w:id="2637" w:name="_Toc38440040"/>
      <w:bookmarkStart w:id="2638" w:name="_Toc38440377"/>
      <w:bookmarkStart w:id="2639" w:name="_Toc38440909"/>
      <w:bookmarkStart w:id="2640" w:name="_Toc38441241"/>
      <w:bookmarkStart w:id="2641" w:name="_Toc38441573"/>
      <w:bookmarkStart w:id="2642" w:name="_Toc38441901"/>
      <w:bookmarkStart w:id="2643" w:name="_Toc38442233"/>
      <w:bookmarkStart w:id="2644" w:name="_Toc38442565"/>
      <w:bookmarkStart w:id="2645" w:name="_Toc38442896"/>
      <w:bookmarkStart w:id="2646" w:name="_Toc38443227"/>
      <w:bookmarkStart w:id="2647" w:name="_Toc38443558"/>
      <w:bookmarkStart w:id="2648" w:name="_Toc38443888"/>
      <w:bookmarkStart w:id="2649" w:name="_Toc38438356"/>
      <w:bookmarkStart w:id="2650" w:name="_Toc38438693"/>
      <w:bookmarkStart w:id="2651" w:name="_Toc38439030"/>
      <w:bookmarkStart w:id="2652" w:name="_Toc38439367"/>
      <w:bookmarkStart w:id="2653" w:name="_Toc38439704"/>
      <w:bookmarkStart w:id="2654" w:name="_Toc38440041"/>
      <w:bookmarkStart w:id="2655" w:name="_Toc38440378"/>
      <w:bookmarkStart w:id="2656" w:name="_Toc38440910"/>
      <w:bookmarkStart w:id="2657" w:name="_Toc38441242"/>
      <w:bookmarkStart w:id="2658" w:name="_Toc38441574"/>
      <w:bookmarkStart w:id="2659" w:name="_Toc38441902"/>
      <w:bookmarkStart w:id="2660" w:name="_Toc38442234"/>
      <w:bookmarkStart w:id="2661" w:name="_Toc38442566"/>
      <w:bookmarkStart w:id="2662" w:name="_Toc38442897"/>
      <w:bookmarkStart w:id="2663" w:name="_Toc38443228"/>
      <w:bookmarkStart w:id="2664" w:name="_Toc38443559"/>
      <w:bookmarkStart w:id="2665" w:name="_Toc38443889"/>
      <w:bookmarkStart w:id="2666" w:name="_Toc38438357"/>
      <w:bookmarkStart w:id="2667" w:name="_Toc38438694"/>
      <w:bookmarkStart w:id="2668" w:name="_Toc38439031"/>
      <w:bookmarkStart w:id="2669" w:name="_Toc38439368"/>
      <w:bookmarkStart w:id="2670" w:name="_Toc38439705"/>
      <w:bookmarkStart w:id="2671" w:name="_Toc38440042"/>
      <w:bookmarkStart w:id="2672" w:name="_Toc38440379"/>
      <w:bookmarkStart w:id="2673" w:name="_Toc38440911"/>
      <w:bookmarkStart w:id="2674" w:name="_Toc38441243"/>
      <w:bookmarkStart w:id="2675" w:name="_Toc38441575"/>
      <w:bookmarkStart w:id="2676" w:name="_Toc38441903"/>
      <w:bookmarkStart w:id="2677" w:name="_Toc38442235"/>
      <w:bookmarkStart w:id="2678" w:name="_Toc38442567"/>
      <w:bookmarkStart w:id="2679" w:name="_Toc38442898"/>
      <w:bookmarkStart w:id="2680" w:name="_Toc38443229"/>
      <w:bookmarkStart w:id="2681" w:name="_Toc38443560"/>
      <w:bookmarkStart w:id="2682" w:name="_Toc38443890"/>
      <w:bookmarkStart w:id="2683" w:name="_Toc38438358"/>
      <w:bookmarkStart w:id="2684" w:name="_Toc38438695"/>
      <w:bookmarkStart w:id="2685" w:name="_Toc38439032"/>
      <w:bookmarkStart w:id="2686" w:name="_Toc38439369"/>
      <w:bookmarkStart w:id="2687" w:name="_Toc38439706"/>
      <w:bookmarkStart w:id="2688" w:name="_Toc38440043"/>
      <w:bookmarkStart w:id="2689" w:name="_Toc38440380"/>
      <w:bookmarkStart w:id="2690" w:name="_Toc38440912"/>
      <w:bookmarkStart w:id="2691" w:name="_Toc38441244"/>
      <w:bookmarkStart w:id="2692" w:name="_Toc38441576"/>
      <w:bookmarkStart w:id="2693" w:name="_Toc38441904"/>
      <w:bookmarkStart w:id="2694" w:name="_Toc38442236"/>
      <w:bookmarkStart w:id="2695" w:name="_Toc38442568"/>
      <w:bookmarkStart w:id="2696" w:name="_Toc38442899"/>
      <w:bookmarkStart w:id="2697" w:name="_Toc38443230"/>
      <w:bookmarkStart w:id="2698" w:name="_Toc38443561"/>
      <w:bookmarkStart w:id="2699" w:name="_Toc38443891"/>
      <w:bookmarkStart w:id="2700" w:name="_Toc38438359"/>
      <w:bookmarkStart w:id="2701" w:name="_Toc38438696"/>
      <w:bookmarkStart w:id="2702" w:name="_Toc38439033"/>
      <w:bookmarkStart w:id="2703" w:name="_Toc38439370"/>
      <w:bookmarkStart w:id="2704" w:name="_Toc38439707"/>
      <w:bookmarkStart w:id="2705" w:name="_Toc38440044"/>
      <w:bookmarkStart w:id="2706" w:name="_Toc38440381"/>
      <w:bookmarkStart w:id="2707" w:name="_Toc38440913"/>
      <w:bookmarkStart w:id="2708" w:name="_Toc38441245"/>
      <w:bookmarkStart w:id="2709" w:name="_Toc38441577"/>
      <w:bookmarkStart w:id="2710" w:name="_Toc38441905"/>
      <w:bookmarkStart w:id="2711" w:name="_Toc38442237"/>
      <w:bookmarkStart w:id="2712" w:name="_Toc38442569"/>
      <w:bookmarkStart w:id="2713" w:name="_Toc38442900"/>
      <w:bookmarkStart w:id="2714" w:name="_Toc38443231"/>
      <w:bookmarkStart w:id="2715" w:name="_Toc38443562"/>
      <w:bookmarkStart w:id="2716" w:name="_Toc38443892"/>
      <w:bookmarkStart w:id="2717" w:name="_Toc38438360"/>
      <w:bookmarkStart w:id="2718" w:name="_Toc38438697"/>
      <w:bookmarkStart w:id="2719" w:name="_Toc38439034"/>
      <w:bookmarkStart w:id="2720" w:name="_Toc38439371"/>
      <w:bookmarkStart w:id="2721" w:name="_Toc38439708"/>
      <w:bookmarkStart w:id="2722" w:name="_Toc38440045"/>
      <w:bookmarkStart w:id="2723" w:name="_Toc38440382"/>
      <w:bookmarkStart w:id="2724" w:name="_Toc38440914"/>
      <w:bookmarkStart w:id="2725" w:name="_Toc38441246"/>
      <w:bookmarkStart w:id="2726" w:name="_Toc38441578"/>
      <w:bookmarkStart w:id="2727" w:name="_Toc38441906"/>
      <w:bookmarkStart w:id="2728" w:name="_Toc38442238"/>
      <w:bookmarkStart w:id="2729" w:name="_Toc38442570"/>
      <w:bookmarkStart w:id="2730" w:name="_Toc38442901"/>
      <w:bookmarkStart w:id="2731" w:name="_Toc38443232"/>
      <w:bookmarkStart w:id="2732" w:name="_Toc38443563"/>
      <w:bookmarkStart w:id="2733" w:name="_Toc38443893"/>
      <w:bookmarkStart w:id="2734" w:name="_Toc38438361"/>
      <w:bookmarkStart w:id="2735" w:name="_Toc38438698"/>
      <w:bookmarkStart w:id="2736" w:name="_Toc38439035"/>
      <w:bookmarkStart w:id="2737" w:name="_Toc38439372"/>
      <w:bookmarkStart w:id="2738" w:name="_Toc38439709"/>
      <w:bookmarkStart w:id="2739" w:name="_Toc38440046"/>
      <w:bookmarkStart w:id="2740" w:name="_Toc38440383"/>
      <w:bookmarkStart w:id="2741" w:name="_Toc38440915"/>
      <w:bookmarkStart w:id="2742" w:name="_Toc38441247"/>
      <w:bookmarkStart w:id="2743" w:name="_Toc38441579"/>
      <w:bookmarkStart w:id="2744" w:name="_Toc38441907"/>
      <w:bookmarkStart w:id="2745" w:name="_Toc38442239"/>
      <w:bookmarkStart w:id="2746" w:name="_Toc38442571"/>
      <w:bookmarkStart w:id="2747" w:name="_Toc38442902"/>
      <w:bookmarkStart w:id="2748" w:name="_Toc38443233"/>
      <w:bookmarkStart w:id="2749" w:name="_Toc38443564"/>
      <w:bookmarkStart w:id="2750" w:name="_Toc38443894"/>
      <w:bookmarkStart w:id="2751" w:name="_Toc38438362"/>
      <w:bookmarkStart w:id="2752" w:name="_Toc38438699"/>
      <w:bookmarkStart w:id="2753" w:name="_Toc38439036"/>
      <w:bookmarkStart w:id="2754" w:name="_Toc38439373"/>
      <w:bookmarkStart w:id="2755" w:name="_Toc38439710"/>
      <w:bookmarkStart w:id="2756" w:name="_Toc38440047"/>
      <w:bookmarkStart w:id="2757" w:name="_Toc38440384"/>
      <w:bookmarkStart w:id="2758" w:name="_Toc38440916"/>
      <w:bookmarkStart w:id="2759" w:name="_Toc38441248"/>
      <w:bookmarkStart w:id="2760" w:name="_Toc38441580"/>
      <w:bookmarkStart w:id="2761" w:name="_Toc38441908"/>
      <w:bookmarkStart w:id="2762" w:name="_Toc38442240"/>
      <w:bookmarkStart w:id="2763" w:name="_Toc38442572"/>
      <w:bookmarkStart w:id="2764" w:name="_Toc38442903"/>
      <w:bookmarkStart w:id="2765" w:name="_Toc38443234"/>
      <w:bookmarkStart w:id="2766" w:name="_Toc38443565"/>
      <w:bookmarkStart w:id="2767" w:name="_Toc38443895"/>
      <w:bookmarkStart w:id="2768" w:name="_Toc38438363"/>
      <w:bookmarkStart w:id="2769" w:name="_Toc38438700"/>
      <w:bookmarkStart w:id="2770" w:name="_Toc38439037"/>
      <w:bookmarkStart w:id="2771" w:name="_Toc38439374"/>
      <w:bookmarkStart w:id="2772" w:name="_Toc38439711"/>
      <w:bookmarkStart w:id="2773" w:name="_Toc38440048"/>
      <w:bookmarkStart w:id="2774" w:name="_Toc38440385"/>
      <w:bookmarkStart w:id="2775" w:name="_Toc38440917"/>
      <w:bookmarkStart w:id="2776" w:name="_Toc38441249"/>
      <w:bookmarkStart w:id="2777" w:name="_Toc38441581"/>
      <w:bookmarkStart w:id="2778" w:name="_Toc38441909"/>
      <w:bookmarkStart w:id="2779" w:name="_Toc38442241"/>
      <w:bookmarkStart w:id="2780" w:name="_Toc38442573"/>
      <w:bookmarkStart w:id="2781" w:name="_Toc38442904"/>
      <w:bookmarkStart w:id="2782" w:name="_Toc38443235"/>
      <w:bookmarkStart w:id="2783" w:name="_Toc38443566"/>
      <w:bookmarkStart w:id="2784" w:name="_Toc38443896"/>
      <w:bookmarkStart w:id="2785" w:name="_Toc38438364"/>
      <w:bookmarkStart w:id="2786" w:name="_Toc38438701"/>
      <w:bookmarkStart w:id="2787" w:name="_Toc38439038"/>
      <w:bookmarkStart w:id="2788" w:name="_Toc38439375"/>
      <w:bookmarkStart w:id="2789" w:name="_Toc38439712"/>
      <w:bookmarkStart w:id="2790" w:name="_Toc38440049"/>
      <w:bookmarkStart w:id="2791" w:name="_Toc38440386"/>
      <w:bookmarkStart w:id="2792" w:name="_Toc38440918"/>
      <w:bookmarkStart w:id="2793" w:name="_Toc38441250"/>
      <w:bookmarkStart w:id="2794" w:name="_Toc38441582"/>
      <w:bookmarkStart w:id="2795" w:name="_Toc38441910"/>
      <w:bookmarkStart w:id="2796" w:name="_Toc38442242"/>
      <w:bookmarkStart w:id="2797" w:name="_Toc38442574"/>
      <w:bookmarkStart w:id="2798" w:name="_Toc38442905"/>
      <w:bookmarkStart w:id="2799" w:name="_Toc38443236"/>
      <w:bookmarkStart w:id="2800" w:name="_Toc38443567"/>
      <w:bookmarkStart w:id="2801" w:name="_Toc38443897"/>
      <w:bookmarkStart w:id="2802" w:name="_Toc38438365"/>
      <w:bookmarkStart w:id="2803" w:name="_Toc38438702"/>
      <w:bookmarkStart w:id="2804" w:name="_Toc38439039"/>
      <w:bookmarkStart w:id="2805" w:name="_Toc38439376"/>
      <w:bookmarkStart w:id="2806" w:name="_Toc38439713"/>
      <w:bookmarkStart w:id="2807" w:name="_Toc38440050"/>
      <w:bookmarkStart w:id="2808" w:name="_Toc38440387"/>
      <w:bookmarkStart w:id="2809" w:name="_Toc38440919"/>
      <w:bookmarkStart w:id="2810" w:name="_Toc38441251"/>
      <w:bookmarkStart w:id="2811" w:name="_Toc38441583"/>
      <w:bookmarkStart w:id="2812" w:name="_Toc38441911"/>
      <w:bookmarkStart w:id="2813" w:name="_Toc38442243"/>
      <w:bookmarkStart w:id="2814" w:name="_Toc38442575"/>
      <w:bookmarkStart w:id="2815" w:name="_Toc38442906"/>
      <w:bookmarkStart w:id="2816" w:name="_Toc38443237"/>
      <w:bookmarkStart w:id="2817" w:name="_Toc38443568"/>
      <w:bookmarkStart w:id="2818" w:name="_Toc38443898"/>
      <w:bookmarkStart w:id="2819" w:name="_Toc38438366"/>
      <w:bookmarkStart w:id="2820" w:name="_Toc38438703"/>
      <w:bookmarkStart w:id="2821" w:name="_Toc38439040"/>
      <w:bookmarkStart w:id="2822" w:name="_Toc38439377"/>
      <w:bookmarkStart w:id="2823" w:name="_Toc38439714"/>
      <w:bookmarkStart w:id="2824" w:name="_Toc38440051"/>
      <w:bookmarkStart w:id="2825" w:name="_Toc38440388"/>
      <w:bookmarkStart w:id="2826" w:name="_Toc38440920"/>
      <w:bookmarkStart w:id="2827" w:name="_Toc38441252"/>
      <w:bookmarkStart w:id="2828" w:name="_Toc38441584"/>
      <w:bookmarkStart w:id="2829" w:name="_Toc38441912"/>
      <w:bookmarkStart w:id="2830" w:name="_Toc38442244"/>
      <w:bookmarkStart w:id="2831" w:name="_Toc38442576"/>
      <w:bookmarkStart w:id="2832" w:name="_Toc38442907"/>
      <w:bookmarkStart w:id="2833" w:name="_Toc38443238"/>
      <w:bookmarkStart w:id="2834" w:name="_Toc38443569"/>
      <w:bookmarkStart w:id="2835" w:name="_Toc38443899"/>
      <w:bookmarkStart w:id="2836" w:name="_Toc38438367"/>
      <w:bookmarkStart w:id="2837" w:name="_Toc38438704"/>
      <w:bookmarkStart w:id="2838" w:name="_Toc38439041"/>
      <w:bookmarkStart w:id="2839" w:name="_Toc38439378"/>
      <w:bookmarkStart w:id="2840" w:name="_Toc38439715"/>
      <w:bookmarkStart w:id="2841" w:name="_Toc38440052"/>
      <w:bookmarkStart w:id="2842" w:name="_Toc38440389"/>
      <w:bookmarkStart w:id="2843" w:name="_Toc38440921"/>
      <w:bookmarkStart w:id="2844" w:name="_Toc38441253"/>
      <w:bookmarkStart w:id="2845" w:name="_Toc38441585"/>
      <w:bookmarkStart w:id="2846" w:name="_Toc38441913"/>
      <w:bookmarkStart w:id="2847" w:name="_Toc38442245"/>
      <w:bookmarkStart w:id="2848" w:name="_Toc38442577"/>
      <w:bookmarkStart w:id="2849" w:name="_Toc38442908"/>
      <w:bookmarkStart w:id="2850" w:name="_Toc38443239"/>
      <w:bookmarkStart w:id="2851" w:name="_Toc38443570"/>
      <w:bookmarkStart w:id="2852" w:name="_Toc38443900"/>
      <w:bookmarkStart w:id="2853" w:name="_Toc38438368"/>
      <w:bookmarkStart w:id="2854" w:name="_Toc38438705"/>
      <w:bookmarkStart w:id="2855" w:name="_Toc38439042"/>
      <w:bookmarkStart w:id="2856" w:name="_Toc38439379"/>
      <w:bookmarkStart w:id="2857" w:name="_Toc38439716"/>
      <w:bookmarkStart w:id="2858" w:name="_Toc38440053"/>
      <w:bookmarkStart w:id="2859" w:name="_Toc38440390"/>
      <w:bookmarkStart w:id="2860" w:name="_Toc38440922"/>
      <w:bookmarkStart w:id="2861" w:name="_Toc38441254"/>
      <w:bookmarkStart w:id="2862" w:name="_Toc38441586"/>
      <w:bookmarkStart w:id="2863" w:name="_Toc38441914"/>
      <w:bookmarkStart w:id="2864" w:name="_Toc38442246"/>
      <w:bookmarkStart w:id="2865" w:name="_Toc38442578"/>
      <w:bookmarkStart w:id="2866" w:name="_Toc38442909"/>
      <w:bookmarkStart w:id="2867" w:name="_Toc38443240"/>
      <w:bookmarkStart w:id="2868" w:name="_Toc38443571"/>
      <w:bookmarkStart w:id="2869" w:name="_Toc38443901"/>
      <w:bookmarkStart w:id="2870" w:name="_Toc38438369"/>
      <w:bookmarkStart w:id="2871" w:name="_Toc38438706"/>
      <w:bookmarkStart w:id="2872" w:name="_Toc38439043"/>
      <w:bookmarkStart w:id="2873" w:name="_Toc38439380"/>
      <w:bookmarkStart w:id="2874" w:name="_Toc38439717"/>
      <w:bookmarkStart w:id="2875" w:name="_Toc38440054"/>
      <w:bookmarkStart w:id="2876" w:name="_Toc38440391"/>
      <w:bookmarkStart w:id="2877" w:name="_Toc38440923"/>
      <w:bookmarkStart w:id="2878" w:name="_Toc38441255"/>
      <w:bookmarkStart w:id="2879" w:name="_Toc38441587"/>
      <w:bookmarkStart w:id="2880" w:name="_Toc38441915"/>
      <w:bookmarkStart w:id="2881" w:name="_Toc38442247"/>
      <w:bookmarkStart w:id="2882" w:name="_Toc38442579"/>
      <w:bookmarkStart w:id="2883" w:name="_Toc38442910"/>
      <w:bookmarkStart w:id="2884" w:name="_Toc38443241"/>
      <w:bookmarkStart w:id="2885" w:name="_Toc38443572"/>
      <w:bookmarkStart w:id="2886" w:name="_Toc38443902"/>
      <w:bookmarkStart w:id="2887" w:name="_Toc38438371"/>
      <w:bookmarkStart w:id="2888" w:name="_Toc38438708"/>
      <w:bookmarkStart w:id="2889" w:name="_Toc38439045"/>
      <w:bookmarkStart w:id="2890" w:name="_Toc38439382"/>
      <w:bookmarkStart w:id="2891" w:name="_Toc38439719"/>
      <w:bookmarkStart w:id="2892" w:name="_Toc38440056"/>
      <w:bookmarkStart w:id="2893" w:name="_Toc38440393"/>
      <w:bookmarkStart w:id="2894" w:name="_Toc38440925"/>
      <w:bookmarkStart w:id="2895" w:name="_Toc38441257"/>
      <w:bookmarkStart w:id="2896" w:name="_Toc38441589"/>
      <w:bookmarkStart w:id="2897" w:name="_Toc38441917"/>
      <w:bookmarkStart w:id="2898" w:name="_Toc38442249"/>
      <w:bookmarkStart w:id="2899" w:name="_Toc38442581"/>
      <w:bookmarkStart w:id="2900" w:name="_Toc38442912"/>
      <w:bookmarkStart w:id="2901" w:name="_Toc38443243"/>
      <w:bookmarkStart w:id="2902" w:name="_Toc38443574"/>
      <w:bookmarkStart w:id="2903" w:name="_Toc38443904"/>
      <w:bookmarkStart w:id="2904" w:name="_Toc38438372"/>
      <w:bookmarkStart w:id="2905" w:name="_Toc38438709"/>
      <w:bookmarkStart w:id="2906" w:name="_Toc38439046"/>
      <w:bookmarkStart w:id="2907" w:name="_Toc38439383"/>
      <w:bookmarkStart w:id="2908" w:name="_Toc38439720"/>
      <w:bookmarkStart w:id="2909" w:name="_Toc38440057"/>
      <w:bookmarkStart w:id="2910" w:name="_Toc38440394"/>
      <w:bookmarkStart w:id="2911" w:name="_Toc38440926"/>
      <w:bookmarkStart w:id="2912" w:name="_Toc38441258"/>
      <w:bookmarkStart w:id="2913" w:name="_Toc38441590"/>
      <w:bookmarkStart w:id="2914" w:name="_Toc38441918"/>
      <w:bookmarkStart w:id="2915" w:name="_Toc38442250"/>
      <w:bookmarkStart w:id="2916" w:name="_Toc38442582"/>
      <w:bookmarkStart w:id="2917" w:name="_Toc38442913"/>
      <w:bookmarkStart w:id="2918" w:name="_Toc38443244"/>
      <w:bookmarkStart w:id="2919" w:name="_Toc38443575"/>
      <w:bookmarkStart w:id="2920" w:name="_Toc38443905"/>
      <w:bookmarkStart w:id="2921" w:name="_Toc38438373"/>
      <w:bookmarkStart w:id="2922" w:name="_Toc38438710"/>
      <w:bookmarkStart w:id="2923" w:name="_Toc38439047"/>
      <w:bookmarkStart w:id="2924" w:name="_Toc38439384"/>
      <w:bookmarkStart w:id="2925" w:name="_Toc38439721"/>
      <w:bookmarkStart w:id="2926" w:name="_Toc38440058"/>
      <w:bookmarkStart w:id="2927" w:name="_Toc38440395"/>
      <w:bookmarkStart w:id="2928" w:name="_Toc38440927"/>
      <w:bookmarkStart w:id="2929" w:name="_Toc38441259"/>
      <w:bookmarkStart w:id="2930" w:name="_Toc38441591"/>
      <w:bookmarkStart w:id="2931" w:name="_Toc38441919"/>
      <w:bookmarkStart w:id="2932" w:name="_Toc38442251"/>
      <w:bookmarkStart w:id="2933" w:name="_Toc38442583"/>
      <w:bookmarkStart w:id="2934" w:name="_Toc38442914"/>
      <w:bookmarkStart w:id="2935" w:name="_Toc38443245"/>
      <w:bookmarkStart w:id="2936" w:name="_Toc38443576"/>
      <w:bookmarkStart w:id="2937" w:name="_Toc38443906"/>
      <w:bookmarkStart w:id="2938" w:name="_Toc38438374"/>
      <w:bookmarkStart w:id="2939" w:name="_Toc38438711"/>
      <w:bookmarkStart w:id="2940" w:name="_Toc38439048"/>
      <w:bookmarkStart w:id="2941" w:name="_Toc38439385"/>
      <w:bookmarkStart w:id="2942" w:name="_Toc38439722"/>
      <w:bookmarkStart w:id="2943" w:name="_Toc38440059"/>
      <w:bookmarkStart w:id="2944" w:name="_Toc38440396"/>
      <w:bookmarkStart w:id="2945" w:name="_Toc38440928"/>
      <w:bookmarkStart w:id="2946" w:name="_Toc38441260"/>
      <w:bookmarkStart w:id="2947" w:name="_Toc38441592"/>
      <w:bookmarkStart w:id="2948" w:name="_Toc38441920"/>
      <w:bookmarkStart w:id="2949" w:name="_Toc38442252"/>
      <w:bookmarkStart w:id="2950" w:name="_Toc38442584"/>
      <w:bookmarkStart w:id="2951" w:name="_Toc38442915"/>
      <w:bookmarkStart w:id="2952" w:name="_Toc38443246"/>
      <w:bookmarkStart w:id="2953" w:name="_Toc38443577"/>
      <w:bookmarkStart w:id="2954" w:name="_Toc38443907"/>
      <w:bookmarkStart w:id="2955" w:name="_Toc38438375"/>
      <w:bookmarkStart w:id="2956" w:name="_Toc38438712"/>
      <w:bookmarkStart w:id="2957" w:name="_Toc38439049"/>
      <w:bookmarkStart w:id="2958" w:name="_Toc38439386"/>
      <w:bookmarkStart w:id="2959" w:name="_Toc38439723"/>
      <w:bookmarkStart w:id="2960" w:name="_Toc38440060"/>
      <w:bookmarkStart w:id="2961" w:name="_Toc38440397"/>
      <w:bookmarkStart w:id="2962" w:name="_Toc38440929"/>
      <w:bookmarkStart w:id="2963" w:name="_Toc38441261"/>
      <w:bookmarkStart w:id="2964" w:name="_Toc38441593"/>
      <w:bookmarkStart w:id="2965" w:name="_Toc38441921"/>
      <w:bookmarkStart w:id="2966" w:name="_Toc38442253"/>
      <w:bookmarkStart w:id="2967" w:name="_Toc38442585"/>
      <w:bookmarkStart w:id="2968" w:name="_Toc38442916"/>
      <w:bookmarkStart w:id="2969" w:name="_Toc38443247"/>
      <w:bookmarkStart w:id="2970" w:name="_Toc38443578"/>
      <w:bookmarkStart w:id="2971" w:name="_Toc38443908"/>
      <w:bookmarkStart w:id="2972" w:name="_Toc38438376"/>
      <w:bookmarkStart w:id="2973" w:name="_Toc38438713"/>
      <w:bookmarkStart w:id="2974" w:name="_Toc38439050"/>
      <w:bookmarkStart w:id="2975" w:name="_Toc38439387"/>
      <w:bookmarkStart w:id="2976" w:name="_Toc38439724"/>
      <w:bookmarkStart w:id="2977" w:name="_Toc38440061"/>
      <w:bookmarkStart w:id="2978" w:name="_Toc38440398"/>
      <w:bookmarkStart w:id="2979" w:name="_Toc38440930"/>
      <w:bookmarkStart w:id="2980" w:name="_Toc38441262"/>
      <w:bookmarkStart w:id="2981" w:name="_Toc38441594"/>
      <w:bookmarkStart w:id="2982" w:name="_Toc38441922"/>
      <w:bookmarkStart w:id="2983" w:name="_Toc38442254"/>
      <w:bookmarkStart w:id="2984" w:name="_Toc38442586"/>
      <w:bookmarkStart w:id="2985" w:name="_Toc38442917"/>
      <w:bookmarkStart w:id="2986" w:name="_Toc38443248"/>
      <w:bookmarkStart w:id="2987" w:name="_Toc38443579"/>
      <w:bookmarkStart w:id="2988" w:name="_Toc38443909"/>
      <w:bookmarkStart w:id="2989" w:name="_Toc38438377"/>
      <w:bookmarkStart w:id="2990" w:name="_Toc38438714"/>
      <w:bookmarkStart w:id="2991" w:name="_Toc38439051"/>
      <w:bookmarkStart w:id="2992" w:name="_Toc38439388"/>
      <w:bookmarkStart w:id="2993" w:name="_Toc38439725"/>
      <w:bookmarkStart w:id="2994" w:name="_Toc38440062"/>
      <w:bookmarkStart w:id="2995" w:name="_Toc38440399"/>
      <w:bookmarkStart w:id="2996" w:name="_Toc38440931"/>
      <w:bookmarkStart w:id="2997" w:name="_Toc38441263"/>
      <w:bookmarkStart w:id="2998" w:name="_Toc38441595"/>
      <w:bookmarkStart w:id="2999" w:name="_Toc38441923"/>
      <w:bookmarkStart w:id="3000" w:name="_Toc38442255"/>
      <w:bookmarkStart w:id="3001" w:name="_Toc38442587"/>
      <w:bookmarkStart w:id="3002" w:name="_Toc38442918"/>
      <w:bookmarkStart w:id="3003" w:name="_Toc38443249"/>
      <w:bookmarkStart w:id="3004" w:name="_Toc38443580"/>
      <w:bookmarkStart w:id="3005" w:name="_Toc38443910"/>
      <w:bookmarkStart w:id="3006" w:name="_Toc38438378"/>
      <w:bookmarkStart w:id="3007" w:name="_Toc38438715"/>
      <w:bookmarkStart w:id="3008" w:name="_Toc38439052"/>
      <w:bookmarkStart w:id="3009" w:name="_Toc38439389"/>
      <w:bookmarkStart w:id="3010" w:name="_Toc38439726"/>
      <w:bookmarkStart w:id="3011" w:name="_Toc38440063"/>
      <w:bookmarkStart w:id="3012" w:name="_Toc38440400"/>
      <w:bookmarkStart w:id="3013" w:name="_Toc38440932"/>
      <w:bookmarkStart w:id="3014" w:name="_Toc38441264"/>
      <w:bookmarkStart w:id="3015" w:name="_Toc38441596"/>
      <w:bookmarkStart w:id="3016" w:name="_Toc38441924"/>
      <w:bookmarkStart w:id="3017" w:name="_Toc38442256"/>
      <w:bookmarkStart w:id="3018" w:name="_Toc38442588"/>
      <w:bookmarkStart w:id="3019" w:name="_Toc38442919"/>
      <w:bookmarkStart w:id="3020" w:name="_Toc38443250"/>
      <w:bookmarkStart w:id="3021" w:name="_Toc38443581"/>
      <w:bookmarkStart w:id="3022" w:name="_Toc38443911"/>
      <w:bookmarkStart w:id="3023" w:name="_Toc38438379"/>
      <w:bookmarkStart w:id="3024" w:name="_Toc38438716"/>
      <w:bookmarkStart w:id="3025" w:name="_Toc38439053"/>
      <w:bookmarkStart w:id="3026" w:name="_Toc38439390"/>
      <w:bookmarkStart w:id="3027" w:name="_Toc38439727"/>
      <w:bookmarkStart w:id="3028" w:name="_Toc38440064"/>
      <w:bookmarkStart w:id="3029" w:name="_Toc38440401"/>
      <w:bookmarkStart w:id="3030" w:name="_Toc38440933"/>
      <w:bookmarkStart w:id="3031" w:name="_Toc38441265"/>
      <w:bookmarkStart w:id="3032" w:name="_Toc38441597"/>
      <w:bookmarkStart w:id="3033" w:name="_Toc38441925"/>
      <w:bookmarkStart w:id="3034" w:name="_Toc38442257"/>
      <w:bookmarkStart w:id="3035" w:name="_Toc38442589"/>
      <w:bookmarkStart w:id="3036" w:name="_Toc38442920"/>
      <w:bookmarkStart w:id="3037" w:name="_Toc38443251"/>
      <w:bookmarkStart w:id="3038" w:name="_Toc38443582"/>
      <w:bookmarkStart w:id="3039" w:name="_Toc38443912"/>
      <w:bookmarkStart w:id="3040" w:name="_Toc38438380"/>
      <w:bookmarkStart w:id="3041" w:name="_Toc38438717"/>
      <w:bookmarkStart w:id="3042" w:name="_Toc38439054"/>
      <w:bookmarkStart w:id="3043" w:name="_Toc38439391"/>
      <w:bookmarkStart w:id="3044" w:name="_Toc38439728"/>
      <w:bookmarkStart w:id="3045" w:name="_Toc38440065"/>
      <w:bookmarkStart w:id="3046" w:name="_Toc38440402"/>
      <w:bookmarkStart w:id="3047" w:name="_Toc38440934"/>
      <w:bookmarkStart w:id="3048" w:name="_Toc38441266"/>
      <w:bookmarkStart w:id="3049" w:name="_Toc38441598"/>
      <w:bookmarkStart w:id="3050" w:name="_Toc38441926"/>
      <w:bookmarkStart w:id="3051" w:name="_Toc38442258"/>
      <w:bookmarkStart w:id="3052" w:name="_Toc38442590"/>
      <w:bookmarkStart w:id="3053" w:name="_Toc38442921"/>
      <w:bookmarkStart w:id="3054" w:name="_Toc38443252"/>
      <w:bookmarkStart w:id="3055" w:name="_Toc38443583"/>
      <w:bookmarkStart w:id="3056" w:name="_Toc38443913"/>
      <w:bookmarkStart w:id="3057" w:name="_Toc38438381"/>
      <w:bookmarkStart w:id="3058" w:name="_Toc38438718"/>
      <w:bookmarkStart w:id="3059" w:name="_Toc38439055"/>
      <w:bookmarkStart w:id="3060" w:name="_Toc38439392"/>
      <w:bookmarkStart w:id="3061" w:name="_Toc38439729"/>
      <w:bookmarkStart w:id="3062" w:name="_Toc38440066"/>
      <w:bookmarkStart w:id="3063" w:name="_Toc38440403"/>
      <w:bookmarkStart w:id="3064" w:name="_Toc38440935"/>
      <w:bookmarkStart w:id="3065" w:name="_Toc38441267"/>
      <w:bookmarkStart w:id="3066" w:name="_Toc38441599"/>
      <w:bookmarkStart w:id="3067" w:name="_Toc38441927"/>
      <w:bookmarkStart w:id="3068" w:name="_Toc38442259"/>
      <w:bookmarkStart w:id="3069" w:name="_Toc38442591"/>
      <w:bookmarkStart w:id="3070" w:name="_Toc38442922"/>
      <w:bookmarkStart w:id="3071" w:name="_Toc38443253"/>
      <w:bookmarkStart w:id="3072" w:name="_Toc38443584"/>
      <w:bookmarkStart w:id="3073" w:name="_Toc38443914"/>
      <w:bookmarkStart w:id="3074" w:name="_Toc38438382"/>
      <w:bookmarkStart w:id="3075" w:name="_Toc38438719"/>
      <w:bookmarkStart w:id="3076" w:name="_Toc38439056"/>
      <w:bookmarkStart w:id="3077" w:name="_Toc38439393"/>
      <w:bookmarkStart w:id="3078" w:name="_Toc38439730"/>
      <w:bookmarkStart w:id="3079" w:name="_Toc38440067"/>
      <w:bookmarkStart w:id="3080" w:name="_Toc38440404"/>
      <w:bookmarkStart w:id="3081" w:name="_Toc38440936"/>
      <w:bookmarkStart w:id="3082" w:name="_Toc38441268"/>
      <w:bookmarkStart w:id="3083" w:name="_Toc38441600"/>
      <w:bookmarkStart w:id="3084" w:name="_Toc38441928"/>
      <w:bookmarkStart w:id="3085" w:name="_Toc38442260"/>
      <w:bookmarkStart w:id="3086" w:name="_Toc38442592"/>
      <w:bookmarkStart w:id="3087" w:name="_Toc38442923"/>
      <w:bookmarkStart w:id="3088" w:name="_Toc38443254"/>
      <w:bookmarkStart w:id="3089" w:name="_Toc38443585"/>
      <w:bookmarkStart w:id="3090" w:name="_Toc38443915"/>
      <w:bookmarkStart w:id="3091" w:name="_Toc38438383"/>
      <w:bookmarkStart w:id="3092" w:name="_Toc38438720"/>
      <w:bookmarkStart w:id="3093" w:name="_Toc38439057"/>
      <w:bookmarkStart w:id="3094" w:name="_Toc38439394"/>
      <w:bookmarkStart w:id="3095" w:name="_Toc38439731"/>
      <w:bookmarkStart w:id="3096" w:name="_Toc38440068"/>
      <w:bookmarkStart w:id="3097" w:name="_Toc38440405"/>
      <w:bookmarkStart w:id="3098" w:name="_Toc38440937"/>
      <w:bookmarkStart w:id="3099" w:name="_Toc38441269"/>
      <w:bookmarkStart w:id="3100" w:name="_Toc38441601"/>
      <w:bookmarkStart w:id="3101" w:name="_Toc38441929"/>
      <w:bookmarkStart w:id="3102" w:name="_Toc38442261"/>
      <w:bookmarkStart w:id="3103" w:name="_Toc38442593"/>
      <w:bookmarkStart w:id="3104" w:name="_Toc38442924"/>
      <w:bookmarkStart w:id="3105" w:name="_Toc38443255"/>
      <w:bookmarkStart w:id="3106" w:name="_Toc38443586"/>
      <w:bookmarkStart w:id="3107" w:name="_Toc38443916"/>
      <w:bookmarkStart w:id="3108" w:name="_Toc38438384"/>
      <w:bookmarkStart w:id="3109" w:name="_Toc38438721"/>
      <w:bookmarkStart w:id="3110" w:name="_Toc38439058"/>
      <w:bookmarkStart w:id="3111" w:name="_Toc38439395"/>
      <w:bookmarkStart w:id="3112" w:name="_Toc38439732"/>
      <w:bookmarkStart w:id="3113" w:name="_Toc38440069"/>
      <w:bookmarkStart w:id="3114" w:name="_Toc38440406"/>
      <w:bookmarkStart w:id="3115" w:name="_Toc38440938"/>
      <w:bookmarkStart w:id="3116" w:name="_Toc38441270"/>
      <w:bookmarkStart w:id="3117" w:name="_Toc38441602"/>
      <w:bookmarkStart w:id="3118" w:name="_Toc38441930"/>
      <w:bookmarkStart w:id="3119" w:name="_Toc38442262"/>
      <w:bookmarkStart w:id="3120" w:name="_Toc38442594"/>
      <w:bookmarkStart w:id="3121" w:name="_Toc38442925"/>
      <w:bookmarkStart w:id="3122" w:name="_Toc38443256"/>
      <w:bookmarkStart w:id="3123" w:name="_Toc38443587"/>
      <w:bookmarkStart w:id="3124" w:name="_Toc38443917"/>
      <w:bookmarkStart w:id="3125" w:name="_Toc38438385"/>
      <w:bookmarkStart w:id="3126" w:name="_Toc38438722"/>
      <w:bookmarkStart w:id="3127" w:name="_Toc38439059"/>
      <w:bookmarkStart w:id="3128" w:name="_Toc38439396"/>
      <w:bookmarkStart w:id="3129" w:name="_Toc38439733"/>
      <w:bookmarkStart w:id="3130" w:name="_Toc38440070"/>
      <w:bookmarkStart w:id="3131" w:name="_Toc38440407"/>
      <w:bookmarkStart w:id="3132" w:name="_Toc38440939"/>
      <w:bookmarkStart w:id="3133" w:name="_Toc38441271"/>
      <w:bookmarkStart w:id="3134" w:name="_Toc38441603"/>
      <w:bookmarkStart w:id="3135" w:name="_Toc38441931"/>
      <w:bookmarkStart w:id="3136" w:name="_Toc38442263"/>
      <w:bookmarkStart w:id="3137" w:name="_Toc38442595"/>
      <w:bookmarkStart w:id="3138" w:name="_Toc38442926"/>
      <w:bookmarkStart w:id="3139" w:name="_Toc38443257"/>
      <w:bookmarkStart w:id="3140" w:name="_Toc38443588"/>
      <w:bookmarkStart w:id="3141" w:name="_Toc38443918"/>
      <w:bookmarkStart w:id="3142" w:name="_Toc38438386"/>
      <w:bookmarkStart w:id="3143" w:name="_Toc38438723"/>
      <w:bookmarkStart w:id="3144" w:name="_Toc38439060"/>
      <w:bookmarkStart w:id="3145" w:name="_Toc38439397"/>
      <w:bookmarkStart w:id="3146" w:name="_Toc38439734"/>
      <w:bookmarkStart w:id="3147" w:name="_Toc38440071"/>
      <w:bookmarkStart w:id="3148" w:name="_Toc38440408"/>
      <w:bookmarkStart w:id="3149" w:name="_Toc38440940"/>
      <w:bookmarkStart w:id="3150" w:name="_Toc38441272"/>
      <w:bookmarkStart w:id="3151" w:name="_Toc38441604"/>
      <w:bookmarkStart w:id="3152" w:name="_Toc38441932"/>
      <w:bookmarkStart w:id="3153" w:name="_Toc38442264"/>
      <w:bookmarkStart w:id="3154" w:name="_Toc38442596"/>
      <w:bookmarkStart w:id="3155" w:name="_Toc38442927"/>
      <w:bookmarkStart w:id="3156" w:name="_Toc38443258"/>
      <w:bookmarkStart w:id="3157" w:name="_Toc38443589"/>
      <w:bookmarkStart w:id="3158" w:name="_Toc38443919"/>
      <w:bookmarkStart w:id="3159" w:name="_Toc38438387"/>
      <w:bookmarkStart w:id="3160" w:name="_Toc38438724"/>
      <w:bookmarkStart w:id="3161" w:name="_Toc38439061"/>
      <w:bookmarkStart w:id="3162" w:name="_Toc38439398"/>
      <w:bookmarkStart w:id="3163" w:name="_Toc38439735"/>
      <w:bookmarkStart w:id="3164" w:name="_Toc38440072"/>
      <w:bookmarkStart w:id="3165" w:name="_Toc38440409"/>
      <w:bookmarkStart w:id="3166" w:name="_Toc38440941"/>
      <w:bookmarkStart w:id="3167" w:name="_Toc38441273"/>
      <w:bookmarkStart w:id="3168" w:name="_Toc38441605"/>
      <w:bookmarkStart w:id="3169" w:name="_Toc38441933"/>
      <w:bookmarkStart w:id="3170" w:name="_Toc38442265"/>
      <w:bookmarkStart w:id="3171" w:name="_Toc38442597"/>
      <w:bookmarkStart w:id="3172" w:name="_Toc38442928"/>
      <w:bookmarkStart w:id="3173" w:name="_Toc38443259"/>
      <w:bookmarkStart w:id="3174" w:name="_Toc38443590"/>
      <w:bookmarkStart w:id="3175" w:name="_Toc38443920"/>
      <w:bookmarkStart w:id="3176" w:name="_Toc38438388"/>
      <w:bookmarkStart w:id="3177" w:name="_Toc38438725"/>
      <w:bookmarkStart w:id="3178" w:name="_Toc38439062"/>
      <w:bookmarkStart w:id="3179" w:name="_Toc38439399"/>
      <w:bookmarkStart w:id="3180" w:name="_Toc38439736"/>
      <w:bookmarkStart w:id="3181" w:name="_Toc38440073"/>
      <w:bookmarkStart w:id="3182" w:name="_Toc38440410"/>
      <w:bookmarkStart w:id="3183" w:name="_Toc38440942"/>
      <w:bookmarkStart w:id="3184" w:name="_Toc38441274"/>
      <w:bookmarkStart w:id="3185" w:name="_Toc38441606"/>
      <w:bookmarkStart w:id="3186" w:name="_Toc38441934"/>
      <w:bookmarkStart w:id="3187" w:name="_Toc38442266"/>
      <w:bookmarkStart w:id="3188" w:name="_Toc38442598"/>
      <w:bookmarkStart w:id="3189" w:name="_Toc38442929"/>
      <w:bookmarkStart w:id="3190" w:name="_Toc38443260"/>
      <w:bookmarkStart w:id="3191" w:name="_Toc38443591"/>
      <w:bookmarkStart w:id="3192" w:name="_Toc38443921"/>
      <w:bookmarkStart w:id="3193" w:name="_Toc38438389"/>
      <w:bookmarkStart w:id="3194" w:name="_Toc38438726"/>
      <w:bookmarkStart w:id="3195" w:name="_Toc38439063"/>
      <w:bookmarkStart w:id="3196" w:name="_Toc38439400"/>
      <w:bookmarkStart w:id="3197" w:name="_Toc38439737"/>
      <w:bookmarkStart w:id="3198" w:name="_Toc38440074"/>
      <w:bookmarkStart w:id="3199" w:name="_Toc38440411"/>
      <w:bookmarkStart w:id="3200" w:name="_Toc38440943"/>
      <w:bookmarkStart w:id="3201" w:name="_Toc38441275"/>
      <w:bookmarkStart w:id="3202" w:name="_Toc38441607"/>
      <w:bookmarkStart w:id="3203" w:name="_Toc38441935"/>
      <w:bookmarkStart w:id="3204" w:name="_Toc38442267"/>
      <w:bookmarkStart w:id="3205" w:name="_Toc38442599"/>
      <w:bookmarkStart w:id="3206" w:name="_Toc38442930"/>
      <w:bookmarkStart w:id="3207" w:name="_Toc38443261"/>
      <w:bookmarkStart w:id="3208" w:name="_Toc38443592"/>
      <w:bookmarkStart w:id="3209" w:name="_Toc38443922"/>
      <w:bookmarkStart w:id="3210" w:name="_Toc38438390"/>
      <w:bookmarkStart w:id="3211" w:name="_Toc38438727"/>
      <w:bookmarkStart w:id="3212" w:name="_Toc38439064"/>
      <w:bookmarkStart w:id="3213" w:name="_Toc38439401"/>
      <w:bookmarkStart w:id="3214" w:name="_Toc38439738"/>
      <w:bookmarkStart w:id="3215" w:name="_Toc38440075"/>
      <w:bookmarkStart w:id="3216" w:name="_Toc38440412"/>
      <w:bookmarkStart w:id="3217" w:name="_Toc38440944"/>
      <w:bookmarkStart w:id="3218" w:name="_Toc38441276"/>
      <w:bookmarkStart w:id="3219" w:name="_Toc38441608"/>
      <w:bookmarkStart w:id="3220" w:name="_Toc38441936"/>
      <w:bookmarkStart w:id="3221" w:name="_Toc38442268"/>
      <w:bookmarkStart w:id="3222" w:name="_Toc38442600"/>
      <w:bookmarkStart w:id="3223" w:name="_Toc38442931"/>
      <w:bookmarkStart w:id="3224" w:name="_Toc38443262"/>
      <w:bookmarkStart w:id="3225" w:name="_Toc38443593"/>
      <w:bookmarkStart w:id="3226" w:name="_Toc38443923"/>
      <w:bookmarkStart w:id="3227" w:name="_Toc38438391"/>
      <w:bookmarkStart w:id="3228" w:name="_Toc38438728"/>
      <w:bookmarkStart w:id="3229" w:name="_Toc38439065"/>
      <w:bookmarkStart w:id="3230" w:name="_Toc38439402"/>
      <w:bookmarkStart w:id="3231" w:name="_Toc38439739"/>
      <w:bookmarkStart w:id="3232" w:name="_Toc38440076"/>
      <w:bookmarkStart w:id="3233" w:name="_Toc38440413"/>
      <w:bookmarkStart w:id="3234" w:name="_Toc38440945"/>
      <w:bookmarkStart w:id="3235" w:name="_Toc38441277"/>
      <w:bookmarkStart w:id="3236" w:name="_Toc38441609"/>
      <w:bookmarkStart w:id="3237" w:name="_Toc38441937"/>
      <w:bookmarkStart w:id="3238" w:name="_Toc38442269"/>
      <w:bookmarkStart w:id="3239" w:name="_Toc38442601"/>
      <w:bookmarkStart w:id="3240" w:name="_Toc38442932"/>
      <w:bookmarkStart w:id="3241" w:name="_Toc38443263"/>
      <w:bookmarkStart w:id="3242" w:name="_Toc38443594"/>
      <w:bookmarkStart w:id="3243" w:name="_Toc38443924"/>
      <w:bookmarkStart w:id="3244" w:name="_Toc38438392"/>
      <w:bookmarkStart w:id="3245" w:name="_Toc38438729"/>
      <w:bookmarkStart w:id="3246" w:name="_Toc38439066"/>
      <w:bookmarkStart w:id="3247" w:name="_Toc38439403"/>
      <w:bookmarkStart w:id="3248" w:name="_Toc38439740"/>
      <w:bookmarkStart w:id="3249" w:name="_Toc38440077"/>
      <w:bookmarkStart w:id="3250" w:name="_Toc38440414"/>
      <w:bookmarkStart w:id="3251" w:name="_Toc38440946"/>
      <w:bookmarkStart w:id="3252" w:name="_Toc38441278"/>
      <w:bookmarkStart w:id="3253" w:name="_Toc38441610"/>
      <w:bookmarkStart w:id="3254" w:name="_Toc38441938"/>
      <w:bookmarkStart w:id="3255" w:name="_Toc38442270"/>
      <w:bookmarkStart w:id="3256" w:name="_Toc38442602"/>
      <w:bookmarkStart w:id="3257" w:name="_Toc38442933"/>
      <w:bookmarkStart w:id="3258" w:name="_Toc38443264"/>
      <w:bookmarkStart w:id="3259" w:name="_Toc38443595"/>
      <w:bookmarkStart w:id="3260" w:name="_Toc38443925"/>
      <w:bookmarkStart w:id="3261" w:name="_Toc38438393"/>
      <w:bookmarkStart w:id="3262" w:name="_Toc38438730"/>
      <w:bookmarkStart w:id="3263" w:name="_Toc38439067"/>
      <w:bookmarkStart w:id="3264" w:name="_Toc38439404"/>
      <w:bookmarkStart w:id="3265" w:name="_Toc38439741"/>
      <w:bookmarkStart w:id="3266" w:name="_Toc38440078"/>
      <w:bookmarkStart w:id="3267" w:name="_Toc38440415"/>
      <w:bookmarkStart w:id="3268" w:name="_Toc38440947"/>
      <w:bookmarkStart w:id="3269" w:name="_Toc38441279"/>
      <w:bookmarkStart w:id="3270" w:name="_Toc38441611"/>
      <w:bookmarkStart w:id="3271" w:name="_Toc38441939"/>
      <w:bookmarkStart w:id="3272" w:name="_Toc38442271"/>
      <w:bookmarkStart w:id="3273" w:name="_Toc38442603"/>
      <w:bookmarkStart w:id="3274" w:name="_Toc38442934"/>
      <w:bookmarkStart w:id="3275" w:name="_Toc38443265"/>
      <w:bookmarkStart w:id="3276" w:name="_Toc38443596"/>
      <w:bookmarkStart w:id="3277" w:name="_Toc38443926"/>
      <w:bookmarkStart w:id="3278" w:name="_Toc38438394"/>
      <w:bookmarkStart w:id="3279" w:name="_Toc38438731"/>
      <w:bookmarkStart w:id="3280" w:name="_Toc38439068"/>
      <w:bookmarkStart w:id="3281" w:name="_Toc38439405"/>
      <w:bookmarkStart w:id="3282" w:name="_Toc38439742"/>
      <w:bookmarkStart w:id="3283" w:name="_Toc38440079"/>
      <w:bookmarkStart w:id="3284" w:name="_Toc38440416"/>
      <w:bookmarkStart w:id="3285" w:name="_Toc38440948"/>
      <w:bookmarkStart w:id="3286" w:name="_Toc38441280"/>
      <w:bookmarkStart w:id="3287" w:name="_Toc38441612"/>
      <w:bookmarkStart w:id="3288" w:name="_Toc38441940"/>
      <w:bookmarkStart w:id="3289" w:name="_Toc38442272"/>
      <w:bookmarkStart w:id="3290" w:name="_Toc38442604"/>
      <w:bookmarkStart w:id="3291" w:name="_Toc38442935"/>
      <w:bookmarkStart w:id="3292" w:name="_Toc38443266"/>
      <w:bookmarkStart w:id="3293" w:name="_Toc38443597"/>
      <w:bookmarkStart w:id="3294" w:name="_Toc38443927"/>
      <w:bookmarkStart w:id="3295" w:name="_Toc38438395"/>
      <w:bookmarkStart w:id="3296" w:name="_Toc38438732"/>
      <w:bookmarkStart w:id="3297" w:name="_Toc38439069"/>
      <w:bookmarkStart w:id="3298" w:name="_Toc38439406"/>
      <w:bookmarkStart w:id="3299" w:name="_Toc38439743"/>
      <w:bookmarkStart w:id="3300" w:name="_Toc38440080"/>
      <w:bookmarkStart w:id="3301" w:name="_Toc38440417"/>
      <w:bookmarkStart w:id="3302" w:name="_Toc38440949"/>
      <w:bookmarkStart w:id="3303" w:name="_Toc38441281"/>
      <w:bookmarkStart w:id="3304" w:name="_Toc38441613"/>
      <w:bookmarkStart w:id="3305" w:name="_Toc38441941"/>
      <w:bookmarkStart w:id="3306" w:name="_Toc38442273"/>
      <w:bookmarkStart w:id="3307" w:name="_Toc38442605"/>
      <w:bookmarkStart w:id="3308" w:name="_Toc38442936"/>
      <w:bookmarkStart w:id="3309" w:name="_Toc38443267"/>
      <w:bookmarkStart w:id="3310" w:name="_Toc38443598"/>
      <w:bookmarkStart w:id="3311" w:name="_Toc38443928"/>
      <w:bookmarkStart w:id="3312" w:name="_Toc38438396"/>
      <w:bookmarkStart w:id="3313" w:name="_Toc38438733"/>
      <w:bookmarkStart w:id="3314" w:name="_Toc38439070"/>
      <w:bookmarkStart w:id="3315" w:name="_Toc38439407"/>
      <w:bookmarkStart w:id="3316" w:name="_Toc38439744"/>
      <w:bookmarkStart w:id="3317" w:name="_Toc38440081"/>
      <w:bookmarkStart w:id="3318" w:name="_Toc38440418"/>
      <w:bookmarkStart w:id="3319" w:name="_Toc38440950"/>
      <w:bookmarkStart w:id="3320" w:name="_Toc38441282"/>
      <w:bookmarkStart w:id="3321" w:name="_Toc38441614"/>
      <w:bookmarkStart w:id="3322" w:name="_Toc38441942"/>
      <w:bookmarkStart w:id="3323" w:name="_Toc38442274"/>
      <w:bookmarkStart w:id="3324" w:name="_Toc38442606"/>
      <w:bookmarkStart w:id="3325" w:name="_Toc38442937"/>
      <w:bookmarkStart w:id="3326" w:name="_Toc38443268"/>
      <w:bookmarkStart w:id="3327" w:name="_Toc38443599"/>
      <w:bookmarkStart w:id="3328" w:name="_Toc38443929"/>
      <w:bookmarkStart w:id="3329" w:name="_Toc38438397"/>
      <w:bookmarkStart w:id="3330" w:name="_Toc38438734"/>
      <w:bookmarkStart w:id="3331" w:name="_Toc38439071"/>
      <w:bookmarkStart w:id="3332" w:name="_Toc38439408"/>
      <w:bookmarkStart w:id="3333" w:name="_Toc38439745"/>
      <w:bookmarkStart w:id="3334" w:name="_Toc38440082"/>
      <w:bookmarkStart w:id="3335" w:name="_Toc38440419"/>
      <w:bookmarkStart w:id="3336" w:name="_Toc38440951"/>
      <w:bookmarkStart w:id="3337" w:name="_Toc38441283"/>
      <w:bookmarkStart w:id="3338" w:name="_Toc38441615"/>
      <w:bookmarkStart w:id="3339" w:name="_Toc38441943"/>
      <w:bookmarkStart w:id="3340" w:name="_Toc38442275"/>
      <w:bookmarkStart w:id="3341" w:name="_Toc38442607"/>
      <w:bookmarkStart w:id="3342" w:name="_Toc38442938"/>
      <w:bookmarkStart w:id="3343" w:name="_Toc38443269"/>
      <w:bookmarkStart w:id="3344" w:name="_Toc38443600"/>
      <w:bookmarkStart w:id="3345" w:name="_Toc38443930"/>
      <w:bookmarkStart w:id="3346" w:name="_Toc38438398"/>
      <w:bookmarkStart w:id="3347" w:name="_Toc38438735"/>
      <w:bookmarkStart w:id="3348" w:name="_Toc38439072"/>
      <w:bookmarkStart w:id="3349" w:name="_Toc38439409"/>
      <w:bookmarkStart w:id="3350" w:name="_Toc38439746"/>
      <w:bookmarkStart w:id="3351" w:name="_Toc38440083"/>
      <w:bookmarkStart w:id="3352" w:name="_Toc38440420"/>
      <w:bookmarkStart w:id="3353" w:name="_Toc38440952"/>
      <w:bookmarkStart w:id="3354" w:name="_Toc38441284"/>
      <w:bookmarkStart w:id="3355" w:name="_Toc38441616"/>
      <w:bookmarkStart w:id="3356" w:name="_Toc38441944"/>
      <w:bookmarkStart w:id="3357" w:name="_Toc38442276"/>
      <w:bookmarkStart w:id="3358" w:name="_Toc38442608"/>
      <w:bookmarkStart w:id="3359" w:name="_Toc38442939"/>
      <w:bookmarkStart w:id="3360" w:name="_Toc38443270"/>
      <w:bookmarkStart w:id="3361" w:name="_Toc38443601"/>
      <w:bookmarkStart w:id="3362" w:name="_Toc38443931"/>
      <w:bookmarkStart w:id="3363" w:name="_Toc38438400"/>
      <w:bookmarkStart w:id="3364" w:name="_Toc38438737"/>
      <w:bookmarkStart w:id="3365" w:name="_Toc38439074"/>
      <w:bookmarkStart w:id="3366" w:name="_Toc38439411"/>
      <w:bookmarkStart w:id="3367" w:name="_Toc38439748"/>
      <w:bookmarkStart w:id="3368" w:name="_Toc38440085"/>
      <w:bookmarkStart w:id="3369" w:name="_Toc38440422"/>
      <w:bookmarkStart w:id="3370" w:name="_Toc38440954"/>
      <w:bookmarkStart w:id="3371" w:name="_Toc38441286"/>
      <w:bookmarkStart w:id="3372" w:name="_Toc38441618"/>
      <w:bookmarkStart w:id="3373" w:name="_Toc38441946"/>
      <w:bookmarkStart w:id="3374" w:name="_Toc38442278"/>
      <w:bookmarkStart w:id="3375" w:name="_Toc38442610"/>
      <w:bookmarkStart w:id="3376" w:name="_Toc38442941"/>
      <w:bookmarkStart w:id="3377" w:name="_Toc38443272"/>
      <w:bookmarkStart w:id="3378" w:name="_Toc38443603"/>
      <w:bookmarkStart w:id="3379" w:name="_Toc38443933"/>
      <w:bookmarkStart w:id="3380" w:name="_Toc38438401"/>
      <w:bookmarkStart w:id="3381" w:name="_Toc38438738"/>
      <w:bookmarkStart w:id="3382" w:name="_Toc38439075"/>
      <w:bookmarkStart w:id="3383" w:name="_Toc38439412"/>
      <w:bookmarkStart w:id="3384" w:name="_Toc38439749"/>
      <w:bookmarkStart w:id="3385" w:name="_Toc38440086"/>
      <w:bookmarkStart w:id="3386" w:name="_Toc38440423"/>
      <w:bookmarkStart w:id="3387" w:name="_Toc38440955"/>
      <w:bookmarkStart w:id="3388" w:name="_Toc38441287"/>
      <w:bookmarkStart w:id="3389" w:name="_Toc38441619"/>
      <w:bookmarkStart w:id="3390" w:name="_Toc38441947"/>
      <w:bookmarkStart w:id="3391" w:name="_Toc38442279"/>
      <w:bookmarkStart w:id="3392" w:name="_Toc38442611"/>
      <w:bookmarkStart w:id="3393" w:name="_Toc38442942"/>
      <w:bookmarkStart w:id="3394" w:name="_Toc38443273"/>
      <w:bookmarkStart w:id="3395" w:name="_Toc38443604"/>
      <w:bookmarkStart w:id="3396" w:name="_Toc38443934"/>
      <w:bookmarkStart w:id="3397" w:name="_Toc38438402"/>
      <w:bookmarkStart w:id="3398" w:name="_Toc38438739"/>
      <w:bookmarkStart w:id="3399" w:name="_Toc38439076"/>
      <w:bookmarkStart w:id="3400" w:name="_Toc38439413"/>
      <w:bookmarkStart w:id="3401" w:name="_Toc38439750"/>
      <w:bookmarkStart w:id="3402" w:name="_Toc38440087"/>
      <w:bookmarkStart w:id="3403" w:name="_Toc38440424"/>
      <w:bookmarkStart w:id="3404" w:name="_Toc38440956"/>
      <w:bookmarkStart w:id="3405" w:name="_Toc38441288"/>
      <w:bookmarkStart w:id="3406" w:name="_Toc38441620"/>
      <w:bookmarkStart w:id="3407" w:name="_Toc38441948"/>
      <w:bookmarkStart w:id="3408" w:name="_Toc38442280"/>
      <w:bookmarkStart w:id="3409" w:name="_Toc38442612"/>
      <w:bookmarkStart w:id="3410" w:name="_Toc38442943"/>
      <w:bookmarkStart w:id="3411" w:name="_Toc38443274"/>
      <w:bookmarkStart w:id="3412" w:name="_Toc38443605"/>
      <w:bookmarkStart w:id="3413" w:name="_Toc38443935"/>
      <w:bookmarkStart w:id="3414" w:name="_Toc38438404"/>
      <w:bookmarkStart w:id="3415" w:name="_Toc38438741"/>
      <w:bookmarkStart w:id="3416" w:name="_Toc38439078"/>
      <w:bookmarkStart w:id="3417" w:name="_Toc38439415"/>
      <w:bookmarkStart w:id="3418" w:name="_Toc38439752"/>
      <w:bookmarkStart w:id="3419" w:name="_Toc38440089"/>
      <w:bookmarkStart w:id="3420" w:name="_Toc38440426"/>
      <w:bookmarkStart w:id="3421" w:name="_Toc38440958"/>
      <w:bookmarkStart w:id="3422" w:name="_Toc38441290"/>
      <w:bookmarkStart w:id="3423" w:name="_Toc38441622"/>
      <w:bookmarkStart w:id="3424" w:name="_Toc38441950"/>
      <w:bookmarkStart w:id="3425" w:name="_Toc38442282"/>
      <w:bookmarkStart w:id="3426" w:name="_Toc38442614"/>
      <w:bookmarkStart w:id="3427" w:name="_Toc38442945"/>
      <w:bookmarkStart w:id="3428" w:name="_Toc38443276"/>
      <w:bookmarkStart w:id="3429" w:name="_Toc38443607"/>
      <w:bookmarkStart w:id="3430" w:name="_Toc38443937"/>
      <w:bookmarkStart w:id="3431" w:name="_Toc38438405"/>
      <w:bookmarkStart w:id="3432" w:name="_Toc38438742"/>
      <w:bookmarkStart w:id="3433" w:name="_Toc38439079"/>
      <w:bookmarkStart w:id="3434" w:name="_Toc38439416"/>
      <w:bookmarkStart w:id="3435" w:name="_Toc38439753"/>
      <w:bookmarkStart w:id="3436" w:name="_Toc38440090"/>
      <w:bookmarkStart w:id="3437" w:name="_Toc38440427"/>
      <w:bookmarkStart w:id="3438" w:name="_Toc38440959"/>
      <w:bookmarkStart w:id="3439" w:name="_Toc38441291"/>
      <w:bookmarkStart w:id="3440" w:name="_Toc38441623"/>
      <w:bookmarkStart w:id="3441" w:name="_Toc38441951"/>
      <w:bookmarkStart w:id="3442" w:name="_Toc38442283"/>
      <w:bookmarkStart w:id="3443" w:name="_Toc38442615"/>
      <w:bookmarkStart w:id="3444" w:name="_Toc38442946"/>
      <w:bookmarkStart w:id="3445" w:name="_Toc38443277"/>
      <w:bookmarkStart w:id="3446" w:name="_Toc38443608"/>
      <w:bookmarkStart w:id="3447" w:name="_Toc38443938"/>
      <w:bookmarkStart w:id="3448" w:name="_Toc38438406"/>
      <w:bookmarkStart w:id="3449" w:name="_Toc38438743"/>
      <w:bookmarkStart w:id="3450" w:name="_Toc38439080"/>
      <w:bookmarkStart w:id="3451" w:name="_Toc38439417"/>
      <w:bookmarkStart w:id="3452" w:name="_Toc38439754"/>
      <w:bookmarkStart w:id="3453" w:name="_Toc38440091"/>
      <w:bookmarkStart w:id="3454" w:name="_Toc38440428"/>
      <w:bookmarkStart w:id="3455" w:name="_Toc38440960"/>
      <w:bookmarkStart w:id="3456" w:name="_Toc38441292"/>
      <w:bookmarkStart w:id="3457" w:name="_Toc38441624"/>
      <w:bookmarkStart w:id="3458" w:name="_Toc38441952"/>
      <w:bookmarkStart w:id="3459" w:name="_Toc38442284"/>
      <w:bookmarkStart w:id="3460" w:name="_Toc38442616"/>
      <w:bookmarkStart w:id="3461" w:name="_Toc38442947"/>
      <w:bookmarkStart w:id="3462" w:name="_Toc38443278"/>
      <w:bookmarkStart w:id="3463" w:name="_Toc38443609"/>
      <w:bookmarkStart w:id="3464" w:name="_Toc38443939"/>
      <w:bookmarkStart w:id="3465" w:name="_Toc38438407"/>
      <w:bookmarkStart w:id="3466" w:name="_Toc38438744"/>
      <w:bookmarkStart w:id="3467" w:name="_Toc38439081"/>
      <w:bookmarkStart w:id="3468" w:name="_Toc38439418"/>
      <w:bookmarkStart w:id="3469" w:name="_Toc38439755"/>
      <w:bookmarkStart w:id="3470" w:name="_Toc38440092"/>
      <w:bookmarkStart w:id="3471" w:name="_Toc38440429"/>
      <w:bookmarkStart w:id="3472" w:name="_Toc38440961"/>
      <w:bookmarkStart w:id="3473" w:name="_Toc38441293"/>
      <w:bookmarkStart w:id="3474" w:name="_Toc38441625"/>
      <w:bookmarkStart w:id="3475" w:name="_Toc38441953"/>
      <w:bookmarkStart w:id="3476" w:name="_Toc38442285"/>
      <w:bookmarkStart w:id="3477" w:name="_Toc38442617"/>
      <w:bookmarkStart w:id="3478" w:name="_Toc38442948"/>
      <w:bookmarkStart w:id="3479" w:name="_Toc38443279"/>
      <w:bookmarkStart w:id="3480" w:name="_Toc38443610"/>
      <w:bookmarkStart w:id="3481" w:name="_Toc38443940"/>
      <w:bookmarkStart w:id="3482" w:name="_Toc38438408"/>
      <w:bookmarkStart w:id="3483" w:name="_Toc38438745"/>
      <w:bookmarkStart w:id="3484" w:name="_Toc38439082"/>
      <w:bookmarkStart w:id="3485" w:name="_Toc38439419"/>
      <w:bookmarkStart w:id="3486" w:name="_Toc38439756"/>
      <w:bookmarkStart w:id="3487" w:name="_Toc38440093"/>
      <w:bookmarkStart w:id="3488" w:name="_Toc38440430"/>
      <w:bookmarkStart w:id="3489" w:name="_Toc38440962"/>
      <w:bookmarkStart w:id="3490" w:name="_Toc38441294"/>
      <w:bookmarkStart w:id="3491" w:name="_Toc38441626"/>
      <w:bookmarkStart w:id="3492" w:name="_Toc38441954"/>
      <w:bookmarkStart w:id="3493" w:name="_Toc38442286"/>
      <w:bookmarkStart w:id="3494" w:name="_Toc38442618"/>
      <w:bookmarkStart w:id="3495" w:name="_Toc38442949"/>
      <w:bookmarkStart w:id="3496" w:name="_Toc38443280"/>
      <w:bookmarkStart w:id="3497" w:name="_Toc38443611"/>
      <w:bookmarkStart w:id="3498" w:name="_Toc38443941"/>
      <w:bookmarkStart w:id="3499" w:name="_Toc38438409"/>
      <w:bookmarkStart w:id="3500" w:name="_Toc38438746"/>
      <w:bookmarkStart w:id="3501" w:name="_Toc38439083"/>
      <w:bookmarkStart w:id="3502" w:name="_Toc38439420"/>
      <w:bookmarkStart w:id="3503" w:name="_Toc38439757"/>
      <w:bookmarkStart w:id="3504" w:name="_Toc38440094"/>
      <w:bookmarkStart w:id="3505" w:name="_Toc38440431"/>
      <w:bookmarkStart w:id="3506" w:name="_Toc38440963"/>
      <w:bookmarkStart w:id="3507" w:name="_Toc38441295"/>
      <w:bookmarkStart w:id="3508" w:name="_Toc38441627"/>
      <w:bookmarkStart w:id="3509" w:name="_Toc38441955"/>
      <w:bookmarkStart w:id="3510" w:name="_Toc38442287"/>
      <w:bookmarkStart w:id="3511" w:name="_Toc38442619"/>
      <w:bookmarkStart w:id="3512" w:name="_Toc38442950"/>
      <w:bookmarkStart w:id="3513" w:name="_Toc38443281"/>
      <w:bookmarkStart w:id="3514" w:name="_Toc38443612"/>
      <w:bookmarkStart w:id="3515" w:name="_Toc38443942"/>
      <w:bookmarkStart w:id="3516" w:name="_Toc38438410"/>
      <w:bookmarkStart w:id="3517" w:name="_Toc38438747"/>
      <w:bookmarkStart w:id="3518" w:name="_Toc38439084"/>
      <w:bookmarkStart w:id="3519" w:name="_Toc38439421"/>
      <w:bookmarkStart w:id="3520" w:name="_Toc38439758"/>
      <w:bookmarkStart w:id="3521" w:name="_Toc38440095"/>
      <w:bookmarkStart w:id="3522" w:name="_Toc38440432"/>
      <w:bookmarkStart w:id="3523" w:name="_Toc38440964"/>
      <w:bookmarkStart w:id="3524" w:name="_Toc38441296"/>
      <w:bookmarkStart w:id="3525" w:name="_Toc38441628"/>
      <w:bookmarkStart w:id="3526" w:name="_Toc38441956"/>
      <w:bookmarkStart w:id="3527" w:name="_Toc38442288"/>
      <w:bookmarkStart w:id="3528" w:name="_Toc38442620"/>
      <w:bookmarkStart w:id="3529" w:name="_Toc38442951"/>
      <w:bookmarkStart w:id="3530" w:name="_Toc38443282"/>
      <w:bookmarkStart w:id="3531" w:name="_Toc38443613"/>
      <w:bookmarkStart w:id="3532" w:name="_Toc38443943"/>
      <w:bookmarkStart w:id="3533" w:name="_Toc38438411"/>
      <w:bookmarkStart w:id="3534" w:name="_Toc38438748"/>
      <w:bookmarkStart w:id="3535" w:name="_Toc38439085"/>
      <w:bookmarkStart w:id="3536" w:name="_Toc38439422"/>
      <w:bookmarkStart w:id="3537" w:name="_Toc38439759"/>
      <w:bookmarkStart w:id="3538" w:name="_Toc38440096"/>
      <w:bookmarkStart w:id="3539" w:name="_Toc38440433"/>
      <w:bookmarkStart w:id="3540" w:name="_Toc38440965"/>
      <w:bookmarkStart w:id="3541" w:name="_Toc38441297"/>
      <w:bookmarkStart w:id="3542" w:name="_Toc38441629"/>
      <w:bookmarkStart w:id="3543" w:name="_Toc38441957"/>
      <w:bookmarkStart w:id="3544" w:name="_Toc38442289"/>
      <w:bookmarkStart w:id="3545" w:name="_Toc38442621"/>
      <w:bookmarkStart w:id="3546" w:name="_Toc38442952"/>
      <w:bookmarkStart w:id="3547" w:name="_Toc38443283"/>
      <w:bookmarkStart w:id="3548" w:name="_Toc38443614"/>
      <w:bookmarkStart w:id="3549" w:name="_Toc38443944"/>
      <w:bookmarkStart w:id="3550" w:name="_Toc38438412"/>
      <w:bookmarkStart w:id="3551" w:name="_Toc38438749"/>
      <w:bookmarkStart w:id="3552" w:name="_Toc38439086"/>
      <w:bookmarkStart w:id="3553" w:name="_Toc38439423"/>
      <w:bookmarkStart w:id="3554" w:name="_Toc38439760"/>
      <w:bookmarkStart w:id="3555" w:name="_Toc38440097"/>
      <w:bookmarkStart w:id="3556" w:name="_Toc38440434"/>
      <w:bookmarkStart w:id="3557" w:name="_Toc38440966"/>
      <w:bookmarkStart w:id="3558" w:name="_Toc38441298"/>
      <w:bookmarkStart w:id="3559" w:name="_Toc38441630"/>
      <w:bookmarkStart w:id="3560" w:name="_Toc38441958"/>
      <w:bookmarkStart w:id="3561" w:name="_Toc38442290"/>
      <w:bookmarkStart w:id="3562" w:name="_Toc38442622"/>
      <w:bookmarkStart w:id="3563" w:name="_Toc38442953"/>
      <w:bookmarkStart w:id="3564" w:name="_Toc38443284"/>
      <w:bookmarkStart w:id="3565" w:name="_Toc38443615"/>
      <w:bookmarkStart w:id="3566" w:name="_Toc38443945"/>
      <w:bookmarkStart w:id="3567" w:name="_Toc38438413"/>
      <w:bookmarkStart w:id="3568" w:name="_Toc38438750"/>
      <w:bookmarkStart w:id="3569" w:name="_Toc38439087"/>
      <w:bookmarkStart w:id="3570" w:name="_Toc38439424"/>
      <w:bookmarkStart w:id="3571" w:name="_Toc38439761"/>
      <w:bookmarkStart w:id="3572" w:name="_Toc38440098"/>
      <w:bookmarkStart w:id="3573" w:name="_Toc38440435"/>
      <w:bookmarkStart w:id="3574" w:name="_Toc38440967"/>
      <w:bookmarkStart w:id="3575" w:name="_Toc38441299"/>
      <w:bookmarkStart w:id="3576" w:name="_Toc38441631"/>
      <w:bookmarkStart w:id="3577" w:name="_Toc38441959"/>
      <w:bookmarkStart w:id="3578" w:name="_Toc38442291"/>
      <w:bookmarkStart w:id="3579" w:name="_Toc38442623"/>
      <w:bookmarkStart w:id="3580" w:name="_Toc38442954"/>
      <w:bookmarkStart w:id="3581" w:name="_Toc38443285"/>
      <w:bookmarkStart w:id="3582" w:name="_Toc38443616"/>
      <w:bookmarkStart w:id="3583" w:name="_Toc38443946"/>
      <w:bookmarkStart w:id="3584" w:name="_Toc38438414"/>
      <w:bookmarkStart w:id="3585" w:name="_Toc38438751"/>
      <w:bookmarkStart w:id="3586" w:name="_Toc38439088"/>
      <w:bookmarkStart w:id="3587" w:name="_Toc38439425"/>
      <w:bookmarkStart w:id="3588" w:name="_Toc38439762"/>
      <w:bookmarkStart w:id="3589" w:name="_Toc38440099"/>
      <w:bookmarkStart w:id="3590" w:name="_Toc38440436"/>
      <w:bookmarkStart w:id="3591" w:name="_Toc38440968"/>
      <w:bookmarkStart w:id="3592" w:name="_Toc38441300"/>
      <w:bookmarkStart w:id="3593" w:name="_Toc38441632"/>
      <w:bookmarkStart w:id="3594" w:name="_Toc38441960"/>
      <w:bookmarkStart w:id="3595" w:name="_Toc38442292"/>
      <w:bookmarkStart w:id="3596" w:name="_Toc38442624"/>
      <w:bookmarkStart w:id="3597" w:name="_Toc38442955"/>
      <w:bookmarkStart w:id="3598" w:name="_Toc38443286"/>
      <w:bookmarkStart w:id="3599" w:name="_Toc38443617"/>
      <w:bookmarkStart w:id="3600" w:name="_Toc38443947"/>
      <w:bookmarkStart w:id="3601" w:name="_Toc38438415"/>
      <w:bookmarkStart w:id="3602" w:name="_Toc38438752"/>
      <w:bookmarkStart w:id="3603" w:name="_Toc38439089"/>
      <w:bookmarkStart w:id="3604" w:name="_Toc38439426"/>
      <w:bookmarkStart w:id="3605" w:name="_Toc38439763"/>
      <w:bookmarkStart w:id="3606" w:name="_Toc38440100"/>
      <w:bookmarkStart w:id="3607" w:name="_Toc38440437"/>
      <w:bookmarkStart w:id="3608" w:name="_Toc38440969"/>
      <w:bookmarkStart w:id="3609" w:name="_Toc38441301"/>
      <w:bookmarkStart w:id="3610" w:name="_Toc38441633"/>
      <w:bookmarkStart w:id="3611" w:name="_Toc38441961"/>
      <w:bookmarkStart w:id="3612" w:name="_Toc38442293"/>
      <w:bookmarkStart w:id="3613" w:name="_Toc38442625"/>
      <w:bookmarkStart w:id="3614" w:name="_Toc38442956"/>
      <w:bookmarkStart w:id="3615" w:name="_Toc38443287"/>
      <w:bookmarkStart w:id="3616" w:name="_Toc38443618"/>
      <w:bookmarkStart w:id="3617" w:name="_Toc38443948"/>
      <w:bookmarkStart w:id="3618" w:name="_Toc38438416"/>
      <w:bookmarkStart w:id="3619" w:name="_Toc38438753"/>
      <w:bookmarkStart w:id="3620" w:name="_Toc38439090"/>
      <w:bookmarkStart w:id="3621" w:name="_Toc38439427"/>
      <w:bookmarkStart w:id="3622" w:name="_Toc38439764"/>
      <w:bookmarkStart w:id="3623" w:name="_Toc38440101"/>
      <w:bookmarkStart w:id="3624" w:name="_Toc38440438"/>
      <w:bookmarkStart w:id="3625" w:name="_Toc38440970"/>
      <w:bookmarkStart w:id="3626" w:name="_Toc38441302"/>
      <w:bookmarkStart w:id="3627" w:name="_Toc38441634"/>
      <w:bookmarkStart w:id="3628" w:name="_Toc38441962"/>
      <w:bookmarkStart w:id="3629" w:name="_Toc38442294"/>
      <w:bookmarkStart w:id="3630" w:name="_Toc38442626"/>
      <w:bookmarkStart w:id="3631" w:name="_Toc38442957"/>
      <w:bookmarkStart w:id="3632" w:name="_Toc38443288"/>
      <w:bookmarkStart w:id="3633" w:name="_Toc38443619"/>
      <w:bookmarkStart w:id="3634" w:name="_Toc38443949"/>
      <w:bookmarkStart w:id="3635" w:name="_Toc38438417"/>
      <w:bookmarkStart w:id="3636" w:name="_Toc38438754"/>
      <w:bookmarkStart w:id="3637" w:name="_Toc38439091"/>
      <w:bookmarkStart w:id="3638" w:name="_Toc38439428"/>
      <w:bookmarkStart w:id="3639" w:name="_Toc38439765"/>
      <w:bookmarkStart w:id="3640" w:name="_Toc38440102"/>
      <w:bookmarkStart w:id="3641" w:name="_Toc38440439"/>
      <w:bookmarkStart w:id="3642" w:name="_Toc38440971"/>
      <w:bookmarkStart w:id="3643" w:name="_Toc38441303"/>
      <w:bookmarkStart w:id="3644" w:name="_Toc38441635"/>
      <w:bookmarkStart w:id="3645" w:name="_Toc38441963"/>
      <w:bookmarkStart w:id="3646" w:name="_Toc38442295"/>
      <w:bookmarkStart w:id="3647" w:name="_Toc38442627"/>
      <w:bookmarkStart w:id="3648" w:name="_Toc38442958"/>
      <w:bookmarkStart w:id="3649" w:name="_Toc38443289"/>
      <w:bookmarkStart w:id="3650" w:name="_Toc38443620"/>
      <w:bookmarkStart w:id="3651" w:name="_Toc38443950"/>
      <w:bookmarkStart w:id="3652" w:name="_Toc38438418"/>
      <w:bookmarkStart w:id="3653" w:name="_Toc38438755"/>
      <w:bookmarkStart w:id="3654" w:name="_Toc38439092"/>
      <w:bookmarkStart w:id="3655" w:name="_Toc38439429"/>
      <w:bookmarkStart w:id="3656" w:name="_Toc38439766"/>
      <w:bookmarkStart w:id="3657" w:name="_Toc38440103"/>
      <w:bookmarkStart w:id="3658" w:name="_Toc38440440"/>
      <w:bookmarkStart w:id="3659" w:name="_Toc38440972"/>
      <w:bookmarkStart w:id="3660" w:name="_Toc38441304"/>
      <w:bookmarkStart w:id="3661" w:name="_Toc38441636"/>
      <w:bookmarkStart w:id="3662" w:name="_Toc38441964"/>
      <w:bookmarkStart w:id="3663" w:name="_Toc38442296"/>
      <w:bookmarkStart w:id="3664" w:name="_Toc38442628"/>
      <w:bookmarkStart w:id="3665" w:name="_Toc38442959"/>
      <w:bookmarkStart w:id="3666" w:name="_Toc38443290"/>
      <w:bookmarkStart w:id="3667" w:name="_Toc38443621"/>
      <w:bookmarkStart w:id="3668" w:name="_Toc38443951"/>
      <w:bookmarkStart w:id="3669" w:name="_Toc38438419"/>
      <w:bookmarkStart w:id="3670" w:name="_Toc38438756"/>
      <w:bookmarkStart w:id="3671" w:name="_Toc38439093"/>
      <w:bookmarkStart w:id="3672" w:name="_Toc38439430"/>
      <w:bookmarkStart w:id="3673" w:name="_Toc38439767"/>
      <w:bookmarkStart w:id="3674" w:name="_Toc38440104"/>
      <w:bookmarkStart w:id="3675" w:name="_Toc38440441"/>
      <w:bookmarkStart w:id="3676" w:name="_Toc38440973"/>
      <w:bookmarkStart w:id="3677" w:name="_Toc38441305"/>
      <w:bookmarkStart w:id="3678" w:name="_Toc38441637"/>
      <w:bookmarkStart w:id="3679" w:name="_Toc38441965"/>
      <w:bookmarkStart w:id="3680" w:name="_Toc38442297"/>
      <w:bookmarkStart w:id="3681" w:name="_Toc38442629"/>
      <w:bookmarkStart w:id="3682" w:name="_Toc38442960"/>
      <w:bookmarkStart w:id="3683" w:name="_Toc38443291"/>
      <w:bookmarkStart w:id="3684" w:name="_Toc38443622"/>
      <w:bookmarkStart w:id="3685" w:name="_Toc38443952"/>
      <w:bookmarkStart w:id="3686" w:name="_Toc38438420"/>
      <w:bookmarkStart w:id="3687" w:name="_Toc38438757"/>
      <w:bookmarkStart w:id="3688" w:name="_Toc38439094"/>
      <w:bookmarkStart w:id="3689" w:name="_Toc38439431"/>
      <w:bookmarkStart w:id="3690" w:name="_Toc38439768"/>
      <w:bookmarkStart w:id="3691" w:name="_Toc38440105"/>
      <w:bookmarkStart w:id="3692" w:name="_Toc38440442"/>
      <w:bookmarkStart w:id="3693" w:name="_Toc38440974"/>
      <w:bookmarkStart w:id="3694" w:name="_Toc38441306"/>
      <w:bookmarkStart w:id="3695" w:name="_Toc38441638"/>
      <w:bookmarkStart w:id="3696" w:name="_Toc38441966"/>
      <w:bookmarkStart w:id="3697" w:name="_Toc38442298"/>
      <w:bookmarkStart w:id="3698" w:name="_Toc38442630"/>
      <w:bookmarkStart w:id="3699" w:name="_Toc38442961"/>
      <w:bookmarkStart w:id="3700" w:name="_Toc38443292"/>
      <w:bookmarkStart w:id="3701" w:name="_Toc38443623"/>
      <w:bookmarkStart w:id="3702" w:name="_Toc38443953"/>
      <w:bookmarkStart w:id="3703" w:name="_Toc38438421"/>
      <w:bookmarkStart w:id="3704" w:name="_Toc38438758"/>
      <w:bookmarkStart w:id="3705" w:name="_Toc38439095"/>
      <w:bookmarkStart w:id="3706" w:name="_Toc38439432"/>
      <w:bookmarkStart w:id="3707" w:name="_Toc38439769"/>
      <w:bookmarkStart w:id="3708" w:name="_Toc38440106"/>
      <w:bookmarkStart w:id="3709" w:name="_Toc38440443"/>
      <w:bookmarkStart w:id="3710" w:name="_Toc38440975"/>
      <w:bookmarkStart w:id="3711" w:name="_Toc38441307"/>
      <w:bookmarkStart w:id="3712" w:name="_Toc38441639"/>
      <w:bookmarkStart w:id="3713" w:name="_Toc38441967"/>
      <w:bookmarkStart w:id="3714" w:name="_Toc38442299"/>
      <w:bookmarkStart w:id="3715" w:name="_Toc38442631"/>
      <w:bookmarkStart w:id="3716" w:name="_Toc38442962"/>
      <w:bookmarkStart w:id="3717" w:name="_Toc38443293"/>
      <w:bookmarkStart w:id="3718" w:name="_Toc38443624"/>
      <w:bookmarkStart w:id="3719" w:name="_Toc38443954"/>
      <w:bookmarkStart w:id="3720" w:name="_Toc38438422"/>
      <w:bookmarkStart w:id="3721" w:name="_Toc38438759"/>
      <w:bookmarkStart w:id="3722" w:name="_Toc38439096"/>
      <w:bookmarkStart w:id="3723" w:name="_Toc38439433"/>
      <w:bookmarkStart w:id="3724" w:name="_Toc38439770"/>
      <w:bookmarkStart w:id="3725" w:name="_Toc38440107"/>
      <w:bookmarkStart w:id="3726" w:name="_Toc38440444"/>
      <w:bookmarkStart w:id="3727" w:name="_Toc38440976"/>
      <w:bookmarkStart w:id="3728" w:name="_Toc38441308"/>
      <w:bookmarkStart w:id="3729" w:name="_Toc38441640"/>
      <w:bookmarkStart w:id="3730" w:name="_Toc38441968"/>
      <w:bookmarkStart w:id="3731" w:name="_Toc38442300"/>
      <w:bookmarkStart w:id="3732" w:name="_Toc38442632"/>
      <w:bookmarkStart w:id="3733" w:name="_Toc38442963"/>
      <w:bookmarkStart w:id="3734" w:name="_Toc38443294"/>
      <w:bookmarkStart w:id="3735" w:name="_Toc38443625"/>
      <w:bookmarkStart w:id="3736" w:name="_Toc38443955"/>
      <w:bookmarkStart w:id="3737" w:name="_Toc38438423"/>
      <w:bookmarkStart w:id="3738" w:name="_Toc38438760"/>
      <w:bookmarkStart w:id="3739" w:name="_Toc38439097"/>
      <w:bookmarkStart w:id="3740" w:name="_Toc38439434"/>
      <w:bookmarkStart w:id="3741" w:name="_Toc38439771"/>
      <w:bookmarkStart w:id="3742" w:name="_Toc38440108"/>
      <w:bookmarkStart w:id="3743" w:name="_Toc38440445"/>
      <w:bookmarkStart w:id="3744" w:name="_Toc38440977"/>
      <w:bookmarkStart w:id="3745" w:name="_Toc38441309"/>
      <w:bookmarkStart w:id="3746" w:name="_Toc38441641"/>
      <w:bookmarkStart w:id="3747" w:name="_Toc38441969"/>
      <w:bookmarkStart w:id="3748" w:name="_Toc38442301"/>
      <w:bookmarkStart w:id="3749" w:name="_Toc38442633"/>
      <w:bookmarkStart w:id="3750" w:name="_Toc38442964"/>
      <w:bookmarkStart w:id="3751" w:name="_Toc38443295"/>
      <w:bookmarkStart w:id="3752" w:name="_Toc38443626"/>
      <w:bookmarkStart w:id="3753" w:name="_Toc38443956"/>
      <w:bookmarkStart w:id="3754" w:name="_Toc38438424"/>
      <w:bookmarkStart w:id="3755" w:name="_Toc38438761"/>
      <w:bookmarkStart w:id="3756" w:name="_Toc38439098"/>
      <w:bookmarkStart w:id="3757" w:name="_Toc38439435"/>
      <w:bookmarkStart w:id="3758" w:name="_Toc38439772"/>
      <w:bookmarkStart w:id="3759" w:name="_Toc38440109"/>
      <w:bookmarkStart w:id="3760" w:name="_Toc38440446"/>
      <w:bookmarkStart w:id="3761" w:name="_Toc38440978"/>
      <w:bookmarkStart w:id="3762" w:name="_Toc38441310"/>
      <w:bookmarkStart w:id="3763" w:name="_Toc38441642"/>
      <w:bookmarkStart w:id="3764" w:name="_Toc38441970"/>
      <w:bookmarkStart w:id="3765" w:name="_Toc38442302"/>
      <w:bookmarkStart w:id="3766" w:name="_Toc38442634"/>
      <w:bookmarkStart w:id="3767" w:name="_Toc38442965"/>
      <w:bookmarkStart w:id="3768" w:name="_Toc38443296"/>
      <w:bookmarkStart w:id="3769" w:name="_Toc38443627"/>
      <w:bookmarkStart w:id="3770" w:name="_Toc38443957"/>
      <w:bookmarkStart w:id="3771" w:name="_Toc38438425"/>
      <w:bookmarkStart w:id="3772" w:name="_Toc38438762"/>
      <w:bookmarkStart w:id="3773" w:name="_Toc38439099"/>
      <w:bookmarkStart w:id="3774" w:name="_Toc38439436"/>
      <w:bookmarkStart w:id="3775" w:name="_Toc38439773"/>
      <w:bookmarkStart w:id="3776" w:name="_Toc38440110"/>
      <w:bookmarkStart w:id="3777" w:name="_Toc38440447"/>
      <w:bookmarkStart w:id="3778" w:name="_Toc38440979"/>
      <w:bookmarkStart w:id="3779" w:name="_Toc38441311"/>
      <w:bookmarkStart w:id="3780" w:name="_Toc38441643"/>
      <w:bookmarkStart w:id="3781" w:name="_Toc38441971"/>
      <w:bookmarkStart w:id="3782" w:name="_Toc38442303"/>
      <w:bookmarkStart w:id="3783" w:name="_Toc38442635"/>
      <w:bookmarkStart w:id="3784" w:name="_Toc38442966"/>
      <w:bookmarkStart w:id="3785" w:name="_Toc38443297"/>
      <w:bookmarkStart w:id="3786" w:name="_Toc38443628"/>
      <w:bookmarkStart w:id="3787" w:name="_Toc38443958"/>
      <w:bookmarkStart w:id="3788" w:name="_Toc38438426"/>
      <w:bookmarkStart w:id="3789" w:name="_Toc38438763"/>
      <w:bookmarkStart w:id="3790" w:name="_Toc38439100"/>
      <w:bookmarkStart w:id="3791" w:name="_Toc38439437"/>
      <w:bookmarkStart w:id="3792" w:name="_Toc38439774"/>
      <w:bookmarkStart w:id="3793" w:name="_Toc38440111"/>
      <w:bookmarkStart w:id="3794" w:name="_Toc38440448"/>
      <w:bookmarkStart w:id="3795" w:name="_Toc38440980"/>
      <w:bookmarkStart w:id="3796" w:name="_Toc38441312"/>
      <w:bookmarkStart w:id="3797" w:name="_Toc38441644"/>
      <w:bookmarkStart w:id="3798" w:name="_Toc38441972"/>
      <w:bookmarkStart w:id="3799" w:name="_Toc38442304"/>
      <w:bookmarkStart w:id="3800" w:name="_Toc38442636"/>
      <w:bookmarkStart w:id="3801" w:name="_Toc38442967"/>
      <w:bookmarkStart w:id="3802" w:name="_Toc38443298"/>
      <w:bookmarkStart w:id="3803" w:name="_Toc38443629"/>
      <w:bookmarkStart w:id="3804" w:name="_Toc38443959"/>
      <w:bookmarkStart w:id="3805" w:name="_Toc38438427"/>
      <w:bookmarkStart w:id="3806" w:name="_Toc38438764"/>
      <w:bookmarkStart w:id="3807" w:name="_Toc38439101"/>
      <w:bookmarkStart w:id="3808" w:name="_Toc38439438"/>
      <w:bookmarkStart w:id="3809" w:name="_Toc38439775"/>
      <w:bookmarkStart w:id="3810" w:name="_Toc38440112"/>
      <w:bookmarkStart w:id="3811" w:name="_Toc38440449"/>
      <w:bookmarkStart w:id="3812" w:name="_Toc38440981"/>
      <w:bookmarkStart w:id="3813" w:name="_Toc38441313"/>
      <w:bookmarkStart w:id="3814" w:name="_Toc38441645"/>
      <w:bookmarkStart w:id="3815" w:name="_Toc38441973"/>
      <w:bookmarkStart w:id="3816" w:name="_Toc38442305"/>
      <w:bookmarkStart w:id="3817" w:name="_Toc38442637"/>
      <w:bookmarkStart w:id="3818" w:name="_Toc38442968"/>
      <w:bookmarkStart w:id="3819" w:name="_Toc38443299"/>
      <w:bookmarkStart w:id="3820" w:name="_Toc38443630"/>
      <w:bookmarkStart w:id="3821" w:name="_Toc38443960"/>
      <w:bookmarkStart w:id="3822" w:name="_Toc38438428"/>
      <w:bookmarkStart w:id="3823" w:name="_Toc38438765"/>
      <w:bookmarkStart w:id="3824" w:name="_Toc38439102"/>
      <w:bookmarkStart w:id="3825" w:name="_Toc38439439"/>
      <w:bookmarkStart w:id="3826" w:name="_Toc38439776"/>
      <w:bookmarkStart w:id="3827" w:name="_Toc38440113"/>
      <w:bookmarkStart w:id="3828" w:name="_Toc38440450"/>
      <w:bookmarkStart w:id="3829" w:name="_Toc38440982"/>
      <w:bookmarkStart w:id="3830" w:name="_Toc38441314"/>
      <w:bookmarkStart w:id="3831" w:name="_Toc38441646"/>
      <w:bookmarkStart w:id="3832" w:name="_Toc38441974"/>
      <w:bookmarkStart w:id="3833" w:name="_Toc38442306"/>
      <w:bookmarkStart w:id="3834" w:name="_Toc38442638"/>
      <w:bookmarkStart w:id="3835" w:name="_Toc38442969"/>
      <w:bookmarkStart w:id="3836" w:name="_Toc38443300"/>
      <w:bookmarkStart w:id="3837" w:name="_Toc38443631"/>
      <w:bookmarkStart w:id="3838" w:name="_Toc38443961"/>
      <w:bookmarkStart w:id="3839" w:name="_Toc38438429"/>
      <w:bookmarkStart w:id="3840" w:name="_Toc38438766"/>
      <w:bookmarkStart w:id="3841" w:name="_Toc38439103"/>
      <w:bookmarkStart w:id="3842" w:name="_Toc38439440"/>
      <w:bookmarkStart w:id="3843" w:name="_Toc38439777"/>
      <w:bookmarkStart w:id="3844" w:name="_Toc38440114"/>
      <w:bookmarkStart w:id="3845" w:name="_Toc38440451"/>
      <w:bookmarkStart w:id="3846" w:name="_Toc38440983"/>
      <w:bookmarkStart w:id="3847" w:name="_Toc38441315"/>
      <w:bookmarkStart w:id="3848" w:name="_Toc38441647"/>
      <w:bookmarkStart w:id="3849" w:name="_Toc38441975"/>
      <w:bookmarkStart w:id="3850" w:name="_Toc38442307"/>
      <w:bookmarkStart w:id="3851" w:name="_Toc38442639"/>
      <w:bookmarkStart w:id="3852" w:name="_Toc38442970"/>
      <w:bookmarkStart w:id="3853" w:name="_Toc38443301"/>
      <w:bookmarkStart w:id="3854" w:name="_Toc38443632"/>
      <w:bookmarkStart w:id="3855" w:name="_Toc38443962"/>
      <w:bookmarkStart w:id="3856" w:name="_Toc38438430"/>
      <w:bookmarkStart w:id="3857" w:name="_Toc38438767"/>
      <w:bookmarkStart w:id="3858" w:name="_Toc38439104"/>
      <w:bookmarkStart w:id="3859" w:name="_Toc38439441"/>
      <w:bookmarkStart w:id="3860" w:name="_Toc38439778"/>
      <w:bookmarkStart w:id="3861" w:name="_Toc38440115"/>
      <w:bookmarkStart w:id="3862" w:name="_Toc38440452"/>
      <w:bookmarkStart w:id="3863" w:name="_Toc38440984"/>
      <w:bookmarkStart w:id="3864" w:name="_Toc38441316"/>
      <w:bookmarkStart w:id="3865" w:name="_Toc38441648"/>
      <w:bookmarkStart w:id="3866" w:name="_Toc38441976"/>
      <w:bookmarkStart w:id="3867" w:name="_Toc38442308"/>
      <w:bookmarkStart w:id="3868" w:name="_Toc38442640"/>
      <w:bookmarkStart w:id="3869" w:name="_Toc38442971"/>
      <w:bookmarkStart w:id="3870" w:name="_Toc38443302"/>
      <w:bookmarkStart w:id="3871" w:name="_Toc38443633"/>
      <w:bookmarkStart w:id="3872" w:name="_Toc38443963"/>
      <w:bookmarkStart w:id="3873" w:name="_Toc38438431"/>
      <w:bookmarkStart w:id="3874" w:name="_Toc38438768"/>
      <w:bookmarkStart w:id="3875" w:name="_Toc38439105"/>
      <w:bookmarkStart w:id="3876" w:name="_Toc38439442"/>
      <w:bookmarkStart w:id="3877" w:name="_Toc38439779"/>
      <w:bookmarkStart w:id="3878" w:name="_Toc38440116"/>
      <w:bookmarkStart w:id="3879" w:name="_Toc38440453"/>
      <w:bookmarkStart w:id="3880" w:name="_Toc38440985"/>
      <w:bookmarkStart w:id="3881" w:name="_Toc38441317"/>
      <w:bookmarkStart w:id="3882" w:name="_Toc38441649"/>
      <w:bookmarkStart w:id="3883" w:name="_Toc38441977"/>
      <w:bookmarkStart w:id="3884" w:name="_Toc38442309"/>
      <w:bookmarkStart w:id="3885" w:name="_Toc38442641"/>
      <w:bookmarkStart w:id="3886" w:name="_Toc38442972"/>
      <w:bookmarkStart w:id="3887" w:name="_Toc38443303"/>
      <w:bookmarkStart w:id="3888" w:name="_Toc38443634"/>
      <w:bookmarkStart w:id="3889" w:name="_Toc38443964"/>
      <w:bookmarkStart w:id="3890" w:name="_Toc38438432"/>
      <w:bookmarkStart w:id="3891" w:name="_Toc38438769"/>
      <w:bookmarkStart w:id="3892" w:name="_Toc38439106"/>
      <w:bookmarkStart w:id="3893" w:name="_Toc38439443"/>
      <w:bookmarkStart w:id="3894" w:name="_Toc38439780"/>
      <w:bookmarkStart w:id="3895" w:name="_Toc38440117"/>
      <w:bookmarkStart w:id="3896" w:name="_Toc38440454"/>
      <w:bookmarkStart w:id="3897" w:name="_Toc38440986"/>
      <w:bookmarkStart w:id="3898" w:name="_Toc38441318"/>
      <w:bookmarkStart w:id="3899" w:name="_Toc38441650"/>
      <w:bookmarkStart w:id="3900" w:name="_Toc38441978"/>
      <w:bookmarkStart w:id="3901" w:name="_Toc38442310"/>
      <w:bookmarkStart w:id="3902" w:name="_Toc38442642"/>
      <w:bookmarkStart w:id="3903" w:name="_Toc38442973"/>
      <w:bookmarkStart w:id="3904" w:name="_Toc38443304"/>
      <w:bookmarkStart w:id="3905" w:name="_Toc38443635"/>
      <w:bookmarkStart w:id="3906" w:name="_Toc38443965"/>
      <w:bookmarkStart w:id="3907" w:name="_Toc38438433"/>
      <w:bookmarkStart w:id="3908" w:name="_Toc38438770"/>
      <w:bookmarkStart w:id="3909" w:name="_Toc38439107"/>
      <w:bookmarkStart w:id="3910" w:name="_Toc38439444"/>
      <w:bookmarkStart w:id="3911" w:name="_Toc38439781"/>
      <w:bookmarkStart w:id="3912" w:name="_Toc38440118"/>
      <w:bookmarkStart w:id="3913" w:name="_Toc38440455"/>
      <w:bookmarkStart w:id="3914" w:name="_Toc38440987"/>
      <w:bookmarkStart w:id="3915" w:name="_Toc38441319"/>
      <w:bookmarkStart w:id="3916" w:name="_Toc38441651"/>
      <w:bookmarkStart w:id="3917" w:name="_Toc38441979"/>
      <w:bookmarkStart w:id="3918" w:name="_Toc38442311"/>
      <w:bookmarkStart w:id="3919" w:name="_Toc38442643"/>
      <w:bookmarkStart w:id="3920" w:name="_Toc38442974"/>
      <w:bookmarkStart w:id="3921" w:name="_Toc38443305"/>
      <w:bookmarkStart w:id="3922" w:name="_Toc38443636"/>
      <w:bookmarkStart w:id="3923" w:name="_Toc38443966"/>
      <w:bookmarkStart w:id="3924" w:name="_Toc38438434"/>
      <w:bookmarkStart w:id="3925" w:name="_Toc38438771"/>
      <w:bookmarkStart w:id="3926" w:name="_Toc38439108"/>
      <w:bookmarkStart w:id="3927" w:name="_Toc38439445"/>
      <w:bookmarkStart w:id="3928" w:name="_Toc38439782"/>
      <w:bookmarkStart w:id="3929" w:name="_Toc38440119"/>
      <w:bookmarkStart w:id="3930" w:name="_Toc38440456"/>
      <w:bookmarkStart w:id="3931" w:name="_Toc38440988"/>
      <w:bookmarkStart w:id="3932" w:name="_Toc38441320"/>
      <w:bookmarkStart w:id="3933" w:name="_Toc38441652"/>
      <w:bookmarkStart w:id="3934" w:name="_Toc38441980"/>
      <w:bookmarkStart w:id="3935" w:name="_Toc38442312"/>
      <w:bookmarkStart w:id="3936" w:name="_Toc38442644"/>
      <w:bookmarkStart w:id="3937" w:name="_Toc38442975"/>
      <w:bookmarkStart w:id="3938" w:name="_Toc38443306"/>
      <w:bookmarkStart w:id="3939" w:name="_Toc38443637"/>
      <w:bookmarkStart w:id="3940" w:name="_Toc38443967"/>
      <w:bookmarkStart w:id="3941" w:name="_Toc38438435"/>
      <w:bookmarkStart w:id="3942" w:name="_Toc38438772"/>
      <w:bookmarkStart w:id="3943" w:name="_Toc38439109"/>
      <w:bookmarkStart w:id="3944" w:name="_Toc38439446"/>
      <w:bookmarkStart w:id="3945" w:name="_Toc38439783"/>
      <w:bookmarkStart w:id="3946" w:name="_Toc38440120"/>
      <w:bookmarkStart w:id="3947" w:name="_Toc38440457"/>
      <w:bookmarkStart w:id="3948" w:name="_Toc38440989"/>
      <w:bookmarkStart w:id="3949" w:name="_Toc38441321"/>
      <w:bookmarkStart w:id="3950" w:name="_Toc38441653"/>
      <w:bookmarkStart w:id="3951" w:name="_Toc38441981"/>
      <w:bookmarkStart w:id="3952" w:name="_Toc38442313"/>
      <w:bookmarkStart w:id="3953" w:name="_Toc38442645"/>
      <w:bookmarkStart w:id="3954" w:name="_Toc38442976"/>
      <w:bookmarkStart w:id="3955" w:name="_Toc38443307"/>
      <w:bookmarkStart w:id="3956" w:name="_Toc38443638"/>
      <w:bookmarkStart w:id="3957" w:name="_Toc38443968"/>
      <w:bookmarkStart w:id="3958" w:name="_Toc38438436"/>
      <w:bookmarkStart w:id="3959" w:name="_Toc38438773"/>
      <w:bookmarkStart w:id="3960" w:name="_Toc38439110"/>
      <w:bookmarkStart w:id="3961" w:name="_Toc38439447"/>
      <w:bookmarkStart w:id="3962" w:name="_Toc38439784"/>
      <w:bookmarkStart w:id="3963" w:name="_Toc38440121"/>
      <w:bookmarkStart w:id="3964" w:name="_Toc38440458"/>
      <w:bookmarkStart w:id="3965" w:name="_Toc38440990"/>
      <w:bookmarkStart w:id="3966" w:name="_Toc38441322"/>
      <w:bookmarkStart w:id="3967" w:name="_Toc38441654"/>
      <w:bookmarkStart w:id="3968" w:name="_Toc38441982"/>
      <w:bookmarkStart w:id="3969" w:name="_Toc38442314"/>
      <w:bookmarkStart w:id="3970" w:name="_Toc38442646"/>
      <w:bookmarkStart w:id="3971" w:name="_Toc38442977"/>
      <w:bookmarkStart w:id="3972" w:name="_Toc38443308"/>
      <w:bookmarkStart w:id="3973" w:name="_Toc38443639"/>
      <w:bookmarkStart w:id="3974" w:name="_Toc38443969"/>
      <w:bookmarkStart w:id="3975" w:name="_Toc38438437"/>
      <w:bookmarkStart w:id="3976" w:name="_Toc38438774"/>
      <w:bookmarkStart w:id="3977" w:name="_Toc38439111"/>
      <w:bookmarkStart w:id="3978" w:name="_Toc38439448"/>
      <w:bookmarkStart w:id="3979" w:name="_Toc38439785"/>
      <w:bookmarkStart w:id="3980" w:name="_Toc38440122"/>
      <w:bookmarkStart w:id="3981" w:name="_Toc38440459"/>
      <w:bookmarkStart w:id="3982" w:name="_Toc38440991"/>
      <w:bookmarkStart w:id="3983" w:name="_Toc38441323"/>
      <w:bookmarkStart w:id="3984" w:name="_Toc38441655"/>
      <w:bookmarkStart w:id="3985" w:name="_Toc38441983"/>
      <w:bookmarkStart w:id="3986" w:name="_Toc38442315"/>
      <w:bookmarkStart w:id="3987" w:name="_Toc38442647"/>
      <w:bookmarkStart w:id="3988" w:name="_Toc38442978"/>
      <w:bookmarkStart w:id="3989" w:name="_Toc38443309"/>
      <w:bookmarkStart w:id="3990" w:name="_Toc38443640"/>
      <w:bookmarkStart w:id="3991" w:name="_Toc38443970"/>
      <w:bookmarkStart w:id="3992" w:name="_Toc38438438"/>
      <w:bookmarkStart w:id="3993" w:name="_Toc38438775"/>
      <w:bookmarkStart w:id="3994" w:name="_Toc38439112"/>
      <w:bookmarkStart w:id="3995" w:name="_Toc38439449"/>
      <w:bookmarkStart w:id="3996" w:name="_Toc38439786"/>
      <w:bookmarkStart w:id="3997" w:name="_Toc38440123"/>
      <w:bookmarkStart w:id="3998" w:name="_Toc38440460"/>
      <w:bookmarkStart w:id="3999" w:name="_Toc38440992"/>
      <w:bookmarkStart w:id="4000" w:name="_Toc38441324"/>
      <w:bookmarkStart w:id="4001" w:name="_Toc38441656"/>
      <w:bookmarkStart w:id="4002" w:name="_Toc38441984"/>
      <w:bookmarkStart w:id="4003" w:name="_Toc38442316"/>
      <w:bookmarkStart w:id="4004" w:name="_Toc38442648"/>
      <w:bookmarkStart w:id="4005" w:name="_Toc38442979"/>
      <w:bookmarkStart w:id="4006" w:name="_Toc38443310"/>
      <w:bookmarkStart w:id="4007" w:name="_Toc38443641"/>
      <w:bookmarkStart w:id="4008" w:name="_Toc38443971"/>
      <w:bookmarkStart w:id="4009" w:name="_Toc38438439"/>
      <w:bookmarkStart w:id="4010" w:name="_Toc38438776"/>
      <w:bookmarkStart w:id="4011" w:name="_Toc38439113"/>
      <w:bookmarkStart w:id="4012" w:name="_Toc38439450"/>
      <w:bookmarkStart w:id="4013" w:name="_Toc38439787"/>
      <w:bookmarkStart w:id="4014" w:name="_Toc38440124"/>
      <w:bookmarkStart w:id="4015" w:name="_Toc38440461"/>
      <w:bookmarkStart w:id="4016" w:name="_Toc38440993"/>
      <w:bookmarkStart w:id="4017" w:name="_Toc38441325"/>
      <w:bookmarkStart w:id="4018" w:name="_Toc38441657"/>
      <w:bookmarkStart w:id="4019" w:name="_Toc38441985"/>
      <w:bookmarkStart w:id="4020" w:name="_Toc38442317"/>
      <w:bookmarkStart w:id="4021" w:name="_Toc38442649"/>
      <w:bookmarkStart w:id="4022" w:name="_Toc38442980"/>
      <w:bookmarkStart w:id="4023" w:name="_Toc38443311"/>
      <w:bookmarkStart w:id="4024" w:name="_Toc38443642"/>
      <w:bookmarkStart w:id="4025" w:name="_Toc38443972"/>
      <w:bookmarkStart w:id="4026" w:name="_Toc38438440"/>
      <w:bookmarkStart w:id="4027" w:name="_Toc38438777"/>
      <w:bookmarkStart w:id="4028" w:name="_Toc38439114"/>
      <w:bookmarkStart w:id="4029" w:name="_Toc38439451"/>
      <w:bookmarkStart w:id="4030" w:name="_Toc38439788"/>
      <w:bookmarkStart w:id="4031" w:name="_Toc38440125"/>
      <w:bookmarkStart w:id="4032" w:name="_Toc38440462"/>
      <w:bookmarkStart w:id="4033" w:name="_Toc38440994"/>
      <w:bookmarkStart w:id="4034" w:name="_Toc38441326"/>
      <w:bookmarkStart w:id="4035" w:name="_Toc38441658"/>
      <w:bookmarkStart w:id="4036" w:name="_Toc38441986"/>
      <w:bookmarkStart w:id="4037" w:name="_Toc38442318"/>
      <w:bookmarkStart w:id="4038" w:name="_Toc38442650"/>
      <w:bookmarkStart w:id="4039" w:name="_Toc38442981"/>
      <w:bookmarkStart w:id="4040" w:name="_Toc38443312"/>
      <w:bookmarkStart w:id="4041" w:name="_Toc38443643"/>
      <w:bookmarkStart w:id="4042" w:name="_Toc38443973"/>
      <w:bookmarkStart w:id="4043" w:name="_Toc38438441"/>
      <w:bookmarkStart w:id="4044" w:name="_Toc38438778"/>
      <w:bookmarkStart w:id="4045" w:name="_Toc38439115"/>
      <w:bookmarkStart w:id="4046" w:name="_Toc38439452"/>
      <w:bookmarkStart w:id="4047" w:name="_Toc38439789"/>
      <w:bookmarkStart w:id="4048" w:name="_Toc38440126"/>
      <w:bookmarkStart w:id="4049" w:name="_Toc38440463"/>
      <w:bookmarkStart w:id="4050" w:name="_Toc38440995"/>
      <w:bookmarkStart w:id="4051" w:name="_Toc38441327"/>
      <w:bookmarkStart w:id="4052" w:name="_Toc38441659"/>
      <w:bookmarkStart w:id="4053" w:name="_Toc38441987"/>
      <w:bookmarkStart w:id="4054" w:name="_Toc38442319"/>
      <w:bookmarkStart w:id="4055" w:name="_Toc38442651"/>
      <w:bookmarkStart w:id="4056" w:name="_Toc38442982"/>
      <w:bookmarkStart w:id="4057" w:name="_Toc38443313"/>
      <w:bookmarkStart w:id="4058" w:name="_Toc38443644"/>
      <w:bookmarkStart w:id="4059" w:name="_Toc38443974"/>
      <w:bookmarkStart w:id="4060" w:name="_Toc38438442"/>
      <w:bookmarkStart w:id="4061" w:name="_Toc38438779"/>
      <w:bookmarkStart w:id="4062" w:name="_Toc38439116"/>
      <w:bookmarkStart w:id="4063" w:name="_Toc38439453"/>
      <w:bookmarkStart w:id="4064" w:name="_Toc38439790"/>
      <w:bookmarkStart w:id="4065" w:name="_Toc38440127"/>
      <w:bookmarkStart w:id="4066" w:name="_Toc38440464"/>
      <w:bookmarkStart w:id="4067" w:name="_Toc38440996"/>
      <w:bookmarkStart w:id="4068" w:name="_Toc38441328"/>
      <w:bookmarkStart w:id="4069" w:name="_Toc38441660"/>
      <w:bookmarkStart w:id="4070" w:name="_Toc38441988"/>
      <w:bookmarkStart w:id="4071" w:name="_Toc38442320"/>
      <w:bookmarkStart w:id="4072" w:name="_Toc38442652"/>
      <w:bookmarkStart w:id="4073" w:name="_Toc38442983"/>
      <w:bookmarkStart w:id="4074" w:name="_Toc38443314"/>
      <w:bookmarkStart w:id="4075" w:name="_Toc38443645"/>
      <w:bookmarkStart w:id="4076" w:name="_Toc38443975"/>
      <w:bookmarkStart w:id="4077" w:name="_Toc38438443"/>
      <w:bookmarkStart w:id="4078" w:name="_Toc38438780"/>
      <w:bookmarkStart w:id="4079" w:name="_Toc38439117"/>
      <w:bookmarkStart w:id="4080" w:name="_Toc38439454"/>
      <w:bookmarkStart w:id="4081" w:name="_Toc38439791"/>
      <w:bookmarkStart w:id="4082" w:name="_Toc38440128"/>
      <w:bookmarkStart w:id="4083" w:name="_Toc38440465"/>
      <w:bookmarkStart w:id="4084" w:name="_Toc38440997"/>
      <w:bookmarkStart w:id="4085" w:name="_Toc38441329"/>
      <w:bookmarkStart w:id="4086" w:name="_Toc38441661"/>
      <w:bookmarkStart w:id="4087" w:name="_Toc38441989"/>
      <w:bookmarkStart w:id="4088" w:name="_Toc38442321"/>
      <w:bookmarkStart w:id="4089" w:name="_Toc38442653"/>
      <w:bookmarkStart w:id="4090" w:name="_Toc38442984"/>
      <w:bookmarkStart w:id="4091" w:name="_Toc38443315"/>
      <w:bookmarkStart w:id="4092" w:name="_Toc38443646"/>
      <w:bookmarkStart w:id="4093" w:name="_Toc38443976"/>
      <w:bookmarkStart w:id="4094" w:name="_Toc38438444"/>
      <w:bookmarkStart w:id="4095" w:name="_Toc38438781"/>
      <w:bookmarkStart w:id="4096" w:name="_Toc38439118"/>
      <w:bookmarkStart w:id="4097" w:name="_Toc38439455"/>
      <w:bookmarkStart w:id="4098" w:name="_Toc38439792"/>
      <w:bookmarkStart w:id="4099" w:name="_Toc38440129"/>
      <w:bookmarkStart w:id="4100" w:name="_Toc38440466"/>
      <w:bookmarkStart w:id="4101" w:name="_Toc38440998"/>
      <w:bookmarkStart w:id="4102" w:name="_Toc38441330"/>
      <w:bookmarkStart w:id="4103" w:name="_Toc38441662"/>
      <w:bookmarkStart w:id="4104" w:name="_Toc38441990"/>
      <w:bookmarkStart w:id="4105" w:name="_Toc38442322"/>
      <w:bookmarkStart w:id="4106" w:name="_Toc38442654"/>
      <w:bookmarkStart w:id="4107" w:name="_Toc38442985"/>
      <w:bookmarkStart w:id="4108" w:name="_Toc38443316"/>
      <w:bookmarkStart w:id="4109" w:name="_Toc38443647"/>
      <w:bookmarkStart w:id="4110" w:name="_Toc38443977"/>
      <w:bookmarkStart w:id="4111" w:name="_Toc38438445"/>
      <w:bookmarkStart w:id="4112" w:name="_Toc38438782"/>
      <w:bookmarkStart w:id="4113" w:name="_Toc38439119"/>
      <w:bookmarkStart w:id="4114" w:name="_Toc38439456"/>
      <w:bookmarkStart w:id="4115" w:name="_Toc38439793"/>
      <w:bookmarkStart w:id="4116" w:name="_Toc38440130"/>
      <w:bookmarkStart w:id="4117" w:name="_Toc38440467"/>
      <w:bookmarkStart w:id="4118" w:name="_Toc38440999"/>
      <w:bookmarkStart w:id="4119" w:name="_Toc38441331"/>
      <w:bookmarkStart w:id="4120" w:name="_Toc38441663"/>
      <w:bookmarkStart w:id="4121" w:name="_Toc38441991"/>
      <w:bookmarkStart w:id="4122" w:name="_Toc38442323"/>
      <w:bookmarkStart w:id="4123" w:name="_Toc38442655"/>
      <w:bookmarkStart w:id="4124" w:name="_Toc38442986"/>
      <w:bookmarkStart w:id="4125" w:name="_Toc38443317"/>
      <w:bookmarkStart w:id="4126" w:name="_Toc38443648"/>
      <w:bookmarkStart w:id="4127" w:name="_Toc38443978"/>
      <w:bookmarkStart w:id="4128" w:name="_Toc38438446"/>
      <w:bookmarkStart w:id="4129" w:name="_Toc38438783"/>
      <w:bookmarkStart w:id="4130" w:name="_Toc38439120"/>
      <w:bookmarkStart w:id="4131" w:name="_Toc38439457"/>
      <w:bookmarkStart w:id="4132" w:name="_Toc38439794"/>
      <w:bookmarkStart w:id="4133" w:name="_Toc38440131"/>
      <w:bookmarkStart w:id="4134" w:name="_Toc38440468"/>
      <w:bookmarkStart w:id="4135" w:name="_Toc38441000"/>
      <w:bookmarkStart w:id="4136" w:name="_Toc38441332"/>
      <w:bookmarkStart w:id="4137" w:name="_Toc38441664"/>
      <w:bookmarkStart w:id="4138" w:name="_Toc38441992"/>
      <w:bookmarkStart w:id="4139" w:name="_Toc38442324"/>
      <w:bookmarkStart w:id="4140" w:name="_Toc38442656"/>
      <w:bookmarkStart w:id="4141" w:name="_Toc38442987"/>
      <w:bookmarkStart w:id="4142" w:name="_Toc38443318"/>
      <w:bookmarkStart w:id="4143" w:name="_Toc38443649"/>
      <w:bookmarkStart w:id="4144" w:name="_Toc38443979"/>
      <w:bookmarkStart w:id="4145" w:name="_Toc38438447"/>
      <w:bookmarkStart w:id="4146" w:name="_Toc38438784"/>
      <w:bookmarkStart w:id="4147" w:name="_Toc38439121"/>
      <w:bookmarkStart w:id="4148" w:name="_Toc38439458"/>
      <w:bookmarkStart w:id="4149" w:name="_Toc38439795"/>
      <w:bookmarkStart w:id="4150" w:name="_Toc38440132"/>
      <w:bookmarkStart w:id="4151" w:name="_Toc38440469"/>
      <w:bookmarkStart w:id="4152" w:name="_Toc38441001"/>
      <w:bookmarkStart w:id="4153" w:name="_Toc38441333"/>
      <w:bookmarkStart w:id="4154" w:name="_Toc38441665"/>
      <w:bookmarkStart w:id="4155" w:name="_Toc38441993"/>
      <w:bookmarkStart w:id="4156" w:name="_Toc38442325"/>
      <w:bookmarkStart w:id="4157" w:name="_Toc38442657"/>
      <w:bookmarkStart w:id="4158" w:name="_Toc38442988"/>
      <w:bookmarkStart w:id="4159" w:name="_Toc38443319"/>
      <w:bookmarkStart w:id="4160" w:name="_Toc38443650"/>
      <w:bookmarkStart w:id="4161" w:name="_Toc38443980"/>
      <w:bookmarkStart w:id="4162" w:name="_Toc38438448"/>
      <w:bookmarkStart w:id="4163" w:name="_Toc38438785"/>
      <w:bookmarkStart w:id="4164" w:name="_Toc38439122"/>
      <w:bookmarkStart w:id="4165" w:name="_Toc38439459"/>
      <w:bookmarkStart w:id="4166" w:name="_Toc38439796"/>
      <w:bookmarkStart w:id="4167" w:name="_Toc38440133"/>
      <w:bookmarkStart w:id="4168" w:name="_Toc38440470"/>
      <w:bookmarkStart w:id="4169" w:name="_Toc38441002"/>
      <w:bookmarkStart w:id="4170" w:name="_Toc38441334"/>
      <w:bookmarkStart w:id="4171" w:name="_Toc38441666"/>
      <w:bookmarkStart w:id="4172" w:name="_Toc38441994"/>
      <w:bookmarkStart w:id="4173" w:name="_Toc38442326"/>
      <w:bookmarkStart w:id="4174" w:name="_Toc38442658"/>
      <w:bookmarkStart w:id="4175" w:name="_Toc38442989"/>
      <w:bookmarkStart w:id="4176" w:name="_Toc38443320"/>
      <w:bookmarkStart w:id="4177" w:name="_Toc38443651"/>
      <w:bookmarkStart w:id="4178" w:name="_Toc38443981"/>
      <w:bookmarkStart w:id="4179" w:name="_Toc38438449"/>
      <w:bookmarkStart w:id="4180" w:name="_Toc38438786"/>
      <w:bookmarkStart w:id="4181" w:name="_Toc38439123"/>
      <w:bookmarkStart w:id="4182" w:name="_Toc38439460"/>
      <w:bookmarkStart w:id="4183" w:name="_Toc38439797"/>
      <w:bookmarkStart w:id="4184" w:name="_Toc38440134"/>
      <w:bookmarkStart w:id="4185" w:name="_Toc38440471"/>
      <w:bookmarkStart w:id="4186" w:name="_Toc38441003"/>
      <w:bookmarkStart w:id="4187" w:name="_Toc38441335"/>
      <w:bookmarkStart w:id="4188" w:name="_Toc38441667"/>
      <w:bookmarkStart w:id="4189" w:name="_Toc38441995"/>
      <w:bookmarkStart w:id="4190" w:name="_Toc38442327"/>
      <w:bookmarkStart w:id="4191" w:name="_Toc38442659"/>
      <w:bookmarkStart w:id="4192" w:name="_Toc38442990"/>
      <w:bookmarkStart w:id="4193" w:name="_Toc38443321"/>
      <w:bookmarkStart w:id="4194" w:name="_Toc38443652"/>
      <w:bookmarkStart w:id="4195" w:name="_Toc38443982"/>
      <w:bookmarkStart w:id="4196" w:name="_Toc38438450"/>
      <w:bookmarkStart w:id="4197" w:name="_Toc38438787"/>
      <w:bookmarkStart w:id="4198" w:name="_Toc38439124"/>
      <w:bookmarkStart w:id="4199" w:name="_Toc38439461"/>
      <w:bookmarkStart w:id="4200" w:name="_Toc38439798"/>
      <w:bookmarkStart w:id="4201" w:name="_Toc38440135"/>
      <w:bookmarkStart w:id="4202" w:name="_Toc38440472"/>
      <w:bookmarkStart w:id="4203" w:name="_Toc38441004"/>
      <w:bookmarkStart w:id="4204" w:name="_Toc38441336"/>
      <w:bookmarkStart w:id="4205" w:name="_Toc38441668"/>
      <w:bookmarkStart w:id="4206" w:name="_Toc38441996"/>
      <w:bookmarkStart w:id="4207" w:name="_Toc38442328"/>
      <w:bookmarkStart w:id="4208" w:name="_Toc38442660"/>
      <w:bookmarkStart w:id="4209" w:name="_Toc38442991"/>
      <w:bookmarkStart w:id="4210" w:name="_Toc38443322"/>
      <w:bookmarkStart w:id="4211" w:name="_Toc38443653"/>
      <w:bookmarkStart w:id="4212" w:name="_Toc38443983"/>
      <w:bookmarkStart w:id="4213" w:name="_Toc38438451"/>
      <w:bookmarkStart w:id="4214" w:name="_Toc38438788"/>
      <w:bookmarkStart w:id="4215" w:name="_Toc38439125"/>
      <w:bookmarkStart w:id="4216" w:name="_Toc38439462"/>
      <w:bookmarkStart w:id="4217" w:name="_Toc38439799"/>
      <w:bookmarkStart w:id="4218" w:name="_Toc38440136"/>
      <w:bookmarkStart w:id="4219" w:name="_Toc38440473"/>
      <w:bookmarkStart w:id="4220" w:name="_Toc38441005"/>
      <w:bookmarkStart w:id="4221" w:name="_Toc38441337"/>
      <w:bookmarkStart w:id="4222" w:name="_Toc38441669"/>
      <w:bookmarkStart w:id="4223" w:name="_Toc38441997"/>
      <w:bookmarkStart w:id="4224" w:name="_Toc38442329"/>
      <w:bookmarkStart w:id="4225" w:name="_Toc38442661"/>
      <w:bookmarkStart w:id="4226" w:name="_Toc38442992"/>
      <w:bookmarkStart w:id="4227" w:name="_Toc38443323"/>
      <w:bookmarkStart w:id="4228" w:name="_Toc38443654"/>
      <w:bookmarkStart w:id="4229" w:name="_Toc38443984"/>
      <w:bookmarkStart w:id="4230" w:name="_Toc38438452"/>
      <w:bookmarkStart w:id="4231" w:name="_Toc38438789"/>
      <w:bookmarkStart w:id="4232" w:name="_Toc38439126"/>
      <w:bookmarkStart w:id="4233" w:name="_Toc38439463"/>
      <w:bookmarkStart w:id="4234" w:name="_Toc38439800"/>
      <w:bookmarkStart w:id="4235" w:name="_Toc38440137"/>
      <w:bookmarkStart w:id="4236" w:name="_Toc38440474"/>
      <w:bookmarkStart w:id="4237" w:name="_Toc38441006"/>
      <w:bookmarkStart w:id="4238" w:name="_Toc38441338"/>
      <w:bookmarkStart w:id="4239" w:name="_Toc38441670"/>
      <w:bookmarkStart w:id="4240" w:name="_Toc38441998"/>
      <w:bookmarkStart w:id="4241" w:name="_Toc38442330"/>
      <w:bookmarkStart w:id="4242" w:name="_Toc38442662"/>
      <w:bookmarkStart w:id="4243" w:name="_Toc38442993"/>
      <w:bookmarkStart w:id="4244" w:name="_Toc38443324"/>
      <w:bookmarkStart w:id="4245" w:name="_Toc38443655"/>
      <w:bookmarkStart w:id="4246" w:name="_Toc38443985"/>
      <w:bookmarkStart w:id="4247" w:name="_Toc38438453"/>
      <w:bookmarkStart w:id="4248" w:name="_Toc38438790"/>
      <w:bookmarkStart w:id="4249" w:name="_Toc38439127"/>
      <w:bookmarkStart w:id="4250" w:name="_Toc38439464"/>
      <w:bookmarkStart w:id="4251" w:name="_Toc38439801"/>
      <w:bookmarkStart w:id="4252" w:name="_Toc38440138"/>
      <w:bookmarkStart w:id="4253" w:name="_Toc38440475"/>
      <w:bookmarkStart w:id="4254" w:name="_Toc38441007"/>
      <w:bookmarkStart w:id="4255" w:name="_Toc38441339"/>
      <w:bookmarkStart w:id="4256" w:name="_Toc38441671"/>
      <w:bookmarkStart w:id="4257" w:name="_Toc38441999"/>
      <w:bookmarkStart w:id="4258" w:name="_Toc38442331"/>
      <w:bookmarkStart w:id="4259" w:name="_Toc38442663"/>
      <w:bookmarkStart w:id="4260" w:name="_Toc38442994"/>
      <w:bookmarkStart w:id="4261" w:name="_Toc38443325"/>
      <w:bookmarkStart w:id="4262" w:name="_Toc38443656"/>
      <w:bookmarkStart w:id="4263" w:name="_Toc38443986"/>
      <w:bookmarkStart w:id="4264" w:name="_Toc38438454"/>
      <w:bookmarkStart w:id="4265" w:name="_Toc38438791"/>
      <w:bookmarkStart w:id="4266" w:name="_Toc38439128"/>
      <w:bookmarkStart w:id="4267" w:name="_Toc38439465"/>
      <w:bookmarkStart w:id="4268" w:name="_Toc38439802"/>
      <w:bookmarkStart w:id="4269" w:name="_Toc38440139"/>
      <w:bookmarkStart w:id="4270" w:name="_Toc38440476"/>
      <w:bookmarkStart w:id="4271" w:name="_Toc38441008"/>
      <w:bookmarkStart w:id="4272" w:name="_Toc38441340"/>
      <w:bookmarkStart w:id="4273" w:name="_Toc38441672"/>
      <w:bookmarkStart w:id="4274" w:name="_Toc38442000"/>
      <w:bookmarkStart w:id="4275" w:name="_Toc38442332"/>
      <w:bookmarkStart w:id="4276" w:name="_Toc38442664"/>
      <w:bookmarkStart w:id="4277" w:name="_Toc38442995"/>
      <w:bookmarkStart w:id="4278" w:name="_Toc38443326"/>
      <w:bookmarkStart w:id="4279" w:name="_Toc38443657"/>
      <w:bookmarkStart w:id="4280" w:name="_Toc38443987"/>
      <w:bookmarkStart w:id="4281" w:name="_Toc38438455"/>
      <w:bookmarkStart w:id="4282" w:name="_Toc38438792"/>
      <w:bookmarkStart w:id="4283" w:name="_Toc38439129"/>
      <w:bookmarkStart w:id="4284" w:name="_Toc38439466"/>
      <w:bookmarkStart w:id="4285" w:name="_Toc38439803"/>
      <w:bookmarkStart w:id="4286" w:name="_Toc38440140"/>
      <w:bookmarkStart w:id="4287" w:name="_Toc38440477"/>
      <w:bookmarkStart w:id="4288" w:name="_Toc38441009"/>
      <w:bookmarkStart w:id="4289" w:name="_Toc38441341"/>
      <w:bookmarkStart w:id="4290" w:name="_Toc38441673"/>
      <w:bookmarkStart w:id="4291" w:name="_Toc38442001"/>
      <w:bookmarkStart w:id="4292" w:name="_Toc38442333"/>
      <w:bookmarkStart w:id="4293" w:name="_Toc38442665"/>
      <w:bookmarkStart w:id="4294" w:name="_Toc38442996"/>
      <w:bookmarkStart w:id="4295" w:name="_Toc38443327"/>
      <w:bookmarkStart w:id="4296" w:name="_Toc38443658"/>
      <w:bookmarkStart w:id="4297" w:name="_Toc38443988"/>
      <w:bookmarkStart w:id="4298" w:name="_Toc38438456"/>
      <w:bookmarkStart w:id="4299" w:name="_Toc38438793"/>
      <w:bookmarkStart w:id="4300" w:name="_Toc38439130"/>
      <w:bookmarkStart w:id="4301" w:name="_Toc38439467"/>
      <w:bookmarkStart w:id="4302" w:name="_Toc38439804"/>
      <w:bookmarkStart w:id="4303" w:name="_Toc38440141"/>
      <w:bookmarkStart w:id="4304" w:name="_Toc38440478"/>
      <w:bookmarkStart w:id="4305" w:name="_Toc38441010"/>
      <w:bookmarkStart w:id="4306" w:name="_Toc38441342"/>
      <w:bookmarkStart w:id="4307" w:name="_Toc38441674"/>
      <w:bookmarkStart w:id="4308" w:name="_Toc38442002"/>
      <w:bookmarkStart w:id="4309" w:name="_Toc38442334"/>
      <w:bookmarkStart w:id="4310" w:name="_Toc38442666"/>
      <w:bookmarkStart w:id="4311" w:name="_Toc38442997"/>
      <w:bookmarkStart w:id="4312" w:name="_Toc38443328"/>
      <w:bookmarkStart w:id="4313" w:name="_Toc38443659"/>
      <w:bookmarkStart w:id="4314" w:name="_Toc38443989"/>
      <w:bookmarkStart w:id="4315" w:name="_Toc38438457"/>
      <w:bookmarkStart w:id="4316" w:name="_Toc38438794"/>
      <w:bookmarkStart w:id="4317" w:name="_Toc38439131"/>
      <w:bookmarkStart w:id="4318" w:name="_Toc38439468"/>
      <w:bookmarkStart w:id="4319" w:name="_Toc38439805"/>
      <w:bookmarkStart w:id="4320" w:name="_Toc38440142"/>
      <w:bookmarkStart w:id="4321" w:name="_Toc38440479"/>
      <w:bookmarkStart w:id="4322" w:name="_Toc38441011"/>
      <w:bookmarkStart w:id="4323" w:name="_Toc38441343"/>
      <w:bookmarkStart w:id="4324" w:name="_Toc38441675"/>
      <w:bookmarkStart w:id="4325" w:name="_Toc38442003"/>
      <w:bookmarkStart w:id="4326" w:name="_Toc38442335"/>
      <w:bookmarkStart w:id="4327" w:name="_Toc38442667"/>
      <w:bookmarkStart w:id="4328" w:name="_Toc38442998"/>
      <w:bookmarkStart w:id="4329" w:name="_Toc38443329"/>
      <w:bookmarkStart w:id="4330" w:name="_Toc38443660"/>
      <w:bookmarkStart w:id="4331" w:name="_Toc38443990"/>
      <w:bookmarkStart w:id="4332" w:name="_Toc38438458"/>
      <w:bookmarkStart w:id="4333" w:name="_Toc38438795"/>
      <w:bookmarkStart w:id="4334" w:name="_Toc38439132"/>
      <w:bookmarkStart w:id="4335" w:name="_Toc38439469"/>
      <w:bookmarkStart w:id="4336" w:name="_Toc38439806"/>
      <w:bookmarkStart w:id="4337" w:name="_Toc38440143"/>
      <w:bookmarkStart w:id="4338" w:name="_Toc38440480"/>
      <w:bookmarkStart w:id="4339" w:name="_Toc38441012"/>
      <w:bookmarkStart w:id="4340" w:name="_Toc38441344"/>
      <w:bookmarkStart w:id="4341" w:name="_Toc38441676"/>
      <w:bookmarkStart w:id="4342" w:name="_Toc38442004"/>
      <w:bookmarkStart w:id="4343" w:name="_Toc38442336"/>
      <w:bookmarkStart w:id="4344" w:name="_Toc38442668"/>
      <w:bookmarkStart w:id="4345" w:name="_Toc38442999"/>
      <w:bookmarkStart w:id="4346" w:name="_Toc38443330"/>
      <w:bookmarkStart w:id="4347" w:name="_Toc38443661"/>
      <w:bookmarkStart w:id="4348" w:name="_Toc38443991"/>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bookmarkEnd w:id="2581"/>
      <w:bookmarkEnd w:id="2582"/>
      <w:bookmarkEnd w:id="2583"/>
      <w:bookmarkEnd w:id="2584"/>
      <w:bookmarkEnd w:id="2585"/>
      <w:bookmarkEnd w:id="2586"/>
      <w:bookmarkEnd w:id="2587"/>
      <w:bookmarkEnd w:id="2588"/>
      <w:bookmarkEnd w:id="2589"/>
      <w:bookmarkEnd w:id="2590"/>
      <w:bookmarkEnd w:id="2591"/>
      <w:bookmarkEnd w:id="2592"/>
      <w:bookmarkEnd w:id="2593"/>
      <w:bookmarkEnd w:id="2594"/>
      <w:bookmarkEnd w:id="2595"/>
      <w:bookmarkEnd w:id="2596"/>
      <w:bookmarkEnd w:id="2597"/>
      <w:bookmarkEnd w:id="2598"/>
      <w:bookmarkEnd w:id="2599"/>
      <w:bookmarkEnd w:id="2600"/>
      <w:bookmarkEnd w:id="2601"/>
      <w:bookmarkEnd w:id="2602"/>
      <w:bookmarkEnd w:id="2603"/>
      <w:bookmarkEnd w:id="2604"/>
      <w:bookmarkEnd w:id="2605"/>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bookmarkEnd w:id="2642"/>
      <w:bookmarkEnd w:id="2643"/>
      <w:bookmarkEnd w:id="2644"/>
      <w:bookmarkEnd w:id="2645"/>
      <w:bookmarkEnd w:id="2646"/>
      <w:bookmarkEnd w:id="2647"/>
      <w:bookmarkEnd w:id="2648"/>
      <w:bookmarkEnd w:id="2649"/>
      <w:bookmarkEnd w:id="2650"/>
      <w:bookmarkEnd w:id="2651"/>
      <w:bookmarkEnd w:id="2652"/>
      <w:bookmarkEnd w:id="2653"/>
      <w:bookmarkEnd w:id="2654"/>
      <w:bookmarkEnd w:id="2655"/>
      <w:bookmarkEnd w:id="2656"/>
      <w:bookmarkEnd w:id="2657"/>
      <w:bookmarkEnd w:id="2658"/>
      <w:bookmarkEnd w:id="2659"/>
      <w:bookmarkEnd w:id="2660"/>
      <w:bookmarkEnd w:id="2661"/>
      <w:bookmarkEnd w:id="2662"/>
      <w:bookmarkEnd w:id="2663"/>
      <w:bookmarkEnd w:id="2664"/>
      <w:bookmarkEnd w:id="2665"/>
      <w:bookmarkEnd w:id="2666"/>
      <w:bookmarkEnd w:id="2667"/>
      <w:bookmarkEnd w:id="2668"/>
      <w:bookmarkEnd w:id="2669"/>
      <w:bookmarkEnd w:id="2670"/>
      <w:bookmarkEnd w:id="2671"/>
      <w:bookmarkEnd w:id="2672"/>
      <w:bookmarkEnd w:id="2673"/>
      <w:bookmarkEnd w:id="2674"/>
      <w:bookmarkEnd w:id="2675"/>
      <w:bookmarkEnd w:id="2676"/>
      <w:bookmarkEnd w:id="2677"/>
      <w:bookmarkEnd w:id="2678"/>
      <w:bookmarkEnd w:id="2679"/>
      <w:bookmarkEnd w:id="2680"/>
      <w:bookmarkEnd w:id="2681"/>
      <w:bookmarkEnd w:id="2682"/>
      <w:bookmarkEnd w:id="2683"/>
      <w:bookmarkEnd w:id="2684"/>
      <w:bookmarkEnd w:id="2685"/>
      <w:bookmarkEnd w:id="2686"/>
      <w:bookmarkEnd w:id="2687"/>
      <w:bookmarkEnd w:id="2688"/>
      <w:bookmarkEnd w:id="2689"/>
      <w:bookmarkEnd w:id="2690"/>
      <w:bookmarkEnd w:id="2691"/>
      <w:bookmarkEnd w:id="2692"/>
      <w:bookmarkEnd w:id="2693"/>
      <w:bookmarkEnd w:id="2694"/>
      <w:bookmarkEnd w:id="2695"/>
      <w:bookmarkEnd w:id="2696"/>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bookmarkEnd w:id="2733"/>
      <w:bookmarkEnd w:id="2734"/>
      <w:bookmarkEnd w:id="2735"/>
      <w:bookmarkEnd w:id="2736"/>
      <w:bookmarkEnd w:id="2737"/>
      <w:bookmarkEnd w:id="2738"/>
      <w:bookmarkEnd w:id="2739"/>
      <w:bookmarkEnd w:id="2740"/>
      <w:bookmarkEnd w:id="2741"/>
      <w:bookmarkEnd w:id="2742"/>
      <w:bookmarkEnd w:id="2743"/>
      <w:bookmarkEnd w:id="2744"/>
      <w:bookmarkEnd w:id="2745"/>
      <w:bookmarkEnd w:id="2746"/>
      <w:bookmarkEnd w:id="2747"/>
      <w:bookmarkEnd w:id="2748"/>
      <w:bookmarkEnd w:id="2749"/>
      <w:bookmarkEnd w:id="2750"/>
      <w:bookmarkEnd w:id="2751"/>
      <w:bookmarkEnd w:id="2752"/>
      <w:bookmarkEnd w:id="2753"/>
      <w:bookmarkEnd w:id="2754"/>
      <w:bookmarkEnd w:id="2755"/>
      <w:bookmarkEnd w:id="2756"/>
      <w:bookmarkEnd w:id="2757"/>
      <w:bookmarkEnd w:id="2758"/>
      <w:bookmarkEnd w:id="2759"/>
      <w:bookmarkEnd w:id="2760"/>
      <w:bookmarkEnd w:id="2761"/>
      <w:bookmarkEnd w:id="2762"/>
      <w:bookmarkEnd w:id="2763"/>
      <w:bookmarkEnd w:id="2764"/>
      <w:bookmarkEnd w:id="2765"/>
      <w:bookmarkEnd w:id="2766"/>
      <w:bookmarkEnd w:id="2767"/>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bookmarkEnd w:id="2804"/>
      <w:bookmarkEnd w:id="2805"/>
      <w:bookmarkEnd w:id="2806"/>
      <w:bookmarkEnd w:id="2807"/>
      <w:bookmarkEnd w:id="2808"/>
      <w:bookmarkEnd w:id="2809"/>
      <w:bookmarkEnd w:id="2810"/>
      <w:bookmarkEnd w:id="2811"/>
      <w:bookmarkEnd w:id="2812"/>
      <w:bookmarkEnd w:id="2813"/>
      <w:bookmarkEnd w:id="2814"/>
      <w:bookmarkEnd w:id="2815"/>
      <w:bookmarkEnd w:id="2816"/>
      <w:bookmarkEnd w:id="2817"/>
      <w:bookmarkEnd w:id="2818"/>
      <w:bookmarkEnd w:id="2819"/>
      <w:bookmarkEnd w:id="2820"/>
      <w:bookmarkEnd w:id="2821"/>
      <w:bookmarkEnd w:id="2822"/>
      <w:bookmarkEnd w:id="2823"/>
      <w:bookmarkEnd w:id="2824"/>
      <w:bookmarkEnd w:id="2825"/>
      <w:bookmarkEnd w:id="2826"/>
      <w:bookmarkEnd w:id="2827"/>
      <w:bookmarkEnd w:id="2828"/>
      <w:bookmarkEnd w:id="2829"/>
      <w:bookmarkEnd w:id="2830"/>
      <w:bookmarkEnd w:id="2831"/>
      <w:bookmarkEnd w:id="2832"/>
      <w:bookmarkEnd w:id="2833"/>
      <w:bookmarkEnd w:id="2834"/>
      <w:bookmarkEnd w:id="2835"/>
      <w:bookmarkEnd w:id="2836"/>
      <w:bookmarkEnd w:id="2837"/>
      <w:bookmarkEnd w:id="2838"/>
      <w:bookmarkEnd w:id="2839"/>
      <w:bookmarkEnd w:id="2840"/>
      <w:bookmarkEnd w:id="2841"/>
      <w:bookmarkEnd w:id="2842"/>
      <w:bookmarkEnd w:id="2843"/>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bookmarkEnd w:id="2880"/>
      <w:bookmarkEnd w:id="2881"/>
      <w:bookmarkEnd w:id="2882"/>
      <w:bookmarkEnd w:id="2883"/>
      <w:bookmarkEnd w:id="2884"/>
      <w:bookmarkEnd w:id="2885"/>
      <w:bookmarkEnd w:id="2886"/>
      <w:bookmarkEnd w:id="2887"/>
      <w:bookmarkEnd w:id="2888"/>
      <w:bookmarkEnd w:id="2889"/>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bookmarkEnd w:id="2926"/>
      <w:bookmarkEnd w:id="2927"/>
      <w:bookmarkEnd w:id="2928"/>
      <w:bookmarkEnd w:id="2929"/>
      <w:bookmarkEnd w:id="2930"/>
      <w:bookmarkEnd w:id="2931"/>
      <w:bookmarkEnd w:id="2932"/>
      <w:bookmarkEnd w:id="2933"/>
      <w:bookmarkEnd w:id="2934"/>
      <w:bookmarkEnd w:id="2935"/>
      <w:bookmarkEnd w:id="2936"/>
      <w:bookmarkEnd w:id="2937"/>
      <w:bookmarkEnd w:id="2938"/>
      <w:bookmarkEnd w:id="2939"/>
      <w:bookmarkEnd w:id="2940"/>
      <w:bookmarkEnd w:id="2941"/>
      <w:bookmarkEnd w:id="2942"/>
      <w:bookmarkEnd w:id="2943"/>
      <w:bookmarkEnd w:id="2944"/>
      <w:bookmarkEnd w:id="2945"/>
      <w:bookmarkEnd w:id="2946"/>
      <w:bookmarkEnd w:id="2947"/>
      <w:bookmarkEnd w:id="2948"/>
      <w:bookmarkEnd w:id="2949"/>
      <w:bookmarkEnd w:id="2950"/>
      <w:bookmarkEnd w:id="2951"/>
      <w:bookmarkEnd w:id="2952"/>
      <w:bookmarkEnd w:id="2953"/>
      <w:bookmarkEnd w:id="2954"/>
      <w:bookmarkEnd w:id="2955"/>
      <w:bookmarkEnd w:id="2956"/>
      <w:bookmarkEnd w:id="2957"/>
      <w:bookmarkEnd w:id="2958"/>
      <w:bookmarkEnd w:id="2959"/>
      <w:bookmarkEnd w:id="2960"/>
      <w:bookmarkEnd w:id="2961"/>
      <w:bookmarkEnd w:id="2962"/>
      <w:bookmarkEnd w:id="2963"/>
      <w:bookmarkEnd w:id="2964"/>
      <w:bookmarkEnd w:id="2965"/>
      <w:bookmarkEnd w:id="2966"/>
      <w:bookmarkEnd w:id="2967"/>
      <w:bookmarkEnd w:id="2968"/>
      <w:bookmarkEnd w:id="2969"/>
      <w:bookmarkEnd w:id="2970"/>
      <w:bookmarkEnd w:id="2971"/>
      <w:bookmarkEnd w:id="2972"/>
      <w:bookmarkEnd w:id="2973"/>
      <w:bookmarkEnd w:id="2974"/>
      <w:bookmarkEnd w:id="2975"/>
      <w:bookmarkEnd w:id="2976"/>
      <w:bookmarkEnd w:id="2977"/>
      <w:bookmarkEnd w:id="2978"/>
      <w:bookmarkEnd w:id="2979"/>
      <w:bookmarkEnd w:id="2980"/>
      <w:bookmarkEnd w:id="2981"/>
      <w:bookmarkEnd w:id="2982"/>
      <w:bookmarkEnd w:id="2983"/>
      <w:bookmarkEnd w:id="2984"/>
      <w:bookmarkEnd w:id="2985"/>
      <w:bookmarkEnd w:id="2986"/>
      <w:bookmarkEnd w:id="2987"/>
      <w:bookmarkEnd w:id="2988"/>
      <w:bookmarkEnd w:id="2989"/>
      <w:bookmarkEnd w:id="2990"/>
      <w:bookmarkEnd w:id="2991"/>
      <w:bookmarkEnd w:id="2992"/>
      <w:bookmarkEnd w:id="2993"/>
      <w:bookmarkEnd w:id="2994"/>
      <w:bookmarkEnd w:id="2995"/>
      <w:bookmarkEnd w:id="2996"/>
      <w:bookmarkEnd w:id="2997"/>
      <w:bookmarkEnd w:id="2998"/>
      <w:bookmarkEnd w:id="2999"/>
      <w:bookmarkEnd w:id="3000"/>
      <w:bookmarkEnd w:id="3001"/>
      <w:bookmarkEnd w:id="3002"/>
      <w:bookmarkEnd w:id="3003"/>
      <w:bookmarkEnd w:id="3004"/>
      <w:bookmarkEnd w:id="3005"/>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bookmarkEnd w:id="3042"/>
      <w:bookmarkEnd w:id="3043"/>
      <w:bookmarkEnd w:id="3044"/>
      <w:bookmarkEnd w:id="3045"/>
      <w:bookmarkEnd w:id="3046"/>
      <w:bookmarkEnd w:id="3047"/>
      <w:bookmarkEnd w:id="3048"/>
      <w:bookmarkEnd w:id="3049"/>
      <w:bookmarkEnd w:id="3050"/>
      <w:bookmarkEnd w:id="3051"/>
      <w:bookmarkEnd w:id="3052"/>
      <w:bookmarkEnd w:id="3053"/>
      <w:bookmarkEnd w:id="3054"/>
      <w:bookmarkEnd w:id="3055"/>
      <w:bookmarkEnd w:id="3056"/>
      <w:bookmarkEnd w:id="3057"/>
      <w:bookmarkEnd w:id="3058"/>
      <w:bookmarkEnd w:id="3059"/>
      <w:bookmarkEnd w:id="3060"/>
      <w:bookmarkEnd w:id="3061"/>
      <w:bookmarkEnd w:id="3062"/>
      <w:bookmarkEnd w:id="3063"/>
      <w:bookmarkEnd w:id="3064"/>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bookmarkEnd w:id="3137"/>
      <w:bookmarkEnd w:id="3138"/>
      <w:bookmarkEnd w:id="3139"/>
      <w:bookmarkEnd w:id="3140"/>
      <w:bookmarkEnd w:id="3141"/>
      <w:bookmarkEnd w:id="3142"/>
      <w:bookmarkEnd w:id="3143"/>
      <w:bookmarkEnd w:id="3144"/>
      <w:bookmarkEnd w:id="3145"/>
      <w:bookmarkEnd w:id="3146"/>
      <w:bookmarkEnd w:id="3147"/>
      <w:bookmarkEnd w:id="3148"/>
      <w:bookmarkEnd w:id="3149"/>
      <w:bookmarkEnd w:id="3150"/>
      <w:bookmarkEnd w:id="3151"/>
      <w:bookmarkEnd w:id="3152"/>
      <w:bookmarkEnd w:id="3153"/>
      <w:bookmarkEnd w:id="3154"/>
      <w:bookmarkEnd w:id="3155"/>
      <w:bookmarkEnd w:id="3156"/>
      <w:bookmarkEnd w:id="3157"/>
      <w:bookmarkEnd w:id="3158"/>
      <w:bookmarkEnd w:id="3159"/>
      <w:bookmarkEnd w:id="3160"/>
      <w:bookmarkEnd w:id="3161"/>
      <w:bookmarkEnd w:id="3162"/>
      <w:bookmarkEnd w:id="3163"/>
      <w:bookmarkEnd w:id="3164"/>
      <w:bookmarkEnd w:id="3165"/>
      <w:bookmarkEnd w:id="3166"/>
      <w:bookmarkEnd w:id="3167"/>
      <w:bookmarkEnd w:id="3168"/>
      <w:bookmarkEnd w:id="3169"/>
      <w:bookmarkEnd w:id="3170"/>
      <w:bookmarkEnd w:id="3171"/>
      <w:bookmarkEnd w:id="3172"/>
      <w:bookmarkEnd w:id="3173"/>
      <w:bookmarkEnd w:id="3174"/>
      <w:bookmarkEnd w:id="3175"/>
      <w:bookmarkEnd w:id="3176"/>
      <w:bookmarkEnd w:id="3177"/>
      <w:bookmarkEnd w:id="3178"/>
      <w:bookmarkEnd w:id="3179"/>
      <w:bookmarkEnd w:id="3180"/>
      <w:bookmarkEnd w:id="3181"/>
      <w:bookmarkEnd w:id="3182"/>
      <w:bookmarkEnd w:id="3183"/>
      <w:bookmarkEnd w:id="3184"/>
      <w:bookmarkEnd w:id="3185"/>
      <w:bookmarkEnd w:id="3186"/>
      <w:bookmarkEnd w:id="3187"/>
      <w:bookmarkEnd w:id="3188"/>
      <w:bookmarkEnd w:id="3189"/>
      <w:bookmarkEnd w:id="3190"/>
      <w:bookmarkEnd w:id="3191"/>
      <w:bookmarkEnd w:id="3192"/>
      <w:bookmarkEnd w:id="3193"/>
      <w:bookmarkEnd w:id="3194"/>
      <w:bookmarkEnd w:id="3195"/>
      <w:bookmarkEnd w:id="3196"/>
      <w:bookmarkEnd w:id="3197"/>
      <w:bookmarkEnd w:id="3198"/>
      <w:bookmarkEnd w:id="3199"/>
      <w:bookmarkEnd w:id="3200"/>
      <w:bookmarkEnd w:id="3201"/>
      <w:bookmarkEnd w:id="3202"/>
      <w:bookmarkEnd w:id="3203"/>
      <w:bookmarkEnd w:id="3204"/>
      <w:bookmarkEnd w:id="3205"/>
      <w:bookmarkEnd w:id="3206"/>
      <w:bookmarkEnd w:id="3207"/>
      <w:bookmarkEnd w:id="3208"/>
      <w:bookmarkEnd w:id="3209"/>
      <w:bookmarkEnd w:id="3210"/>
      <w:bookmarkEnd w:id="3211"/>
      <w:bookmarkEnd w:id="3212"/>
      <w:bookmarkEnd w:id="3213"/>
      <w:bookmarkEnd w:id="3214"/>
      <w:bookmarkEnd w:id="3215"/>
      <w:bookmarkEnd w:id="3216"/>
      <w:bookmarkEnd w:id="3217"/>
      <w:bookmarkEnd w:id="3218"/>
      <w:bookmarkEnd w:id="3219"/>
      <w:bookmarkEnd w:id="3220"/>
      <w:bookmarkEnd w:id="3221"/>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bookmarkEnd w:id="3258"/>
      <w:bookmarkEnd w:id="3259"/>
      <w:bookmarkEnd w:id="3260"/>
      <w:bookmarkEnd w:id="3261"/>
      <w:bookmarkEnd w:id="3262"/>
      <w:bookmarkEnd w:id="3263"/>
      <w:bookmarkEnd w:id="3264"/>
      <w:bookmarkEnd w:id="3265"/>
      <w:bookmarkEnd w:id="3266"/>
      <w:bookmarkEnd w:id="3267"/>
      <w:bookmarkEnd w:id="3268"/>
      <w:bookmarkEnd w:id="3269"/>
      <w:bookmarkEnd w:id="3270"/>
      <w:bookmarkEnd w:id="3271"/>
      <w:bookmarkEnd w:id="3272"/>
      <w:bookmarkEnd w:id="3273"/>
      <w:bookmarkEnd w:id="3274"/>
      <w:bookmarkEnd w:id="3275"/>
      <w:bookmarkEnd w:id="3276"/>
      <w:bookmarkEnd w:id="3277"/>
      <w:bookmarkEnd w:id="3278"/>
      <w:bookmarkEnd w:id="3279"/>
      <w:bookmarkEnd w:id="3280"/>
      <w:bookmarkEnd w:id="3281"/>
      <w:bookmarkEnd w:id="3282"/>
      <w:bookmarkEnd w:id="3283"/>
      <w:bookmarkEnd w:id="3284"/>
      <w:bookmarkEnd w:id="3285"/>
      <w:bookmarkEnd w:id="3286"/>
      <w:bookmarkEnd w:id="3287"/>
      <w:bookmarkEnd w:id="3288"/>
      <w:bookmarkEnd w:id="3289"/>
      <w:bookmarkEnd w:id="3290"/>
      <w:bookmarkEnd w:id="3291"/>
      <w:bookmarkEnd w:id="3292"/>
      <w:bookmarkEnd w:id="3293"/>
      <w:bookmarkEnd w:id="3294"/>
      <w:bookmarkEnd w:id="3295"/>
      <w:bookmarkEnd w:id="3296"/>
      <w:bookmarkEnd w:id="3297"/>
      <w:bookmarkEnd w:id="3298"/>
      <w:bookmarkEnd w:id="3299"/>
      <w:bookmarkEnd w:id="3300"/>
      <w:bookmarkEnd w:id="3301"/>
      <w:bookmarkEnd w:id="3302"/>
      <w:bookmarkEnd w:id="3303"/>
      <w:bookmarkEnd w:id="330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bookmarkEnd w:id="3323"/>
      <w:bookmarkEnd w:id="3324"/>
      <w:bookmarkEnd w:id="3325"/>
      <w:bookmarkEnd w:id="3326"/>
      <w:bookmarkEnd w:id="3327"/>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bookmarkEnd w:id="3364"/>
      <w:bookmarkEnd w:id="3365"/>
      <w:bookmarkEnd w:id="3366"/>
      <w:bookmarkEnd w:id="3367"/>
      <w:bookmarkEnd w:id="3368"/>
      <w:bookmarkEnd w:id="3369"/>
      <w:bookmarkEnd w:id="3370"/>
      <w:bookmarkEnd w:id="3371"/>
      <w:bookmarkEnd w:id="3372"/>
      <w:bookmarkEnd w:id="3373"/>
      <w:bookmarkEnd w:id="3374"/>
      <w:bookmarkEnd w:id="3375"/>
      <w:bookmarkEnd w:id="3376"/>
      <w:bookmarkEnd w:id="3377"/>
      <w:bookmarkEnd w:id="3378"/>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bookmarkEnd w:id="3415"/>
      <w:bookmarkEnd w:id="3416"/>
      <w:bookmarkEnd w:id="3417"/>
      <w:bookmarkEnd w:id="3418"/>
      <w:bookmarkEnd w:id="3419"/>
      <w:bookmarkEnd w:id="3420"/>
      <w:bookmarkEnd w:id="3421"/>
      <w:bookmarkEnd w:id="3422"/>
      <w:bookmarkEnd w:id="3423"/>
      <w:bookmarkEnd w:id="3424"/>
      <w:bookmarkEnd w:id="3425"/>
      <w:bookmarkEnd w:id="3426"/>
      <w:bookmarkEnd w:id="3427"/>
      <w:bookmarkEnd w:id="3428"/>
      <w:bookmarkEnd w:id="3429"/>
      <w:bookmarkEnd w:id="3430"/>
      <w:bookmarkEnd w:id="3431"/>
      <w:bookmarkEnd w:id="3432"/>
      <w:bookmarkEnd w:id="3433"/>
      <w:bookmarkEnd w:id="3434"/>
      <w:bookmarkEnd w:id="3435"/>
      <w:bookmarkEnd w:id="3436"/>
      <w:bookmarkEnd w:id="3437"/>
      <w:bookmarkEnd w:id="3438"/>
      <w:bookmarkEnd w:id="3439"/>
      <w:bookmarkEnd w:id="3440"/>
      <w:bookmarkEnd w:id="3441"/>
      <w:bookmarkEnd w:id="3442"/>
      <w:bookmarkEnd w:id="3443"/>
      <w:bookmarkEnd w:id="3444"/>
      <w:bookmarkEnd w:id="3445"/>
      <w:bookmarkEnd w:id="3446"/>
      <w:bookmarkEnd w:id="3447"/>
      <w:bookmarkEnd w:id="3448"/>
      <w:bookmarkEnd w:id="3449"/>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bookmarkEnd w:id="3486"/>
      <w:bookmarkEnd w:id="3487"/>
      <w:bookmarkEnd w:id="3488"/>
      <w:bookmarkEnd w:id="3489"/>
      <w:bookmarkEnd w:id="3490"/>
      <w:bookmarkEnd w:id="3491"/>
      <w:bookmarkEnd w:id="3492"/>
      <w:bookmarkEnd w:id="3493"/>
      <w:bookmarkEnd w:id="3494"/>
      <w:bookmarkEnd w:id="3495"/>
      <w:bookmarkEnd w:id="3496"/>
      <w:bookmarkEnd w:id="3497"/>
      <w:bookmarkEnd w:id="3498"/>
      <w:bookmarkEnd w:id="3499"/>
      <w:bookmarkEnd w:id="3500"/>
      <w:bookmarkEnd w:id="3501"/>
      <w:bookmarkEnd w:id="3502"/>
      <w:bookmarkEnd w:id="3503"/>
      <w:bookmarkEnd w:id="3504"/>
      <w:bookmarkEnd w:id="3505"/>
      <w:bookmarkEnd w:id="3506"/>
      <w:bookmarkEnd w:id="3507"/>
      <w:bookmarkEnd w:id="3508"/>
      <w:bookmarkEnd w:id="3509"/>
      <w:bookmarkEnd w:id="3510"/>
      <w:bookmarkEnd w:id="3511"/>
      <w:bookmarkEnd w:id="3512"/>
      <w:bookmarkEnd w:id="3513"/>
      <w:bookmarkEnd w:id="3514"/>
      <w:bookmarkEnd w:id="3515"/>
      <w:bookmarkEnd w:id="3516"/>
      <w:bookmarkEnd w:id="3517"/>
      <w:bookmarkEnd w:id="3518"/>
      <w:bookmarkEnd w:id="3519"/>
      <w:bookmarkEnd w:id="3520"/>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bookmarkEnd w:id="3557"/>
      <w:bookmarkEnd w:id="3558"/>
      <w:bookmarkEnd w:id="3559"/>
      <w:bookmarkEnd w:id="3560"/>
      <w:bookmarkEnd w:id="3561"/>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bookmarkEnd w:id="3675"/>
      <w:bookmarkEnd w:id="3676"/>
      <w:bookmarkEnd w:id="3677"/>
      <w:bookmarkEnd w:id="3678"/>
      <w:bookmarkEnd w:id="3679"/>
      <w:bookmarkEnd w:id="3680"/>
      <w:bookmarkEnd w:id="3681"/>
      <w:bookmarkEnd w:id="3682"/>
      <w:bookmarkEnd w:id="3683"/>
      <w:bookmarkEnd w:id="3684"/>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bookmarkEnd w:id="3772"/>
      <w:bookmarkEnd w:id="3773"/>
      <w:bookmarkEnd w:id="3774"/>
      <w:bookmarkEnd w:id="3775"/>
      <w:bookmarkEnd w:id="3776"/>
      <w:bookmarkEnd w:id="3777"/>
      <w:bookmarkEnd w:id="3778"/>
      <w:bookmarkEnd w:id="3779"/>
      <w:bookmarkEnd w:id="3780"/>
      <w:bookmarkEnd w:id="3781"/>
      <w:bookmarkEnd w:id="3782"/>
      <w:bookmarkEnd w:id="3783"/>
      <w:bookmarkEnd w:id="3784"/>
      <w:bookmarkEnd w:id="3785"/>
      <w:bookmarkEnd w:id="3786"/>
      <w:bookmarkEnd w:id="3787"/>
      <w:bookmarkEnd w:id="3788"/>
      <w:bookmarkEnd w:id="3789"/>
      <w:bookmarkEnd w:id="3790"/>
      <w:bookmarkEnd w:id="3791"/>
      <w:bookmarkEnd w:id="3792"/>
      <w:bookmarkEnd w:id="3793"/>
      <w:bookmarkEnd w:id="3794"/>
      <w:bookmarkEnd w:id="3795"/>
      <w:bookmarkEnd w:id="3796"/>
      <w:bookmarkEnd w:id="3797"/>
      <w:bookmarkEnd w:id="3798"/>
      <w:bookmarkEnd w:id="3799"/>
      <w:bookmarkEnd w:id="3800"/>
      <w:bookmarkEnd w:id="3801"/>
      <w:bookmarkEnd w:id="3802"/>
      <w:bookmarkEnd w:id="3803"/>
      <w:bookmarkEnd w:id="3804"/>
      <w:bookmarkEnd w:id="3805"/>
      <w:bookmarkEnd w:id="3806"/>
      <w:bookmarkEnd w:id="3807"/>
      <w:bookmarkEnd w:id="3808"/>
      <w:bookmarkEnd w:id="3809"/>
      <w:bookmarkEnd w:id="3810"/>
      <w:bookmarkEnd w:id="3811"/>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bookmarkEnd w:id="3884"/>
      <w:bookmarkEnd w:id="3885"/>
      <w:bookmarkEnd w:id="3886"/>
      <w:bookmarkEnd w:id="3887"/>
      <w:bookmarkEnd w:id="3888"/>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bookmarkEnd w:id="3925"/>
      <w:bookmarkEnd w:id="3926"/>
      <w:bookmarkEnd w:id="3927"/>
      <w:bookmarkEnd w:id="3928"/>
      <w:bookmarkEnd w:id="3929"/>
      <w:bookmarkEnd w:id="3930"/>
      <w:bookmarkEnd w:id="3931"/>
      <w:bookmarkEnd w:id="3932"/>
      <w:bookmarkEnd w:id="3933"/>
      <w:bookmarkEnd w:id="3934"/>
      <w:bookmarkEnd w:id="3935"/>
      <w:bookmarkEnd w:id="3936"/>
      <w:bookmarkEnd w:id="3937"/>
      <w:bookmarkEnd w:id="3938"/>
      <w:bookmarkEnd w:id="3939"/>
      <w:bookmarkEnd w:id="3940"/>
      <w:bookmarkEnd w:id="3941"/>
      <w:bookmarkEnd w:id="3942"/>
      <w:bookmarkEnd w:id="3943"/>
      <w:bookmarkEnd w:id="3944"/>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bookmarkEnd w:id="3981"/>
      <w:bookmarkEnd w:id="3982"/>
      <w:bookmarkEnd w:id="3983"/>
      <w:bookmarkEnd w:id="3984"/>
      <w:bookmarkEnd w:id="3985"/>
      <w:bookmarkEnd w:id="3986"/>
      <w:bookmarkEnd w:id="3987"/>
      <w:bookmarkEnd w:id="3988"/>
      <w:bookmarkEnd w:id="3989"/>
      <w:bookmarkEnd w:id="3990"/>
      <w:bookmarkEnd w:id="3991"/>
      <w:bookmarkEnd w:id="3992"/>
      <w:bookmarkEnd w:id="3993"/>
      <w:bookmarkEnd w:id="3994"/>
      <w:bookmarkEnd w:id="3995"/>
      <w:bookmarkEnd w:id="3996"/>
      <w:bookmarkEnd w:id="3997"/>
      <w:bookmarkEnd w:id="3998"/>
      <w:bookmarkEnd w:id="3999"/>
      <w:bookmarkEnd w:id="4000"/>
      <w:bookmarkEnd w:id="4001"/>
      <w:bookmarkEnd w:id="4002"/>
      <w:bookmarkEnd w:id="4003"/>
      <w:bookmarkEnd w:id="4004"/>
      <w:bookmarkEnd w:id="4005"/>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bookmarkEnd w:id="4078"/>
      <w:bookmarkEnd w:id="4079"/>
      <w:bookmarkEnd w:id="4080"/>
      <w:bookmarkEnd w:id="4081"/>
      <w:bookmarkEnd w:id="4082"/>
      <w:bookmarkEnd w:id="4083"/>
      <w:bookmarkEnd w:id="4084"/>
      <w:bookmarkEnd w:id="4085"/>
      <w:bookmarkEnd w:id="4086"/>
      <w:bookmarkEnd w:id="4087"/>
      <w:bookmarkEnd w:id="4088"/>
      <w:bookmarkEnd w:id="4089"/>
      <w:bookmarkEnd w:id="4090"/>
      <w:bookmarkEnd w:id="4091"/>
      <w:bookmarkEnd w:id="4092"/>
      <w:bookmarkEnd w:id="4093"/>
      <w:bookmarkEnd w:id="4094"/>
      <w:bookmarkEnd w:id="4095"/>
      <w:bookmarkEnd w:id="4096"/>
      <w:bookmarkEnd w:id="4097"/>
      <w:bookmarkEnd w:id="4098"/>
      <w:bookmarkEnd w:id="4099"/>
      <w:bookmarkEnd w:id="4100"/>
      <w:bookmarkEnd w:id="4101"/>
      <w:bookmarkEnd w:id="4102"/>
      <w:bookmarkEnd w:id="4103"/>
      <w:bookmarkEnd w:id="4104"/>
      <w:bookmarkEnd w:id="4105"/>
      <w:bookmarkEnd w:id="4106"/>
      <w:bookmarkEnd w:id="4107"/>
      <w:bookmarkEnd w:id="4108"/>
      <w:bookmarkEnd w:id="4109"/>
      <w:bookmarkEnd w:id="4110"/>
      <w:bookmarkEnd w:id="4111"/>
      <w:bookmarkEnd w:id="4112"/>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bookmarkEnd w:id="4271"/>
      <w:bookmarkEnd w:id="4272"/>
      <w:bookmarkEnd w:id="4273"/>
      <w:bookmarkEnd w:id="4274"/>
      <w:bookmarkEnd w:id="4275"/>
      <w:bookmarkEnd w:id="4276"/>
      <w:bookmarkEnd w:id="4277"/>
      <w:bookmarkEnd w:id="4278"/>
      <w:bookmarkEnd w:id="4279"/>
      <w:bookmarkEnd w:id="4280"/>
      <w:bookmarkEnd w:id="4281"/>
      <w:bookmarkEnd w:id="4282"/>
      <w:bookmarkEnd w:id="4283"/>
      <w:bookmarkEnd w:id="4284"/>
      <w:bookmarkEnd w:id="4285"/>
      <w:bookmarkEnd w:id="4286"/>
      <w:bookmarkEnd w:id="4287"/>
      <w:bookmarkEnd w:id="4288"/>
      <w:bookmarkEnd w:id="4289"/>
      <w:bookmarkEnd w:id="4290"/>
      <w:bookmarkEnd w:id="4291"/>
      <w:bookmarkEnd w:id="4292"/>
      <w:bookmarkEnd w:id="4293"/>
      <w:bookmarkEnd w:id="4294"/>
      <w:bookmarkEnd w:id="4295"/>
      <w:bookmarkEnd w:id="4296"/>
      <w:bookmarkEnd w:id="4297"/>
      <w:bookmarkEnd w:id="4298"/>
      <w:bookmarkEnd w:id="4299"/>
      <w:bookmarkEnd w:id="4300"/>
      <w:bookmarkEnd w:id="4301"/>
      <w:bookmarkEnd w:id="4302"/>
      <w:bookmarkEnd w:id="4303"/>
      <w:bookmarkEnd w:id="4304"/>
      <w:bookmarkEnd w:id="4305"/>
      <w:bookmarkEnd w:id="4306"/>
      <w:bookmarkEnd w:id="4307"/>
      <w:bookmarkEnd w:id="4308"/>
      <w:bookmarkEnd w:id="4309"/>
      <w:bookmarkEnd w:id="4310"/>
      <w:bookmarkEnd w:id="4311"/>
      <w:bookmarkEnd w:id="4312"/>
      <w:bookmarkEnd w:id="4313"/>
      <w:bookmarkEnd w:id="4314"/>
      <w:bookmarkEnd w:id="4315"/>
      <w:bookmarkEnd w:id="4316"/>
      <w:bookmarkEnd w:id="4317"/>
      <w:bookmarkEnd w:id="4318"/>
      <w:bookmarkEnd w:id="4319"/>
      <w:bookmarkEnd w:id="4320"/>
      <w:bookmarkEnd w:id="4321"/>
      <w:bookmarkEnd w:id="4322"/>
      <w:bookmarkEnd w:id="4323"/>
      <w:bookmarkEnd w:id="4324"/>
      <w:bookmarkEnd w:id="4325"/>
      <w:bookmarkEnd w:id="4326"/>
      <w:bookmarkEnd w:id="4327"/>
      <w:bookmarkEnd w:id="4328"/>
      <w:bookmarkEnd w:id="4329"/>
      <w:bookmarkEnd w:id="4330"/>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p>
    <w:p w:rsidR="00C35BC5" w:rsidRPr="00565E0D" w:rsidRDefault="00C35BC5" w:rsidP="00552BE1">
      <w:pPr>
        <w:snapToGrid w:val="0"/>
        <w:spacing w:line="360" w:lineRule="auto"/>
        <w:ind w:firstLine="640"/>
        <w:rPr>
          <w:rFonts w:asciiTheme="minorEastAsia" w:eastAsiaTheme="minorEastAsia" w:hAnsiTheme="minorEastAsia"/>
          <w:szCs w:val="21"/>
        </w:rPr>
        <w:sectPr w:rsidR="00C35BC5" w:rsidRPr="00565E0D" w:rsidSect="002A0168">
          <w:pgSz w:w="11906" w:h="16838" w:code="9"/>
          <w:pgMar w:top="1440" w:right="1800" w:bottom="1440" w:left="1800" w:header="851" w:footer="992" w:gutter="0"/>
          <w:cols w:space="425"/>
          <w:docGrid w:type="lines" w:linePitch="312"/>
        </w:sectPr>
      </w:pP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Cs/>
        </w:rPr>
      </w:pPr>
      <w:bookmarkStart w:id="4349" w:name="_Toc38551277"/>
      <w:r w:rsidRPr="00565E0D">
        <w:rPr>
          <w:rFonts w:asciiTheme="minorEastAsia" w:eastAsiaTheme="minorEastAsia" w:hAnsiTheme="minorEastAsia" w:hint="eastAsia"/>
          <w:b/>
          <w:bCs/>
        </w:rPr>
        <w:lastRenderedPageBreak/>
        <w:t>二十五、招募说明书存放及查阅方式</w:t>
      </w:r>
      <w:bookmarkEnd w:id="4349"/>
    </w:p>
    <w:p w:rsidR="00C35BC5" w:rsidRPr="00565E0D" w:rsidRDefault="00C35BC5" w:rsidP="00552BE1">
      <w:pPr>
        <w:snapToGrid w:val="0"/>
        <w:spacing w:line="360" w:lineRule="auto"/>
        <w:ind w:firstLine="480"/>
        <w:rPr>
          <w:rFonts w:asciiTheme="minorEastAsia" w:eastAsiaTheme="minorEastAsia" w:hAnsiTheme="minorEastAsia"/>
          <w:szCs w:val="21"/>
        </w:rPr>
      </w:pPr>
      <w:r w:rsidRPr="00565E0D">
        <w:rPr>
          <w:rFonts w:asciiTheme="minorEastAsia" w:eastAsiaTheme="minorEastAsia" w:hAnsiTheme="minorEastAsia" w:hint="eastAsia"/>
          <w:szCs w:val="21"/>
        </w:rPr>
        <w:t>本《招募说明书》存放在基金管理人、基金托管人及基金</w:t>
      </w:r>
      <w:r w:rsidR="00146A02" w:rsidRPr="00565E0D">
        <w:rPr>
          <w:rFonts w:asciiTheme="minorEastAsia" w:eastAsiaTheme="minorEastAsia" w:hAnsiTheme="minorEastAsia" w:hint="eastAsia"/>
          <w:szCs w:val="21"/>
        </w:rPr>
        <w:t>销售</w:t>
      </w:r>
      <w:r w:rsidRPr="00565E0D">
        <w:rPr>
          <w:rFonts w:asciiTheme="minorEastAsia" w:eastAsiaTheme="minorEastAsia" w:hAnsiTheme="minorEastAsia" w:hint="eastAsia"/>
          <w:szCs w:val="21"/>
        </w:rPr>
        <w:t>机构住所，投资者可在营业时间免费查阅，也可按工本费购买复印件。</w:t>
      </w:r>
      <w:r w:rsidRPr="00565E0D">
        <w:rPr>
          <w:rFonts w:asciiTheme="minorEastAsia" w:eastAsiaTheme="minorEastAsia" w:hAnsiTheme="minorEastAsia"/>
        </w:rPr>
        <w:t>基金管理人和基金托管人保证</w:t>
      </w:r>
      <w:r w:rsidRPr="00565E0D">
        <w:rPr>
          <w:rFonts w:asciiTheme="minorEastAsia" w:eastAsiaTheme="minorEastAsia" w:hAnsiTheme="minorEastAsia" w:hint="eastAsia"/>
        </w:rPr>
        <w:t>其所提供的</w:t>
      </w:r>
      <w:r w:rsidRPr="00565E0D">
        <w:rPr>
          <w:rFonts w:asciiTheme="minorEastAsia" w:eastAsiaTheme="minorEastAsia" w:hAnsiTheme="minorEastAsia"/>
        </w:rPr>
        <w:t>文本的内容与所公告的内容完全一致。</w:t>
      </w:r>
    </w:p>
    <w:p w:rsidR="00C35BC5" w:rsidRPr="00565E0D" w:rsidRDefault="00C35BC5" w:rsidP="00B5132A">
      <w:pPr>
        <w:pStyle w:val="1"/>
        <w:snapToGrid w:val="0"/>
        <w:spacing w:beforeLines="0" w:afterLines="0" w:line="360" w:lineRule="auto"/>
        <w:ind w:firstLine="643"/>
        <w:rPr>
          <w:rFonts w:asciiTheme="minorEastAsia" w:eastAsiaTheme="minorEastAsia" w:hAnsiTheme="minorEastAsia"/>
          <w:b/>
          <w:szCs w:val="21"/>
        </w:rPr>
      </w:pPr>
      <w:r w:rsidRPr="00565E0D">
        <w:rPr>
          <w:rFonts w:asciiTheme="minorEastAsia" w:eastAsiaTheme="minorEastAsia" w:hAnsiTheme="minorEastAsia"/>
          <w:b/>
        </w:rPr>
        <w:br w:type="page"/>
      </w:r>
      <w:bookmarkStart w:id="4350" w:name="_Toc38551278"/>
      <w:r w:rsidRPr="00565E0D">
        <w:rPr>
          <w:rFonts w:asciiTheme="minorEastAsia" w:eastAsiaTheme="minorEastAsia" w:hAnsiTheme="minorEastAsia" w:hint="eastAsia"/>
          <w:b/>
        </w:rPr>
        <w:lastRenderedPageBreak/>
        <w:t>二十六、备查文件</w:t>
      </w:r>
      <w:bookmarkEnd w:id="4350"/>
    </w:p>
    <w:p w:rsidR="00C35BC5" w:rsidRPr="00565E0D" w:rsidRDefault="00C35BC5" w:rsidP="00552BE1">
      <w:pPr>
        <w:pStyle w:val="ad"/>
        <w:autoSpaceDE w:val="0"/>
        <w:autoSpaceDN w:val="0"/>
        <w:adjustRightInd w:val="0"/>
        <w:snapToGrid w:val="0"/>
        <w:spacing w:after="0" w:line="360" w:lineRule="auto"/>
        <w:ind w:firstLineChars="0"/>
        <w:rPr>
          <w:rFonts w:asciiTheme="minorEastAsia" w:eastAsiaTheme="minorEastAsia" w:hAnsiTheme="minorEastAsia"/>
        </w:rPr>
      </w:pPr>
      <w:r w:rsidRPr="00565E0D">
        <w:rPr>
          <w:rFonts w:asciiTheme="minorEastAsia" w:eastAsiaTheme="minorEastAsia" w:hAnsiTheme="minorEastAsia" w:hint="eastAsia"/>
        </w:rPr>
        <w:t>1</w:t>
      </w:r>
      <w:r w:rsidR="00016F1C" w:rsidRPr="00565E0D">
        <w:rPr>
          <w:rFonts w:asciiTheme="minorEastAsia" w:eastAsiaTheme="minorEastAsia" w:hAnsiTheme="minorEastAsia" w:hint="eastAsia"/>
        </w:rPr>
        <w:t>、</w:t>
      </w:r>
      <w:r w:rsidRPr="00565E0D">
        <w:rPr>
          <w:rFonts w:asciiTheme="minorEastAsia" w:eastAsiaTheme="minorEastAsia" w:hAnsiTheme="minorEastAsia" w:hint="eastAsia"/>
        </w:rPr>
        <w:t>中国证监会核准易方达价值成长混合型证券投资基金募集的文件；</w:t>
      </w:r>
    </w:p>
    <w:p w:rsidR="00C35BC5" w:rsidRPr="00565E0D" w:rsidRDefault="00C35BC5" w:rsidP="00552BE1">
      <w:pPr>
        <w:pStyle w:val="ad"/>
        <w:autoSpaceDE w:val="0"/>
        <w:autoSpaceDN w:val="0"/>
        <w:adjustRightInd w:val="0"/>
        <w:snapToGrid w:val="0"/>
        <w:spacing w:after="0" w:line="360" w:lineRule="auto"/>
        <w:ind w:firstLineChars="0"/>
        <w:rPr>
          <w:rFonts w:asciiTheme="minorEastAsia" w:eastAsiaTheme="minorEastAsia" w:hAnsiTheme="minorEastAsia"/>
        </w:rPr>
      </w:pPr>
      <w:r w:rsidRPr="00565E0D">
        <w:rPr>
          <w:rFonts w:asciiTheme="minorEastAsia" w:eastAsiaTheme="minorEastAsia" w:hAnsiTheme="minorEastAsia" w:hint="eastAsia"/>
        </w:rPr>
        <w:t>2</w:t>
      </w:r>
      <w:r w:rsidR="00016F1C" w:rsidRPr="00565E0D">
        <w:rPr>
          <w:rFonts w:asciiTheme="minorEastAsia" w:eastAsiaTheme="minorEastAsia" w:hAnsiTheme="minorEastAsia" w:hint="eastAsia"/>
        </w:rPr>
        <w:t>、</w:t>
      </w:r>
      <w:r w:rsidRPr="00565E0D">
        <w:rPr>
          <w:rFonts w:asciiTheme="minorEastAsia" w:eastAsiaTheme="minorEastAsia" w:hAnsiTheme="minorEastAsia" w:hint="eastAsia"/>
        </w:rPr>
        <w:t>《易方达价值成长混合型证券投资基金基金合同》；</w:t>
      </w:r>
    </w:p>
    <w:p w:rsidR="00C35BC5" w:rsidRPr="00565E0D" w:rsidRDefault="00C35BC5" w:rsidP="00552BE1">
      <w:pPr>
        <w:pStyle w:val="ad"/>
        <w:autoSpaceDE w:val="0"/>
        <w:autoSpaceDN w:val="0"/>
        <w:adjustRightInd w:val="0"/>
        <w:snapToGrid w:val="0"/>
        <w:spacing w:after="0" w:line="360" w:lineRule="auto"/>
        <w:ind w:firstLineChars="0"/>
        <w:rPr>
          <w:rFonts w:asciiTheme="minorEastAsia" w:eastAsiaTheme="minorEastAsia" w:hAnsiTheme="minorEastAsia"/>
        </w:rPr>
      </w:pPr>
      <w:r w:rsidRPr="00565E0D">
        <w:rPr>
          <w:rFonts w:asciiTheme="minorEastAsia" w:eastAsiaTheme="minorEastAsia" w:hAnsiTheme="minorEastAsia" w:hint="eastAsia"/>
        </w:rPr>
        <w:t>3</w:t>
      </w:r>
      <w:r w:rsidR="00016F1C" w:rsidRPr="00565E0D">
        <w:rPr>
          <w:rFonts w:asciiTheme="minorEastAsia" w:eastAsiaTheme="minorEastAsia" w:hAnsiTheme="minorEastAsia" w:hint="eastAsia"/>
        </w:rPr>
        <w:t>、</w:t>
      </w:r>
      <w:r w:rsidRPr="00565E0D">
        <w:rPr>
          <w:rFonts w:asciiTheme="minorEastAsia" w:eastAsiaTheme="minorEastAsia" w:hAnsiTheme="minorEastAsia" w:hint="eastAsia"/>
        </w:rPr>
        <w:t>《易方达基金管理有限公司开放式基金业务规则》；</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4</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《易方达价值成长混合型证券投资基金托管协议》；</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rPr>
        <w:t>5</w:t>
      </w:r>
      <w:r w:rsidR="00016F1C" w:rsidRPr="00565E0D">
        <w:rPr>
          <w:rFonts w:asciiTheme="minorEastAsia" w:eastAsiaTheme="minorEastAsia" w:hAnsiTheme="minorEastAsia" w:hint="eastAsia"/>
        </w:rPr>
        <w:t>、</w:t>
      </w:r>
      <w:r w:rsidRPr="00565E0D">
        <w:rPr>
          <w:rFonts w:asciiTheme="minorEastAsia" w:eastAsiaTheme="minorEastAsia" w:hAnsiTheme="minorEastAsia" w:hint="eastAsia"/>
        </w:rPr>
        <w:t>法律意见书；</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6</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基金管理人业务资格批件和营业执照；</w:t>
      </w:r>
    </w:p>
    <w:p w:rsidR="00C35BC5" w:rsidRPr="00565E0D" w:rsidRDefault="00C35BC5" w:rsidP="00552BE1">
      <w:pPr>
        <w:snapToGrid w:val="0"/>
        <w:spacing w:line="360" w:lineRule="auto"/>
        <w:ind w:firstLine="420"/>
        <w:rPr>
          <w:rFonts w:asciiTheme="minorEastAsia" w:eastAsiaTheme="minorEastAsia" w:hAnsiTheme="minorEastAsia"/>
          <w:szCs w:val="21"/>
        </w:rPr>
      </w:pPr>
      <w:r w:rsidRPr="00565E0D">
        <w:rPr>
          <w:rFonts w:asciiTheme="minorEastAsia" w:eastAsiaTheme="minorEastAsia" w:hAnsiTheme="minorEastAsia" w:hint="eastAsia"/>
          <w:szCs w:val="21"/>
        </w:rPr>
        <w:t>7</w:t>
      </w:r>
      <w:r w:rsidR="00016F1C" w:rsidRPr="00565E0D">
        <w:rPr>
          <w:rFonts w:asciiTheme="minorEastAsia" w:eastAsiaTheme="minorEastAsia" w:hAnsiTheme="minorEastAsia" w:hint="eastAsia"/>
          <w:szCs w:val="21"/>
        </w:rPr>
        <w:t>、</w:t>
      </w:r>
      <w:r w:rsidRPr="00565E0D">
        <w:rPr>
          <w:rFonts w:asciiTheme="minorEastAsia" w:eastAsiaTheme="minorEastAsia" w:hAnsiTheme="minorEastAsia" w:hint="eastAsia"/>
          <w:szCs w:val="21"/>
        </w:rPr>
        <w:t>基金托管人业务资格批</w:t>
      </w:r>
      <w:bookmarkStart w:id="4351" w:name="_GoBack"/>
      <w:bookmarkEnd w:id="4351"/>
      <w:r w:rsidRPr="00565E0D">
        <w:rPr>
          <w:rFonts w:asciiTheme="minorEastAsia" w:eastAsiaTheme="minorEastAsia" w:hAnsiTheme="minorEastAsia" w:hint="eastAsia"/>
          <w:szCs w:val="21"/>
        </w:rPr>
        <w:t>件和营业执照。</w:t>
      </w:r>
    </w:p>
    <w:p w:rsidR="00C35BC5" w:rsidRPr="00565E0D" w:rsidRDefault="00C35BC5" w:rsidP="00552BE1">
      <w:pPr>
        <w:snapToGrid w:val="0"/>
        <w:spacing w:line="360" w:lineRule="auto"/>
        <w:ind w:firstLineChars="200" w:firstLine="420"/>
        <w:rPr>
          <w:rFonts w:asciiTheme="minorEastAsia" w:eastAsiaTheme="minorEastAsia" w:hAnsiTheme="minorEastAsia"/>
        </w:rPr>
      </w:pPr>
      <w:r w:rsidRPr="00565E0D">
        <w:rPr>
          <w:rFonts w:asciiTheme="minorEastAsia" w:eastAsiaTheme="minorEastAsia" w:hAnsiTheme="minorEastAsia" w:hint="eastAsia"/>
        </w:rPr>
        <w:t>存放地点：基金管理人、基金托管人处</w:t>
      </w:r>
    </w:p>
    <w:p w:rsidR="00C35BC5" w:rsidRPr="00565E0D" w:rsidRDefault="00C35BC5" w:rsidP="00552BE1">
      <w:pPr>
        <w:snapToGrid w:val="0"/>
        <w:spacing w:line="360" w:lineRule="auto"/>
        <w:ind w:firstLineChars="200" w:firstLine="420"/>
        <w:rPr>
          <w:rFonts w:asciiTheme="minorEastAsia" w:eastAsiaTheme="minorEastAsia" w:hAnsiTheme="minorEastAsia"/>
          <w:szCs w:val="21"/>
        </w:rPr>
      </w:pPr>
      <w:r w:rsidRPr="00565E0D">
        <w:rPr>
          <w:rFonts w:asciiTheme="minorEastAsia" w:eastAsiaTheme="minorEastAsia" w:hAnsiTheme="minorEastAsia" w:hint="eastAsia"/>
        </w:rPr>
        <w:t>查阅方式：投资者可在营业时间免费查阅，也可按工本费购买复印件。</w:t>
      </w:r>
    </w:p>
    <w:p w:rsidR="00C35BC5" w:rsidRPr="00565E0D" w:rsidRDefault="00C35BC5" w:rsidP="00552BE1">
      <w:pPr>
        <w:snapToGrid w:val="0"/>
        <w:spacing w:line="360" w:lineRule="auto"/>
        <w:ind w:left="480"/>
        <w:rPr>
          <w:rFonts w:asciiTheme="minorEastAsia" w:eastAsiaTheme="minorEastAsia" w:hAnsiTheme="minorEastAsia"/>
          <w:szCs w:val="21"/>
        </w:rPr>
      </w:pPr>
    </w:p>
    <w:p w:rsidR="00C35BC5" w:rsidRPr="00565E0D" w:rsidRDefault="00C35BC5" w:rsidP="00552BE1">
      <w:pPr>
        <w:snapToGrid w:val="0"/>
        <w:spacing w:line="360" w:lineRule="auto"/>
        <w:ind w:left="480"/>
        <w:rPr>
          <w:rFonts w:asciiTheme="minorEastAsia" w:eastAsiaTheme="minorEastAsia" w:hAnsiTheme="minorEastAsia"/>
          <w:szCs w:val="21"/>
        </w:rPr>
      </w:pPr>
    </w:p>
    <w:p w:rsidR="0098488E" w:rsidRPr="00565E0D" w:rsidRDefault="0098488E" w:rsidP="00552BE1">
      <w:pPr>
        <w:snapToGrid w:val="0"/>
        <w:spacing w:line="360" w:lineRule="auto"/>
        <w:ind w:left="360" w:firstLine="480"/>
        <w:jc w:val="right"/>
        <w:rPr>
          <w:rFonts w:asciiTheme="minorEastAsia" w:eastAsiaTheme="minorEastAsia" w:hAnsiTheme="minorEastAsia"/>
        </w:rPr>
      </w:pPr>
      <w:bookmarkStart w:id="4352" w:name="_PictureBullets"/>
      <w:bookmarkEnd w:id="4352"/>
      <w:r w:rsidRPr="00565E0D">
        <w:rPr>
          <w:rFonts w:asciiTheme="minorEastAsia" w:eastAsiaTheme="minorEastAsia" w:hAnsiTheme="minorEastAsia" w:hint="eastAsia"/>
        </w:rPr>
        <w:t>易方达基金管理有限公司</w:t>
      </w:r>
    </w:p>
    <w:p w:rsidR="002A0168" w:rsidRPr="00565E0D" w:rsidRDefault="007417EC" w:rsidP="00552BE1">
      <w:pPr>
        <w:snapToGrid w:val="0"/>
        <w:spacing w:line="360" w:lineRule="auto"/>
        <w:ind w:right="315"/>
        <w:jc w:val="right"/>
        <w:rPr>
          <w:rFonts w:asciiTheme="minorEastAsia" w:eastAsiaTheme="minorEastAsia" w:hAnsiTheme="minorEastAsia"/>
        </w:rPr>
      </w:pPr>
      <w:r w:rsidRPr="00565E0D">
        <w:rPr>
          <w:rFonts w:asciiTheme="minorEastAsia" w:eastAsiaTheme="minorEastAsia" w:hAnsiTheme="minorEastAsia"/>
        </w:rPr>
        <w:t>2020年</w:t>
      </w:r>
      <w:r w:rsidR="00F266E3" w:rsidRPr="00565E0D">
        <w:rPr>
          <w:rFonts w:asciiTheme="minorEastAsia" w:eastAsiaTheme="minorEastAsia" w:hAnsiTheme="minorEastAsia"/>
        </w:rPr>
        <w:t>7</w:t>
      </w:r>
      <w:r w:rsidRPr="00565E0D">
        <w:rPr>
          <w:rFonts w:asciiTheme="minorEastAsia" w:eastAsiaTheme="minorEastAsia" w:hAnsiTheme="minorEastAsia"/>
        </w:rPr>
        <w:t>月</w:t>
      </w:r>
      <w:r w:rsidR="00F266E3" w:rsidRPr="00565E0D">
        <w:rPr>
          <w:rFonts w:asciiTheme="minorEastAsia" w:eastAsiaTheme="minorEastAsia" w:hAnsiTheme="minorEastAsia"/>
        </w:rPr>
        <w:t>15</w:t>
      </w:r>
      <w:r w:rsidRPr="00565E0D">
        <w:rPr>
          <w:rFonts w:asciiTheme="minorEastAsia" w:eastAsiaTheme="minorEastAsia" w:hAnsiTheme="minorEastAsia"/>
        </w:rPr>
        <w:t>日</w:t>
      </w:r>
    </w:p>
    <w:sectPr w:rsidR="002A0168" w:rsidRPr="00565E0D" w:rsidSect="002A0168">
      <w:pgSz w:w="11906" w:h="16838" w:code="9"/>
      <w:pgMar w:top="1440" w:right="1800" w:bottom="1440" w:left="1800"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425" w:rsidRDefault="00BE4425">
      <w:r>
        <w:separator/>
      </w:r>
    </w:p>
  </w:endnote>
  <w:endnote w:type="continuationSeparator" w:id="0">
    <w:p w:rsidR="00BE4425" w:rsidRDefault="00BE44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TT64E9BFA0tCID-WinCharSetFFFF-H">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C9" w:rsidRDefault="001924C9" w:rsidP="002A0168">
    <w:pPr>
      <w:pStyle w:val="a6"/>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end"/>
    </w:r>
  </w:p>
  <w:p w:rsidR="001924C9" w:rsidRDefault="001924C9" w:rsidP="002A0168">
    <w:pPr>
      <w:pStyle w:val="a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C9" w:rsidRDefault="001924C9">
    <w:pPr>
      <w:pStyle w:val="a6"/>
      <w:ind w:rightChars="171" w:right="359" w:firstLine="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C9" w:rsidRDefault="001924C9" w:rsidP="002A0168">
    <w:pPr>
      <w:pStyle w:val="a6"/>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C9" w:rsidRDefault="001924C9" w:rsidP="002A0168">
    <w:pPr>
      <w:pStyle w:val="a6"/>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separate"/>
    </w:r>
    <w:r w:rsidR="00565E0D">
      <w:rPr>
        <w:rStyle w:val="a5"/>
        <w:noProof/>
      </w:rPr>
      <w:t>156</w:t>
    </w:r>
    <w:r>
      <w:rPr>
        <w:rStyle w:val="a5"/>
      </w:rPr>
      <w:fldChar w:fldCharType="end"/>
    </w:r>
  </w:p>
  <w:p w:rsidR="001924C9" w:rsidRDefault="001924C9">
    <w:pPr>
      <w:pStyle w:val="a6"/>
      <w:ind w:rightChars="171" w:right="359"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425" w:rsidRDefault="00BE4425">
      <w:r>
        <w:separator/>
      </w:r>
    </w:p>
  </w:footnote>
  <w:footnote w:type="continuationSeparator" w:id="0">
    <w:p w:rsidR="00BE4425" w:rsidRDefault="00BE44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C9" w:rsidRDefault="001924C9" w:rsidP="002A0168">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C9" w:rsidRPr="00D31A2E" w:rsidRDefault="001924C9" w:rsidP="005364CC">
    <w:pPr>
      <w:pStyle w:val="a4"/>
      <w:pBdr>
        <w:bottom w:val="none" w:sz="0" w:space="0" w:color="auto"/>
      </w:pBdr>
      <w:ind w:firstLineChars="0" w:firstLine="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C9" w:rsidRPr="004B7993" w:rsidRDefault="001924C9" w:rsidP="002A0168">
    <w:pPr>
      <w:pStyle w:val="a4"/>
      <w:pBdr>
        <w:bottom w:val="none" w:sz="0" w:space="0" w:color="auto"/>
      </w:pBdr>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4C9" w:rsidRPr="004B7993" w:rsidRDefault="001924C9" w:rsidP="002A0168">
    <w:pPr>
      <w:pStyle w:val="a4"/>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D2D3E"/>
    <w:multiLevelType w:val="singleLevel"/>
    <w:tmpl w:val="8A62539A"/>
    <w:lvl w:ilvl="0">
      <w:start w:val="1"/>
      <w:numFmt w:val="decimal"/>
      <w:lvlText w:val="(%1)"/>
      <w:lvlJc w:val="left"/>
      <w:pPr>
        <w:tabs>
          <w:tab w:val="num" w:pos="425"/>
        </w:tabs>
        <w:ind w:left="425" w:hanging="425"/>
      </w:pPr>
      <w:rPr>
        <w:rFonts w:ascii="宋体" w:eastAsia="宋体" w:hint="eastAsia"/>
        <w:b w:val="0"/>
        <w:i w:val="0"/>
        <w:sz w:val="21"/>
      </w:rPr>
    </w:lvl>
  </w:abstractNum>
  <w:abstractNum w:abstractNumId="1" w15:restartNumberingAfterBreak="0">
    <w:nsid w:val="0A796814"/>
    <w:multiLevelType w:val="hybridMultilevel"/>
    <w:tmpl w:val="1B887B5C"/>
    <w:lvl w:ilvl="0" w:tplc="9786957A">
      <w:start w:val="1"/>
      <w:numFmt w:val="decimal"/>
      <w:lvlText w:val="（%1）"/>
      <w:lvlJc w:val="left"/>
      <w:pPr>
        <w:ind w:left="840" w:hanging="420"/>
      </w:pPr>
      <w:rPr>
        <w:rFonts w:ascii="Arial" w:hAnsi="Arial" w:cs="Arial" w:hint="default"/>
      </w:rPr>
    </w:lvl>
    <w:lvl w:ilvl="1" w:tplc="04090019" w:tentative="1">
      <w:start w:val="1"/>
      <w:numFmt w:val="lowerLetter"/>
      <w:lvlText w:val="%2)"/>
      <w:lvlJc w:val="left"/>
      <w:pPr>
        <w:ind w:left="1260" w:hanging="420"/>
      </w:pPr>
    </w:lvl>
    <w:lvl w:ilvl="2" w:tplc="0409001B">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107B66C2"/>
    <w:multiLevelType w:val="hybridMultilevel"/>
    <w:tmpl w:val="AF60A81A"/>
    <w:lvl w:ilvl="0" w:tplc="BC6290D8">
      <w:start w:val="1"/>
      <w:numFmt w:val="decimal"/>
      <w:lvlText w:val="（%1）"/>
      <w:lvlJc w:val="left"/>
      <w:pPr>
        <w:tabs>
          <w:tab w:val="num" w:pos="1129"/>
        </w:tabs>
        <w:ind w:left="1129" w:hanging="420"/>
      </w:pPr>
      <w:rPr>
        <w:rFonts w:hint="eastAsia"/>
      </w:rPr>
    </w:lvl>
    <w:lvl w:ilvl="1" w:tplc="04090019" w:tentative="1">
      <w:start w:val="1"/>
      <w:numFmt w:val="lowerLetter"/>
      <w:lvlText w:val="%2)"/>
      <w:lvlJc w:val="left"/>
      <w:pPr>
        <w:tabs>
          <w:tab w:val="num" w:pos="1549"/>
        </w:tabs>
        <w:ind w:left="1549" w:hanging="420"/>
      </w:pPr>
    </w:lvl>
    <w:lvl w:ilvl="2" w:tplc="0409001B" w:tentative="1">
      <w:start w:val="1"/>
      <w:numFmt w:val="lowerRoman"/>
      <w:lvlText w:val="%3."/>
      <w:lvlJc w:val="right"/>
      <w:pPr>
        <w:tabs>
          <w:tab w:val="num" w:pos="1969"/>
        </w:tabs>
        <w:ind w:left="1969" w:hanging="420"/>
      </w:pPr>
    </w:lvl>
    <w:lvl w:ilvl="3" w:tplc="0409000F" w:tentative="1">
      <w:start w:val="1"/>
      <w:numFmt w:val="decimal"/>
      <w:lvlText w:val="%4."/>
      <w:lvlJc w:val="left"/>
      <w:pPr>
        <w:tabs>
          <w:tab w:val="num" w:pos="2389"/>
        </w:tabs>
        <w:ind w:left="2389" w:hanging="420"/>
      </w:pPr>
    </w:lvl>
    <w:lvl w:ilvl="4" w:tplc="04090019" w:tentative="1">
      <w:start w:val="1"/>
      <w:numFmt w:val="lowerLetter"/>
      <w:lvlText w:val="%5)"/>
      <w:lvlJc w:val="left"/>
      <w:pPr>
        <w:tabs>
          <w:tab w:val="num" w:pos="2809"/>
        </w:tabs>
        <w:ind w:left="2809" w:hanging="420"/>
      </w:pPr>
    </w:lvl>
    <w:lvl w:ilvl="5" w:tplc="0409001B" w:tentative="1">
      <w:start w:val="1"/>
      <w:numFmt w:val="lowerRoman"/>
      <w:lvlText w:val="%6."/>
      <w:lvlJc w:val="right"/>
      <w:pPr>
        <w:tabs>
          <w:tab w:val="num" w:pos="3229"/>
        </w:tabs>
        <w:ind w:left="3229" w:hanging="420"/>
      </w:pPr>
    </w:lvl>
    <w:lvl w:ilvl="6" w:tplc="0409000F" w:tentative="1">
      <w:start w:val="1"/>
      <w:numFmt w:val="decimal"/>
      <w:lvlText w:val="%7."/>
      <w:lvlJc w:val="left"/>
      <w:pPr>
        <w:tabs>
          <w:tab w:val="num" w:pos="3649"/>
        </w:tabs>
        <w:ind w:left="3649" w:hanging="420"/>
      </w:pPr>
    </w:lvl>
    <w:lvl w:ilvl="7" w:tplc="04090019" w:tentative="1">
      <w:start w:val="1"/>
      <w:numFmt w:val="lowerLetter"/>
      <w:lvlText w:val="%8)"/>
      <w:lvlJc w:val="left"/>
      <w:pPr>
        <w:tabs>
          <w:tab w:val="num" w:pos="4069"/>
        </w:tabs>
        <w:ind w:left="4069" w:hanging="420"/>
      </w:pPr>
    </w:lvl>
    <w:lvl w:ilvl="8" w:tplc="0409001B" w:tentative="1">
      <w:start w:val="1"/>
      <w:numFmt w:val="lowerRoman"/>
      <w:lvlText w:val="%9."/>
      <w:lvlJc w:val="right"/>
      <w:pPr>
        <w:tabs>
          <w:tab w:val="num" w:pos="4489"/>
        </w:tabs>
        <w:ind w:left="4489" w:hanging="420"/>
      </w:pPr>
    </w:lvl>
  </w:abstractNum>
  <w:abstractNum w:abstractNumId="3" w15:restartNumberingAfterBreak="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4" w15:restartNumberingAfterBreak="0">
    <w:nsid w:val="1CA634EB"/>
    <w:multiLevelType w:val="hybridMultilevel"/>
    <w:tmpl w:val="9AF898BA"/>
    <w:lvl w:ilvl="0" w:tplc="D8BC2774">
      <w:start w:val="1"/>
      <w:numFmt w:val="decimal"/>
      <w:lvlText w:val="%1."/>
      <w:lvlJc w:val="left"/>
      <w:pPr>
        <w:tabs>
          <w:tab w:val="num" w:pos="0"/>
        </w:tabs>
        <w:ind w:left="420" w:firstLine="0"/>
      </w:pPr>
      <w:rPr>
        <w:rFonts w:ascii="宋体" w:eastAsia="宋体" w:hAnsi="宋体"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5" w15:restartNumberingAfterBreak="0">
    <w:nsid w:val="2359552A"/>
    <w:multiLevelType w:val="hybridMultilevel"/>
    <w:tmpl w:val="66A8970E"/>
    <w:lvl w:ilvl="0" w:tplc="FEC445EE">
      <w:start w:val="1"/>
      <w:numFmt w:val="decimal"/>
      <w:lvlText w:val="%1、"/>
      <w:lvlJc w:val="left"/>
      <w:pPr>
        <w:tabs>
          <w:tab w:val="num" w:pos="900"/>
        </w:tabs>
        <w:ind w:left="900" w:hanging="420"/>
      </w:pPr>
      <w:rPr>
        <w:rFonts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6" w15:restartNumberingAfterBreak="0">
    <w:nsid w:val="239E2F0F"/>
    <w:multiLevelType w:val="multilevel"/>
    <w:tmpl w:val="97B69774"/>
    <w:lvl w:ilvl="0">
      <w:start w:val="1"/>
      <w:numFmt w:val="chineseCountingThousand"/>
      <w:suff w:val="space"/>
      <w:lvlText w:val="%1、"/>
      <w:lvlJc w:val="left"/>
      <w:pPr>
        <w:ind w:left="0" w:firstLine="0"/>
      </w:pPr>
      <w:rPr>
        <w:rFonts w:hint="eastAsia"/>
      </w:rPr>
    </w:lvl>
    <w:lvl w:ilvl="1">
      <w:start w:val="1"/>
      <w:numFmt w:val="chineseCountingThousand"/>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pStyle w:val="4"/>
      <w:suff w:val="nothing"/>
      <w:lvlText w:val=""/>
      <w:lvlJc w:val="left"/>
      <w:pPr>
        <w:ind w:left="851" w:firstLine="0"/>
      </w:pPr>
      <w:rPr>
        <w:rFonts w:hint="eastAsia"/>
      </w:rPr>
    </w:lvl>
    <w:lvl w:ilvl="4">
      <w:start w:val="1"/>
      <w:numFmt w:val="none"/>
      <w:pStyle w:val="5"/>
      <w:suff w:val="nothing"/>
      <w:lvlText w:val=""/>
      <w:lvlJc w:val="left"/>
      <w:pPr>
        <w:ind w:left="851" w:firstLine="0"/>
      </w:pPr>
      <w:rPr>
        <w:rFonts w:hint="eastAsia"/>
      </w:rPr>
    </w:lvl>
    <w:lvl w:ilvl="5">
      <w:start w:val="1"/>
      <w:numFmt w:val="none"/>
      <w:pStyle w:val="6"/>
      <w:suff w:val="nothing"/>
      <w:lvlText w:val=""/>
      <w:lvlJc w:val="left"/>
      <w:pPr>
        <w:ind w:left="851" w:firstLine="0"/>
      </w:pPr>
      <w:rPr>
        <w:rFonts w:hint="eastAsia"/>
      </w:rPr>
    </w:lvl>
    <w:lvl w:ilvl="6">
      <w:start w:val="1"/>
      <w:numFmt w:val="none"/>
      <w:pStyle w:val="7"/>
      <w:suff w:val="nothing"/>
      <w:lvlText w:val=""/>
      <w:lvlJc w:val="left"/>
      <w:pPr>
        <w:ind w:left="851" w:firstLine="0"/>
      </w:pPr>
      <w:rPr>
        <w:rFonts w:hint="eastAsia"/>
      </w:rPr>
    </w:lvl>
    <w:lvl w:ilvl="7">
      <w:start w:val="1"/>
      <w:numFmt w:val="none"/>
      <w:pStyle w:val="8"/>
      <w:suff w:val="nothing"/>
      <w:lvlText w:val=""/>
      <w:lvlJc w:val="left"/>
      <w:pPr>
        <w:ind w:left="851" w:firstLine="0"/>
      </w:pPr>
      <w:rPr>
        <w:rFonts w:hint="eastAsia"/>
      </w:rPr>
    </w:lvl>
    <w:lvl w:ilvl="8">
      <w:start w:val="1"/>
      <w:numFmt w:val="none"/>
      <w:pStyle w:val="9"/>
      <w:suff w:val="nothing"/>
      <w:lvlText w:val=""/>
      <w:lvlJc w:val="left"/>
      <w:pPr>
        <w:ind w:left="851" w:firstLine="0"/>
      </w:pPr>
      <w:rPr>
        <w:rFonts w:hint="eastAsia"/>
      </w:rPr>
    </w:lvl>
  </w:abstractNum>
  <w:abstractNum w:abstractNumId="7" w15:restartNumberingAfterBreak="0">
    <w:nsid w:val="278F45CC"/>
    <w:multiLevelType w:val="hybridMultilevel"/>
    <w:tmpl w:val="A6E08A26"/>
    <w:lvl w:ilvl="0" w:tplc="04090007">
      <w:start w:val="1"/>
      <w:numFmt w:val="bullet"/>
      <w:lvlText w:val=""/>
      <w:lvlJc w:val="left"/>
      <w:pPr>
        <w:tabs>
          <w:tab w:val="num" w:pos="420"/>
        </w:tabs>
        <w:ind w:left="420" w:hanging="420"/>
      </w:pPr>
      <w:rPr>
        <w:rFonts w:ascii="Wingdings" w:hAnsi="Wingdings" w:hint="default"/>
        <w:sz w:val="16"/>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82A7BFB"/>
    <w:multiLevelType w:val="hybridMultilevel"/>
    <w:tmpl w:val="12883FF2"/>
    <w:lvl w:ilvl="0" w:tplc="FEC445EE">
      <w:start w:val="1"/>
      <w:numFmt w:val="decimal"/>
      <w:lvlText w:val="%1、"/>
      <w:lvlJc w:val="left"/>
      <w:pPr>
        <w:tabs>
          <w:tab w:val="num" w:pos="360"/>
        </w:tabs>
        <w:ind w:left="360" w:hanging="360"/>
      </w:pPr>
      <w:rPr>
        <w:rFonts w:hint="default"/>
      </w:rPr>
    </w:lvl>
    <w:lvl w:ilvl="1" w:tplc="6326279E">
      <w:start w:val="24"/>
      <w:numFmt w:val="decimal"/>
      <w:lvlText w:val="（%2）"/>
      <w:lvlJc w:val="left"/>
      <w:pPr>
        <w:tabs>
          <w:tab w:val="num" w:pos="1260"/>
        </w:tabs>
        <w:ind w:left="1260" w:hanging="84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29BB16E9"/>
    <w:multiLevelType w:val="hybridMultilevel"/>
    <w:tmpl w:val="565C7C54"/>
    <w:lvl w:ilvl="0" w:tplc="2E1C3436">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CB424B5"/>
    <w:multiLevelType w:val="hybridMultilevel"/>
    <w:tmpl w:val="C714E742"/>
    <w:lvl w:ilvl="0" w:tplc="04090007">
      <w:start w:val="1"/>
      <w:numFmt w:val="bullet"/>
      <w:lvlText w:val=""/>
      <w:lvlJc w:val="left"/>
      <w:pPr>
        <w:tabs>
          <w:tab w:val="num" w:pos="420"/>
        </w:tabs>
        <w:ind w:left="420" w:hanging="420"/>
      </w:pPr>
      <w:rPr>
        <w:rFonts w:ascii="Wingdings" w:hAnsi="Wingdings" w:hint="default"/>
        <w:sz w:val="16"/>
      </w:rPr>
    </w:lvl>
    <w:lvl w:ilvl="1" w:tplc="04090003">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140198"/>
    <w:multiLevelType w:val="hybridMultilevel"/>
    <w:tmpl w:val="6A325666"/>
    <w:lvl w:ilvl="0" w:tplc="0EC61D9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2E34449B"/>
    <w:multiLevelType w:val="hybridMultilevel"/>
    <w:tmpl w:val="83F606D8"/>
    <w:lvl w:ilvl="0" w:tplc="9786957A">
      <w:start w:val="1"/>
      <w:numFmt w:val="decimal"/>
      <w:lvlText w:val="（%1）"/>
      <w:lvlJc w:val="left"/>
      <w:pPr>
        <w:ind w:left="840" w:hanging="420"/>
      </w:pPr>
      <w:rPr>
        <w:rFonts w:ascii="Arial" w:hAnsi="Arial" w:cs="Arial" w:hint="default"/>
      </w:rPr>
    </w:lvl>
    <w:lvl w:ilvl="1" w:tplc="04090019" w:tentative="1">
      <w:start w:val="1"/>
      <w:numFmt w:val="lowerLetter"/>
      <w:lvlText w:val="%2)"/>
      <w:lvlJc w:val="left"/>
      <w:pPr>
        <w:ind w:left="1260" w:hanging="420"/>
      </w:pPr>
    </w:lvl>
    <w:lvl w:ilvl="2" w:tplc="9786957A">
      <w:start w:val="1"/>
      <w:numFmt w:val="decimal"/>
      <w:lvlText w:val="（%3）"/>
      <w:lvlJc w:val="left"/>
      <w:pPr>
        <w:ind w:left="1680" w:hanging="420"/>
      </w:pPr>
      <w:rPr>
        <w:rFonts w:ascii="Arial" w:hAnsi="Arial" w:cs="Arial" w:hint="default"/>
      </w:r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316E0301"/>
    <w:multiLevelType w:val="hybridMultilevel"/>
    <w:tmpl w:val="33663BBC"/>
    <w:lvl w:ilvl="0" w:tplc="FEC445E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15:restartNumberingAfterBreak="0">
    <w:nsid w:val="31A7234D"/>
    <w:multiLevelType w:val="hybridMultilevel"/>
    <w:tmpl w:val="EC7CD87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5E30155"/>
    <w:multiLevelType w:val="hybridMultilevel"/>
    <w:tmpl w:val="FD403740"/>
    <w:lvl w:ilvl="0" w:tplc="FEC445EE">
      <w:start w:val="1"/>
      <w:numFmt w:val="decimal"/>
      <w:lvlText w:val="%1、"/>
      <w:lvlJc w:val="left"/>
      <w:pPr>
        <w:tabs>
          <w:tab w:val="num" w:pos="6"/>
        </w:tabs>
        <w:ind w:left="426" w:firstLine="0"/>
      </w:pPr>
      <w:rPr>
        <w:rFonts w:hint="default"/>
      </w:rPr>
    </w:lvl>
    <w:lvl w:ilvl="1" w:tplc="04090019" w:tentative="1">
      <w:start w:val="1"/>
      <w:numFmt w:val="lowerLetter"/>
      <w:lvlText w:val="%2)"/>
      <w:lvlJc w:val="left"/>
      <w:pPr>
        <w:tabs>
          <w:tab w:val="num" w:pos="426"/>
        </w:tabs>
        <w:ind w:left="426" w:hanging="420"/>
      </w:pPr>
    </w:lvl>
    <w:lvl w:ilvl="2" w:tplc="0409001B" w:tentative="1">
      <w:start w:val="1"/>
      <w:numFmt w:val="lowerRoman"/>
      <w:lvlText w:val="%3."/>
      <w:lvlJc w:val="right"/>
      <w:pPr>
        <w:tabs>
          <w:tab w:val="num" w:pos="846"/>
        </w:tabs>
        <w:ind w:left="846" w:hanging="420"/>
      </w:pPr>
    </w:lvl>
    <w:lvl w:ilvl="3" w:tplc="0409000F" w:tentative="1">
      <w:start w:val="1"/>
      <w:numFmt w:val="decimal"/>
      <w:lvlText w:val="%4."/>
      <w:lvlJc w:val="left"/>
      <w:pPr>
        <w:tabs>
          <w:tab w:val="num" w:pos="1266"/>
        </w:tabs>
        <w:ind w:left="1266" w:hanging="420"/>
      </w:pPr>
    </w:lvl>
    <w:lvl w:ilvl="4" w:tplc="04090019" w:tentative="1">
      <w:start w:val="1"/>
      <w:numFmt w:val="lowerLetter"/>
      <w:lvlText w:val="%5)"/>
      <w:lvlJc w:val="left"/>
      <w:pPr>
        <w:tabs>
          <w:tab w:val="num" w:pos="1686"/>
        </w:tabs>
        <w:ind w:left="1686" w:hanging="420"/>
      </w:pPr>
    </w:lvl>
    <w:lvl w:ilvl="5" w:tplc="0409001B" w:tentative="1">
      <w:start w:val="1"/>
      <w:numFmt w:val="lowerRoman"/>
      <w:lvlText w:val="%6."/>
      <w:lvlJc w:val="right"/>
      <w:pPr>
        <w:tabs>
          <w:tab w:val="num" w:pos="2106"/>
        </w:tabs>
        <w:ind w:left="2106" w:hanging="420"/>
      </w:pPr>
    </w:lvl>
    <w:lvl w:ilvl="6" w:tplc="0409000F" w:tentative="1">
      <w:start w:val="1"/>
      <w:numFmt w:val="decimal"/>
      <w:lvlText w:val="%7."/>
      <w:lvlJc w:val="left"/>
      <w:pPr>
        <w:tabs>
          <w:tab w:val="num" w:pos="2526"/>
        </w:tabs>
        <w:ind w:left="2526" w:hanging="420"/>
      </w:pPr>
    </w:lvl>
    <w:lvl w:ilvl="7" w:tplc="04090019" w:tentative="1">
      <w:start w:val="1"/>
      <w:numFmt w:val="lowerLetter"/>
      <w:lvlText w:val="%8)"/>
      <w:lvlJc w:val="left"/>
      <w:pPr>
        <w:tabs>
          <w:tab w:val="num" w:pos="2946"/>
        </w:tabs>
        <w:ind w:left="2946" w:hanging="420"/>
      </w:pPr>
    </w:lvl>
    <w:lvl w:ilvl="8" w:tplc="0409001B" w:tentative="1">
      <w:start w:val="1"/>
      <w:numFmt w:val="lowerRoman"/>
      <w:lvlText w:val="%9."/>
      <w:lvlJc w:val="right"/>
      <w:pPr>
        <w:tabs>
          <w:tab w:val="num" w:pos="3366"/>
        </w:tabs>
        <w:ind w:left="3366" w:hanging="420"/>
      </w:pPr>
    </w:lvl>
  </w:abstractNum>
  <w:abstractNum w:abstractNumId="16" w15:restartNumberingAfterBreak="0">
    <w:nsid w:val="37E46BB2"/>
    <w:multiLevelType w:val="hybridMultilevel"/>
    <w:tmpl w:val="A770E55A"/>
    <w:lvl w:ilvl="0" w:tplc="D8BC2774">
      <w:start w:val="1"/>
      <w:numFmt w:val="decimal"/>
      <w:lvlText w:val="%1."/>
      <w:lvlJc w:val="left"/>
      <w:pPr>
        <w:tabs>
          <w:tab w:val="num" w:pos="0"/>
        </w:tabs>
        <w:ind w:left="420" w:firstLine="0"/>
      </w:pPr>
      <w:rPr>
        <w:rFonts w:ascii="宋体" w:eastAsia="宋体" w:hAnsi="宋体"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7" w15:restartNumberingAfterBreak="0">
    <w:nsid w:val="3CB8123E"/>
    <w:multiLevelType w:val="hybridMultilevel"/>
    <w:tmpl w:val="333C0EB4"/>
    <w:lvl w:ilvl="0" w:tplc="CF22EB90">
      <w:start w:val="1"/>
      <w:numFmt w:val="decimal"/>
      <w:lvlText w:val="（%1）"/>
      <w:lvlJc w:val="left"/>
      <w:pPr>
        <w:tabs>
          <w:tab w:val="num" w:pos="1140"/>
        </w:tabs>
        <w:ind w:left="1140" w:hanging="720"/>
      </w:pPr>
      <w:rPr>
        <w:rFonts w:hint="eastAsia"/>
      </w:rPr>
    </w:lvl>
    <w:lvl w:ilvl="1" w:tplc="04090007">
      <w:start w:val="1"/>
      <w:numFmt w:val="bullet"/>
      <w:lvlText w:val=""/>
      <w:lvlJc w:val="left"/>
      <w:pPr>
        <w:tabs>
          <w:tab w:val="num" w:pos="420"/>
        </w:tabs>
        <w:ind w:left="420" w:hanging="420"/>
      </w:pPr>
      <w:rPr>
        <w:rFonts w:ascii="Wingdings" w:hAnsi="Wingdings" w:hint="default"/>
        <w:sz w:val="16"/>
      </w:rPr>
    </w:lvl>
    <w:lvl w:ilvl="2" w:tplc="0409001B">
      <w:start w:val="1"/>
      <w:numFmt w:val="lowerRoman"/>
      <w:lvlText w:val="%3."/>
      <w:lvlJc w:val="right"/>
      <w:pPr>
        <w:tabs>
          <w:tab w:val="num" w:pos="840"/>
        </w:tabs>
        <w:ind w:left="840" w:hanging="420"/>
      </w:pPr>
    </w:lvl>
    <w:lvl w:ilvl="3" w:tplc="1B529E56">
      <w:start w:val="1"/>
      <w:numFmt w:val="lowerLetter"/>
      <w:lvlText w:val="%4."/>
      <w:lvlJc w:val="left"/>
      <w:pPr>
        <w:tabs>
          <w:tab w:val="num" w:pos="1200"/>
        </w:tabs>
        <w:ind w:left="1200" w:hanging="360"/>
      </w:pPr>
      <w:rPr>
        <w:rFonts w:hint="eastAsia"/>
      </w:r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8" w15:restartNumberingAfterBreak="0">
    <w:nsid w:val="456C7310"/>
    <w:multiLevelType w:val="hybridMultilevel"/>
    <w:tmpl w:val="2EC46E02"/>
    <w:lvl w:ilvl="0" w:tplc="FFFFFFFF">
      <w:start w:val="1"/>
      <w:numFmt w:val="japaneseCounting"/>
      <w:pStyle w:val="211211"/>
      <w:lvlText w:val="%1、"/>
      <w:lvlJc w:val="left"/>
      <w:pPr>
        <w:tabs>
          <w:tab w:val="num" w:pos="720"/>
        </w:tabs>
        <w:ind w:left="720"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9" w15:restartNumberingAfterBreak="0">
    <w:nsid w:val="4B385D0F"/>
    <w:multiLevelType w:val="hybridMultilevel"/>
    <w:tmpl w:val="36E8BDCC"/>
    <w:lvl w:ilvl="0" w:tplc="D3AE76CE">
      <w:start w:val="1"/>
      <w:numFmt w:val="japaneseCounting"/>
      <w:lvlText w:val="（%1）"/>
      <w:lvlJc w:val="left"/>
      <w:pPr>
        <w:tabs>
          <w:tab w:val="num" w:pos="720"/>
        </w:tabs>
        <w:ind w:left="720" w:hanging="720"/>
      </w:pPr>
      <w:rPr>
        <w:rFonts w:hint="eastAsia"/>
      </w:rPr>
    </w:lvl>
    <w:lvl w:ilvl="1" w:tplc="AD0419C8">
      <w:start w:val="1"/>
      <w:numFmt w:val="decimal"/>
      <w:pStyle w:val="CharCharCharCharCharCharChar"/>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0" w15:restartNumberingAfterBreak="0">
    <w:nsid w:val="4C9109DF"/>
    <w:multiLevelType w:val="hybridMultilevel"/>
    <w:tmpl w:val="20C6A2CE"/>
    <w:lvl w:ilvl="0" w:tplc="FEC445EE">
      <w:start w:val="1"/>
      <w:numFmt w:val="decimal"/>
      <w:lvlText w:val="%1、"/>
      <w:lvlJc w:val="left"/>
      <w:pPr>
        <w:tabs>
          <w:tab w:val="num" w:pos="900"/>
        </w:tabs>
        <w:ind w:left="900" w:hanging="420"/>
      </w:pPr>
      <w:rPr>
        <w:rFonts w:hint="default"/>
      </w:rPr>
    </w:lvl>
    <w:lvl w:ilvl="1" w:tplc="5742121A">
      <w:start w:val="1"/>
      <w:numFmt w:val="decimalEnclosedCircle"/>
      <w:lvlText w:val="%2"/>
      <w:lvlJc w:val="left"/>
      <w:pPr>
        <w:tabs>
          <w:tab w:val="num" w:pos="1260"/>
        </w:tabs>
        <w:ind w:left="1260" w:hanging="360"/>
      </w:pPr>
      <w:rPr>
        <w:rFonts w:ascii="宋体" w:hAnsi="宋体" w:hint="eastAsia"/>
      </w:r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1" w15:restartNumberingAfterBreak="0">
    <w:nsid w:val="5562621F"/>
    <w:multiLevelType w:val="hybridMultilevel"/>
    <w:tmpl w:val="1A3A79AA"/>
    <w:lvl w:ilvl="0" w:tplc="9DF6616A">
      <w:start w:val="1"/>
      <w:numFmt w:val="decimal"/>
      <w:lvlText w:val="%1."/>
      <w:lvlJc w:val="left"/>
      <w:pPr>
        <w:tabs>
          <w:tab w:val="num" w:pos="780"/>
        </w:tabs>
        <w:ind w:left="420" w:firstLine="0"/>
      </w:pPr>
      <w:rPr>
        <w:rFonts w:hint="eastAsia"/>
      </w:rPr>
    </w:lvl>
    <w:lvl w:ilvl="1" w:tplc="841C8DC8">
      <w:start w:val="1"/>
      <w:numFmt w:val="decimal"/>
      <w:lvlText w:val="（%2）"/>
      <w:lvlJc w:val="left"/>
      <w:pPr>
        <w:tabs>
          <w:tab w:val="num" w:pos="1134"/>
        </w:tabs>
        <w:ind w:left="1134" w:hanging="714"/>
      </w:pPr>
      <w:rPr>
        <w:rFonts w:hint="eastAsia"/>
      </w:rPr>
    </w:lvl>
    <w:lvl w:ilvl="2" w:tplc="A1B2D0EE">
      <w:start w:val="1"/>
      <w:numFmt w:val="decimal"/>
      <w:lvlText w:val="%3"/>
      <w:lvlJc w:val="left"/>
      <w:pPr>
        <w:tabs>
          <w:tab w:val="num" w:pos="780"/>
        </w:tabs>
        <w:ind w:left="420" w:firstLine="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2" w15:restartNumberingAfterBreak="0">
    <w:nsid w:val="5693180F"/>
    <w:multiLevelType w:val="hybridMultilevel"/>
    <w:tmpl w:val="4C1890C8"/>
    <w:lvl w:ilvl="0" w:tplc="FEC445EE">
      <w:start w:val="1"/>
      <w:numFmt w:val="decimal"/>
      <w:lvlText w:val="%1、"/>
      <w:lvlJc w:val="left"/>
      <w:pPr>
        <w:tabs>
          <w:tab w:val="num" w:pos="780"/>
        </w:tabs>
        <w:ind w:left="420" w:firstLine="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5AC03B02"/>
    <w:multiLevelType w:val="hybridMultilevel"/>
    <w:tmpl w:val="96246D3C"/>
    <w:lvl w:ilvl="0" w:tplc="FEC445EE">
      <w:start w:val="1"/>
      <w:numFmt w:val="decimal"/>
      <w:lvlText w:val="%1、"/>
      <w:lvlJc w:val="left"/>
      <w:pPr>
        <w:tabs>
          <w:tab w:val="num" w:pos="1065"/>
        </w:tabs>
        <w:ind w:left="1065" w:hanging="645"/>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4" w15:restartNumberingAfterBreak="0">
    <w:nsid w:val="623554FE"/>
    <w:multiLevelType w:val="hybridMultilevel"/>
    <w:tmpl w:val="988A82FE"/>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35D3971"/>
    <w:multiLevelType w:val="hybridMultilevel"/>
    <w:tmpl w:val="B8D8D612"/>
    <w:lvl w:ilvl="0" w:tplc="B156A956">
      <w:start w:val="1"/>
      <w:numFmt w:val="decimal"/>
      <w:lvlText w:val="（%1）"/>
      <w:lvlJc w:val="left"/>
      <w:pPr>
        <w:tabs>
          <w:tab w:val="num" w:pos="851"/>
        </w:tabs>
        <w:ind w:left="851" w:hanging="567"/>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63B42CF3"/>
    <w:multiLevelType w:val="hybridMultilevel"/>
    <w:tmpl w:val="1DF49F36"/>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6732404"/>
    <w:multiLevelType w:val="multilevel"/>
    <w:tmpl w:val="CDC0E6D0"/>
    <w:lvl w:ilvl="0">
      <w:start w:val="1"/>
      <w:numFmt w:val="japaneseCounting"/>
      <w:pStyle w:val="ParaChar"/>
      <w:lvlText w:val="（%1）"/>
      <w:lvlJc w:val="left"/>
      <w:pPr>
        <w:tabs>
          <w:tab w:val="num" w:pos="990"/>
        </w:tabs>
        <w:ind w:left="990" w:hanging="840"/>
      </w:pPr>
      <w:rPr>
        <w:rFonts w:hint="eastAsia"/>
      </w:rPr>
    </w:lvl>
    <w:lvl w:ilvl="1">
      <w:start w:val="1"/>
      <w:numFmt w:val="decimal"/>
      <w:lvlText w:val="（%2）"/>
      <w:lvlJc w:val="left"/>
      <w:pPr>
        <w:tabs>
          <w:tab w:val="num" w:pos="1290"/>
        </w:tabs>
        <w:ind w:left="1290" w:hanging="720"/>
      </w:pPr>
      <w:rPr>
        <w:rFonts w:hint="eastAsia"/>
      </w:rPr>
    </w:lvl>
    <w:lvl w:ilvl="2">
      <w:start w:val="4"/>
      <w:numFmt w:val="japaneseCounting"/>
      <w:pStyle w:val="3"/>
      <w:lvlText w:val="%3、"/>
      <w:lvlJc w:val="left"/>
      <w:pPr>
        <w:tabs>
          <w:tab w:val="num" w:pos="1710"/>
        </w:tabs>
        <w:ind w:left="1710" w:hanging="720"/>
      </w:pPr>
      <w:rPr>
        <w:rFonts w:eastAsia="宋体" w:hint="eastAsia"/>
        <w:b/>
        <w:color w:val="auto"/>
      </w:rPr>
    </w:lvl>
    <w:lvl w:ilvl="3">
      <w:start w:val="1"/>
      <w:numFmt w:val="decimal"/>
      <w:lvlText w:val="%4."/>
      <w:lvlJc w:val="left"/>
      <w:pPr>
        <w:tabs>
          <w:tab w:val="num" w:pos="1830"/>
        </w:tabs>
        <w:ind w:left="1830" w:hanging="420"/>
      </w:pPr>
    </w:lvl>
    <w:lvl w:ilvl="4">
      <w:start w:val="1"/>
      <w:numFmt w:val="lowerLetter"/>
      <w:lvlText w:val="%5)"/>
      <w:lvlJc w:val="left"/>
      <w:pPr>
        <w:tabs>
          <w:tab w:val="num" w:pos="2250"/>
        </w:tabs>
        <w:ind w:left="2250" w:hanging="420"/>
      </w:pPr>
    </w:lvl>
    <w:lvl w:ilvl="5">
      <w:start w:val="1"/>
      <w:numFmt w:val="lowerRoman"/>
      <w:lvlText w:val="%6."/>
      <w:lvlJc w:val="right"/>
      <w:pPr>
        <w:tabs>
          <w:tab w:val="num" w:pos="2670"/>
        </w:tabs>
        <w:ind w:left="2670" w:hanging="420"/>
      </w:pPr>
    </w:lvl>
    <w:lvl w:ilvl="6">
      <w:start w:val="1"/>
      <w:numFmt w:val="decimal"/>
      <w:lvlText w:val="%7."/>
      <w:lvlJc w:val="left"/>
      <w:pPr>
        <w:tabs>
          <w:tab w:val="num" w:pos="3090"/>
        </w:tabs>
        <w:ind w:left="3090" w:hanging="420"/>
      </w:pPr>
    </w:lvl>
    <w:lvl w:ilvl="7">
      <w:start w:val="1"/>
      <w:numFmt w:val="lowerLetter"/>
      <w:lvlText w:val="%8)"/>
      <w:lvlJc w:val="left"/>
      <w:pPr>
        <w:tabs>
          <w:tab w:val="num" w:pos="3510"/>
        </w:tabs>
        <w:ind w:left="3510" w:hanging="420"/>
      </w:pPr>
    </w:lvl>
    <w:lvl w:ilvl="8">
      <w:start w:val="1"/>
      <w:numFmt w:val="lowerRoman"/>
      <w:lvlText w:val="%9."/>
      <w:lvlJc w:val="right"/>
      <w:pPr>
        <w:tabs>
          <w:tab w:val="num" w:pos="3930"/>
        </w:tabs>
        <w:ind w:left="3930" w:hanging="420"/>
      </w:pPr>
    </w:lvl>
  </w:abstractNum>
  <w:abstractNum w:abstractNumId="28" w15:restartNumberingAfterBreak="0">
    <w:nsid w:val="670D2E3A"/>
    <w:multiLevelType w:val="hybridMultilevel"/>
    <w:tmpl w:val="879AA5C0"/>
    <w:lvl w:ilvl="0" w:tplc="FEC445EE">
      <w:start w:val="1"/>
      <w:numFmt w:val="decimal"/>
      <w:lvlText w:val="%1、"/>
      <w:lvlJc w:val="left"/>
      <w:pPr>
        <w:tabs>
          <w:tab w:val="num" w:pos="0"/>
        </w:tabs>
        <w:ind w:left="420" w:firstLine="0"/>
      </w:pPr>
      <w:rPr>
        <w:rFonts w:hint="default"/>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29" w15:restartNumberingAfterBreak="0">
    <w:nsid w:val="69996945"/>
    <w:multiLevelType w:val="hybridMultilevel"/>
    <w:tmpl w:val="C21C2A68"/>
    <w:lvl w:ilvl="0" w:tplc="04090015">
      <w:start w:val="1"/>
      <w:numFmt w:val="upperLetter"/>
      <w:lvlText w:val="%1."/>
      <w:lvlJc w:val="left"/>
      <w:pPr>
        <w:tabs>
          <w:tab w:val="num" w:pos="902"/>
        </w:tabs>
        <w:ind w:left="902" w:hanging="420"/>
      </w:pPr>
    </w:lvl>
    <w:lvl w:ilvl="1" w:tplc="04090019">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15:restartNumberingAfterBreak="0">
    <w:nsid w:val="6FE147B6"/>
    <w:multiLevelType w:val="singleLevel"/>
    <w:tmpl w:val="5DAA9A04"/>
    <w:lvl w:ilvl="0">
      <w:start w:val="1"/>
      <w:numFmt w:val="decimal"/>
      <w:pStyle w:val="a"/>
      <w:lvlText w:val="(%1)"/>
      <w:lvlJc w:val="left"/>
      <w:pPr>
        <w:tabs>
          <w:tab w:val="num" w:pos="360"/>
        </w:tabs>
        <w:ind w:left="0" w:firstLine="0"/>
      </w:pPr>
      <w:rPr>
        <w:rFonts w:hint="eastAsia"/>
      </w:rPr>
    </w:lvl>
  </w:abstractNum>
  <w:abstractNum w:abstractNumId="31" w15:restartNumberingAfterBreak="0">
    <w:nsid w:val="769754B1"/>
    <w:multiLevelType w:val="hybridMultilevel"/>
    <w:tmpl w:val="53D21DF0"/>
    <w:lvl w:ilvl="0" w:tplc="0409000F">
      <w:start w:val="1"/>
      <w:numFmt w:val="decimal"/>
      <w:lvlText w:val="%1."/>
      <w:lvlJc w:val="left"/>
      <w:pPr>
        <w:tabs>
          <w:tab w:val="num" w:pos="900"/>
        </w:tabs>
        <w:ind w:left="900" w:hanging="420"/>
      </w:pPr>
    </w:lvl>
    <w:lvl w:ilvl="1" w:tplc="EC9A888C">
      <w:start w:val="1"/>
      <w:numFmt w:val="japaneseCounting"/>
      <w:lvlText w:val="（%2）"/>
      <w:lvlJc w:val="left"/>
      <w:pPr>
        <w:tabs>
          <w:tab w:val="num" w:pos="1620"/>
        </w:tabs>
        <w:ind w:left="1620" w:hanging="720"/>
      </w:pPr>
      <w:rPr>
        <w:rFonts w:hint="eastAsia"/>
      </w:rPr>
    </w:lvl>
    <w:lvl w:ilvl="2" w:tplc="FEC445EE">
      <w:start w:val="1"/>
      <w:numFmt w:val="decimal"/>
      <w:lvlText w:val="%3、"/>
      <w:lvlJc w:val="left"/>
      <w:pPr>
        <w:tabs>
          <w:tab w:val="num" w:pos="1680"/>
        </w:tabs>
        <w:ind w:left="1680" w:hanging="360"/>
      </w:pPr>
      <w:rPr>
        <w:rFonts w:hint="default"/>
      </w:r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15:restartNumberingAfterBreak="0">
    <w:nsid w:val="77B4748A"/>
    <w:multiLevelType w:val="hybridMultilevel"/>
    <w:tmpl w:val="170EF760"/>
    <w:lvl w:ilvl="0" w:tplc="99AA8908">
      <w:start w:val="1"/>
      <w:numFmt w:val="decimal"/>
      <w:lvlText w:val="%1."/>
      <w:lvlJc w:val="left"/>
      <w:pPr>
        <w:tabs>
          <w:tab w:val="num" w:pos="780"/>
        </w:tabs>
        <w:ind w:left="420" w:firstLine="0"/>
      </w:pPr>
      <w:rPr>
        <w:rFonts w:hint="eastAsia"/>
      </w:rPr>
    </w:lvl>
    <w:lvl w:ilvl="1" w:tplc="081ECA0E">
      <w:start w:val="1"/>
      <w:numFmt w:val="decimal"/>
      <w:lvlText w:val="（%2）"/>
      <w:lvlJc w:val="left"/>
      <w:pPr>
        <w:tabs>
          <w:tab w:val="num" w:pos="851"/>
        </w:tabs>
        <w:ind w:left="851" w:hanging="567"/>
      </w:pPr>
      <w:rPr>
        <w:rFonts w:hint="eastAsia"/>
        <w:lang w:val="en-US"/>
      </w:rPr>
    </w:lvl>
    <w:lvl w:ilvl="2" w:tplc="23888C08">
      <w:start w:val="1"/>
      <w:numFmt w:val="decimal"/>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3"/>
  </w:num>
  <w:num w:numId="2">
    <w:abstractNumId w:val="6"/>
  </w:num>
  <w:num w:numId="3">
    <w:abstractNumId w:val="27"/>
  </w:num>
  <w:num w:numId="4">
    <w:abstractNumId w:val="19"/>
  </w:num>
  <w:num w:numId="5">
    <w:abstractNumId w:val="20"/>
  </w:num>
  <w:num w:numId="6">
    <w:abstractNumId w:val="5"/>
  </w:num>
  <w:num w:numId="7">
    <w:abstractNumId w:val="31"/>
  </w:num>
  <w:num w:numId="8">
    <w:abstractNumId w:val="16"/>
  </w:num>
  <w:num w:numId="9">
    <w:abstractNumId w:val="21"/>
  </w:num>
  <w:num w:numId="10">
    <w:abstractNumId w:val="32"/>
  </w:num>
  <w:num w:numId="11">
    <w:abstractNumId w:val="13"/>
  </w:num>
  <w:num w:numId="12">
    <w:abstractNumId w:val="8"/>
  </w:num>
  <w:num w:numId="13">
    <w:abstractNumId w:val="23"/>
  </w:num>
  <w:num w:numId="14">
    <w:abstractNumId w:val="0"/>
  </w:num>
  <w:num w:numId="15">
    <w:abstractNumId w:val="22"/>
  </w:num>
  <w:num w:numId="16">
    <w:abstractNumId w:val="29"/>
  </w:num>
  <w:num w:numId="17">
    <w:abstractNumId w:val="30"/>
  </w:num>
  <w:num w:numId="18">
    <w:abstractNumId w:val="17"/>
  </w:num>
  <w:num w:numId="19">
    <w:abstractNumId w:val="24"/>
  </w:num>
  <w:num w:numId="20">
    <w:abstractNumId w:val="26"/>
  </w:num>
  <w:num w:numId="21">
    <w:abstractNumId w:val="10"/>
  </w:num>
  <w:num w:numId="22">
    <w:abstractNumId w:val="7"/>
  </w:num>
  <w:num w:numId="23">
    <w:abstractNumId w:val="18"/>
  </w:num>
  <w:num w:numId="24">
    <w:abstractNumId w:val="28"/>
  </w:num>
  <w:num w:numId="25">
    <w:abstractNumId w:val="4"/>
  </w:num>
  <w:num w:numId="26">
    <w:abstractNumId w:val="15"/>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4"/>
  </w:num>
  <w:num w:numId="33">
    <w:abstractNumId w:val="19"/>
  </w:num>
  <w:num w:numId="34">
    <w:abstractNumId w:val="19"/>
  </w:num>
  <w:num w:numId="35">
    <w:abstractNumId w:val="9"/>
  </w:num>
  <w:num w:numId="36">
    <w:abstractNumId w:val="25"/>
  </w:num>
  <w:num w:numId="37">
    <w:abstractNumId w:val="19"/>
  </w:num>
  <w:num w:numId="38">
    <w:abstractNumId w:val="19"/>
  </w:num>
  <w:num w:numId="39">
    <w:abstractNumId w:val="19"/>
  </w:num>
  <w:num w:numId="40">
    <w:abstractNumId w:val="27"/>
    <w:lvlOverride w:ilvl="0">
      <w:startOverride w:val="1"/>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0"/>
    <w:lvlOverride w:ilvl="0">
      <w:startOverride w:val="1"/>
    </w:lvlOverride>
  </w:num>
  <w:num w:numId="45">
    <w:abstractNumId w:val="1"/>
  </w:num>
  <w:num w:numId="46">
    <w:abstractNumId w:val="1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BC5"/>
    <w:rsid w:val="00001016"/>
    <w:rsid w:val="000043CA"/>
    <w:rsid w:val="000045D4"/>
    <w:rsid w:val="000150BC"/>
    <w:rsid w:val="00016F1C"/>
    <w:rsid w:val="00020A4D"/>
    <w:rsid w:val="000240EB"/>
    <w:rsid w:val="00024290"/>
    <w:rsid w:val="00025B60"/>
    <w:rsid w:val="000342D0"/>
    <w:rsid w:val="00037B59"/>
    <w:rsid w:val="00046AFB"/>
    <w:rsid w:val="00047990"/>
    <w:rsid w:val="00054718"/>
    <w:rsid w:val="0006600F"/>
    <w:rsid w:val="00067BA7"/>
    <w:rsid w:val="00075B44"/>
    <w:rsid w:val="00084F6A"/>
    <w:rsid w:val="00094E6A"/>
    <w:rsid w:val="000A2154"/>
    <w:rsid w:val="000A24C5"/>
    <w:rsid w:val="000A33E9"/>
    <w:rsid w:val="000A6039"/>
    <w:rsid w:val="000A7D14"/>
    <w:rsid w:val="000B52F0"/>
    <w:rsid w:val="000C09CB"/>
    <w:rsid w:val="000C24AC"/>
    <w:rsid w:val="000C4327"/>
    <w:rsid w:val="000C5D3B"/>
    <w:rsid w:val="000D20F3"/>
    <w:rsid w:val="000D2336"/>
    <w:rsid w:val="000D7734"/>
    <w:rsid w:val="000E16CA"/>
    <w:rsid w:val="000E1962"/>
    <w:rsid w:val="000E5ECA"/>
    <w:rsid w:val="000E7840"/>
    <w:rsid w:val="000F326B"/>
    <w:rsid w:val="000F5B9D"/>
    <w:rsid w:val="000F70FB"/>
    <w:rsid w:val="00107414"/>
    <w:rsid w:val="00110C0D"/>
    <w:rsid w:val="0012204A"/>
    <w:rsid w:val="001243DA"/>
    <w:rsid w:val="00126B45"/>
    <w:rsid w:val="00130A92"/>
    <w:rsid w:val="0013499E"/>
    <w:rsid w:val="001462CC"/>
    <w:rsid w:val="00146A02"/>
    <w:rsid w:val="00151707"/>
    <w:rsid w:val="001541AC"/>
    <w:rsid w:val="001636CA"/>
    <w:rsid w:val="00170BAB"/>
    <w:rsid w:val="00174B6A"/>
    <w:rsid w:val="00181730"/>
    <w:rsid w:val="0018581D"/>
    <w:rsid w:val="0018727C"/>
    <w:rsid w:val="001874D8"/>
    <w:rsid w:val="001921E9"/>
    <w:rsid w:val="001924C9"/>
    <w:rsid w:val="001B277E"/>
    <w:rsid w:val="001C3B8B"/>
    <w:rsid w:val="001C576A"/>
    <w:rsid w:val="001C6B95"/>
    <w:rsid w:val="001D7A29"/>
    <w:rsid w:val="001E0710"/>
    <w:rsid w:val="001E7905"/>
    <w:rsid w:val="001F1E99"/>
    <w:rsid w:val="001F3B8E"/>
    <w:rsid w:val="001F47B6"/>
    <w:rsid w:val="001F771B"/>
    <w:rsid w:val="00211C28"/>
    <w:rsid w:val="00212C58"/>
    <w:rsid w:val="00212E3C"/>
    <w:rsid w:val="00214F6B"/>
    <w:rsid w:val="00215D8B"/>
    <w:rsid w:val="0021708B"/>
    <w:rsid w:val="00224591"/>
    <w:rsid w:val="00227297"/>
    <w:rsid w:val="002315B8"/>
    <w:rsid w:val="002338D2"/>
    <w:rsid w:val="00237671"/>
    <w:rsid w:val="00240E28"/>
    <w:rsid w:val="0024725C"/>
    <w:rsid w:val="00247A89"/>
    <w:rsid w:val="00251F65"/>
    <w:rsid w:val="00252CA4"/>
    <w:rsid w:val="00254A49"/>
    <w:rsid w:val="0025556B"/>
    <w:rsid w:val="002564C2"/>
    <w:rsid w:val="00260AC5"/>
    <w:rsid w:val="00262477"/>
    <w:rsid w:val="0026267F"/>
    <w:rsid w:val="00262826"/>
    <w:rsid w:val="00270A0D"/>
    <w:rsid w:val="00282E48"/>
    <w:rsid w:val="0028513A"/>
    <w:rsid w:val="00291C79"/>
    <w:rsid w:val="002944F1"/>
    <w:rsid w:val="00296C5D"/>
    <w:rsid w:val="00297644"/>
    <w:rsid w:val="002A0168"/>
    <w:rsid w:val="002A043D"/>
    <w:rsid w:val="002B0131"/>
    <w:rsid w:val="002B0152"/>
    <w:rsid w:val="002B56BA"/>
    <w:rsid w:val="002B68CA"/>
    <w:rsid w:val="002C2586"/>
    <w:rsid w:val="002C3C91"/>
    <w:rsid w:val="002D39E9"/>
    <w:rsid w:val="002D5CC8"/>
    <w:rsid w:val="002E2942"/>
    <w:rsid w:val="002E3760"/>
    <w:rsid w:val="002E6F8D"/>
    <w:rsid w:val="002E7578"/>
    <w:rsid w:val="002E7D9F"/>
    <w:rsid w:val="002F5672"/>
    <w:rsid w:val="002F61BB"/>
    <w:rsid w:val="00300F51"/>
    <w:rsid w:val="00301D6E"/>
    <w:rsid w:val="00302AED"/>
    <w:rsid w:val="0030331F"/>
    <w:rsid w:val="00306E6D"/>
    <w:rsid w:val="00314B1A"/>
    <w:rsid w:val="00314C58"/>
    <w:rsid w:val="003153E8"/>
    <w:rsid w:val="0031600F"/>
    <w:rsid w:val="003176AB"/>
    <w:rsid w:val="00323BE2"/>
    <w:rsid w:val="00331969"/>
    <w:rsid w:val="00332B22"/>
    <w:rsid w:val="00332B90"/>
    <w:rsid w:val="003330E6"/>
    <w:rsid w:val="003421C3"/>
    <w:rsid w:val="00342B35"/>
    <w:rsid w:val="00351A31"/>
    <w:rsid w:val="003543F1"/>
    <w:rsid w:val="003660E5"/>
    <w:rsid w:val="003676A4"/>
    <w:rsid w:val="00367CD8"/>
    <w:rsid w:val="00371AA7"/>
    <w:rsid w:val="00372259"/>
    <w:rsid w:val="00375257"/>
    <w:rsid w:val="00375539"/>
    <w:rsid w:val="00377FAE"/>
    <w:rsid w:val="003834D2"/>
    <w:rsid w:val="00383A29"/>
    <w:rsid w:val="00384510"/>
    <w:rsid w:val="003954C9"/>
    <w:rsid w:val="00395C9A"/>
    <w:rsid w:val="00396AAC"/>
    <w:rsid w:val="00396CAE"/>
    <w:rsid w:val="003A1C8A"/>
    <w:rsid w:val="003B2DD4"/>
    <w:rsid w:val="003C78BB"/>
    <w:rsid w:val="003C7B11"/>
    <w:rsid w:val="003D0DE7"/>
    <w:rsid w:val="003D2DD1"/>
    <w:rsid w:val="003D348C"/>
    <w:rsid w:val="003E63CA"/>
    <w:rsid w:val="003E6AC8"/>
    <w:rsid w:val="003E6F65"/>
    <w:rsid w:val="003E7941"/>
    <w:rsid w:val="003F6CEE"/>
    <w:rsid w:val="004206F7"/>
    <w:rsid w:val="00421ED5"/>
    <w:rsid w:val="00421F9A"/>
    <w:rsid w:val="004241B1"/>
    <w:rsid w:val="00437E7C"/>
    <w:rsid w:val="00442044"/>
    <w:rsid w:val="00447902"/>
    <w:rsid w:val="004521C8"/>
    <w:rsid w:val="00453CD8"/>
    <w:rsid w:val="004573DE"/>
    <w:rsid w:val="004628D0"/>
    <w:rsid w:val="004643D5"/>
    <w:rsid w:val="0046627F"/>
    <w:rsid w:val="004679CF"/>
    <w:rsid w:val="00467CBF"/>
    <w:rsid w:val="00477CF5"/>
    <w:rsid w:val="004814BE"/>
    <w:rsid w:val="00487415"/>
    <w:rsid w:val="0049308F"/>
    <w:rsid w:val="004A2A19"/>
    <w:rsid w:val="004B078E"/>
    <w:rsid w:val="004B4149"/>
    <w:rsid w:val="004B7993"/>
    <w:rsid w:val="004C10E1"/>
    <w:rsid w:val="004C1E5D"/>
    <w:rsid w:val="004C3433"/>
    <w:rsid w:val="004C397F"/>
    <w:rsid w:val="004C3CCB"/>
    <w:rsid w:val="004C7328"/>
    <w:rsid w:val="004D1314"/>
    <w:rsid w:val="004E3920"/>
    <w:rsid w:val="004E69F8"/>
    <w:rsid w:val="004F226F"/>
    <w:rsid w:val="004F2280"/>
    <w:rsid w:val="004F38EF"/>
    <w:rsid w:val="004F3D5D"/>
    <w:rsid w:val="004F6E9A"/>
    <w:rsid w:val="00500D8D"/>
    <w:rsid w:val="00501A43"/>
    <w:rsid w:val="00507F5D"/>
    <w:rsid w:val="00511289"/>
    <w:rsid w:val="005149F0"/>
    <w:rsid w:val="005272AC"/>
    <w:rsid w:val="00535BF1"/>
    <w:rsid w:val="005364CC"/>
    <w:rsid w:val="0054541A"/>
    <w:rsid w:val="0054679B"/>
    <w:rsid w:val="00552B48"/>
    <w:rsid w:val="00552BE1"/>
    <w:rsid w:val="005539D6"/>
    <w:rsid w:val="00553A4C"/>
    <w:rsid w:val="00554F32"/>
    <w:rsid w:val="0055517E"/>
    <w:rsid w:val="00556E6F"/>
    <w:rsid w:val="00565E0D"/>
    <w:rsid w:val="00577651"/>
    <w:rsid w:val="00577665"/>
    <w:rsid w:val="00580BA2"/>
    <w:rsid w:val="00580CCF"/>
    <w:rsid w:val="00583EB6"/>
    <w:rsid w:val="00596D6E"/>
    <w:rsid w:val="00597477"/>
    <w:rsid w:val="005A17B0"/>
    <w:rsid w:val="005B6735"/>
    <w:rsid w:val="005B730D"/>
    <w:rsid w:val="005C174F"/>
    <w:rsid w:val="005C20C2"/>
    <w:rsid w:val="005C683A"/>
    <w:rsid w:val="005C70DD"/>
    <w:rsid w:val="005D059D"/>
    <w:rsid w:val="005D1BCE"/>
    <w:rsid w:val="005E2891"/>
    <w:rsid w:val="005E6889"/>
    <w:rsid w:val="005F2321"/>
    <w:rsid w:val="005F236D"/>
    <w:rsid w:val="005F277D"/>
    <w:rsid w:val="005F38C0"/>
    <w:rsid w:val="005F4834"/>
    <w:rsid w:val="0060156A"/>
    <w:rsid w:val="00601FFA"/>
    <w:rsid w:val="00602881"/>
    <w:rsid w:val="006036A6"/>
    <w:rsid w:val="00610C23"/>
    <w:rsid w:val="0061477E"/>
    <w:rsid w:val="00614FA2"/>
    <w:rsid w:val="00615702"/>
    <w:rsid w:val="00615F5B"/>
    <w:rsid w:val="006170A9"/>
    <w:rsid w:val="00621D10"/>
    <w:rsid w:val="00626FBC"/>
    <w:rsid w:val="00627417"/>
    <w:rsid w:val="00627813"/>
    <w:rsid w:val="00627BD2"/>
    <w:rsid w:val="00633A78"/>
    <w:rsid w:val="00635237"/>
    <w:rsid w:val="00642BB8"/>
    <w:rsid w:val="00647A42"/>
    <w:rsid w:val="00651F68"/>
    <w:rsid w:val="006523EA"/>
    <w:rsid w:val="0065401C"/>
    <w:rsid w:val="00654E45"/>
    <w:rsid w:val="00657327"/>
    <w:rsid w:val="00662EE8"/>
    <w:rsid w:val="00665167"/>
    <w:rsid w:val="00667012"/>
    <w:rsid w:val="0067002D"/>
    <w:rsid w:val="006714D4"/>
    <w:rsid w:val="00673842"/>
    <w:rsid w:val="00673B2D"/>
    <w:rsid w:val="006928D9"/>
    <w:rsid w:val="00695949"/>
    <w:rsid w:val="006A570A"/>
    <w:rsid w:val="006A72CC"/>
    <w:rsid w:val="006B49A4"/>
    <w:rsid w:val="006B4EC3"/>
    <w:rsid w:val="006B5580"/>
    <w:rsid w:val="006B6E7E"/>
    <w:rsid w:val="006C728E"/>
    <w:rsid w:val="006C7383"/>
    <w:rsid w:val="006D50CF"/>
    <w:rsid w:val="006E6796"/>
    <w:rsid w:val="006F3266"/>
    <w:rsid w:val="006F50D0"/>
    <w:rsid w:val="006F7BE0"/>
    <w:rsid w:val="00703ED2"/>
    <w:rsid w:val="0070406E"/>
    <w:rsid w:val="00707AE6"/>
    <w:rsid w:val="007110DB"/>
    <w:rsid w:val="00714924"/>
    <w:rsid w:val="00716D81"/>
    <w:rsid w:val="00717BE1"/>
    <w:rsid w:val="00720449"/>
    <w:rsid w:val="00724311"/>
    <w:rsid w:val="0073370B"/>
    <w:rsid w:val="007417EC"/>
    <w:rsid w:val="00744EEE"/>
    <w:rsid w:val="0075006C"/>
    <w:rsid w:val="00752755"/>
    <w:rsid w:val="00753935"/>
    <w:rsid w:val="00753CA6"/>
    <w:rsid w:val="007550E3"/>
    <w:rsid w:val="0076029E"/>
    <w:rsid w:val="00767753"/>
    <w:rsid w:val="0079120D"/>
    <w:rsid w:val="00792BB9"/>
    <w:rsid w:val="0079567F"/>
    <w:rsid w:val="00797C7A"/>
    <w:rsid w:val="007A30B3"/>
    <w:rsid w:val="007A57BD"/>
    <w:rsid w:val="007A62B0"/>
    <w:rsid w:val="007C0306"/>
    <w:rsid w:val="007C611B"/>
    <w:rsid w:val="007C7712"/>
    <w:rsid w:val="007D41BD"/>
    <w:rsid w:val="007E2911"/>
    <w:rsid w:val="007E2C57"/>
    <w:rsid w:val="007E42FF"/>
    <w:rsid w:val="007E7D82"/>
    <w:rsid w:val="007F35CE"/>
    <w:rsid w:val="00804AB9"/>
    <w:rsid w:val="00805B85"/>
    <w:rsid w:val="00807376"/>
    <w:rsid w:val="0081467A"/>
    <w:rsid w:val="00816144"/>
    <w:rsid w:val="00816413"/>
    <w:rsid w:val="0081715E"/>
    <w:rsid w:val="00817E5A"/>
    <w:rsid w:val="00820053"/>
    <w:rsid w:val="00833746"/>
    <w:rsid w:val="008358E5"/>
    <w:rsid w:val="00836F6B"/>
    <w:rsid w:val="008447DF"/>
    <w:rsid w:val="00846512"/>
    <w:rsid w:val="00847514"/>
    <w:rsid w:val="00850C06"/>
    <w:rsid w:val="00855E21"/>
    <w:rsid w:val="00862E2A"/>
    <w:rsid w:val="00866A48"/>
    <w:rsid w:val="0086708C"/>
    <w:rsid w:val="00872FDF"/>
    <w:rsid w:val="0088766A"/>
    <w:rsid w:val="008963C8"/>
    <w:rsid w:val="008A4F39"/>
    <w:rsid w:val="008A5AF3"/>
    <w:rsid w:val="008B053F"/>
    <w:rsid w:val="008B2D77"/>
    <w:rsid w:val="008B304E"/>
    <w:rsid w:val="008C2ACA"/>
    <w:rsid w:val="008C7ED3"/>
    <w:rsid w:val="008D0789"/>
    <w:rsid w:val="008E1085"/>
    <w:rsid w:val="008E615B"/>
    <w:rsid w:val="008E68A1"/>
    <w:rsid w:val="008F5FDB"/>
    <w:rsid w:val="008F6ADE"/>
    <w:rsid w:val="00904A41"/>
    <w:rsid w:val="00923056"/>
    <w:rsid w:val="009232EF"/>
    <w:rsid w:val="0093167D"/>
    <w:rsid w:val="00931D6D"/>
    <w:rsid w:val="00932766"/>
    <w:rsid w:val="00933F3A"/>
    <w:rsid w:val="00935D51"/>
    <w:rsid w:val="00944A1A"/>
    <w:rsid w:val="009510FA"/>
    <w:rsid w:val="00951104"/>
    <w:rsid w:val="00957C38"/>
    <w:rsid w:val="00962912"/>
    <w:rsid w:val="0096469D"/>
    <w:rsid w:val="00965319"/>
    <w:rsid w:val="00965F65"/>
    <w:rsid w:val="0096650E"/>
    <w:rsid w:val="00971547"/>
    <w:rsid w:val="0097335B"/>
    <w:rsid w:val="009754DC"/>
    <w:rsid w:val="009759AC"/>
    <w:rsid w:val="00977BE2"/>
    <w:rsid w:val="00981218"/>
    <w:rsid w:val="0098488E"/>
    <w:rsid w:val="00985D67"/>
    <w:rsid w:val="009869DE"/>
    <w:rsid w:val="00993C6A"/>
    <w:rsid w:val="00996110"/>
    <w:rsid w:val="009A1961"/>
    <w:rsid w:val="009C2189"/>
    <w:rsid w:val="009C6025"/>
    <w:rsid w:val="009C7187"/>
    <w:rsid w:val="009D1045"/>
    <w:rsid w:val="009D3465"/>
    <w:rsid w:val="009D368B"/>
    <w:rsid w:val="009D70B6"/>
    <w:rsid w:val="009E22B4"/>
    <w:rsid w:val="00A11BDF"/>
    <w:rsid w:val="00A13DBA"/>
    <w:rsid w:val="00A13FDB"/>
    <w:rsid w:val="00A1432B"/>
    <w:rsid w:val="00A2375A"/>
    <w:rsid w:val="00A300FE"/>
    <w:rsid w:val="00A3118E"/>
    <w:rsid w:val="00A4121D"/>
    <w:rsid w:val="00A424FA"/>
    <w:rsid w:val="00A45EE9"/>
    <w:rsid w:val="00A46E73"/>
    <w:rsid w:val="00A4720F"/>
    <w:rsid w:val="00A53E47"/>
    <w:rsid w:val="00A626CA"/>
    <w:rsid w:val="00A66D08"/>
    <w:rsid w:val="00A726EF"/>
    <w:rsid w:val="00A75B98"/>
    <w:rsid w:val="00A75FD5"/>
    <w:rsid w:val="00A77C59"/>
    <w:rsid w:val="00A81355"/>
    <w:rsid w:val="00A838BC"/>
    <w:rsid w:val="00A840D5"/>
    <w:rsid w:val="00A944A8"/>
    <w:rsid w:val="00AA26BE"/>
    <w:rsid w:val="00AB1307"/>
    <w:rsid w:val="00AC36F4"/>
    <w:rsid w:val="00AC5D71"/>
    <w:rsid w:val="00AC798E"/>
    <w:rsid w:val="00AD1360"/>
    <w:rsid w:val="00AD239B"/>
    <w:rsid w:val="00AD4DFA"/>
    <w:rsid w:val="00AD5A72"/>
    <w:rsid w:val="00AD7071"/>
    <w:rsid w:val="00AE388F"/>
    <w:rsid w:val="00AE597E"/>
    <w:rsid w:val="00B04B02"/>
    <w:rsid w:val="00B11A9B"/>
    <w:rsid w:val="00B249AE"/>
    <w:rsid w:val="00B41604"/>
    <w:rsid w:val="00B41704"/>
    <w:rsid w:val="00B46019"/>
    <w:rsid w:val="00B5132A"/>
    <w:rsid w:val="00B51FA4"/>
    <w:rsid w:val="00B5577D"/>
    <w:rsid w:val="00B577B3"/>
    <w:rsid w:val="00B66DDB"/>
    <w:rsid w:val="00B71283"/>
    <w:rsid w:val="00B72D84"/>
    <w:rsid w:val="00B90648"/>
    <w:rsid w:val="00B9221F"/>
    <w:rsid w:val="00B947B6"/>
    <w:rsid w:val="00B94978"/>
    <w:rsid w:val="00B94E11"/>
    <w:rsid w:val="00B9539F"/>
    <w:rsid w:val="00B9619B"/>
    <w:rsid w:val="00B96296"/>
    <w:rsid w:val="00BA0AA9"/>
    <w:rsid w:val="00BA1749"/>
    <w:rsid w:val="00BA1B83"/>
    <w:rsid w:val="00BA1F21"/>
    <w:rsid w:val="00BA32A2"/>
    <w:rsid w:val="00BB4390"/>
    <w:rsid w:val="00BB78FB"/>
    <w:rsid w:val="00BC2DF3"/>
    <w:rsid w:val="00BC4D01"/>
    <w:rsid w:val="00BD022A"/>
    <w:rsid w:val="00BD7570"/>
    <w:rsid w:val="00BE0466"/>
    <w:rsid w:val="00BE4425"/>
    <w:rsid w:val="00BE5442"/>
    <w:rsid w:val="00BE7B5B"/>
    <w:rsid w:val="00BE7BEE"/>
    <w:rsid w:val="00BF34AD"/>
    <w:rsid w:val="00BF5EE6"/>
    <w:rsid w:val="00C05C24"/>
    <w:rsid w:val="00C1018A"/>
    <w:rsid w:val="00C10641"/>
    <w:rsid w:val="00C10ED5"/>
    <w:rsid w:val="00C24F02"/>
    <w:rsid w:val="00C264BF"/>
    <w:rsid w:val="00C30705"/>
    <w:rsid w:val="00C307D6"/>
    <w:rsid w:val="00C31059"/>
    <w:rsid w:val="00C3235B"/>
    <w:rsid w:val="00C326D3"/>
    <w:rsid w:val="00C32C8A"/>
    <w:rsid w:val="00C3381E"/>
    <w:rsid w:val="00C35BC5"/>
    <w:rsid w:val="00C366A9"/>
    <w:rsid w:val="00C3767B"/>
    <w:rsid w:val="00C46779"/>
    <w:rsid w:val="00C5263C"/>
    <w:rsid w:val="00C53A0E"/>
    <w:rsid w:val="00C548C5"/>
    <w:rsid w:val="00C54BA9"/>
    <w:rsid w:val="00C57BDD"/>
    <w:rsid w:val="00C60CBB"/>
    <w:rsid w:val="00C63DEC"/>
    <w:rsid w:val="00C651EF"/>
    <w:rsid w:val="00C67772"/>
    <w:rsid w:val="00C7271D"/>
    <w:rsid w:val="00C75607"/>
    <w:rsid w:val="00C77AAD"/>
    <w:rsid w:val="00C82076"/>
    <w:rsid w:val="00C834B1"/>
    <w:rsid w:val="00C85015"/>
    <w:rsid w:val="00C85231"/>
    <w:rsid w:val="00C85C52"/>
    <w:rsid w:val="00C864D6"/>
    <w:rsid w:val="00C869D7"/>
    <w:rsid w:val="00C9149F"/>
    <w:rsid w:val="00C9426F"/>
    <w:rsid w:val="00C950D9"/>
    <w:rsid w:val="00C95F99"/>
    <w:rsid w:val="00C964E5"/>
    <w:rsid w:val="00CA7FF5"/>
    <w:rsid w:val="00CB189F"/>
    <w:rsid w:val="00CB3B04"/>
    <w:rsid w:val="00CC1913"/>
    <w:rsid w:val="00CC3AD2"/>
    <w:rsid w:val="00CC7AA0"/>
    <w:rsid w:val="00CD1144"/>
    <w:rsid w:val="00CE0859"/>
    <w:rsid w:val="00CE0DB0"/>
    <w:rsid w:val="00CE1406"/>
    <w:rsid w:val="00CE5A7A"/>
    <w:rsid w:val="00CE7917"/>
    <w:rsid w:val="00CF1816"/>
    <w:rsid w:val="00CF2EDE"/>
    <w:rsid w:val="00CF339F"/>
    <w:rsid w:val="00D00979"/>
    <w:rsid w:val="00D016A9"/>
    <w:rsid w:val="00D041F8"/>
    <w:rsid w:val="00D10670"/>
    <w:rsid w:val="00D14C6D"/>
    <w:rsid w:val="00D21B17"/>
    <w:rsid w:val="00D23381"/>
    <w:rsid w:val="00D25C40"/>
    <w:rsid w:val="00D270D6"/>
    <w:rsid w:val="00D30DFE"/>
    <w:rsid w:val="00D31ED5"/>
    <w:rsid w:val="00D33925"/>
    <w:rsid w:val="00D33AC5"/>
    <w:rsid w:val="00D3436C"/>
    <w:rsid w:val="00D34813"/>
    <w:rsid w:val="00D34D64"/>
    <w:rsid w:val="00D359F0"/>
    <w:rsid w:val="00D454C2"/>
    <w:rsid w:val="00D51258"/>
    <w:rsid w:val="00D52FFB"/>
    <w:rsid w:val="00D54C84"/>
    <w:rsid w:val="00D6389B"/>
    <w:rsid w:val="00D67FA6"/>
    <w:rsid w:val="00D7284C"/>
    <w:rsid w:val="00D7644B"/>
    <w:rsid w:val="00D7714F"/>
    <w:rsid w:val="00D80EF3"/>
    <w:rsid w:val="00D91852"/>
    <w:rsid w:val="00D91895"/>
    <w:rsid w:val="00D92646"/>
    <w:rsid w:val="00D926B5"/>
    <w:rsid w:val="00D92A32"/>
    <w:rsid w:val="00D96402"/>
    <w:rsid w:val="00D969F7"/>
    <w:rsid w:val="00D97C23"/>
    <w:rsid w:val="00D97E7E"/>
    <w:rsid w:val="00DB0190"/>
    <w:rsid w:val="00DB2820"/>
    <w:rsid w:val="00DB6FAC"/>
    <w:rsid w:val="00DC0C07"/>
    <w:rsid w:val="00DC2E97"/>
    <w:rsid w:val="00DC732D"/>
    <w:rsid w:val="00DD3DC6"/>
    <w:rsid w:val="00DD4750"/>
    <w:rsid w:val="00DF609B"/>
    <w:rsid w:val="00DF6238"/>
    <w:rsid w:val="00DF6BE3"/>
    <w:rsid w:val="00DF7B3A"/>
    <w:rsid w:val="00E00090"/>
    <w:rsid w:val="00E02C36"/>
    <w:rsid w:val="00E04344"/>
    <w:rsid w:val="00E054C3"/>
    <w:rsid w:val="00E12DB6"/>
    <w:rsid w:val="00E13553"/>
    <w:rsid w:val="00E147BD"/>
    <w:rsid w:val="00E214D2"/>
    <w:rsid w:val="00E21A62"/>
    <w:rsid w:val="00E21FC6"/>
    <w:rsid w:val="00E278F3"/>
    <w:rsid w:val="00E43DF0"/>
    <w:rsid w:val="00E47827"/>
    <w:rsid w:val="00E62308"/>
    <w:rsid w:val="00E7268E"/>
    <w:rsid w:val="00E73FA7"/>
    <w:rsid w:val="00E85E91"/>
    <w:rsid w:val="00E91D88"/>
    <w:rsid w:val="00E966B5"/>
    <w:rsid w:val="00EA0941"/>
    <w:rsid w:val="00EA2712"/>
    <w:rsid w:val="00EC2295"/>
    <w:rsid w:val="00EC717C"/>
    <w:rsid w:val="00ED652B"/>
    <w:rsid w:val="00ED68C4"/>
    <w:rsid w:val="00EE0589"/>
    <w:rsid w:val="00EE0FD5"/>
    <w:rsid w:val="00EE4543"/>
    <w:rsid w:val="00EE7933"/>
    <w:rsid w:val="00EE7EEF"/>
    <w:rsid w:val="00EF06A7"/>
    <w:rsid w:val="00EF2192"/>
    <w:rsid w:val="00EF53AB"/>
    <w:rsid w:val="00EF5BB6"/>
    <w:rsid w:val="00F00D06"/>
    <w:rsid w:val="00F052B3"/>
    <w:rsid w:val="00F0766E"/>
    <w:rsid w:val="00F10396"/>
    <w:rsid w:val="00F105F1"/>
    <w:rsid w:val="00F11DAE"/>
    <w:rsid w:val="00F12755"/>
    <w:rsid w:val="00F12CD7"/>
    <w:rsid w:val="00F1486D"/>
    <w:rsid w:val="00F1506F"/>
    <w:rsid w:val="00F22819"/>
    <w:rsid w:val="00F266E3"/>
    <w:rsid w:val="00F273B1"/>
    <w:rsid w:val="00F27D96"/>
    <w:rsid w:val="00F40670"/>
    <w:rsid w:val="00F42853"/>
    <w:rsid w:val="00F51CE9"/>
    <w:rsid w:val="00F52D50"/>
    <w:rsid w:val="00F53121"/>
    <w:rsid w:val="00F54300"/>
    <w:rsid w:val="00F57B65"/>
    <w:rsid w:val="00F63B91"/>
    <w:rsid w:val="00F65027"/>
    <w:rsid w:val="00F71CE7"/>
    <w:rsid w:val="00F7635A"/>
    <w:rsid w:val="00F85F1E"/>
    <w:rsid w:val="00F903AA"/>
    <w:rsid w:val="00F93478"/>
    <w:rsid w:val="00F945F5"/>
    <w:rsid w:val="00F976A5"/>
    <w:rsid w:val="00FA35F9"/>
    <w:rsid w:val="00FA4C36"/>
    <w:rsid w:val="00FA586D"/>
    <w:rsid w:val="00FC0660"/>
    <w:rsid w:val="00FC0DBB"/>
    <w:rsid w:val="00FE0061"/>
    <w:rsid w:val="00FF080C"/>
    <w:rsid w:val="00FF53ED"/>
    <w:rsid w:val="00FF70D8"/>
    <w:rsid w:val="00FF7E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1A6DFB5-A816-4F6F-BAED-8AFEE25D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35BC5"/>
    <w:pPr>
      <w:widowControl w:val="0"/>
      <w:jc w:val="both"/>
    </w:pPr>
    <w:rPr>
      <w:rFonts w:ascii="Times New Roman" w:hAnsi="Times New Roman"/>
      <w:kern w:val="2"/>
      <w:sz w:val="21"/>
      <w:szCs w:val="24"/>
    </w:rPr>
  </w:style>
  <w:style w:type="paragraph" w:styleId="1">
    <w:name w:val="heading 1"/>
    <w:aliases w:val="Heading 0,H1,PIM 1,Heading 11,level 1,Level 1 Head,h1,123321,Level 1 Topic Heading"/>
    <w:basedOn w:val="a0"/>
    <w:next w:val="a0"/>
    <w:link w:val="1Char"/>
    <w:qFormat/>
    <w:rsid w:val="00C35BC5"/>
    <w:pPr>
      <w:keepNext/>
      <w:spacing w:beforeLines="100" w:afterLines="100"/>
      <w:ind w:firstLineChars="200" w:firstLine="200"/>
      <w:jc w:val="center"/>
      <w:outlineLvl w:val="0"/>
    </w:pPr>
    <w:rPr>
      <w:rFonts w:ascii="黑体" w:eastAsia="黑体"/>
      <w:sz w:val="32"/>
      <w:szCs w:val="32"/>
    </w:rPr>
  </w:style>
  <w:style w:type="paragraph" w:styleId="2">
    <w:name w:val="heading 2"/>
    <w:aliases w:val="H2,Heading 2 Hidden,Heading 2 CCBS,标题 2 Char Char,2nd level,h2,2,Header 2,PIM2,l2,Level 2 Head,proj2,proj21,proj22,proj23,proj24,proj25,proj26,proj27,proj28,proj29,proj210,proj211,proj212,proj221,proj231,proj241,proj251,proj261,proj271,proj281"/>
    <w:basedOn w:val="a0"/>
    <w:next w:val="a0"/>
    <w:link w:val="2Char"/>
    <w:qFormat/>
    <w:rsid w:val="00C35BC5"/>
    <w:pPr>
      <w:keepNext/>
      <w:keepLines/>
      <w:spacing w:beforeLines="100" w:afterLines="100"/>
      <w:ind w:firstLineChars="200" w:firstLine="200"/>
      <w:outlineLvl w:val="1"/>
    </w:pPr>
    <w:rPr>
      <w:rFonts w:ascii="Arial" w:hAnsi="Arial"/>
      <w:b/>
      <w:sz w:val="28"/>
      <w:szCs w:val="28"/>
    </w:rPr>
  </w:style>
  <w:style w:type="paragraph" w:styleId="3">
    <w:name w:val="heading 3"/>
    <w:aliases w:val="Heading 3 - old,H3,l3,CT,h3,3rd level,Level 3 Head,level_3,PIM 3,sect1.2.3,Bold Head,bh,3,heading 3,标题 4.1.1,Fab-3,sect1.2.31,sect1.2.32,sect1.2.311,sect1.2.33,sect1.2.312,Title3,sl3,Heading 3under,- Maj Side,prop3,3heading,Heading 31,Map,H31,HeadC"/>
    <w:basedOn w:val="a0"/>
    <w:next w:val="a0"/>
    <w:link w:val="3Char"/>
    <w:qFormat/>
    <w:rsid w:val="00C35BC5"/>
    <w:pPr>
      <w:numPr>
        <w:ilvl w:val="2"/>
        <w:numId w:val="3"/>
      </w:numPr>
      <w:spacing w:before="260" w:after="260" w:line="416" w:lineRule="auto"/>
      <w:outlineLvl w:val="2"/>
    </w:pPr>
    <w:rPr>
      <w:rFonts w:ascii="仿宋_GB2312" w:eastAsia="仿宋_GB2312"/>
      <w:sz w:val="24"/>
      <w:szCs w:val="20"/>
    </w:rPr>
  </w:style>
  <w:style w:type="paragraph" w:styleId="4">
    <w:name w:val="heading 4"/>
    <w:aliases w:val="H4,PIM 4,h4,Fab-4,T5,Ref Heading 1,rh1,Heading sql,sect 1.2.3.4"/>
    <w:basedOn w:val="a0"/>
    <w:next w:val="a0"/>
    <w:link w:val="4Char"/>
    <w:qFormat/>
    <w:rsid w:val="00C35BC5"/>
    <w:pPr>
      <w:keepNext/>
      <w:keepLines/>
      <w:numPr>
        <w:ilvl w:val="3"/>
        <w:numId w:val="2"/>
      </w:numPr>
      <w:spacing w:before="280" w:after="290" w:line="376" w:lineRule="auto"/>
      <w:outlineLvl w:val="3"/>
    </w:pPr>
    <w:rPr>
      <w:rFonts w:ascii="Arial" w:eastAsia="黑体" w:hAnsi="Arial"/>
      <w:b/>
      <w:bCs/>
      <w:sz w:val="28"/>
      <w:szCs w:val="28"/>
    </w:rPr>
  </w:style>
  <w:style w:type="paragraph" w:styleId="5">
    <w:name w:val="heading 5"/>
    <w:basedOn w:val="a0"/>
    <w:next w:val="a0"/>
    <w:link w:val="5Char"/>
    <w:qFormat/>
    <w:rsid w:val="00C35BC5"/>
    <w:pPr>
      <w:keepNext/>
      <w:keepLines/>
      <w:numPr>
        <w:ilvl w:val="4"/>
        <w:numId w:val="2"/>
      </w:numPr>
      <w:spacing w:before="280" w:after="290" w:line="376" w:lineRule="auto"/>
      <w:ind w:firstLineChars="200" w:firstLine="200"/>
      <w:outlineLvl w:val="4"/>
    </w:pPr>
    <w:rPr>
      <w:b/>
      <w:bCs/>
      <w:sz w:val="28"/>
      <w:szCs w:val="28"/>
    </w:rPr>
  </w:style>
  <w:style w:type="paragraph" w:styleId="6">
    <w:name w:val="heading 6"/>
    <w:basedOn w:val="a0"/>
    <w:next w:val="a0"/>
    <w:link w:val="6Char"/>
    <w:qFormat/>
    <w:rsid w:val="00C35BC5"/>
    <w:pPr>
      <w:keepNext/>
      <w:keepLines/>
      <w:numPr>
        <w:ilvl w:val="5"/>
        <w:numId w:val="2"/>
      </w:numPr>
      <w:spacing w:before="240" w:after="64" w:line="320" w:lineRule="auto"/>
      <w:ind w:firstLineChars="200" w:firstLine="200"/>
      <w:outlineLvl w:val="5"/>
    </w:pPr>
    <w:rPr>
      <w:rFonts w:ascii="Arial" w:eastAsia="黑体" w:hAnsi="Arial"/>
      <w:b/>
      <w:bCs/>
      <w:sz w:val="24"/>
    </w:rPr>
  </w:style>
  <w:style w:type="paragraph" w:styleId="7">
    <w:name w:val="heading 7"/>
    <w:basedOn w:val="a0"/>
    <w:next w:val="a0"/>
    <w:link w:val="7Char"/>
    <w:qFormat/>
    <w:rsid w:val="00C35BC5"/>
    <w:pPr>
      <w:keepNext/>
      <w:keepLines/>
      <w:numPr>
        <w:ilvl w:val="6"/>
        <w:numId w:val="2"/>
      </w:numPr>
      <w:spacing w:before="240" w:after="64" w:line="320" w:lineRule="auto"/>
      <w:ind w:firstLineChars="200" w:firstLine="200"/>
      <w:outlineLvl w:val="6"/>
    </w:pPr>
    <w:rPr>
      <w:b/>
      <w:bCs/>
      <w:sz w:val="24"/>
    </w:rPr>
  </w:style>
  <w:style w:type="paragraph" w:styleId="8">
    <w:name w:val="heading 8"/>
    <w:basedOn w:val="a0"/>
    <w:next w:val="a0"/>
    <w:link w:val="8Char"/>
    <w:qFormat/>
    <w:rsid w:val="00C35BC5"/>
    <w:pPr>
      <w:keepNext/>
      <w:keepLines/>
      <w:numPr>
        <w:ilvl w:val="7"/>
        <w:numId w:val="2"/>
      </w:numPr>
      <w:spacing w:before="240" w:after="64" w:line="320" w:lineRule="auto"/>
      <w:ind w:firstLineChars="200" w:firstLine="200"/>
      <w:outlineLvl w:val="7"/>
    </w:pPr>
    <w:rPr>
      <w:rFonts w:ascii="Arial" w:eastAsia="黑体" w:hAnsi="Arial"/>
      <w:sz w:val="24"/>
    </w:rPr>
  </w:style>
  <w:style w:type="paragraph" w:styleId="9">
    <w:name w:val="heading 9"/>
    <w:basedOn w:val="a0"/>
    <w:next w:val="a0"/>
    <w:link w:val="9Char"/>
    <w:qFormat/>
    <w:rsid w:val="00C35BC5"/>
    <w:pPr>
      <w:keepNext/>
      <w:keepLines/>
      <w:numPr>
        <w:ilvl w:val="8"/>
        <w:numId w:val="2"/>
      </w:numPr>
      <w:spacing w:before="240" w:after="64" w:line="320" w:lineRule="auto"/>
      <w:ind w:firstLineChars="200" w:firstLine="200"/>
      <w:outlineLvl w:val="8"/>
    </w:pPr>
    <w:rPr>
      <w:rFonts w:ascii="Arial" w:eastAsia="黑体" w:hAnsi="Arial"/>
      <w:sz w:val="24"/>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aliases w:val="Heading 0 Char,H1 Char,PIM 1 Char,Heading 11 Char,level 1 Char,Level 1 Head Char,h1 Char,123321 Char,Level 1 Topic Heading Char"/>
    <w:basedOn w:val="a1"/>
    <w:link w:val="1"/>
    <w:rsid w:val="00C35BC5"/>
    <w:rPr>
      <w:rFonts w:ascii="黑体" w:eastAsia="黑体" w:hAnsi="Times New Roman" w:cs="Times New Roman"/>
      <w:sz w:val="32"/>
      <w:szCs w:val="32"/>
    </w:rPr>
  </w:style>
  <w:style w:type="character" w:customStyle="1" w:styleId="2Char">
    <w:name w:val="标题 2 Char"/>
    <w:aliases w:val="H2 Char,Heading 2 Hidden Char,Heading 2 CCBS Char,标题 2 Char Char Char,2nd level Char,h2 Char,2 Char,Header 2 Char,PIM2 Char,l2 Char,Level 2 Head Char,proj2 Char,proj21 Char,proj22 Char,proj23 Char,proj24 Char,proj25 Char,proj26 Char"/>
    <w:basedOn w:val="a1"/>
    <w:link w:val="2"/>
    <w:rsid w:val="00C35BC5"/>
    <w:rPr>
      <w:rFonts w:ascii="Arial" w:eastAsia="宋体" w:hAnsi="Arial" w:cs="Times New Roman"/>
      <w:b/>
      <w:sz w:val="28"/>
      <w:szCs w:val="28"/>
    </w:rPr>
  </w:style>
  <w:style w:type="character" w:customStyle="1" w:styleId="3Char">
    <w:name w:val="标题 3 Char"/>
    <w:aliases w:val="Heading 3 - old Char,H3 Char,l3 Char,CT Char,h3 Char,3rd level Char,Level 3 Head Char,level_3 Char,PIM 3 Char,sect1.2.3 Char,Bold Head Char,bh Char,3 Char,heading 3 Char,标题 4.1.1 Char,Fab-3 Char,sect1.2.31 Char,sect1.2.32 Char,sect1.2.311 Char"/>
    <w:basedOn w:val="a1"/>
    <w:link w:val="3"/>
    <w:rsid w:val="00C35BC5"/>
    <w:rPr>
      <w:rFonts w:ascii="仿宋_GB2312" w:eastAsia="仿宋_GB2312" w:hAnsi="Times New Roman"/>
      <w:kern w:val="2"/>
      <w:sz w:val="24"/>
    </w:rPr>
  </w:style>
  <w:style w:type="character" w:customStyle="1" w:styleId="4Char">
    <w:name w:val="标题 4 Char"/>
    <w:aliases w:val="H4 Char1,PIM 4 Char1,h4 Char1,Fab-4 Char1,T5 Char1,Ref Heading 1 Char1,rh1 Char1,Heading sql Char1,sect 1.2.3.4 Char1"/>
    <w:basedOn w:val="a1"/>
    <w:link w:val="4"/>
    <w:rsid w:val="00C35BC5"/>
    <w:rPr>
      <w:rFonts w:ascii="Arial" w:eastAsia="黑体" w:hAnsi="Arial"/>
      <w:b/>
      <w:bCs/>
      <w:kern w:val="2"/>
      <w:sz w:val="28"/>
      <w:szCs w:val="28"/>
    </w:rPr>
  </w:style>
  <w:style w:type="character" w:customStyle="1" w:styleId="5Char">
    <w:name w:val="标题 5 Char"/>
    <w:basedOn w:val="a1"/>
    <w:link w:val="5"/>
    <w:rsid w:val="00C35BC5"/>
    <w:rPr>
      <w:rFonts w:ascii="Times New Roman" w:hAnsi="Times New Roman"/>
      <w:b/>
      <w:bCs/>
      <w:kern w:val="2"/>
      <w:sz w:val="28"/>
      <w:szCs w:val="28"/>
    </w:rPr>
  </w:style>
  <w:style w:type="character" w:customStyle="1" w:styleId="6Char">
    <w:name w:val="标题 6 Char"/>
    <w:basedOn w:val="a1"/>
    <w:link w:val="6"/>
    <w:rsid w:val="00C35BC5"/>
    <w:rPr>
      <w:rFonts w:ascii="Arial" w:eastAsia="黑体" w:hAnsi="Arial"/>
      <w:b/>
      <w:bCs/>
      <w:kern w:val="2"/>
      <w:sz w:val="24"/>
      <w:szCs w:val="24"/>
    </w:rPr>
  </w:style>
  <w:style w:type="character" w:customStyle="1" w:styleId="7Char">
    <w:name w:val="标题 7 Char"/>
    <w:basedOn w:val="a1"/>
    <w:link w:val="7"/>
    <w:rsid w:val="00C35BC5"/>
    <w:rPr>
      <w:rFonts w:ascii="Times New Roman" w:hAnsi="Times New Roman"/>
      <w:b/>
      <w:bCs/>
      <w:kern w:val="2"/>
      <w:sz w:val="24"/>
      <w:szCs w:val="24"/>
    </w:rPr>
  </w:style>
  <w:style w:type="character" w:customStyle="1" w:styleId="8Char">
    <w:name w:val="标题 8 Char"/>
    <w:basedOn w:val="a1"/>
    <w:link w:val="8"/>
    <w:rsid w:val="00C35BC5"/>
    <w:rPr>
      <w:rFonts w:ascii="Arial" w:eastAsia="黑体" w:hAnsi="Arial"/>
      <w:kern w:val="2"/>
      <w:sz w:val="24"/>
      <w:szCs w:val="24"/>
    </w:rPr>
  </w:style>
  <w:style w:type="character" w:customStyle="1" w:styleId="9Char">
    <w:name w:val="标题 9 Char"/>
    <w:basedOn w:val="a1"/>
    <w:link w:val="9"/>
    <w:rsid w:val="00C35BC5"/>
    <w:rPr>
      <w:rFonts w:ascii="Arial" w:eastAsia="黑体" w:hAnsi="Arial"/>
      <w:kern w:val="2"/>
      <w:sz w:val="24"/>
      <w:szCs w:val="21"/>
    </w:rPr>
  </w:style>
  <w:style w:type="paragraph" w:customStyle="1" w:styleId="211">
    <w:name w:val="样式 标题 2 + 段前: 1 行 段后: 1 行"/>
    <w:basedOn w:val="2"/>
    <w:rsid w:val="00C35BC5"/>
    <w:pPr>
      <w:numPr>
        <w:numId w:val="1"/>
      </w:numPr>
      <w:spacing w:before="447" w:after="447"/>
    </w:pPr>
    <w:rPr>
      <w:b w:val="0"/>
      <w:szCs w:val="20"/>
    </w:rPr>
  </w:style>
  <w:style w:type="paragraph" w:customStyle="1" w:styleId="CharCharCharCharCharCharChar">
    <w:name w:val="正文文字 Char Char Char Char Char Char Char"/>
    <w:basedOn w:val="a0"/>
    <w:next w:val="30"/>
    <w:rsid w:val="00C35BC5"/>
    <w:pPr>
      <w:numPr>
        <w:ilvl w:val="1"/>
        <w:numId w:val="4"/>
      </w:numPr>
      <w:spacing w:after="120"/>
    </w:pPr>
    <w:rPr>
      <w:sz w:val="16"/>
      <w:szCs w:val="16"/>
    </w:rPr>
  </w:style>
  <w:style w:type="paragraph" w:styleId="30">
    <w:name w:val="Body Text 3"/>
    <w:basedOn w:val="a0"/>
    <w:link w:val="3Char0"/>
    <w:rsid w:val="00C35BC5"/>
    <w:pPr>
      <w:spacing w:after="120"/>
    </w:pPr>
    <w:rPr>
      <w:sz w:val="16"/>
      <w:szCs w:val="16"/>
    </w:rPr>
  </w:style>
  <w:style w:type="character" w:customStyle="1" w:styleId="3Char0">
    <w:name w:val="正文文本 3 Char"/>
    <w:basedOn w:val="a1"/>
    <w:link w:val="30"/>
    <w:rsid w:val="00C35BC5"/>
    <w:rPr>
      <w:rFonts w:ascii="Times New Roman" w:eastAsia="宋体" w:hAnsi="Times New Roman" w:cs="Times New Roman"/>
      <w:sz w:val="16"/>
      <w:szCs w:val="16"/>
    </w:rPr>
  </w:style>
  <w:style w:type="paragraph" w:styleId="10">
    <w:name w:val="toc 1"/>
    <w:basedOn w:val="a0"/>
    <w:next w:val="a0"/>
    <w:autoRedefine/>
    <w:uiPriority w:val="39"/>
    <w:rsid w:val="00C35BC5"/>
    <w:pPr>
      <w:tabs>
        <w:tab w:val="right" w:leader="dot" w:pos="8296"/>
      </w:tabs>
      <w:jc w:val="left"/>
    </w:pPr>
    <w:rPr>
      <w:rFonts w:ascii="宋体" w:eastAsia="黑体" w:hAnsi="宋体"/>
      <w:caps/>
      <w:noProof/>
      <w:sz w:val="24"/>
      <w:szCs w:val="28"/>
    </w:rPr>
  </w:style>
  <w:style w:type="paragraph" w:styleId="20">
    <w:name w:val="toc 2"/>
    <w:basedOn w:val="a0"/>
    <w:next w:val="a0"/>
    <w:autoRedefine/>
    <w:uiPriority w:val="39"/>
    <w:rsid w:val="00C35BC5"/>
    <w:pPr>
      <w:tabs>
        <w:tab w:val="right" w:leader="dot" w:pos="8268"/>
      </w:tabs>
      <w:ind w:leftChars="152" w:left="319" w:firstLineChars="348" w:firstLine="731"/>
      <w:jc w:val="left"/>
    </w:pPr>
    <w:rPr>
      <w:rFonts w:eastAsia="仿宋_GB2312"/>
      <w:smallCaps/>
      <w:noProof/>
      <w:szCs w:val="20"/>
    </w:rPr>
  </w:style>
  <w:style w:type="paragraph" w:customStyle="1" w:styleId="11">
    <w:name w:val="样式 标题 1 + 黑体 非加粗"/>
    <w:basedOn w:val="1"/>
    <w:rsid w:val="00C35BC5"/>
    <w:pPr>
      <w:pageBreakBefore/>
    </w:pPr>
    <w:rPr>
      <w:rFonts w:hAnsi="黑体"/>
      <w:b/>
    </w:rPr>
  </w:style>
  <w:style w:type="paragraph" w:customStyle="1" w:styleId="111">
    <w:name w:val="样式 标题 1 + 段前: 1 行 段后: 1 行"/>
    <w:basedOn w:val="1"/>
    <w:rsid w:val="00C35BC5"/>
    <w:pPr>
      <w:pageBreakBefore/>
    </w:pPr>
    <w:rPr>
      <w:szCs w:val="20"/>
    </w:rPr>
  </w:style>
  <w:style w:type="paragraph" w:customStyle="1" w:styleId="115">
    <w:name w:val="样式 标题 1 + 段前: 1.5 行"/>
    <w:basedOn w:val="a0"/>
    <w:rsid w:val="00C35BC5"/>
    <w:pPr>
      <w:tabs>
        <w:tab w:val="num" w:pos="990"/>
      </w:tabs>
      <w:ind w:left="990" w:hanging="840"/>
    </w:pPr>
    <w:rPr>
      <w:sz w:val="24"/>
      <w:szCs w:val="20"/>
    </w:rPr>
  </w:style>
  <w:style w:type="paragraph" w:customStyle="1" w:styleId="21">
    <w:name w:val="样式 首行缩进:  2 字符"/>
    <w:basedOn w:val="a0"/>
    <w:rsid w:val="00C35BC5"/>
    <w:pPr>
      <w:spacing w:before="100" w:beforeAutospacing="1" w:after="100" w:afterAutospacing="1" w:line="360" w:lineRule="auto"/>
      <w:ind w:firstLineChars="200" w:firstLine="480"/>
    </w:pPr>
    <w:rPr>
      <w:szCs w:val="20"/>
    </w:rPr>
  </w:style>
  <w:style w:type="paragraph" w:styleId="a4">
    <w:name w:val="header"/>
    <w:basedOn w:val="a0"/>
    <w:link w:val="Char"/>
    <w:uiPriority w:val="99"/>
    <w:rsid w:val="00C35BC5"/>
    <w:pPr>
      <w:pBdr>
        <w:bottom w:val="single" w:sz="6" w:space="1" w:color="auto"/>
      </w:pBdr>
      <w:tabs>
        <w:tab w:val="center" w:pos="4153"/>
        <w:tab w:val="right" w:pos="8306"/>
      </w:tabs>
      <w:snapToGrid w:val="0"/>
      <w:ind w:firstLineChars="200" w:firstLine="200"/>
      <w:jc w:val="center"/>
    </w:pPr>
    <w:rPr>
      <w:rFonts w:eastAsia="仿宋_GB2312"/>
      <w:sz w:val="18"/>
      <w:szCs w:val="20"/>
    </w:rPr>
  </w:style>
  <w:style w:type="character" w:customStyle="1" w:styleId="Char">
    <w:name w:val="页眉 Char"/>
    <w:basedOn w:val="a1"/>
    <w:link w:val="a4"/>
    <w:uiPriority w:val="99"/>
    <w:rsid w:val="00C35BC5"/>
    <w:rPr>
      <w:rFonts w:ascii="Times New Roman" w:eastAsia="仿宋_GB2312" w:hAnsi="Times New Roman" w:cs="Times New Roman"/>
      <w:sz w:val="18"/>
      <w:szCs w:val="20"/>
    </w:rPr>
  </w:style>
  <w:style w:type="character" w:styleId="a5">
    <w:name w:val="page number"/>
    <w:basedOn w:val="a1"/>
    <w:rsid w:val="00C35BC5"/>
  </w:style>
  <w:style w:type="paragraph" w:styleId="a6">
    <w:name w:val="footer"/>
    <w:basedOn w:val="a0"/>
    <w:link w:val="Char0"/>
    <w:uiPriority w:val="99"/>
    <w:rsid w:val="00C35BC5"/>
    <w:pPr>
      <w:tabs>
        <w:tab w:val="center" w:pos="4153"/>
        <w:tab w:val="right" w:pos="8306"/>
      </w:tabs>
      <w:snapToGrid w:val="0"/>
      <w:ind w:firstLineChars="200" w:firstLine="200"/>
      <w:jc w:val="left"/>
    </w:pPr>
    <w:rPr>
      <w:rFonts w:eastAsia="仿宋_GB2312"/>
      <w:sz w:val="18"/>
      <w:szCs w:val="20"/>
    </w:rPr>
  </w:style>
  <w:style w:type="character" w:customStyle="1" w:styleId="Char0">
    <w:name w:val="页脚 Char"/>
    <w:basedOn w:val="a1"/>
    <w:link w:val="a6"/>
    <w:uiPriority w:val="99"/>
    <w:rsid w:val="00C35BC5"/>
    <w:rPr>
      <w:rFonts w:ascii="Times New Roman" w:eastAsia="仿宋_GB2312" w:hAnsi="Times New Roman" w:cs="Times New Roman"/>
      <w:sz w:val="18"/>
      <w:szCs w:val="20"/>
    </w:rPr>
  </w:style>
  <w:style w:type="paragraph" w:customStyle="1" w:styleId="2111111">
    <w:name w:val="样式 样式 样式 标题 2 + 段前: 1 行 段后: 1 行1 + 段前: 1 行 段后: 1 行 + 段前: 1 行 段后..."/>
    <w:basedOn w:val="a0"/>
    <w:rsid w:val="00C35BC5"/>
    <w:pPr>
      <w:keepNext/>
      <w:keepLines/>
      <w:spacing w:beforeLines="100" w:afterLines="100"/>
      <w:outlineLvl w:val="1"/>
    </w:pPr>
    <w:rPr>
      <w:rFonts w:ascii="Arial" w:hAnsi="Arial"/>
      <w:b/>
      <w:bCs/>
      <w:sz w:val="28"/>
      <w:szCs w:val="20"/>
    </w:rPr>
  </w:style>
  <w:style w:type="paragraph" w:customStyle="1" w:styleId="2111">
    <w:name w:val="样式 标题 2 + 段前: 1 行 段后: 1 行1"/>
    <w:basedOn w:val="2"/>
    <w:rsid w:val="00C35BC5"/>
    <w:pPr>
      <w:ind w:firstLineChars="0" w:firstLine="0"/>
    </w:pPr>
    <w:rPr>
      <w:bCs/>
      <w:szCs w:val="20"/>
    </w:rPr>
  </w:style>
  <w:style w:type="paragraph" w:customStyle="1" w:styleId="211111">
    <w:name w:val="样式 样式 标题 2 + 段前: 1 行 段后: 1 行1 + 段前: 1 行 段后: 1 行"/>
    <w:basedOn w:val="2111"/>
    <w:rsid w:val="00C35BC5"/>
  </w:style>
  <w:style w:type="character" w:customStyle="1" w:styleId="big1">
    <w:name w:val="big1"/>
    <w:basedOn w:val="a1"/>
    <w:rsid w:val="00C35BC5"/>
    <w:rPr>
      <w:spacing w:val="360"/>
      <w:sz w:val="22"/>
      <w:szCs w:val="22"/>
    </w:rPr>
  </w:style>
  <w:style w:type="character" w:customStyle="1" w:styleId="read1">
    <w:name w:val="read1"/>
    <w:basedOn w:val="a1"/>
    <w:rsid w:val="00C35BC5"/>
    <w:rPr>
      <w:rFonts w:ascii="ˎ̥" w:hAnsi="ˎ̥" w:hint="default"/>
      <w:strike w:val="0"/>
      <w:dstrike w:val="0"/>
      <w:color w:val="000000"/>
      <w:u w:val="none"/>
      <w:effect w:val="none"/>
    </w:rPr>
  </w:style>
  <w:style w:type="paragraph" w:styleId="a7">
    <w:name w:val="Title"/>
    <w:basedOn w:val="a0"/>
    <w:link w:val="Char1"/>
    <w:qFormat/>
    <w:rsid w:val="00C35BC5"/>
    <w:pPr>
      <w:spacing w:before="240" w:after="60"/>
      <w:jc w:val="center"/>
      <w:outlineLvl w:val="0"/>
    </w:pPr>
    <w:rPr>
      <w:rFonts w:ascii="Arial" w:hAnsi="Arial" w:cs="Arial"/>
      <w:b/>
      <w:bCs/>
      <w:sz w:val="32"/>
      <w:szCs w:val="32"/>
    </w:rPr>
  </w:style>
  <w:style w:type="character" w:customStyle="1" w:styleId="Char1">
    <w:name w:val="标题 Char"/>
    <w:basedOn w:val="a1"/>
    <w:link w:val="a7"/>
    <w:rsid w:val="00C35BC5"/>
    <w:rPr>
      <w:rFonts w:ascii="Arial" w:eastAsia="宋体" w:hAnsi="Arial" w:cs="Arial"/>
      <w:b/>
      <w:bCs/>
      <w:sz w:val="32"/>
      <w:szCs w:val="32"/>
    </w:rPr>
  </w:style>
  <w:style w:type="paragraph" w:styleId="a8">
    <w:name w:val="Closing"/>
    <w:basedOn w:val="a0"/>
    <w:link w:val="Char2"/>
    <w:rsid w:val="00C35BC5"/>
    <w:pPr>
      <w:ind w:leftChars="2100" w:left="100"/>
    </w:pPr>
  </w:style>
  <w:style w:type="character" w:customStyle="1" w:styleId="Char2">
    <w:name w:val="结束语 Char"/>
    <w:basedOn w:val="a1"/>
    <w:link w:val="a8"/>
    <w:rsid w:val="00C35BC5"/>
    <w:rPr>
      <w:rFonts w:ascii="Times New Roman" w:eastAsia="宋体" w:hAnsi="Times New Roman" w:cs="Times New Roman"/>
      <w:szCs w:val="24"/>
    </w:rPr>
  </w:style>
  <w:style w:type="paragraph" w:styleId="a9">
    <w:name w:val="List Number"/>
    <w:basedOn w:val="a0"/>
    <w:rsid w:val="00C35BC5"/>
    <w:pPr>
      <w:tabs>
        <w:tab w:val="num" w:pos="360"/>
      </w:tabs>
      <w:ind w:left="360" w:hangingChars="200" w:hanging="360"/>
    </w:pPr>
  </w:style>
  <w:style w:type="paragraph" w:styleId="22">
    <w:name w:val="List Number 2"/>
    <w:basedOn w:val="a0"/>
    <w:rsid w:val="00C35BC5"/>
    <w:pPr>
      <w:tabs>
        <w:tab w:val="num" w:pos="780"/>
      </w:tabs>
      <w:ind w:leftChars="200" w:left="780" w:hangingChars="200" w:hanging="360"/>
    </w:pPr>
  </w:style>
  <w:style w:type="paragraph" w:styleId="31">
    <w:name w:val="List Number 3"/>
    <w:basedOn w:val="a0"/>
    <w:rsid w:val="00C35BC5"/>
    <w:pPr>
      <w:tabs>
        <w:tab w:val="num" w:pos="1200"/>
      </w:tabs>
      <w:ind w:leftChars="400" w:left="1200" w:hangingChars="200" w:hanging="360"/>
    </w:pPr>
  </w:style>
  <w:style w:type="paragraph" w:styleId="40">
    <w:name w:val="List Number 4"/>
    <w:basedOn w:val="a0"/>
    <w:rsid w:val="00C35BC5"/>
    <w:pPr>
      <w:tabs>
        <w:tab w:val="num" w:pos="1620"/>
      </w:tabs>
      <w:ind w:leftChars="600" w:left="1620" w:hangingChars="200" w:hanging="360"/>
    </w:pPr>
  </w:style>
  <w:style w:type="paragraph" w:styleId="50">
    <w:name w:val="List Number 5"/>
    <w:basedOn w:val="a0"/>
    <w:rsid w:val="00C35BC5"/>
    <w:pPr>
      <w:tabs>
        <w:tab w:val="num" w:pos="2040"/>
      </w:tabs>
      <w:ind w:leftChars="800" w:left="2040" w:hangingChars="200" w:hanging="360"/>
    </w:pPr>
  </w:style>
  <w:style w:type="paragraph" w:styleId="aa">
    <w:name w:val="List Bullet"/>
    <w:basedOn w:val="a0"/>
    <w:autoRedefine/>
    <w:rsid w:val="00C35BC5"/>
    <w:pPr>
      <w:tabs>
        <w:tab w:val="num" w:pos="360"/>
      </w:tabs>
      <w:ind w:left="360" w:hangingChars="200" w:hanging="360"/>
    </w:pPr>
  </w:style>
  <w:style w:type="paragraph" w:styleId="23">
    <w:name w:val="List Bullet 2"/>
    <w:basedOn w:val="a0"/>
    <w:autoRedefine/>
    <w:rsid w:val="00C35BC5"/>
    <w:pPr>
      <w:tabs>
        <w:tab w:val="num" w:pos="780"/>
      </w:tabs>
      <w:ind w:leftChars="200" w:left="780" w:hangingChars="200" w:hanging="360"/>
    </w:pPr>
  </w:style>
  <w:style w:type="paragraph" w:styleId="32">
    <w:name w:val="List Bullet 3"/>
    <w:basedOn w:val="a0"/>
    <w:autoRedefine/>
    <w:rsid w:val="00C35BC5"/>
    <w:pPr>
      <w:tabs>
        <w:tab w:val="num" w:pos="1200"/>
      </w:tabs>
      <w:ind w:leftChars="400" w:left="1200" w:hangingChars="200" w:hanging="360"/>
    </w:pPr>
  </w:style>
  <w:style w:type="paragraph" w:styleId="41">
    <w:name w:val="List Bullet 4"/>
    <w:basedOn w:val="a0"/>
    <w:autoRedefine/>
    <w:rsid w:val="00C35BC5"/>
    <w:pPr>
      <w:tabs>
        <w:tab w:val="num" w:pos="1620"/>
      </w:tabs>
      <w:ind w:leftChars="600" w:left="1620" w:hangingChars="200" w:hanging="360"/>
    </w:pPr>
  </w:style>
  <w:style w:type="paragraph" w:styleId="51">
    <w:name w:val="List Bullet 5"/>
    <w:basedOn w:val="a0"/>
    <w:autoRedefine/>
    <w:rsid w:val="00C35BC5"/>
    <w:pPr>
      <w:tabs>
        <w:tab w:val="num" w:pos="2040"/>
      </w:tabs>
      <w:ind w:leftChars="800" w:left="2040" w:hangingChars="200" w:hanging="360"/>
    </w:pPr>
  </w:style>
  <w:style w:type="paragraph" w:styleId="ab">
    <w:name w:val="table of figures"/>
    <w:basedOn w:val="a0"/>
    <w:next w:val="a0"/>
    <w:semiHidden/>
    <w:rsid w:val="00C35BC5"/>
    <w:pPr>
      <w:ind w:leftChars="200" w:left="840" w:hangingChars="200" w:hanging="420"/>
    </w:pPr>
  </w:style>
  <w:style w:type="paragraph" w:styleId="ac">
    <w:name w:val="Body Text"/>
    <w:basedOn w:val="a0"/>
    <w:link w:val="Char3"/>
    <w:rsid w:val="00C35BC5"/>
    <w:pPr>
      <w:spacing w:after="120"/>
    </w:pPr>
  </w:style>
  <w:style w:type="character" w:customStyle="1" w:styleId="Char3">
    <w:name w:val="正文文本 Char"/>
    <w:basedOn w:val="a1"/>
    <w:link w:val="ac"/>
    <w:rsid w:val="00C35BC5"/>
    <w:rPr>
      <w:rFonts w:ascii="Times New Roman" w:eastAsia="宋体" w:hAnsi="Times New Roman" w:cs="Times New Roman"/>
      <w:szCs w:val="24"/>
    </w:rPr>
  </w:style>
  <w:style w:type="paragraph" w:styleId="ad">
    <w:name w:val="Body Text First Indent"/>
    <w:basedOn w:val="ac"/>
    <w:link w:val="Char4"/>
    <w:rsid w:val="00C35BC5"/>
    <w:pPr>
      <w:ind w:firstLineChars="100" w:firstLine="420"/>
    </w:pPr>
  </w:style>
  <w:style w:type="character" w:customStyle="1" w:styleId="Char4">
    <w:name w:val="正文首行缩进 Char"/>
    <w:basedOn w:val="Char3"/>
    <w:link w:val="ad"/>
    <w:rsid w:val="00C35BC5"/>
    <w:rPr>
      <w:rFonts w:ascii="Times New Roman" w:eastAsia="宋体" w:hAnsi="Times New Roman" w:cs="Times New Roman"/>
      <w:szCs w:val="24"/>
    </w:rPr>
  </w:style>
  <w:style w:type="paragraph" w:styleId="ae">
    <w:name w:val="Body Text Indent"/>
    <w:basedOn w:val="a0"/>
    <w:link w:val="Char5"/>
    <w:rsid w:val="00C35BC5"/>
    <w:pPr>
      <w:spacing w:after="120"/>
      <w:ind w:left="420"/>
    </w:pPr>
  </w:style>
  <w:style w:type="character" w:customStyle="1" w:styleId="Char5">
    <w:name w:val="正文文本缩进 Char"/>
    <w:basedOn w:val="a1"/>
    <w:link w:val="ae"/>
    <w:rsid w:val="00C35BC5"/>
    <w:rPr>
      <w:rFonts w:ascii="Times New Roman" w:eastAsia="宋体" w:hAnsi="Times New Roman" w:cs="Times New Roman"/>
      <w:szCs w:val="24"/>
    </w:rPr>
  </w:style>
  <w:style w:type="paragraph" w:styleId="af">
    <w:name w:val="Note Heading"/>
    <w:basedOn w:val="a0"/>
    <w:next w:val="a0"/>
    <w:link w:val="Char6"/>
    <w:rsid w:val="00C35BC5"/>
    <w:pPr>
      <w:jc w:val="center"/>
    </w:pPr>
  </w:style>
  <w:style w:type="character" w:customStyle="1" w:styleId="Char6">
    <w:name w:val="注释标题 Char"/>
    <w:basedOn w:val="a1"/>
    <w:link w:val="af"/>
    <w:rsid w:val="00C35BC5"/>
    <w:rPr>
      <w:rFonts w:ascii="Times New Roman" w:eastAsia="宋体" w:hAnsi="Times New Roman" w:cs="Times New Roman"/>
      <w:szCs w:val="24"/>
    </w:rPr>
  </w:style>
  <w:style w:type="character" w:customStyle="1" w:styleId="font141">
    <w:name w:val="font141"/>
    <w:basedOn w:val="a1"/>
    <w:rsid w:val="00C35BC5"/>
    <w:rPr>
      <w:rFonts w:ascii="宋体" w:eastAsia="宋体" w:hAnsi="宋体" w:hint="eastAsia"/>
      <w:spacing w:val="300"/>
      <w:sz w:val="21"/>
      <w:szCs w:val="21"/>
    </w:rPr>
  </w:style>
  <w:style w:type="character" w:customStyle="1" w:styleId="da">
    <w:name w:val="da"/>
    <w:basedOn w:val="a1"/>
    <w:rsid w:val="00C35BC5"/>
  </w:style>
  <w:style w:type="paragraph" w:customStyle="1" w:styleId="af0">
    <w:name w:val="特点"/>
    <w:aliases w:val="表正文,正文非缩进,段1"/>
    <w:basedOn w:val="a0"/>
    <w:next w:val="af1"/>
    <w:rsid w:val="00C35BC5"/>
    <w:pPr>
      <w:ind w:firstLine="420"/>
    </w:pPr>
    <w:rPr>
      <w:szCs w:val="20"/>
    </w:rPr>
  </w:style>
  <w:style w:type="paragraph" w:styleId="af1">
    <w:name w:val="Normal Indent"/>
    <w:aliases w:val="正文缩进1,ALT+Z"/>
    <w:basedOn w:val="a0"/>
    <w:rsid w:val="00C35BC5"/>
    <w:pPr>
      <w:ind w:firstLine="420"/>
    </w:pPr>
  </w:style>
  <w:style w:type="paragraph" w:styleId="33">
    <w:name w:val="Body Text Indent 3"/>
    <w:basedOn w:val="a0"/>
    <w:link w:val="3Char1"/>
    <w:rsid w:val="00C35BC5"/>
    <w:pPr>
      <w:spacing w:after="120"/>
      <w:ind w:left="420"/>
    </w:pPr>
    <w:rPr>
      <w:sz w:val="16"/>
      <w:szCs w:val="16"/>
    </w:rPr>
  </w:style>
  <w:style w:type="character" w:customStyle="1" w:styleId="3Char1">
    <w:name w:val="正文文本缩进 3 Char"/>
    <w:basedOn w:val="a1"/>
    <w:link w:val="33"/>
    <w:rsid w:val="00C35BC5"/>
    <w:rPr>
      <w:rFonts w:ascii="Times New Roman" w:eastAsia="宋体" w:hAnsi="Times New Roman" w:cs="Times New Roman"/>
      <w:sz w:val="16"/>
      <w:szCs w:val="16"/>
    </w:rPr>
  </w:style>
  <w:style w:type="paragraph" w:styleId="af2">
    <w:name w:val="Plain Text"/>
    <w:basedOn w:val="a0"/>
    <w:link w:val="Char10"/>
    <w:rsid w:val="00C35BC5"/>
    <w:rPr>
      <w:rFonts w:ascii="宋体" w:hAnsi="Courier New" w:cs="Courier New"/>
      <w:szCs w:val="21"/>
    </w:rPr>
  </w:style>
  <w:style w:type="character" w:customStyle="1" w:styleId="Char10">
    <w:name w:val="纯文本 Char1"/>
    <w:basedOn w:val="a1"/>
    <w:link w:val="af2"/>
    <w:rsid w:val="00C35BC5"/>
    <w:rPr>
      <w:rFonts w:ascii="宋体" w:eastAsia="宋体" w:hAnsi="Courier New" w:cs="Courier New"/>
      <w:szCs w:val="21"/>
    </w:rPr>
  </w:style>
  <w:style w:type="character" w:styleId="af3">
    <w:name w:val="Hyperlink"/>
    <w:basedOn w:val="a1"/>
    <w:uiPriority w:val="99"/>
    <w:rsid w:val="00C35BC5"/>
    <w:rPr>
      <w:color w:val="0000FF"/>
      <w:u w:val="single"/>
    </w:rPr>
  </w:style>
  <w:style w:type="paragraph" w:styleId="24">
    <w:name w:val="Body Text Indent 2"/>
    <w:basedOn w:val="a0"/>
    <w:link w:val="2Char0"/>
    <w:rsid w:val="00C35BC5"/>
    <w:pPr>
      <w:spacing w:after="120" w:line="480" w:lineRule="auto"/>
      <w:ind w:left="420"/>
    </w:pPr>
  </w:style>
  <w:style w:type="character" w:customStyle="1" w:styleId="2Char0">
    <w:name w:val="正文文本缩进 2 Char"/>
    <w:basedOn w:val="a1"/>
    <w:link w:val="24"/>
    <w:rsid w:val="00C35BC5"/>
    <w:rPr>
      <w:rFonts w:ascii="Times New Roman" w:eastAsia="宋体" w:hAnsi="Times New Roman" w:cs="Times New Roman"/>
      <w:szCs w:val="24"/>
    </w:rPr>
  </w:style>
  <w:style w:type="paragraph" w:styleId="25">
    <w:name w:val="Body Text 2"/>
    <w:basedOn w:val="a0"/>
    <w:link w:val="2Char1"/>
    <w:rsid w:val="00C35BC5"/>
    <w:pPr>
      <w:spacing w:after="120" w:line="480" w:lineRule="auto"/>
    </w:pPr>
  </w:style>
  <w:style w:type="character" w:customStyle="1" w:styleId="2Char1">
    <w:name w:val="正文文本 2 Char"/>
    <w:basedOn w:val="a1"/>
    <w:link w:val="25"/>
    <w:rsid w:val="00C35BC5"/>
    <w:rPr>
      <w:rFonts w:ascii="Times New Roman" w:eastAsia="宋体" w:hAnsi="Times New Roman" w:cs="Times New Roman"/>
      <w:szCs w:val="24"/>
    </w:rPr>
  </w:style>
  <w:style w:type="character" w:styleId="af4">
    <w:name w:val="FollowedHyperlink"/>
    <w:basedOn w:val="a1"/>
    <w:uiPriority w:val="99"/>
    <w:rsid w:val="00C35BC5"/>
    <w:rPr>
      <w:color w:val="800080"/>
      <w:u w:val="single"/>
    </w:rPr>
  </w:style>
  <w:style w:type="paragraph" w:styleId="HTML">
    <w:name w:val="HTML Preformatted"/>
    <w:basedOn w:val="a0"/>
    <w:link w:val="HTMLChar"/>
    <w:uiPriority w:val="99"/>
    <w:rsid w:val="00C35BC5"/>
    <w:rPr>
      <w:rFonts w:ascii="Courier New" w:hAnsi="Courier New" w:cs="Courier New"/>
      <w:sz w:val="20"/>
      <w:szCs w:val="20"/>
    </w:rPr>
  </w:style>
  <w:style w:type="character" w:customStyle="1" w:styleId="HTMLChar">
    <w:name w:val="HTML 预设格式 Char"/>
    <w:basedOn w:val="a1"/>
    <w:link w:val="HTML"/>
    <w:uiPriority w:val="99"/>
    <w:rsid w:val="00C35BC5"/>
    <w:rPr>
      <w:rFonts w:ascii="Courier New" w:eastAsia="宋体" w:hAnsi="Courier New" w:cs="Courier New"/>
      <w:sz w:val="20"/>
      <w:szCs w:val="20"/>
    </w:rPr>
  </w:style>
  <w:style w:type="paragraph" w:styleId="af5">
    <w:name w:val="Normal (Web)"/>
    <w:basedOn w:val="a0"/>
    <w:rsid w:val="00C35BC5"/>
    <w:rPr>
      <w:sz w:val="24"/>
    </w:rPr>
  </w:style>
  <w:style w:type="paragraph" w:styleId="a">
    <w:name w:val="Subtitle"/>
    <w:basedOn w:val="a0"/>
    <w:link w:val="Char7"/>
    <w:qFormat/>
    <w:rsid w:val="00C35BC5"/>
    <w:pPr>
      <w:numPr>
        <w:numId w:val="17"/>
      </w:numPr>
      <w:tabs>
        <w:tab w:val="clear" w:pos="360"/>
      </w:tabs>
      <w:spacing w:before="240" w:after="60" w:line="312" w:lineRule="auto"/>
      <w:jc w:val="center"/>
      <w:outlineLvl w:val="1"/>
    </w:pPr>
    <w:rPr>
      <w:rFonts w:ascii="Arial" w:hAnsi="Arial" w:cs="Arial"/>
      <w:b/>
      <w:bCs/>
      <w:kern w:val="28"/>
      <w:sz w:val="32"/>
      <w:szCs w:val="32"/>
    </w:rPr>
  </w:style>
  <w:style w:type="character" w:customStyle="1" w:styleId="Char7">
    <w:name w:val="副标题 Char"/>
    <w:basedOn w:val="a1"/>
    <w:link w:val="a"/>
    <w:rsid w:val="00C35BC5"/>
    <w:rPr>
      <w:rFonts w:ascii="Arial" w:hAnsi="Arial" w:cs="Arial"/>
      <w:b/>
      <w:bCs/>
      <w:kern w:val="28"/>
      <w:sz w:val="32"/>
      <w:szCs w:val="32"/>
    </w:rPr>
  </w:style>
  <w:style w:type="paragraph" w:styleId="af6">
    <w:name w:val="Block Text"/>
    <w:basedOn w:val="a0"/>
    <w:rsid w:val="00C35BC5"/>
    <w:pPr>
      <w:spacing w:after="120"/>
      <w:ind w:left="1440" w:right="1440"/>
    </w:pPr>
  </w:style>
  <w:style w:type="character" w:styleId="af7">
    <w:name w:val="Strong"/>
    <w:basedOn w:val="a1"/>
    <w:qFormat/>
    <w:rsid w:val="00C35BC5"/>
    <w:rPr>
      <w:b/>
      <w:bCs/>
    </w:rPr>
  </w:style>
  <w:style w:type="paragraph" w:styleId="af8">
    <w:name w:val="Document Map"/>
    <w:basedOn w:val="a0"/>
    <w:link w:val="Char8"/>
    <w:semiHidden/>
    <w:rsid w:val="00C35BC5"/>
    <w:pPr>
      <w:shd w:val="clear" w:color="auto" w:fill="000080"/>
    </w:pPr>
  </w:style>
  <w:style w:type="character" w:customStyle="1" w:styleId="Char8">
    <w:name w:val="文档结构图 Char"/>
    <w:basedOn w:val="a1"/>
    <w:link w:val="af8"/>
    <w:semiHidden/>
    <w:rsid w:val="00C35BC5"/>
    <w:rPr>
      <w:rFonts w:ascii="Times New Roman" w:eastAsia="宋体" w:hAnsi="Times New Roman" w:cs="Times New Roman"/>
      <w:szCs w:val="24"/>
      <w:shd w:val="clear" w:color="auto" w:fill="000080"/>
    </w:rPr>
  </w:style>
  <w:style w:type="paragraph" w:customStyle="1" w:styleId="26">
    <w:name w:val="列表2"/>
    <w:basedOn w:val="a0"/>
    <w:next w:val="a7"/>
    <w:rsid w:val="00C35BC5"/>
    <w:pPr>
      <w:tabs>
        <w:tab w:val="num" w:pos="360"/>
      </w:tabs>
      <w:spacing w:line="360" w:lineRule="auto"/>
    </w:pPr>
    <w:rPr>
      <w:rFonts w:ascii="宋体"/>
      <w:szCs w:val="20"/>
    </w:rPr>
  </w:style>
  <w:style w:type="paragraph" w:customStyle="1" w:styleId="12">
    <w:name w:val="列表1"/>
    <w:basedOn w:val="a0"/>
    <w:next w:val="a0"/>
    <w:rsid w:val="00C35BC5"/>
    <w:pPr>
      <w:tabs>
        <w:tab w:val="num" w:pos="644"/>
      </w:tabs>
      <w:spacing w:line="360" w:lineRule="auto"/>
      <w:ind w:left="567" w:hanging="283"/>
    </w:pPr>
    <w:rPr>
      <w:szCs w:val="20"/>
    </w:rPr>
  </w:style>
  <w:style w:type="paragraph" w:customStyle="1" w:styleId="2211">
    <w:name w:val="样式 标题 2 + 首行缩进:  2 字符 段前: 1 行 段后: 1 行"/>
    <w:basedOn w:val="2"/>
    <w:rsid w:val="00C35BC5"/>
    <w:pPr>
      <w:tabs>
        <w:tab w:val="num" w:pos="1276"/>
      </w:tabs>
      <w:spacing w:beforeLines="0" w:afterLines="0"/>
      <w:ind w:left="851" w:firstLineChars="0" w:firstLine="0"/>
    </w:pPr>
    <w:rPr>
      <w:szCs w:val="20"/>
    </w:rPr>
  </w:style>
  <w:style w:type="paragraph" w:styleId="af9">
    <w:name w:val="Balloon Text"/>
    <w:basedOn w:val="a0"/>
    <w:link w:val="Char9"/>
    <w:semiHidden/>
    <w:rsid w:val="00C35BC5"/>
    <w:rPr>
      <w:sz w:val="18"/>
      <w:szCs w:val="18"/>
    </w:rPr>
  </w:style>
  <w:style w:type="character" w:customStyle="1" w:styleId="Char9">
    <w:name w:val="批注框文本 Char"/>
    <w:basedOn w:val="a1"/>
    <w:link w:val="af9"/>
    <w:semiHidden/>
    <w:rsid w:val="00C35BC5"/>
    <w:rPr>
      <w:rFonts w:ascii="Times New Roman" w:eastAsia="宋体" w:hAnsi="Times New Roman" w:cs="Times New Roman"/>
      <w:sz w:val="18"/>
      <w:szCs w:val="18"/>
    </w:rPr>
  </w:style>
  <w:style w:type="character" w:customStyle="1" w:styleId="read">
    <w:name w:val="read"/>
    <w:basedOn w:val="a1"/>
    <w:rsid w:val="00C35BC5"/>
  </w:style>
  <w:style w:type="paragraph" w:styleId="afa">
    <w:name w:val="annotation text"/>
    <w:basedOn w:val="a0"/>
    <w:link w:val="Chara"/>
    <w:semiHidden/>
    <w:unhideWhenUsed/>
    <w:rsid w:val="00C35BC5"/>
    <w:pPr>
      <w:jc w:val="left"/>
    </w:pPr>
  </w:style>
  <w:style w:type="character" w:customStyle="1" w:styleId="Chara">
    <w:name w:val="批注文字 Char"/>
    <w:basedOn w:val="a1"/>
    <w:link w:val="afa"/>
    <w:semiHidden/>
    <w:rsid w:val="00C35BC5"/>
    <w:rPr>
      <w:rFonts w:ascii="Times New Roman" w:eastAsia="宋体" w:hAnsi="Times New Roman" w:cs="Times New Roman"/>
      <w:szCs w:val="24"/>
    </w:rPr>
  </w:style>
  <w:style w:type="paragraph" w:styleId="afb">
    <w:name w:val="annotation subject"/>
    <w:basedOn w:val="afa"/>
    <w:next w:val="afa"/>
    <w:link w:val="Charb"/>
    <w:semiHidden/>
    <w:rsid w:val="00C35BC5"/>
    <w:rPr>
      <w:b/>
      <w:bCs/>
    </w:rPr>
  </w:style>
  <w:style w:type="character" w:customStyle="1" w:styleId="Charb">
    <w:name w:val="批注主题 Char"/>
    <w:basedOn w:val="Chara"/>
    <w:link w:val="afb"/>
    <w:semiHidden/>
    <w:rsid w:val="00C35BC5"/>
    <w:rPr>
      <w:rFonts w:ascii="Times New Roman" w:eastAsia="宋体" w:hAnsi="Times New Roman" w:cs="Times New Roman"/>
      <w:b/>
      <w:bCs/>
      <w:szCs w:val="24"/>
    </w:rPr>
  </w:style>
  <w:style w:type="paragraph" w:customStyle="1" w:styleId="13">
    <w:name w:val="1"/>
    <w:basedOn w:val="a0"/>
    <w:rsid w:val="00C35BC5"/>
    <w:pPr>
      <w:spacing w:before="100" w:beforeAutospacing="1" w:after="120" w:afterAutospacing="1" w:line="360" w:lineRule="auto"/>
      <w:ind w:leftChars="200" w:left="420"/>
    </w:pPr>
  </w:style>
  <w:style w:type="paragraph" w:customStyle="1" w:styleId="211211">
    <w:name w:val="样式 样式 标题 2 + 段前: 1 行 段后: 1 行2 + 段前: 1 行 段后: 1 行"/>
    <w:basedOn w:val="a0"/>
    <w:rsid w:val="00C35BC5"/>
    <w:pPr>
      <w:keepNext/>
      <w:keepLines/>
      <w:numPr>
        <w:numId w:val="23"/>
      </w:numPr>
      <w:spacing w:beforeLines="100" w:afterLines="100"/>
      <w:ind w:firstLineChars="200" w:firstLine="200"/>
      <w:outlineLvl w:val="1"/>
    </w:pPr>
    <w:rPr>
      <w:rFonts w:ascii="Arial" w:hAnsi="Arial"/>
      <w:b/>
      <w:bCs/>
      <w:sz w:val="28"/>
      <w:szCs w:val="20"/>
    </w:rPr>
  </w:style>
  <w:style w:type="paragraph" w:customStyle="1" w:styleId="xl33">
    <w:name w:val="xl33"/>
    <w:basedOn w:val="a0"/>
    <w:rsid w:val="00C35BC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30">
    <w:name w:val="xl30"/>
    <w:basedOn w:val="a0"/>
    <w:rsid w:val="00C35BC5"/>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paragraph" w:customStyle="1" w:styleId="afc">
    <w:name w:val="简单回函地址"/>
    <w:basedOn w:val="a0"/>
    <w:rsid w:val="00C35BC5"/>
  </w:style>
  <w:style w:type="paragraph" w:styleId="afd">
    <w:name w:val="Date"/>
    <w:basedOn w:val="a0"/>
    <w:next w:val="a0"/>
    <w:link w:val="Charc"/>
    <w:rsid w:val="00C35BC5"/>
    <w:rPr>
      <w:sz w:val="24"/>
      <w:szCs w:val="20"/>
    </w:rPr>
  </w:style>
  <w:style w:type="character" w:customStyle="1" w:styleId="Charc">
    <w:name w:val="日期 Char"/>
    <w:basedOn w:val="a1"/>
    <w:link w:val="afd"/>
    <w:rsid w:val="00C35BC5"/>
    <w:rPr>
      <w:rFonts w:ascii="Times New Roman" w:eastAsia="宋体" w:hAnsi="Times New Roman" w:cs="Times New Roman"/>
      <w:sz w:val="24"/>
      <w:szCs w:val="20"/>
    </w:rPr>
  </w:style>
  <w:style w:type="character" w:customStyle="1" w:styleId="afe">
    <w:name w:val="a"/>
    <w:basedOn w:val="a1"/>
    <w:rsid w:val="00C35BC5"/>
  </w:style>
  <w:style w:type="paragraph" w:customStyle="1" w:styleId="CharCharCharChar">
    <w:name w:val="Char Char Char Char"/>
    <w:basedOn w:val="a0"/>
    <w:autoRedefine/>
    <w:rsid w:val="00C35BC5"/>
    <w:pPr>
      <w:tabs>
        <w:tab w:val="num" w:pos="840"/>
      </w:tabs>
      <w:adjustRightInd w:val="0"/>
      <w:spacing w:line="360" w:lineRule="atLeast"/>
      <w:ind w:left="840" w:hanging="360"/>
      <w:textAlignment w:val="baseline"/>
    </w:pPr>
    <w:rPr>
      <w:sz w:val="24"/>
    </w:rPr>
  </w:style>
  <w:style w:type="paragraph" w:customStyle="1" w:styleId="font14">
    <w:name w:val="font14"/>
    <w:basedOn w:val="a0"/>
    <w:rsid w:val="00C35BC5"/>
    <w:pPr>
      <w:widowControl/>
      <w:spacing w:before="100" w:beforeAutospacing="1" w:after="100" w:afterAutospacing="1" w:line="360" w:lineRule="auto"/>
      <w:jc w:val="left"/>
    </w:pPr>
    <w:rPr>
      <w:rFonts w:eastAsia="Arial Unicode MS" w:cs="Arial Unicode MS"/>
      <w:kern w:val="0"/>
      <w:szCs w:val="21"/>
    </w:rPr>
  </w:style>
  <w:style w:type="paragraph" w:styleId="90">
    <w:name w:val="toc 9"/>
    <w:basedOn w:val="a0"/>
    <w:next w:val="a0"/>
    <w:autoRedefine/>
    <w:uiPriority w:val="39"/>
    <w:rsid w:val="00C35BC5"/>
    <w:pPr>
      <w:ind w:leftChars="1600" w:left="3360"/>
    </w:pPr>
  </w:style>
  <w:style w:type="character" w:customStyle="1" w:styleId="txtcontent11">
    <w:name w:val="txtcontent11"/>
    <w:basedOn w:val="a1"/>
    <w:rsid w:val="00C35BC5"/>
    <w:rPr>
      <w:rFonts w:ascii="ˎ̥" w:hAnsi="ˎ̥" w:hint="default"/>
      <w:b w:val="0"/>
      <w:bCs w:val="0"/>
      <w:color w:val="000000"/>
      <w:sz w:val="21"/>
      <w:szCs w:val="21"/>
    </w:rPr>
  </w:style>
  <w:style w:type="character" w:styleId="HTML0">
    <w:name w:val="HTML Typewriter"/>
    <w:basedOn w:val="a1"/>
    <w:uiPriority w:val="99"/>
    <w:rsid w:val="00C35BC5"/>
    <w:rPr>
      <w:rFonts w:ascii="黑体" w:eastAsia="黑体" w:hAnsi="Courier New" w:cs="Courier New"/>
      <w:sz w:val="20"/>
      <w:szCs w:val="20"/>
    </w:rPr>
  </w:style>
  <w:style w:type="paragraph" w:customStyle="1" w:styleId="xl27">
    <w:name w:val="xl27"/>
    <w:basedOn w:val="a0"/>
    <w:rsid w:val="00C35BC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3"/>
      <w:szCs w:val="23"/>
    </w:rPr>
  </w:style>
  <w:style w:type="paragraph" w:customStyle="1" w:styleId="2112">
    <w:name w:val="样式 标题 2 + 段前: 1 行 段后: 1 行2"/>
    <w:basedOn w:val="2"/>
    <w:rsid w:val="00C35BC5"/>
    <w:rPr>
      <w:bCs/>
      <w:szCs w:val="20"/>
    </w:rPr>
  </w:style>
  <w:style w:type="paragraph" w:customStyle="1" w:styleId="1211">
    <w:name w:val="样式 标题 1 + 首行缩进:  2 字符 段前: 1 行 段后: 1 行"/>
    <w:basedOn w:val="1"/>
    <w:rsid w:val="00C35BC5"/>
    <w:pPr>
      <w:pageBreakBefore/>
      <w:ind w:firstLineChars="0" w:firstLine="0"/>
    </w:pPr>
    <w:rPr>
      <w:szCs w:val="20"/>
    </w:rPr>
  </w:style>
  <w:style w:type="paragraph" w:customStyle="1" w:styleId="22111">
    <w:name w:val="样式 标题 2 + 首行缩进:  2 字符 段前: 1 行 段后: 1 行1"/>
    <w:basedOn w:val="2"/>
    <w:rsid w:val="00C35BC5"/>
    <w:pPr>
      <w:ind w:firstLineChars="0" w:firstLine="0"/>
    </w:pPr>
    <w:rPr>
      <w:bCs/>
      <w:szCs w:val="20"/>
    </w:rPr>
  </w:style>
  <w:style w:type="paragraph" w:customStyle="1" w:styleId="2113">
    <w:name w:val="样式 标题 2 + 段前: 1 行 段后: 1 行3"/>
    <w:basedOn w:val="2"/>
    <w:rsid w:val="00C35BC5"/>
    <w:pPr>
      <w:ind w:firstLineChars="0" w:firstLine="0"/>
    </w:pPr>
    <w:rPr>
      <w:bCs/>
      <w:szCs w:val="20"/>
    </w:rPr>
  </w:style>
  <w:style w:type="paragraph" w:customStyle="1" w:styleId="211311">
    <w:name w:val="样式 样式 标题 2 + 段前: 1 行 段后: 1 行3 + 段前: 1 行 段后: 1 行"/>
    <w:basedOn w:val="2113"/>
    <w:rsid w:val="00C35BC5"/>
    <w:pPr>
      <w:spacing w:before="440" w:after="440"/>
      <w:jc w:val="center"/>
    </w:pPr>
  </w:style>
  <w:style w:type="paragraph" w:styleId="aff">
    <w:name w:val="footnote text"/>
    <w:basedOn w:val="a0"/>
    <w:link w:val="Chard"/>
    <w:semiHidden/>
    <w:rsid w:val="00C35BC5"/>
    <w:pPr>
      <w:snapToGrid w:val="0"/>
      <w:jc w:val="left"/>
    </w:pPr>
    <w:rPr>
      <w:sz w:val="18"/>
      <w:szCs w:val="18"/>
    </w:rPr>
  </w:style>
  <w:style w:type="character" w:customStyle="1" w:styleId="Chard">
    <w:name w:val="脚注文本 Char"/>
    <w:basedOn w:val="a1"/>
    <w:link w:val="aff"/>
    <w:semiHidden/>
    <w:rsid w:val="00C35BC5"/>
    <w:rPr>
      <w:rFonts w:ascii="Times New Roman" w:eastAsia="宋体" w:hAnsi="Times New Roman" w:cs="Times New Roman"/>
      <w:sz w:val="18"/>
      <w:szCs w:val="18"/>
    </w:rPr>
  </w:style>
  <w:style w:type="paragraph" w:styleId="34">
    <w:name w:val="toc 3"/>
    <w:basedOn w:val="a0"/>
    <w:next w:val="a0"/>
    <w:autoRedefine/>
    <w:uiPriority w:val="39"/>
    <w:rsid w:val="00C35BC5"/>
    <w:pPr>
      <w:ind w:leftChars="400" w:left="840"/>
    </w:pPr>
    <w:rPr>
      <w:rFonts w:eastAsia="仿宋_GB2312"/>
    </w:rPr>
  </w:style>
  <w:style w:type="paragraph" w:styleId="42">
    <w:name w:val="toc 4"/>
    <w:basedOn w:val="a0"/>
    <w:next w:val="a0"/>
    <w:autoRedefine/>
    <w:uiPriority w:val="39"/>
    <w:rsid w:val="00C35BC5"/>
    <w:pPr>
      <w:ind w:leftChars="600" w:left="1260"/>
    </w:pPr>
  </w:style>
  <w:style w:type="paragraph" w:styleId="52">
    <w:name w:val="toc 5"/>
    <w:basedOn w:val="a0"/>
    <w:next w:val="a0"/>
    <w:autoRedefine/>
    <w:uiPriority w:val="39"/>
    <w:rsid w:val="00C35BC5"/>
    <w:pPr>
      <w:ind w:leftChars="800" w:left="1680"/>
    </w:pPr>
  </w:style>
  <w:style w:type="paragraph" w:styleId="60">
    <w:name w:val="toc 6"/>
    <w:basedOn w:val="a0"/>
    <w:next w:val="a0"/>
    <w:autoRedefine/>
    <w:uiPriority w:val="39"/>
    <w:rsid w:val="00C35BC5"/>
    <w:pPr>
      <w:ind w:leftChars="1000" w:left="2100"/>
    </w:pPr>
  </w:style>
  <w:style w:type="paragraph" w:styleId="70">
    <w:name w:val="toc 7"/>
    <w:basedOn w:val="a0"/>
    <w:next w:val="a0"/>
    <w:autoRedefine/>
    <w:uiPriority w:val="39"/>
    <w:rsid w:val="00C35BC5"/>
    <w:pPr>
      <w:ind w:leftChars="1200" w:left="2520"/>
    </w:pPr>
  </w:style>
  <w:style w:type="paragraph" w:styleId="80">
    <w:name w:val="toc 8"/>
    <w:basedOn w:val="a0"/>
    <w:next w:val="a0"/>
    <w:autoRedefine/>
    <w:uiPriority w:val="39"/>
    <w:rsid w:val="00C35BC5"/>
    <w:pPr>
      <w:ind w:leftChars="1400" w:left="2940"/>
    </w:pPr>
  </w:style>
  <w:style w:type="paragraph" w:customStyle="1" w:styleId="unnamed1">
    <w:name w:val="unnamed1"/>
    <w:basedOn w:val="a0"/>
    <w:rsid w:val="00C35BC5"/>
    <w:pPr>
      <w:widowControl/>
      <w:spacing w:before="60" w:after="60"/>
      <w:ind w:left="15" w:right="15"/>
      <w:jc w:val="left"/>
    </w:pPr>
    <w:rPr>
      <w:rFonts w:ascii="宋体" w:hAnsi="宋体" w:cs="Arial Unicode MS" w:hint="eastAsia"/>
      <w:color w:val="000000"/>
      <w:kern w:val="0"/>
      <w:sz w:val="18"/>
      <w:szCs w:val="18"/>
    </w:rPr>
  </w:style>
  <w:style w:type="paragraph" w:styleId="HTML1">
    <w:name w:val="HTML Address"/>
    <w:basedOn w:val="a0"/>
    <w:link w:val="HTMLChar0"/>
    <w:rsid w:val="00C35BC5"/>
    <w:rPr>
      <w:i/>
      <w:iCs/>
    </w:rPr>
  </w:style>
  <w:style w:type="character" w:customStyle="1" w:styleId="HTMLChar0">
    <w:name w:val="HTML 地址 Char"/>
    <w:basedOn w:val="a1"/>
    <w:link w:val="HTML1"/>
    <w:rsid w:val="00C35BC5"/>
    <w:rPr>
      <w:rFonts w:ascii="Times New Roman" w:eastAsia="宋体" w:hAnsi="Times New Roman" w:cs="Times New Roman"/>
      <w:i/>
      <w:iCs/>
      <w:szCs w:val="24"/>
    </w:rPr>
  </w:style>
  <w:style w:type="paragraph" w:styleId="aff0">
    <w:name w:val="Salutation"/>
    <w:basedOn w:val="a0"/>
    <w:next w:val="a0"/>
    <w:link w:val="Chare"/>
    <w:rsid w:val="00C35BC5"/>
  </w:style>
  <w:style w:type="character" w:customStyle="1" w:styleId="Chare">
    <w:name w:val="称呼 Char"/>
    <w:basedOn w:val="a1"/>
    <w:link w:val="aff0"/>
    <w:rsid w:val="00C35BC5"/>
    <w:rPr>
      <w:rFonts w:ascii="Times New Roman" w:eastAsia="宋体" w:hAnsi="Times New Roman" w:cs="Times New Roman"/>
      <w:szCs w:val="24"/>
    </w:rPr>
  </w:style>
  <w:style w:type="paragraph" w:styleId="aff1">
    <w:name w:val="E-mail Signature"/>
    <w:basedOn w:val="a0"/>
    <w:link w:val="Charf"/>
    <w:rsid w:val="00C35BC5"/>
  </w:style>
  <w:style w:type="character" w:customStyle="1" w:styleId="Charf">
    <w:name w:val="电子邮件签名 Char"/>
    <w:basedOn w:val="a1"/>
    <w:link w:val="aff1"/>
    <w:rsid w:val="00C35BC5"/>
    <w:rPr>
      <w:rFonts w:ascii="Times New Roman" w:eastAsia="宋体" w:hAnsi="Times New Roman" w:cs="Times New Roman"/>
      <w:szCs w:val="24"/>
    </w:rPr>
  </w:style>
  <w:style w:type="paragraph" w:styleId="aff2">
    <w:name w:val="macro"/>
    <w:link w:val="Charf0"/>
    <w:semiHidden/>
    <w:rsid w:val="00C35BC5"/>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仿宋_GB2312"/>
      <w:kern w:val="2"/>
      <w:sz w:val="24"/>
      <w:szCs w:val="24"/>
    </w:rPr>
  </w:style>
  <w:style w:type="character" w:customStyle="1" w:styleId="Charf0">
    <w:name w:val="宏文本 Char"/>
    <w:basedOn w:val="a1"/>
    <w:link w:val="aff2"/>
    <w:semiHidden/>
    <w:rsid w:val="00C35BC5"/>
    <w:rPr>
      <w:rFonts w:ascii="Courier New" w:hAnsi="Courier New" w:cs="仿宋_GB2312"/>
      <w:kern w:val="2"/>
      <w:sz w:val="24"/>
      <w:szCs w:val="24"/>
      <w:lang w:val="en-US" w:eastAsia="zh-CN" w:bidi="ar-SA"/>
    </w:rPr>
  </w:style>
  <w:style w:type="paragraph" w:styleId="aff3">
    <w:name w:val="envelope return"/>
    <w:basedOn w:val="a0"/>
    <w:rsid w:val="00C35BC5"/>
    <w:pPr>
      <w:snapToGrid w:val="0"/>
    </w:pPr>
    <w:rPr>
      <w:rFonts w:ascii="Arial" w:hAnsi="Arial" w:cs="Arial"/>
    </w:rPr>
  </w:style>
  <w:style w:type="paragraph" w:styleId="aff4">
    <w:name w:val="List"/>
    <w:basedOn w:val="a0"/>
    <w:rsid w:val="00C35BC5"/>
    <w:pPr>
      <w:ind w:left="200" w:hangingChars="200" w:hanging="200"/>
    </w:pPr>
  </w:style>
  <w:style w:type="paragraph" w:styleId="27">
    <w:name w:val="List 2"/>
    <w:basedOn w:val="a0"/>
    <w:rsid w:val="00C35BC5"/>
    <w:pPr>
      <w:ind w:leftChars="200" w:left="100" w:hangingChars="200" w:hanging="200"/>
    </w:pPr>
  </w:style>
  <w:style w:type="paragraph" w:styleId="35">
    <w:name w:val="List 3"/>
    <w:basedOn w:val="a0"/>
    <w:rsid w:val="00C35BC5"/>
    <w:pPr>
      <w:ind w:leftChars="400" w:left="100" w:hangingChars="200" w:hanging="200"/>
    </w:pPr>
  </w:style>
  <w:style w:type="paragraph" w:styleId="43">
    <w:name w:val="List 4"/>
    <w:basedOn w:val="a0"/>
    <w:rsid w:val="00C35BC5"/>
    <w:pPr>
      <w:ind w:leftChars="600" w:left="100" w:hangingChars="200" w:hanging="200"/>
    </w:pPr>
  </w:style>
  <w:style w:type="paragraph" w:styleId="53">
    <w:name w:val="List 5"/>
    <w:basedOn w:val="a0"/>
    <w:rsid w:val="00C35BC5"/>
    <w:pPr>
      <w:ind w:leftChars="800" w:left="100" w:hangingChars="200" w:hanging="200"/>
    </w:pPr>
  </w:style>
  <w:style w:type="paragraph" w:styleId="aff5">
    <w:name w:val="List Continue"/>
    <w:basedOn w:val="a0"/>
    <w:rsid w:val="00C35BC5"/>
    <w:pPr>
      <w:spacing w:after="120"/>
      <w:ind w:leftChars="200" w:left="420"/>
    </w:pPr>
  </w:style>
  <w:style w:type="paragraph" w:styleId="28">
    <w:name w:val="List Continue 2"/>
    <w:basedOn w:val="a0"/>
    <w:rsid w:val="00C35BC5"/>
    <w:pPr>
      <w:spacing w:after="120"/>
      <w:ind w:leftChars="400" w:left="840"/>
    </w:pPr>
  </w:style>
  <w:style w:type="paragraph" w:styleId="36">
    <w:name w:val="List Continue 3"/>
    <w:basedOn w:val="a0"/>
    <w:rsid w:val="00C35BC5"/>
    <w:pPr>
      <w:spacing w:after="120"/>
      <w:ind w:leftChars="600" w:left="1260"/>
    </w:pPr>
  </w:style>
  <w:style w:type="paragraph" w:styleId="44">
    <w:name w:val="List Continue 4"/>
    <w:basedOn w:val="a0"/>
    <w:rsid w:val="00C35BC5"/>
    <w:pPr>
      <w:spacing w:after="120"/>
      <w:ind w:leftChars="800" w:left="1680"/>
    </w:pPr>
  </w:style>
  <w:style w:type="paragraph" w:styleId="54">
    <w:name w:val="List Continue 5"/>
    <w:basedOn w:val="a0"/>
    <w:rsid w:val="00C35BC5"/>
    <w:pPr>
      <w:spacing w:after="120"/>
      <w:ind w:leftChars="1000" w:left="2100"/>
    </w:pPr>
  </w:style>
  <w:style w:type="paragraph" w:styleId="aff6">
    <w:name w:val="Signature"/>
    <w:basedOn w:val="a0"/>
    <w:link w:val="Charf1"/>
    <w:rsid w:val="00C35BC5"/>
    <w:pPr>
      <w:ind w:leftChars="2100" w:left="100"/>
    </w:pPr>
  </w:style>
  <w:style w:type="character" w:customStyle="1" w:styleId="Charf1">
    <w:name w:val="签名 Char"/>
    <w:basedOn w:val="a1"/>
    <w:link w:val="aff6"/>
    <w:rsid w:val="00C35BC5"/>
    <w:rPr>
      <w:rFonts w:ascii="Times New Roman" w:eastAsia="宋体" w:hAnsi="Times New Roman" w:cs="Times New Roman"/>
      <w:szCs w:val="24"/>
    </w:rPr>
  </w:style>
  <w:style w:type="paragraph" w:styleId="14">
    <w:name w:val="index 1"/>
    <w:basedOn w:val="a0"/>
    <w:next w:val="a0"/>
    <w:autoRedefine/>
    <w:semiHidden/>
    <w:rsid w:val="00C35BC5"/>
  </w:style>
  <w:style w:type="paragraph" w:styleId="29">
    <w:name w:val="index 2"/>
    <w:basedOn w:val="a0"/>
    <w:next w:val="a0"/>
    <w:autoRedefine/>
    <w:semiHidden/>
    <w:rsid w:val="00C35BC5"/>
    <w:pPr>
      <w:ind w:leftChars="200" w:left="200"/>
    </w:pPr>
  </w:style>
  <w:style w:type="paragraph" w:styleId="37">
    <w:name w:val="index 3"/>
    <w:basedOn w:val="a0"/>
    <w:next w:val="a0"/>
    <w:autoRedefine/>
    <w:semiHidden/>
    <w:rsid w:val="00C35BC5"/>
    <w:pPr>
      <w:ind w:leftChars="400" w:left="400"/>
    </w:pPr>
  </w:style>
  <w:style w:type="paragraph" w:styleId="45">
    <w:name w:val="index 4"/>
    <w:basedOn w:val="a0"/>
    <w:next w:val="a0"/>
    <w:autoRedefine/>
    <w:semiHidden/>
    <w:rsid w:val="00C35BC5"/>
    <w:pPr>
      <w:ind w:leftChars="600" w:left="600"/>
    </w:pPr>
  </w:style>
  <w:style w:type="paragraph" w:styleId="55">
    <w:name w:val="index 5"/>
    <w:basedOn w:val="a0"/>
    <w:next w:val="a0"/>
    <w:autoRedefine/>
    <w:semiHidden/>
    <w:rsid w:val="00C35BC5"/>
    <w:pPr>
      <w:ind w:leftChars="800" w:left="800"/>
    </w:pPr>
  </w:style>
  <w:style w:type="paragraph" w:styleId="61">
    <w:name w:val="index 6"/>
    <w:basedOn w:val="a0"/>
    <w:next w:val="a0"/>
    <w:autoRedefine/>
    <w:semiHidden/>
    <w:rsid w:val="00C35BC5"/>
    <w:pPr>
      <w:ind w:leftChars="1000" w:left="1000"/>
    </w:pPr>
  </w:style>
  <w:style w:type="paragraph" w:styleId="71">
    <w:name w:val="index 7"/>
    <w:basedOn w:val="a0"/>
    <w:next w:val="a0"/>
    <w:autoRedefine/>
    <w:semiHidden/>
    <w:rsid w:val="00C35BC5"/>
    <w:pPr>
      <w:ind w:leftChars="1200" w:left="1200"/>
    </w:pPr>
  </w:style>
  <w:style w:type="paragraph" w:styleId="81">
    <w:name w:val="index 8"/>
    <w:basedOn w:val="a0"/>
    <w:next w:val="a0"/>
    <w:autoRedefine/>
    <w:semiHidden/>
    <w:rsid w:val="00C35BC5"/>
    <w:pPr>
      <w:ind w:leftChars="1400" w:left="1400"/>
    </w:pPr>
  </w:style>
  <w:style w:type="paragraph" w:styleId="91">
    <w:name w:val="index 9"/>
    <w:basedOn w:val="a0"/>
    <w:next w:val="a0"/>
    <w:autoRedefine/>
    <w:semiHidden/>
    <w:rsid w:val="00C35BC5"/>
    <w:pPr>
      <w:ind w:leftChars="1600" w:left="1600"/>
    </w:pPr>
  </w:style>
  <w:style w:type="paragraph" w:styleId="aff7">
    <w:name w:val="index heading"/>
    <w:basedOn w:val="a0"/>
    <w:next w:val="14"/>
    <w:semiHidden/>
    <w:rsid w:val="00C35BC5"/>
    <w:rPr>
      <w:rFonts w:ascii="Arial" w:hAnsi="Arial" w:cs="Arial"/>
      <w:b/>
      <w:bCs/>
    </w:rPr>
  </w:style>
  <w:style w:type="paragraph" w:styleId="aff8">
    <w:name w:val="caption"/>
    <w:basedOn w:val="a0"/>
    <w:next w:val="a0"/>
    <w:qFormat/>
    <w:rsid w:val="00C35BC5"/>
    <w:pPr>
      <w:spacing w:before="152" w:after="160"/>
    </w:pPr>
    <w:rPr>
      <w:rFonts w:ascii="Arial" w:eastAsia="黑体" w:hAnsi="Arial" w:cs="Arial"/>
      <w:sz w:val="20"/>
      <w:szCs w:val="20"/>
    </w:rPr>
  </w:style>
  <w:style w:type="paragraph" w:styleId="aff9">
    <w:name w:val="endnote text"/>
    <w:basedOn w:val="a0"/>
    <w:link w:val="Charf2"/>
    <w:semiHidden/>
    <w:rsid w:val="00C35BC5"/>
    <w:pPr>
      <w:snapToGrid w:val="0"/>
      <w:jc w:val="left"/>
    </w:pPr>
  </w:style>
  <w:style w:type="character" w:customStyle="1" w:styleId="Charf2">
    <w:name w:val="尾注文本 Char"/>
    <w:basedOn w:val="a1"/>
    <w:link w:val="aff9"/>
    <w:semiHidden/>
    <w:rsid w:val="00C35BC5"/>
    <w:rPr>
      <w:rFonts w:ascii="Times New Roman" w:eastAsia="宋体" w:hAnsi="Times New Roman" w:cs="Times New Roman"/>
      <w:szCs w:val="24"/>
    </w:rPr>
  </w:style>
  <w:style w:type="paragraph" w:styleId="affa">
    <w:name w:val="envelope address"/>
    <w:basedOn w:val="a0"/>
    <w:rsid w:val="00C35BC5"/>
    <w:pPr>
      <w:framePr w:w="7920" w:h="1980" w:hRule="exact" w:hSpace="180" w:wrap="auto" w:hAnchor="page" w:xAlign="center" w:yAlign="bottom"/>
      <w:snapToGrid w:val="0"/>
      <w:ind w:leftChars="1400" w:left="100"/>
    </w:pPr>
    <w:rPr>
      <w:rFonts w:ascii="Arial" w:hAnsi="Arial" w:cs="Arial"/>
      <w:sz w:val="24"/>
    </w:rPr>
  </w:style>
  <w:style w:type="paragraph" w:styleId="affb">
    <w:name w:val="Message Header"/>
    <w:basedOn w:val="a0"/>
    <w:link w:val="Charf3"/>
    <w:rsid w:val="00C35BC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rPr>
  </w:style>
  <w:style w:type="character" w:customStyle="1" w:styleId="Charf3">
    <w:name w:val="信息标题 Char"/>
    <w:basedOn w:val="a1"/>
    <w:link w:val="affb"/>
    <w:rsid w:val="00C35BC5"/>
    <w:rPr>
      <w:rFonts w:ascii="Arial" w:eastAsia="宋体" w:hAnsi="Arial" w:cs="Arial"/>
      <w:sz w:val="24"/>
      <w:szCs w:val="24"/>
      <w:shd w:val="pct20" w:color="auto" w:fill="auto"/>
    </w:rPr>
  </w:style>
  <w:style w:type="paragraph" w:styleId="affc">
    <w:name w:val="table of authorities"/>
    <w:basedOn w:val="a0"/>
    <w:next w:val="a0"/>
    <w:semiHidden/>
    <w:rsid w:val="00C35BC5"/>
    <w:pPr>
      <w:ind w:leftChars="200" w:left="420"/>
    </w:pPr>
  </w:style>
  <w:style w:type="paragraph" w:styleId="affd">
    <w:name w:val="toa heading"/>
    <w:basedOn w:val="a0"/>
    <w:next w:val="a0"/>
    <w:semiHidden/>
    <w:rsid w:val="00C35BC5"/>
    <w:pPr>
      <w:spacing w:before="120"/>
    </w:pPr>
    <w:rPr>
      <w:rFonts w:ascii="Arial" w:hAnsi="Arial" w:cs="Arial"/>
      <w:sz w:val="24"/>
    </w:rPr>
  </w:style>
  <w:style w:type="paragraph" w:styleId="2a">
    <w:name w:val="Body Text First Indent 2"/>
    <w:basedOn w:val="ae"/>
    <w:link w:val="2Char2"/>
    <w:rsid w:val="00C35BC5"/>
    <w:pPr>
      <w:ind w:leftChars="200" w:left="200" w:firstLineChars="200" w:firstLine="210"/>
    </w:pPr>
  </w:style>
  <w:style w:type="character" w:customStyle="1" w:styleId="2Char2">
    <w:name w:val="正文首行缩进 2 Char"/>
    <w:basedOn w:val="Char5"/>
    <w:link w:val="2a"/>
    <w:rsid w:val="00C35BC5"/>
    <w:rPr>
      <w:rFonts w:ascii="Times New Roman" w:eastAsia="宋体" w:hAnsi="Times New Roman" w:cs="Times New Roman"/>
      <w:szCs w:val="24"/>
    </w:rPr>
  </w:style>
  <w:style w:type="paragraph" w:customStyle="1" w:styleId="affe">
    <w:name w:val="项目"/>
    <w:basedOn w:val="4"/>
    <w:rsid w:val="00C35BC5"/>
    <w:pPr>
      <w:numPr>
        <w:ilvl w:val="0"/>
        <w:numId w:val="0"/>
      </w:numPr>
      <w:snapToGrid w:val="0"/>
      <w:spacing w:before="120" w:after="120" w:line="360" w:lineRule="auto"/>
    </w:pPr>
    <w:rPr>
      <w:rFonts w:ascii="Times New Roman" w:eastAsia="楷体_GB2312" w:hAnsi="Times New Roman"/>
      <w:b w:val="0"/>
      <w:sz w:val="24"/>
      <w:szCs w:val="20"/>
    </w:rPr>
  </w:style>
  <w:style w:type="paragraph" w:customStyle="1" w:styleId="afff">
    <w:name w:val="表格文字"/>
    <w:basedOn w:val="ac"/>
    <w:rsid w:val="00C35BC5"/>
    <w:pPr>
      <w:spacing w:before="60" w:after="60"/>
      <w:jc w:val="center"/>
    </w:pPr>
    <w:rPr>
      <w:rFonts w:eastAsia="楷体_GB2312"/>
      <w:bCs/>
      <w:szCs w:val="20"/>
    </w:rPr>
  </w:style>
  <w:style w:type="table" w:styleId="afff0">
    <w:name w:val="Table Grid"/>
    <w:basedOn w:val="a2"/>
    <w:qFormat/>
    <w:rsid w:val="00C35BC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1">
    <w:name w:val="Table Theme"/>
    <w:basedOn w:val="a2"/>
    <w:rsid w:val="00C35BC5"/>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2">
    <w:name w:val="正文所"/>
    <w:basedOn w:val="a0"/>
    <w:rsid w:val="00C35BC5"/>
    <w:pPr>
      <w:spacing w:line="360" w:lineRule="auto"/>
      <w:ind w:firstLineChars="200" w:firstLine="420"/>
    </w:pPr>
  </w:style>
  <w:style w:type="paragraph" w:customStyle="1" w:styleId="Char20">
    <w:name w:val="Char2"/>
    <w:basedOn w:val="a0"/>
    <w:rsid w:val="00C35BC5"/>
  </w:style>
  <w:style w:type="paragraph" w:customStyle="1" w:styleId="ParaChar">
    <w:name w:val="默认段落字体 Para Char"/>
    <w:basedOn w:val="a0"/>
    <w:autoRedefine/>
    <w:rsid w:val="00C35BC5"/>
    <w:pPr>
      <w:numPr>
        <w:numId w:val="3"/>
      </w:numPr>
      <w:tabs>
        <w:tab w:val="num" w:pos="360"/>
      </w:tabs>
      <w:ind w:left="0" w:firstLine="0"/>
    </w:pPr>
    <w:rPr>
      <w:sz w:val="24"/>
    </w:rPr>
  </w:style>
  <w:style w:type="character" w:customStyle="1" w:styleId="text1">
    <w:name w:val="text1"/>
    <w:basedOn w:val="a1"/>
    <w:rsid w:val="00C35BC5"/>
    <w:rPr>
      <w:rFonts w:hint="default"/>
      <w:b w:val="0"/>
      <w:bCs w:val="0"/>
      <w:i w:val="0"/>
      <w:iCs w:val="0"/>
      <w:smallCaps w:val="0"/>
      <w:strike w:val="0"/>
      <w:dstrike w:val="0"/>
      <w:color w:val="000000"/>
      <w:spacing w:val="345"/>
      <w:sz w:val="18"/>
      <w:szCs w:val="18"/>
      <w:u w:val="none"/>
      <w:effect w:val="none"/>
    </w:rPr>
  </w:style>
  <w:style w:type="character" w:customStyle="1" w:styleId="style21">
    <w:name w:val="style21"/>
    <w:basedOn w:val="a1"/>
    <w:rsid w:val="00C35BC5"/>
    <w:rPr>
      <w:rFonts w:ascii="Arial" w:hAnsi="Arial" w:cs="Arial" w:hint="default"/>
    </w:rPr>
  </w:style>
  <w:style w:type="character" w:customStyle="1" w:styleId="fontcolor3">
    <w:name w:val="fontcolor3"/>
    <w:basedOn w:val="a1"/>
    <w:rsid w:val="00C35BC5"/>
    <w:rPr>
      <w:color w:val="6C057B"/>
    </w:rPr>
  </w:style>
  <w:style w:type="paragraph" w:customStyle="1" w:styleId="Charf4">
    <w:name w:val="Char"/>
    <w:basedOn w:val="a0"/>
    <w:rsid w:val="00C35BC5"/>
  </w:style>
  <w:style w:type="paragraph" w:customStyle="1" w:styleId="CharCharCharChar1">
    <w:name w:val="Char Char Char Char1"/>
    <w:basedOn w:val="a0"/>
    <w:autoRedefine/>
    <w:rsid w:val="00C35BC5"/>
    <w:pPr>
      <w:tabs>
        <w:tab w:val="num" w:pos="360"/>
      </w:tabs>
      <w:spacing w:before="312" w:after="312" w:line="360" w:lineRule="auto"/>
    </w:pPr>
    <w:rPr>
      <w:sz w:val="24"/>
    </w:rPr>
  </w:style>
  <w:style w:type="character" w:customStyle="1" w:styleId="15">
    <w:name w:val="15"/>
    <w:basedOn w:val="a1"/>
    <w:rsid w:val="00C35BC5"/>
  </w:style>
  <w:style w:type="paragraph" w:customStyle="1" w:styleId="CharCharCharCharCharCharChar0">
    <w:name w:val="Char Char Char Char Char Char Char"/>
    <w:basedOn w:val="a0"/>
    <w:rsid w:val="00C35BC5"/>
  </w:style>
  <w:style w:type="paragraph" w:customStyle="1" w:styleId="Char11">
    <w:name w:val="Char1"/>
    <w:basedOn w:val="a0"/>
    <w:rsid w:val="00C35BC5"/>
  </w:style>
  <w:style w:type="paragraph" w:customStyle="1" w:styleId="CharCharCharCharCharCharChar1">
    <w:name w:val="Char Char Char Char Char Char Char1"/>
    <w:basedOn w:val="a0"/>
    <w:rsid w:val="00C35BC5"/>
  </w:style>
  <w:style w:type="character" w:customStyle="1" w:styleId="CharChar11">
    <w:name w:val="Char Char11"/>
    <w:basedOn w:val="a1"/>
    <w:locked/>
    <w:rsid w:val="00ED68C4"/>
    <w:rPr>
      <w:rFonts w:ascii="宋体" w:eastAsia="宋体" w:hAnsi="Courier New" w:cs="Courier New"/>
      <w:kern w:val="2"/>
      <w:sz w:val="21"/>
      <w:szCs w:val="21"/>
      <w:lang w:val="en-US" w:eastAsia="zh-CN" w:bidi="ar-SA"/>
    </w:rPr>
  </w:style>
  <w:style w:type="character" w:customStyle="1" w:styleId="Charf5">
    <w:name w:val="纯文本 Char"/>
    <w:basedOn w:val="a1"/>
    <w:locked/>
    <w:rsid w:val="00F976A5"/>
    <w:rPr>
      <w:rFonts w:ascii="Calibri" w:eastAsia="宋体" w:hAnsi="Courier New"/>
      <w:szCs w:val="21"/>
      <w:lang w:bidi="ar-SA"/>
    </w:rPr>
  </w:style>
  <w:style w:type="character" w:customStyle="1" w:styleId="CharChar3">
    <w:name w:val="Char Char3"/>
    <w:basedOn w:val="a1"/>
    <w:locked/>
    <w:rsid w:val="00614FA2"/>
    <w:rPr>
      <w:rFonts w:ascii="宋体" w:eastAsia="宋体" w:hAnsi="Courier New" w:cs="Courier New"/>
      <w:kern w:val="2"/>
      <w:sz w:val="21"/>
      <w:szCs w:val="21"/>
      <w:lang w:val="en-US" w:eastAsia="zh-CN" w:bidi="ar-SA"/>
    </w:rPr>
  </w:style>
  <w:style w:type="paragraph" w:styleId="afff3">
    <w:name w:val="List Paragraph"/>
    <w:basedOn w:val="a0"/>
    <w:uiPriority w:val="34"/>
    <w:qFormat/>
    <w:rsid w:val="00B94E11"/>
    <w:pPr>
      <w:ind w:firstLineChars="200" w:firstLine="420"/>
    </w:pPr>
  </w:style>
  <w:style w:type="table" w:customStyle="1" w:styleId="16">
    <w:name w:val="网格型1"/>
    <w:basedOn w:val="a2"/>
    <w:next w:val="afff0"/>
    <w:uiPriority w:val="99"/>
    <w:rsid w:val="00C95F99"/>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1">
    <w:name w:val="标题 4 Char1"/>
    <w:aliases w:val="H4 Char,PIM 4 Char,h4 Char,Fab-4 Char,T5 Char,Ref Heading 1 Char,rh1 Char,Heading sql Char,sect 1.2.3.4 Char"/>
    <w:basedOn w:val="a1"/>
    <w:semiHidden/>
    <w:rsid w:val="0018727C"/>
    <w:rPr>
      <w:rFonts w:asciiTheme="majorHAnsi" w:eastAsiaTheme="majorEastAsia" w:hAnsiTheme="majorHAnsi" w:cstheme="majorBidi"/>
      <w:b/>
      <w:bCs/>
      <w:kern w:val="2"/>
      <w:sz w:val="28"/>
      <w:szCs w:val="28"/>
    </w:rPr>
  </w:style>
  <w:style w:type="paragraph" w:styleId="afff4">
    <w:name w:val="Revision"/>
    <w:uiPriority w:val="99"/>
    <w:semiHidden/>
    <w:rsid w:val="0018727C"/>
    <w:rPr>
      <w:rFonts w:ascii="Times New Roman" w:hAnsi="Times New Roman"/>
      <w:kern w:val="2"/>
      <w:sz w:val="21"/>
      <w:szCs w:val="24"/>
    </w:rPr>
  </w:style>
  <w:style w:type="paragraph" w:customStyle="1" w:styleId="CharCharChar1">
    <w:name w:val="Char Char Char1"/>
    <w:basedOn w:val="a0"/>
    <w:rsid w:val="0018727C"/>
    <w:pPr>
      <w:ind w:leftChars="-200" w:left="-200" w:firstLineChars="200" w:firstLine="200"/>
    </w:pPr>
  </w:style>
  <w:style w:type="character" w:styleId="afff5">
    <w:name w:val="footnote reference"/>
    <w:basedOn w:val="a1"/>
    <w:semiHidden/>
    <w:unhideWhenUsed/>
    <w:rsid w:val="0018727C"/>
    <w:rPr>
      <w:vertAlign w:val="superscript"/>
    </w:rPr>
  </w:style>
  <w:style w:type="character" w:styleId="afff6">
    <w:name w:val="annotation reference"/>
    <w:basedOn w:val="a1"/>
    <w:semiHidden/>
    <w:unhideWhenUsed/>
    <w:rsid w:val="0018727C"/>
    <w:rPr>
      <w:sz w:val="21"/>
      <w:szCs w:val="21"/>
    </w:rPr>
  </w:style>
  <w:style w:type="character" w:customStyle="1" w:styleId="heigh1801">
    <w:name w:val="heigh1801"/>
    <w:basedOn w:val="a1"/>
    <w:rsid w:val="0018727C"/>
  </w:style>
  <w:style w:type="character" w:customStyle="1" w:styleId="CharChar">
    <w:name w:val="Char Char"/>
    <w:basedOn w:val="a1"/>
    <w:locked/>
    <w:rsid w:val="0018727C"/>
    <w:rPr>
      <w:rFonts w:ascii="Calibri" w:eastAsia="宋体" w:hAnsi="Courier New" w:cs="Courier New" w:hint="default"/>
      <w:kern w:val="2"/>
      <w:sz w:val="21"/>
      <w:szCs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2310">
      <w:bodyDiv w:val="1"/>
      <w:marLeft w:val="0"/>
      <w:marRight w:val="0"/>
      <w:marTop w:val="0"/>
      <w:marBottom w:val="0"/>
      <w:divBdr>
        <w:top w:val="none" w:sz="0" w:space="0" w:color="auto"/>
        <w:left w:val="none" w:sz="0" w:space="0" w:color="auto"/>
        <w:bottom w:val="none" w:sz="0" w:space="0" w:color="auto"/>
        <w:right w:val="none" w:sz="0" w:space="0" w:color="auto"/>
      </w:divBdr>
    </w:div>
    <w:div w:id="19283819">
      <w:bodyDiv w:val="1"/>
      <w:marLeft w:val="0"/>
      <w:marRight w:val="0"/>
      <w:marTop w:val="0"/>
      <w:marBottom w:val="0"/>
      <w:divBdr>
        <w:top w:val="none" w:sz="0" w:space="0" w:color="auto"/>
        <w:left w:val="none" w:sz="0" w:space="0" w:color="auto"/>
        <w:bottom w:val="none" w:sz="0" w:space="0" w:color="auto"/>
        <w:right w:val="none" w:sz="0" w:space="0" w:color="auto"/>
      </w:divBdr>
    </w:div>
    <w:div w:id="30112682">
      <w:bodyDiv w:val="1"/>
      <w:marLeft w:val="0"/>
      <w:marRight w:val="0"/>
      <w:marTop w:val="0"/>
      <w:marBottom w:val="0"/>
      <w:divBdr>
        <w:top w:val="none" w:sz="0" w:space="0" w:color="auto"/>
        <w:left w:val="none" w:sz="0" w:space="0" w:color="auto"/>
        <w:bottom w:val="none" w:sz="0" w:space="0" w:color="auto"/>
        <w:right w:val="none" w:sz="0" w:space="0" w:color="auto"/>
      </w:divBdr>
    </w:div>
    <w:div w:id="46951476">
      <w:bodyDiv w:val="1"/>
      <w:marLeft w:val="0"/>
      <w:marRight w:val="0"/>
      <w:marTop w:val="0"/>
      <w:marBottom w:val="0"/>
      <w:divBdr>
        <w:top w:val="none" w:sz="0" w:space="0" w:color="auto"/>
        <w:left w:val="none" w:sz="0" w:space="0" w:color="auto"/>
        <w:bottom w:val="none" w:sz="0" w:space="0" w:color="auto"/>
        <w:right w:val="none" w:sz="0" w:space="0" w:color="auto"/>
      </w:divBdr>
    </w:div>
    <w:div w:id="56127663">
      <w:bodyDiv w:val="1"/>
      <w:marLeft w:val="0"/>
      <w:marRight w:val="0"/>
      <w:marTop w:val="0"/>
      <w:marBottom w:val="0"/>
      <w:divBdr>
        <w:top w:val="none" w:sz="0" w:space="0" w:color="auto"/>
        <w:left w:val="none" w:sz="0" w:space="0" w:color="auto"/>
        <w:bottom w:val="none" w:sz="0" w:space="0" w:color="auto"/>
        <w:right w:val="none" w:sz="0" w:space="0" w:color="auto"/>
      </w:divBdr>
    </w:div>
    <w:div w:id="59595162">
      <w:bodyDiv w:val="1"/>
      <w:marLeft w:val="0"/>
      <w:marRight w:val="0"/>
      <w:marTop w:val="0"/>
      <w:marBottom w:val="0"/>
      <w:divBdr>
        <w:top w:val="none" w:sz="0" w:space="0" w:color="auto"/>
        <w:left w:val="none" w:sz="0" w:space="0" w:color="auto"/>
        <w:bottom w:val="none" w:sz="0" w:space="0" w:color="auto"/>
        <w:right w:val="none" w:sz="0" w:space="0" w:color="auto"/>
      </w:divBdr>
    </w:div>
    <w:div w:id="59909018">
      <w:bodyDiv w:val="1"/>
      <w:marLeft w:val="0"/>
      <w:marRight w:val="0"/>
      <w:marTop w:val="0"/>
      <w:marBottom w:val="0"/>
      <w:divBdr>
        <w:top w:val="none" w:sz="0" w:space="0" w:color="auto"/>
        <w:left w:val="none" w:sz="0" w:space="0" w:color="auto"/>
        <w:bottom w:val="none" w:sz="0" w:space="0" w:color="auto"/>
        <w:right w:val="none" w:sz="0" w:space="0" w:color="auto"/>
      </w:divBdr>
    </w:div>
    <w:div w:id="95176317">
      <w:bodyDiv w:val="1"/>
      <w:marLeft w:val="0"/>
      <w:marRight w:val="0"/>
      <w:marTop w:val="0"/>
      <w:marBottom w:val="0"/>
      <w:divBdr>
        <w:top w:val="none" w:sz="0" w:space="0" w:color="auto"/>
        <w:left w:val="none" w:sz="0" w:space="0" w:color="auto"/>
        <w:bottom w:val="none" w:sz="0" w:space="0" w:color="auto"/>
        <w:right w:val="none" w:sz="0" w:space="0" w:color="auto"/>
      </w:divBdr>
    </w:div>
    <w:div w:id="114912189">
      <w:bodyDiv w:val="1"/>
      <w:marLeft w:val="0"/>
      <w:marRight w:val="0"/>
      <w:marTop w:val="0"/>
      <w:marBottom w:val="0"/>
      <w:divBdr>
        <w:top w:val="none" w:sz="0" w:space="0" w:color="auto"/>
        <w:left w:val="none" w:sz="0" w:space="0" w:color="auto"/>
        <w:bottom w:val="none" w:sz="0" w:space="0" w:color="auto"/>
        <w:right w:val="none" w:sz="0" w:space="0" w:color="auto"/>
      </w:divBdr>
    </w:div>
    <w:div w:id="151995413">
      <w:bodyDiv w:val="1"/>
      <w:marLeft w:val="0"/>
      <w:marRight w:val="0"/>
      <w:marTop w:val="0"/>
      <w:marBottom w:val="0"/>
      <w:divBdr>
        <w:top w:val="none" w:sz="0" w:space="0" w:color="auto"/>
        <w:left w:val="none" w:sz="0" w:space="0" w:color="auto"/>
        <w:bottom w:val="none" w:sz="0" w:space="0" w:color="auto"/>
        <w:right w:val="none" w:sz="0" w:space="0" w:color="auto"/>
      </w:divBdr>
    </w:div>
    <w:div w:id="169564764">
      <w:bodyDiv w:val="1"/>
      <w:marLeft w:val="0"/>
      <w:marRight w:val="0"/>
      <w:marTop w:val="0"/>
      <w:marBottom w:val="0"/>
      <w:divBdr>
        <w:top w:val="none" w:sz="0" w:space="0" w:color="auto"/>
        <w:left w:val="none" w:sz="0" w:space="0" w:color="auto"/>
        <w:bottom w:val="none" w:sz="0" w:space="0" w:color="auto"/>
        <w:right w:val="none" w:sz="0" w:space="0" w:color="auto"/>
      </w:divBdr>
    </w:div>
    <w:div w:id="175117592">
      <w:bodyDiv w:val="1"/>
      <w:marLeft w:val="0"/>
      <w:marRight w:val="0"/>
      <w:marTop w:val="0"/>
      <w:marBottom w:val="0"/>
      <w:divBdr>
        <w:top w:val="none" w:sz="0" w:space="0" w:color="auto"/>
        <w:left w:val="none" w:sz="0" w:space="0" w:color="auto"/>
        <w:bottom w:val="none" w:sz="0" w:space="0" w:color="auto"/>
        <w:right w:val="none" w:sz="0" w:space="0" w:color="auto"/>
      </w:divBdr>
    </w:div>
    <w:div w:id="180169189">
      <w:bodyDiv w:val="1"/>
      <w:marLeft w:val="0"/>
      <w:marRight w:val="0"/>
      <w:marTop w:val="0"/>
      <w:marBottom w:val="0"/>
      <w:divBdr>
        <w:top w:val="none" w:sz="0" w:space="0" w:color="auto"/>
        <w:left w:val="none" w:sz="0" w:space="0" w:color="auto"/>
        <w:bottom w:val="none" w:sz="0" w:space="0" w:color="auto"/>
        <w:right w:val="none" w:sz="0" w:space="0" w:color="auto"/>
      </w:divBdr>
    </w:div>
    <w:div w:id="182865530">
      <w:bodyDiv w:val="1"/>
      <w:marLeft w:val="0"/>
      <w:marRight w:val="0"/>
      <w:marTop w:val="0"/>
      <w:marBottom w:val="0"/>
      <w:divBdr>
        <w:top w:val="none" w:sz="0" w:space="0" w:color="auto"/>
        <w:left w:val="none" w:sz="0" w:space="0" w:color="auto"/>
        <w:bottom w:val="none" w:sz="0" w:space="0" w:color="auto"/>
        <w:right w:val="none" w:sz="0" w:space="0" w:color="auto"/>
      </w:divBdr>
    </w:div>
    <w:div w:id="185874656">
      <w:bodyDiv w:val="1"/>
      <w:marLeft w:val="0"/>
      <w:marRight w:val="0"/>
      <w:marTop w:val="0"/>
      <w:marBottom w:val="0"/>
      <w:divBdr>
        <w:top w:val="none" w:sz="0" w:space="0" w:color="auto"/>
        <w:left w:val="none" w:sz="0" w:space="0" w:color="auto"/>
        <w:bottom w:val="none" w:sz="0" w:space="0" w:color="auto"/>
        <w:right w:val="none" w:sz="0" w:space="0" w:color="auto"/>
      </w:divBdr>
    </w:div>
    <w:div w:id="203951232">
      <w:bodyDiv w:val="1"/>
      <w:marLeft w:val="0"/>
      <w:marRight w:val="0"/>
      <w:marTop w:val="0"/>
      <w:marBottom w:val="0"/>
      <w:divBdr>
        <w:top w:val="none" w:sz="0" w:space="0" w:color="auto"/>
        <w:left w:val="none" w:sz="0" w:space="0" w:color="auto"/>
        <w:bottom w:val="none" w:sz="0" w:space="0" w:color="auto"/>
        <w:right w:val="none" w:sz="0" w:space="0" w:color="auto"/>
      </w:divBdr>
    </w:div>
    <w:div w:id="205991281">
      <w:bodyDiv w:val="1"/>
      <w:marLeft w:val="0"/>
      <w:marRight w:val="0"/>
      <w:marTop w:val="0"/>
      <w:marBottom w:val="0"/>
      <w:divBdr>
        <w:top w:val="none" w:sz="0" w:space="0" w:color="auto"/>
        <w:left w:val="none" w:sz="0" w:space="0" w:color="auto"/>
        <w:bottom w:val="none" w:sz="0" w:space="0" w:color="auto"/>
        <w:right w:val="none" w:sz="0" w:space="0" w:color="auto"/>
      </w:divBdr>
    </w:div>
    <w:div w:id="206727658">
      <w:bodyDiv w:val="1"/>
      <w:marLeft w:val="0"/>
      <w:marRight w:val="0"/>
      <w:marTop w:val="0"/>
      <w:marBottom w:val="0"/>
      <w:divBdr>
        <w:top w:val="none" w:sz="0" w:space="0" w:color="auto"/>
        <w:left w:val="none" w:sz="0" w:space="0" w:color="auto"/>
        <w:bottom w:val="none" w:sz="0" w:space="0" w:color="auto"/>
        <w:right w:val="none" w:sz="0" w:space="0" w:color="auto"/>
      </w:divBdr>
    </w:div>
    <w:div w:id="210196042">
      <w:bodyDiv w:val="1"/>
      <w:marLeft w:val="0"/>
      <w:marRight w:val="0"/>
      <w:marTop w:val="0"/>
      <w:marBottom w:val="0"/>
      <w:divBdr>
        <w:top w:val="none" w:sz="0" w:space="0" w:color="auto"/>
        <w:left w:val="none" w:sz="0" w:space="0" w:color="auto"/>
        <w:bottom w:val="none" w:sz="0" w:space="0" w:color="auto"/>
        <w:right w:val="none" w:sz="0" w:space="0" w:color="auto"/>
      </w:divBdr>
    </w:div>
    <w:div w:id="214705908">
      <w:bodyDiv w:val="1"/>
      <w:marLeft w:val="0"/>
      <w:marRight w:val="0"/>
      <w:marTop w:val="0"/>
      <w:marBottom w:val="0"/>
      <w:divBdr>
        <w:top w:val="none" w:sz="0" w:space="0" w:color="auto"/>
        <w:left w:val="none" w:sz="0" w:space="0" w:color="auto"/>
        <w:bottom w:val="none" w:sz="0" w:space="0" w:color="auto"/>
        <w:right w:val="none" w:sz="0" w:space="0" w:color="auto"/>
      </w:divBdr>
    </w:div>
    <w:div w:id="216018238">
      <w:bodyDiv w:val="1"/>
      <w:marLeft w:val="0"/>
      <w:marRight w:val="0"/>
      <w:marTop w:val="0"/>
      <w:marBottom w:val="0"/>
      <w:divBdr>
        <w:top w:val="none" w:sz="0" w:space="0" w:color="auto"/>
        <w:left w:val="none" w:sz="0" w:space="0" w:color="auto"/>
        <w:bottom w:val="none" w:sz="0" w:space="0" w:color="auto"/>
        <w:right w:val="none" w:sz="0" w:space="0" w:color="auto"/>
      </w:divBdr>
    </w:div>
    <w:div w:id="222520660">
      <w:bodyDiv w:val="1"/>
      <w:marLeft w:val="0"/>
      <w:marRight w:val="0"/>
      <w:marTop w:val="0"/>
      <w:marBottom w:val="0"/>
      <w:divBdr>
        <w:top w:val="none" w:sz="0" w:space="0" w:color="auto"/>
        <w:left w:val="none" w:sz="0" w:space="0" w:color="auto"/>
        <w:bottom w:val="none" w:sz="0" w:space="0" w:color="auto"/>
        <w:right w:val="none" w:sz="0" w:space="0" w:color="auto"/>
      </w:divBdr>
    </w:div>
    <w:div w:id="225803985">
      <w:bodyDiv w:val="1"/>
      <w:marLeft w:val="0"/>
      <w:marRight w:val="0"/>
      <w:marTop w:val="0"/>
      <w:marBottom w:val="0"/>
      <w:divBdr>
        <w:top w:val="none" w:sz="0" w:space="0" w:color="auto"/>
        <w:left w:val="none" w:sz="0" w:space="0" w:color="auto"/>
        <w:bottom w:val="none" w:sz="0" w:space="0" w:color="auto"/>
        <w:right w:val="none" w:sz="0" w:space="0" w:color="auto"/>
      </w:divBdr>
    </w:div>
    <w:div w:id="262885406">
      <w:bodyDiv w:val="1"/>
      <w:marLeft w:val="0"/>
      <w:marRight w:val="0"/>
      <w:marTop w:val="0"/>
      <w:marBottom w:val="0"/>
      <w:divBdr>
        <w:top w:val="none" w:sz="0" w:space="0" w:color="auto"/>
        <w:left w:val="none" w:sz="0" w:space="0" w:color="auto"/>
        <w:bottom w:val="none" w:sz="0" w:space="0" w:color="auto"/>
        <w:right w:val="none" w:sz="0" w:space="0" w:color="auto"/>
      </w:divBdr>
    </w:div>
    <w:div w:id="263925055">
      <w:bodyDiv w:val="1"/>
      <w:marLeft w:val="0"/>
      <w:marRight w:val="0"/>
      <w:marTop w:val="0"/>
      <w:marBottom w:val="0"/>
      <w:divBdr>
        <w:top w:val="none" w:sz="0" w:space="0" w:color="auto"/>
        <w:left w:val="none" w:sz="0" w:space="0" w:color="auto"/>
        <w:bottom w:val="none" w:sz="0" w:space="0" w:color="auto"/>
        <w:right w:val="none" w:sz="0" w:space="0" w:color="auto"/>
      </w:divBdr>
    </w:div>
    <w:div w:id="278297876">
      <w:bodyDiv w:val="1"/>
      <w:marLeft w:val="0"/>
      <w:marRight w:val="0"/>
      <w:marTop w:val="0"/>
      <w:marBottom w:val="0"/>
      <w:divBdr>
        <w:top w:val="none" w:sz="0" w:space="0" w:color="auto"/>
        <w:left w:val="none" w:sz="0" w:space="0" w:color="auto"/>
        <w:bottom w:val="none" w:sz="0" w:space="0" w:color="auto"/>
        <w:right w:val="none" w:sz="0" w:space="0" w:color="auto"/>
      </w:divBdr>
    </w:div>
    <w:div w:id="280260567">
      <w:bodyDiv w:val="1"/>
      <w:marLeft w:val="0"/>
      <w:marRight w:val="0"/>
      <w:marTop w:val="0"/>
      <w:marBottom w:val="0"/>
      <w:divBdr>
        <w:top w:val="none" w:sz="0" w:space="0" w:color="auto"/>
        <w:left w:val="none" w:sz="0" w:space="0" w:color="auto"/>
        <w:bottom w:val="none" w:sz="0" w:space="0" w:color="auto"/>
        <w:right w:val="none" w:sz="0" w:space="0" w:color="auto"/>
      </w:divBdr>
    </w:div>
    <w:div w:id="280570578">
      <w:bodyDiv w:val="1"/>
      <w:marLeft w:val="0"/>
      <w:marRight w:val="0"/>
      <w:marTop w:val="0"/>
      <w:marBottom w:val="0"/>
      <w:divBdr>
        <w:top w:val="none" w:sz="0" w:space="0" w:color="auto"/>
        <w:left w:val="none" w:sz="0" w:space="0" w:color="auto"/>
        <w:bottom w:val="none" w:sz="0" w:space="0" w:color="auto"/>
        <w:right w:val="none" w:sz="0" w:space="0" w:color="auto"/>
      </w:divBdr>
    </w:div>
    <w:div w:id="281502564">
      <w:bodyDiv w:val="1"/>
      <w:marLeft w:val="0"/>
      <w:marRight w:val="0"/>
      <w:marTop w:val="0"/>
      <w:marBottom w:val="0"/>
      <w:divBdr>
        <w:top w:val="none" w:sz="0" w:space="0" w:color="auto"/>
        <w:left w:val="none" w:sz="0" w:space="0" w:color="auto"/>
        <w:bottom w:val="none" w:sz="0" w:space="0" w:color="auto"/>
        <w:right w:val="none" w:sz="0" w:space="0" w:color="auto"/>
      </w:divBdr>
    </w:div>
    <w:div w:id="292954504">
      <w:bodyDiv w:val="1"/>
      <w:marLeft w:val="0"/>
      <w:marRight w:val="0"/>
      <w:marTop w:val="0"/>
      <w:marBottom w:val="0"/>
      <w:divBdr>
        <w:top w:val="none" w:sz="0" w:space="0" w:color="auto"/>
        <w:left w:val="none" w:sz="0" w:space="0" w:color="auto"/>
        <w:bottom w:val="none" w:sz="0" w:space="0" w:color="auto"/>
        <w:right w:val="none" w:sz="0" w:space="0" w:color="auto"/>
      </w:divBdr>
    </w:div>
    <w:div w:id="306597123">
      <w:bodyDiv w:val="1"/>
      <w:marLeft w:val="0"/>
      <w:marRight w:val="0"/>
      <w:marTop w:val="0"/>
      <w:marBottom w:val="0"/>
      <w:divBdr>
        <w:top w:val="none" w:sz="0" w:space="0" w:color="auto"/>
        <w:left w:val="none" w:sz="0" w:space="0" w:color="auto"/>
        <w:bottom w:val="none" w:sz="0" w:space="0" w:color="auto"/>
        <w:right w:val="none" w:sz="0" w:space="0" w:color="auto"/>
      </w:divBdr>
    </w:div>
    <w:div w:id="307444693">
      <w:bodyDiv w:val="1"/>
      <w:marLeft w:val="0"/>
      <w:marRight w:val="0"/>
      <w:marTop w:val="0"/>
      <w:marBottom w:val="0"/>
      <w:divBdr>
        <w:top w:val="none" w:sz="0" w:space="0" w:color="auto"/>
        <w:left w:val="none" w:sz="0" w:space="0" w:color="auto"/>
        <w:bottom w:val="none" w:sz="0" w:space="0" w:color="auto"/>
        <w:right w:val="none" w:sz="0" w:space="0" w:color="auto"/>
      </w:divBdr>
    </w:div>
    <w:div w:id="319164660">
      <w:bodyDiv w:val="1"/>
      <w:marLeft w:val="0"/>
      <w:marRight w:val="0"/>
      <w:marTop w:val="0"/>
      <w:marBottom w:val="0"/>
      <w:divBdr>
        <w:top w:val="none" w:sz="0" w:space="0" w:color="auto"/>
        <w:left w:val="none" w:sz="0" w:space="0" w:color="auto"/>
        <w:bottom w:val="none" w:sz="0" w:space="0" w:color="auto"/>
        <w:right w:val="none" w:sz="0" w:space="0" w:color="auto"/>
      </w:divBdr>
    </w:div>
    <w:div w:id="323778885">
      <w:bodyDiv w:val="1"/>
      <w:marLeft w:val="0"/>
      <w:marRight w:val="0"/>
      <w:marTop w:val="0"/>
      <w:marBottom w:val="0"/>
      <w:divBdr>
        <w:top w:val="none" w:sz="0" w:space="0" w:color="auto"/>
        <w:left w:val="none" w:sz="0" w:space="0" w:color="auto"/>
        <w:bottom w:val="none" w:sz="0" w:space="0" w:color="auto"/>
        <w:right w:val="none" w:sz="0" w:space="0" w:color="auto"/>
      </w:divBdr>
    </w:div>
    <w:div w:id="332730544">
      <w:bodyDiv w:val="1"/>
      <w:marLeft w:val="0"/>
      <w:marRight w:val="0"/>
      <w:marTop w:val="0"/>
      <w:marBottom w:val="0"/>
      <w:divBdr>
        <w:top w:val="none" w:sz="0" w:space="0" w:color="auto"/>
        <w:left w:val="none" w:sz="0" w:space="0" w:color="auto"/>
        <w:bottom w:val="none" w:sz="0" w:space="0" w:color="auto"/>
        <w:right w:val="none" w:sz="0" w:space="0" w:color="auto"/>
      </w:divBdr>
    </w:div>
    <w:div w:id="342781906">
      <w:bodyDiv w:val="1"/>
      <w:marLeft w:val="0"/>
      <w:marRight w:val="0"/>
      <w:marTop w:val="0"/>
      <w:marBottom w:val="0"/>
      <w:divBdr>
        <w:top w:val="none" w:sz="0" w:space="0" w:color="auto"/>
        <w:left w:val="none" w:sz="0" w:space="0" w:color="auto"/>
        <w:bottom w:val="none" w:sz="0" w:space="0" w:color="auto"/>
        <w:right w:val="none" w:sz="0" w:space="0" w:color="auto"/>
      </w:divBdr>
    </w:div>
    <w:div w:id="353458025">
      <w:bodyDiv w:val="1"/>
      <w:marLeft w:val="0"/>
      <w:marRight w:val="0"/>
      <w:marTop w:val="0"/>
      <w:marBottom w:val="0"/>
      <w:divBdr>
        <w:top w:val="none" w:sz="0" w:space="0" w:color="auto"/>
        <w:left w:val="none" w:sz="0" w:space="0" w:color="auto"/>
        <w:bottom w:val="none" w:sz="0" w:space="0" w:color="auto"/>
        <w:right w:val="none" w:sz="0" w:space="0" w:color="auto"/>
      </w:divBdr>
    </w:div>
    <w:div w:id="381758863">
      <w:bodyDiv w:val="1"/>
      <w:marLeft w:val="0"/>
      <w:marRight w:val="0"/>
      <w:marTop w:val="0"/>
      <w:marBottom w:val="0"/>
      <w:divBdr>
        <w:top w:val="none" w:sz="0" w:space="0" w:color="auto"/>
        <w:left w:val="none" w:sz="0" w:space="0" w:color="auto"/>
        <w:bottom w:val="none" w:sz="0" w:space="0" w:color="auto"/>
        <w:right w:val="none" w:sz="0" w:space="0" w:color="auto"/>
      </w:divBdr>
    </w:div>
    <w:div w:id="393704461">
      <w:bodyDiv w:val="1"/>
      <w:marLeft w:val="0"/>
      <w:marRight w:val="0"/>
      <w:marTop w:val="0"/>
      <w:marBottom w:val="0"/>
      <w:divBdr>
        <w:top w:val="none" w:sz="0" w:space="0" w:color="auto"/>
        <w:left w:val="none" w:sz="0" w:space="0" w:color="auto"/>
        <w:bottom w:val="none" w:sz="0" w:space="0" w:color="auto"/>
        <w:right w:val="none" w:sz="0" w:space="0" w:color="auto"/>
      </w:divBdr>
    </w:div>
    <w:div w:id="394740087">
      <w:bodyDiv w:val="1"/>
      <w:marLeft w:val="0"/>
      <w:marRight w:val="0"/>
      <w:marTop w:val="0"/>
      <w:marBottom w:val="0"/>
      <w:divBdr>
        <w:top w:val="none" w:sz="0" w:space="0" w:color="auto"/>
        <w:left w:val="none" w:sz="0" w:space="0" w:color="auto"/>
        <w:bottom w:val="none" w:sz="0" w:space="0" w:color="auto"/>
        <w:right w:val="none" w:sz="0" w:space="0" w:color="auto"/>
      </w:divBdr>
    </w:div>
    <w:div w:id="436682716">
      <w:bodyDiv w:val="1"/>
      <w:marLeft w:val="0"/>
      <w:marRight w:val="0"/>
      <w:marTop w:val="0"/>
      <w:marBottom w:val="0"/>
      <w:divBdr>
        <w:top w:val="none" w:sz="0" w:space="0" w:color="auto"/>
        <w:left w:val="none" w:sz="0" w:space="0" w:color="auto"/>
        <w:bottom w:val="none" w:sz="0" w:space="0" w:color="auto"/>
        <w:right w:val="none" w:sz="0" w:space="0" w:color="auto"/>
      </w:divBdr>
    </w:div>
    <w:div w:id="455833013">
      <w:bodyDiv w:val="1"/>
      <w:marLeft w:val="0"/>
      <w:marRight w:val="0"/>
      <w:marTop w:val="0"/>
      <w:marBottom w:val="0"/>
      <w:divBdr>
        <w:top w:val="none" w:sz="0" w:space="0" w:color="auto"/>
        <w:left w:val="none" w:sz="0" w:space="0" w:color="auto"/>
        <w:bottom w:val="none" w:sz="0" w:space="0" w:color="auto"/>
        <w:right w:val="none" w:sz="0" w:space="0" w:color="auto"/>
      </w:divBdr>
    </w:div>
    <w:div w:id="458647781">
      <w:bodyDiv w:val="1"/>
      <w:marLeft w:val="0"/>
      <w:marRight w:val="0"/>
      <w:marTop w:val="0"/>
      <w:marBottom w:val="0"/>
      <w:divBdr>
        <w:top w:val="none" w:sz="0" w:space="0" w:color="auto"/>
        <w:left w:val="none" w:sz="0" w:space="0" w:color="auto"/>
        <w:bottom w:val="none" w:sz="0" w:space="0" w:color="auto"/>
        <w:right w:val="none" w:sz="0" w:space="0" w:color="auto"/>
      </w:divBdr>
    </w:div>
    <w:div w:id="459305151">
      <w:bodyDiv w:val="1"/>
      <w:marLeft w:val="0"/>
      <w:marRight w:val="0"/>
      <w:marTop w:val="0"/>
      <w:marBottom w:val="0"/>
      <w:divBdr>
        <w:top w:val="none" w:sz="0" w:space="0" w:color="auto"/>
        <w:left w:val="none" w:sz="0" w:space="0" w:color="auto"/>
        <w:bottom w:val="none" w:sz="0" w:space="0" w:color="auto"/>
        <w:right w:val="none" w:sz="0" w:space="0" w:color="auto"/>
      </w:divBdr>
    </w:div>
    <w:div w:id="483396054">
      <w:bodyDiv w:val="1"/>
      <w:marLeft w:val="0"/>
      <w:marRight w:val="0"/>
      <w:marTop w:val="0"/>
      <w:marBottom w:val="0"/>
      <w:divBdr>
        <w:top w:val="none" w:sz="0" w:space="0" w:color="auto"/>
        <w:left w:val="none" w:sz="0" w:space="0" w:color="auto"/>
        <w:bottom w:val="none" w:sz="0" w:space="0" w:color="auto"/>
        <w:right w:val="none" w:sz="0" w:space="0" w:color="auto"/>
      </w:divBdr>
    </w:div>
    <w:div w:id="502209363">
      <w:bodyDiv w:val="1"/>
      <w:marLeft w:val="0"/>
      <w:marRight w:val="0"/>
      <w:marTop w:val="0"/>
      <w:marBottom w:val="0"/>
      <w:divBdr>
        <w:top w:val="none" w:sz="0" w:space="0" w:color="auto"/>
        <w:left w:val="none" w:sz="0" w:space="0" w:color="auto"/>
        <w:bottom w:val="none" w:sz="0" w:space="0" w:color="auto"/>
        <w:right w:val="none" w:sz="0" w:space="0" w:color="auto"/>
      </w:divBdr>
    </w:div>
    <w:div w:id="532227704">
      <w:bodyDiv w:val="1"/>
      <w:marLeft w:val="0"/>
      <w:marRight w:val="0"/>
      <w:marTop w:val="0"/>
      <w:marBottom w:val="0"/>
      <w:divBdr>
        <w:top w:val="none" w:sz="0" w:space="0" w:color="auto"/>
        <w:left w:val="none" w:sz="0" w:space="0" w:color="auto"/>
        <w:bottom w:val="none" w:sz="0" w:space="0" w:color="auto"/>
        <w:right w:val="none" w:sz="0" w:space="0" w:color="auto"/>
      </w:divBdr>
    </w:div>
    <w:div w:id="539629648">
      <w:bodyDiv w:val="1"/>
      <w:marLeft w:val="0"/>
      <w:marRight w:val="0"/>
      <w:marTop w:val="0"/>
      <w:marBottom w:val="0"/>
      <w:divBdr>
        <w:top w:val="none" w:sz="0" w:space="0" w:color="auto"/>
        <w:left w:val="none" w:sz="0" w:space="0" w:color="auto"/>
        <w:bottom w:val="none" w:sz="0" w:space="0" w:color="auto"/>
        <w:right w:val="none" w:sz="0" w:space="0" w:color="auto"/>
      </w:divBdr>
    </w:div>
    <w:div w:id="545801855">
      <w:bodyDiv w:val="1"/>
      <w:marLeft w:val="0"/>
      <w:marRight w:val="0"/>
      <w:marTop w:val="0"/>
      <w:marBottom w:val="0"/>
      <w:divBdr>
        <w:top w:val="none" w:sz="0" w:space="0" w:color="auto"/>
        <w:left w:val="none" w:sz="0" w:space="0" w:color="auto"/>
        <w:bottom w:val="none" w:sz="0" w:space="0" w:color="auto"/>
        <w:right w:val="none" w:sz="0" w:space="0" w:color="auto"/>
      </w:divBdr>
    </w:div>
    <w:div w:id="554895783">
      <w:bodyDiv w:val="1"/>
      <w:marLeft w:val="0"/>
      <w:marRight w:val="0"/>
      <w:marTop w:val="0"/>
      <w:marBottom w:val="0"/>
      <w:divBdr>
        <w:top w:val="none" w:sz="0" w:space="0" w:color="auto"/>
        <w:left w:val="none" w:sz="0" w:space="0" w:color="auto"/>
        <w:bottom w:val="none" w:sz="0" w:space="0" w:color="auto"/>
        <w:right w:val="none" w:sz="0" w:space="0" w:color="auto"/>
      </w:divBdr>
    </w:div>
    <w:div w:id="564488253">
      <w:bodyDiv w:val="1"/>
      <w:marLeft w:val="0"/>
      <w:marRight w:val="0"/>
      <w:marTop w:val="0"/>
      <w:marBottom w:val="0"/>
      <w:divBdr>
        <w:top w:val="none" w:sz="0" w:space="0" w:color="auto"/>
        <w:left w:val="none" w:sz="0" w:space="0" w:color="auto"/>
        <w:bottom w:val="none" w:sz="0" w:space="0" w:color="auto"/>
        <w:right w:val="none" w:sz="0" w:space="0" w:color="auto"/>
      </w:divBdr>
    </w:div>
    <w:div w:id="578714587">
      <w:bodyDiv w:val="1"/>
      <w:marLeft w:val="0"/>
      <w:marRight w:val="0"/>
      <w:marTop w:val="0"/>
      <w:marBottom w:val="0"/>
      <w:divBdr>
        <w:top w:val="none" w:sz="0" w:space="0" w:color="auto"/>
        <w:left w:val="none" w:sz="0" w:space="0" w:color="auto"/>
        <w:bottom w:val="none" w:sz="0" w:space="0" w:color="auto"/>
        <w:right w:val="none" w:sz="0" w:space="0" w:color="auto"/>
      </w:divBdr>
    </w:div>
    <w:div w:id="579754908">
      <w:bodyDiv w:val="1"/>
      <w:marLeft w:val="0"/>
      <w:marRight w:val="0"/>
      <w:marTop w:val="0"/>
      <w:marBottom w:val="0"/>
      <w:divBdr>
        <w:top w:val="none" w:sz="0" w:space="0" w:color="auto"/>
        <w:left w:val="none" w:sz="0" w:space="0" w:color="auto"/>
        <w:bottom w:val="none" w:sz="0" w:space="0" w:color="auto"/>
        <w:right w:val="none" w:sz="0" w:space="0" w:color="auto"/>
      </w:divBdr>
    </w:div>
    <w:div w:id="589197900">
      <w:bodyDiv w:val="1"/>
      <w:marLeft w:val="0"/>
      <w:marRight w:val="0"/>
      <w:marTop w:val="0"/>
      <w:marBottom w:val="0"/>
      <w:divBdr>
        <w:top w:val="none" w:sz="0" w:space="0" w:color="auto"/>
        <w:left w:val="none" w:sz="0" w:space="0" w:color="auto"/>
        <w:bottom w:val="none" w:sz="0" w:space="0" w:color="auto"/>
        <w:right w:val="none" w:sz="0" w:space="0" w:color="auto"/>
      </w:divBdr>
    </w:div>
    <w:div w:id="596401129">
      <w:bodyDiv w:val="1"/>
      <w:marLeft w:val="0"/>
      <w:marRight w:val="0"/>
      <w:marTop w:val="0"/>
      <w:marBottom w:val="0"/>
      <w:divBdr>
        <w:top w:val="none" w:sz="0" w:space="0" w:color="auto"/>
        <w:left w:val="none" w:sz="0" w:space="0" w:color="auto"/>
        <w:bottom w:val="none" w:sz="0" w:space="0" w:color="auto"/>
        <w:right w:val="none" w:sz="0" w:space="0" w:color="auto"/>
      </w:divBdr>
    </w:div>
    <w:div w:id="632978000">
      <w:bodyDiv w:val="1"/>
      <w:marLeft w:val="0"/>
      <w:marRight w:val="0"/>
      <w:marTop w:val="0"/>
      <w:marBottom w:val="0"/>
      <w:divBdr>
        <w:top w:val="none" w:sz="0" w:space="0" w:color="auto"/>
        <w:left w:val="none" w:sz="0" w:space="0" w:color="auto"/>
        <w:bottom w:val="none" w:sz="0" w:space="0" w:color="auto"/>
        <w:right w:val="none" w:sz="0" w:space="0" w:color="auto"/>
      </w:divBdr>
    </w:div>
    <w:div w:id="640041890">
      <w:bodyDiv w:val="1"/>
      <w:marLeft w:val="0"/>
      <w:marRight w:val="0"/>
      <w:marTop w:val="0"/>
      <w:marBottom w:val="0"/>
      <w:divBdr>
        <w:top w:val="none" w:sz="0" w:space="0" w:color="auto"/>
        <w:left w:val="none" w:sz="0" w:space="0" w:color="auto"/>
        <w:bottom w:val="none" w:sz="0" w:space="0" w:color="auto"/>
        <w:right w:val="none" w:sz="0" w:space="0" w:color="auto"/>
      </w:divBdr>
    </w:div>
    <w:div w:id="647242870">
      <w:bodyDiv w:val="1"/>
      <w:marLeft w:val="0"/>
      <w:marRight w:val="0"/>
      <w:marTop w:val="0"/>
      <w:marBottom w:val="0"/>
      <w:divBdr>
        <w:top w:val="none" w:sz="0" w:space="0" w:color="auto"/>
        <w:left w:val="none" w:sz="0" w:space="0" w:color="auto"/>
        <w:bottom w:val="none" w:sz="0" w:space="0" w:color="auto"/>
        <w:right w:val="none" w:sz="0" w:space="0" w:color="auto"/>
      </w:divBdr>
    </w:div>
    <w:div w:id="657266658">
      <w:bodyDiv w:val="1"/>
      <w:marLeft w:val="0"/>
      <w:marRight w:val="0"/>
      <w:marTop w:val="0"/>
      <w:marBottom w:val="0"/>
      <w:divBdr>
        <w:top w:val="none" w:sz="0" w:space="0" w:color="auto"/>
        <w:left w:val="none" w:sz="0" w:space="0" w:color="auto"/>
        <w:bottom w:val="none" w:sz="0" w:space="0" w:color="auto"/>
        <w:right w:val="none" w:sz="0" w:space="0" w:color="auto"/>
      </w:divBdr>
    </w:div>
    <w:div w:id="666638184">
      <w:bodyDiv w:val="1"/>
      <w:marLeft w:val="0"/>
      <w:marRight w:val="0"/>
      <w:marTop w:val="0"/>
      <w:marBottom w:val="0"/>
      <w:divBdr>
        <w:top w:val="none" w:sz="0" w:space="0" w:color="auto"/>
        <w:left w:val="none" w:sz="0" w:space="0" w:color="auto"/>
        <w:bottom w:val="none" w:sz="0" w:space="0" w:color="auto"/>
        <w:right w:val="none" w:sz="0" w:space="0" w:color="auto"/>
      </w:divBdr>
    </w:div>
    <w:div w:id="677271975">
      <w:bodyDiv w:val="1"/>
      <w:marLeft w:val="0"/>
      <w:marRight w:val="0"/>
      <w:marTop w:val="0"/>
      <w:marBottom w:val="0"/>
      <w:divBdr>
        <w:top w:val="none" w:sz="0" w:space="0" w:color="auto"/>
        <w:left w:val="none" w:sz="0" w:space="0" w:color="auto"/>
        <w:bottom w:val="none" w:sz="0" w:space="0" w:color="auto"/>
        <w:right w:val="none" w:sz="0" w:space="0" w:color="auto"/>
      </w:divBdr>
    </w:div>
    <w:div w:id="677468003">
      <w:bodyDiv w:val="1"/>
      <w:marLeft w:val="0"/>
      <w:marRight w:val="0"/>
      <w:marTop w:val="0"/>
      <w:marBottom w:val="0"/>
      <w:divBdr>
        <w:top w:val="none" w:sz="0" w:space="0" w:color="auto"/>
        <w:left w:val="none" w:sz="0" w:space="0" w:color="auto"/>
        <w:bottom w:val="none" w:sz="0" w:space="0" w:color="auto"/>
        <w:right w:val="none" w:sz="0" w:space="0" w:color="auto"/>
      </w:divBdr>
    </w:div>
    <w:div w:id="734275941">
      <w:bodyDiv w:val="1"/>
      <w:marLeft w:val="0"/>
      <w:marRight w:val="0"/>
      <w:marTop w:val="0"/>
      <w:marBottom w:val="0"/>
      <w:divBdr>
        <w:top w:val="none" w:sz="0" w:space="0" w:color="auto"/>
        <w:left w:val="none" w:sz="0" w:space="0" w:color="auto"/>
        <w:bottom w:val="none" w:sz="0" w:space="0" w:color="auto"/>
        <w:right w:val="none" w:sz="0" w:space="0" w:color="auto"/>
      </w:divBdr>
    </w:div>
    <w:div w:id="742096089">
      <w:bodyDiv w:val="1"/>
      <w:marLeft w:val="0"/>
      <w:marRight w:val="0"/>
      <w:marTop w:val="0"/>
      <w:marBottom w:val="0"/>
      <w:divBdr>
        <w:top w:val="none" w:sz="0" w:space="0" w:color="auto"/>
        <w:left w:val="none" w:sz="0" w:space="0" w:color="auto"/>
        <w:bottom w:val="none" w:sz="0" w:space="0" w:color="auto"/>
        <w:right w:val="none" w:sz="0" w:space="0" w:color="auto"/>
      </w:divBdr>
    </w:div>
    <w:div w:id="742683572">
      <w:bodyDiv w:val="1"/>
      <w:marLeft w:val="0"/>
      <w:marRight w:val="0"/>
      <w:marTop w:val="0"/>
      <w:marBottom w:val="0"/>
      <w:divBdr>
        <w:top w:val="none" w:sz="0" w:space="0" w:color="auto"/>
        <w:left w:val="none" w:sz="0" w:space="0" w:color="auto"/>
        <w:bottom w:val="none" w:sz="0" w:space="0" w:color="auto"/>
        <w:right w:val="none" w:sz="0" w:space="0" w:color="auto"/>
      </w:divBdr>
    </w:div>
    <w:div w:id="743263969">
      <w:bodyDiv w:val="1"/>
      <w:marLeft w:val="0"/>
      <w:marRight w:val="0"/>
      <w:marTop w:val="0"/>
      <w:marBottom w:val="0"/>
      <w:divBdr>
        <w:top w:val="none" w:sz="0" w:space="0" w:color="auto"/>
        <w:left w:val="none" w:sz="0" w:space="0" w:color="auto"/>
        <w:bottom w:val="none" w:sz="0" w:space="0" w:color="auto"/>
        <w:right w:val="none" w:sz="0" w:space="0" w:color="auto"/>
      </w:divBdr>
    </w:div>
    <w:div w:id="743919954">
      <w:bodyDiv w:val="1"/>
      <w:marLeft w:val="0"/>
      <w:marRight w:val="0"/>
      <w:marTop w:val="0"/>
      <w:marBottom w:val="0"/>
      <w:divBdr>
        <w:top w:val="none" w:sz="0" w:space="0" w:color="auto"/>
        <w:left w:val="none" w:sz="0" w:space="0" w:color="auto"/>
        <w:bottom w:val="none" w:sz="0" w:space="0" w:color="auto"/>
        <w:right w:val="none" w:sz="0" w:space="0" w:color="auto"/>
      </w:divBdr>
    </w:div>
    <w:div w:id="769661444">
      <w:bodyDiv w:val="1"/>
      <w:marLeft w:val="0"/>
      <w:marRight w:val="0"/>
      <w:marTop w:val="0"/>
      <w:marBottom w:val="0"/>
      <w:divBdr>
        <w:top w:val="none" w:sz="0" w:space="0" w:color="auto"/>
        <w:left w:val="none" w:sz="0" w:space="0" w:color="auto"/>
        <w:bottom w:val="none" w:sz="0" w:space="0" w:color="auto"/>
        <w:right w:val="none" w:sz="0" w:space="0" w:color="auto"/>
      </w:divBdr>
    </w:div>
    <w:div w:id="770249374">
      <w:bodyDiv w:val="1"/>
      <w:marLeft w:val="0"/>
      <w:marRight w:val="0"/>
      <w:marTop w:val="0"/>
      <w:marBottom w:val="0"/>
      <w:divBdr>
        <w:top w:val="none" w:sz="0" w:space="0" w:color="auto"/>
        <w:left w:val="none" w:sz="0" w:space="0" w:color="auto"/>
        <w:bottom w:val="none" w:sz="0" w:space="0" w:color="auto"/>
        <w:right w:val="none" w:sz="0" w:space="0" w:color="auto"/>
      </w:divBdr>
    </w:div>
    <w:div w:id="793331928">
      <w:bodyDiv w:val="1"/>
      <w:marLeft w:val="0"/>
      <w:marRight w:val="0"/>
      <w:marTop w:val="0"/>
      <w:marBottom w:val="0"/>
      <w:divBdr>
        <w:top w:val="none" w:sz="0" w:space="0" w:color="auto"/>
        <w:left w:val="none" w:sz="0" w:space="0" w:color="auto"/>
        <w:bottom w:val="none" w:sz="0" w:space="0" w:color="auto"/>
        <w:right w:val="none" w:sz="0" w:space="0" w:color="auto"/>
      </w:divBdr>
    </w:div>
    <w:div w:id="837503683">
      <w:bodyDiv w:val="1"/>
      <w:marLeft w:val="0"/>
      <w:marRight w:val="0"/>
      <w:marTop w:val="0"/>
      <w:marBottom w:val="0"/>
      <w:divBdr>
        <w:top w:val="none" w:sz="0" w:space="0" w:color="auto"/>
        <w:left w:val="none" w:sz="0" w:space="0" w:color="auto"/>
        <w:bottom w:val="none" w:sz="0" w:space="0" w:color="auto"/>
        <w:right w:val="none" w:sz="0" w:space="0" w:color="auto"/>
      </w:divBdr>
    </w:div>
    <w:div w:id="856311650">
      <w:bodyDiv w:val="1"/>
      <w:marLeft w:val="0"/>
      <w:marRight w:val="0"/>
      <w:marTop w:val="0"/>
      <w:marBottom w:val="0"/>
      <w:divBdr>
        <w:top w:val="none" w:sz="0" w:space="0" w:color="auto"/>
        <w:left w:val="none" w:sz="0" w:space="0" w:color="auto"/>
        <w:bottom w:val="none" w:sz="0" w:space="0" w:color="auto"/>
        <w:right w:val="none" w:sz="0" w:space="0" w:color="auto"/>
      </w:divBdr>
    </w:div>
    <w:div w:id="863246449">
      <w:bodyDiv w:val="1"/>
      <w:marLeft w:val="0"/>
      <w:marRight w:val="0"/>
      <w:marTop w:val="0"/>
      <w:marBottom w:val="0"/>
      <w:divBdr>
        <w:top w:val="none" w:sz="0" w:space="0" w:color="auto"/>
        <w:left w:val="none" w:sz="0" w:space="0" w:color="auto"/>
        <w:bottom w:val="none" w:sz="0" w:space="0" w:color="auto"/>
        <w:right w:val="none" w:sz="0" w:space="0" w:color="auto"/>
      </w:divBdr>
    </w:div>
    <w:div w:id="881019486">
      <w:bodyDiv w:val="1"/>
      <w:marLeft w:val="0"/>
      <w:marRight w:val="0"/>
      <w:marTop w:val="0"/>
      <w:marBottom w:val="0"/>
      <w:divBdr>
        <w:top w:val="none" w:sz="0" w:space="0" w:color="auto"/>
        <w:left w:val="none" w:sz="0" w:space="0" w:color="auto"/>
        <w:bottom w:val="none" w:sz="0" w:space="0" w:color="auto"/>
        <w:right w:val="none" w:sz="0" w:space="0" w:color="auto"/>
      </w:divBdr>
    </w:div>
    <w:div w:id="887304802">
      <w:bodyDiv w:val="1"/>
      <w:marLeft w:val="0"/>
      <w:marRight w:val="0"/>
      <w:marTop w:val="0"/>
      <w:marBottom w:val="0"/>
      <w:divBdr>
        <w:top w:val="none" w:sz="0" w:space="0" w:color="auto"/>
        <w:left w:val="none" w:sz="0" w:space="0" w:color="auto"/>
        <w:bottom w:val="none" w:sz="0" w:space="0" w:color="auto"/>
        <w:right w:val="none" w:sz="0" w:space="0" w:color="auto"/>
      </w:divBdr>
    </w:div>
    <w:div w:id="892889468">
      <w:bodyDiv w:val="1"/>
      <w:marLeft w:val="0"/>
      <w:marRight w:val="0"/>
      <w:marTop w:val="0"/>
      <w:marBottom w:val="0"/>
      <w:divBdr>
        <w:top w:val="none" w:sz="0" w:space="0" w:color="auto"/>
        <w:left w:val="none" w:sz="0" w:space="0" w:color="auto"/>
        <w:bottom w:val="none" w:sz="0" w:space="0" w:color="auto"/>
        <w:right w:val="none" w:sz="0" w:space="0" w:color="auto"/>
      </w:divBdr>
    </w:div>
    <w:div w:id="922488446">
      <w:bodyDiv w:val="1"/>
      <w:marLeft w:val="0"/>
      <w:marRight w:val="0"/>
      <w:marTop w:val="0"/>
      <w:marBottom w:val="0"/>
      <w:divBdr>
        <w:top w:val="none" w:sz="0" w:space="0" w:color="auto"/>
        <w:left w:val="none" w:sz="0" w:space="0" w:color="auto"/>
        <w:bottom w:val="none" w:sz="0" w:space="0" w:color="auto"/>
        <w:right w:val="none" w:sz="0" w:space="0" w:color="auto"/>
      </w:divBdr>
    </w:div>
    <w:div w:id="930436361">
      <w:bodyDiv w:val="1"/>
      <w:marLeft w:val="0"/>
      <w:marRight w:val="0"/>
      <w:marTop w:val="0"/>
      <w:marBottom w:val="0"/>
      <w:divBdr>
        <w:top w:val="none" w:sz="0" w:space="0" w:color="auto"/>
        <w:left w:val="none" w:sz="0" w:space="0" w:color="auto"/>
        <w:bottom w:val="none" w:sz="0" w:space="0" w:color="auto"/>
        <w:right w:val="none" w:sz="0" w:space="0" w:color="auto"/>
      </w:divBdr>
    </w:div>
    <w:div w:id="947658027">
      <w:bodyDiv w:val="1"/>
      <w:marLeft w:val="0"/>
      <w:marRight w:val="0"/>
      <w:marTop w:val="0"/>
      <w:marBottom w:val="0"/>
      <w:divBdr>
        <w:top w:val="none" w:sz="0" w:space="0" w:color="auto"/>
        <w:left w:val="none" w:sz="0" w:space="0" w:color="auto"/>
        <w:bottom w:val="none" w:sz="0" w:space="0" w:color="auto"/>
        <w:right w:val="none" w:sz="0" w:space="0" w:color="auto"/>
      </w:divBdr>
    </w:div>
    <w:div w:id="987248493">
      <w:bodyDiv w:val="1"/>
      <w:marLeft w:val="0"/>
      <w:marRight w:val="0"/>
      <w:marTop w:val="0"/>
      <w:marBottom w:val="0"/>
      <w:divBdr>
        <w:top w:val="none" w:sz="0" w:space="0" w:color="auto"/>
        <w:left w:val="none" w:sz="0" w:space="0" w:color="auto"/>
        <w:bottom w:val="none" w:sz="0" w:space="0" w:color="auto"/>
        <w:right w:val="none" w:sz="0" w:space="0" w:color="auto"/>
      </w:divBdr>
    </w:div>
    <w:div w:id="989136717">
      <w:bodyDiv w:val="1"/>
      <w:marLeft w:val="0"/>
      <w:marRight w:val="0"/>
      <w:marTop w:val="0"/>
      <w:marBottom w:val="0"/>
      <w:divBdr>
        <w:top w:val="none" w:sz="0" w:space="0" w:color="auto"/>
        <w:left w:val="none" w:sz="0" w:space="0" w:color="auto"/>
        <w:bottom w:val="none" w:sz="0" w:space="0" w:color="auto"/>
        <w:right w:val="none" w:sz="0" w:space="0" w:color="auto"/>
      </w:divBdr>
    </w:div>
    <w:div w:id="997415573">
      <w:bodyDiv w:val="1"/>
      <w:marLeft w:val="0"/>
      <w:marRight w:val="0"/>
      <w:marTop w:val="0"/>
      <w:marBottom w:val="0"/>
      <w:divBdr>
        <w:top w:val="none" w:sz="0" w:space="0" w:color="auto"/>
        <w:left w:val="none" w:sz="0" w:space="0" w:color="auto"/>
        <w:bottom w:val="none" w:sz="0" w:space="0" w:color="auto"/>
        <w:right w:val="none" w:sz="0" w:space="0" w:color="auto"/>
      </w:divBdr>
    </w:div>
    <w:div w:id="1036589040">
      <w:bodyDiv w:val="1"/>
      <w:marLeft w:val="0"/>
      <w:marRight w:val="0"/>
      <w:marTop w:val="0"/>
      <w:marBottom w:val="0"/>
      <w:divBdr>
        <w:top w:val="none" w:sz="0" w:space="0" w:color="auto"/>
        <w:left w:val="none" w:sz="0" w:space="0" w:color="auto"/>
        <w:bottom w:val="none" w:sz="0" w:space="0" w:color="auto"/>
        <w:right w:val="none" w:sz="0" w:space="0" w:color="auto"/>
      </w:divBdr>
    </w:div>
    <w:div w:id="1042746393">
      <w:bodyDiv w:val="1"/>
      <w:marLeft w:val="0"/>
      <w:marRight w:val="0"/>
      <w:marTop w:val="0"/>
      <w:marBottom w:val="0"/>
      <w:divBdr>
        <w:top w:val="none" w:sz="0" w:space="0" w:color="auto"/>
        <w:left w:val="none" w:sz="0" w:space="0" w:color="auto"/>
        <w:bottom w:val="none" w:sz="0" w:space="0" w:color="auto"/>
        <w:right w:val="none" w:sz="0" w:space="0" w:color="auto"/>
      </w:divBdr>
    </w:div>
    <w:div w:id="1058241953">
      <w:bodyDiv w:val="1"/>
      <w:marLeft w:val="0"/>
      <w:marRight w:val="0"/>
      <w:marTop w:val="0"/>
      <w:marBottom w:val="0"/>
      <w:divBdr>
        <w:top w:val="none" w:sz="0" w:space="0" w:color="auto"/>
        <w:left w:val="none" w:sz="0" w:space="0" w:color="auto"/>
        <w:bottom w:val="none" w:sz="0" w:space="0" w:color="auto"/>
        <w:right w:val="none" w:sz="0" w:space="0" w:color="auto"/>
      </w:divBdr>
    </w:div>
    <w:div w:id="1077168508">
      <w:bodyDiv w:val="1"/>
      <w:marLeft w:val="0"/>
      <w:marRight w:val="0"/>
      <w:marTop w:val="0"/>
      <w:marBottom w:val="0"/>
      <w:divBdr>
        <w:top w:val="none" w:sz="0" w:space="0" w:color="auto"/>
        <w:left w:val="none" w:sz="0" w:space="0" w:color="auto"/>
        <w:bottom w:val="none" w:sz="0" w:space="0" w:color="auto"/>
        <w:right w:val="none" w:sz="0" w:space="0" w:color="auto"/>
      </w:divBdr>
    </w:div>
    <w:div w:id="1080440979">
      <w:bodyDiv w:val="1"/>
      <w:marLeft w:val="0"/>
      <w:marRight w:val="0"/>
      <w:marTop w:val="0"/>
      <w:marBottom w:val="0"/>
      <w:divBdr>
        <w:top w:val="none" w:sz="0" w:space="0" w:color="auto"/>
        <w:left w:val="none" w:sz="0" w:space="0" w:color="auto"/>
        <w:bottom w:val="none" w:sz="0" w:space="0" w:color="auto"/>
        <w:right w:val="none" w:sz="0" w:space="0" w:color="auto"/>
      </w:divBdr>
    </w:div>
    <w:div w:id="1100563320">
      <w:bodyDiv w:val="1"/>
      <w:marLeft w:val="0"/>
      <w:marRight w:val="0"/>
      <w:marTop w:val="0"/>
      <w:marBottom w:val="0"/>
      <w:divBdr>
        <w:top w:val="none" w:sz="0" w:space="0" w:color="auto"/>
        <w:left w:val="none" w:sz="0" w:space="0" w:color="auto"/>
        <w:bottom w:val="none" w:sz="0" w:space="0" w:color="auto"/>
        <w:right w:val="none" w:sz="0" w:space="0" w:color="auto"/>
      </w:divBdr>
    </w:div>
    <w:div w:id="1115291781">
      <w:bodyDiv w:val="1"/>
      <w:marLeft w:val="0"/>
      <w:marRight w:val="0"/>
      <w:marTop w:val="0"/>
      <w:marBottom w:val="0"/>
      <w:divBdr>
        <w:top w:val="none" w:sz="0" w:space="0" w:color="auto"/>
        <w:left w:val="none" w:sz="0" w:space="0" w:color="auto"/>
        <w:bottom w:val="none" w:sz="0" w:space="0" w:color="auto"/>
        <w:right w:val="none" w:sz="0" w:space="0" w:color="auto"/>
      </w:divBdr>
    </w:div>
    <w:div w:id="1117454357">
      <w:bodyDiv w:val="1"/>
      <w:marLeft w:val="0"/>
      <w:marRight w:val="0"/>
      <w:marTop w:val="0"/>
      <w:marBottom w:val="0"/>
      <w:divBdr>
        <w:top w:val="none" w:sz="0" w:space="0" w:color="auto"/>
        <w:left w:val="none" w:sz="0" w:space="0" w:color="auto"/>
        <w:bottom w:val="none" w:sz="0" w:space="0" w:color="auto"/>
        <w:right w:val="none" w:sz="0" w:space="0" w:color="auto"/>
      </w:divBdr>
    </w:div>
    <w:div w:id="1135636875">
      <w:bodyDiv w:val="1"/>
      <w:marLeft w:val="0"/>
      <w:marRight w:val="0"/>
      <w:marTop w:val="0"/>
      <w:marBottom w:val="0"/>
      <w:divBdr>
        <w:top w:val="none" w:sz="0" w:space="0" w:color="auto"/>
        <w:left w:val="none" w:sz="0" w:space="0" w:color="auto"/>
        <w:bottom w:val="none" w:sz="0" w:space="0" w:color="auto"/>
        <w:right w:val="none" w:sz="0" w:space="0" w:color="auto"/>
      </w:divBdr>
    </w:div>
    <w:div w:id="1153914095">
      <w:bodyDiv w:val="1"/>
      <w:marLeft w:val="0"/>
      <w:marRight w:val="0"/>
      <w:marTop w:val="0"/>
      <w:marBottom w:val="0"/>
      <w:divBdr>
        <w:top w:val="none" w:sz="0" w:space="0" w:color="auto"/>
        <w:left w:val="none" w:sz="0" w:space="0" w:color="auto"/>
        <w:bottom w:val="none" w:sz="0" w:space="0" w:color="auto"/>
        <w:right w:val="none" w:sz="0" w:space="0" w:color="auto"/>
      </w:divBdr>
    </w:div>
    <w:div w:id="1158039770">
      <w:bodyDiv w:val="1"/>
      <w:marLeft w:val="0"/>
      <w:marRight w:val="0"/>
      <w:marTop w:val="0"/>
      <w:marBottom w:val="0"/>
      <w:divBdr>
        <w:top w:val="none" w:sz="0" w:space="0" w:color="auto"/>
        <w:left w:val="none" w:sz="0" w:space="0" w:color="auto"/>
        <w:bottom w:val="none" w:sz="0" w:space="0" w:color="auto"/>
        <w:right w:val="none" w:sz="0" w:space="0" w:color="auto"/>
      </w:divBdr>
    </w:div>
    <w:div w:id="1168596142">
      <w:bodyDiv w:val="1"/>
      <w:marLeft w:val="0"/>
      <w:marRight w:val="0"/>
      <w:marTop w:val="0"/>
      <w:marBottom w:val="0"/>
      <w:divBdr>
        <w:top w:val="none" w:sz="0" w:space="0" w:color="auto"/>
        <w:left w:val="none" w:sz="0" w:space="0" w:color="auto"/>
        <w:bottom w:val="none" w:sz="0" w:space="0" w:color="auto"/>
        <w:right w:val="none" w:sz="0" w:space="0" w:color="auto"/>
      </w:divBdr>
    </w:div>
    <w:div w:id="1173491252">
      <w:bodyDiv w:val="1"/>
      <w:marLeft w:val="0"/>
      <w:marRight w:val="0"/>
      <w:marTop w:val="0"/>
      <w:marBottom w:val="0"/>
      <w:divBdr>
        <w:top w:val="none" w:sz="0" w:space="0" w:color="auto"/>
        <w:left w:val="none" w:sz="0" w:space="0" w:color="auto"/>
        <w:bottom w:val="none" w:sz="0" w:space="0" w:color="auto"/>
        <w:right w:val="none" w:sz="0" w:space="0" w:color="auto"/>
      </w:divBdr>
    </w:div>
    <w:div w:id="1183979313">
      <w:bodyDiv w:val="1"/>
      <w:marLeft w:val="0"/>
      <w:marRight w:val="0"/>
      <w:marTop w:val="0"/>
      <w:marBottom w:val="0"/>
      <w:divBdr>
        <w:top w:val="none" w:sz="0" w:space="0" w:color="auto"/>
        <w:left w:val="none" w:sz="0" w:space="0" w:color="auto"/>
        <w:bottom w:val="none" w:sz="0" w:space="0" w:color="auto"/>
        <w:right w:val="none" w:sz="0" w:space="0" w:color="auto"/>
      </w:divBdr>
    </w:div>
    <w:div w:id="1192498139">
      <w:bodyDiv w:val="1"/>
      <w:marLeft w:val="0"/>
      <w:marRight w:val="0"/>
      <w:marTop w:val="0"/>
      <w:marBottom w:val="0"/>
      <w:divBdr>
        <w:top w:val="none" w:sz="0" w:space="0" w:color="auto"/>
        <w:left w:val="none" w:sz="0" w:space="0" w:color="auto"/>
        <w:bottom w:val="none" w:sz="0" w:space="0" w:color="auto"/>
        <w:right w:val="none" w:sz="0" w:space="0" w:color="auto"/>
      </w:divBdr>
    </w:div>
    <w:div w:id="1221595237">
      <w:bodyDiv w:val="1"/>
      <w:marLeft w:val="0"/>
      <w:marRight w:val="0"/>
      <w:marTop w:val="0"/>
      <w:marBottom w:val="0"/>
      <w:divBdr>
        <w:top w:val="none" w:sz="0" w:space="0" w:color="auto"/>
        <w:left w:val="none" w:sz="0" w:space="0" w:color="auto"/>
        <w:bottom w:val="none" w:sz="0" w:space="0" w:color="auto"/>
        <w:right w:val="none" w:sz="0" w:space="0" w:color="auto"/>
      </w:divBdr>
    </w:div>
    <w:div w:id="1224214711">
      <w:bodyDiv w:val="1"/>
      <w:marLeft w:val="0"/>
      <w:marRight w:val="0"/>
      <w:marTop w:val="0"/>
      <w:marBottom w:val="0"/>
      <w:divBdr>
        <w:top w:val="none" w:sz="0" w:space="0" w:color="auto"/>
        <w:left w:val="none" w:sz="0" w:space="0" w:color="auto"/>
        <w:bottom w:val="none" w:sz="0" w:space="0" w:color="auto"/>
        <w:right w:val="none" w:sz="0" w:space="0" w:color="auto"/>
      </w:divBdr>
    </w:div>
    <w:div w:id="1227060775">
      <w:bodyDiv w:val="1"/>
      <w:marLeft w:val="0"/>
      <w:marRight w:val="0"/>
      <w:marTop w:val="0"/>
      <w:marBottom w:val="0"/>
      <w:divBdr>
        <w:top w:val="none" w:sz="0" w:space="0" w:color="auto"/>
        <w:left w:val="none" w:sz="0" w:space="0" w:color="auto"/>
        <w:bottom w:val="none" w:sz="0" w:space="0" w:color="auto"/>
        <w:right w:val="none" w:sz="0" w:space="0" w:color="auto"/>
      </w:divBdr>
    </w:div>
    <w:div w:id="1239514217">
      <w:bodyDiv w:val="1"/>
      <w:marLeft w:val="0"/>
      <w:marRight w:val="0"/>
      <w:marTop w:val="0"/>
      <w:marBottom w:val="0"/>
      <w:divBdr>
        <w:top w:val="none" w:sz="0" w:space="0" w:color="auto"/>
        <w:left w:val="none" w:sz="0" w:space="0" w:color="auto"/>
        <w:bottom w:val="none" w:sz="0" w:space="0" w:color="auto"/>
        <w:right w:val="none" w:sz="0" w:space="0" w:color="auto"/>
      </w:divBdr>
    </w:div>
    <w:div w:id="1251962869">
      <w:bodyDiv w:val="1"/>
      <w:marLeft w:val="0"/>
      <w:marRight w:val="0"/>
      <w:marTop w:val="0"/>
      <w:marBottom w:val="0"/>
      <w:divBdr>
        <w:top w:val="none" w:sz="0" w:space="0" w:color="auto"/>
        <w:left w:val="none" w:sz="0" w:space="0" w:color="auto"/>
        <w:bottom w:val="none" w:sz="0" w:space="0" w:color="auto"/>
        <w:right w:val="none" w:sz="0" w:space="0" w:color="auto"/>
      </w:divBdr>
    </w:div>
    <w:div w:id="1284340491">
      <w:bodyDiv w:val="1"/>
      <w:marLeft w:val="0"/>
      <w:marRight w:val="0"/>
      <w:marTop w:val="0"/>
      <w:marBottom w:val="0"/>
      <w:divBdr>
        <w:top w:val="none" w:sz="0" w:space="0" w:color="auto"/>
        <w:left w:val="none" w:sz="0" w:space="0" w:color="auto"/>
        <w:bottom w:val="none" w:sz="0" w:space="0" w:color="auto"/>
        <w:right w:val="none" w:sz="0" w:space="0" w:color="auto"/>
      </w:divBdr>
    </w:div>
    <w:div w:id="1314607311">
      <w:bodyDiv w:val="1"/>
      <w:marLeft w:val="0"/>
      <w:marRight w:val="0"/>
      <w:marTop w:val="0"/>
      <w:marBottom w:val="0"/>
      <w:divBdr>
        <w:top w:val="none" w:sz="0" w:space="0" w:color="auto"/>
        <w:left w:val="none" w:sz="0" w:space="0" w:color="auto"/>
        <w:bottom w:val="none" w:sz="0" w:space="0" w:color="auto"/>
        <w:right w:val="none" w:sz="0" w:space="0" w:color="auto"/>
      </w:divBdr>
    </w:div>
    <w:div w:id="1326973983">
      <w:bodyDiv w:val="1"/>
      <w:marLeft w:val="0"/>
      <w:marRight w:val="0"/>
      <w:marTop w:val="0"/>
      <w:marBottom w:val="0"/>
      <w:divBdr>
        <w:top w:val="none" w:sz="0" w:space="0" w:color="auto"/>
        <w:left w:val="none" w:sz="0" w:space="0" w:color="auto"/>
        <w:bottom w:val="none" w:sz="0" w:space="0" w:color="auto"/>
        <w:right w:val="none" w:sz="0" w:space="0" w:color="auto"/>
      </w:divBdr>
    </w:div>
    <w:div w:id="1360617614">
      <w:bodyDiv w:val="1"/>
      <w:marLeft w:val="0"/>
      <w:marRight w:val="0"/>
      <w:marTop w:val="0"/>
      <w:marBottom w:val="0"/>
      <w:divBdr>
        <w:top w:val="none" w:sz="0" w:space="0" w:color="auto"/>
        <w:left w:val="none" w:sz="0" w:space="0" w:color="auto"/>
        <w:bottom w:val="none" w:sz="0" w:space="0" w:color="auto"/>
        <w:right w:val="none" w:sz="0" w:space="0" w:color="auto"/>
      </w:divBdr>
    </w:div>
    <w:div w:id="1391808184">
      <w:bodyDiv w:val="1"/>
      <w:marLeft w:val="0"/>
      <w:marRight w:val="0"/>
      <w:marTop w:val="0"/>
      <w:marBottom w:val="0"/>
      <w:divBdr>
        <w:top w:val="none" w:sz="0" w:space="0" w:color="auto"/>
        <w:left w:val="none" w:sz="0" w:space="0" w:color="auto"/>
        <w:bottom w:val="none" w:sz="0" w:space="0" w:color="auto"/>
        <w:right w:val="none" w:sz="0" w:space="0" w:color="auto"/>
      </w:divBdr>
    </w:div>
    <w:div w:id="1408185494">
      <w:bodyDiv w:val="1"/>
      <w:marLeft w:val="0"/>
      <w:marRight w:val="0"/>
      <w:marTop w:val="0"/>
      <w:marBottom w:val="0"/>
      <w:divBdr>
        <w:top w:val="none" w:sz="0" w:space="0" w:color="auto"/>
        <w:left w:val="none" w:sz="0" w:space="0" w:color="auto"/>
        <w:bottom w:val="none" w:sz="0" w:space="0" w:color="auto"/>
        <w:right w:val="none" w:sz="0" w:space="0" w:color="auto"/>
      </w:divBdr>
    </w:div>
    <w:div w:id="1431047734">
      <w:bodyDiv w:val="1"/>
      <w:marLeft w:val="0"/>
      <w:marRight w:val="0"/>
      <w:marTop w:val="0"/>
      <w:marBottom w:val="0"/>
      <w:divBdr>
        <w:top w:val="none" w:sz="0" w:space="0" w:color="auto"/>
        <w:left w:val="none" w:sz="0" w:space="0" w:color="auto"/>
        <w:bottom w:val="none" w:sz="0" w:space="0" w:color="auto"/>
        <w:right w:val="none" w:sz="0" w:space="0" w:color="auto"/>
      </w:divBdr>
    </w:div>
    <w:div w:id="1433746093">
      <w:bodyDiv w:val="1"/>
      <w:marLeft w:val="0"/>
      <w:marRight w:val="0"/>
      <w:marTop w:val="0"/>
      <w:marBottom w:val="0"/>
      <w:divBdr>
        <w:top w:val="none" w:sz="0" w:space="0" w:color="auto"/>
        <w:left w:val="none" w:sz="0" w:space="0" w:color="auto"/>
        <w:bottom w:val="none" w:sz="0" w:space="0" w:color="auto"/>
        <w:right w:val="none" w:sz="0" w:space="0" w:color="auto"/>
      </w:divBdr>
    </w:div>
    <w:div w:id="1453130618">
      <w:bodyDiv w:val="1"/>
      <w:marLeft w:val="0"/>
      <w:marRight w:val="0"/>
      <w:marTop w:val="0"/>
      <w:marBottom w:val="0"/>
      <w:divBdr>
        <w:top w:val="none" w:sz="0" w:space="0" w:color="auto"/>
        <w:left w:val="none" w:sz="0" w:space="0" w:color="auto"/>
        <w:bottom w:val="none" w:sz="0" w:space="0" w:color="auto"/>
        <w:right w:val="none" w:sz="0" w:space="0" w:color="auto"/>
      </w:divBdr>
    </w:div>
    <w:div w:id="1455096838">
      <w:bodyDiv w:val="1"/>
      <w:marLeft w:val="0"/>
      <w:marRight w:val="0"/>
      <w:marTop w:val="0"/>
      <w:marBottom w:val="0"/>
      <w:divBdr>
        <w:top w:val="none" w:sz="0" w:space="0" w:color="auto"/>
        <w:left w:val="none" w:sz="0" w:space="0" w:color="auto"/>
        <w:bottom w:val="none" w:sz="0" w:space="0" w:color="auto"/>
        <w:right w:val="none" w:sz="0" w:space="0" w:color="auto"/>
      </w:divBdr>
    </w:div>
    <w:div w:id="1462310171">
      <w:bodyDiv w:val="1"/>
      <w:marLeft w:val="0"/>
      <w:marRight w:val="0"/>
      <w:marTop w:val="0"/>
      <w:marBottom w:val="0"/>
      <w:divBdr>
        <w:top w:val="none" w:sz="0" w:space="0" w:color="auto"/>
        <w:left w:val="none" w:sz="0" w:space="0" w:color="auto"/>
        <w:bottom w:val="none" w:sz="0" w:space="0" w:color="auto"/>
        <w:right w:val="none" w:sz="0" w:space="0" w:color="auto"/>
      </w:divBdr>
    </w:div>
    <w:div w:id="1496065123">
      <w:bodyDiv w:val="1"/>
      <w:marLeft w:val="0"/>
      <w:marRight w:val="0"/>
      <w:marTop w:val="0"/>
      <w:marBottom w:val="0"/>
      <w:divBdr>
        <w:top w:val="none" w:sz="0" w:space="0" w:color="auto"/>
        <w:left w:val="none" w:sz="0" w:space="0" w:color="auto"/>
        <w:bottom w:val="none" w:sz="0" w:space="0" w:color="auto"/>
        <w:right w:val="none" w:sz="0" w:space="0" w:color="auto"/>
      </w:divBdr>
    </w:div>
    <w:div w:id="1498224406">
      <w:bodyDiv w:val="1"/>
      <w:marLeft w:val="0"/>
      <w:marRight w:val="0"/>
      <w:marTop w:val="0"/>
      <w:marBottom w:val="0"/>
      <w:divBdr>
        <w:top w:val="none" w:sz="0" w:space="0" w:color="auto"/>
        <w:left w:val="none" w:sz="0" w:space="0" w:color="auto"/>
        <w:bottom w:val="none" w:sz="0" w:space="0" w:color="auto"/>
        <w:right w:val="none" w:sz="0" w:space="0" w:color="auto"/>
      </w:divBdr>
    </w:div>
    <w:div w:id="1546677948">
      <w:bodyDiv w:val="1"/>
      <w:marLeft w:val="0"/>
      <w:marRight w:val="0"/>
      <w:marTop w:val="0"/>
      <w:marBottom w:val="0"/>
      <w:divBdr>
        <w:top w:val="none" w:sz="0" w:space="0" w:color="auto"/>
        <w:left w:val="none" w:sz="0" w:space="0" w:color="auto"/>
        <w:bottom w:val="none" w:sz="0" w:space="0" w:color="auto"/>
        <w:right w:val="none" w:sz="0" w:space="0" w:color="auto"/>
      </w:divBdr>
    </w:div>
    <w:div w:id="1550997735">
      <w:bodyDiv w:val="1"/>
      <w:marLeft w:val="0"/>
      <w:marRight w:val="0"/>
      <w:marTop w:val="0"/>
      <w:marBottom w:val="0"/>
      <w:divBdr>
        <w:top w:val="none" w:sz="0" w:space="0" w:color="auto"/>
        <w:left w:val="none" w:sz="0" w:space="0" w:color="auto"/>
        <w:bottom w:val="none" w:sz="0" w:space="0" w:color="auto"/>
        <w:right w:val="none" w:sz="0" w:space="0" w:color="auto"/>
      </w:divBdr>
    </w:div>
    <w:div w:id="1556432418">
      <w:bodyDiv w:val="1"/>
      <w:marLeft w:val="0"/>
      <w:marRight w:val="0"/>
      <w:marTop w:val="0"/>
      <w:marBottom w:val="0"/>
      <w:divBdr>
        <w:top w:val="none" w:sz="0" w:space="0" w:color="auto"/>
        <w:left w:val="none" w:sz="0" w:space="0" w:color="auto"/>
        <w:bottom w:val="none" w:sz="0" w:space="0" w:color="auto"/>
        <w:right w:val="none" w:sz="0" w:space="0" w:color="auto"/>
      </w:divBdr>
    </w:div>
    <w:div w:id="1568685218">
      <w:bodyDiv w:val="1"/>
      <w:marLeft w:val="0"/>
      <w:marRight w:val="0"/>
      <w:marTop w:val="0"/>
      <w:marBottom w:val="0"/>
      <w:divBdr>
        <w:top w:val="none" w:sz="0" w:space="0" w:color="auto"/>
        <w:left w:val="none" w:sz="0" w:space="0" w:color="auto"/>
        <w:bottom w:val="none" w:sz="0" w:space="0" w:color="auto"/>
        <w:right w:val="none" w:sz="0" w:space="0" w:color="auto"/>
      </w:divBdr>
    </w:div>
    <w:div w:id="1604024643">
      <w:bodyDiv w:val="1"/>
      <w:marLeft w:val="0"/>
      <w:marRight w:val="0"/>
      <w:marTop w:val="0"/>
      <w:marBottom w:val="0"/>
      <w:divBdr>
        <w:top w:val="none" w:sz="0" w:space="0" w:color="auto"/>
        <w:left w:val="none" w:sz="0" w:space="0" w:color="auto"/>
        <w:bottom w:val="none" w:sz="0" w:space="0" w:color="auto"/>
        <w:right w:val="none" w:sz="0" w:space="0" w:color="auto"/>
      </w:divBdr>
    </w:div>
    <w:div w:id="1606964798">
      <w:bodyDiv w:val="1"/>
      <w:marLeft w:val="0"/>
      <w:marRight w:val="0"/>
      <w:marTop w:val="0"/>
      <w:marBottom w:val="0"/>
      <w:divBdr>
        <w:top w:val="none" w:sz="0" w:space="0" w:color="auto"/>
        <w:left w:val="none" w:sz="0" w:space="0" w:color="auto"/>
        <w:bottom w:val="none" w:sz="0" w:space="0" w:color="auto"/>
        <w:right w:val="none" w:sz="0" w:space="0" w:color="auto"/>
      </w:divBdr>
    </w:div>
    <w:div w:id="1624077149">
      <w:bodyDiv w:val="1"/>
      <w:marLeft w:val="0"/>
      <w:marRight w:val="0"/>
      <w:marTop w:val="0"/>
      <w:marBottom w:val="0"/>
      <w:divBdr>
        <w:top w:val="none" w:sz="0" w:space="0" w:color="auto"/>
        <w:left w:val="none" w:sz="0" w:space="0" w:color="auto"/>
        <w:bottom w:val="none" w:sz="0" w:space="0" w:color="auto"/>
        <w:right w:val="none" w:sz="0" w:space="0" w:color="auto"/>
      </w:divBdr>
    </w:div>
    <w:div w:id="1638022830">
      <w:bodyDiv w:val="1"/>
      <w:marLeft w:val="0"/>
      <w:marRight w:val="0"/>
      <w:marTop w:val="0"/>
      <w:marBottom w:val="0"/>
      <w:divBdr>
        <w:top w:val="none" w:sz="0" w:space="0" w:color="auto"/>
        <w:left w:val="none" w:sz="0" w:space="0" w:color="auto"/>
        <w:bottom w:val="none" w:sz="0" w:space="0" w:color="auto"/>
        <w:right w:val="none" w:sz="0" w:space="0" w:color="auto"/>
      </w:divBdr>
    </w:div>
    <w:div w:id="1638729442">
      <w:bodyDiv w:val="1"/>
      <w:marLeft w:val="0"/>
      <w:marRight w:val="0"/>
      <w:marTop w:val="0"/>
      <w:marBottom w:val="0"/>
      <w:divBdr>
        <w:top w:val="none" w:sz="0" w:space="0" w:color="auto"/>
        <w:left w:val="none" w:sz="0" w:space="0" w:color="auto"/>
        <w:bottom w:val="none" w:sz="0" w:space="0" w:color="auto"/>
        <w:right w:val="none" w:sz="0" w:space="0" w:color="auto"/>
      </w:divBdr>
    </w:div>
    <w:div w:id="1641573232">
      <w:bodyDiv w:val="1"/>
      <w:marLeft w:val="0"/>
      <w:marRight w:val="0"/>
      <w:marTop w:val="0"/>
      <w:marBottom w:val="0"/>
      <w:divBdr>
        <w:top w:val="none" w:sz="0" w:space="0" w:color="auto"/>
        <w:left w:val="none" w:sz="0" w:space="0" w:color="auto"/>
        <w:bottom w:val="none" w:sz="0" w:space="0" w:color="auto"/>
        <w:right w:val="none" w:sz="0" w:space="0" w:color="auto"/>
      </w:divBdr>
    </w:div>
    <w:div w:id="1662806533">
      <w:bodyDiv w:val="1"/>
      <w:marLeft w:val="0"/>
      <w:marRight w:val="0"/>
      <w:marTop w:val="0"/>
      <w:marBottom w:val="0"/>
      <w:divBdr>
        <w:top w:val="none" w:sz="0" w:space="0" w:color="auto"/>
        <w:left w:val="none" w:sz="0" w:space="0" w:color="auto"/>
        <w:bottom w:val="none" w:sz="0" w:space="0" w:color="auto"/>
        <w:right w:val="none" w:sz="0" w:space="0" w:color="auto"/>
      </w:divBdr>
    </w:div>
    <w:div w:id="1670793873">
      <w:bodyDiv w:val="1"/>
      <w:marLeft w:val="0"/>
      <w:marRight w:val="0"/>
      <w:marTop w:val="0"/>
      <w:marBottom w:val="0"/>
      <w:divBdr>
        <w:top w:val="none" w:sz="0" w:space="0" w:color="auto"/>
        <w:left w:val="none" w:sz="0" w:space="0" w:color="auto"/>
        <w:bottom w:val="none" w:sz="0" w:space="0" w:color="auto"/>
        <w:right w:val="none" w:sz="0" w:space="0" w:color="auto"/>
      </w:divBdr>
    </w:div>
    <w:div w:id="1676611021">
      <w:bodyDiv w:val="1"/>
      <w:marLeft w:val="0"/>
      <w:marRight w:val="0"/>
      <w:marTop w:val="0"/>
      <w:marBottom w:val="0"/>
      <w:divBdr>
        <w:top w:val="none" w:sz="0" w:space="0" w:color="auto"/>
        <w:left w:val="none" w:sz="0" w:space="0" w:color="auto"/>
        <w:bottom w:val="none" w:sz="0" w:space="0" w:color="auto"/>
        <w:right w:val="none" w:sz="0" w:space="0" w:color="auto"/>
      </w:divBdr>
    </w:div>
    <w:div w:id="1690794581">
      <w:bodyDiv w:val="1"/>
      <w:marLeft w:val="0"/>
      <w:marRight w:val="0"/>
      <w:marTop w:val="0"/>
      <w:marBottom w:val="0"/>
      <w:divBdr>
        <w:top w:val="none" w:sz="0" w:space="0" w:color="auto"/>
        <w:left w:val="none" w:sz="0" w:space="0" w:color="auto"/>
        <w:bottom w:val="none" w:sz="0" w:space="0" w:color="auto"/>
        <w:right w:val="none" w:sz="0" w:space="0" w:color="auto"/>
      </w:divBdr>
    </w:div>
    <w:div w:id="1701397971">
      <w:bodyDiv w:val="1"/>
      <w:marLeft w:val="0"/>
      <w:marRight w:val="0"/>
      <w:marTop w:val="0"/>
      <w:marBottom w:val="0"/>
      <w:divBdr>
        <w:top w:val="none" w:sz="0" w:space="0" w:color="auto"/>
        <w:left w:val="none" w:sz="0" w:space="0" w:color="auto"/>
        <w:bottom w:val="none" w:sz="0" w:space="0" w:color="auto"/>
        <w:right w:val="none" w:sz="0" w:space="0" w:color="auto"/>
      </w:divBdr>
    </w:div>
    <w:div w:id="1718966514">
      <w:bodyDiv w:val="1"/>
      <w:marLeft w:val="0"/>
      <w:marRight w:val="0"/>
      <w:marTop w:val="0"/>
      <w:marBottom w:val="0"/>
      <w:divBdr>
        <w:top w:val="none" w:sz="0" w:space="0" w:color="auto"/>
        <w:left w:val="none" w:sz="0" w:space="0" w:color="auto"/>
        <w:bottom w:val="none" w:sz="0" w:space="0" w:color="auto"/>
        <w:right w:val="none" w:sz="0" w:space="0" w:color="auto"/>
      </w:divBdr>
    </w:div>
    <w:div w:id="1720477127">
      <w:bodyDiv w:val="1"/>
      <w:marLeft w:val="0"/>
      <w:marRight w:val="0"/>
      <w:marTop w:val="0"/>
      <w:marBottom w:val="0"/>
      <w:divBdr>
        <w:top w:val="none" w:sz="0" w:space="0" w:color="auto"/>
        <w:left w:val="none" w:sz="0" w:space="0" w:color="auto"/>
        <w:bottom w:val="none" w:sz="0" w:space="0" w:color="auto"/>
        <w:right w:val="none" w:sz="0" w:space="0" w:color="auto"/>
      </w:divBdr>
    </w:div>
    <w:div w:id="1729260328">
      <w:bodyDiv w:val="1"/>
      <w:marLeft w:val="0"/>
      <w:marRight w:val="0"/>
      <w:marTop w:val="0"/>
      <w:marBottom w:val="0"/>
      <w:divBdr>
        <w:top w:val="none" w:sz="0" w:space="0" w:color="auto"/>
        <w:left w:val="none" w:sz="0" w:space="0" w:color="auto"/>
        <w:bottom w:val="none" w:sz="0" w:space="0" w:color="auto"/>
        <w:right w:val="none" w:sz="0" w:space="0" w:color="auto"/>
      </w:divBdr>
    </w:div>
    <w:div w:id="1738504624">
      <w:bodyDiv w:val="1"/>
      <w:marLeft w:val="0"/>
      <w:marRight w:val="0"/>
      <w:marTop w:val="0"/>
      <w:marBottom w:val="0"/>
      <w:divBdr>
        <w:top w:val="none" w:sz="0" w:space="0" w:color="auto"/>
        <w:left w:val="none" w:sz="0" w:space="0" w:color="auto"/>
        <w:bottom w:val="none" w:sz="0" w:space="0" w:color="auto"/>
        <w:right w:val="none" w:sz="0" w:space="0" w:color="auto"/>
      </w:divBdr>
    </w:div>
    <w:div w:id="1744257320">
      <w:bodyDiv w:val="1"/>
      <w:marLeft w:val="0"/>
      <w:marRight w:val="0"/>
      <w:marTop w:val="0"/>
      <w:marBottom w:val="0"/>
      <w:divBdr>
        <w:top w:val="none" w:sz="0" w:space="0" w:color="auto"/>
        <w:left w:val="none" w:sz="0" w:space="0" w:color="auto"/>
        <w:bottom w:val="none" w:sz="0" w:space="0" w:color="auto"/>
        <w:right w:val="none" w:sz="0" w:space="0" w:color="auto"/>
      </w:divBdr>
    </w:div>
    <w:div w:id="1749418013">
      <w:bodyDiv w:val="1"/>
      <w:marLeft w:val="0"/>
      <w:marRight w:val="0"/>
      <w:marTop w:val="0"/>
      <w:marBottom w:val="0"/>
      <w:divBdr>
        <w:top w:val="none" w:sz="0" w:space="0" w:color="auto"/>
        <w:left w:val="none" w:sz="0" w:space="0" w:color="auto"/>
        <w:bottom w:val="none" w:sz="0" w:space="0" w:color="auto"/>
        <w:right w:val="none" w:sz="0" w:space="0" w:color="auto"/>
      </w:divBdr>
    </w:div>
    <w:div w:id="1797797539">
      <w:bodyDiv w:val="1"/>
      <w:marLeft w:val="0"/>
      <w:marRight w:val="0"/>
      <w:marTop w:val="0"/>
      <w:marBottom w:val="0"/>
      <w:divBdr>
        <w:top w:val="none" w:sz="0" w:space="0" w:color="auto"/>
        <w:left w:val="none" w:sz="0" w:space="0" w:color="auto"/>
        <w:bottom w:val="none" w:sz="0" w:space="0" w:color="auto"/>
        <w:right w:val="none" w:sz="0" w:space="0" w:color="auto"/>
      </w:divBdr>
    </w:div>
    <w:div w:id="1827015260">
      <w:bodyDiv w:val="1"/>
      <w:marLeft w:val="0"/>
      <w:marRight w:val="0"/>
      <w:marTop w:val="0"/>
      <w:marBottom w:val="0"/>
      <w:divBdr>
        <w:top w:val="none" w:sz="0" w:space="0" w:color="auto"/>
        <w:left w:val="none" w:sz="0" w:space="0" w:color="auto"/>
        <w:bottom w:val="none" w:sz="0" w:space="0" w:color="auto"/>
        <w:right w:val="none" w:sz="0" w:space="0" w:color="auto"/>
      </w:divBdr>
    </w:div>
    <w:div w:id="1847205525">
      <w:bodyDiv w:val="1"/>
      <w:marLeft w:val="0"/>
      <w:marRight w:val="0"/>
      <w:marTop w:val="0"/>
      <w:marBottom w:val="0"/>
      <w:divBdr>
        <w:top w:val="none" w:sz="0" w:space="0" w:color="auto"/>
        <w:left w:val="none" w:sz="0" w:space="0" w:color="auto"/>
        <w:bottom w:val="none" w:sz="0" w:space="0" w:color="auto"/>
        <w:right w:val="none" w:sz="0" w:space="0" w:color="auto"/>
      </w:divBdr>
    </w:div>
    <w:div w:id="1853914174">
      <w:bodyDiv w:val="1"/>
      <w:marLeft w:val="0"/>
      <w:marRight w:val="0"/>
      <w:marTop w:val="0"/>
      <w:marBottom w:val="0"/>
      <w:divBdr>
        <w:top w:val="none" w:sz="0" w:space="0" w:color="auto"/>
        <w:left w:val="none" w:sz="0" w:space="0" w:color="auto"/>
        <w:bottom w:val="none" w:sz="0" w:space="0" w:color="auto"/>
        <w:right w:val="none" w:sz="0" w:space="0" w:color="auto"/>
      </w:divBdr>
    </w:div>
    <w:div w:id="1866746270">
      <w:bodyDiv w:val="1"/>
      <w:marLeft w:val="0"/>
      <w:marRight w:val="0"/>
      <w:marTop w:val="0"/>
      <w:marBottom w:val="0"/>
      <w:divBdr>
        <w:top w:val="none" w:sz="0" w:space="0" w:color="auto"/>
        <w:left w:val="none" w:sz="0" w:space="0" w:color="auto"/>
        <w:bottom w:val="none" w:sz="0" w:space="0" w:color="auto"/>
        <w:right w:val="none" w:sz="0" w:space="0" w:color="auto"/>
      </w:divBdr>
    </w:div>
    <w:div w:id="1870145120">
      <w:bodyDiv w:val="1"/>
      <w:marLeft w:val="0"/>
      <w:marRight w:val="0"/>
      <w:marTop w:val="0"/>
      <w:marBottom w:val="0"/>
      <w:divBdr>
        <w:top w:val="none" w:sz="0" w:space="0" w:color="auto"/>
        <w:left w:val="none" w:sz="0" w:space="0" w:color="auto"/>
        <w:bottom w:val="none" w:sz="0" w:space="0" w:color="auto"/>
        <w:right w:val="none" w:sz="0" w:space="0" w:color="auto"/>
      </w:divBdr>
    </w:div>
    <w:div w:id="1874417253">
      <w:bodyDiv w:val="1"/>
      <w:marLeft w:val="0"/>
      <w:marRight w:val="0"/>
      <w:marTop w:val="0"/>
      <w:marBottom w:val="0"/>
      <w:divBdr>
        <w:top w:val="none" w:sz="0" w:space="0" w:color="auto"/>
        <w:left w:val="none" w:sz="0" w:space="0" w:color="auto"/>
        <w:bottom w:val="none" w:sz="0" w:space="0" w:color="auto"/>
        <w:right w:val="none" w:sz="0" w:space="0" w:color="auto"/>
      </w:divBdr>
    </w:div>
    <w:div w:id="1886142668">
      <w:bodyDiv w:val="1"/>
      <w:marLeft w:val="0"/>
      <w:marRight w:val="0"/>
      <w:marTop w:val="0"/>
      <w:marBottom w:val="0"/>
      <w:divBdr>
        <w:top w:val="none" w:sz="0" w:space="0" w:color="auto"/>
        <w:left w:val="none" w:sz="0" w:space="0" w:color="auto"/>
        <w:bottom w:val="none" w:sz="0" w:space="0" w:color="auto"/>
        <w:right w:val="none" w:sz="0" w:space="0" w:color="auto"/>
      </w:divBdr>
    </w:div>
    <w:div w:id="1913153285">
      <w:bodyDiv w:val="1"/>
      <w:marLeft w:val="0"/>
      <w:marRight w:val="0"/>
      <w:marTop w:val="0"/>
      <w:marBottom w:val="0"/>
      <w:divBdr>
        <w:top w:val="none" w:sz="0" w:space="0" w:color="auto"/>
        <w:left w:val="none" w:sz="0" w:space="0" w:color="auto"/>
        <w:bottom w:val="none" w:sz="0" w:space="0" w:color="auto"/>
        <w:right w:val="none" w:sz="0" w:space="0" w:color="auto"/>
      </w:divBdr>
    </w:div>
    <w:div w:id="1914655539">
      <w:bodyDiv w:val="1"/>
      <w:marLeft w:val="0"/>
      <w:marRight w:val="0"/>
      <w:marTop w:val="0"/>
      <w:marBottom w:val="0"/>
      <w:divBdr>
        <w:top w:val="none" w:sz="0" w:space="0" w:color="auto"/>
        <w:left w:val="none" w:sz="0" w:space="0" w:color="auto"/>
        <w:bottom w:val="none" w:sz="0" w:space="0" w:color="auto"/>
        <w:right w:val="none" w:sz="0" w:space="0" w:color="auto"/>
      </w:divBdr>
    </w:div>
    <w:div w:id="1927960446">
      <w:bodyDiv w:val="1"/>
      <w:marLeft w:val="0"/>
      <w:marRight w:val="0"/>
      <w:marTop w:val="0"/>
      <w:marBottom w:val="0"/>
      <w:divBdr>
        <w:top w:val="none" w:sz="0" w:space="0" w:color="auto"/>
        <w:left w:val="none" w:sz="0" w:space="0" w:color="auto"/>
        <w:bottom w:val="none" w:sz="0" w:space="0" w:color="auto"/>
        <w:right w:val="none" w:sz="0" w:space="0" w:color="auto"/>
      </w:divBdr>
    </w:div>
    <w:div w:id="1939870463">
      <w:bodyDiv w:val="1"/>
      <w:marLeft w:val="0"/>
      <w:marRight w:val="0"/>
      <w:marTop w:val="0"/>
      <w:marBottom w:val="0"/>
      <w:divBdr>
        <w:top w:val="none" w:sz="0" w:space="0" w:color="auto"/>
        <w:left w:val="none" w:sz="0" w:space="0" w:color="auto"/>
        <w:bottom w:val="none" w:sz="0" w:space="0" w:color="auto"/>
        <w:right w:val="none" w:sz="0" w:space="0" w:color="auto"/>
      </w:divBdr>
    </w:div>
    <w:div w:id="1949971587">
      <w:bodyDiv w:val="1"/>
      <w:marLeft w:val="0"/>
      <w:marRight w:val="0"/>
      <w:marTop w:val="0"/>
      <w:marBottom w:val="0"/>
      <w:divBdr>
        <w:top w:val="none" w:sz="0" w:space="0" w:color="auto"/>
        <w:left w:val="none" w:sz="0" w:space="0" w:color="auto"/>
        <w:bottom w:val="none" w:sz="0" w:space="0" w:color="auto"/>
        <w:right w:val="none" w:sz="0" w:space="0" w:color="auto"/>
      </w:divBdr>
    </w:div>
    <w:div w:id="1951163955">
      <w:bodyDiv w:val="1"/>
      <w:marLeft w:val="0"/>
      <w:marRight w:val="0"/>
      <w:marTop w:val="0"/>
      <w:marBottom w:val="0"/>
      <w:divBdr>
        <w:top w:val="none" w:sz="0" w:space="0" w:color="auto"/>
        <w:left w:val="none" w:sz="0" w:space="0" w:color="auto"/>
        <w:bottom w:val="none" w:sz="0" w:space="0" w:color="auto"/>
        <w:right w:val="none" w:sz="0" w:space="0" w:color="auto"/>
      </w:divBdr>
    </w:div>
    <w:div w:id="1982996378">
      <w:bodyDiv w:val="1"/>
      <w:marLeft w:val="0"/>
      <w:marRight w:val="0"/>
      <w:marTop w:val="0"/>
      <w:marBottom w:val="0"/>
      <w:divBdr>
        <w:top w:val="none" w:sz="0" w:space="0" w:color="auto"/>
        <w:left w:val="none" w:sz="0" w:space="0" w:color="auto"/>
        <w:bottom w:val="none" w:sz="0" w:space="0" w:color="auto"/>
        <w:right w:val="none" w:sz="0" w:space="0" w:color="auto"/>
      </w:divBdr>
    </w:div>
    <w:div w:id="1983269093">
      <w:bodyDiv w:val="1"/>
      <w:marLeft w:val="0"/>
      <w:marRight w:val="0"/>
      <w:marTop w:val="0"/>
      <w:marBottom w:val="0"/>
      <w:divBdr>
        <w:top w:val="none" w:sz="0" w:space="0" w:color="auto"/>
        <w:left w:val="none" w:sz="0" w:space="0" w:color="auto"/>
        <w:bottom w:val="none" w:sz="0" w:space="0" w:color="auto"/>
        <w:right w:val="none" w:sz="0" w:space="0" w:color="auto"/>
      </w:divBdr>
    </w:div>
    <w:div w:id="2006860157">
      <w:bodyDiv w:val="1"/>
      <w:marLeft w:val="0"/>
      <w:marRight w:val="0"/>
      <w:marTop w:val="0"/>
      <w:marBottom w:val="0"/>
      <w:divBdr>
        <w:top w:val="none" w:sz="0" w:space="0" w:color="auto"/>
        <w:left w:val="none" w:sz="0" w:space="0" w:color="auto"/>
        <w:bottom w:val="none" w:sz="0" w:space="0" w:color="auto"/>
        <w:right w:val="none" w:sz="0" w:space="0" w:color="auto"/>
      </w:divBdr>
    </w:div>
    <w:div w:id="2019111792">
      <w:bodyDiv w:val="1"/>
      <w:marLeft w:val="0"/>
      <w:marRight w:val="0"/>
      <w:marTop w:val="0"/>
      <w:marBottom w:val="0"/>
      <w:divBdr>
        <w:top w:val="none" w:sz="0" w:space="0" w:color="auto"/>
        <w:left w:val="none" w:sz="0" w:space="0" w:color="auto"/>
        <w:bottom w:val="none" w:sz="0" w:space="0" w:color="auto"/>
        <w:right w:val="none" w:sz="0" w:space="0" w:color="auto"/>
      </w:divBdr>
    </w:div>
    <w:div w:id="2026665620">
      <w:bodyDiv w:val="1"/>
      <w:marLeft w:val="0"/>
      <w:marRight w:val="0"/>
      <w:marTop w:val="0"/>
      <w:marBottom w:val="0"/>
      <w:divBdr>
        <w:top w:val="none" w:sz="0" w:space="0" w:color="auto"/>
        <w:left w:val="none" w:sz="0" w:space="0" w:color="auto"/>
        <w:bottom w:val="none" w:sz="0" w:space="0" w:color="auto"/>
        <w:right w:val="none" w:sz="0" w:space="0" w:color="auto"/>
      </w:divBdr>
    </w:div>
    <w:div w:id="2037264838">
      <w:bodyDiv w:val="1"/>
      <w:marLeft w:val="0"/>
      <w:marRight w:val="0"/>
      <w:marTop w:val="0"/>
      <w:marBottom w:val="0"/>
      <w:divBdr>
        <w:top w:val="none" w:sz="0" w:space="0" w:color="auto"/>
        <w:left w:val="none" w:sz="0" w:space="0" w:color="auto"/>
        <w:bottom w:val="none" w:sz="0" w:space="0" w:color="auto"/>
        <w:right w:val="none" w:sz="0" w:space="0" w:color="auto"/>
      </w:divBdr>
    </w:div>
    <w:div w:id="2038695064">
      <w:bodyDiv w:val="1"/>
      <w:marLeft w:val="0"/>
      <w:marRight w:val="0"/>
      <w:marTop w:val="0"/>
      <w:marBottom w:val="0"/>
      <w:divBdr>
        <w:top w:val="none" w:sz="0" w:space="0" w:color="auto"/>
        <w:left w:val="none" w:sz="0" w:space="0" w:color="auto"/>
        <w:bottom w:val="none" w:sz="0" w:space="0" w:color="auto"/>
        <w:right w:val="none" w:sz="0" w:space="0" w:color="auto"/>
      </w:divBdr>
    </w:div>
    <w:div w:id="2039626713">
      <w:bodyDiv w:val="1"/>
      <w:marLeft w:val="0"/>
      <w:marRight w:val="0"/>
      <w:marTop w:val="0"/>
      <w:marBottom w:val="0"/>
      <w:divBdr>
        <w:top w:val="none" w:sz="0" w:space="0" w:color="auto"/>
        <w:left w:val="none" w:sz="0" w:space="0" w:color="auto"/>
        <w:bottom w:val="none" w:sz="0" w:space="0" w:color="auto"/>
        <w:right w:val="none" w:sz="0" w:space="0" w:color="auto"/>
      </w:divBdr>
    </w:div>
    <w:div w:id="2041395367">
      <w:bodyDiv w:val="1"/>
      <w:marLeft w:val="0"/>
      <w:marRight w:val="0"/>
      <w:marTop w:val="0"/>
      <w:marBottom w:val="0"/>
      <w:divBdr>
        <w:top w:val="none" w:sz="0" w:space="0" w:color="auto"/>
        <w:left w:val="none" w:sz="0" w:space="0" w:color="auto"/>
        <w:bottom w:val="none" w:sz="0" w:space="0" w:color="auto"/>
        <w:right w:val="none" w:sz="0" w:space="0" w:color="auto"/>
      </w:divBdr>
    </w:div>
    <w:div w:id="2058697953">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095545796">
      <w:bodyDiv w:val="1"/>
      <w:marLeft w:val="0"/>
      <w:marRight w:val="0"/>
      <w:marTop w:val="0"/>
      <w:marBottom w:val="0"/>
      <w:divBdr>
        <w:top w:val="none" w:sz="0" w:space="0" w:color="auto"/>
        <w:left w:val="none" w:sz="0" w:space="0" w:color="auto"/>
        <w:bottom w:val="none" w:sz="0" w:space="0" w:color="auto"/>
        <w:right w:val="none" w:sz="0" w:space="0" w:color="auto"/>
      </w:divBdr>
    </w:div>
    <w:div w:id="2095777630">
      <w:bodyDiv w:val="1"/>
      <w:marLeft w:val="0"/>
      <w:marRight w:val="0"/>
      <w:marTop w:val="0"/>
      <w:marBottom w:val="0"/>
      <w:divBdr>
        <w:top w:val="none" w:sz="0" w:space="0" w:color="auto"/>
        <w:left w:val="none" w:sz="0" w:space="0" w:color="auto"/>
        <w:bottom w:val="none" w:sz="0" w:space="0" w:color="auto"/>
        <w:right w:val="none" w:sz="0" w:space="0" w:color="auto"/>
      </w:divBdr>
    </w:div>
    <w:div w:id="2097897082">
      <w:bodyDiv w:val="1"/>
      <w:marLeft w:val="0"/>
      <w:marRight w:val="0"/>
      <w:marTop w:val="0"/>
      <w:marBottom w:val="0"/>
      <w:divBdr>
        <w:top w:val="none" w:sz="0" w:space="0" w:color="auto"/>
        <w:left w:val="none" w:sz="0" w:space="0" w:color="auto"/>
        <w:bottom w:val="none" w:sz="0" w:space="0" w:color="auto"/>
        <w:right w:val="none" w:sz="0" w:space="0" w:color="auto"/>
      </w:divBdr>
    </w:div>
    <w:div w:id="2112624749">
      <w:bodyDiv w:val="1"/>
      <w:marLeft w:val="0"/>
      <w:marRight w:val="0"/>
      <w:marTop w:val="0"/>
      <w:marBottom w:val="0"/>
      <w:divBdr>
        <w:top w:val="none" w:sz="0" w:space="0" w:color="auto"/>
        <w:left w:val="none" w:sz="0" w:space="0" w:color="auto"/>
        <w:bottom w:val="none" w:sz="0" w:space="0" w:color="auto"/>
        <w:right w:val="none" w:sz="0" w:space="0" w:color="auto"/>
      </w:divBdr>
    </w:div>
    <w:div w:id="2117288429">
      <w:bodyDiv w:val="1"/>
      <w:marLeft w:val="0"/>
      <w:marRight w:val="0"/>
      <w:marTop w:val="0"/>
      <w:marBottom w:val="0"/>
      <w:divBdr>
        <w:top w:val="none" w:sz="0" w:space="0" w:color="auto"/>
        <w:left w:val="none" w:sz="0" w:space="0" w:color="auto"/>
        <w:bottom w:val="none" w:sz="0" w:space="0" w:color="auto"/>
        <w:right w:val="none" w:sz="0" w:space="0" w:color="auto"/>
      </w:divBdr>
    </w:div>
    <w:div w:id="2124302307">
      <w:bodyDiv w:val="1"/>
      <w:marLeft w:val="0"/>
      <w:marRight w:val="0"/>
      <w:marTop w:val="0"/>
      <w:marBottom w:val="0"/>
      <w:divBdr>
        <w:top w:val="none" w:sz="0" w:space="0" w:color="auto"/>
        <w:left w:val="none" w:sz="0" w:space="0" w:color="auto"/>
        <w:bottom w:val="none" w:sz="0" w:space="0" w:color="auto"/>
        <w:right w:val="none" w:sz="0" w:space="0" w:color="auto"/>
      </w:divBdr>
    </w:div>
    <w:div w:id="2125339266">
      <w:bodyDiv w:val="1"/>
      <w:marLeft w:val="0"/>
      <w:marRight w:val="0"/>
      <w:marTop w:val="0"/>
      <w:marBottom w:val="0"/>
      <w:divBdr>
        <w:top w:val="none" w:sz="0" w:space="0" w:color="auto"/>
        <w:left w:val="none" w:sz="0" w:space="0" w:color="auto"/>
        <w:bottom w:val="none" w:sz="0" w:space="0" w:color="auto"/>
        <w:right w:val="none" w:sz="0" w:space="0" w:color="auto"/>
      </w:divBdr>
    </w:div>
    <w:div w:id="213648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www.efunds.com.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qcc.com/firm_54813a9d966ad1869761c8afeaa0002e.html" TargetMode="External"/><Relationship Id="rId2" Type="http://schemas.openxmlformats.org/officeDocument/2006/relationships/customXml" Target="../customXml/item1.xml"/><Relationship Id="rId16" Type="http://schemas.openxmlformats.org/officeDocument/2006/relationships/footer" Target="footer4.xml"/><Relationship Id="rId20" Type="http://schemas.openxmlformats.org/officeDocument/2006/relationships/hyperlink" Target="mailto:service@efunds.com.cn"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www.efunds.com.cn"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C91E610-0637-4E68-B499-B3E7FAA29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162</Pages>
  <Words>18679</Words>
  <Characters>106473</Characters>
  <Application>Microsoft Office Word</Application>
  <DocSecurity>0</DocSecurity>
  <Lines>887</Lines>
  <Paragraphs>249</Paragraphs>
  <ScaleCrop>false</ScaleCrop>
  <Company>E FUND</Company>
  <LinksUpToDate>false</LinksUpToDate>
  <CharactersWithSpaces>124903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陈红</dc:creator>
  <cp:lastModifiedBy>陈红</cp:lastModifiedBy>
  <cp:revision>10</cp:revision>
  <cp:lastPrinted>2012-04-26T08:48:00Z</cp:lastPrinted>
  <dcterms:created xsi:type="dcterms:W3CDTF">2020-04-20T09:02:00Z</dcterms:created>
  <dcterms:modified xsi:type="dcterms:W3CDTF">2020-07-14T07:41:00Z</dcterms:modified>
</cp:coreProperties>
</file>