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易方达上证50指数分级证券投资基金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2020年第1季度报告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2020年3月31日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交通银行股份有限公司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二〇二〇年四月二十一日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E65617" w:rsidRDefault="00074578">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65617" w:rsidRDefault="00074578">
      <w:pPr>
        <w:spacing w:line="360" w:lineRule="auto"/>
        <w:ind w:firstLineChars="200" w:firstLine="480"/>
        <w:rPr>
          <w:color w:val="000000"/>
          <w:sz w:val="24"/>
        </w:rPr>
      </w:pPr>
      <w:r>
        <w:rPr>
          <w:color w:val="000000"/>
          <w:sz w:val="24"/>
        </w:rPr>
        <w:t>基金托管人交通银行股份有限公司根据本基金合同规定，于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65617" w:rsidRDefault="00074578">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65617" w:rsidRDefault="00074578">
      <w:pPr>
        <w:spacing w:line="360" w:lineRule="auto"/>
        <w:ind w:firstLineChars="200" w:firstLine="480"/>
        <w:rPr>
          <w:color w:val="000000"/>
          <w:sz w:val="24"/>
        </w:rPr>
      </w:pPr>
      <w:r>
        <w:rPr>
          <w:color w:val="000000"/>
          <w:sz w:val="24"/>
        </w:rPr>
        <w:t>基金的过往业绩并不代表其未来表现。投资有风险，投资者在作出投资</w:t>
      </w:r>
      <w:r>
        <w:rPr>
          <w:color w:val="000000"/>
          <w:sz w:val="24"/>
        </w:rPr>
        <w:t>决策前应仔细阅读本基金的招募说明书。</w:t>
      </w:r>
      <w:r>
        <w:rPr>
          <w:color w:val="000000"/>
          <w:sz w:val="24"/>
        </w:rPr>
        <w:t xml:space="preserve"> </w:t>
      </w:r>
    </w:p>
    <w:p w:rsidR="00E65617" w:rsidRDefault="00074578">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2020</w:t>
      </w:r>
      <w:r w:rsidRPr="00CC0C03">
        <w:rPr>
          <w:color w:val="000000"/>
          <w:sz w:val="24"/>
        </w:rPr>
        <w:t>年</w:t>
      </w:r>
      <w:r w:rsidRPr="00CC0C03">
        <w:rPr>
          <w:color w:val="000000"/>
          <w:sz w:val="24"/>
        </w:rPr>
        <w:t>1</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3</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易方达上证</w:t>
            </w:r>
            <w:r w:rsidRPr="004C6E88">
              <w:rPr>
                <w:rFonts w:eastAsiaTheme="minorEastAsia"/>
                <w:color w:val="000000"/>
                <w:kern w:val="0"/>
                <w:sz w:val="24"/>
              </w:rPr>
              <w:t>50</w:t>
            </w:r>
            <w:r w:rsidRPr="004C6E88">
              <w:rPr>
                <w:rFonts w:eastAsiaTheme="minorEastAsia"/>
                <w:color w:val="000000"/>
                <w:kern w:val="0"/>
                <w:sz w:val="24"/>
              </w:rPr>
              <w:t>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502048</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502048</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4</w:t>
            </w:r>
            <w:r w:rsidRPr="004C6E88">
              <w:rPr>
                <w:rFonts w:eastAsiaTheme="minorEastAsia"/>
                <w:color w:val="000000"/>
                <w:kern w:val="0"/>
                <w:sz w:val="24"/>
              </w:rPr>
              <w:t>月</w:t>
            </w:r>
            <w:r w:rsidRPr="004C6E88">
              <w:rPr>
                <w:rFonts w:eastAsiaTheme="minorEastAsia"/>
                <w:color w:val="000000"/>
                <w:kern w:val="0"/>
                <w:sz w:val="24"/>
              </w:rPr>
              <w:t>15</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444,102,023.53</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4C6E88">
              <w:rPr>
                <w:rFonts w:eastAsiaTheme="minorEastAsia"/>
                <w:color w:val="000000"/>
                <w:kern w:val="0"/>
                <w:sz w:val="24"/>
              </w:rPr>
              <w:t>4%</w:t>
            </w:r>
            <w:r w:rsidRPr="004C6E88">
              <w:rPr>
                <w:rFonts w:eastAsiaTheme="minorEastAsia"/>
                <w:color w:val="000000"/>
                <w:kern w:val="0"/>
                <w:sz w:val="24"/>
              </w:rPr>
              <w:t>以内，日跟踪偏离度</w:t>
            </w:r>
            <w:r w:rsidRPr="004C6E88">
              <w:rPr>
                <w:rFonts w:eastAsiaTheme="minorEastAsia"/>
                <w:color w:val="000000"/>
                <w:kern w:val="0"/>
                <w:sz w:val="24"/>
              </w:rPr>
              <w:lastRenderedPageBreak/>
              <w:t>绝对值的平均值控制在</w:t>
            </w:r>
            <w:r w:rsidRPr="004C6E88">
              <w:rPr>
                <w:rFonts w:eastAsiaTheme="minorEastAsia"/>
                <w:color w:val="000000"/>
                <w:kern w:val="0"/>
                <w:sz w:val="24"/>
              </w:rPr>
              <w:t>0.35%</w:t>
            </w:r>
            <w:r w:rsidRPr="004C6E88">
              <w:rPr>
                <w:rFonts w:eastAsiaTheme="minorEastAsia"/>
                <w:color w:val="000000"/>
                <w:kern w:val="0"/>
                <w:sz w:val="24"/>
              </w:rPr>
              <w:t>以内。</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上证</w:t>
            </w:r>
            <w:r w:rsidRPr="004C6E88">
              <w:rPr>
                <w:rFonts w:eastAsiaTheme="minorEastAsia"/>
                <w:color w:val="000000"/>
                <w:kern w:val="0"/>
                <w:sz w:val="24"/>
              </w:rPr>
              <w:t>50</w:t>
            </w:r>
            <w:r w:rsidRPr="004C6E88">
              <w:rPr>
                <w:rFonts w:eastAsiaTheme="minorEastAsia"/>
                <w:color w:val="000000"/>
                <w:kern w:val="0"/>
                <w:sz w:val="24"/>
              </w:rPr>
              <w:t>指数收益率</w:t>
            </w:r>
            <w:r w:rsidRPr="004C6E88">
              <w:rPr>
                <w:rFonts w:eastAsiaTheme="minorEastAsia"/>
                <w:color w:val="000000"/>
                <w:kern w:val="0"/>
                <w:sz w:val="24"/>
              </w:rPr>
              <w:t>×95%+</w:t>
            </w:r>
            <w:r w:rsidRPr="004C6E88">
              <w:rPr>
                <w:rFonts w:eastAsiaTheme="minorEastAsia"/>
                <w:color w:val="000000"/>
                <w:kern w:val="0"/>
                <w:sz w:val="24"/>
              </w:rPr>
              <w:t>活期存款利率（税后）</w:t>
            </w:r>
            <w:r w:rsidRPr="004C6E88">
              <w:rPr>
                <w:rFonts w:eastAsiaTheme="minorEastAsia"/>
                <w:color w:val="000000"/>
                <w:kern w:val="0"/>
                <w:sz w:val="24"/>
              </w:rPr>
              <w:t>×5%</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从投资者持有的基金份额来看，基础份额为股票型基金，预期风险与预期收益水平高于混合型基金、债券型基金与货币市场基金；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交通银行股份有限公司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50</w:t>
            </w:r>
            <w:r w:rsidRPr="004C6E88">
              <w:rPr>
                <w:rFonts w:eastAsiaTheme="minorEastAsia"/>
                <w:sz w:val="24"/>
              </w:rPr>
              <w:t>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上证</w:t>
            </w:r>
            <w:r w:rsidRPr="004C6E88">
              <w:rPr>
                <w:rFonts w:eastAsiaTheme="minorEastAsia"/>
                <w:sz w:val="24"/>
              </w:rPr>
              <w:t>50A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上证</w:t>
            </w:r>
            <w:r w:rsidRPr="004C6E88">
              <w:rPr>
                <w:rFonts w:eastAsiaTheme="minorEastAsia"/>
                <w:sz w:val="24"/>
              </w:rPr>
              <w:t>50B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502048</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502049</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502050</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158,841,265.53</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142,630,379.00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142,630,379.00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基础份额为股票型基金，预期风险与预期收益水平高于混合型基金、债券型基金与货币市场基金。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12,743,857.69</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-46,441,917.25</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-0.1000</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405,821,377.29</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0.9138</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E65617" w:rsidRDefault="00074578">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E65617">
        <w:tc>
          <w:tcPr>
            <w:tcW w:w="0" w:type="auto"/>
            <w:vAlign w:val="center"/>
          </w:tcPr>
          <w:p w:rsidR="00E65617" w:rsidRDefault="00074578">
            <w:pPr>
              <w:jc w:val="left"/>
            </w:pPr>
            <w:r>
              <w:rPr>
                <w:color w:val="000000"/>
                <w:sz w:val="24"/>
              </w:rPr>
              <w:t>过去三个月</w:t>
            </w:r>
          </w:p>
        </w:tc>
        <w:tc>
          <w:tcPr>
            <w:tcW w:w="0" w:type="auto"/>
            <w:vAlign w:val="center"/>
          </w:tcPr>
          <w:p w:rsidR="00E65617" w:rsidRDefault="00074578">
            <w:pPr>
              <w:jc w:val="center"/>
            </w:pPr>
            <w:r>
              <w:rPr>
                <w:color w:val="000000"/>
                <w:sz w:val="24"/>
              </w:rPr>
              <w:t>-9.94%</w:t>
            </w:r>
          </w:p>
        </w:tc>
        <w:tc>
          <w:tcPr>
            <w:tcW w:w="0" w:type="auto"/>
            <w:vAlign w:val="center"/>
          </w:tcPr>
          <w:p w:rsidR="00E65617" w:rsidRDefault="00074578">
            <w:pPr>
              <w:jc w:val="center"/>
            </w:pPr>
            <w:r>
              <w:rPr>
                <w:color w:val="000000"/>
                <w:sz w:val="24"/>
              </w:rPr>
              <w:t>1.71%</w:t>
            </w:r>
          </w:p>
        </w:tc>
        <w:tc>
          <w:tcPr>
            <w:tcW w:w="0" w:type="auto"/>
            <w:vAlign w:val="center"/>
          </w:tcPr>
          <w:p w:rsidR="00E65617" w:rsidRDefault="00074578">
            <w:pPr>
              <w:jc w:val="center"/>
            </w:pPr>
            <w:r>
              <w:rPr>
                <w:color w:val="000000"/>
                <w:sz w:val="24"/>
              </w:rPr>
              <w:t>-11.59%</w:t>
            </w:r>
          </w:p>
        </w:tc>
        <w:tc>
          <w:tcPr>
            <w:tcW w:w="0" w:type="auto"/>
            <w:vAlign w:val="center"/>
          </w:tcPr>
          <w:p w:rsidR="00E65617" w:rsidRDefault="00074578">
            <w:pPr>
              <w:jc w:val="center"/>
            </w:pPr>
            <w:r>
              <w:rPr>
                <w:color w:val="000000"/>
                <w:sz w:val="24"/>
              </w:rPr>
              <w:t>1.72%</w:t>
            </w:r>
          </w:p>
        </w:tc>
        <w:tc>
          <w:tcPr>
            <w:tcW w:w="0" w:type="auto"/>
            <w:vAlign w:val="center"/>
          </w:tcPr>
          <w:p w:rsidR="00E65617" w:rsidRDefault="00074578">
            <w:pPr>
              <w:jc w:val="center"/>
            </w:pPr>
            <w:r>
              <w:rPr>
                <w:color w:val="000000"/>
                <w:sz w:val="24"/>
              </w:rPr>
              <w:t>1.65%</w:t>
            </w:r>
          </w:p>
        </w:tc>
        <w:tc>
          <w:tcPr>
            <w:tcW w:w="0" w:type="auto"/>
            <w:vAlign w:val="center"/>
          </w:tcPr>
          <w:p w:rsidR="00E65617" w:rsidRDefault="00074578">
            <w:pPr>
              <w:jc w:val="center"/>
            </w:pPr>
            <w:r>
              <w:rPr>
                <w:color w:val="000000"/>
                <w:sz w:val="24"/>
              </w:rPr>
              <w:t>-0.01%</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易方达上证</w:t>
      </w:r>
      <w:r w:rsidRPr="00E43B0B">
        <w:rPr>
          <w:sz w:val="24"/>
        </w:rPr>
        <w:t>50</w:t>
      </w:r>
      <w:r w:rsidRPr="00E43B0B">
        <w:rPr>
          <w:sz w:val="24"/>
        </w:rPr>
        <w:t>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4</w:t>
      </w:r>
      <w:r w:rsidRPr="00E43B0B">
        <w:rPr>
          <w:color w:val="000000"/>
          <w:kern w:val="0"/>
          <w:sz w:val="24"/>
        </w:rPr>
        <w:t>月</w:t>
      </w:r>
      <w:r w:rsidRPr="00E43B0B">
        <w:rPr>
          <w:color w:val="000000"/>
          <w:kern w:val="0"/>
          <w:sz w:val="24"/>
        </w:rPr>
        <w:t>15</w:t>
      </w:r>
      <w:r w:rsidRPr="00E43B0B">
        <w:rPr>
          <w:color w:val="000000"/>
          <w:kern w:val="0"/>
          <w:sz w:val="24"/>
        </w:rPr>
        <w:t>日至</w:t>
      </w:r>
      <w:r w:rsidRPr="00E43B0B">
        <w:rPr>
          <w:color w:val="000000"/>
          <w:kern w:val="0"/>
          <w:sz w:val="24"/>
        </w:rPr>
        <w:t>2020</w:t>
      </w:r>
      <w:r w:rsidRPr="00E43B0B">
        <w:rPr>
          <w:color w:val="000000"/>
          <w:kern w:val="0"/>
          <w:sz w:val="24"/>
        </w:rPr>
        <w:t>年</w:t>
      </w:r>
      <w:r w:rsidRPr="00E43B0B">
        <w:rPr>
          <w:color w:val="000000"/>
          <w:kern w:val="0"/>
          <w:sz w:val="24"/>
        </w:rPr>
        <w:t>3</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074578"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-7.07%</w:t>
      </w:r>
      <w:r w:rsidRPr="003D22BD">
        <w:rPr>
          <w:color w:val="000000"/>
          <w:sz w:val="24"/>
        </w:rPr>
        <w:t>，同期业绩比较基准收益率为</w:t>
      </w:r>
      <w:r w:rsidRPr="003D22BD">
        <w:rPr>
          <w:color w:val="000000"/>
          <w:sz w:val="24"/>
        </w:rPr>
        <w:t>-11.21%</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E65617">
        <w:tc>
          <w:tcPr>
            <w:tcW w:w="0" w:type="auto"/>
            <w:vAlign w:val="center"/>
          </w:tcPr>
          <w:p w:rsidR="00E65617" w:rsidRDefault="00074578">
            <w:pPr>
              <w:jc w:val="center"/>
            </w:pPr>
            <w:r>
              <w:rPr>
                <w:color w:val="000000"/>
                <w:sz w:val="24"/>
              </w:rPr>
              <w:t>余海燕</w:t>
            </w:r>
          </w:p>
        </w:tc>
        <w:tc>
          <w:tcPr>
            <w:tcW w:w="0" w:type="auto"/>
            <w:vAlign w:val="center"/>
          </w:tcPr>
          <w:p w:rsidR="00E65617" w:rsidRDefault="00074578">
            <w:pPr>
              <w:jc w:val="left"/>
            </w:pPr>
            <w:r>
              <w:rPr>
                <w:color w:val="000000"/>
                <w:sz w:val="24"/>
              </w:rPr>
              <w:t>本基金的基金经理、易方达沪深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非银行金融交易型开放式指数证券投资基金的基金经理、易方达沪深</w:t>
            </w:r>
            <w:r>
              <w:rPr>
                <w:color w:val="000000"/>
                <w:sz w:val="24"/>
              </w:rPr>
              <w:t>300</w:t>
            </w:r>
            <w:r>
              <w:rPr>
                <w:color w:val="000000"/>
                <w:sz w:val="24"/>
              </w:rPr>
              <w:t>非银行金融交易型开放式指数证券投资基金联接基金的基金经理、易方达国企改革指数分级证券投资基金的基金经理、易方达军工指数分级证券投资基金的基金经理、易方达证券公司指数分级证券投资基金的基金经理、易方达中证</w:t>
            </w:r>
            <w:r>
              <w:rPr>
                <w:color w:val="000000"/>
                <w:sz w:val="24"/>
              </w:rPr>
              <w:t>500</w:t>
            </w:r>
            <w:r>
              <w:rPr>
                <w:color w:val="000000"/>
                <w:sz w:val="24"/>
              </w:rPr>
              <w:t>交易型开放式指数证券投资基金的基金经理、易方达沪深</w:t>
            </w:r>
            <w:r>
              <w:rPr>
                <w:color w:val="000000"/>
                <w:sz w:val="24"/>
              </w:rPr>
              <w:t>300</w:t>
            </w:r>
            <w:r>
              <w:rPr>
                <w:color w:val="000000"/>
                <w:sz w:val="24"/>
              </w:rPr>
              <w:t>交易型开放式指数发起式证券投资基金的基金经理、易方达沪深</w:t>
            </w:r>
            <w:r>
              <w:rPr>
                <w:color w:val="000000"/>
                <w:sz w:val="24"/>
              </w:rPr>
              <w:t>300</w:t>
            </w:r>
            <w:r>
              <w:rPr>
                <w:color w:val="000000"/>
                <w:sz w:val="24"/>
              </w:rPr>
              <w:t>交易型开放式指数发起式</w:t>
            </w:r>
            <w:r>
              <w:rPr>
                <w:color w:val="000000"/>
                <w:sz w:val="24"/>
              </w:rPr>
              <w:t>证券投资基金联接基金的基金经理、易方达中证海外中国互联网</w:t>
            </w:r>
            <w:r>
              <w:rPr>
                <w:color w:val="000000"/>
                <w:sz w:val="24"/>
              </w:rPr>
              <w:t>50</w:t>
            </w:r>
            <w:r>
              <w:rPr>
                <w:color w:val="000000"/>
                <w:sz w:val="24"/>
              </w:rPr>
              <w:t>交易型开放式指数证券投资基金的基金经理、易方达中证军工交易型开放式指数证券投资基金的基金经理、易方达中证全指证券公司交易型开放式指数证券投资基金的基金经理、易方达沪深</w:t>
            </w:r>
            <w:r>
              <w:rPr>
                <w:color w:val="000000"/>
                <w:sz w:val="24"/>
              </w:rPr>
              <w:t>300</w:t>
            </w:r>
            <w:r>
              <w:rPr>
                <w:color w:val="000000"/>
                <w:sz w:val="24"/>
              </w:rPr>
              <w:t>医药卫生交易型开放式指数证券投资基金联接基金的基金经理、易方达恒生中国企业交易型开放式指数证券投资基金的基金经理、易方达黄金交易型开放式证券投资基金的基金经理、易方达恒生中国企业交易型开放式指数证券投资基金联接基金的基金经理、易方达黄金交易型开放式证券投资基金联接基金的基金经理、</w:t>
            </w:r>
            <w:r>
              <w:rPr>
                <w:color w:val="000000"/>
                <w:sz w:val="24"/>
              </w:rPr>
              <w:t>易方达中证海外中国互联网</w:t>
            </w:r>
            <w:r>
              <w:rPr>
                <w:color w:val="000000"/>
                <w:sz w:val="24"/>
              </w:rPr>
              <w:t>50</w:t>
            </w:r>
            <w:r>
              <w:rPr>
                <w:color w:val="000000"/>
                <w:sz w:val="24"/>
              </w:rPr>
              <w:t>交易型开放式指数证券投资基金联接基金的基金经理、易方达中证</w:t>
            </w:r>
            <w:r>
              <w:rPr>
                <w:color w:val="000000"/>
                <w:sz w:val="24"/>
              </w:rPr>
              <w:t>500</w:t>
            </w:r>
            <w:r>
              <w:rPr>
                <w:color w:val="000000"/>
                <w:sz w:val="24"/>
              </w:rPr>
              <w:t>交易型开放式指数证券投资基金发起式联接基金的基金经理、易方达日兴资管日经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交易型开放式指数证券投资基金发起式联接基金的基金经理、指数投资部副总经理</w:t>
            </w:r>
          </w:p>
        </w:tc>
        <w:tc>
          <w:tcPr>
            <w:tcW w:w="0" w:type="auto"/>
            <w:vAlign w:val="center"/>
          </w:tcPr>
          <w:p w:rsidR="00E65617" w:rsidRDefault="00074578">
            <w:pPr>
              <w:jc w:val="center"/>
            </w:pPr>
            <w:r>
              <w:rPr>
                <w:color w:val="000000"/>
                <w:sz w:val="24"/>
              </w:rPr>
              <w:t>2015-04-15</w:t>
            </w:r>
          </w:p>
        </w:tc>
        <w:tc>
          <w:tcPr>
            <w:tcW w:w="0" w:type="auto"/>
            <w:vAlign w:val="center"/>
          </w:tcPr>
          <w:p w:rsidR="00E65617" w:rsidRDefault="00074578">
            <w:pPr>
              <w:jc w:val="center"/>
            </w:pPr>
            <w:r>
              <w:rPr>
                <w:color w:val="000000"/>
                <w:sz w:val="24"/>
              </w:rPr>
              <w:t>-</w:t>
            </w:r>
          </w:p>
        </w:tc>
        <w:tc>
          <w:tcPr>
            <w:tcW w:w="0" w:type="auto"/>
            <w:vAlign w:val="center"/>
          </w:tcPr>
          <w:p w:rsidR="00E65617" w:rsidRDefault="00074578">
            <w:pPr>
              <w:jc w:val="center"/>
            </w:pPr>
            <w:r>
              <w:rPr>
                <w:color w:val="000000"/>
                <w:sz w:val="24"/>
              </w:rPr>
              <w:t>15</w:t>
            </w:r>
            <w:r>
              <w:rPr>
                <w:color w:val="000000"/>
                <w:sz w:val="24"/>
              </w:rPr>
              <w:t>年</w:t>
            </w:r>
          </w:p>
        </w:tc>
        <w:tc>
          <w:tcPr>
            <w:tcW w:w="0" w:type="auto"/>
            <w:vAlign w:val="center"/>
          </w:tcPr>
          <w:p w:rsidR="00E65617" w:rsidRDefault="00074578">
            <w:r>
              <w:rPr>
                <w:color w:val="000000"/>
                <w:sz w:val="24"/>
              </w:rPr>
              <w:t>硕士研究生，具有基金从业资格。曾任汇丰银行</w:t>
            </w:r>
            <w:r>
              <w:rPr>
                <w:color w:val="000000"/>
                <w:sz w:val="24"/>
              </w:rPr>
              <w:t>Consumer Credit Risk</w:t>
            </w:r>
            <w:r>
              <w:rPr>
                <w:color w:val="000000"/>
                <w:sz w:val="24"/>
              </w:rPr>
              <w:t>信用风险分析师，华宝兴业基金管理</w:t>
            </w:r>
            <w:r>
              <w:rPr>
                <w:color w:val="000000"/>
                <w:sz w:val="24"/>
              </w:rPr>
              <w:t>有限公司分析师、基金经理助理、基金经理，易方达基金管理有限公司投资发展部产品经理。</w:t>
            </w:r>
          </w:p>
        </w:tc>
      </w:tr>
    </w:tbl>
    <w:p w:rsidR="00E65617" w:rsidRDefault="00074578">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E65617" w:rsidRDefault="00074578">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E65617" w:rsidRDefault="00074578">
      <w:pPr>
        <w:spacing w:line="360" w:lineRule="auto"/>
        <w:ind w:firstLineChars="200" w:firstLine="480"/>
        <w:rPr>
          <w:color w:val="000000"/>
          <w:sz w:val="24"/>
        </w:rPr>
      </w:pPr>
      <w:r>
        <w:rPr>
          <w:color w:val="000000"/>
          <w:sz w:val="24"/>
        </w:rPr>
        <w:t>2020</w:t>
      </w:r>
      <w:r>
        <w:rPr>
          <w:color w:val="000000"/>
          <w:sz w:val="24"/>
        </w:rPr>
        <w:t>年一季度国内宏观经济面临新冠疫情的明显冲击，企业复工复产进度明显放缓，生产、销售受阻，导致</w:t>
      </w:r>
      <w:r>
        <w:rPr>
          <w:color w:val="000000"/>
          <w:sz w:val="24"/>
        </w:rPr>
        <w:t>1-2</w:t>
      </w:r>
      <w:r>
        <w:rPr>
          <w:color w:val="000000"/>
          <w:sz w:val="24"/>
        </w:rPr>
        <w:t>月份规模以上工业增加值、企业利润分别同比下降</w:t>
      </w:r>
      <w:r>
        <w:rPr>
          <w:color w:val="000000"/>
          <w:sz w:val="24"/>
        </w:rPr>
        <w:t>13.5%</w:t>
      </w:r>
      <w:r>
        <w:rPr>
          <w:color w:val="000000"/>
          <w:sz w:val="24"/>
        </w:rPr>
        <w:t>、</w:t>
      </w:r>
      <w:r>
        <w:rPr>
          <w:color w:val="000000"/>
          <w:sz w:val="24"/>
        </w:rPr>
        <w:t>38.3%</w:t>
      </w:r>
      <w:r>
        <w:rPr>
          <w:color w:val="000000"/>
          <w:sz w:val="24"/>
        </w:rPr>
        <w:t>。受到海外疫情不确定的影响，出口、生产恢复仍然需要时间，</w:t>
      </w:r>
      <w:r>
        <w:rPr>
          <w:color w:val="000000"/>
          <w:sz w:val="24"/>
        </w:rPr>
        <w:t>2020</w:t>
      </w:r>
      <w:r>
        <w:rPr>
          <w:color w:val="000000"/>
          <w:sz w:val="24"/>
        </w:rPr>
        <w:t>年一季度的经济增长回升势头将暂时停止，原先已表现出的经济内在动力回升趋势将受阻，整体经济增速将受到较大挑战。尽管新冠疫情在中国境内得到了有效控制，但其全球蔓延的态势自</w:t>
      </w:r>
      <w:r>
        <w:rPr>
          <w:color w:val="000000"/>
          <w:sz w:val="24"/>
        </w:rPr>
        <w:t>3</w:t>
      </w:r>
      <w:r>
        <w:rPr>
          <w:color w:val="000000"/>
          <w:sz w:val="24"/>
        </w:rPr>
        <w:t>月份以来则日渐严峻，面对疫情对经济信心的显著打击，全球各主要经济体先后采取大力度的货币宽松政策加以对冲，然而担忧情绪依旧没有消散，而且疫情发展态势也仍不明朗，疫情所带来的现实性冲击和政策性对冲的较量仍将是中短期主导全球乃至国内经济走向的关键力量。资本市场方面，海外疫情</w:t>
      </w:r>
      <w:r>
        <w:rPr>
          <w:color w:val="000000"/>
          <w:sz w:val="24"/>
        </w:rPr>
        <w:t>的超预期发展引起了金融市场巨震，美元流动性紧张又导致大类资产普跌，美股出现创纪录的</w:t>
      </w:r>
      <w:r>
        <w:rPr>
          <w:color w:val="000000"/>
          <w:sz w:val="24"/>
        </w:rPr>
        <w:t>4</w:t>
      </w:r>
      <w:r>
        <w:rPr>
          <w:color w:val="000000"/>
          <w:sz w:val="24"/>
        </w:rPr>
        <w:t>次熔断，美债收益率也下探至历史最低点。美联储祭出</w:t>
      </w:r>
      <w:r>
        <w:rPr>
          <w:color w:val="000000"/>
          <w:sz w:val="24"/>
        </w:rPr>
        <w:t>“</w:t>
      </w:r>
      <w:r>
        <w:rPr>
          <w:color w:val="000000"/>
          <w:sz w:val="24"/>
        </w:rPr>
        <w:t>零利率</w:t>
      </w:r>
      <w:r>
        <w:rPr>
          <w:color w:val="000000"/>
          <w:sz w:val="24"/>
        </w:rPr>
        <w:t>”</w:t>
      </w:r>
      <w:r>
        <w:rPr>
          <w:color w:val="000000"/>
          <w:sz w:val="24"/>
        </w:rPr>
        <w:t>后又推出无限</w:t>
      </w:r>
      <w:r>
        <w:rPr>
          <w:color w:val="000000"/>
          <w:sz w:val="24"/>
        </w:rPr>
        <w:t>QE</w:t>
      </w:r>
      <w:r>
        <w:rPr>
          <w:color w:val="000000"/>
          <w:sz w:val="24"/>
        </w:rPr>
        <w:t>，美国国会推出历史最大规模的</w:t>
      </w:r>
      <w:r>
        <w:rPr>
          <w:color w:val="000000"/>
          <w:sz w:val="24"/>
        </w:rPr>
        <w:t>2.2</w:t>
      </w:r>
      <w:r>
        <w:rPr>
          <w:color w:val="000000"/>
          <w:sz w:val="24"/>
        </w:rPr>
        <w:t>万亿美元经济刺激法案。相比之下国内资产在全球金融动荡中表现出了韧性。在流动性得到缓解后，全球股市明显反弹，</w:t>
      </w:r>
      <w:r>
        <w:rPr>
          <w:color w:val="000000"/>
          <w:sz w:val="24"/>
        </w:rPr>
        <w:t>A</w:t>
      </w:r>
      <w:r>
        <w:rPr>
          <w:color w:val="000000"/>
          <w:sz w:val="24"/>
        </w:rPr>
        <w:t>股也随之结束自</w:t>
      </w:r>
      <w:r>
        <w:rPr>
          <w:color w:val="000000"/>
          <w:sz w:val="24"/>
        </w:rPr>
        <w:t>3</w:t>
      </w:r>
      <w:r>
        <w:rPr>
          <w:color w:val="000000"/>
          <w:sz w:val="24"/>
        </w:rPr>
        <w:t>月初的剧烈下跌并开始反弹，一季度上证综指以下跌</w:t>
      </w:r>
      <w:r>
        <w:rPr>
          <w:color w:val="000000"/>
          <w:sz w:val="24"/>
        </w:rPr>
        <w:t>9.83%</w:t>
      </w:r>
      <w:r>
        <w:rPr>
          <w:color w:val="000000"/>
          <w:sz w:val="24"/>
        </w:rPr>
        <w:t>收官。风格主题方面，结构分化显著，在科技类板块表现领先的背景下，创业板表现优于主板，上证</w:t>
      </w:r>
      <w:r>
        <w:rPr>
          <w:color w:val="000000"/>
          <w:sz w:val="24"/>
        </w:rPr>
        <w:t>50</w:t>
      </w:r>
      <w:r>
        <w:rPr>
          <w:color w:val="000000"/>
          <w:sz w:val="24"/>
        </w:rPr>
        <w:t>指数、沪深</w:t>
      </w:r>
      <w:r>
        <w:rPr>
          <w:color w:val="000000"/>
          <w:sz w:val="24"/>
        </w:rPr>
        <w:t>300</w:t>
      </w:r>
      <w:r>
        <w:rPr>
          <w:color w:val="000000"/>
          <w:sz w:val="24"/>
        </w:rPr>
        <w:t>指数分别下跌</w:t>
      </w:r>
      <w:r>
        <w:rPr>
          <w:color w:val="000000"/>
          <w:sz w:val="24"/>
        </w:rPr>
        <w:t>12.20%</w:t>
      </w:r>
      <w:r>
        <w:rPr>
          <w:color w:val="000000"/>
          <w:sz w:val="24"/>
        </w:rPr>
        <w:t>、</w:t>
      </w:r>
      <w:r>
        <w:rPr>
          <w:color w:val="000000"/>
          <w:sz w:val="24"/>
        </w:rPr>
        <w:t>10.</w:t>
      </w:r>
      <w:r>
        <w:rPr>
          <w:color w:val="000000"/>
          <w:sz w:val="24"/>
        </w:rPr>
        <w:t>02%</w:t>
      </w:r>
      <w:r>
        <w:rPr>
          <w:color w:val="000000"/>
          <w:sz w:val="24"/>
        </w:rPr>
        <w:t>，而创业板指上涨</w:t>
      </w:r>
      <w:r>
        <w:rPr>
          <w:color w:val="000000"/>
          <w:sz w:val="24"/>
        </w:rPr>
        <w:t>4.10%</w:t>
      </w:r>
      <w:r>
        <w:rPr>
          <w:color w:val="000000"/>
          <w:sz w:val="24"/>
        </w:rPr>
        <w:t>；行业方面，农林牧渔、医药生物、计算机、通信等板块涨幅居前，休闲服务、保险、采掘、家用电器、交通运输、银行、房地产等板块跌幅较大。</w:t>
      </w:r>
    </w:p>
    <w:p w:rsidR="001C36D8" w:rsidRPr="003D22BD" w:rsidRDefault="001C36D8" w:rsidP="0015779C">
      <w:pPr>
        <w:spacing w:line="360" w:lineRule="auto"/>
        <w:ind w:firstLineChars="200" w:firstLine="480"/>
        <w:rPr>
          <w:color w:val="000000"/>
          <w:sz w:val="24"/>
        </w:rPr>
      </w:pPr>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0.9138</w:t>
      </w:r>
      <w:r w:rsidRPr="003D22BD">
        <w:rPr>
          <w:color w:val="000000"/>
          <w:sz w:val="24"/>
        </w:rPr>
        <w:t>元，本报告期份额净值增长率为</w:t>
      </w:r>
      <w:r w:rsidRPr="003D22BD">
        <w:rPr>
          <w:color w:val="000000"/>
          <w:sz w:val="24"/>
        </w:rPr>
        <w:t>-9.94%</w:t>
      </w:r>
      <w:r w:rsidRPr="003D22BD">
        <w:rPr>
          <w:color w:val="000000"/>
          <w:sz w:val="24"/>
        </w:rPr>
        <w:t>，同期业绩比较基准收益率为</w:t>
      </w:r>
      <w:r w:rsidRPr="003D22BD">
        <w:rPr>
          <w:color w:val="000000"/>
          <w:sz w:val="24"/>
        </w:rPr>
        <w:t>-11.59%</w:t>
      </w:r>
      <w:r w:rsidRPr="003D22BD">
        <w:rPr>
          <w:color w:val="000000"/>
          <w:sz w:val="24"/>
        </w:rPr>
        <w:t>，日跟踪偏离度的均值为</w:t>
      </w:r>
      <w:r w:rsidRPr="003D22BD">
        <w:rPr>
          <w:color w:val="000000"/>
          <w:sz w:val="24"/>
        </w:rPr>
        <w:t>0.05%</w:t>
      </w:r>
      <w:r w:rsidRPr="003D22BD">
        <w:rPr>
          <w:color w:val="000000"/>
          <w:sz w:val="24"/>
        </w:rPr>
        <w:t>，年化跟踪误差为</w:t>
      </w:r>
      <w:r w:rsidRPr="003D22BD">
        <w:rPr>
          <w:color w:val="000000"/>
          <w:sz w:val="24"/>
        </w:rPr>
        <w:t>1.152%</w:t>
      </w:r>
      <w:r w:rsidRPr="003D22BD">
        <w:rPr>
          <w:color w:val="000000"/>
          <w:sz w:val="24"/>
        </w:rPr>
        <w:t>，各项指标均在合同规定的目标控制范围之内。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383,043,949.07</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383,043,949.07</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23,384,105.46</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5.75</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306,645.40</w:t>
            </w:r>
          </w:p>
        </w:tc>
        <w:tc>
          <w:tcPr>
            <w:tcW w:w="1843" w:type="dxa"/>
            <w:vAlign w:val="center"/>
          </w:tcPr>
          <w:p w:rsidR="001C36D8" w:rsidRPr="005B1E0B" w:rsidRDefault="001C36D8" w:rsidP="001A09F9">
            <w:pPr>
              <w:jc w:val="right"/>
              <w:rPr>
                <w:color w:val="000000"/>
                <w:sz w:val="24"/>
              </w:rPr>
            </w:pPr>
            <w:r w:rsidRPr="005B1E0B">
              <w:rPr>
                <w:color w:val="000000"/>
                <w:sz w:val="24"/>
              </w:rPr>
              <w:t>0.08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406,734,699.93</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15,584,286.05</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3.84</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123,629,109.52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30.46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14,274,977.55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3.52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19,147.31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0.00</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7,739,778.50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3,977,850.54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0.98</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198,963,809.29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49.03</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9,412,257.47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2.32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4,690,560.00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1.16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4,752,172.84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1.17</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383,043,949.07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94.39</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E65617">
        <w:tc>
          <w:tcPr>
            <w:tcW w:w="0" w:type="auto"/>
            <w:vAlign w:val="center"/>
          </w:tcPr>
          <w:p w:rsidR="00E65617" w:rsidRDefault="00074578">
            <w:pPr>
              <w:jc w:val="center"/>
            </w:pPr>
            <w:r>
              <w:rPr>
                <w:color w:val="000000"/>
                <w:kern w:val="0"/>
                <w:sz w:val="24"/>
              </w:rPr>
              <w:t>1</w:t>
            </w:r>
          </w:p>
        </w:tc>
        <w:tc>
          <w:tcPr>
            <w:tcW w:w="0" w:type="auto"/>
            <w:vAlign w:val="center"/>
          </w:tcPr>
          <w:p w:rsidR="00E65617" w:rsidRDefault="00074578">
            <w:pPr>
              <w:jc w:val="center"/>
            </w:pPr>
            <w:r>
              <w:rPr>
                <w:color w:val="000000"/>
                <w:kern w:val="0"/>
                <w:sz w:val="24"/>
              </w:rPr>
              <w:t>601318</w:t>
            </w:r>
          </w:p>
        </w:tc>
        <w:tc>
          <w:tcPr>
            <w:tcW w:w="0" w:type="auto"/>
            <w:vAlign w:val="center"/>
          </w:tcPr>
          <w:p w:rsidR="00E65617" w:rsidRDefault="00074578">
            <w:pPr>
              <w:jc w:val="center"/>
            </w:pPr>
            <w:r>
              <w:rPr>
                <w:color w:val="000000"/>
                <w:kern w:val="0"/>
                <w:sz w:val="24"/>
              </w:rPr>
              <w:t>中国平安</w:t>
            </w:r>
          </w:p>
        </w:tc>
        <w:tc>
          <w:tcPr>
            <w:tcW w:w="0" w:type="auto"/>
            <w:vAlign w:val="center"/>
          </w:tcPr>
          <w:p w:rsidR="00E65617" w:rsidRDefault="00074578">
            <w:pPr>
              <w:jc w:val="right"/>
            </w:pPr>
            <w:r>
              <w:rPr>
                <w:color w:val="000000"/>
                <w:kern w:val="0"/>
                <w:sz w:val="24"/>
              </w:rPr>
              <w:t>774,467</w:t>
            </w:r>
          </w:p>
        </w:tc>
        <w:tc>
          <w:tcPr>
            <w:tcW w:w="0" w:type="auto"/>
            <w:vAlign w:val="center"/>
          </w:tcPr>
          <w:p w:rsidR="00E65617" w:rsidRDefault="00074578">
            <w:pPr>
              <w:jc w:val="right"/>
            </w:pPr>
            <w:r>
              <w:rPr>
                <w:color w:val="000000"/>
                <w:kern w:val="0"/>
                <w:sz w:val="24"/>
              </w:rPr>
              <w:t>53,569,882.39</w:t>
            </w:r>
          </w:p>
        </w:tc>
        <w:tc>
          <w:tcPr>
            <w:tcW w:w="0" w:type="auto"/>
            <w:vAlign w:val="center"/>
          </w:tcPr>
          <w:p w:rsidR="00E65617" w:rsidRDefault="00074578">
            <w:pPr>
              <w:jc w:val="right"/>
            </w:pPr>
            <w:r>
              <w:rPr>
                <w:color w:val="000000"/>
                <w:kern w:val="0"/>
                <w:sz w:val="24"/>
              </w:rPr>
              <w:t>13.20</w:t>
            </w:r>
          </w:p>
        </w:tc>
      </w:tr>
      <w:tr w:rsidR="00E65617">
        <w:tc>
          <w:tcPr>
            <w:tcW w:w="0" w:type="auto"/>
            <w:vAlign w:val="center"/>
          </w:tcPr>
          <w:p w:rsidR="00E65617" w:rsidRDefault="00074578">
            <w:pPr>
              <w:jc w:val="center"/>
            </w:pPr>
            <w:r>
              <w:rPr>
                <w:color w:val="000000"/>
                <w:kern w:val="0"/>
                <w:sz w:val="24"/>
              </w:rPr>
              <w:t>2</w:t>
            </w:r>
          </w:p>
        </w:tc>
        <w:tc>
          <w:tcPr>
            <w:tcW w:w="0" w:type="auto"/>
            <w:vAlign w:val="center"/>
          </w:tcPr>
          <w:p w:rsidR="00E65617" w:rsidRDefault="00074578">
            <w:pPr>
              <w:jc w:val="center"/>
            </w:pPr>
            <w:r>
              <w:rPr>
                <w:color w:val="000000"/>
                <w:kern w:val="0"/>
                <w:sz w:val="24"/>
              </w:rPr>
              <w:t>600519</w:t>
            </w:r>
          </w:p>
        </w:tc>
        <w:tc>
          <w:tcPr>
            <w:tcW w:w="0" w:type="auto"/>
            <w:vAlign w:val="center"/>
          </w:tcPr>
          <w:p w:rsidR="00E65617" w:rsidRDefault="00074578">
            <w:pPr>
              <w:jc w:val="center"/>
            </w:pPr>
            <w:r>
              <w:rPr>
                <w:color w:val="000000"/>
                <w:kern w:val="0"/>
                <w:sz w:val="24"/>
              </w:rPr>
              <w:t>贵州茅台</w:t>
            </w:r>
          </w:p>
        </w:tc>
        <w:tc>
          <w:tcPr>
            <w:tcW w:w="0" w:type="auto"/>
            <w:vAlign w:val="center"/>
          </w:tcPr>
          <w:p w:rsidR="00E65617" w:rsidRDefault="00074578">
            <w:pPr>
              <w:jc w:val="right"/>
            </w:pPr>
            <w:r>
              <w:rPr>
                <w:color w:val="000000"/>
                <w:kern w:val="0"/>
                <w:sz w:val="24"/>
              </w:rPr>
              <w:t>36,001</w:t>
            </w:r>
          </w:p>
        </w:tc>
        <w:tc>
          <w:tcPr>
            <w:tcW w:w="0" w:type="auto"/>
            <w:vAlign w:val="center"/>
          </w:tcPr>
          <w:p w:rsidR="00E65617" w:rsidRDefault="00074578">
            <w:pPr>
              <w:jc w:val="right"/>
            </w:pPr>
            <w:r>
              <w:rPr>
                <w:color w:val="000000"/>
                <w:kern w:val="0"/>
                <w:sz w:val="24"/>
              </w:rPr>
              <w:t>39,997,111.00</w:t>
            </w:r>
          </w:p>
        </w:tc>
        <w:tc>
          <w:tcPr>
            <w:tcW w:w="0" w:type="auto"/>
            <w:vAlign w:val="center"/>
          </w:tcPr>
          <w:p w:rsidR="00E65617" w:rsidRDefault="00074578">
            <w:pPr>
              <w:jc w:val="right"/>
            </w:pPr>
            <w:r>
              <w:rPr>
                <w:color w:val="000000"/>
                <w:kern w:val="0"/>
                <w:sz w:val="24"/>
              </w:rPr>
              <w:t>9.86</w:t>
            </w:r>
          </w:p>
        </w:tc>
      </w:tr>
      <w:tr w:rsidR="00E65617">
        <w:tc>
          <w:tcPr>
            <w:tcW w:w="0" w:type="auto"/>
            <w:vAlign w:val="center"/>
          </w:tcPr>
          <w:p w:rsidR="00E65617" w:rsidRDefault="00074578">
            <w:pPr>
              <w:jc w:val="center"/>
            </w:pPr>
            <w:r>
              <w:rPr>
                <w:color w:val="000000"/>
                <w:kern w:val="0"/>
                <w:sz w:val="24"/>
              </w:rPr>
              <w:t>3</w:t>
            </w:r>
          </w:p>
        </w:tc>
        <w:tc>
          <w:tcPr>
            <w:tcW w:w="0" w:type="auto"/>
            <w:vAlign w:val="center"/>
          </w:tcPr>
          <w:p w:rsidR="00E65617" w:rsidRDefault="00074578">
            <w:pPr>
              <w:jc w:val="center"/>
            </w:pPr>
            <w:r>
              <w:rPr>
                <w:color w:val="000000"/>
                <w:kern w:val="0"/>
                <w:sz w:val="24"/>
              </w:rPr>
              <w:t>600036</w:t>
            </w:r>
          </w:p>
        </w:tc>
        <w:tc>
          <w:tcPr>
            <w:tcW w:w="0" w:type="auto"/>
            <w:vAlign w:val="center"/>
          </w:tcPr>
          <w:p w:rsidR="00E65617" w:rsidRDefault="00074578">
            <w:pPr>
              <w:jc w:val="center"/>
            </w:pPr>
            <w:r>
              <w:rPr>
                <w:color w:val="000000"/>
                <w:kern w:val="0"/>
                <w:sz w:val="24"/>
              </w:rPr>
              <w:t>招商银行</w:t>
            </w:r>
          </w:p>
        </w:tc>
        <w:tc>
          <w:tcPr>
            <w:tcW w:w="0" w:type="auto"/>
            <w:vAlign w:val="center"/>
          </w:tcPr>
          <w:p w:rsidR="00E65617" w:rsidRDefault="00074578">
            <w:pPr>
              <w:jc w:val="right"/>
            </w:pPr>
            <w:r>
              <w:rPr>
                <w:color w:val="000000"/>
                <w:kern w:val="0"/>
                <w:sz w:val="24"/>
              </w:rPr>
              <w:t>737,475</w:t>
            </w:r>
          </w:p>
        </w:tc>
        <w:tc>
          <w:tcPr>
            <w:tcW w:w="0" w:type="auto"/>
            <w:vAlign w:val="center"/>
          </w:tcPr>
          <w:p w:rsidR="00E65617" w:rsidRDefault="00074578">
            <w:pPr>
              <w:jc w:val="right"/>
            </w:pPr>
            <w:r>
              <w:rPr>
                <w:color w:val="000000"/>
                <w:kern w:val="0"/>
                <w:sz w:val="24"/>
              </w:rPr>
              <w:t>23,805,693.00</w:t>
            </w:r>
          </w:p>
        </w:tc>
        <w:tc>
          <w:tcPr>
            <w:tcW w:w="0" w:type="auto"/>
            <w:vAlign w:val="center"/>
          </w:tcPr>
          <w:p w:rsidR="00E65617" w:rsidRDefault="00074578">
            <w:pPr>
              <w:jc w:val="right"/>
            </w:pPr>
            <w:r>
              <w:rPr>
                <w:color w:val="000000"/>
                <w:kern w:val="0"/>
                <w:sz w:val="24"/>
              </w:rPr>
              <w:t>5.87</w:t>
            </w:r>
          </w:p>
        </w:tc>
      </w:tr>
      <w:tr w:rsidR="00E65617">
        <w:tc>
          <w:tcPr>
            <w:tcW w:w="0" w:type="auto"/>
            <w:vAlign w:val="center"/>
          </w:tcPr>
          <w:p w:rsidR="00E65617" w:rsidRDefault="00074578">
            <w:pPr>
              <w:jc w:val="center"/>
            </w:pPr>
            <w:r>
              <w:rPr>
                <w:color w:val="000000"/>
                <w:kern w:val="0"/>
                <w:sz w:val="24"/>
              </w:rPr>
              <w:t>4</w:t>
            </w:r>
          </w:p>
        </w:tc>
        <w:tc>
          <w:tcPr>
            <w:tcW w:w="0" w:type="auto"/>
            <w:vAlign w:val="center"/>
          </w:tcPr>
          <w:p w:rsidR="00E65617" w:rsidRDefault="00074578">
            <w:pPr>
              <w:jc w:val="center"/>
            </w:pPr>
            <w:r>
              <w:rPr>
                <w:color w:val="000000"/>
                <w:kern w:val="0"/>
                <w:sz w:val="24"/>
              </w:rPr>
              <w:t>600276</w:t>
            </w:r>
          </w:p>
        </w:tc>
        <w:tc>
          <w:tcPr>
            <w:tcW w:w="0" w:type="auto"/>
            <w:vAlign w:val="center"/>
          </w:tcPr>
          <w:p w:rsidR="00E65617" w:rsidRDefault="00074578">
            <w:pPr>
              <w:jc w:val="center"/>
            </w:pPr>
            <w:r>
              <w:rPr>
                <w:color w:val="000000"/>
                <w:kern w:val="0"/>
                <w:sz w:val="24"/>
              </w:rPr>
              <w:t>恒瑞医药</w:t>
            </w:r>
          </w:p>
        </w:tc>
        <w:tc>
          <w:tcPr>
            <w:tcW w:w="0" w:type="auto"/>
            <w:vAlign w:val="center"/>
          </w:tcPr>
          <w:p w:rsidR="00E65617" w:rsidRDefault="00074578">
            <w:pPr>
              <w:jc w:val="right"/>
            </w:pPr>
            <w:r>
              <w:rPr>
                <w:color w:val="000000"/>
                <w:kern w:val="0"/>
                <w:sz w:val="24"/>
              </w:rPr>
              <w:t>221,431</w:t>
            </w:r>
          </w:p>
        </w:tc>
        <w:tc>
          <w:tcPr>
            <w:tcW w:w="0" w:type="auto"/>
            <w:vAlign w:val="center"/>
          </w:tcPr>
          <w:p w:rsidR="00E65617" w:rsidRDefault="00074578">
            <w:pPr>
              <w:jc w:val="right"/>
            </w:pPr>
            <w:r>
              <w:rPr>
                <w:color w:val="000000"/>
                <w:kern w:val="0"/>
                <w:sz w:val="24"/>
              </w:rPr>
              <w:t>20,378,294.93</w:t>
            </w:r>
          </w:p>
        </w:tc>
        <w:tc>
          <w:tcPr>
            <w:tcW w:w="0" w:type="auto"/>
            <w:vAlign w:val="center"/>
          </w:tcPr>
          <w:p w:rsidR="00E65617" w:rsidRDefault="00074578">
            <w:pPr>
              <w:jc w:val="right"/>
            </w:pPr>
            <w:r>
              <w:rPr>
                <w:color w:val="000000"/>
                <w:kern w:val="0"/>
                <w:sz w:val="24"/>
              </w:rPr>
              <w:t>5.02</w:t>
            </w:r>
          </w:p>
        </w:tc>
      </w:tr>
      <w:tr w:rsidR="00E65617">
        <w:tc>
          <w:tcPr>
            <w:tcW w:w="0" w:type="auto"/>
            <w:vAlign w:val="center"/>
          </w:tcPr>
          <w:p w:rsidR="00E65617" w:rsidRDefault="00074578">
            <w:pPr>
              <w:jc w:val="center"/>
            </w:pPr>
            <w:r>
              <w:rPr>
                <w:color w:val="000000"/>
                <w:kern w:val="0"/>
                <w:sz w:val="24"/>
              </w:rPr>
              <w:t>5</w:t>
            </w:r>
          </w:p>
        </w:tc>
        <w:tc>
          <w:tcPr>
            <w:tcW w:w="0" w:type="auto"/>
            <w:vAlign w:val="center"/>
          </w:tcPr>
          <w:p w:rsidR="00E65617" w:rsidRDefault="00074578">
            <w:pPr>
              <w:jc w:val="center"/>
            </w:pPr>
            <w:r>
              <w:rPr>
                <w:color w:val="000000"/>
                <w:kern w:val="0"/>
                <w:sz w:val="24"/>
              </w:rPr>
              <w:t>601166</w:t>
            </w:r>
          </w:p>
        </w:tc>
        <w:tc>
          <w:tcPr>
            <w:tcW w:w="0" w:type="auto"/>
            <w:vAlign w:val="center"/>
          </w:tcPr>
          <w:p w:rsidR="00E65617" w:rsidRDefault="00074578">
            <w:pPr>
              <w:jc w:val="center"/>
            </w:pPr>
            <w:r>
              <w:rPr>
                <w:color w:val="000000"/>
                <w:kern w:val="0"/>
                <w:sz w:val="24"/>
              </w:rPr>
              <w:t>兴业银行</w:t>
            </w:r>
          </w:p>
        </w:tc>
        <w:tc>
          <w:tcPr>
            <w:tcW w:w="0" w:type="auto"/>
            <w:vAlign w:val="center"/>
          </w:tcPr>
          <w:p w:rsidR="00E65617" w:rsidRDefault="00074578">
            <w:pPr>
              <w:jc w:val="right"/>
            </w:pPr>
            <w:r>
              <w:rPr>
                <w:color w:val="000000"/>
                <w:kern w:val="0"/>
                <w:sz w:val="24"/>
              </w:rPr>
              <w:t>1,039,714</w:t>
            </w:r>
          </w:p>
        </w:tc>
        <w:tc>
          <w:tcPr>
            <w:tcW w:w="0" w:type="auto"/>
            <w:vAlign w:val="center"/>
          </w:tcPr>
          <w:p w:rsidR="00E65617" w:rsidRDefault="00074578">
            <w:pPr>
              <w:jc w:val="right"/>
            </w:pPr>
            <w:r>
              <w:rPr>
                <w:color w:val="000000"/>
                <w:kern w:val="0"/>
                <w:sz w:val="24"/>
              </w:rPr>
              <w:t>16,541,849.74</w:t>
            </w:r>
          </w:p>
        </w:tc>
        <w:tc>
          <w:tcPr>
            <w:tcW w:w="0" w:type="auto"/>
            <w:vAlign w:val="center"/>
          </w:tcPr>
          <w:p w:rsidR="00E65617" w:rsidRDefault="00074578">
            <w:pPr>
              <w:jc w:val="right"/>
            </w:pPr>
            <w:r>
              <w:rPr>
                <w:color w:val="000000"/>
                <w:kern w:val="0"/>
                <w:sz w:val="24"/>
              </w:rPr>
              <w:t>4.08</w:t>
            </w:r>
          </w:p>
        </w:tc>
      </w:tr>
      <w:tr w:rsidR="00E65617">
        <w:tc>
          <w:tcPr>
            <w:tcW w:w="0" w:type="auto"/>
            <w:vAlign w:val="center"/>
          </w:tcPr>
          <w:p w:rsidR="00E65617" w:rsidRDefault="00074578">
            <w:pPr>
              <w:jc w:val="center"/>
            </w:pPr>
            <w:r>
              <w:rPr>
                <w:color w:val="000000"/>
                <w:kern w:val="0"/>
                <w:sz w:val="24"/>
              </w:rPr>
              <w:t>6</w:t>
            </w:r>
          </w:p>
        </w:tc>
        <w:tc>
          <w:tcPr>
            <w:tcW w:w="0" w:type="auto"/>
            <w:vAlign w:val="center"/>
          </w:tcPr>
          <w:p w:rsidR="00E65617" w:rsidRDefault="00074578">
            <w:pPr>
              <w:jc w:val="center"/>
            </w:pPr>
            <w:r>
              <w:rPr>
                <w:color w:val="000000"/>
                <w:kern w:val="0"/>
                <w:sz w:val="24"/>
              </w:rPr>
              <w:t>600030</w:t>
            </w:r>
          </w:p>
        </w:tc>
        <w:tc>
          <w:tcPr>
            <w:tcW w:w="0" w:type="auto"/>
            <w:vAlign w:val="center"/>
          </w:tcPr>
          <w:p w:rsidR="00E65617" w:rsidRDefault="00074578">
            <w:pPr>
              <w:jc w:val="center"/>
            </w:pPr>
            <w:r>
              <w:rPr>
                <w:color w:val="000000"/>
                <w:kern w:val="0"/>
                <w:sz w:val="24"/>
              </w:rPr>
              <w:t>中信证券</w:t>
            </w:r>
          </w:p>
        </w:tc>
        <w:tc>
          <w:tcPr>
            <w:tcW w:w="0" w:type="auto"/>
            <w:vAlign w:val="center"/>
          </w:tcPr>
          <w:p w:rsidR="00E65617" w:rsidRDefault="00074578">
            <w:pPr>
              <w:jc w:val="right"/>
            </w:pPr>
            <w:r>
              <w:rPr>
                <w:color w:val="000000"/>
                <w:kern w:val="0"/>
                <w:sz w:val="24"/>
              </w:rPr>
              <w:t>609,109</w:t>
            </w:r>
          </w:p>
        </w:tc>
        <w:tc>
          <w:tcPr>
            <w:tcW w:w="0" w:type="auto"/>
            <w:vAlign w:val="center"/>
          </w:tcPr>
          <w:p w:rsidR="00E65617" w:rsidRDefault="00074578">
            <w:pPr>
              <w:jc w:val="right"/>
            </w:pPr>
            <w:r>
              <w:rPr>
                <w:color w:val="000000"/>
                <w:kern w:val="0"/>
                <w:sz w:val="24"/>
              </w:rPr>
              <w:t>13,497,855.44</w:t>
            </w:r>
          </w:p>
        </w:tc>
        <w:tc>
          <w:tcPr>
            <w:tcW w:w="0" w:type="auto"/>
            <w:vAlign w:val="center"/>
          </w:tcPr>
          <w:p w:rsidR="00E65617" w:rsidRDefault="00074578">
            <w:pPr>
              <w:jc w:val="right"/>
            </w:pPr>
            <w:r>
              <w:rPr>
                <w:color w:val="000000"/>
                <w:kern w:val="0"/>
                <w:sz w:val="24"/>
              </w:rPr>
              <w:t>3.33</w:t>
            </w:r>
          </w:p>
        </w:tc>
      </w:tr>
      <w:tr w:rsidR="00E65617">
        <w:tc>
          <w:tcPr>
            <w:tcW w:w="0" w:type="auto"/>
            <w:vAlign w:val="center"/>
          </w:tcPr>
          <w:p w:rsidR="00E65617" w:rsidRDefault="00074578">
            <w:pPr>
              <w:jc w:val="center"/>
            </w:pPr>
            <w:r>
              <w:rPr>
                <w:color w:val="000000"/>
                <w:kern w:val="0"/>
                <w:sz w:val="24"/>
              </w:rPr>
              <w:t>7</w:t>
            </w:r>
          </w:p>
        </w:tc>
        <w:tc>
          <w:tcPr>
            <w:tcW w:w="0" w:type="auto"/>
            <w:vAlign w:val="center"/>
          </w:tcPr>
          <w:p w:rsidR="00E65617" w:rsidRDefault="00074578">
            <w:pPr>
              <w:jc w:val="center"/>
            </w:pPr>
            <w:r>
              <w:rPr>
                <w:color w:val="000000"/>
                <w:kern w:val="0"/>
                <w:sz w:val="24"/>
              </w:rPr>
              <w:t>600887</w:t>
            </w:r>
          </w:p>
        </w:tc>
        <w:tc>
          <w:tcPr>
            <w:tcW w:w="0" w:type="auto"/>
            <w:vAlign w:val="center"/>
          </w:tcPr>
          <w:p w:rsidR="00E65617" w:rsidRDefault="00074578">
            <w:pPr>
              <w:jc w:val="center"/>
            </w:pPr>
            <w:r>
              <w:rPr>
                <w:color w:val="000000"/>
                <w:kern w:val="0"/>
                <w:sz w:val="24"/>
              </w:rPr>
              <w:t>伊利股份</w:t>
            </w:r>
          </w:p>
        </w:tc>
        <w:tc>
          <w:tcPr>
            <w:tcW w:w="0" w:type="auto"/>
            <w:vAlign w:val="center"/>
          </w:tcPr>
          <w:p w:rsidR="00E65617" w:rsidRDefault="00074578">
            <w:pPr>
              <w:jc w:val="right"/>
            </w:pPr>
            <w:r>
              <w:rPr>
                <w:color w:val="000000"/>
                <w:kern w:val="0"/>
                <w:sz w:val="24"/>
              </w:rPr>
              <w:t>435,911</w:t>
            </w:r>
          </w:p>
        </w:tc>
        <w:tc>
          <w:tcPr>
            <w:tcW w:w="0" w:type="auto"/>
            <w:vAlign w:val="center"/>
          </w:tcPr>
          <w:p w:rsidR="00E65617" w:rsidRDefault="00074578">
            <w:pPr>
              <w:jc w:val="right"/>
            </w:pPr>
            <w:r>
              <w:rPr>
                <w:color w:val="000000"/>
                <w:kern w:val="0"/>
                <w:sz w:val="24"/>
              </w:rPr>
              <w:t>13,016,302.46</w:t>
            </w:r>
          </w:p>
        </w:tc>
        <w:tc>
          <w:tcPr>
            <w:tcW w:w="0" w:type="auto"/>
            <w:vAlign w:val="center"/>
          </w:tcPr>
          <w:p w:rsidR="00E65617" w:rsidRDefault="00074578">
            <w:pPr>
              <w:jc w:val="right"/>
            </w:pPr>
            <w:r>
              <w:rPr>
                <w:color w:val="000000"/>
                <w:kern w:val="0"/>
                <w:sz w:val="24"/>
              </w:rPr>
              <w:t>3.21</w:t>
            </w:r>
          </w:p>
        </w:tc>
      </w:tr>
      <w:tr w:rsidR="00E65617">
        <w:tc>
          <w:tcPr>
            <w:tcW w:w="0" w:type="auto"/>
            <w:vAlign w:val="center"/>
          </w:tcPr>
          <w:p w:rsidR="00E65617" w:rsidRDefault="00074578">
            <w:pPr>
              <w:jc w:val="center"/>
            </w:pPr>
            <w:r>
              <w:rPr>
                <w:color w:val="000000"/>
                <w:kern w:val="0"/>
                <w:sz w:val="24"/>
              </w:rPr>
              <w:t>8</w:t>
            </w:r>
          </w:p>
        </w:tc>
        <w:tc>
          <w:tcPr>
            <w:tcW w:w="0" w:type="auto"/>
            <w:vAlign w:val="center"/>
          </w:tcPr>
          <w:p w:rsidR="00E65617" w:rsidRDefault="00074578">
            <w:pPr>
              <w:jc w:val="center"/>
            </w:pPr>
            <w:r>
              <w:rPr>
                <w:color w:val="000000"/>
                <w:kern w:val="0"/>
                <w:sz w:val="24"/>
              </w:rPr>
              <w:t>601328</w:t>
            </w:r>
          </w:p>
        </w:tc>
        <w:tc>
          <w:tcPr>
            <w:tcW w:w="0" w:type="auto"/>
            <w:vAlign w:val="center"/>
          </w:tcPr>
          <w:p w:rsidR="00E65617" w:rsidRDefault="00074578">
            <w:pPr>
              <w:jc w:val="center"/>
            </w:pPr>
            <w:r>
              <w:rPr>
                <w:color w:val="000000"/>
                <w:kern w:val="0"/>
                <w:sz w:val="24"/>
              </w:rPr>
              <w:t>交通银行</w:t>
            </w:r>
          </w:p>
        </w:tc>
        <w:tc>
          <w:tcPr>
            <w:tcW w:w="0" w:type="auto"/>
            <w:vAlign w:val="center"/>
          </w:tcPr>
          <w:p w:rsidR="00E65617" w:rsidRDefault="00074578">
            <w:pPr>
              <w:jc w:val="right"/>
            </w:pPr>
            <w:r>
              <w:rPr>
                <w:color w:val="000000"/>
                <w:kern w:val="0"/>
                <w:sz w:val="24"/>
              </w:rPr>
              <w:t>1,964,343</w:t>
            </w:r>
          </w:p>
        </w:tc>
        <w:tc>
          <w:tcPr>
            <w:tcW w:w="0" w:type="auto"/>
            <w:vAlign w:val="center"/>
          </w:tcPr>
          <w:p w:rsidR="00E65617" w:rsidRDefault="00074578">
            <w:pPr>
              <w:jc w:val="right"/>
            </w:pPr>
            <w:r>
              <w:rPr>
                <w:color w:val="000000"/>
                <w:kern w:val="0"/>
                <w:sz w:val="24"/>
              </w:rPr>
              <w:t>10,136,009.88</w:t>
            </w:r>
          </w:p>
        </w:tc>
        <w:tc>
          <w:tcPr>
            <w:tcW w:w="0" w:type="auto"/>
            <w:vAlign w:val="center"/>
          </w:tcPr>
          <w:p w:rsidR="00E65617" w:rsidRDefault="00074578">
            <w:pPr>
              <w:jc w:val="right"/>
            </w:pPr>
            <w:r>
              <w:rPr>
                <w:color w:val="000000"/>
                <w:kern w:val="0"/>
                <w:sz w:val="24"/>
              </w:rPr>
              <w:t>2.50</w:t>
            </w:r>
          </w:p>
        </w:tc>
      </w:tr>
      <w:tr w:rsidR="00E65617">
        <w:tc>
          <w:tcPr>
            <w:tcW w:w="0" w:type="auto"/>
            <w:vAlign w:val="center"/>
          </w:tcPr>
          <w:p w:rsidR="00E65617" w:rsidRDefault="00074578">
            <w:pPr>
              <w:jc w:val="center"/>
            </w:pPr>
            <w:r>
              <w:rPr>
                <w:color w:val="000000"/>
                <w:kern w:val="0"/>
                <w:sz w:val="24"/>
              </w:rPr>
              <w:t>9</w:t>
            </w:r>
          </w:p>
        </w:tc>
        <w:tc>
          <w:tcPr>
            <w:tcW w:w="0" w:type="auto"/>
            <w:vAlign w:val="center"/>
          </w:tcPr>
          <w:p w:rsidR="00E65617" w:rsidRDefault="00074578">
            <w:pPr>
              <w:jc w:val="center"/>
            </w:pPr>
            <w:r>
              <w:rPr>
                <w:color w:val="000000"/>
                <w:kern w:val="0"/>
                <w:sz w:val="24"/>
              </w:rPr>
              <w:t>600016</w:t>
            </w:r>
          </w:p>
        </w:tc>
        <w:tc>
          <w:tcPr>
            <w:tcW w:w="0" w:type="auto"/>
            <w:vAlign w:val="center"/>
          </w:tcPr>
          <w:p w:rsidR="00E65617" w:rsidRDefault="00074578">
            <w:pPr>
              <w:jc w:val="center"/>
            </w:pPr>
            <w:r>
              <w:rPr>
                <w:color w:val="000000"/>
                <w:kern w:val="0"/>
                <w:sz w:val="24"/>
              </w:rPr>
              <w:t>民生银行</w:t>
            </w:r>
          </w:p>
        </w:tc>
        <w:tc>
          <w:tcPr>
            <w:tcW w:w="0" w:type="auto"/>
            <w:vAlign w:val="center"/>
          </w:tcPr>
          <w:p w:rsidR="00E65617" w:rsidRDefault="00074578">
            <w:pPr>
              <w:jc w:val="right"/>
            </w:pPr>
            <w:r>
              <w:rPr>
                <w:color w:val="000000"/>
                <w:kern w:val="0"/>
                <w:sz w:val="24"/>
              </w:rPr>
              <w:t>1,774,726</w:t>
            </w:r>
          </w:p>
        </w:tc>
        <w:tc>
          <w:tcPr>
            <w:tcW w:w="0" w:type="auto"/>
            <w:vAlign w:val="center"/>
          </w:tcPr>
          <w:p w:rsidR="00E65617" w:rsidRDefault="00074578">
            <w:pPr>
              <w:jc w:val="right"/>
            </w:pPr>
            <w:r>
              <w:rPr>
                <w:color w:val="000000"/>
                <w:kern w:val="0"/>
                <w:sz w:val="24"/>
              </w:rPr>
              <w:t>10,133,685.46</w:t>
            </w:r>
          </w:p>
        </w:tc>
        <w:tc>
          <w:tcPr>
            <w:tcW w:w="0" w:type="auto"/>
            <w:vAlign w:val="center"/>
          </w:tcPr>
          <w:p w:rsidR="00E65617" w:rsidRDefault="00074578">
            <w:pPr>
              <w:jc w:val="right"/>
            </w:pPr>
            <w:r>
              <w:rPr>
                <w:color w:val="000000"/>
                <w:kern w:val="0"/>
                <w:sz w:val="24"/>
              </w:rPr>
              <w:t>2.50</w:t>
            </w:r>
          </w:p>
        </w:tc>
      </w:tr>
      <w:tr w:rsidR="00E65617">
        <w:tc>
          <w:tcPr>
            <w:tcW w:w="0" w:type="auto"/>
            <w:vAlign w:val="center"/>
          </w:tcPr>
          <w:p w:rsidR="00E65617" w:rsidRDefault="00074578">
            <w:pPr>
              <w:jc w:val="center"/>
            </w:pPr>
            <w:r>
              <w:rPr>
                <w:color w:val="000000"/>
                <w:kern w:val="0"/>
                <w:sz w:val="24"/>
              </w:rPr>
              <w:t>10</w:t>
            </w:r>
          </w:p>
        </w:tc>
        <w:tc>
          <w:tcPr>
            <w:tcW w:w="0" w:type="auto"/>
            <w:vAlign w:val="center"/>
          </w:tcPr>
          <w:p w:rsidR="00E65617" w:rsidRDefault="00074578">
            <w:pPr>
              <w:jc w:val="center"/>
            </w:pPr>
            <w:r>
              <w:rPr>
                <w:color w:val="000000"/>
                <w:kern w:val="0"/>
                <w:sz w:val="24"/>
              </w:rPr>
              <w:t>601288</w:t>
            </w:r>
          </w:p>
        </w:tc>
        <w:tc>
          <w:tcPr>
            <w:tcW w:w="0" w:type="auto"/>
            <w:vAlign w:val="center"/>
          </w:tcPr>
          <w:p w:rsidR="00E65617" w:rsidRDefault="00074578">
            <w:pPr>
              <w:jc w:val="center"/>
            </w:pPr>
            <w:r>
              <w:rPr>
                <w:color w:val="000000"/>
                <w:kern w:val="0"/>
                <w:sz w:val="24"/>
              </w:rPr>
              <w:t>农业银行</w:t>
            </w:r>
          </w:p>
        </w:tc>
        <w:tc>
          <w:tcPr>
            <w:tcW w:w="0" w:type="auto"/>
            <w:vAlign w:val="center"/>
          </w:tcPr>
          <w:p w:rsidR="00E65617" w:rsidRDefault="00074578">
            <w:pPr>
              <w:jc w:val="right"/>
            </w:pPr>
            <w:r>
              <w:rPr>
                <w:color w:val="000000"/>
                <w:kern w:val="0"/>
                <w:sz w:val="24"/>
              </w:rPr>
              <w:t>2,738,885</w:t>
            </w:r>
          </w:p>
        </w:tc>
        <w:tc>
          <w:tcPr>
            <w:tcW w:w="0" w:type="auto"/>
            <w:vAlign w:val="center"/>
          </w:tcPr>
          <w:p w:rsidR="00E65617" w:rsidRDefault="00074578">
            <w:pPr>
              <w:jc w:val="right"/>
            </w:pPr>
            <w:r>
              <w:rPr>
                <w:color w:val="000000"/>
                <w:kern w:val="0"/>
                <w:sz w:val="24"/>
              </w:rPr>
              <w:t>9,230,042.45</w:t>
            </w:r>
          </w:p>
        </w:tc>
        <w:tc>
          <w:tcPr>
            <w:tcW w:w="0" w:type="auto"/>
            <w:vAlign w:val="center"/>
          </w:tcPr>
          <w:p w:rsidR="00E65617" w:rsidRDefault="00074578">
            <w:pPr>
              <w:jc w:val="right"/>
            </w:pPr>
            <w:r>
              <w:rPr>
                <w:color w:val="000000"/>
                <w:kern w:val="0"/>
                <w:sz w:val="24"/>
              </w:rPr>
              <w:t>2.27</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p w:rsidR="001C36D8" w:rsidRPr="00653BAC" w:rsidRDefault="00653BAC" w:rsidP="00653BAC">
      <w:pPr>
        <w:spacing w:line="360" w:lineRule="auto"/>
        <w:ind w:firstLineChars="200" w:firstLine="480"/>
        <w:rPr>
          <w:color w:val="000000"/>
          <w:sz w:val="24"/>
        </w:rPr>
      </w:pPr>
      <w:r w:rsidRPr="00653BAC">
        <w:rPr>
          <w:color w:val="000000"/>
          <w:sz w:val="24"/>
        </w:rPr>
        <w:t>本基金本报告期末未持有债券。</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本基金本报告期末未持有债券。</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00D8121C">
        <w:rPr>
          <w:rFonts w:ascii="宋体" w:hAnsi="宋体" w:hint="eastAsia"/>
          <w:bCs/>
          <w:color w:val="000000"/>
          <w:kern w:val="0"/>
          <w:sz w:val="24"/>
        </w:rPr>
        <w:t xml:space="preserve"> </w:t>
      </w:r>
      <w:r w:rsidRPr="005B1E0B">
        <w:rPr>
          <w:color w:val="000000"/>
          <w:kern w:val="0"/>
          <w:sz w:val="24"/>
        </w:rPr>
        <w:t>2019</w:t>
      </w:r>
      <w:r w:rsidRPr="005B1E0B">
        <w:rPr>
          <w:color w:val="000000"/>
          <w:kern w:val="0"/>
          <w:sz w:val="24"/>
        </w:rPr>
        <w:t>年</w:t>
      </w:r>
      <w:r w:rsidRPr="005B1E0B">
        <w:rPr>
          <w:color w:val="000000"/>
          <w:kern w:val="0"/>
          <w:sz w:val="24"/>
        </w:rPr>
        <w:t>7</w:t>
      </w:r>
      <w:r w:rsidRPr="005B1E0B">
        <w:rPr>
          <w:color w:val="000000"/>
          <w:kern w:val="0"/>
          <w:sz w:val="24"/>
        </w:rPr>
        <w:t>月</w:t>
      </w:r>
      <w:r w:rsidRPr="005B1E0B">
        <w:rPr>
          <w:color w:val="000000"/>
          <w:kern w:val="0"/>
          <w:sz w:val="24"/>
        </w:rPr>
        <w:t>25</w:t>
      </w:r>
      <w:r w:rsidRPr="005B1E0B">
        <w:rPr>
          <w:color w:val="000000"/>
          <w:kern w:val="0"/>
          <w:sz w:val="24"/>
        </w:rPr>
        <w:t>日，中国银行保险监督管理委员会上海监管局对交通银行股份有限公司太平洋信用卡中心</w:t>
      </w:r>
      <w:r w:rsidRPr="005B1E0B">
        <w:rPr>
          <w:color w:val="000000"/>
          <w:kern w:val="0"/>
          <w:sz w:val="24"/>
        </w:rPr>
        <w:t>2017</w:t>
      </w:r>
      <w:r w:rsidRPr="005B1E0B">
        <w:rPr>
          <w:color w:val="000000"/>
          <w:kern w:val="0"/>
          <w:sz w:val="24"/>
        </w:rPr>
        <w:t>年</w:t>
      </w:r>
      <w:r w:rsidRPr="005B1E0B">
        <w:rPr>
          <w:color w:val="000000"/>
          <w:kern w:val="0"/>
          <w:sz w:val="24"/>
        </w:rPr>
        <w:t>6</w:t>
      </w:r>
      <w:r w:rsidRPr="005B1E0B">
        <w:rPr>
          <w:color w:val="000000"/>
          <w:kern w:val="0"/>
          <w:sz w:val="24"/>
        </w:rPr>
        <w:t>月至</w:t>
      </w:r>
      <w:r w:rsidRPr="005B1E0B">
        <w:rPr>
          <w:color w:val="000000"/>
          <w:kern w:val="0"/>
          <w:sz w:val="24"/>
        </w:rPr>
        <w:t>10</w:t>
      </w:r>
      <w:r w:rsidRPr="005B1E0B">
        <w:rPr>
          <w:color w:val="000000"/>
          <w:kern w:val="0"/>
          <w:sz w:val="24"/>
        </w:rPr>
        <w:t>月期间在办理部分客户信用卡业务时未遵守总授信额度管理制度的违规事实，处以责令改正，并处罚款</w:t>
      </w:r>
      <w:r w:rsidRPr="005B1E0B">
        <w:rPr>
          <w:color w:val="000000"/>
          <w:kern w:val="0"/>
          <w:sz w:val="24"/>
        </w:rPr>
        <w:t>40</w:t>
      </w:r>
      <w:r w:rsidRPr="005B1E0B">
        <w:rPr>
          <w:color w:val="000000"/>
          <w:kern w:val="0"/>
          <w:sz w:val="24"/>
        </w:rPr>
        <w:t>万元。</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27</w:t>
      </w:r>
      <w:r>
        <w:rPr>
          <w:color w:val="000000"/>
          <w:kern w:val="0"/>
          <w:sz w:val="24"/>
        </w:rPr>
        <w:t>日，中国银行保险监督管理委员会对交通银行股份有限公司如下违法违规行为作出</w:t>
      </w:r>
      <w:r>
        <w:rPr>
          <w:color w:val="000000"/>
          <w:kern w:val="0"/>
          <w:sz w:val="24"/>
        </w:rPr>
        <w:t>“</w:t>
      </w:r>
      <w:r>
        <w:rPr>
          <w:color w:val="000000"/>
          <w:kern w:val="0"/>
          <w:sz w:val="24"/>
        </w:rPr>
        <w:t>罚款</w:t>
      </w:r>
      <w:r>
        <w:rPr>
          <w:color w:val="000000"/>
          <w:kern w:val="0"/>
          <w:sz w:val="24"/>
        </w:rPr>
        <w:t>150</w:t>
      </w:r>
      <w:r>
        <w:rPr>
          <w:color w:val="000000"/>
          <w:kern w:val="0"/>
          <w:sz w:val="24"/>
        </w:rPr>
        <w:t>万元</w:t>
      </w:r>
      <w:r>
        <w:rPr>
          <w:color w:val="000000"/>
          <w:kern w:val="0"/>
          <w:sz w:val="24"/>
        </w:rPr>
        <w:t>”</w:t>
      </w:r>
      <w:r>
        <w:rPr>
          <w:color w:val="000000"/>
          <w:kern w:val="0"/>
          <w:sz w:val="24"/>
        </w:rPr>
        <w:t>的行政处罚：</w:t>
      </w:r>
      <w:r>
        <w:rPr>
          <w:color w:val="000000"/>
          <w:kern w:val="0"/>
          <w:sz w:val="24"/>
        </w:rPr>
        <w:t>1</w:t>
      </w:r>
      <w:r>
        <w:rPr>
          <w:color w:val="000000"/>
          <w:kern w:val="0"/>
          <w:sz w:val="24"/>
        </w:rPr>
        <w:t>、授信审批不审慎；</w:t>
      </w:r>
      <w:r>
        <w:rPr>
          <w:color w:val="000000"/>
          <w:kern w:val="0"/>
          <w:sz w:val="24"/>
        </w:rPr>
        <w:t>2</w:t>
      </w:r>
      <w:r>
        <w:rPr>
          <w:color w:val="000000"/>
          <w:kern w:val="0"/>
          <w:sz w:val="24"/>
        </w:rPr>
        <w:t>、总行对分支机构管控不力承担管理责任。</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日，中国银行保险监督管理委员会大连监管局针对中国民生银行股份有限公司以贷收贷，掩盖资产真实质量，以贷转存，虚增存贷款规模的违法违规事实，处以罚款</w:t>
      </w:r>
      <w:r>
        <w:rPr>
          <w:color w:val="000000"/>
          <w:kern w:val="0"/>
          <w:sz w:val="24"/>
        </w:rPr>
        <w:t>100</w:t>
      </w:r>
      <w:r>
        <w:rPr>
          <w:color w:val="000000"/>
          <w:kern w:val="0"/>
          <w:sz w:val="24"/>
        </w:rPr>
        <w:t>万元的行政处罚。</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贷后管理不到位，以贷收贷，掩盖资产真实质量，贴现资金回流作银行承兑汇票保证金，滚动循环签发银行承兑汇票的违法违规事实，处以罚款</w:t>
      </w:r>
      <w:r>
        <w:rPr>
          <w:color w:val="000000"/>
          <w:kern w:val="0"/>
          <w:sz w:val="24"/>
        </w:rPr>
        <w:t>100</w:t>
      </w:r>
      <w:r>
        <w:rPr>
          <w:color w:val="000000"/>
          <w:kern w:val="0"/>
          <w:sz w:val="24"/>
        </w:rPr>
        <w:t>万元的行政处罚。</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日，中国银行保险监督管理委员会大连监管局针对中国民生银行股份有限公司贷后管理不</w:t>
      </w:r>
      <w:r>
        <w:rPr>
          <w:color w:val="000000"/>
          <w:kern w:val="0"/>
          <w:sz w:val="24"/>
        </w:rPr>
        <w:t>到位，银行承兑汇票保证金来源审查不严格，贷款回流作银行承兑汇票保证金的违法违规事实，处以罚款</w:t>
      </w:r>
      <w:r>
        <w:rPr>
          <w:color w:val="000000"/>
          <w:kern w:val="0"/>
          <w:sz w:val="24"/>
        </w:rPr>
        <w:t>50</w:t>
      </w:r>
      <w:r>
        <w:rPr>
          <w:color w:val="000000"/>
          <w:kern w:val="0"/>
          <w:sz w:val="24"/>
        </w:rPr>
        <w:t>万元的行政处罚。</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14</w:t>
      </w:r>
      <w:r>
        <w:rPr>
          <w:color w:val="000000"/>
          <w:kern w:val="0"/>
          <w:sz w:val="24"/>
        </w:rPr>
        <w:t>日，中国银行保险监督管理委员会北京监管局针对中国民生银行股份有限公司如下违法违规事实：</w:t>
      </w:r>
      <w:r>
        <w:rPr>
          <w:color w:val="000000"/>
          <w:kern w:val="0"/>
          <w:sz w:val="24"/>
        </w:rPr>
        <w:t>1</w:t>
      </w:r>
      <w:r>
        <w:rPr>
          <w:color w:val="000000"/>
          <w:kern w:val="0"/>
          <w:sz w:val="24"/>
        </w:rPr>
        <w:t>、总行同业票据业务管理失控；</w:t>
      </w:r>
      <w:r>
        <w:rPr>
          <w:color w:val="000000"/>
          <w:kern w:val="0"/>
          <w:sz w:val="24"/>
        </w:rPr>
        <w:t>2</w:t>
      </w:r>
      <w:r>
        <w:rPr>
          <w:color w:val="000000"/>
          <w:kern w:val="0"/>
          <w:sz w:val="24"/>
        </w:rPr>
        <w:t>、总行违反内控指引要求计量转贴现卖断业务信用风险加权资产；</w:t>
      </w:r>
      <w:r>
        <w:rPr>
          <w:color w:val="000000"/>
          <w:kern w:val="0"/>
          <w:sz w:val="24"/>
        </w:rPr>
        <w:t>3</w:t>
      </w:r>
      <w:r>
        <w:rPr>
          <w:color w:val="000000"/>
          <w:kern w:val="0"/>
          <w:sz w:val="24"/>
        </w:rPr>
        <w:t>、总行案件风险信息报送管理不到位；</w:t>
      </w:r>
      <w:r>
        <w:rPr>
          <w:color w:val="000000"/>
          <w:kern w:val="0"/>
          <w:sz w:val="24"/>
        </w:rPr>
        <w:t>4</w:t>
      </w:r>
      <w:r>
        <w:rPr>
          <w:color w:val="000000"/>
          <w:kern w:val="0"/>
          <w:sz w:val="24"/>
        </w:rPr>
        <w:t>、总行未有效管理承兑业务；</w:t>
      </w:r>
      <w:r>
        <w:rPr>
          <w:color w:val="000000"/>
          <w:kern w:val="0"/>
          <w:sz w:val="24"/>
        </w:rPr>
        <w:t>5</w:t>
      </w:r>
      <w:r>
        <w:rPr>
          <w:color w:val="000000"/>
          <w:kern w:val="0"/>
          <w:sz w:val="24"/>
        </w:rPr>
        <w:t>、总行办理无真实贸易背景承兑业务；</w:t>
      </w:r>
      <w:r>
        <w:rPr>
          <w:color w:val="000000"/>
          <w:kern w:val="0"/>
          <w:sz w:val="24"/>
        </w:rPr>
        <w:t>6</w:t>
      </w:r>
      <w:r>
        <w:rPr>
          <w:color w:val="000000"/>
          <w:kern w:val="0"/>
          <w:sz w:val="24"/>
        </w:rPr>
        <w:t>、总行承兑业务质押资金来源为本行贷款；</w:t>
      </w:r>
      <w:r>
        <w:rPr>
          <w:color w:val="000000"/>
          <w:kern w:val="0"/>
          <w:sz w:val="24"/>
        </w:rPr>
        <w:t>7</w:t>
      </w:r>
      <w:r>
        <w:rPr>
          <w:color w:val="000000"/>
          <w:kern w:val="0"/>
          <w:sz w:val="24"/>
        </w:rPr>
        <w:t>、银川分行为已注销法人公司办理票据贴现业务；</w:t>
      </w:r>
      <w:r>
        <w:rPr>
          <w:color w:val="000000"/>
          <w:kern w:val="0"/>
          <w:sz w:val="24"/>
        </w:rPr>
        <w:t>8</w:t>
      </w:r>
      <w:r>
        <w:rPr>
          <w:color w:val="000000"/>
          <w:kern w:val="0"/>
          <w:sz w:val="24"/>
        </w:rPr>
        <w:t>、杭州分行为票</w:t>
      </w:r>
      <w:r>
        <w:rPr>
          <w:color w:val="000000"/>
          <w:kern w:val="0"/>
          <w:sz w:val="24"/>
        </w:rPr>
        <w:t>据中介办理票据贴现业务；</w:t>
      </w:r>
      <w:r>
        <w:rPr>
          <w:color w:val="000000"/>
          <w:kern w:val="0"/>
          <w:sz w:val="24"/>
        </w:rPr>
        <w:t>9</w:t>
      </w:r>
      <w:r>
        <w:rPr>
          <w:color w:val="000000"/>
          <w:kern w:val="0"/>
          <w:sz w:val="24"/>
        </w:rPr>
        <w:t>、上海自贸区分行为票据中介办理票据贴现业务；</w:t>
      </w:r>
      <w:r>
        <w:rPr>
          <w:color w:val="000000"/>
          <w:kern w:val="0"/>
          <w:sz w:val="24"/>
        </w:rPr>
        <w:t>10</w:t>
      </w:r>
      <w:r>
        <w:rPr>
          <w:color w:val="000000"/>
          <w:kern w:val="0"/>
          <w:sz w:val="24"/>
        </w:rPr>
        <w:t>、福州分行、苏州分行、郑州分行转贴现卖断业务担保情况数据严重失实，处以责令改正，并处罚款</w:t>
      </w:r>
      <w:r>
        <w:rPr>
          <w:color w:val="000000"/>
          <w:kern w:val="0"/>
          <w:sz w:val="24"/>
        </w:rPr>
        <w:t>700</w:t>
      </w:r>
      <w:r>
        <w:rPr>
          <w:color w:val="000000"/>
          <w:kern w:val="0"/>
          <w:sz w:val="24"/>
        </w:rPr>
        <w:t>万元的行政处罚。</w:t>
      </w:r>
    </w:p>
    <w:p w:rsidR="00E65617" w:rsidRDefault="00074578">
      <w:pPr>
        <w:spacing w:line="360" w:lineRule="auto"/>
        <w:rPr>
          <w:color w:val="000000"/>
          <w:kern w:val="0"/>
          <w:sz w:val="24"/>
        </w:rPr>
      </w:pPr>
      <w:r>
        <w:rPr>
          <w:color w:val="000000"/>
          <w:kern w:val="0"/>
          <w:sz w:val="24"/>
        </w:rPr>
        <w:t>2020</w:t>
      </w:r>
      <w:r>
        <w:rPr>
          <w:color w:val="000000"/>
          <w:kern w:val="0"/>
          <w:sz w:val="24"/>
        </w:rPr>
        <w:t>年</w:t>
      </w:r>
      <w:r>
        <w:rPr>
          <w:color w:val="000000"/>
          <w:kern w:val="0"/>
          <w:sz w:val="24"/>
        </w:rPr>
        <w:t>2</w:t>
      </w:r>
      <w:r>
        <w:rPr>
          <w:color w:val="000000"/>
          <w:kern w:val="0"/>
          <w:sz w:val="24"/>
        </w:rPr>
        <w:t>月</w:t>
      </w:r>
      <w:r>
        <w:rPr>
          <w:color w:val="000000"/>
          <w:kern w:val="0"/>
          <w:sz w:val="24"/>
        </w:rPr>
        <w:t>10</w:t>
      </w:r>
      <w:r>
        <w:rPr>
          <w:color w:val="000000"/>
          <w:kern w:val="0"/>
          <w:sz w:val="24"/>
        </w:rPr>
        <w:t>日，中国人民银行对中国民生银行股份有限公司的如下违法违规行为作出</w:t>
      </w:r>
      <w:r>
        <w:rPr>
          <w:color w:val="000000"/>
          <w:kern w:val="0"/>
          <w:sz w:val="24"/>
        </w:rPr>
        <w:t>“</w:t>
      </w:r>
      <w:r>
        <w:rPr>
          <w:color w:val="000000"/>
          <w:kern w:val="0"/>
          <w:sz w:val="24"/>
        </w:rPr>
        <w:t>罚款</w:t>
      </w:r>
      <w:r>
        <w:rPr>
          <w:color w:val="000000"/>
          <w:kern w:val="0"/>
          <w:sz w:val="24"/>
        </w:rPr>
        <w:t>2360</w:t>
      </w:r>
      <w:r>
        <w:rPr>
          <w:color w:val="000000"/>
          <w:kern w:val="0"/>
          <w:sz w:val="24"/>
        </w:rPr>
        <w:t>万元</w:t>
      </w:r>
      <w:r>
        <w:rPr>
          <w:color w:val="000000"/>
          <w:kern w:val="0"/>
          <w:sz w:val="24"/>
        </w:rPr>
        <w:t>”</w:t>
      </w:r>
      <w:r>
        <w:rPr>
          <w:color w:val="000000"/>
          <w:kern w:val="0"/>
          <w:sz w:val="24"/>
        </w:rPr>
        <w:t>的行政处罚决定：</w:t>
      </w:r>
      <w:r>
        <w:rPr>
          <w:color w:val="000000"/>
          <w:kern w:val="0"/>
          <w:sz w:val="24"/>
        </w:rPr>
        <w:t>1.</w:t>
      </w:r>
      <w:r>
        <w:rPr>
          <w:color w:val="000000"/>
          <w:kern w:val="0"/>
          <w:sz w:val="24"/>
        </w:rPr>
        <w:t>未按规定履行客户身份识别义务；</w:t>
      </w:r>
      <w:r>
        <w:rPr>
          <w:color w:val="000000"/>
          <w:kern w:val="0"/>
          <w:sz w:val="24"/>
        </w:rPr>
        <w:t>2.</w:t>
      </w:r>
      <w:r>
        <w:rPr>
          <w:color w:val="000000"/>
          <w:kern w:val="0"/>
          <w:sz w:val="24"/>
        </w:rPr>
        <w:t>未按规定保存客户身份资料和交易记录；</w:t>
      </w:r>
      <w:r>
        <w:rPr>
          <w:color w:val="000000"/>
          <w:kern w:val="0"/>
          <w:sz w:val="24"/>
        </w:rPr>
        <w:t>3.</w:t>
      </w:r>
      <w:r>
        <w:rPr>
          <w:color w:val="000000"/>
          <w:kern w:val="0"/>
          <w:sz w:val="24"/>
        </w:rPr>
        <w:t>未按规定报送大额交易报告和可疑交易报告；</w:t>
      </w:r>
      <w:r>
        <w:rPr>
          <w:color w:val="000000"/>
          <w:kern w:val="0"/>
          <w:sz w:val="24"/>
        </w:rPr>
        <w:t>4.</w:t>
      </w:r>
      <w:r>
        <w:rPr>
          <w:color w:val="000000"/>
          <w:kern w:val="0"/>
          <w:sz w:val="24"/>
        </w:rPr>
        <w:t>与身份不明的客户进行交易。</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5</w:t>
      </w:r>
      <w:r>
        <w:rPr>
          <w:color w:val="000000"/>
          <w:kern w:val="0"/>
          <w:sz w:val="24"/>
        </w:rPr>
        <w:t>月</w:t>
      </w:r>
      <w:r>
        <w:rPr>
          <w:color w:val="000000"/>
          <w:kern w:val="0"/>
          <w:sz w:val="24"/>
        </w:rPr>
        <w:t>7</w:t>
      </w:r>
      <w:r>
        <w:rPr>
          <w:color w:val="000000"/>
          <w:kern w:val="0"/>
          <w:sz w:val="24"/>
        </w:rPr>
        <w:t>日，中国银行保险监督管理委员会上海监管局针</w:t>
      </w:r>
      <w:r>
        <w:rPr>
          <w:color w:val="000000"/>
          <w:kern w:val="0"/>
          <w:sz w:val="24"/>
        </w:rPr>
        <w:t>对中国农业银行股份有限公司信用卡中心</w:t>
      </w:r>
      <w:r>
        <w:rPr>
          <w:color w:val="000000"/>
          <w:kern w:val="0"/>
          <w:sz w:val="24"/>
        </w:rPr>
        <w:t>2016</w:t>
      </w:r>
      <w:r>
        <w:rPr>
          <w:color w:val="000000"/>
          <w:kern w:val="0"/>
          <w:sz w:val="24"/>
        </w:rPr>
        <w:t>年</w:t>
      </w:r>
      <w:r>
        <w:rPr>
          <w:color w:val="000000"/>
          <w:kern w:val="0"/>
          <w:sz w:val="24"/>
        </w:rPr>
        <w:t>9</w:t>
      </w:r>
      <w:r>
        <w:rPr>
          <w:color w:val="000000"/>
          <w:kern w:val="0"/>
          <w:sz w:val="24"/>
        </w:rPr>
        <w:t>月至</w:t>
      </w:r>
      <w:r>
        <w:rPr>
          <w:color w:val="000000"/>
          <w:kern w:val="0"/>
          <w:sz w:val="24"/>
        </w:rPr>
        <w:t>2017</w:t>
      </w:r>
      <w:r>
        <w:rPr>
          <w:color w:val="000000"/>
          <w:kern w:val="0"/>
          <w:sz w:val="24"/>
        </w:rPr>
        <w:t>年</w:t>
      </w:r>
      <w:r>
        <w:rPr>
          <w:color w:val="000000"/>
          <w:kern w:val="0"/>
          <w:sz w:val="24"/>
        </w:rPr>
        <w:t>6</w:t>
      </w:r>
      <w:r>
        <w:rPr>
          <w:color w:val="000000"/>
          <w:kern w:val="0"/>
          <w:sz w:val="24"/>
        </w:rPr>
        <w:t>月间部分信用卡资金违规用于非消费领域的违法违规事实，责令改正，并处罚款</w:t>
      </w:r>
      <w:r>
        <w:rPr>
          <w:color w:val="000000"/>
          <w:kern w:val="0"/>
          <w:sz w:val="24"/>
        </w:rPr>
        <w:t>50</w:t>
      </w:r>
      <w:r>
        <w:rPr>
          <w:color w:val="000000"/>
          <w:kern w:val="0"/>
          <w:sz w:val="24"/>
        </w:rPr>
        <w:t>万元。</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25</w:t>
      </w:r>
      <w:r>
        <w:rPr>
          <w:color w:val="000000"/>
          <w:kern w:val="0"/>
          <w:sz w:val="24"/>
        </w:rPr>
        <w:t>日，中国银行保险监督管理委员会上海监管局针对中国农业银行股份有限公司信用卡中心</w:t>
      </w:r>
      <w:r>
        <w:rPr>
          <w:color w:val="000000"/>
          <w:kern w:val="0"/>
          <w:sz w:val="24"/>
        </w:rPr>
        <w:t>2017</w:t>
      </w:r>
      <w:r>
        <w:rPr>
          <w:color w:val="000000"/>
          <w:kern w:val="0"/>
          <w:sz w:val="24"/>
        </w:rPr>
        <w:t>年</w:t>
      </w:r>
      <w:r>
        <w:rPr>
          <w:color w:val="000000"/>
          <w:kern w:val="0"/>
          <w:sz w:val="24"/>
        </w:rPr>
        <w:t>5</w:t>
      </w:r>
      <w:r>
        <w:rPr>
          <w:color w:val="000000"/>
          <w:kern w:val="0"/>
          <w:sz w:val="24"/>
        </w:rPr>
        <w:t>月至</w:t>
      </w:r>
      <w:r>
        <w:rPr>
          <w:color w:val="000000"/>
          <w:kern w:val="0"/>
          <w:sz w:val="24"/>
        </w:rPr>
        <w:t>2018</w:t>
      </w:r>
      <w:r>
        <w:rPr>
          <w:color w:val="000000"/>
          <w:kern w:val="0"/>
          <w:sz w:val="24"/>
        </w:rPr>
        <w:t>年</w:t>
      </w:r>
      <w:r>
        <w:rPr>
          <w:color w:val="000000"/>
          <w:kern w:val="0"/>
          <w:sz w:val="24"/>
        </w:rPr>
        <w:t>6</w:t>
      </w:r>
      <w:r>
        <w:rPr>
          <w:color w:val="000000"/>
          <w:kern w:val="0"/>
          <w:sz w:val="24"/>
        </w:rPr>
        <w:t>月在办理部分客户信用卡业务时未遵守总授信额度管理制度的违法违规事实，责令改正，并处罚款</w:t>
      </w:r>
      <w:r>
        <w:rPr>
          <w:color w:val="000000"/>
          <w:kern w:val="0"/>
          <w:sz w:val="24"/>
        </w:rPr>
        <w:t>20</w:t>
      </w:r>
      <w:r>
        <w:rPr>
          <w:color w:val="000000"/>
          <w:kern w:val="0"/>
          <w:sz w:val="24"/>
        </w:rPr>
        <w:t>万元。</w:t>
      </w:r>
    </w:p>
    <w:p w:rsidR="00E65617" w:rsidRDefault="00074578">
      <w:pPr>
        <w:spacing w:line="360" w:lineRule="auto"/>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19</w:t>
      </w:r>
      <w:r>
        <w:rPr>
          <w:color w:val="000000"/>
          <w:kern w:val="0"/>
          <w:sz w:val="24"/>
        </w:rPr>
        <w:t>日，国家税务总局北京市海淀区税务局对中国农业银行股份有限公司未按照规定期限办理纳税申报和报送纳税资料的违法违规事实，作出罚款</w:t>
      </w:r>
      <w:r>
        <w:rPr>
          <w:color w:val="000000"/>
          <w:kern w:val="0"/>
          <w:sz w:val="24"/>
        </w:rPr>
        <w:t>5</w:t>
      </w:r>
      <w:r>
        <w:rPr>
          <w:color w:val="000000"/>
          <w:kern w:val="0"/>
          <w:sz w:val="24"/>
        </w:rPr>
        <w:t>0</w:t>
      </w:r>
      <w:r>
        <w:rPr>
          <w:color w:val="000000"/>
          <w:kern w:val="0"/>
          <w:sz w:val="24"/>
        </w:rPr>
        <w:t>万元的行政处罚决定。</w:t>
      </w:r>
    </w:p>
    <w:p w:rsidR="00E65617" w:rsidRDefault="00074578">
      <w:pPr>
        <w:spacing w:line="360" w:lineRule="auto"/>
        <w:rPr>
          <w:color w:val="000000"/>
          <w:kern w:val="0"/>
          <w:sz w:val="24"/>
        </w:rPr>
      </w:pPr>
      <w:r>
        <w:rPr>
          <w:color w:val="000000"/>
          <w:kern w:val="0"/>
          <w:sz w:val="24"/>
        </w:rPr>
        <w:t>2020</w:t>
      </w:r>
      <w:r>
        <w:rPr>
          <w:color w:val="000000"/>
          <w:kern w:val="0"/>
          <w:sz w:val="24"/>
        </w:rPr>
        <w:t>年</w:t>
      </w:r>
      <w:r>
        <w:rPr>
          <w:color w:val="000000"/>
          <w:kern w:val="0"/>
          <w:sz w:val="24"/>
        </w:rPr>
        <w:t>3</w:t>
      </w:r>
      <w:r>
        <w:rPr>
          <w:color w:val="000000"/>
          <w:kern w:val="0"/>
          <w:sz w:val="24"/>
        </w:rPr>
        <w:t>月</w:t>
      </w:r>
      <w:r>
        <w:rPr>
          <w:color w:val="000000"/>
          <w:kern w:val="0"/>
          <w:sz w:val="24"/>
        </w:rPr>
        <w:t>9</w:t>
      </w:r>
      <w:r>
        <w:rPr>
          <w:color w:val="000000"/>
          <w:kern w:val="0"/>
          <w:sz w:val="24"/>
        </w:rPr>
        <w:t>日，中国银行保险监督管理委员会对中国农业银行股份有限公司的如下违规违规行为作出罚款</w:t>
      </w:r>
      <w:r>
        <w:rPr>
          <w:color w:val="000000"/>
          <w:kern w:val="0"/>
          <w:sz w:val="24"/>
        </w:rPr>
        <w:t>50</w:t>
      </w:r>
      <w:r>
        <w:rPr>
          <w:color w:val="000000"/>
          <w:kern w:val="0"/>
          <w:sz w:val="24"/>
        </w:rPr>
        <w:t>万元的行政处罚决定：可回溯制度执行不到位、可回溯基础管理不到位、部分可回溯视频质检结果未反馈给保险公司、可回溯资料不符合监管规定。</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8</w:t>
      </w:r>
      <w:r>
        <w:rPr>
          <w:color w:val="000000"/>
          <w:kern w:val="0"/>
          <w:sz w:val="24"/>
        </w:rPr>
        <w:t>日，中国银行保险监督管理委员会上海监管局针对兴业银行股份有限公司信用卡中心</w:t>
      </w:r>
      <w:r>
        <w:rPr>
          <w:color w:val="000000"/>
          <w:kern w:val="0"/>
          <w:sz w:val="24"/>
        </w:rPr>
        <w:t>1</w:t>
      </w:r>
      <w:r>
        <w:rPr>
          <w:color w:val="000000"/>
          <w:kern w:val="0"/>
          <w:sz w:val="24"/>
        </w:rPr>
        <w:t>、</w:t>
      </w:r>
      <w:r>
        <w:rPr>
          <w:color w:val="000000"/>
          <w:kern w:val="0"/>
          <w:sz w:val="24"/>
        </w:rPr>
        <w:t>2016</w:t>
      </w:r>
      <w:r>
        <w:rPr>
          <w:color w:val="000000"/>
          <w:kern w:val="0"/>
          <w:sz w:val="24"/>
        </w:rPr>
        <w:t>年</w:t>
      </w:r>
      <w:r>
        <w:rPr>
          <w:color w:val="000000"/>
          <w:kern w:val="0"/>
          <w:sz w:val="24"/>
        </w:rPr>
        <w:t>1</w:t>
      </w:r>
      <w:r>
        <w:rPr>
          <w:color w:val="000000"/>
          <w:kern w:val="0"/>
          <w:sz w:val="24"/>
        </w:rPr>
        <w:t>月至</w:t>
      </w:r>
      <w:r>
        <w:rPr>
          <w:color w:val="000000"/>
          <w:kern w:val="0"/>
          <w:sz w:val="24"/>
        </w:rPr>
        <w:t>2018</w:t>
      </w:r>
      <w:r>
        <w:rPr>
          <w:color w:val="000000"/>
          <w:kern w:val="0"/>
          <w:sz w:val="24"/>
        </w:rPr>
        <w:t>年</w:t>
      </w:r>
      <w:r>
        <w:rPr>
          <w:color w:val="000000"/>
          <w:kern w:val="0"/>
          <w:sz w:val="24"/>
        </w:rPr>
        <w:t>1</w:t>
      </w:r>
      <w:r>
        <w:rPr>
          <w:color w:val="000000"/>
          <w:kern w:val="0"/>
          <w:sz w:val="24"/>
        </w:rPr>
        <w:t>月在为部分客户办理信用卡业务时未遵守总授信额度管理制度；</w:t>
      </w:r>
      <w:r>
        <w:rPr>
          <w:color w:val="000000"/>
          <w:kern w:val="0"/>
          <w:sz w:val="24"/>
        </w:rPr>
        <w:t>2</w:t>
      </w:r>
      <w:r>
        <w:rPr>
          <w:color w:val="000000"/>
          <w:kern w:val="0"/>
          <w:sz w:val="24"/>
        </w:rPr>
        <w:t>、</w:t>
      </w:r>
      <w:r>
        <w:rPr>
          <w:color w:val="000000"/>
          <w:kern w:val="0"/>
          <w:sz w:val="24"/>
        </w:rPr>
        <w:t>2016</w:t>
      </w:r>
      <w:r>
        <w:rPr>
          <w:color w:val="000000"/>
          <w:kern w:val="0"/>
          <w:sz w:val="24"/>
        </w:rPr>
        <w:t>年至</w:t>
      </w:r>
      <w:r>
        <w:rPr>
          <w:color w:val="000000"/>
          <w:kern w:val="0"/>
          <w:sz w:val="24"/>
        </w:rPr>
        <w:t>2018</w:t>
      </w:r>
      <w:r>
        <w:rPr>
          <w:color w:val="000000"/>
          <w:kern w:val="0"/>
          <w:sz w:val="24"/>
        </w:rPr>
        <w:t>年</w:t>
      </w:r>
      <w:r>
        <w:rPr>
          <w:color w:val="000000"/>
          <w:kern w:val="0"/>
          <w:sz w:val="24"/>
        </w:rPr>
        <w:t>8</w:t>
      </w:r>
      <w:r>
        <w:rPr>
          <w:color w:val="000000"/>
          <w:kern w:val="0"/>
          <w:sz w:val="24"/>
        </w:rPr>
        <w:t>月对部分信用卡申请人资信水平调查严重不尽职的违法</w:t>
      </w:r>
      <w:r>
        <w:rPr>
          <w:color w:val="000000"/>
          <w:kern w:val="0"/>
          <w:sz w:val="24"/>
        </w:rPr>
        <w:t>违规行为，责令改正，并处罚款</w:t>
      </w:r>
      <w:r>
        <w:rPr>
          <w:color w:val="000000"/>
          <w:kern w:val="0"/>
          <w:sz w:val="24"/>
        </w:rPr>
        <w:t>40</w:t>
      </w:r>
      <w:r>
        <w:rPr>
          <w:color w:val="000000"/>
          <w:kern w:val="0"/>
          <w:sz w:val="24"/>
        </w:rPr>
        <w:t>万元。</w:t>
      </w:r>
    </w:p>
    <w:p w:rsidR="00E65617" w:rsidRDefault="00074578">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8</w:t>
      </w:r>
      <w:r>
        <w:rPr>
          <w:color w:val="000000"/>
          <w:kern w:val="0"/>
          <w:sz w:val="24"/>
        </w:rPr>
        <w:t>日，中国银行保险监督管理委员会上海监管局对招商银行股份有限公司信用卡中心</w:t>
      </w:r>
      <w:r>
        <w:rPr>
          <w:color w:val="000000"/>
          <w:kern w:val="0"/>
          <w:sz w:val="24"/>
        </w:rPr>
        <w:t>2016</w:t>
      </w:r>
      <w:r>
        <w:rPr>
          <w:color w:val="000000"/>
          <w:kern w:val="0"/>
          <w:sz w:val="24"/>
        </w:rPr>
        <w:t>年</w:t>
      </w:r>
      <w:r>
        <w:rPr>
          <w:color w:val="000000"/>
          <w:kern w:val="0"/>
          <w:sz w:val="24"/>
        </w:rPr>
        <w:t>9</w:t>
      </w:r>
      <w:r>
        <w:rPr>
          <w:color w:val="000000"/>
          <w:kern w:val="0"/>
          <w:sz w:val="24"/>
        </w:rPr>
        <w:t>月至</w:t>
      </w:r>
      <w:r>
        <w:rPr>
          <w:color w:val="000000"/>
          <w:kern w:val="0"/>
          <w:sz w:val="24"/>
        </w:rPr>
        <w:t>2018</w:t>
      </w:r>
      <w:r>
        <w:rPr>
          <w:color w:val="000000"/>
          <w:kern w:val="0"/>
          <w:sz w:val="24"/>
        </w:rPr>
        <w:t>年</w:t>
      </w:r>
      <w:r>
        <w:rPr>
          <w:color w:val="000000"/>
          <w:kern w:val="0"/>
          <w:sz w:val="24"/>
        </w:rPr>
        <w:t>6</w:t>
      </w:r>
      <w:r>
        <w:rPr>
          <w:color w:val="000000"/>
          <w:kern w:val="0"/>
          <w:sz w:val="24"/>
        </w:rPr>
        <w:t>月在为部分客户办理信用卡业务时，未遵守总授信额度管理制度的违法违规事实，责令改正，并处罚款</w:t>
      </w:r>
      <w:r>
        <w:rPr>
          <w:color w:val="000000"/>
          <w:kern w:val="0"/>
          <w:sz w:val="24"/>
        </w:rPr>
        <w:t>20</w:t>
      </w:r>
      <w:r>
        <w:rPr>
          <w:color w:val="000000"/>
          <w:kern w:val="0"/>
          <w:sz w:val="24"/>
        </w:rPr>
        <w:t>万元。</w:t>
      </w:r>
    </w:p>
    <w:p w:rsidR="00E65617" w:rsidRDefault="00074578">
      <w:pPr>
        <w:spacing w:line="360" w:lineRule="auto"/>
        <w:rPr>
          <w:color w:val="000000"/>
          <w:kern w:val="0"/>
          <w:sz w:val="24"/>
        </w:rPr>
      </w:pPr>
      <w:r>
        <w:rPr>
          <w:color w:val="000000"/>
          <w:kern w:val="0"/>
          <w:sz w:val="24"/>
        </w:rPr>
        <w:t>本基金为指数型基金，上述股票系标的指数成份股，上述股票的投资决策程序符合公司投资制度的规定。除招商银行、交通银行、民生银行、农业银行、兴业银行外，本基金投资的前十名证券的发行主体本期没有出现被监管部门立案调查，或在报告编制日前一年内受到公开谴责、处罚的情</w:t>
      </w:r>
      <w:r>
        <w:rPr>
          <w:color w:val="000000"/>
          <w:kern w:val="0"/>
          <w:sz w:val="24"/>
        </w:rPr>
        <w:t>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00D8121C">
        <w:rPr>
          <w:rFonts w:ascii="宋体" w:hAnsi="宋体" w:hint="eastAsia"/>
          <w:bCs/>
          <w:color w:val="000000"/>
          <w:kern w:val="0"/>
          <w:sz w:val="24"/>
        </w:rPr>
        <w:t xml:space="preserve"> </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47,574.81</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6,349.04</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252,721.55</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306,645.40</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易方达上证</w:t>
            </w:r>
            <w:r w:rsidRPr="005B1E0B">
              <w:rPr>
                <w:sz w:val="24"/>
              </w:rPr>
              <w:t>50</w:t>
            </w:r>
            <w:r w:rsidRPr="005B1E0B">
              <w:rPr>
                <w:sz w:val="24"/>
              </w:rPr>
              <w:t>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易方达上证</w:t>
            </w:r>
            <w:r w:rsidRPr="005B1E0B">
              <w:rPr>
                <w:sz w:val="24"/>
              </w:rPr>
              <w:t>50</w:t>
            </w:r>
            <w:r w:rsidRPr="005B1E0B">
              <w:rPr>
                <w:sz w:val="24"/>
              </w:rPr>
              <w:t>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易方达上证</w:t>
            </w:r>
            <w:r w:rsidRPr="005B1E0B">
              <w:rPr>
                <w:sz w:val="24"/>
              </w:rPr>
              <w:t>50</w:t>
            </w:r>
            <w:r w:rsidRPr="005B1E0B">
              <w:rPr>
                <w:sz w:val="24"/>
              </w:rPr>
              <w:t>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190,577,791.90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154,995,879.00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154,995,879.00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8,757,162.33</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65,224,688.70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24,731,000.00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-12,365,500.00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-12,365,500.00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158,841,265.53</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142,630,379.00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142,630,379.00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E65617" w:rsidRDefault="00074578">
      <w:pPr>
        <w:spacing w:line="360" w:lineRule="auto"/>
        <w:ind w:firstLineChars="200" w:firstLine="480"/>
        <w:rPr>
          <w:color w:val="000000"/>
          <w:sz w:val="24"/>
        </w:rPr>
      </w:pPr>
      <w:r>
        <w:rPr>
          <w:color w:val="000000"/>
          <w:sz w:val="24"/>
        </w:rPr>
        <w:t xml:space="preserve">1. </w:t>
      </w:r>
      <w:r>
        <w:rPr>
          <w:color w:val="000000"/>
          <w:sz w:val="24"/>
        </w:rPr>
        <w:t>中国证监会准予易方达上证</w:t>
      </w:r>
      <w:r>
        <w:rPr>
          <w:color w:val="000000"/>
          <w:sz w:val="24"/>
        </w:rPr>
        <w:t>50</w:t>
      </w:r>
      <w:r>
        <w:rPr>
          <w:color w:val="000000"/>
          <w:sz w:val="24"/>
        </w:rPr>
        <w:t>指数分级证券投资基金募集注册的文件；</w:t>
      </w:r>
    </w:p>
    <w:p w:rsidR="00E65617" w:rsidRDefault="00074578">
      <w:pPr>
        <w:spacing w:line="360" w:lineRule="auto"/>
        <w:ind w:firstLineChars="200" w:firstLine="480"/>
        <w:rPr>
          <w:color w:val="000000"/>
          <w:sz w:val="24"/>
        </w:rPr>
      </w:pPr>
      <w:r>
        <w:rPr>
          <w:color w:val="000000"/>
          <w:sz w:val="24"/>
        </w:rPr>
        <w:t xml:space="preserve">2. </w:t>
      </w:r>
      <w:r>
        <w:rPr>
          <w:color w:val="000000"/>
          <w:sz w:val="24"/>
        </w:rPr>
        <w:t>《易方达上证</w:t>
      </w:r>
      <w:r>
        <w:rPr>
          <w:color w:val="000000"/>
          <w:sz w:val="24"/>
        </w:rPr>
        <w:t>50</w:t>
      </w:r>
      <w:r>
        <w:rPr>
          <w:color w:val="000000"/>
          <w:sz w:val="24"/>
        </w:rPr>
        <w:t>指数分级证券投资基金基金合同》；</w:t>
      </w:r>
    </w:p>
    <w:p w:rsidR="00E65617" w:rsidRDefault="00074578">
      <w:pPr>
        <w:spacing w:line="360" w:lineRule="auto"/>
        <w:ind w:firstLineChars="200" w:firstLine="480"/>
        <w:rPr>
          <w:color w:val="000000"/>
          <w:sz w:val="24"/>
        </w:rPr>
      </w:pPr>
      <w:r>
        <w:rPr>
          <w:color w:val="000000"/>
          <w:sz w:val="24"/>
        </w:rPr>
        <w:t xml:space="preserve">3. </w:t>
      </w:r>
      <w:r>
        <w:rPr>
          <w:color w:val="000000"/>
          <w:sz w:val="24"/>
        </w:rPr>
        <w:t>《易方达上证</w:t>
      </w:r>
      <w:r>
        <w:rPr>
          <w:color w:val="000000"/>
          <w:sz w:val="24"/>
        </w:rPr>
        <w:t>50</w:t>
      </w:r>
      <w:r>
        <w:rPr>
          <w:color w:val="000000"/>
          <w:sz w:val="24"/>
        </w:rPr>
        <w:t>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 xml:space="preserve">4. </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二〇二〇年四月二十一日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8C" w:rsidRDefault="0097008C">
      <w:r>
        <w:separator/>
      </w:r>
    </w:p>
  </w:endnote>
  <w:endnote w:type="continuationSeparator" w:id="0">
    <w:p w:rsidR="0097008C" w:rsidRDefault="0097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074578">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074578">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074578">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8C" w:rsidRDefault="0097008C">
      <w:r>
        <w:separator/>
      </w:r>
    </w:p>
  </w:footnote>
  <w:footnote w:type="continuationSeparator" w:id="0">
    <w:p w:rsidR="0097008C" w:rsidRDefault="0097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易方达上证</w:t>
    </w:r>
    <w:r w:rsidRPr="00717C29">
      <w:rPr>
        <w:szCs w:val="21"/>
      </w:rPr>
      <w:t>50</w:t>
    </w:r>
    <w:r w:rsidRPr="00717C29">
      <w:rPr>
        <w:szCs w:val="21"/>
      </w:rPr>
      <w:t>指数分级证券投资基金</w:t>
    </w:r>
    <w:r w:rsidRPr="00717C29">
      <w:rPr>
        <w:szCs w:val="21"/>
      </w:rPr>
      <w:t>2020</w:t>
    </w:r>
    <w:r w:rsidRPr="00717C29">
      <w:rPr>
        <w:szCs w:val="21"/>
      </w:rPr>
      <w:t>年第</w:t>
    </w:r>
    <w:r w:rsidRPr="00717C29">
      <w:rPr>
        <w:szCs w:val="21"/>
      </w:rPr>
      <w:t>1</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25A6"/>
    <w:rsid w:val="000627CD"/>
    <w:rsid w:val="00062BCE"/>
    <w:rsid w:val="00064AE3"/>
    <w:rsid w:val="00066524"/>
    <w:rsid w:val="00070CD1"/>
    <w:rsid w:val="0007171B"/>
    <w:rsid w:val="00074578"/>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65617"/>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BE84C6C1-25D4-4F4E-89CE-978E477B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7586</Characters>
  <Application>Microsoft Office Word</Application>
  <DocSecurity>4</DocSecurity>
  <Lines>63</Lines>
  <Paragraphs>17</Paragraphs>
  <ScaleCrop>false</ScaleCrop>
  <Company>TRT. Ltd. Co.</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cp:lastPrinted>2007-07-19T00:46:00Z</cp:lastPrinted>
  <dcterms:created xsi:type="dcterms:W3CDTF">2020-04-14T01:37:00Z</dcterms:created>
  <dcterms:modified xsi:type="dcterms:W3CDTF">2020-04-14T01:37:00Z</dcterms:modified>
</cp:coreProperties>
</file>