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D8" w:rsidRPr="00272E0C" w:rsidRDefault="001C36D8" w:rsidP="00074E9F">
      <w:pPr>
        <w:autoSpaceDE w:val="0"/>
        <w:autoSpaceDN w:val="0"/>
        <w:adjustRightInd w:val="0"/>
        <w:spacing w:line="360" w:lineRule="auto"/>
        <w:jc w:val="left"/>
        <w:rPr>
          <w:rFonts w:ascii="宋体" w:cs="Arial"/>
          <w:color w:val="000000"/>
          <w:kern w:val="0"/>
          <w:sz w:val="24"/>
        </w:rPr>
      </w:pPr>
      <w:bookmarkStart w:id="0" w:name="_GoBack"/>
      <w:bookmarkEnd w:id="0"/>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074E9F">
      <w:pPr>
        <w:autoSpaceDE w:val="0"/>
        <w:autoSpaceDN w:val="0"/>
        <w:adjustRightInd w:val="0"/>
        <w:spacing w:line="360" w:lineRule="auto"/>
        <w:jc w:val="left"/>
        <w:rPr>
          <w:rFonts w:ascii="宋体" w:cs="Arial"/>
          <w:color w:val="000000"/>
          <w:kern w:val="0"/>
          <w:sz w:val="24"/>
        </w:rPr>
      </w:pP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易方达证券公司指数分级证券投资基金</w:t>
      </w:r>
    </w:p>
    <w:p w:rsidR="001C36D8" w:rsidRPr="00272E0C" w:rsidRDefault="001C36D8" w:rsidP="007951F3">
      <w:pPr>
        <w:spacing w:line="360" w:lineRule="auto"/>
        <w:jc w:val="center"/>
        <w:rPr>
          <w:rFonts w:ascii="宋体" w:hAnsi="宋体"/>
          <w:b/>
          <w:sz w:val="36"/>
          <w:szCs w:val="36"/>
        </w:rPr>
      </w:pPr>
      <w:r w:rsidRPr="00272E0C">
        <w:rPr>
          <w:rFonts w:ascii="宋体" w:hAnsi="宋体"/>
          <w:b/>
          <w:sz w:val="36"/>
          <w:szCs w:val="36"/>
        </w:rPr>
        <w:t>2020年第1季度报告</w:t>
      </w:r>
    </w:p>
    <w:p w:rsidR="001C36D8" w:rsidRPr="00717C29" w:rsidRDefault="001C36D8" w:rsidP="007951F3">
      <w:pPr>
        <w:spacing w:line="360" w:lineRule="auto"/>
        <w:jc w:val="center"/>
        <w:rPr>
          <w:rFonts w:ascii="宋体" w:hAnsi="宋体"/>
          <w:b/>
          <w:sz w:val="24"/>
          <w:szCs w:val="36"/>
        </w:rPr>
      </w:pPr>
      <w:r w:rsidRPr="00717C29">
        <w:rPr>
          <w:rFonts w:ascii="宋体" w:hAnsi="宋体"/>
          <w:b/>
          <w:sz w:val="24"/>
          <w:szCs w:val="36"/>
        </w:rPr>
        <w:t>2020年3月31日</w:t>
      </w: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jc w:val="center"/>
        <w:rPr>
          <w:rFonts w:ascii="宋体"/>
          <w:b/>
          <w:color w:val="000000"/>
          <w:sz w:val="24"/>
        </w:rPr>
      </w:pPr>
    </w:p>
    <w:p w:rsidR="001C36D8" w:rsidRPr="00272E0C" w:rsidRDefault="001C36D8" w:rsidP="00074E9F">
      <w:pPr>
        <w:spacing w:line="360" w:lineRule="auto"/>
        <w:rPr>
          <w:rFonts w:ascii="宋体"/>
          <w:b/>
          <w:color w:val="000000"/>
          <w:sz w:val="24"/>
        </w:rPr>
      </w:pP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基金管理人：</w:t>
      </w:r>
      <w:r w:rsidRPr="00272E0C">
        <w:rPr>
          <w:rFonts w:ascii="宋体" w:hAnsi="宋体"/>
          <w:b/>
          <w:color w:val="000000"/>
          <w:sz w:val="24"/>
        </w:rPr>
        <w:t>易方达基金管理有限公司</w:t>
      </w:r>
    </w:p>
    <w:p w:rsidR="001C36D8" w:rsidRPr="00272E0C" w:rsidRDefault="001C36D8" w:rsidP="0015779C">
      <w:pPr>
        <w:spacing w:line="360" w:lineRule="auto"/>
        <w:ind w:firstLineChars="900" w:firstLine="2168"/>
        <w:rPr>
          <w:rFonts w:ascii="宋体" w:hAnsi="宋体"/>
          <w:b/>
          <w:color w:val="000000"/>
          <w:sz w:val="24"/>
        </w:rPr>
      </w:pPr>
      <w:r w:rsidRPr="00272E0C">
        <w:rPr>
          <w:rFonts w:ascii="宋体" w:hAnsi="宋体" w:hint="eastAsia"/>
          <w:b/>
          <w:color w:val="000000"/>
          <w:sz w:val="24"/>
        </w:rPr>
        <w:t>基金托管人：</w:t>
      </w:r>
      <w:r w:rsidRPr="00272E0C">
        <w:rPr>
          <w:rFonts w:ascii="宋体" w:hAnsi="宋体"/>
          <w:b/>
          <w:color w:val="000000"/>
          <w:sz w:val="24"/>
        </w:rPr>
        <w:t>中国建设银行股份有限公司</w:t>
      </w:r>
    </w:p>
    <w:p w:rsidR="001C36D8" w:rsidRPr="00272E0C" w:rsidRDefault="001C36D8" w:rsidP="0015779C">
      <w:pPr>
        <w:spacing w:line="360" w:lineRule="auto"/>
        <w:ind w:firstLineChars="900" w:firstLine="2168"/>
        <w:rPr>
          <w:rFonts w:ascii="宋体" w:hAnsi="宋体"/>
          <w:b/>
          <w:color w:val="000000"/>
          <w:sz w:val="24"/>
        </w:rPr>
        <w:sectPr w:rsidR="001C36D8" w:rsidRPr="00272E0C" w:rsidSect="00230A66">
          <w:headerReference w:type="default" r:id="rId7"/>
          <w:footerReference w:type="default" r:id="rId8"/>
          <w:pgSz w:w="11926" w:h="15840"/>
          <w:pgMar w:top="1418" w:right="1418" w:bottom="851" w:left="1418" w:header="851" w:footer="992" w:gutter="0"/>
          <w:cols w:space="720"/>
          <w:noEndnote/>
        </w:sectPr>
      </w:pPr>
      <w:r w:rsidRPr="00272E0C">
        <w:rPr>
          <w:rFonts w:ascii="宋体" w:hAnsi="宋体" w:hint="eastAsia"/>
          <w:b/>
          <w:color w:val="000000"/>
          <w:sz w:val="24"/>
        </w:rPr>
        <w:t>报告送出日期：</w:t>
      </w:r>
      <w:r w:rsidRPr="00272E0C">
        <w:rPr>
          <w:rFonts w:ascii="宋体" w:hAnsi="宋体"/>
          <w:b/>
          <w:color w:val="000000"/>
          <w:sz w:val="24"/>
        </w:rPr>
        <w:t>二〇二〇年四月二十一日</w:t>
      </w:r>
    </w:p>
    <w:p w:rsidR="001C36D8" w:rsidRPr="00272E0C" w:rsidRDefault="001C36D8" w:rsidP="005C6DF3">
      <w:pPr>
        <w:pStyle w:val="1"/>
        <w:spacing w:beforeLines="100" w:before="312" w:afterLines="100" w:after="312" w:line="360" w:lineRule="auto"/>
        <w:jc w:val="center"/>
        <w:rPr>
          <w:rFonts w:ascii="宋体" w:cs="Arial"/>
          <w:b w:val="0"/>
          <w:color w:val="000000"/>
          <w:kern w:val="0"/>
          <w:sz w:val="24"/>
          <w:szCs w:val="24"/>
        </w:rPr>
      </w:pPr>
      <w:r w:rsidRPr="00272E0C">
        <w:rPr>
          <w:rFonts w:ascii="宋体" w:hAnsi="宋体" w:cs="Arial" w:hint="eastAsia"/>
          <w:color w:val="000000"/>
          <w:kern w:val="0"/>
          <w:sz w:val="24"/>
          <w:szCs w:val="24"/>
        </w:rPr>
        <w:lastRenderedPageBreak/>
        <w:t>§</w:t>
      </w:r>
      <w:r w:rsidRPr="00272E0C">
        <w:rPr>
          <w:rFonts w:ascii="宋体" w:hAnsi="宋体" w:cs="Arial"/>
          <w:color w:val="000000"/>
          <w:kern w:val="0"/>
          <w:sz w:val="24"/>
          <w:szCs w:val="24"/>
        </w:rPr>
        <w:t xml:space="preserve">1  </w:t>
      </w:r>
      <w:r w:rsidRPr="00272E0C">
        <w:rPr>
          <w:rFonts w:ascii="宋体" w:hAnsi="宋体" w:cs="Arial" w:hint="eastAsia"/>
          <w:color w:val="000000"/>
          <w:kern w:val="0"/>
          <w:sz w:val="24"/>
          <w:szCs w:val="24"/>
        </w:rPr>
        <w:t>重要提示</w:t>
      </w:r>
    </w:p>
    <w:p w:rsidR="000478A5" w:rsidRDefault="00475522">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478A5" w:rsidRDefault="00475522">
      <w:pPr>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478A5" w:rsidRDefault="00475522">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478A5" w:rsidRDefault="00475522">
      <w:pPr>
        <w:spacing w:line="360" w:lineRule="auto"/>
        <w:ind w:firstLineChars="200" w:firstLine="480"/>
        <w:rPr>
          <w:color w:val="000000"/>
          <w:sz w:val="24"/>
        </w:rPr>
      </w:pPr>
      <w:r>
        <w:rPr>
          <w:color w:val="000000"/>
          <w:sz w:val="24"/>
        </w:rPr>
        <w:t>基金的过往业绩并不代表其未来表现。投资有风险，投资者在作出</w:t>
      </w:r>
      <w:r>
        <w:rPr>
          <w:color w:val="000000"/>
          <w:sz w:val="24"/>
        </w:rPr>
        <w:t>投资决策前应仔细阅读本基金的招募说明书。</w:t>
      </w:r>
      <w:r>
        <w:rPr>
          <w:color w:val="000000"/>
          <w:sz w:val="24"/>
        </w:rPr>
        <w:t xml:space="preserve"> </w:t>
      </w:r>
    </w:p>
    <w:p w:rsidR="000478A5" w:rsidRDefault="00475522">
      <w:pPr>
        <w:spacing w:line="360" w:lineRule="auto"/>
        <w:ind w:firstLineChars="200" w:firstLine="480"/>
        <w:rPr>
          <w:color w:val="000000"/>
          <w:sz w:val="24"/>
        </w:rPr>
      </w:pPr>
      <w:r>
        <w:rPr>
          <w:color w:val="000000"/>
          <w:sz w:val="24"/>
        </w:rPr>
        <w:t>本报告中财务资料未经审计。</w:t>
      </w:r>
    </w:p>
    <w:p w:rsidR="001C36D8" w:rsidRPr="00CC0C03" w:rsidRDefault="001C36D8" w:rsidP="00CC0C03">
      <w:pPr>
        <w:spacing w:line="360" w:lineRule="auto"/>
        <w:ind w:firstLineChars="200" w:firstLine="480"/>
        <w:rPr>
          <w:color w:val="000000"/>
          <w:sz w:val="24"/>
        </w:rPr>
      </w:pPr>
      <w:r w:rsidRPr="00CC0C03">
        <w:rPr>
          <w:color w:val="000000"/>
          <w:sz w:val="24"/>
        </w:rPr>
        <w:t>本报告期自</w:t>
      </w:r>
      <w:r w:rsidRPr="00CC0C03">
        <w:rPr>
          <w:color w:val="000000"/>
          <w:sz w:val="24"/>
        </w:rPr>
        <w:t>2020</w:t>
      </w:r>
      <w:r w:rsidRPr="00CC0C03">
        <w:rPr>
          <w:color w:val="000000"/>
          <w:sz w:val="24"/>
        </w:rPr>
        <w:t>年</w:t>
      </w:r>
      <w:r w:rsidRPr="00CC0C03">
        <w:rPr>
          <w:color w:val="000000"/>
          <w:sz w:val="24"/>
        </w:rPr>
        <w:t>1</w:t>
      </w:r>
      <w:r w:rsidRPr="00CC0C03">
        <w:rPr>
          <w:color w:val="000000"/>
          <w:sz w:val="24"/>
        </w:rPr>
        <w:t>月</w:t>
      </w:r>
      <w:r w:rsidRPr="00CC0C03">
        <w:rPr>
          <w:color w:val="000000"/>
          <w:sz w:val="24"/>
        </w:rPr>
        <w:t>1</w:t>
      </w:r>
      <w:r w:rsidRPr="00CC0C03">
        <w:rPr>
          <w:color w:val="000000"/>
          <w:sz w:val="24"/>
        </w:rPr>
        <w:t>日起至</w:t>
      </w:r>
      <w:r w:rsidRPr="00CC0C03">
        <w:rPr>
          <w:color w:val="000000"/>
          <w:sz w:val="24"/>
        </w:rPr>
        <w:t>3</w:t>
      </w:r>
      <w:r w:rsidRPr="00CC0C03">
        <w:rPr>
          <w:color w:val="000000"/>
          <w:sz w:val="24"/>
        </w:rPr>
        <w:t>月</w:t>
      </w:r>
      <w:r w:rsidRPr="00CC0C03">
        <w:rPr>
          <w:color w:val="000000"/>
          <w:sz w:val="24"/>
        </w:rPr>
        <w:t>31</w:t>
      </w:r>
      <w:r w:rsidRPr="00CC0C03">
        <w:rPr>
          <w:color w:val="000000"/>
          <w:sz w:val="24"/>
        </w:rPr>
        <w:t>日止。</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2  </w:t>
      </w:r>
      <w:r w:rsidRPr="00272E0C">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1C36D8" w:rsidRPr="00272E0C" w:rsidTr="007A6BEA">
        <w:tc>
          <w:tcPr>
            <w:tcW w:w="2835" w:type="dxa"/>
          </w:tcPr>
          <w:p w:rsidR="001C36D8" w:rsidRPr="004C6E88" w:rsidRDefault="001C36D8" w:rsidP="007A6BEA">
            <w:pPr>
              <w:adjustRightInd w:val="0"/>
              <w:spacing w:before="29" w:line="360" w:lineRule="auto"/>
              <w:ind w:left="17"/>
              <w:jc w:val="left"/>
              <w:rPr>
                <w:rFonts w:eastAsiaTheme="minorEastAsia"/>
                <w:kern w:val="0"/>
                <w:sz w:val="24"/>
              </w:rPr>
            </w:pPr>
            <w:r w:rsidRPr="004C6E88">
              <w:rPr>
                <w:rFonts w:eastAsiaTheme="minorEastAsia"/>
                <w:kern w:val="0"/>
                <w:sz w:val="24"/>
              </w:rPr>
              <w:t>基金简称</w:t>
            </w:r>
          </w:p>
        </w:tc>
        <w:tc>
          <w:tcPr>
            <w:tcW w:w="5479" w:type="dxa"/>
            <w:gridSpan w:val="3"/>
          </w:tcPr>
          <w:p w:rsidR="001C36D8" w:rsidRPr="004C6E88" w:rsidRDefault="001C36D8"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易方达证券公司分级</w:t>
            </w:r>
          </w:p>
        </w:tc>
      </w:tr>
      <w:tr w:rsidR="001C36D8" w:rsidRPr="00272E0C" w:rsidTr="002A44F9">
        <w:tc>
          <w:tcPr>
            <w:tcW w:w="2835" w:type="dxa"/>
          </w:tcPr>
          <w:p w:rsidR="001C36D8" w:rsidRPr="004C6E88" w:rsidRDefault="001C36D8">
            <w:pPr>
              <w:adjustRightInd w:val="0"/>
              <w:spacing w:before="29" w:line="360" w:lineRule="auto"/>
              <w:ind w:left="17"/>
              <w:jc w:val="left"/>
              <w:rPr>
                <w:rFonts w:eastAsiaTheme="minorEastAsia"/>
                <w:kern w:val="0"/>
                <w:sz w:val="24"/>
              </w:rPr>
            </w:pPr>
            <w:r w:rsidRPr="004C6E88">
              <w:rPr>
                <w:rFonts w:eastAsiaTheme="minorEastAsia"/>
                <w:kern w:val="0"/>
                <w:sz w:val="24"/>
              </w:rPr>
              <w:t>基金主代码</w:t>
            </w:r>
          </w:p>
        </w:tc>
        <w:tc>
          <w:tcPr>
            <w:tcW w:w="5479" w:type="dxa"/>
            <w:gridSpan w:val="3"/>
          </w:tcPr>
          <w:p w:rsidR="001C36D8" w:rsidRPr="004C6E88" w:rsidRDefault="001C36D8">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502010</w:t>
            </w:r>
          </w:p>
        </w:tc>
      </w:tr>
      <w:tr w:rsidR="003A768B" w:rsidRPr="00272E0C" w:rsidTr="002A44F9">
        <w:tc>
          <w:tcPr>
            <w:tcW w:w="2835" w:type="dxa"/>
          </w:tcPr>
          <w:p w:rsidR="003A768B" w:rsidRPr="004C6E88" w:rsidRDefault="003A768B" w:rsidP="00E43B0B">
            <w:pPr>
              <w:adjustRightInd w:val="0"/>
              <w:spacing w:before="29" w:line="360" w:lineRule="auto"/>
              <w:ind w:left="17"/>
              <w:jc w:val="left"/>
              <w:rPr>
                <w:rFonts w:eastAsiaTheme="minorEastAsia"/>
                <w:kern w:val="0"/>
                <w:sz w:val="24"/>
              </w:rPr>
            </w:pPr>
            <w:r w:rsidRPr="004C6E88">
              <w:rPr>
                <w:rFonts w:eastAsiaTheme="minorEastAsia"/>
                <w:kern w:val="0"/>
                <w:sz w:val="24"/>
              </w:rPr>
              <w:t>交易代码</w:t>
            </w:r>
          </w:p>
        </w:tc>
        <w:tc>
          <w:tcPr>
            <w:tcW w:w="5479" w:type="dxa"/>
            <w:gridSpan w:val="3"/>
          </w:tcPr>
          <w:p w:rsidR="003A768B" w:rsidRPr="004C6E88" w:rsidRDefault="003A768B" w:rsidP="00E43B0B">
            <w:pPr>
              <w:adjustRightInd w:val="0"/>
              <w:spacing w:before="29" w:line="360" w:lineRule="auto"/>
              <w:ind w:left="17"/>
              <w:jc w:val="left"/>
              <w:rPr>
                <w:rFonts w:eastAsiaTheme="minorEastAsia"/>
                <w:color w:val="000000"/>
                <w:kern w:val="0"/>
                <w:sz w:val="24"/>
              </w:rPr>
            </w:pPr>
            <w:r w:rsidRPr="004C6E88">
              <w:rPr>
                <w:rFonts w:eastAsiaTheme="minorEastAsia"/>
                <w:kern w:val="0"/>
                <w:sz w:val="24"/>
              </w:rPr>
              <w:t>502010</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基金运作方式</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契约型开放式、分级基金</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基金合同生效日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kern w:val="0"/>
                <w:sz w:val="24"/>
              </w:rPr>
            </w:pPr>
            <w:r w:rsidRPr="004C6E88">
              <w:rPr>
                <w:rFonts w:eastAsiaTheme="minorEastAsia"/>
                <w:color w:val="000000"/>
                <w:kern w:val="0"/>
                <w:sz w:val="24"/>
              </w:rPr>
              <w:t>2015</w:t>
            </w:r>
            <w:r w:rsidRPr="004C6E88">
              <w:rPr>
                <w:rFonts w:eastAsiaTheme="minorEastAsia"/>
                <w:color w:val="000000"/>
                <w:kern w:val="0"/>
                <w:sz w:val="24"/>
              </w:rPr>
              <w:t>年</w:t>
            </w:r>
            <w:r w:rsidRPr="004C6E88">
              <w:rPr>
                <w:rFonts w:eastAsiaTheme="minorEastAsia"/>
                <w:color w:val="000000"/>
                <w:kern w:val="0"/>
                <w:sz w:val="24"/>
              </w:rPr>
              <w:t>7</w:t>
            </w:r>
            <w:r w:rsidRPr="004C6E88">
              <w:rPr>
                <w:rFonts w:eastAsiaTheme="minorEastAsia"/>
                <w:color w:val="000000"/>
                <w:kern w:val="0"/>
                <w:sz w:val="24"/>
              </w:rPr>
              <w:t>月</w:t>
            </w:r>
            <w:r w:rsidRPr="004C6E88">
              <w:rPr>
                <w:rFonts w:eastAsiaTheme="minorEastAsia"/>
                <w:color w:val="000000"/>
                <w:kern w:val="0"/>
                <w:sz w:val="24"/>
              </w:rPr>
              <w:t>8</w:t>
            </w:r>
            <w:r w:rsidRPr="004C6E88">
              <w:rPr>
                <w:rFonts w:eastAsiaTheme="minorEastAsia"/>
                <w:color w:val="000000"/>
                <w:kern w:val="0"/>
                <w:sz w:val="24"/>
              </w:rPr>
              <w:t>日</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报告期末基金份额总额</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673,318,443.26</w:t>
            </w:r>
            <w:r w:rsidRPr="004C6E88">
              <w:rPr>
                <w:rFonts w:eastAsiaTheme="minorEastAsia"/>
                <w:color w:val="000000"/>
                <w:kern w:val="0"/>
                <w:sz w:val="24"/>
              </w:rPr>
              <w:t>份</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投资目标</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紧密追踪业绩比较基准，追求跟踪偏离度与跟踪误差的最小化。</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投资策略</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主要采取完全复制法进行投资，即完全按照标的指数的成份股组成及权重构建基金投资组合，并根据标的指数成份股及其权重的变动进行相应调整，以达到紧密跟踪标的指数的目的。本基金力争将年化跟踪误差控制在</w:t>
            </w:r>
            <w:r w:rsidRPr="004C6E88">
              <w:rPr>
                <w:rFonts w:eastAsiaTheme="minorEastAsia"/>
                <w:color w:val="000000"/>
                <w:kern w:val="0"/>
                <w:sz w:val="24"/>
              </w:rPr>
              <w:t>4%</w:t>
            </w:r>
            <w:r w:rsidRPr="004C6E88">
              <w:rPr>
                <w:rFonts w:eastAsiaTheme="minorEastAsia"/>
                <w:color w:val="000000"/>
                <w:kern w:val="0"/>
                <w:sz w:val="24"/>
              </w:rPr>
              <w:t>以内，日跟踪偏离度</w:t>
            </w:r>
            <w:r w:rsidRPr="004C6E88">
              <w:rPr>
                <w:rFonts w:eastAsiaTheme="minorEastAsia"/>
                <w:color w:val="000000"/>
                <w:kern w:val="0"/>
                <w:sz w:val="24"/>
              </w:rPr>
              <w:lastRenderedPageBreak/>
              <w:t>绝对值的平均值控制在</w:t>
            </w:r>
            <w:r w:rsidRPr="004C6E88">
              <w:rPr>
                <w:rFonts w:eastAsiaTheme="minorEastAsia"/>
                <w:color w:val="000000"/>
                <w:kern w:val="0"/>
                <w:sz w:val="24"/>
              </w:rPr>
              <w:t>0.35%</w:t>
            </w:r>
            <w:r w:rsidRPr="004C6E88">
              <w:rPr>
                <w:rFonts w:eastAsiaTheme="minorEastAsia"/>
                <w:color w:val="000000"/>
                <w:kern w:val="0"/>
                <w:sz w:val="24"/>
              </w:rPr>
              <w:t>以内。</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lastRenderedPageBreak/>
              <w:t>业绩比较基准</w:t>
            </w:r>
          </w:p>
        </w:tc>
        <w:tc>
          <w:tcPr>
            <w:tcW w:w="5479" w:type="dxa"/>
            <w:gridSpan w:val="3"/>
          </w:tcPr>
          <w:p w:rsidR="003A768B" w:rsidRPr="004C6E88" w:rsidRDefault="003A768B" w:rsidP="00CD0AAD">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95%×</w:t>
            </w:r>
            <w:r w:rsidRPr="004C6E88">
              <w:rPr>
                <w:rFonts w:eastAsiaTheme="minorEastAsia"/>
                <w:color w:val="000000"/>
                <w:kern w:val="0"/>
                <w:sz w:val="24"/>
              </w:rPr>
              <w:t>中证全指证券公司指数收益率＋</w:t>
            </w:r>
            <w:r w:rsidRPr="004C6E88">
              <w:rPr>
                <w:rFonts w:eastAsiaTheme="minorEastAsia"/>
                <w:color w:val="000000"/>
                <w:kern w:val="0"/>
                <w:sz w:val="24"/>
              </w:rPr>
              <w:t>5%×</w:t>
            </w:r>
            <w:r w:rsidRPr="004C6E88">
              <w:rPr>
                <w:rFonts w:eastAsiaTheme="minorEastAsia"/>
                <w:color w:val="000000"/>
                <w:kern w:val="0"/>
                <w:sz w:val="24"/>
              </w:rPr>
              <w:t>同期银行活期存款利率（税后）</w:t>
            </w:r>
          </w:p>
        </w:tc>
      </w:tr>
      <w:tr w:rsidR="003A768B" w:rsidRPr="00272E0C" w:rsidTr="00A008DA">
        <w:tc>
          <w:tcPr>
            <w:tcW w:w="2835" w:type="dxa"/>
          </w:tcPr>
          <w:p w:rsidR="003A768B" w:rsidRPr="004C6E88" w:rsidRDefault="003A768B" w:rsidP="00A008DA">
            <w:pPr>
              <w:adjustRightInd w:val="0"/>
              <w:spacing w:before="29" w:line="360" w:lineRule="auto"/>
              <w:ind w:left="17"/>
              <w:jc w:val="left"/>
              <w:rPr>
                <w:rFonts w:eastAsiaTheme="minorEastAsia"/>
                <w:sz w:val="24"/>
              </w:rPr>
            </w:pPr>
            <w:r w:rsidRPr="004C6E88">
              <w:rPr>
                <w:rFonts w:eastAsiaTheme="minorEastAsia"/>
                <w:kern w:val="0"/>
                <w:sz w:val="24"/>
              </w:rPr>
              <w:t>风险收益特征</w:t>
            </w:r>
          </w:p>
        </w:tc>
        <w:tc>
          <w:tcPr>
            <w:tcW w:w="5479" w:type="dxa"/>
            <w:gridSpan w:val="3"/>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本基金为股票型基金，主要采用完全复制策略跟踪标的指数的表现，其风险收益特征与标的指数相似。长期而言，其风险收益水平高于混合型基金、债券型基金和货币市场基金；</w:t>
            </w:r>
            <w:r w:rsidRPr="004C6E88">
              <w:rPr>
                <w:rFonts w:eastAsiaTheme="minorEastAsia"/>
                <w:color w:val="000000"/>
                <w:kern w:val="0"/>
                <w:sz w:val="24"/>
              </w:rPr>
              <w:t>A</w:t>
            </w:r>
            <w:r w:rsidRPr="004C6E88">
              <w:rPr>
                <w:rFonts w:eastAsiaTheme="minorEastAsia"/>
                <w:color w:val="000000"/>
                <w:kern w:val="0"/>
                <w:sz w:val="24"/>
              </w:rPr>
              <w:t>类份额具有预期风险、收益较低的特征；</w:t>
            </w:r>
            <w:r w:rsidRPr="004C6E88">
              <w:rPr>
                <w:rFonts w:eastAsiaTheme="minorEastAsia"/>
                <w:color w:val="000000"/>
                <w:kern w:val="0"/>
                <w:sz w:val="24"/>
              </w:rPr>
              <w:t>B</w:t>
            </w:r>
            <w:r w:rsidRPr="004C6E88">
              <w:rPr>
                <w:rFonts w:eastAsiaTheme="minorEastAsia"/>
                <w:color w:val="000000"/>
                <w:kern w:val="0"/>
                <w:sz w:val="24"/>
              </w:rPr>
              <w:t>类份额具有预期风险、收益较高的特征。</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基金管理人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易方达基金管理有限公司</w:t>
            </w:r>
          </w:p>
        </w:tc>
      </w:tr>
      <w:tr w:rsidR="003A768B" w:rsidRPr="00272E0C" w:rsidTr="007A6BEA">
        <w:tc>
          <w:tcPr>
            <w:tcW w:w="2835" w:type="dxa"/>
          </w:tcPr>
          <w:p w:rsidR="003A768B" w:rsidRPr="004C6E88" w:rsidRDefault="003A768B" w:rsidP="007A6BEA">
            <w:pPr>
              <w:adjustRightInd w:val="0"/>
              <w:spacing w:before="29" w:line="360" w:lineRule="auto"/>
              <w:ind w:left="17"/>
              <w:jc w:val="left"/>
              <w:rPr>
                <w:rFonts w:eastAsiaTheme="minorEastAsia"/>
                <w:sz w:val="24"/>
              </w:rPr>
            </w:pPr>
            <w:r w:rsidRPr="004C6E88">
              <w:rPr>
                <w:rFonts w:eastAsiaTheme="minorEastAsia"/>
                <w:kern w:val="0"/>
                <w:sz w:val="24"/>
              </w:rPr>
              <w:t>基金托管人</w:t>
            </w:r>
          </w:p>
        </w:tc>
        <w:tc>
          <w:tcPr>
            <w:tcW w:w="5479" w:type="dxa"/>
            <w:gridSpan w:val="3"/>
          </w:tcPr>
          <w:p w:rsidR="003A768B" w:rsidRPr="004C6E88" w:rsidRDefault="003A768B" w:rsidP="007A6BE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中国建设银行股份有限公司</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kern w:val="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级基金的基金简称</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易方达证券公司分级</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易方达证券公司分级</w:t>
            </w:r>
            <w:r w:rsidRPr="004C6E88">
              <w:rPr>
                <w:rFonts w:eastAsiaTheme="minorEastAsia"/>
                <w:sz w:val="24"/>
              </w:rPr>
              <w:t>A</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易方达证券公司分级</w:t>
            </w:r>
            <w:r w:rsidRPr="004C6E88">
              <w:rPr>
                <w:rFonts w:eastAsiaTheme="minorEastAsia"/>
                <w:sz w:val="24"/>
              </w:rPr>
              <w:t>B</w:t>
            </w:r>
          </w:p>
        </w:tc>
      </w:tr>
      <w:tr w:rsidR="002C2DE0" w:rsidRPr="00272E0C" w:rsidTr="00EB3E72">
        <w:tc>
          <w:tcPr>
            <w:tcW w:w="2835" w:type="dxa"/>
          </w:tcPr>
          <w:p w:rsidR="002C2DE0" w:rsidRPr="004C6E88" w:rsidRDefault="002C2DE0"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003168E2">
              <w:rPr>
                <w:rFonts w:eastAsiaTheme="minorEastAsia"/>
                <w:color w:val="000000"/>
                <w:sz w:val="24"/>
              </w:rPr>
              <w:t>级基金</w:t>
            </w:r>
            <w:r w:rsidRPr="004C6E88">
              <w:rPr>
                <w:rFonts w:eastAsiaTheme="minorEastAsia"/>
                <w:color w:val="000000"/>
                <w:sz w:val="24"/>
              </w:rPr>
              <w:t>场内简称</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证券分级</w:t>
            </w:r>
          </w:p>
        </w:tc>
        <w:tc>
          <w:tcPr>
            <w:tcW w:w="1826"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证券</w:t>
            </w:r>
            <w:r w:rsidRPr="004C6E88">
              <w:rPr>
                <w:rFonts w:eastAsiaTheme="minorEastAsia"/>
                <w:sz w:val="24"/>
              </w:rPr>
              <w:t>A</w:t>
            </w:r>
          </w:p>
        </w:tc>
        <w:tc>
          <w:tcPr>
            <w:tcW w:w="1827" w:type="dxa"/>
            <w:vAlign w:val="center"/>
          </w:tcPr>
          <w:p w:rsidR="002C2DE0" w:rsidRPr="004C6E88" w:rsidRDefault="002C2DE0" w:rsidP="00E43B0B">
            <w:pPr>
              <w:rPr>
                <w:rFonts w:eastAsiaTheme="minorEastAsia"/>
                <w:color w:val="000000"/>
                <w:kern w:val="0"/>
                <w:sz w:val="24"/>
              </w:rPr>
            </w:pPr>
            <w:r w:rsidRPr="004C6E88">
              <w:rPr>
                <w:rFonts w:eastAsiaTheme="minorEastAsia"/>
                <w:sz w:val="24"/>
              </w:rPr>
              <w:t>证券</w:t>
            </w:r>
            <w:r w:rsidRPr="004C6E88">
              <w:rPr>
                <w:rFonts w:eastAsiaTheme="minorEastAsia"/>
                <w:sz w:val="24"/>
              </w:rPr>
              <w:t>B</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下属</w:t>
            </w:r>
            <w:r w:rsidR="004C6E88" w:rsidRPr="004C6E88">
              <w:rPr>
                <w:rFonts w:eastAsiaTheme="minorEastAsia"/>
                <w:color w:val="000000"/>
                <w:sz w:val="24"/>
              </w:rPr>
              <w:t>分</w:t>
            </w:r>
            <w:r w:rsidRPr="004C6E88">
              <w:rPr>
                <w:rFonts w:eastAsiaTheme="minorEastAsia"/>
                <w:color w:val="000000"/>
                <w:sz w:val="24"/>
              </w:rPr>
              <w:t>级基金的交易代码</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502010</w:t>
            </w:r>
          </w:p>
        </w:tc>
        <w:tc>
          <w:tcPr>
            <w:tcW w:w="1826" w:type="dxa"/>
            <w:vAlign w:val="center"/>
          </w:tcPr>
          <w:p w:rsidR="003A768B" w:rsidRPr="004C6E88" w:rsidRDefault="003A768B" w:rsidP="007A6BEA">
            <w:pPr>
              <w:jc w:val="left"/>
              <w:rPr>
                <w:rFonts w:eastAsiaTheme="minorEastAsia"/>
                <w:sz w:val="24"/>
              </w:rPr>
            </w:pPr>
            <w:r w:rsidRPr="004C6E88">
              <w:rPr>
                <w:rFonts w:eastAsiaTheme="minorEastAsia"/>
                <w:sz w:val="24"/>
              </w:rPr>
              <w:t>502011</w:t>
            </w:r>
          </w:p>
        </w:tc>
        <w:tc>
          <w:tcPr>
            <w:tcW w:w="1827" w:type="dxa"/>
            <w:vAlign w:val="center"/>
          </w:tcPr>
          <w:p w:rsidR="003A768B" w:rsidRPr="004C6E88" w:rsidRDefault="003A768B" w:rsidP="007A6BEA">
            <w:pPr>
              <w:jc w:val="left"/>
              <w:rPr>
                <w:rFonts w:eastAsiaTheme="minorEastAsia"/>
                <w:sz w:val="24"/>
              </w:rPr>
            </w:pPr>
            <w:r w:rsidRPr="004C6E88">
              <w:rPr>
                <w:rFonts w:eastAsiaTheme="minorEastAsia"/>
                <w:sz w:val="24"/>
              </w:rPr>
              <w:t>502012</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color w:val="000000"/>
                <w:sz w:val="24"/>
              </w:rPr>
            </w:pPr>
            <w:r w:rsidRPr="004C6E88">
              <w:rPr>
                <w:rFonts w:eastAsiaTheme="minorEastAsia"/>
                <w:color w:val="000000"/>
                <w:sz w:val="24"/>
              </w:rPr>
              <w:t>报告期末下属</w:t>
            </w:r>
            <w:r w:rsidR="004C6E88" w:rsidRPr="004C6E88">
              <w:rPr>
                <w:rFonts w:eastAsiaTheme="minorEastAsia"/>
                <w:color w:val="000000"/>
                <w:sz w:val="24"/>
              </w:rPr>
              <w:t>分</w:t>
            </w:r>
            <w:r w:rsidRPr="004C6E88">
              <w:rPr>
                <w:rFonts w:eastAsiaTheme="minorEastAsia"/>
                <w:color w:val="000000"/>
                <w:sz w:val="24"/>
              </w:rPr>
              <w:t>级基金的份额总额</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425,071,109.26</w:t>
            </w:r>
            <w:r w:rsidRPr="004C6E88">
              <w:rPr>
                <w:rFonts w:eastAsiaTheme="minorEastAsia"/>
                <w:color w:val="000000"/>
                <w:kern w:val="0"/>
                <w:sz w:val="24"/>
              </w:rPr>
              <w:t>份</w:t>
            </w:r>
          </w:p>
        </w:tc>
        <w:tc>
          <w:tcPr>
            <w:tcW w:w="1826" w:type="dxa"/>
            <w:vAlign w:val="center"/>
          </w:tcPr>
          <w:p w:rsidR="003A768B" w:rsidRPr="004C6E88" w:rsidRDefault="003A768B" w:rsidP="00057DD3">
            <w:pPr>
              <w:jc w:val="left"/>
              <w:rPr>
                <w:rFonts w:eastAsiaTheme="minorEastAsia"/>
                <w:sz w:val="24"/>
              </w:rPr>
            </w:pPr>
            <w:r w:rsidRPr="004C6E88">
              <w:rPr>
                <w:rFonts w:eastAsiaTheme="minorEastAsia"/>
                <w:sz w:val="24"/>
              </w:rPr>
              <w:t>124,123,667.00</w:t>
            </w:r>
            <w:r w:rsidRPr="004C6E88">
              <w:rPr>
                <w:rFonts w:eastAsiaTheme="minorEastAsia"/>
                <w:color w:val="000000"/>
                <w:kern w:val="0"/>
                <w:sz w:val="24"/>
              </w:rPr>
              <w:t>份</w:t>
            </w:r>
          </w:p>
        </w:tc>
        <w:tc>
          <w:tcPr>
            <w:tcW w:w="1827" w:type="dxa"/>
            <w:vAlign w:val="center"/>
          </w:tcPr>
          <w:p w:rsidR="003A768B" w:rsidRPr="004C6E88" w:rsidRDefault="003A768B" w:rsidP="00057DD3">
            <w:pPr>
              <w:jc w:val="left"/>
              <w:rPr>
                <w:rFonts w:eastAsiaTheme="minorEastAsia"/>
                <w:sz w:val="24"/>
              </w:rPr>
            </w:pPr>
            <w:r w:rsidRPr="004C6E88">
              <w:rPr>
                <w:rFonts w:eastAsiaTheme="minorEastAsia"/>
                <w:sz w:val="24"/>
              </w:rPr>
              <w:t>124,123,667.00</w:t>
            </w:r>
            <w:r w:rsidRPr="004C6E88">
              <w:rPr>
                <w:rFonts w:eastAsiaTheme="minorEastAsia"/>
                <w:color w:val="000000"/>
                <w:kern w:val="0"/>
                <w:sz w:val="24"/>
              </w:rPr>
              <w:t>份</w:t>
            </w:r>
          </w:p>
        </w:tc>
      </w:tr>
      <w:tr w:rsidR="003A768B" w:rsidRPr="00272E0C" w:rsidTr="00EB3E72">
        <w:tc>
          <w:tcPr>
            <w:tcW w:w="2835" w:type="dxa"/>
          </w:tcPr>
          <w:p w:rsidR="003A768B" w:rsidRPr="004C6E88" w:rsidRDefault="003A768B" w:rsidP="004C6E88">
            <w:pPr>
              <w:adjustRightInd w:val="0"/>
              <w:spacing w:before="29" w:line="360" w:lineRule="auto"/>
              <w:ind w:left="17"/>
              <w:jc w:val="left"/>
              <w:rPr>
                <w:rFonts w:eastAsiaTheme="minorEastAsia"/>
                <w:sz w:val="24"/>
              </w:rPr>
            </w:pPr>
            <w:r w:rsidRPr="004C6E88">
              <w:rPr>
                <w:rFonts w:eastAsiaTheme="minorEastAsia"/>
                <w:color w:val="000000"/>
                <w:kern w:val="0"/>
                <w:sz w:val="24"/>
              </w:rPr>
              <w:t>下属</w:t>
            </w:r>
            <w:r w:rsidR="004C6E88" w:rsidRPr="004C6E88">
              <w:rPr>
                <w:rFonts w:eastAsiaTheme="minorEastAsia"/>
                <w:color w:val="000000"/>
                <w:kern w:val="0"/>
                <w:sz w:val="24"/>
              </w:rPr>
              <w:t>分</w:t>
            </w:r>
            <w:r w:rsidRPr="004C6E88">
              <w:rPr>
                <w:rFonts w:eastAsiaTheme="minorEastAsia"/>
                <w:color w:val="000000"/>
                <w:kern w:val="0"/>
                <w:sz w:val="24"/>
              </w:rPr>
              <w:t>级基金的</w:t>
            </w:r>
            <w:r w:rsidRPr="004C6E88">
              <w:rPr>
                <w:rFonts w:eastAsiaTheme="minorEastAsia"/>
                <w:kern w:val="0"/>
                <w:sz w:val="24"/>
              </w:rPr>
              <w:t>风险收益特征</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基础份额为股票型基金，其风险收益水平高于混合型基金、债券型基金和货币市场基金。</w:t>
            </w:r>
          </w:p>
        </w:tc>
        <w:tc>
          <w:tcPr>
            <w:tcW w:w="1826"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与基础份额相比，</w:t>
            </w:r>
            <w:r w:rsidRPr="004C6E88">
              <w:rPr>
                <w:rFonts w:eastAsiaTheme="minorEastAsia"/>
                <w:color w:val="000000"/>
                <w:kern w:val="0"/>
                <w:sz w:val="24"/>
              </w:rPr>
              <w:t>A</w:t>
            </w:r>
            <w:r w:rsidRPr="004C6E88">
              <w:rPr>
                <w:rFonts w:eastAsiaTheme="minorEastAsia"/>
                <w:color w:val="000000"/>
                <w:kern w:val="0"/>
                <w:sz w:val="24"/>
              </w:rPr>
              <w:t>类份额的预期收益和预期风险低于基础份额。</w:t>
            </w:r>
          </w:p>
        </w:tc>
        <w:tc>
          <w:tcPr>
            <w:tcW w:w="1827" w:type="dxa"/>
          </w:tcPr>
          <w:p w:rsidR="003A768B" w:rsidRPr="004C6E88" w:rsidRDefault="003A768B" w:rsidP="00A008DA">
            <w:pPr>
              <w:adjustRightInd w:val="0"/>
              <w:spacing w:before="29" w:line="360" w:lineRule="auto"/>
              <w:ind w:left="17"/>
              <w:jc w:val="left"/>
              <w:rPr>
                <w:rFonts w:eastAsiaTheme="minorEastAsia"/>
                <w:color w:val="000000"/>
                <w:sz w:val="24"/>
              </w:rPr>
            </w:pPr>
            <w:r w:rsidRPr="004C6E88">
              <w:rPr>
                <w:rFonts w:eastAsiaTheme="minorEastAsia"/>
                <w:color w:val="000000"/>
                <w:kern w:val="0"/>
                <w:sz w:val="24"/>
              </w:rPr>
              <w:t>与基础份额相比，</w:t>
            </w:r>
            <w:r w:rsidRPr="004C6E88">
              <w:rPr>
                <w:rFonts w:eastAsiaTheme="minorEastAsia"/>
                <w:color w:val="000000"/>
                <w:kern w:val="0"/>
                <w:sz w:val="24"/>
              </w:rPr>
              <w:t>B</w:t>
            </w:r>
            <w:r w:rsidRPr="004C6E88">
              <w:rPr>
                <w:rFonts w:eastAsiaTheme="minorEastAsia"/>
                <w:color w:val="000000"/>
                <w:kern w:val="0"/>
                <w:sz w:val="24"/>
              </w:rPr>
              <w:t>类份额的预期收益和预期风险高于基础份额。</w:t>
            </w:r>
          </w:p>
        </w:tc>
      </w:tr>
    </w:tbl>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3  </w:t>
      </w:r>
      <w:r w:rsidRPr="00272E0C">
        <w:rPr>
          <w:rFonts w:ascii="宋体" w:hAnsi="宋体" w:cs="Arial" w:hint="eastAsia"/>
          <w:color w:val="000000"/>
          <w:kern w:val="0"/>
          <w:sz w:val="24"/>
          <w:szCs w:val="24"/>
        </w:rPr>
        <w:t>主要财务指标和基金净值表现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3.1 </w:t>
      </w:r>
      <w:r w:rsidRPr="00272E0C">
        <w:rPr>
          <w:rFonts w:ascii="宋体" w:hAnsi="宋体" w:cs="Arial" w:hint="eastAsia"/>
          <w:b/>
          <w:color w:val="000000"/>
          <w:kern w:val="0"/>
          <w:sz w:val="24"/>
        </w:rPr>
        <w:t>主要财务指标</w:t>
      </w:r>
    </w:p>
    <w:p w:rsidR="0008378B" w:rsidRPr="006506EF" w:rsidRDefault="0008378B" w:rsidP="0008378B">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08378B" w:rsidRPr="006506EF" w:rsidTr="005D3A22">
        <w:tc>
          <w:tcPr>
            <w:tcW w:w="3402" w:type="dxa"/>
            <w:vAlign w:val="center"/>
          </w:tcPr>
          <w:p w:rsidR="0008378B" w:rsidRPr="006506EF" w:rsidRDefault="0008378B" w:rsidP="005D3A22">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报告期</w:t>
            </w:r>
          </w:p>
          <w:p w:rsidR="0008378B" w:rsidRPr="006506EF" w:rsidRDefault="0008378B" w:rsidP="005D3A22">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08378B" w:rsidRPr="006506EF" w:rsidRDefault="0008378B" w:rsidP="005D3A22">
            <w:pPr>
              <w:adjustRightInd w:val="0"/>
              <w:spacing w:before="29" w:line="360" w:lineRule="auto"/>
              <w:ind w:left="17"/>
              <w:jc w:val="center"/>
              <w:rPr>
                <w:color w:val="000000"/>
                <w:sz w:val="24"/>
              </w:rPr>
            </w:pPr>
            <w:r w:rsidRPr="006506EF">
              <w:rPr>
                <w:color w:val="000000"/>
                <w:sz w:val="24"/>
              </w:rPr>
              <w:t>上期金额</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13,572,683.14</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-71,695,362.95</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-0.1033</w:t>
            </w:r>
          </w:p>
        </w:tc>
        <w:tc>
          <w:tcPr>
            <w:tcW w:w="2410" w:type="dxa"/>
            <w:hMerge/>
            <w:vAlign w:val="bottom"/>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678,122,759.47</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r w:rsidR="0008378B" w:rsidRPr="006506EF" w:rsidTr="005D3A22">
        <w:trPr>
          <w:trHeight w:val="158"/>
        </w:trPr>
        <w:tc>
          <w:tcPr>
            <w:tcW w:w="3402" w:type="dxa"/>
          </w:tcPr>
          <w:p w:rsidR="0008378B" w:rsidRPr="006506EF" w:rsidRDefault="0008378B" w:rsidP="005D3A22">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1.0071</w:t>
            </w:r>
          </w:p>
        </w:tc>
        <w:tc>
          <w:tcPr>
            <w:tcW w:w="2410" w:type="dxa"/>
            <w:hMerge/>
          </w:tcPr>
          <w:p w:rsidR="0008378B" w:rsidRPr="006506EF" w:rsidRDefault="0008378B" w:rsidP="005D3A22">
            <w:pPr>
              <w:adjustRightInd w:val="0"/>
              <w:spacing w:before="29" w:line="360" w:lineRule="auto"/>
              <w:ind w:left="17"/>
              <w:jc w:val="right"/>
              <w:rPr>
                <w:color w:val="000000"/>
                <w:sz w:val="24"/>
              </w:rPr>
            </w:pPr>
            <w:r w:rsidRPr="006506EF">
              <w:rPr>
                <w:color w:val="000000"/>
                <w:sz w:val="24"/>
              </w:rPr>
              <w:t>-</w:t>
            </w:r>
          </w:p>
        </w:tc>
      </w:tr>
    </w:tbl>
    <w:p w:rsidR="000478A5" w:rsidRDefault="00475522">
      <w:pPr>
        <w:spacing w:line="360" w:lineRule="auto"/>
        <w:ind w:firstLineChars="200" w:firstLine="480"/>
        <w:rPr>
          <w:color w:val="000000"/>
          <w:sz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1C36D8" w:rsidRPr="00E43B0B" w:rsidRDefault="0008378B" w:rsidP="00E43B0B">
      <w:pPr>
        <w:spacing w:line="360" w:lineRule="auto"/>
        <w:ind w:firstLineChars="200" w:firstLine="480"/>
        <w:rPr>
          <w:color w:val="000000"/>
          <w:sz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3.2 </w:t>
      </w:r>
      <w:r w:rsidRPr="00272E0C">
        <w:rPr>
          <w:rFonts w:ascii="宋体" w:hAnsi="宋体" w:cs="Arial" w:hint="eastAsia"/>
          <w:b/>
          <w:color w:val="000000"/>
          <w:kern w:val="0"/>
          <w:sz w:val="24"/>
        </w:rPr>
        <w:t>基金净值表现</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3.2.1</w:t>
        </w:r>
      </w:smartTag>
      <w:r w:rsidRPr="00272E0C">
        <w:rPr>
          <w:rFonts w:ascii="宋体" w:hAnsi="宋体" w:cs="Arial" w:hint="eastAsia"/>
          <w:b/>
          <w:color w:val="000000"/>
          <w:kern w:val="0"/>
          <w:sz w:val="24"/>
        </w:rPr>
        <w:t>本报告期基金份额净值增长率及其与同期业绩比较基准收益率的比较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5"/>
        <w:gridCol w:w="1216"/>
        <w:gridCol w:w="1216"/>
        <w:gridCol w:w="1216"/>
        <w:gridCol w:w="1216"/>
        <w:gridCol w:w="1217"/>
        <w:gridCol w:w="1217"/>
      </w:tblGrid>
      <w:tr w:rsidR="001C36D8" w:rsidRPr="00272E0C" w:rsidTr="001A09F9">
        <w:tc>
          <w:tcPr>
            <w:tcW w:w="1215"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阶段</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w:t>
            </w:r>
            <w:r w:rsidRPr="00E43B0B">
              <w:rPr>
                <w:rFonts w:ascii="宋体" w:hAnsi="宋体" w:cs="宋体" w:hint="eastAsia"/>
                <w:color w:val="000000"/>
                <w:sz w:val="24"/>
              </w:rPr>
              <w:t>①</w:t>
            </w:r>
          </w:p>
        </w:tc>
        <w:tc>
          <w:tcPr>
            <w:tcW w:w="1216" w:type="dxa"/>
            <w:vAlign w:val="center"/>
          </w:tcPr>
          <w:p w:rsidR="001C36D8" w:rsidRPr="00E43B0B" w:rsidRDefault="001C36D8" w:rsidP="001A09F9">
            <w:pPr>
              <w:snapToGrid w:val="0"/>
              <w:spacing w:line="288" w:lineRule="auto"/>
              <w:jc w:val="center"/>
              <w:rPr>
                <w:color w:val="000000"/>
                <w:sz w:val="24"/>
                <w:highlight w:val="green"/>
              </w:rPr>
            </w:pPr>
            <w:r w:rsidRPr="00E43B0B">
              <w:rPr>
                <w:color w:val="000000"/>
                <w:sz w:val="24"/>
              </w:rPr>
              <w:t>净值增长率标准差</w:t>
            </w:r>
            <w:r w:rsidRPr="00E43B0B">
              <w:rPr>
                <w:rFonts w:ascii="宋体" w:hAnsi="宋体" w:cs="宋体" w:hint="eastAsia"/>
                <w:color w:val="000000"/>
                <w:sz w:val="24"/>
              </w:rPr>
              <w:t>②</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w:t>
            </w:r>
            <w:r w:rsidRPr="00E43B0B">
              <w:rPr>
                <w:rFonts w:ascii="宋体" w:hAnsi="宋体" w:cs="宋体" w:hint="eastAsia"/>
                <w:color w:val="000000"/>
                <w:sz w:val="24"/>
              </w:rPr>
              <w:t>③</w:t>
            </w:r>
          </w:p>
        </w:tc>
        <w:tc>
          <w:tcPr>
            <w:tcW w:w="1216" w:type="dxa"/>
            <w:vAlign w:val="center"/>
          </w:tcPr>
          <w:p w:rsidR="001C36D8" w:rsidRPr="00E43B0B" w:rsidRDefault="001C36D8" w:rsidP="001A09F9">
            <w:pPr>
              <w:snapToGrid w:val="0"/>
              <w:spacing w:line="288" w:lineRule="auto"/>
              <w:jc w:val="center"/>
              <w:rPr>
                <w:color w:val="000000"/>
                <w:sz w:val="24"/>
              </w:rPr>
            </w:pPr>
            <w:r w:rsidRPr="00E43B0B">
              <w:rPr>
                <w:color w:val="000000"/>
                <w:sz w:val="24"/>
              </w:rPr>
              <w:t>业绩比较基准收益率标准差</w:t>
            </w:r>
            <w:r w:rsidRPr="00E43B0B">
              <w:rPr>
                <w:rFonts w:ascii="宋体" w:hAnsi="宋体" w:cs="宋体" w:hint="eastAsia"/>
                <w:color w:val="000000"/>
                <w:sz w:val="24"/>
              </w:rPr>
              <w:t>④</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①</w:t>
            </w:r>
            <w:r w:rsidRPr="00E43B0B">
              <w:rPr>
                <w:color w:val="000000"/>
                <w:sz w:val="24"/>
              </w:rPr>
              <w:t>－</w:t>
            </w:r>
            <w:r w:rsidRPr="00E43B0B">
              <w:rPr>
                <w:rFonts w:ascii="宋体" w:hAnsi="宋体" w:cs="宋体" w:hint="eastAsia"/>
                <w:color w:val="000000"/>
                <w:sz w:val="24"/>
              </w:rPr>
              <w:t>③</w:t>
            </w:r>
          </w:p>
        </w:tc>
        <w:tc>
          <w:tcPr>
            <w:tcW w:w="1217" w:type="dxa"/>
            <w:vAlign w:val="center"/>
          </w:tcPr>
          <w:p w:rsidR="001C36D8" w:rsidRPr="00E43B0B" w:rsidRDefault="001C36D8" w:rsidP="001A09F9">
            <w:pPr>
              <w:snapToGrid w:val="0"/>
              <w:spacing w:line="288" w:lineRule="auto"/>
              <w:jc w:val="center"/>
              <w:rPr>
                <w:color w:val="000000"/>
                <w:sz w:val="24"/>
              </w:rPr>
            </w:pPr>
            <w:r w:rsidRPr="00E43B0B">
              <w:rPr>
                <w:rFonts w:ascii="宋体" w:hAnsi="宋体" w:cs="宋体" w:hint="eastAsia"/>
                <w:color w:val="000000"/>
                <w:sz w:val="24"/>
              </w:rPr>
              <w:t>②</w:t>
            </w:r>
            <w:r w:rsidRPr="00E43B0B">
              <w:rPr>
                <w:color w:val="000000"/>
                <w:sz w:val="24"/>
              </w:rPr>
              <w:t>－</w:t>
            </w:r>
            <w:r w:rsidRPr="00E43B0B">
              <w:rPr>
                <w:rFonts w:ascii="宋体" w:hAnsi="宋体" w:cs="宋体" w:hint="eastAsia"/>
                <w:color w:val="000000"/>
                <w:sz w:val="24"/>
              </w:rPr>
              <w:t>④</w:t>
            </w:r>
          </w:p>
        </w:tc>
      </w:tr>
      <w:tr w:rsidR="000478A5">
        <w:tc>
          <w:tcPr>
            <w:tcW w:w="0" w:type="auto"/>
            <w:vAlign w:val="center"/>
          </w:tcPr>
          <w:p w:rsidR="000478A5" w:rsidRDefault="00475522">
            <w:pPr>
              <w:jc w:val="left"/>
            </w:pPr>
            <w:r>
              <w:rPr>
                <w:color w:val="000000"/>
                <w:sz w:val="24"/>
              </w:rPr>
              <w:t>过去三个月</w:t>
            </w:r>
          </w:p>
        </w:tc>
        <w:tc>
          <w:tcPr>
            <w:tcW w:w="0" w:type="auto"/>
            <w:vAlign w:val="center"/>
          </w:tcPr>
          <w:p w:rsidR="000478A5" w:rsidRDefault="00475522">
            <w:pPr>
              <w:jc w:val="center"/>
            </w:pPr>
            <w:r>
              <w:rPr>
                <w:color w:val="000000"/>
                <w:sz w:val="24"/>
              </w:rPr>
              <w:t>-9.30%</w:t>
            </w:r>
          </w:p>
        </w:tc>
        <w:tc>
          <w:tcPr>
            <w:tcW w:w="0" w:type="auto"/>
            <w:vAlign w:val="center"/>
          </w:tcPr>
          <w:p w:rsidR="000478A5" w:rsidRDefault="00475522">
            <w:pPr>
              <w:jc w:val="center"/>
            </w:pPr>
            <w:r>
              <w:rPr>
                <w:color w:val="000000"/>
                <w:sz w:val="24"/>
              </w:rPr>
              <w:t>2.59%</w:t>
            </w:r>
          </w:p>
        </w:tc>
        <w:tc>
          <w:tcPr>
            <w:tcW w:w="0" w:type="auto"/>
            <w:vAlign w:val="center"/>
          </w:tcPr>
          <w:p w:rsidR="000478A5" w:rsidRDefault="00475522">
            <w:pPr>
              <w:jc w:val="center"/>
            </w:pPr>
            <w:r>
              <w:rPr>
                <w:color w:val="000000"/>
                <w:sz w:val="24"/>
              </w:rPr>
              <w:t>-10.49%</w:t>
            </w:r>
          </w:p>
        </w:tc>
        <w:tc>
          <w:tcPr>
            <w:tcW w:w="0" w:type="auto"/>
            <w:vAlign w:val="center"/>
          </w:tcPr>
          <w:p w:rsidR="000478A5" w:rsidRDefault="00475522">
            <w:pPr>
              <w:jc w:val="center"/>
            </w:pPr>
            <w:r>
              <w:rPr>
                <w:color w:val="000000"/>
                <w:sz w:val="24"/>
              </w:rPr>
              <w:t>2.61%</w:t>
            </w:r>
          </w:p>
        </w:tc>
        <w:tc>
          <w:tcPr>
            <w:tcW w:w="0" w:type="auto"/>
            <w:vAlign w:val="center"/>
          </w:tcPr>
          <w:p w:rsidR="000478A5" w:rsidRDefault="00475522">
            <w:pPr>
              <w:jc w:val="center"/>
            </w:pPr>
            <w:r>
              <w:rPr>
                <w:color w:val="000000"/>
                <w:sz w:val="24"/>
              </w:rPr>
              <w:t>1.19%</w:t>
            </w:r>
          </w:p>
        </w:tc>
        <w:tc>
          <w:tcPr>
            <w:tcW w:w="0" w:type="auto"/>
            <w:vAlign w:val="center"/>
          </w:tcPr>
          <w:p w:rsidR="000478A5" w:rsidRDefault="00475522">
            <w:pPr>
              <w:jc w:val="center"/>
            </w:pPr>
            <w:r>
              <w:rPr>
                <w:color w:val="000000"/>
                <w:sz w:val="24"/>
              </w:rPr>
              <w:t>-0.02%</w:t>
            </w:r>
          </w:p>
        </w:tc>
      </w:tr>
    </w:tbl>
    <w:p w:rsidR="001C36D8" w:rsidRPr="00272E0C" w:rsidRDefault="001C36D8" w:rsidP="003A4DA3">
      <w:pPr>
        <w:spacing w:line="360" w:lineRule="auto"/>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cs="Arial"/>
            <w:b/>
            <w:color w:val="000000"/>
            <w:kern w:val="0"/>
            <w:sz w:val="24"/>
          </w:rPr>
          <w:t>3.2.2</w:t>
        </w:r>
        <w:r w:rsidR="00193F07" w:rsidRPr="00370BEA">
          <w:rPr>
            <w:rStyle w:val="af8"/>
            <w:rFonts w:hint="eastAsia"/>
            <w:color w:val="000000"/>
            <w:sz w:val="24"/>
            <w:shd w:val="clear" w:color="auto" w:fill="FFFFFF"/>
          </w:rPr>
          <w:t>自基金合同生效以来</w:t>
        </w:r>
      </w:smartTag>
      <w:r w:rsidRPr="00272E0C">
        <w:rPr>
          <w:rFonts w:ascii="宋体" w:hAnsi="宋体" w:hint="eastAsia"/>
          <w:b/>
          <w:bCs/>
          <w:color w:val="000000"/>
          <w:sz w:val="24"/>
        </w:rPr>
        <w:t>基金累计净值增长率变动及其与同期业绩比较基准收益率变动的比较</w:t>
      </w:r>
    </w:p>
    <w:p w:rsidR="001C36D8" w:rsidRPr="00E43B0B" w:rsidRDefault="001C36D8" w:rsidP="003A4DA3">
      <w:pPr>
        <w:spacing w:line="360" w:lineRule="auto"/>
        <w:jc w:val="center"/>
        <w:rPr>
          <w:sz w:val="24"/>
        </w:rPr>
      </w:pPr>
      <w:r w:rsidRPr="00E43B0B">
        <w:rPr>
          <w:sz w:val="24"/>
        </w:rPr>
        <w:t>易方达证券公司指数分级证券投资基金</w:t>
      </w:r>
    </w:p>
    <w:p w:rsidR="001C36D8" w:rsidRPr="00E43B0B" w:rsidRDefault="006F4C30" w:rsidP="003A4DA3">
      <w:pPr>
        <w:pStyle w:val="a5"/>
        <w:snapToGrid w:val="0"/>
        <w:spacing w:line="360" w:lineRule="auto"/>
        <w:jc w:val="center"/>
        <w:rPr>
          <w:rFonts w:ascii="Times New Roman" w:hAnsi="Times New Roman"/>
          <w:color w:val="000000"/>
          <w:sz w:val="24"/>
          <w:szCs w:val="24"/>
        </w:rPr>
      </w:pPr>
      <w:r w:rsidRPr="00E43B0B">
        <w:rPr>
          <w:rFonts w:ascii="Times New Roman" w:hAnsi="Times New Roman"/>
          <w:color w:val="000000"/>
          <w:sz w:val="24"/>
          <w:szCs w:val="24"/>
        </w:rPr>
        <w:t>累计</w:t>
      </w:r>
      <w:r w:rsidR="001C36D8" w:rsidRPr="00E43B0B">
        <w:rPr>
          <w:rFonts w:ascii="Times New Roman" w:hAnsi="Times New Roman"/>
          <w:color w:val="000000"/>
          <w:sz w:val="24"/>
          <w:szCs w:val="24"/>
        </w:rPr>
        <w:t>净值增长率与业绩比较基准收益率历史走势对比图</w:t>
      </w:r>
    </w:p>
    <w:p w:rsidR="001C36D8" w:rsidRPr="00E43B0B" w:rsidRDefault="001C36D8" w:rsidP="003A4DA3">
      <w:pPr>
        <w:spacing w:line="360" w:lineRule="auto"/>
        <w:jc w:val="center"/>
        <w:rPr>
          <w:sz w:val="24"/>
        </w:rPr>
      </w:pPr>
      <w:r w:rsidRPr="00E43B0B">
        <w:rPr>
          <w:color w:val="000000"/>
          <w:kern w:val="0"/>
          <w:sz w:val="24"/>
        </w:rPr>
        <w:t>（</w:t>
      </w:r>
      <w:r w:rsidRPr="00E43B0B">
        <w:rPr>
          <w:color w:val="000000"/>
          <w:kern w:val="0"/>
          <w:sz w:val="24"/>
        </w:rPr>
        <w:t>2015</w:t>
      </w:r>
      <w:r w:rsidRPr="00E43B0B">
        <w:rPr>
          <w:color w:val="000000"/>
          <w:kern w:val="0"/>
          <w:sz w:val="24"/>
        </w:rPr>
        <w:t>年</w:t>
      </w:r>
      <w:r w:rsidRPr="00E43B0B">
        <w:rPr>
          <w:color w:val="000000"/>
          <w:kern w:val="0"/>
          <w:sz w:val="24"/>
        </w:rPr>
        <w:t>7</w:t>
      </w:r>
      <w:r w:rsidRPr="00E43B0B">
        <w:rPr>
          <w:color w:val="000000"/>
          <w:kern w:val="0"/>
          <w:sz w:val="24"/>
        </w:rPr>
        <w:t>月</w:t>
      </w:r>
      <w:r w:rsidRPr="00E43B0B">
        <w:rPr>
          <w:color w:val="000000"/>
          <w:kern w:val="0"/>
          <w:sz w:val="24"/>
        </w:rPr>
        <w:t>8</w:t>
      </w:r>
      <w:r w:rsidRPr="00E43B0B">
        <w:rPr>
          <w:color w:val="000000"/>
          <w:kern w:val="0"/>
          <w:sz w:val="24"/>
        </w:rPr>
        <w:t>日至</w:t>
      </w:r>
      <w:r w:rsidRPr="00E43B0B">
        <w:rPr>
          <w:color w:val="000000"/>
          <w:kern w:val="0"/>
          <w:sz w:val="24"/>
        </w:rPr>
        <w:t>2020</w:t>
      </w:r>
      <w:r w:rsidRPr="00E43B0B">
        <w:rPr>
          <w:color w:val="000000"/>
          <w:kern w:val="0"/>
          <w:sz w:val="24"/>
        </w:rPr>
        <w:t>年</w:t>
      </w:r>
      <w:r w:rsidRPr="00E43B0B">
        <w:rPr>
          <w:color w:val="000000"/>
          <w:kern w:val="0"/>
          <w:sz w:val="24"/>
        </w:rPr>
        <w:t>3</w:t>
      </w:r>
      <w:r w:rsidRPr="00E43B0B">
        <w:rPr>
          <w:color w:val="000000"/>
          <w:kern w:val="0"/>
          <w:sz w:val="24"/>
        </w:rPr>
        <w:t>月</w:t>
      </w:r>
      <w:r w:rsidRPr="00E43B0B">
        <w:rPr>
          <w:color w:val="000000"/>
          <w:kern w:val="0"/>
          <w:sz w:val="24"/>
        </w:rPr>
        <w:t>31</w:t>
      </w:r>
      <w:r w:rsidRPr="00E43B0B">
        <w:rPr>
          <w:color w:val="000000"/>
          <w:kern w:val="0"/>
          <w:sz w:val="24"/>
        </w:rPr>
        <w:t>日）</w:t>
      </w:r>
    </w:p>
    <w:p w:rsidR="001C36D8" w:rsidRPr="00272E0C" w:rsidRDefault="00475522" w:rsidP="0042253F">
      <w:pPr>
        <w:tabs>
          <w:tab w:val="left" w:pos="180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1pt;height:241.5pt;visibility:visible">
            <v:imagedata r:id="rId9" o:title=""/>
          </v:shape>
        </w:pict>
      </w:r>
    </w:p>
    <w:p w:rsidR="001C36D8" w:rsidRPr="00E43B0B" w:rsidRDefault="001C36D8" w:rsidP="00E43B0B">
      <w:pPr>
        <w:spacing w:line="360" w:lineRule="auto"/>
        <w:ind w:firstLineChars="200" w:firstLine="480"/>
        <w:rPr>
          <w:color w:val="000000"/>
          <w:sz w:val="24"/>
        </w:rPr>
      </w:pPr>
      <w:r w:rsidRPr="003D22BD">
        <w:rPr>
          <w:color w:val="000000"/>
          <w:sz w:val="24"/>
        </w:rPr>
        <w:t>注：自基金合同生效至报告期末，基金份额净值增长率为</w:t>
      </w:r>
      <w:r w:rsidRPr="003D22BD">
        <w:rPr>
          <w:color w:val="000000"/>
          <w:sz w:val="24"/>
        </w:rPr>
        <w:t>-32.26%</w:t>
      </w:r>
      <w:r w:rsidRPr="003D22BD">
        <w:rPr>
          <w:color w:val="000000"/>
          <w:sz w:val="24"/>
        </w:rPr>
        <w:t>，同期业绩比较基准收益率为</w:t>
      </w:r>
      <w:r w:rsidRPr="003D22BD">
        <w:rPr>
          <w:color w:val="000000"/>
          <w:sz w:val="24"/>
        </w:rPr>
        <w:t>-38.54%</w:t>
      </w:r>
      <w:r w:rsidRPr="003D22BD">
        <w:rPr>
          <w:color w:val="000000"/>
          <w:sz w:val="24"/>
        </w:rPr>
        <w:t>。</w:t>
      </w:r>
    </w:p>
    <w:p w:rsidR="001C36D8" w:rsidRPr="00E43B0B" w:rsidRDefault="001C36D8" w:rsidP="00D3705B">
      <w:pPr>
        <w:tabs>
          <w:tab w:val="left" w:pos="1800"/>
        </w:tabs>
        <w:spacing w:line="288" w:lineRule="auto"/>
        <w:rPr>
          <w:color w:val="000000"/>
          <w:sz w:val="24"/>
        </w:rPr>
      </w:pP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4  </w:t>
      </w:r>
      <w:r w:rsidRPr="00272E0C">
        <w:rPr>
          <w:rFonts w:ascii="宋体" w:hAnsi="宋体" w:cs="Arial" w:hint="eastAsia"/>
          <w:color w:val="000000"/>
          <w:kern w:val="0"/>
          <w:sz w:val="24"/>
          <w:szCs w:val="24"/>
        </w:rPr>
        <w:t>管理人报告</w:t>
      </w:r>
    </w:p>
    <w:p w:rsidR="005C6DF3" w:rsidRPr="0078105B" w:rsidRDefault="001C36D8" w:rsidP="005C6DF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4.1 </w:t>
      </w:r>
      <w:r w:rsidRPr="00272E0C">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5C6DF3" w:rsidRPr="0078105B" w:rsidTr="00B7074C">
        <w:trPr>
          <w:cantSplit/>
        </w:trPr>
        <w:tc>
          <w:tcPr>
            <w:tcW w:w="56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5C6DF3" w:rsidRPr="0078105B" w:rsidTr="00B7074C">
        <w:trPr>
          <w:cantSplit/>
        </w:trPr>
        <w:tc>
          <w:tcPr>
            <w:tcW w:w="56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835" w:type="dxa"/>
            <w:vMerge/>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851"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c>
          <w:tcPr>
            <w:tcW w:w="2977" w:type="dxa"/>
            <w:vMerge/>
            <w:vAlign w:val="center"/>
          </w:tcPr>
          <w:p w:rsidR="005C6DF3" w:rsidRPr="00FA472B" w:rsidRDefault="005C6DF3" w:rsidP="00B7074C">
            <w:pPr>
              <w:autoSpaceDE w:val="0"/>
              <w:autoSpaceDN w:val="0"/>
              <w:adjustRightInd w:val="0"/>
              <w:spacing w:before="29" w:line="288" w:lineRule="auto"/>
              <w:ind w:left="15"/>
              <w:jc w:val="center"/>
              <w:rPr>
                <w:color w:val="000000"/>
                <w:kern w:val="0"/>
                <w:sz w:val="24"/>
              </w:rPr>
            </w:pPr>
          </w:p>
        </w:tc>
      </w:tr>
      <w:tr w:rsidR="000478A5">
        <w:tc>
          <w:tcPr>
            <w:tcW w:w="0" w:type="auto"/>
            <w:vAlign w:val="center"/>
          </w:tcPr>
          <w:p w:rsidR="000478A5" w:rsidRDefault="00475522">
            <w:pPr>
              <w:jc w:val="center"/>
            </w:pPr>
            <w:r>
              <w:rPr>
                <w:color w:val="000000"/>
                <w:sz w:val="24"/>
              </w:rPr>
              <w:t>余海燕</w:t>
            </w:r>
          </w:p>
        </w:tc>
        <w:tc>
          <w:tcPr>
            <w:tcW w:w="0" w:type="auto"/>
            <w:vAlign w:val="center"/>
          </w:tcPr>
          <w:p w:rsidR="000478A5" w:rsidRDefault="00475522">
            <w:pPr>
              <w:jc w:val="left"/>
            </w:pPr>
            <w:r>
              <w:rPr>
                <w:color w:val="000000"/>
                <w:sz w:val="24"/>
              </w:rPr>
              <w:t>本基金的基金经理、易方达沪深</w:t>
            </w:r>
            <w:r>
              <w:rPr>
                <w:color w:val="000000"/>
                <w:sz w:val="24"/>
              </w:rPr>
              <w:t>300</w:t>
            </w:r>
            <w:r>
              <w:rPr>
                <w:color w:val="000000"/>
                <w:sz w:val="24"/>
              </w:rPr>
              <w:t>医药卫生交易型开放式指数证券投资基金的基金经理、易方达沪深</w:t>
            </w:r>
            <w:r>
              <w:rPr>
                <w:color w:val="000000"/>
                <w:sz w:val="24"/>
              </w:rPr>
              <w:t>300</w:t>
            </w:r>
            <w:r>
              <w:rPr>
                <w:color w:val="000000"/>
                <w:sz w:val="24"/>
              </w:rPr>
              <w:t>非银行金融交易型开放式指数证券投资基金的基金经理、易方达沪深</w:t>
            </w:r>
            <w:r>
              <w:rPr>
                <w:color w:val="000000"/>
                <w:sz w:val="24"/>
              </w:rPr>
              <w:t>300</w:t>
            </w:r>
            <w:r>
              <w:rPr>
                <w:color w:val="000000"/>
                <w:sz w:val="24"/>
              </w:rPr>
              <w:t>非银行金融交易型开放式指数证券投资基金联接基金的基金经理、易方达上证</w:t>
            </w:r>
            <w:r>
              <w:rPr>
                <w:color w:val="000000"/>
                <w:sz w:val="24"/>
              </w:rPr>
              <w:t>50</w:t>
            </w:r>
            <w:r>
              <w:rPr>
                <w:color w:val="000000"/>
                <w:sz w:val="24"/>
              </w:rPr>
              <w:t>指数分级证券投资基金的基金经理、易方达国企改革指数分级证券投资基金的基金经理、易方达军工指数分级证券投资基金的基金经理、易方达中证</w:t>
            </w:r>
            <w:r>
              <w:rPr>
                <w:color w:val="000000"/>
                <w:sz w:val="24"/>
              </w:rPr>
              <w:t>500</w:t>
            </w:r>
            <w:r>
              <w:rPr>
                <w:color w:val="000000"/>
                <w:sz w:val="24"/>
              </w:rPr>
              <w:t>交易型开放式指数证券投资基金的基金经理、易方达沪深</w:t>
            </w:r>
            <w:r>
              <w:rPr>
                <w:color w:val="000000"/>
                <w:sz w:val="24"/>
              </w:rPr>
              <w:t>300</w:t>
            </w:r>
            <w:r>
              <w:rPr>
                <w:color w:val="000000"/>
                <w:sz w:val="24"/>
              </w:rPr>
              <w:t>交易型开放式指数发起式证券投资基金的基金经理、易方达沪深</w:t>
            </w:r>
            <w:r>
              <w:rPr>
                <w:color w:val="000000"/>
                <w:sz w:val="24"/>
              </w:rPr>
              <w:t>300</w:t>
            </w:r>
            <w:r>
              <w:rPr>
                <w:color w:val="000000"/>
                <w:sz w:val="24"/>
              </w:rPr>
              <w:t>交易型开放式指数发起式</w:t>
            </w:r>
            <w:r>
              <w:rPr>
                <w:color w:val="000000"/>
                <w:sz w:val="24"/>
              </w:rPr>
              <w:t>证券投资基金联接基金的基金经理、易方达中证海外中国互联网</w:t>
            </w:r>
            <w:r>
              <w:rPr>
                <w:color w:val="000000"/>
                <w:sz w:val="24"/>
              </w:rPr>
              <w:t>50</w:t>
            </w:r>
            <w:r>
              <w:rPr>
                <w:color w:val="000000"/>
                <w:sz w:val="24"/>
              </w:rPr>
              <w:t>交易型开放式指数证券投资基金的基金经理、易方达中证军工交易型开放式指数证券投资基金的基金经理、易方达中证全指证券公司交易型开放式指数证券投资基金的基金经理、易方达沪深</w:t>
            </w:r>
            <w:r>
              <w:rPr>
                <w:color w:val="000000"/>
                <w:sz w:val="24"/>
              </w:rPr>
              <w:t>300</w:t>
            </w:r>
            <w:r>
              <w:rPr>
                <w:color w:val="000000"/>
                <w:sz w:val="24"/>
              </w:rPr>
              <w:t>医药卫生交易型开放式指数证券投资基金联接基金的基金经理、易方达恒生中国企业交易型开放式指数证券投资基金的基金经理、易方达黄金交易型开放式证券投资基金的基金经理、易方达恒生中国企业交易型开放式指数证券投资基金联接基金的基金经理、易方达黄金交易型开放式证券投资基金联接基金的基金经理、</w:t>
            </w:r>
            <w:r>
              <w:rPr>
                <w:color w:val="000000"/>
                <w:sz w:val="24"/>
              </w:rPr>
              <w:t>易方达中证海外中国互联网</w:t>
            </w:r>
            <w:r>
              <w:rPr>
                <w:color w:val="000000"/>
                <w:sz w:val="24"/>
              </w:rPr>
              <w:t>50</w:t>
            </w:r>
            <w:r>
              <w:rPr>
                <w:color w:val="000000"/>
                <w:sz w:val="24"/>
              </w:rPr>
              <w:t>交易型开放式指数证券投资基金联接基金的基金经理、易方达中证</w:t>
            </w:r>
            <w:r>
              <w:rPr>
                <w:color w:val="000000"/>
                <w:sz w:val="24"/>
              </w:rPr>
              <w:t>500</w:t>
            </w:r>
            <w:r>
              <w:rPr>
                <w:color w:val="000000"/>
                <w:sz w:val="24"/>
              </w:rPr>
              <w:t>交易型开放式指数证券投资基金发起式联接基金的基金经理、易方达日兴资管日经</w:t>
            </w:r>
            <w:r>
              <w:rPr>
                <w:color w:val="000000"/>
                <w:sz w:val="24"/>
              </w:rPr>
              <w:t>225</w:t>
            </w:r>
            <w:r>
              <w:rPr>
                <w:color w:val="000000"/>
                <w:sz w:val="24"/>
              </w:rPr>
              <w:t>交易型开放式指数证券投资基金（</w:t>
            </w:r>
            <w:r>
              <w:rPr>
                <w:color w:val="000000"/>
                <w:sz w:val="24"/>
              </w:rPr>
              <w:t>QDII</w:t>
            </w:r>
            <w:r>
              <w:rPr>
                <w:color w:val="000000"/>
                <w:sz w:val="24"/>
              </w:rPr>
              <w:t>）的基金经理、易方达上证</w:t>
            </w:r>
            <w:r>
              <w:rPr>
                <w:color w:val="000000"/>
                <w:sz w:val="24"/>
              </w:rPr>
              <w:t>50</w:t>
            </w:r>
            <w:r>
              <w:rPr>
                <w:color w:val="000000"/>
                <w:sz w:val="24"/>
              </w:rPr>
              <w:t>交易型开放式指数证券投资基金的基金经理、易方达上证</w:t>
            </w:r>
            <w:r>
              <w:rPr>
                <w:color w:val="000000"/>
                <w:sz w:val="24"/>
              </w:rPr>
              <w:t>50</w:t>
            </w:r>
            <w:r>
              <w:rPr>
                <w:color w:val="000000"/>
                <w:sz w:val="24"/>
              </w:rPr>
              <w:t>交易型开放式指数证券投资基金发起式联接基金的基金经理、指数投资部副总经理</w:t>
            </w:r>
          </w:p>
        </w:tc>
        <w:tc>
          <w:tcPr>
            <w:tcW w:w="0" w:type="auto"/>
            <w:vAlign w:val="center"/>
          </w:tcPr>
          <w:p w:rsidR="000478A5" w:rsidRDefault="00475522">
            <w:pPr>
              <w:jc w:val="center"/>
            </w:pPr>
            <w:r>
              <w:rPr>
                <w:color w:val="000000"/>
                <w:sz w:val="24"/>
              </w:rPr>
              <w:t>2015-07-08</w:t>
            </w:r>
          </w:p>
        </w:tc>
        <w:tc>
          <w:tcPr>
            <w:tcW w:w="0" w:type="auto"/>
            <w:vAlign w:val="center"/>
          </w:tcPr>
          <w:p w:rsidR="000478A5" w:rsidRDefault="00475522">
            <w:pPr>
              <w:jc w:val="center"/>
            </w:pPr>
            <w:r>
              <w:rPr>
                <w:color w:val="000000"/>
                <w:sz w:val="24"/>
              </w:rPr>
              <w:t>-</w:t>
            </w:r>
          </w:p>
        </w:tc>
        <w:tc>
          <w:tcPr>
            <w:tcW w:w="0" w:type="auto"/>
            <w:vAlign w:val="center"/>
          </w:tcPr>
          <w:p w:rsidR="000478A5" w:rsidRDefault="00475522">
            <w:pPr>
              <w:jc w:val="center"/>
            </w:pPr>
            <w:r>
              <w:rPr>
                <w:color w:val="000000"/>
                <w:sz w:val="24"/>
              </w:rPr>
              <w:t>15</w:t>
            </w:r>
            <w:r>
              <w:rPr>
                <w:color w:val="000000"/>
                <w:sz w:val="24"/>
              </w:rPr>
              <w:t>年</w:t>
            </w:r>
          </w:p>
        </w:tc>
        <w:tc>
          <w:tcPr>
            <w:tcW w:w="0" w:type="auto"/>
            <w:vAlign w:val="center"/>
          </w:tcPr>
          <w:p w:rsidR="000478A5" w:rsidRDefault="00475522">
            <w:r>
              <w:rPr>
                <w:color w:val="000000"/>
                <w:sz w:val="24"/>
              </w:rPr>
              <w:t>硕士研究生，具有基金从业资格。曾任汇丰银行</w:t>
            </w:r>
            <w:r>
              <w:rPr>
                <w:color w:val="000000"/>
                <w:sz w:val="24"/>
              </w:rPr>
              <w:t>Consumer Credit Risk</w:t>
            </w:r>
            <w:r>
              <w:rPr>
                <w:color w:val="000000"/>
                <w:sz w:val="24"/>
              </w:rPr>
              <w:t>信用风险分析师，华宝兴业基金管理</w:t>
            </w:r>
            <w:r>
              <w:rPr>
                <w:color w:val="000000"/>
                <w:sz w:val="24"/>
              </w:rPr>
              <w:t>有限公司分析师、基金经理助理、基金经理，易方达基金管理有限公司投资发展部产品经理。</w:t>
            </w:r>
          </w:p>
        </w:tc>
      </w:tr>
    </w:tbl>
    <w:p w:rsidR="000478A5" w:rsidRDefault="00475522">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CB041A" w:rsidRPr="00232B03" w:rsidRDefault="005C6DF3" w:rsidP="005C6DF3">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1C36D8" w:rsidRPr="00272E0C" w:rsidRDefault="001C36D8" w:rsidP="00CB041A">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4.2</w:t>
      </w:r>
      <w:r w:rsidRPr="00272E0C">
        <w:rPr>
          <w:rFonts w:ascii="宋体" w:hAnsi="宋体" w:hint="eastAsia"/>
          <w:b/>
          <w:bCs/>
          <w:color w:val="000000"/>
          <w:sz w:val="24"/>
        </w:rPr>
        <w:t>管理人对报告期内本基金运作遵规守信情况的说明</w:t>
      </w:r>
    </w:p>
    <w:p w:rsidR="001C36D8" w:rsidRPr="00E43B0B" w:rsidRDefault="001C36D8" w:rsidP="00E43B0B">
      <w:pPr>
        <w:spacing w:line="360" w:lineRule="auto"/>
        <w:ind w:firstLineChars="200" w:firstLine="480"/>
        <w:rPr>
          <w:color w:val="000000"/>
          <w:sz w:val="24"/>
        </w:rPr>
      </w:pPr>
      <w:r w:rsidRPr="003D22BD">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4.3 </w:t>
      </w:r>
      <w:r w:rsidRPr="00272E0C">
        <w:rPr>
          <w:rFonts w:ascii="宋体" w:hAnsi="宋体" w:cs="Arial" w:hint="eastAsia"/>
          <w:b/>
          <w:color w:val="000000"/>
          <w:kern w:val="0"/>
          <w:sz w:val="24"/>
        </w:rPr>
        <w:t>公平交易专项说明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4.3.1</w:t>
        </w:r>
      </w:smartTag>
      <w:r w:rsidRPr="00272E0C">
        <w:rPr>
          <w:rFonts w:ascii="宋体" w:hAnsi="宋体" w:hint="eastAsia"/>
          <w:sz w:val="24"/>
        </w:rPr>
        <w:t>公平交易制度的执行情况</w:t>
      </w:r>
    </w:p>
    <w:p w:rsidR="001C36D8" w:rsidRPr="003D22BD" w:rsidRDefault="001C36D8" w:rsidP="0015779C">
      <w:pPr>
        <w:spacing w:line="360" w:lineRule="auto"/>
        <w:ind w:firstLineChars="200" w:firstLine="480"/>
        <w:rPr>
          <w:color w:val="000000"/>
          <w:sz w:val="24"/>
        </w:rPr>
      </w:pPr>
      <w:r w:rsidRPr="003D22BD">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3D22BD">
        <w:rPr>
          <w:color w:val="000000"/>
          <w:sz w:val="24"/>
        </w:rPr>
        <w:t>“</w:t>
      </w:r>
      <w:r w:rsidRPr="003D22BD">
        <w:rPr>
          <w:color w:val="000000"/>
          <w:sz w:val="24"/>
        </w:rPr>
        <w:t>时间优先、价格优先</w:t>
      </w:r>
      <w:r w:rsidRPr="003D22BD">
        <w:rPr>
          <w:color w:val="000000"/>
          <w:sz w:val="24"/>
        </w:rPr>
        <w:t>”</w:t>
      </w:r>
      <w:r w:rsidRPr="003D22BD">
        <w:rPr>
          <w:color w:val="000000"/>
          <w:sz w:val="24"/>
        </w:rPr>
        <w:t>作为执行指令的基本原则，通过投资交易系统中的公平交易模块，以尽可能确保公平对待各投资组合。本报告期内，公平交易制度总体执行情况良好。</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4.3.2</w:t>
        </w:r>
      </w:smartTag>
      <w:r w:rsidRPr="00272E0C">
        <w:rPr>
          <w:rFonts w:ascii="宋体" w:hAnsi="宋体" w:hint="eastAsia"/>
          <w:sz w:val="24"/>
        </w:rPr>
        <w:t>异常交易行为的专项说明</w:t>
      </w:r>
    </w:p>
    <w:p w:rsidR="000478A5" w:rsidRDefault="00475522">
      <w:pPr>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1C36D8" w:rsidRPr="00E43B0B" w:rsidRDefault="001C36D8" w:rsidP="00E43B0B">
      <w:pPr>
        <w:spacing w:line="360" w:lineRule="auto"/>
        <w:ind w:firstLineChars="200" w:firstLine="480"/>
        <w:rPr>
          <w:color w:val="000000"/>
          <w:sz w:val="24"/>
        </w:rPr>
      </w:pPr>
      <w:r w:rsidRPr="003D22BD">
        <w:rPr>
          <w:color w:val="000000"/>
          <w:sz w:val="24"/>
        </w:rPr>
        <w:t>本报告期内，未发现本基金有可能导致不公平交易和利益输送的异常交易。</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4.4 </w:t>
      </w:r>
      <w:r w:rsidRPr="00272E0C">
        <w:rPr>
          <w:rFonts w:ascii="宋体" w:hAnsi="宋体" w:cs="Arial" w:hint="eastAsia"/>
          <w:b/>
          <w:color w:val="000000"/>
          <w:kern w:val="0"/>
          <w:sz w:val="24"/>
        </w:rPr>
        <w:t>报告期内基金的投资策略和业绩表现说明</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4.4.1</w:t>
        </w:r>
      </w:smartTag>
      <w:r w:rsidRPr="00272E0C">
        <w:rPr>
          <w:rFonts w:ascii="宋体" w:hAnsi="宋体" w:hint="eastAsia"/>
          <w:sz w:val="24"/>
        </w:rPr>
        <w:t>报告期内基金投资策略和运作分析</w:t>
      </w:r>
    </w:p>
    <w:p w:rsidR="000478A5" w:rsidRDefault="00475522">
      <w:pPr>
        <w:spacing w:line="360" w:lineRule="auto"/>
        <w:ind w:firstLineChars="200" w:firstLine="480"/>
        <w:rPr>
          <w:color w:val="000000"/>
          <w:sz w:val="24"/>
        </w:rPr>
      </w:pPr>
      <w:r>
        <w:rPr>
          <w:color w:val="000000"/>
          <w:sz w:val="24"/>
        </w:rPr>
        <w:t>2020</w:t>
      </w:r>
      <w:r>
        <w:rPr>
          <w:color w:val="000000"/>
          <w:sz w:val="24"/>
        </w:rPr>
        <w:t>年一季度国内宏观经济面临新冠疫情的明显冲击，企业复工复产进度明显放缓，生产、销售受阻，导致</w:t>
      </w:r>
      <w:r>
        <w:rPr>
          <w:color w:val="000000"/>
          <w:sz w:val="24"/>
        </w:rPr>
        <w:t>1-2</w:t>
      </w:r>
      <w:r>
        <w:rPr>
          <w:color w:val="000000"/>
          <w:sz w:val="24"/>
        </w:rPr>
        <w:t>月份规模以上工业增加值、企业利润分别同比下降</w:t>
      </w:r>
      <w:r>
        <w:rPr>
          <w:color w:val="000000"/>
          <w:sz w:val="24"/>
        </w:rPr>
        <w:t>13.5%</w:t>
      </w:r>
      <w:r>
        <w:rPr>
          <w:color w:val="000000"/>
          <w:sz w:val="24"/>
        </w:rPr>
        <w:t>、</w:t>
      </w:r>
      <w:r>
        <w:rPr>
          <w:color w:val="000000"/>
          <w:sz w:val="24"/>
        </w:rPr>
        <w:t>38.3%</w:t>
      </w:r>
      <w:r>
        <w:rPr>
          <w:color w:val="000000"/>
          <w:sz w:val="24"/>
        </w:rPr>
        <w:t>。受到海外疫情不确定的影响，出口、生产恢复仍然需要时间，</w:t>
      </w:r>
      <w:r>
        <w:rPr>
          <w:color w:val="000000"/>
          <w:sz w:val="24"/>
        </w:rPr>
        <w:t>2020</w:t>
      </w:r>
      <w:r>
        <w:rPr>
          <w:color w:val="000000"/>
          <w:sz w:val="24"/>
        </w:rPr>
        <w:t>年一季度的经济增长回升势头将暂时停止，原先已表现出的经济内在动力回升趋势将受阻，整体经济增速将受到较大挑战。尽管新冠疫情在中国境内得到了有效控制，但其全球蔓延的态势自</w:t>
      </w:r>
      <w:r>
        <w:rPr>
          <w:color w:val="000000"/>
          <w:sz w:val="24"/>
        </w:rPr>
        <w:t>3</w:t>
      </w:r>
      <w:r>
        <w:rPr>
          <w:color w:val="000000"/>
          <w:sz w:val="24"/>
        </w:rPr>
        <w:t>月份以来则日渐严峻，面对疫情对经济信心的显著打击，全球各主要经济体先后采取大力度的货币宽松政策加以对冲，然而担忧情绪依旧没有消散，而且疫情发展态势也仍不明朗，疫情所带来的现实性冲击和政策性对冲的较量仍将是中短期主导全球乃至国内经济走向的关键力量。资本市场方面，海外疫情</w:t>
      </w:r>
      <w:r>
        <w:rPr>
          <w:color w:val="000000"/>
          <w:sz w:val="24"/>
        </w:rPr>
        <w:t>的超预期发展引起了金融市场巨震，美元流动性紧张又导致大类资产普跌，美股出现创纪录的</w:t>
      </w:r>
      <w:r>
        <w:rPr>
          <w:color w:val="000000"/>
          <w:sz w:val="24"/>
        </w:rPr>
        <w:t>4</w:t>
      </w:r>
      <w:r>
        <w:rPr>
          <w:color w:val="000000"/>
          <w:sz w:val="24"/>
        </w:rPr>
        <w:t>次熔断，美债收益率也下探至历史最低点。美联储祭出</w:t>
      </w:r>
      <w:r>
        <w:rPr>
          <w:color w:val="000000"/>
          <w:sz w:val="24"/>
        </w:rPr>
        <w:t>“</w:t>
      </w:r>
      <w:r>
        <w:rPr>
          <w:color w:val="000000"/>
          <w:sz w:val="24"/>
        </w:rPr>
        <w:t>零利率</w:t>
      </w:r>
      <w:r>
        <w:rPr>
          <w:color w:val="000000"/>
          <w:sz w:val="24"/>
        </w:rPr>
        <w:t>”</w:t>
      </w:r>
      <w:r>
        <w:rPr>
          <w:color w:val="000000"/>
          <w:sz w:val="24"/>
        </w:rPr>
        <w:t>后又推出无限</w:t>
      </w:r>
      <w:r>
        <w:rPr>
          <w:color w:val="000000"/>
          <w:sz w:val="24"/>
        </w:rPr>
        <w:t>QE</w:t>
      </w:r>
      <w:r>
        <w:rPr>
          <w:color w:val="000000"/>
          <w:sz w:val="24"/>
        </w:rPr>
        <w:t>，美国国会推出历史最大规模的</w:t>
      </w:r>
      <w:r>
        <w:rPr>
          <w:color w:val="000000"/>
          <w:sz w:val="24"/>
        </w:rPr>
        <w:t>2.2</w:t>
      </w:r>
      <w:r>
        <w:rPr>
          <w:color w:val="000000"/>
          <w:sz w:val="24"/>
        </w:rPr>
        <w:t>万亿美元经济刺激法案。相比之下国内资产在全球金融动荡中表现出了韧性。在流动性得到缓解后，全球股市明显反弹，</w:t>
      </w:r>
      <w:r>
        <w:rPr>
          <w:color w:val="000000"/>
          <w:sz w:val="24"/>
        </w:rPr>
        <w:t>A</w:t>
      </w:r>
      <w:r>
        <w:rPr>
          <w:color w:val="000000"/>
          <w:sz w:val="24"/>
        </w:rPr>
        <w:t>股也随之结束自</w:t>
      </w:r>
      <w:r>
        <w:rPr>
          <w:color w:val="000000"/>
          <w:sz w:val="24"/>
        </w:rPr>
        <w:t>3</w:t>
      </w:r>
      <w:r>
        <w:rPr>
          <w:color w:val="000000"/>
          <w:sz w:val="24"/>
        </w:rPr>
        <w:t>月初的剧烈下跌并开始反弹，一季度上证综指以下跌</w:t>
      </w:r>
      <w:r>
        <w:rPr>
          <w:color w:val="000000"/>
          <w:sz w:val="24"/>
        </w:rPr>
        <w:t>9.83%</w:t>
      </w:r>
      <w:r>
        <w:rPr>
          <w:color w:val="000000"/>
          <w:sz w:val="24"/>
        </w:rPr>
        <w:t>收官。风格主题方面，结构分化显著，在科技类板块表现领先的背景下，创业板表现优于主板，上证</w:t>
      </w:r>
      <w:r>
        <w:rPr>
          <w:color w:val="000000"/>
          <w:sz w:val="24"/>
        </w:rPr>
        <w:t>50</w:t>
      </w:r>
      <w:r>
        <w:rPr>
          <w:color w:val="000000"/>
          <w:sz w:val="24"/>
        </w:rPr>
        <w:t>指数、沪深</w:t>
      </w:r>
      <w:r>
        <w:rPr>
          <w:color w:val="000000"/>
          <w:sz w:val="24"/>
        </w:rPr>
        <w:t>300</w:t>
      </w:r>
      <w:r>
        <w:rPr>
          <w:color w:val="000000"/>
          <w:sz w:val="24"/>
        </w:rPr>
        <w:t>指数分别下跌</w:t>
      </w:r>
      <w:r>
        <w:rPr>
          <w:color w:val="000000"/>
          <w:sz w:val="24"/>
        </w:rPr>
        <w:t>12.20%</w:t>
      </w:r>
      <w:r>
        <w:rPr>
          <w:color w:val="000000"/>
          <w:sz w:val="24"/>
        </w:rPr>
        <w:t>、</w:t>
      </w:r>
      <w:r>
        <w:rPr>
          <w:color w:val="000000"/>
          <w:sz w:val="24"/>
        </w:rPr>
        <w:t>10.</w:t>
      </w:r>
      <w:r>
        <w:rPr>
          <w:color w:val="000000"/>
          <w:sz w:val="24"/>
        </w:rPr>
        <w:t>02%</w:t>
      </w:r>
      <w:r>
        <w:rPr>
          <w:color w:val="000000"/>
          <w:sz w:val="24"/>
        </w:rPr>
        <w:t>，而创业板指上涨</w:t>
      </w:r>
      <w:r>
        <w:rPr>
          <w:color w:val="000000"/>
          <w:sz w:val="24"/>
        </w:rPr>
        <w:t>4.10%</w:t>
      </w:r>
      <w:r>
        <w:rPr>
          <w:color w:val="000000"/>
          <w:sz w:val="24"/>
        </w:rPr>
        <w:t>；行业方面，农林牧渔、医药生物、计算机、通信等板块涨幅居前，休闲服务、保险、采掘、家用电器、交通运输、银行、房地产等板块跌幅较大。报告期内中证全指证券公司指数下跌</w:t>
      </w:r>
      <w:r>
        <w:rPr>
          <w:color w:val="000000"/>
          <w:sz w:val="24"/>
        </w:rPr>
        <w:t>11.12%</w:t>
      </w:r>
      <w:r>
        <w:rPr>
          <w:color w:val="000000"/>
          <w:sz w:val="24"/>
        </w:rPr>
        <w:t>。</w:t>
      </w:r>
    </w:p>
    <w:p w:rsidR="001C36D8" w:rsidRPr="003D22BD" w:rsidRDefault="001C36D8" w:rsidP="0015779C">
      <w:pPr>
        <w:spacing w:line="360" w:lineRule="auto"/>
        <w:ind w:firstLineChars="200" w:firstLine="480"/>
        <w:rPr>
          <w:color w:val="000000"/>
          <w:sz w:val="24"/>
        </w:rPr>
      </w:pPr>
      <w:r w:rsidRPr="003D22BD">
        <w:rPr>
          <w:color w:val="000000"/>
          <w:sz w:val="24"/>
        </w:rPr>
        <w:t>报告期内本基金为正常运作期，在操作中，我们严格遵守基金合同，坚持既定的指数化投资策略，在指数权重调整和基金申赎变动时，应用指数复制和数量化技术降低冲击成本和减少跟踪误差。</w:t>
      </w:r>
    </w:p>
    <w:p w:rsidR="001C36D8" w:rsidRPr="00272E0C" w:rsidRDefault="001C36D8" w:rsidP="003A4DA3">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272E0C">
          <w:rPr>
            <w:rFonts w:ascii="宋体" w:hAnsi="宋体"/>
            <w:sz w:val="24"/>
          </w:rPr>
          <w:t>4.4.2</w:t>
        </w:r>
      </w:smartTag>
      <w:r w:rsidRPr="00272E0C">
        <w:rPr>
          <w:rFonts w:ascii="宋体" w:hAnsi="宋体" w:hint="eastAsia"/>
          <w:sz w:val="24"/>
        </w:rPr>
        <w:t>报告期内基金的业绩表现</w:t>
      </w:r>
    </w:p>
    <w:p w:rsidR="001C36D8" w:rsidRPr="00E43B0B" w:rsidRDefault="001C36D8" w:rsidP="00E43B0B">
      <w:pPr>
        <w:spacing w:line="360" w:lineRule="auto"/>
        <w:ind w:firstLineChars="200" w:firstLine="480"/>
        <w:rPr>
          <w:color w:val="000000"/>
          <w:sz w:val="24"/>
        </w:rPr>
      </w:pPr>
      <w:r w:rsidRPr="003D22BD">
        <w:rPr>
          <w:color w:val="000000"/>
          <w:sz w:val="24"/>
        </w:rPr>
        <w:t>截至报告期末，本基金份额净值为</w:t>
      </w:r>
      <w:r w:rsidRPr="003D22BD">
        <w:rPr>
          <w:color w:val="000000"/>
          <w:sz w:val="24"/>
        </w:rPr>
        <w:t>1.0071</w:t>
      </w:r>
      <w:r w:rsidRPr="003D22BD">
        <w:rPr>
          <w:color w:val="000000"/>
          <w:sz w:val="24"/>
        </w:rPr>
        <w:t>元，本报告期份额净值增长率为</w:t>
      </w:r>
      <w:r w:rsidRPr="003D22BD">
        <w:rPr>
          <w:color w:val="000000"/>
          <w:sz w:val="24"/>
        </w:rPr>
        <w:t>-9.30%</w:t>
      </w:r>
      <w:r w:rsidRPr="003D22BD">
        <w:rPr>
          <w:color w:val="000000"/>
          <w:sz w:val="24"/>
        </w:rPr>
        <w:t>，同期业绩比较基准收益率为</w:t>
      </w:r>
      <w:r w:rsidRPr="003D22BD">
        <w:rPr>
          <w:color w:val="000000"/>
          <w:sz w:val="24"/>
        </w:rPr>
        <w:t>-10.49%</w:t>
      </w:r>
      <w:r w:rsidRPr="003D22BD">
        <w:rPr>
          <w:color w:val="000000"/>
          <w:sz w:val="24"/>
        </w:rPr>
        <w:t>，日跟踪偏离度的均值为</w:t>
      </w:r>
      <w:r w:rsidRPr="003D22BD">
        <w:rPr>
          <w:color w:val="000000"/>
          <w:sz w:val="24"/>
        </w:rPr>
        <w:t>0.05%</w:t>
      </w:r>
      <w:r w:rsidRPr="003D22BD">
        <w:rPr>
          <w:color w:val="000000"/>
          <w:sz w:val="24"/>
        </w:rPr>
        <w:t>，年化跟踪误差为</w:t>
      </w:r>
      <w:r w:rsidRPr="003D22BD">
        <w:rPr>
          <w:color w:val="000000"/>
          <w:sz w:val="24"/>
        </w:rPr>
        <w:t>1.033%</w:t>
      </w:r>
      <w:r w:rsidRPr="003D22BD">
        <w:rPr>
          <w:color w:val="000000"/>
          <w:sz w:val="24"/>
        </w:rPr>
        <w:t>，各项指标均在合同规定的目标控制范围之内。</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 xml:space="preserve">5  </w:t>
      </w:r>
      <w:r w:rsidRPr="00272E0C">
        <w:rPr>
          <w:rFonts w:ascii="宋体" w:hAnsi="宋体" w:cs="Arial" w:hint="eastAsia"/>
          <w:color w:val="000000"/>
          <w:kern w:val="0"/>
          <w:sz w:val="24"/>
          <w:szCs w:val="24"/>
        </w:rPr>
        <w:t>投资组合报告</w:t>
      </w:r>
    </w:p>
    <w:p w:rsidR="001C36D8" w:rsidRPr="00272E0C" w:rsidRDefault="001C36D8" w:rsidP="003A4DA3">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5.1 </w:t>
      </w:r>
      <w:r w:rsidRPr="00272E0C">
        <w:rPr>
          <w:rFonts w:ascii="宋体" w:hAnsi="宋体" w:cs="Arial" w:hint="eastAsia"/>
          <w:b/>
          <w:color w:val="000000"/>
          <w:kern w:val="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3283"/>
        <w:gridCol w:w="2977"/>
        <w:gridCol w:w="1843"/>
      </w:tblGrid>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序号</w:t>
            </w:r>
          </w:p>
        </w:tc>
        <w:tc>
          <w:tcPr>
            <w:tcW w:w="328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项目</w:t>
            </w:r>
          </w:p>
        </w:tc>
        <w:tc>
          <w:tcPr>
            <w:tcW w:w="2977"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金额</w:t>
            </w:r>
            <w:r w:rsidR="0015779C" w:rsidRPr="005B1E0B">
              <w:rPr>
                <w:color w:val="000000"/>
                <w:sz w:val="24"/>
              </w:rPr>
              <w:t>（元）</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占基金总资产的比例</w:t>
            </w:r>
            <w:r w:rsidR="0015779C" w:rsidRPr="005B1E0B">
              <w:rPr>
                <w:color w:val="000000"/>
                <w:sz w:val="24"/>
              </w:rPr>
              <w:t>（</w:t>
            </w:r>
            <w:r w:rsidR="0015779C" w:rsidRPr="005B1E0B">
              <w:rPr>
                <w:color w:val="000000"/>
                <w:sz w:val="24"/>
              </w:rPr>
              <w:t>%</w:t>
            </w:r>
            <w:r w:rsidR="0015779C"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1</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权益投资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639,849,751.46</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94.10</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其中：股票</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639,849,751.46</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94.10</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2</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固定收益投资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732,996.78</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0.11</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其中：债券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732,996.78</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0.11</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autoSpaceDE w:val="0"/>
              <w:autoSpaceDN w:val="0"/>
              <w:adjustRightInd w:val="0"/>
              <w:spacing w:before="29" w:line="360" w:lineRule="auto"/>
              <w:ind w:left="17"/>
              <w:jc w:val="left"/>
              <w:rPr>
                <w:color w:val="000000"/>
                <w:sz w:val="24"/>
              </w:rPr>
            </w:pPr>
            <w:r w:rsidRPr="005B1E0B">
              <w:rPr>
                <w:color w:val="000000"/>
                <w:sz w:val="24"/>
              </w:rPr>
              <w:t>资产支持证券</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tcPr>
          <w:p w:rsidR="001C36D8" w:rsidRPr="005B1E0B" w:rsidRDefault="001C36D8" w:rsidP="001A09F9">
            <w:pPr>
              <w:spacing w:before="29" w:line="360" w:lineRule="auto"/>
              <w:ind w:left="17"/>
              <w:jc w:val="center"/>
              <w:rPr>
                <w:color w:val="000000"/>
                <w:sz w:val="24"/>
              </w:rPr>
            </w:pPr>
            <w:r w:rsidRPr="005B1E0B">
              <w:rPr>
                <w:color w:val="000000"/>
                <w:sz w:val="24"/>
              </w:rPr>
              <w:t>3</w:t>
            </w:r>
          </w:p>
        </w:tc>
        <w:tc>
          <w:tcPr>
            <w:tcW w:w="3283" w:type="dxa"/>
          </w:tcPr>
          <w:p w:rsidR="001C36D8" w:rsidRPr="005B1E0B" w:rsidRDefault="001C36D8" w:rsidP="0015779C">
            <w:pPr>
              <w:spacing w:before="29" w:line="360" w:lineRule="auto"/>
              <w:ind w:leftChars="50" w:left="105"/>
              <w:rPr>
                <w:color w:val="000000"/>
                <w:sz w:val="24"/>
              </w:rPr>
            </w:pPr>
            <w:r w:rsidRPr="005B1E0B">
              <w:rPr>
                <w:color w:val="000000"/>
                <w:sz w:val="24"/>
              </w:rPr>
              <w:t>贵金属投资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4</w:t>
            </w:r>
          </w:p>
        </w:tc>
        <w:tc>
          <w:tcPr>
            <w:tcW w:w="3283" w:type="dxa"/>
            <w:vAlign w:val="center"/>
          </w:tcPr>
          <w:p w:rsidR="001C36D8" w:rsidRPr="005B1E0B" w:rsidRDefault="001C36D8" w:rsidP="001A09F9">
            <w:pPr>
              <w:spacing w:before="29" w:line="360" w:lineRule="auto"/>
              <w:ind w:left="17"/>
              <w:jc w:val="left"/>
              <w:rPr>
                <w:color w:val="000000"/>
                <w:sz w:val="24"/>
              </w:rPr>
            </w:pPr>
            <w:r w:rsidRPr="005B1E0B">
              <w:rPr>
                <w:color w:val="000000"/>
                <w:sz w:val="24"/>
              </w:rPr>
              <w:t>金融衍生品投资</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5</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其中：买断式回购的买入返售金融资产</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6</w:t>
            </w:r>
          </w:p>
        </w:tc>
        <w:tc>
          <w:tcPr>
            <w:tcW w:w="3283" w:type="dxa"/>
            <w:vAlign w:val="center"/>
          </w:tcPr>
          <w:p w:rsidR="001C36D8" w:rsidRPr="005B1E0B" w:rsidRDefault="001C36D8" w:rsidP="001A09F9">
            <w:pPr>
              <w:spacing w:before="29" w:line="360" w:lineRule="auto"/>
              <w:ind w:left="17"/>
              <w:jc w:val="left"/>
              <w:rPr>
                <w:sz w:val="24"/>
              </w:rPr>
            </w:pPr>
            <w:r w:rsidRPr="005B1E0B">
              <w:rPr>
                <w:color w:val="000000"/>
                <w:sz w:val="24"/>
              </w:rPr>
              <w:t>银行存款和结算备付金合计</w:t>
            </w:r>
          </w:p>
        </w:tc>
        <w:tc>
          <w:tcPr>
            <w:tcW w:w="2977"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38,645,875.43</w:t>
            </w:r>
          </w:p>
        </w:tc>
        <w:tc>
          <w:tcPr>
            <w:tcW w:w="1843" w:type="dxa"/>
            <w:vAlign w:val="center"/>
          </w:tcPr>
          <w:p w:rsidR="001C36D8" w:rsidRPr="005B1E0B" w:rsidRDefault="001C36D8" w:rsidP="001A09F9">
            <w:pPr>
              <w:spacing w:before="29" w:line="360" w:lineRule="auto"/>
              <w:ind w:left="17"/>
              <w:jc w:val="right"/>
              <w:rPr>
                <w:color w:val="000000"/>
                <w:sz w:val="24"/>
              </w:rPr>
            </w:pPr>
            <w:r w:rsidRPr="005B1E0B">
              <w:rPr>
                <w:color w:val="000000"/>
                <w:sz w:val="24"/>
              </w:rPr>
              <w:t>5.68</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7</w:t>
            </w:r>
          </w:p>
        </w:tc>
        <w:tc>
          <w:tcPr>
            <w:tcW w:w="3283" w:type="dxa"/>
            <w:vAlign w:val="center"/>
          </w:tcPr>
          <w:p w:rsidR="001C36D8" w:rsidRPr="005B1E0B" w:rsidRDefault="001C36D8" w:rsidP="001A09F9">
            <w:pPr>
              <w:jc w:val="left"/>
              <w:rPr>
                <w:sz w:val="24"/>
              </w:rPr>
            </w:pPr>
            <w:r w:rsidRPr="005B1E0B">
              <w:rPr>
                <w:color w:val="000000"/>
                <w:sz w:val="24"/>
              </w:rPr>
              <w:t>其他资产</w:t>
            </w:r>
          </w:p>
        </w:tc>
        <w:tc>
          <w:tcPr>
            <w:tcW w:w="2977" w:type="dxa"/>
            <w:vAlign w:val="center"/>
          </w:tcPr>
          <w:p w:rsidR="001C36D8" w:rsidRPr="005B1E0B" w:rsidRDefault="001C36D8" w:rsidP="001A09F9">
            <w:pPr>
              <w:jc w:val="right"/>
              <w:rPr>
                <w:color w:val="000000"/>
                <w:sz w:val="24"/>
              </w:rPr>
            </w:pPr>
            <w:r w:rsidRPr="005B1E0B">
              <w:rPr>
                <w:color w:val="000000"/>
                <w:sz w:val="24"/>
              </w:rPr>
              <w:t>734,166.73</w:t>
            </w:r>
          </w:p>
        </w:tc>
        <w:tc>
          <w:tcPr>
            <w:tcW w:w="1843" w:type="dxa"/>
            <w:vAlign w:val="center"/>
          </w:tcPr>
          <w:p w:rsidR="001C36D8" w:rsidRPr="005B1E0B" w:rsidRDefault="001C36D8" w:rsidP="001A09F9">
            <w:pPr>
              <w:jc w:val="right"/>
              <w:rPr>
                <w:color w:val="000000"/>
                <w:sz w:val="24"/>
              </w:rPr>
            </w:pPr>
            <w:r w:rsidRPr="005B1E0B">
              <w:rPr>
                <w:color w:val="000000"/>
                <w:sz w:val="24"/>
              </w:rPr>
              <w:t>0.11</w:t>
            </w:r>
          </w:p>
        </w:tc>
      </w:tr>
      <w:tr w:rsidR="001C36D8" w:rsidRPr="00264E55" w:rsidTr="00737AB0">
        <w:trPr>
          <w:jc w:val="center"/>
        </w:trPr>
        <w:tc>
          <w:tcPr>
            <w:tcW w:w="643" w:type="dxa"/>
            <w:vAlign w:val="center"/>
          </w:tcPr>
          <w:p w:rsidR="001C36D8" w:rsidRPr="005B1E0B" w:rsidRDefault="001C36D8" w:rsidP="001A09F9">
            <w:pPr>
              <w:spacing w:before="29" w:line="360" w:lineRule="auto"/>
              <w:ind w:left="17"/>
              <w:jc w:val="center"/>
              <w:rPr>
                <w:color w:val="000000"/>
                <w:sz w:val="24"/>
              </w:rPr>
            </w:pPr>
            <w:r w:rsidRPr="005B1E0B">
              <w:rPr>
                <w:color w:val="000000"/>
                <w:sz w:val="24"/>
              </w:rPr>
              <w:t>8</w:t>
            </w:r>
          </w:p>
        </w:tc>
        <w:tc>
          <w:tcPr>
            <w:tcW w:w="3283" w:type="dxa"/>
            <w:vAlign w:val="center"/>
          </w:tcPr>
          <w:p w:rsidR="001C36D8" w:rsidRPr="005B1E0B" w:rsidRDefault="001C36D8" w:rsidP="001A09F9">
            <w:pPr>
              <w:jc w:val="left"/>
              <w:rPr>
                <w:sz w:val="24"/>
              </w:rPr>
            </w:pPr>
            <w:r w:rsidRPr="005B1E0B">
              <w:rPr>
                <w:color w:val="000000"/>
                <w:sz w:val="24"/>
              </w:rPr>
              <w:t>合计</w:t>
            </w:r>
          </w:p>
        </w:tc>
        <w:tc>
          <w:tcPr>
            <w:tcW w:w="2977" w:type="dxa"/>
            <w:vAlign w:val="center"/>
          </w:tcPr>
          <w:p w:rsidR="001C36D8" w:rsidRPr="005B1E0B" w:rsidRDefault="001C36D8" w:rsidP="001A09F9">
            <w:pPr>
              <w:jc w:val="right"/>
              <w:rPr>
                <w:color w:val="000000"/>
                <w:sz w:val="24"/>
              </w:rPr>
            </w:pPr>
            <w:r w:rsidRPr="005B1E0B">
              <w:rPr>
                <w:color w:val="000000"/>
                <w:sz w:val="24"/>
              </w:rPr>
              <w:t>679,962,790.40</w:t>
            </w:r>
          </w:p>
        </w:tc>
        <w:tc>
          <w:tcPr>
            <w:tcW w:w="1843" w:type="dxa"/>
            <w:vAlign w:val="center"/>
          </w:tcPr>
          <w:p w:rsidR="001C36D8" w:rsidRPr="005B1E0B" w:rsidRDefault="001C36D8" w:rsidP="001A09F9">
            <w:pPr>
              <w:jc w:val="right"/>
              <w:rPr>
                <w:color w:val="000000"/>
                <w:sz w:val="24"/>
              </w:rPr>
            </w:pPr>
            <w:r w:rsidRPr="005B1E0B">
              <w:rPr>
                <w:color w:val="000000"/>
                <w:sz w:val="24"/>
              </w:rPr>
              <w:t>100.00</w:t>
            </w:r>
          </w:p>
        </w:tc>
      </w:tr>
    </w:tbl>
    <w:p w:rsidR="00737AB0" w:rsidRPr="00220C32" w:rsidRDefault="00737AB0" w:rsidP="00737AB0">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0C32">
        <w:rPr>
          <w:rFonts w:asciiTheme="minorEastAsia" w:eastAsiaTheme="minorEastAsia" w:hAnsiTheme="minorEastAsia"/>
          <w:b/>
          <w:bCs/>
          <w:color w:val="000000" w:themeColor="text1"/>
          <w:kern w:val="0"/>
          <w:sz w:val="24"/>
        </w:rPr>
        <w:t xml:space="preserve">5.2 </w:t>
      </w:r>
      <w:r w:rsidRPr="00220C32">
        <w:rPr>
          <w:rFonts w:asciiTheme="minorEastAsia" w:eastAsiaTheme="minorEastAsia" w:hAnsiTheme="minorEastAsia" w:hint="eastAsia"/>
          <w:b/>
          <w:bCs/>
          <w:color w:val="000000" w:themeColor="text1"/>
          <w:kern w:val="0"/>
          <w:sz w:val="24"/>
        </w:rPr>
        <w:t>报告期末按行业分类的股票投资组合</w:t>
      </w:r>
    </w:p>
    <w:p w:rsidR="00737AB0" w:rsidRPr="000D7474" w:rsidRDefault="00737AB0" w:rsidP="00737AB0">
      <w:pPr>
        <w:rPr>
          <w:rFonts w:asciiTheme="minorEastAsia" w:eastAsiaTheme="minorEastAsia" w:hAnsiTheme="minorEastAsia"/>
          <w:b/>
          <w:bCs/>
          <w:color w:val="000000" w:themeColor="text1"/>
          <w:kern w:val="0"/>
          <w:sz w:val="24"/>
        </w:rPr>
      </w:pPr>
      <w:r w:rsidRPr="000D7474">
        <w:rPr>
          <w:rFonts w:asciiTheme="minorEastAsia" w:eastAsiaTheme="minorEastAsia" w:hAnsiTheme="minorEastAsia" w:hint="eastAsia"/>
          <w:b/>
          <w:bCs/>
          <w:color w:val="000000" w:themeColor="text1"/>
          <w:kern w:val="0"/>
          <w:sz w:val="24"/>
        </w:rPr>
        <w:t>5.2.1报告期末按行业分类的境内股票投资组合</w:t>
      </w:r>
    </w:p>
    <w:tbl>
      <w:tblPr>
        <w:tblW w:w="89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5"/>
        <w:gridCol w:w="3691"/>
        <w:gridCol w:w="2852"/>
        <w:gridCol w:w="1648"/>
      </w:tblGrid>
      <w:tr w:rsidR="00737AB0" w:rsidRPr="008C2A4F" w:rsidTr="00737AB0">
        <w:trPr>
          <w:trHeight w:val="390"/>
        </w:trPr>
        <w:tc>
          <w:tcPr>
            <w:tcW w:w="785" w:type="dxa"/>
            <w:tcBorders>
              <w:top w:val="single" w:sz="4" w:space="0" w:color="000000"/>
              <w:left w:val="single" w:sz="4" w:space="0" w:color="000000"/>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占基金资产净值比例（％）</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utoSpaceDE w:val="0"/>
              <w:autoSpaceDN w:val="0"/>
              <w:adjustRightInd w:val="0"/>
              <w:spacing w:before="29" w:line="360" w:lineRule="auto"/>
              <w:ind w:left="15"/>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p w:rsidR="00737AB0" w:rsidRPr="008C2A4F" w:rsidRDefault="00737AB0" w:rsidP="00D94F96">
            <w:pPr>
              <w:jc w:val="right"/>
              <w:rPr>
                <w:rFonts w:eastAsiaTheme="minorEastAsia"/>
                <w:color w:val="000000" w:themeColor="text1"/>
                <w:kern w:val="0"/>
                <w:sz w:val="24"/>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p w:rsidR="00737AB0" w:rsidRPr="008C2A4F" w:rsidRDefault="00737AB0" w:rsidP="00D94F96">
            <w:pPr>
              <w:jc w:val="right"/>
              <w:rPr>
                <w:rFonts w:eastAsiaTheme="minorEastAsia"/>
                <w:color w:val="000000" w:themeColor="text1"/>
                <w:kern w:val="0"/>
                <w:sz w:val="24"/>
              </w:rPr>
            </w:pP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2,812,143.09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0.41</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19,147.31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0.00</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2,158,782.50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0.32</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3,454,201.76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0.51</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631,387,923.82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93.11</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17,552.98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0.00</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r w:rsidRPr="008C2A4F">
              <w:rPr>
                <w:rFonts w:eastAsiaTheme="minorEastAsia"/>
                <w:color w:val="000000" w:themeColor="text1"/>
                <w:kern w:val="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w:t>
            </w:r>
          </w:p>
        </w:tc>
      </w:tr>
      <w:tr w:rsidR="00737AB0" w:rsidRPr="008C2A4F" w:rsidTr="00737AB0">
        <w:trPr>
          <w:trHeight w:val="285"/>
        </w:trPr>
        <w:tc>
          <w:tcPr>
            <w:tcW w:w="7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jc w:val="center"/>
              <w:rPr>
                <w:rFonts w:eastAsiaTheme="minorEastAsia"/>
                <w:color w:val="000000" w:themeColor="text1"/>
                <w:kern w:val="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737AB0" w:rsidRPr="008C2A4F" w:rsidRDefault="00737AB0" w:rsidP="00D94F96">
            <w:pPr>
              <w:adjustRightInd w:val="0"/>
              <w:snapToGrid w:val="0"/>
              <w:spacing w:line="400" w:lineRule="exact"/>
              <w:rPr>
                <w:rFonts w:eastAsiaTheme="minorEastAsia"/>
                <w:color w:val="000000" w:themeColor="text1"/>
                <w:kern w:val="0"/>
                <w:sz w:val="24"/>
              </w:rPr>
            </w:pPr>
            <w:r w:rsidRPr="008C2A4F">
              <w:rPr>
                <w:rFonts w:eastAsiaTheme="minorEastAsia"/>
                <w:color w:val="000000" w:themeColor="text1"/>
                <w:kern w:val="0"/>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639,849,751.46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37AB0" w:rsidRPr="008C2A4F" w:rsidRDefault="00737AB0" w:rsidP="00D94F96">
            <w:pPr>
              <w:jc w:val="right"/>
              <w:rPr>
                <w:rFonts w:eastAsiaTheme="minorEastAsia"/>
                <w:color w:val="000000" w:themeColor="text1"/>
                <w:kern w:val="0"/>
                <w:sz w:val="24"/>
              </w:rPr>
            </w:pPr>
            <w:r w:rsidRPr="008C2A4F">
              <w:rPr>
                <w:rFonts w:eastAsiaTheme="minorEastAsia"/>
                <w:color w:val="000000" w:themeColor="text1"/>
                <w:kern w:val="0"/>
                <w:sz w:val="24"/>
              </w:rPr>
              <w:t>94.36</w:t>
            </w:r>
          </w:p>
        </w:tc>
      </w:tr>
    </w:tbl>
    <w:p w:rsidR="000F2837" w:rsidRPr="000F2837" w:rsidRDefault="001C36D8" w:rsidP="000F2837">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5.3</w:t>
      </w:r>
      <w:r w:rsidR="00291A74" w:rsidRPr="00291A74">
        <w:rPr>
          <w:rFonts w:ascii="宋体" w:hAnsi="宋体" w:cs="Arial" w:hint="eastAsia"/>
          <w:b/>
          <w:color w:val="000000"/>
          <w:kern w:val="0"/>
          <w:sz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0F2837" w:rsidRPr="00264E55" w:rsidTr="002406DE">
        <w:tc>
          <w:tcPr>
            <w:tcW w:w="85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序号</w:t>
            </w:r>
          </w:p>
        </w:tc>
        <w:tc>
          <w:tcPr>
            <w:tcW w:w="1276"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股票代码</w:t>
            </w:r>
          </w:p>
        </w:tc>
        <w:tc>
          <w:tcPr>
            <w:tcW w:w="1418"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股票名称</w:t>
            </w:r>
          </w:p>
        </w:tc>
        <w:tc>
          <w:tcPr>
            <w:tcW w:w="1701"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数量（股）</w:t>
            </w:r>
          </w:p>
        </w:tc>
        <w:tc>
          <w:tcPr>
            <w:tcW w:w="1984" w:type="dxa"/>
            <w:vAlign w:val="center"/>
          </w:tcPr>
          <w:p w:rsidR="000F2837" w:rsidRPr="00232B03" w:rsidRDefault="000F2837" w:rsidP="002406DE">
            <w:pPr>
              <w:autoSpaceDE w:val="0"/>
              <w:autoSpaceDN w:val="0"/>
              <w:adjustRightInd w:val="0"/>
              <w:spacing w:before="29" w:line="360" w:lineRule="auto"/>
              <w:ind w:left="17"/>
              <w:jc w:val="center"/>
              <w:rPr>
                <w:color w:val="000000"/>
                <w:kern w:val="0"/>
                <w:sz w:val="24"/>
              </w:rPr>
            </w:pPr>
            <w:r w:rsidRPr="00232B03">
              <w:rPr>
                <w:color w:val="000000"/>
                <w:kern w:val="0"/>
                <w:sz w:val="24"/>
              </w:rPr>
              <w:t>公允价值（元）</w:t>
            </w:r>
          </w:p>
        </w:tc>
        <w:tc>
          <w:tcPr>
            <w:tcW w:w="1559" w:type="dxa"/>
            <w:vAlign w:val="center"/>
          </w:tcPr>
          <w:p w:rsidR="000F2837" w:rsidRPr="00232B03" w:rsidRDefault="000F2837" w:rsidP="002406DE">
            <w:pPr>
              <w:spacing w:before="29" w:line="360" w:lineRule="auto"/>
              <w:ind w:left="17"/>
              <w:jc w:val="center"/>
              <w:rPr>
                <w:color w:val="000000"/>
                <w:kern w:val="0"/>
                <w:sz w:val="24"/>
              </w:rPr>
            </w:pPr>
            <w:r w:rsidRPr="00232B03">
              <w:rPr>
                <w:color w:val="000000"/>
                <w:kern w:val="0"/>
                <w:sz w:val="24"/>
              </w:rPr>
              <w:t>占基金资产净值比例（％）</w:t>
            </w:r>
          </w:p>
        </w:tc>
      </w:tr>
      <w:tr w:rsidR="000478A5">
        <w:tc>
          <w:tcPr>
            <w:tcW w:w="0" w:type="auto"/>
            <w:vAlign w:val="center"/>
          </w:tcPr>
          <w:p w:rsidR="000478A5" w:rsidRDefault="00475522">
            <w:pPr>
              <w:jc w:val="center"/>
            </w:pPr>
            <w:r>
              <w:rPr>
                <w:color w:val="000000"/>
                <w:kern w:val="0"/>
                <w:sz w:val="24"/>
              </w:rPr>
              <w:t>1</w:t>
            </w:r>
          </w:p>
        </w:tc>
        <w:tc>
          <w:tcPr>
            <w:tcW w:w="0" w:type="auto"/>
            <w:vAlign w:val="center"/>
          </w:tcPr>
          <w:p w:rsidR="000478A5" w:rsidRDefault="00475522">
            <w:pPr>
              <w:jc w:val="center"/>
            </w:pPr>
            <w:r>
              <w:rPr>
                <w:color w:val="000000"/>
                <w:kern w:val="0"/>
                <w:sz w:val="24"/>
              </w:rPr>
              <w:t>600030</w:t>
            </w:r>
          </w:p>
        </w:tc>
        <w:tc>
          <w:tcPr>
            <w:tcW w:w="0" w:type="auto"/>
            <w:vAlign w:val="center"/>
          </w:tcPr>
          <w:p w:rsidR="000478A5" w:rsidRDefault="00475522">
            <w:pPr>
              <w:jc w:val="center"/>
            </w:pPr>
            <w:r>
              <w:rPr>
                <w:color w:val="000000"/>
                <w:kern w:val="0"/>
                <w:sz w:val="24"/>
              </w:rPr>
              <w:t>中信证券</w:t>
            </w:r>
          </w:p>
        </w:tc>
        <w:tc>
          <w:tcPr>
            <w:tcW w:w="0" w:type="auto"/>
            <w:vAlign w:val="center"/>
          </w:tcPr>
          <w:p w:rsidR="000478A5" w:rsidRDefault="00475522">
            <w:pPr>
              <w:jc w:val="right"/>
            </w:pPr>
            <w:r>
              <w:rPr>
                <w:color w:val="000000"/>
                <w:kern w:val="0"/>
                <w:sz w:val="24"/>
              </w:rPr>
              <w:t>4,897,761</w:t>
            </w:r>
          </w:p>
        </w:tc>
        <w:tc>
          <w:tcPr>
            <w:tcW w:w="0" w:type="auto"/>
            <w:vAlign w:val="center"/>
          </w:tcPr>
          <w:p w:rsidR="000478A5" w:rsidRDefault="00475522">
            <w:pPr>
              <w:jc w:val="right"/>
            </w:pPr>
            <w:r>
              <w:rPr>
                <w:color w:val="000000"/>
                <w:kern w:val="0"/>
                <w:sz w:val="24"/>
              </w:rPr>
              <w:t>108,534,383.76</w:t>
            </w:r>
          </w:p>
        </w:tc>
        <w:tc>
          <w:tcPr>
            <w:tcW w:w="0" w:type="auto"/>
            <w:vAlign w:val="center"/>
          </w:tcPr>
          <w:p w:rsidR="000478A5" w:rsidRDefault="00475522">
            <w:pPr>
              <w:jc w:val="right"/>
            </w:pPr>
            <w:r>
              <w:rPr>
                <w:color w:val="000000"/>
                <w:kern w:val="0"/>
                <w:sz w:val="24"/>
              </w:rPr>
              <w:t>16.01</w:t>
            </w:r>
          </w:p>
        </w:tc>
      </w:tr>
      <w:tr w:rsidR="000478A5">
        <w:tc>
          <w:tcPr>
            <w:tcW w:w="0" w:type="auto"/>
            <w:vAlign w:val="center"/>
          </w:tcPr>
          <w:p w:rsidR="000478A5" w:rsidRDefault="00475522">
            <w:pPr>
              <w:jc w:val="center"/>
            </w:pPr>
            <w:r>
              <w:rPr>
                <w:color w:val="000000"/>
                <w:kern w:val="0"/>
                <w:sz w:val="24"/>
              </w:rPr>
              <w:t>2</w:t>
            </w:r>
          </w:p>
        </w:tc>
        <w:tc>
          <w:tcPr>
            <w:tcW w:w="0" w:type="auto"/>
            <w:vAlign w:val="center"/>
          </w:tcPr>
          <w:p w:rsidR="000478A5" w:rsidRDefault="00475522">
            <w:pPr>
              <w:jc w:val="center"/>
            </w:pPr>
            <w:r>
              <w:rPr>
                <w:color w:val="000000"/>
                <w:kern w:val="0"/>
                <w:sz w:val="24"/>
              </w:rPr>
              <w:t>600837</w:t>
            </w:r>
          </w:p>
        </w:tc>
        <w:tc>
          <w:tcPr>
            <w:tcW w:w="0" w:type="auto"/>
            <w:vAlign w:val="center"/>
          </w:tcPr>
          <w:p w:rsidR="000478A5" w:rsidRDefault="00475522">
            <w:pPr>
              <w:jc w:val="center"/>
            </w:pPr>
            <w:r>
              <w:rPr>
                <w:color w:val="000000"/>
                <w:kern w:val="0"/>
                <w:sz w:val="24"/>
              </w:rPr>
              <w:t>海通证券</w:t>
            </w:r>
          </w:p>
        </w:tc>
        <w:tc>
          <w:tcPr>
            <w:tcW w:w="0" w:type="auto"/>
            <w:vAlign w:val="center"/>
          </w:tcPr>
          <w:p w:rsidR="000478A5" w:rsidRDefault="00475522">
            <w:pPr>
              <w:jc w:val="right"/>
            </w:pPr>
            <w:r>
              <w:rPr>
                <w:color w:val="000000"/>
                <w:kern w:val="0"/>
                <w:sz w:val="24"/>
              </w:rPr>
              <w:t>4,204,426</w:t>
            </w:r>
          </w:p>
        </w:tc>
        <w:tc>
          <w:tcPr>
            <w:tcW w:w="0" w:type="auto"/>
            <w:vAlign w:val="center"/>
          </w:tcPr>
          <w:p w:rsidR="000478A5" w:rsidRDefault="00475522">
            <w:pPr>
              <w:jc w:val="right"/>
            </w:pPr>
            <w:r>
              <w:rPr>
                <w:color w:val="000000"/>
                <w:kern w:val="0"/>
                <w:sz w:val="24"/>
              </w:rPr>
              <w:t>53,984,829.84</w:t>
            </w:r>
          </w:p>
        </w:tc>
        <w:tc>
          <w:tcPr>
            <w:tcW w:w="0" w:type="auto"/>
            <w:vAlign w:val="center"/>
          </w:tcPr>
          <w:p w:rsidR="000478A5" w:rsidRDefault="00475522">
            <w:pPr>
              <w:jc w:val="right"/>
            </w:pPr>
            <w:r>
              <w:rPr>
                <w:color w:val="000000"/>
                <w:kern w:val="0"/>
                <w:sz w:val="24"/>
              </w:rPr>
              <w:t>7.96</w:t>
            </w:r>
          </w:p>
        </w:tc>
      </w:tr>
      <w:tr w:rsidR="000478A5">
        <w:tc>
          <w:tcPr>
            <w:tcW w:w="0" w:type="auto"/>
            <w:vAlign w:val="center"/>
          </w:tcPr>
          <w:p w:rsidR="000478A5" w:rsidRDefault="00475522">
            <w:pPr>
              <w:jc w:val="center"/>
            </w:pPr>
            <w:r>
              <w:rPr>
                <w:color w:val="000000"/>
                <w:kern w:val="0"/>
                <w:sz w:val="24"/>
              </w:rPr>
              <w:t>3</w:t>
            </w:r>
          </w:p>
        </w:tc>
        <w:tc>
          <w:tcPr>
            <w:tcW w:w="0" w:type="auto"/>
            <w:vAlign w:val="center"/>
          </w:tcPr>
          <w:p w:rsidR="000478A5" w:rsidRDefault="00475522">
            <w:pPr>
              <w:jc w:val="center"/>
            </w:pPr>
            <w:r>
              <w:rPr>
                <w:color w:val="000000"/>
                <w:kern w:val="0"/>
                <w:sz w:val="24"/>
              </w:rPr>
              <w:t>300059</w:t>
            </w:r>
          </w:p>
        </w:tc>
        <w:tc>
          <w:tcPr>
            <w:tcW w:w="0" w:type="auto"/>
            <w:vAlign w:val="center"/>
          </w:tcPr>
          <w:p w:rsidR="000478A5" w:rsidRDefault="00475522">
            <w:pPr>
              <w:jc w:val="center"/>
            </w:pPr>
            <w:r>
              <w:rPr>
                <w:color w:val="000000"/>
                <w:kern w:val="0"/>
                <w:sz w:val="24"/>
              </w:rPr>
              <w:t>东方财富</w:t>
            </w:r>
          </w:p>
        </w:tc>
        <w:tc>
          <w:tcPr>
            <w:tcW w:w="0" w:type="auto"/>
            <w:vAlign w:val="center"/>
          </w:tcPr>
          <w:p w:rsidR="000478A5" w:rsidRDefault="00475522">
            <w:pPr>
              <w:jc w:val="right"/>
            </w:pPr>
            <w:r>
              <w:rPr>
                <w:color w:val="000000"/>
                <w:kern w:val="0"/>
                <w:sz w:val="24"/>
              </w:rPr>
              <w:t>2,791,420</w:t>
            </w:r>
          </w:p>
        </w:tc>
        <w:tc>
          <w:tcPr>
            <w:tcW w:w="0" w:type="auto"/>
            <w:vAlign w:val="center"/>
          </w:tcPr>
          <w:p w:rsidR="000478A5" w:rsidRDefault="00475522">
            <w:pPr>
              <w:jc w:val="right"/>
            </w:pPr>
            <w:r>
              <w:rPr>
                <w:color w:val="000000"/>
                <w:kern w:val="0"/>
                <w:sz w:val="24"/>
              </w:rPr>
              <w:t>44,802,291.00</w:t>
            </w:r>
          </w:p>
        </w:tc>
        <w:tc>
          <w:tcPr>
            <w:tcW w:w="0" w:type="auto"/>
            <w:vAlign w:val="center"/>
          </w:tcPr>
          <w:p w:rsidR="000478A5" w:rsidRDefault="00475522">
            <w:pPr>
              <w:jc w:val="right"/>
            </w:pPr>
            <w:r>
              <w:rPr>
                <w:color w:val="000000"/>
                <w:kern w:val="0"/>
                <w:sz w:val="24"/>
              </w:rPr>
              <w:t>6.61</w:t>
            </w:r>
          </w:p>
        </w:tc>
      </w:tr>
      <w:tr w:rsidR="000478A5">
        <w:tc>
          <w:tcPr>
            <w:tcW w:w="0" w:type="auto"/>
            <w:vAlign w:val="center"/>
          </w:tcPr>
          <w:p w:rsidR="000478A5" w:rsidRDefault="00475522">
            <w:pPr>
              <w:jc w:val="center"/>
            </w:pPr>
            <w:r>
              <w:rPr>
                <w:color w:val="000000"/>
                <w:kern w:val="0"/>
                <w:sz w:val="24"/>
              </w:rPr>
              <w:t>4</w:t>
            </w:r>
          </w:p>
        </w:tc>
        <w:tc>
          <w:tcPr>
            <w:tcW w:w="0" w:type="auto"/>
            <w:vAlign w:val="center"/>
          </w:tcPr>
          <w:p w:rsidR="000478A5" w:rsidRDefault="00475522">
            <w:pPr>
              <w:jc w:val="center"/>
            </w:pPr>
            <w:r>
              <w:rPr>
                <w:color w:val="000000"/>
                <w:kern w:val="0"/>
                <w:sz w:val="24"/>
              </w:rPr>
              <w:t>601688</w:t>
            </w:r>
          </w:p>
        </w:tc>
        <w:tc>
          <w:tcPr>
            <w:tcW w:w="0" w:type="auto"/>
            <w:vAlign w:val="center"/>
          </w:tcPr>
          <w:p w:rsidR="000478A5" w:rsidRDefault="00475522">
            <w:pPr>
              <w:jc w:val="center"/>
            </w:pPr>
            <w:r>
              <w:rPr>
                <w:color w:val="000000"/>
                <w:kern w:val="0"/>
                <w:sz w:val="24"/>
              </w:rPr>
              <w:t>华泰证券</w:t>
            </w:r>
          </w:p>
        </w:tc>
        <w:tc>
          <w:tcPr>
            <w:tcW w:w="0" w:type="auto"/>
            <w:vAlign w:val="center"/>
          </w:tcPr>
          <w:p w:rsidR="000478A5" w:rsidRDefault="00475522">
            <w:pPr>
              <w:jc w:val="right"/>
            </w:pPr>
            <w:r>
              <w:rPr>
                <w:color w:val="000000"/>
                <w:kern w:val="0"/>
                <w:sz w:val="24"/>
              </w:rPr>
              <w:t>2,293,708</w:t>
            </w:r>
          </w:p>
        </w:tc>
        <w:tc>
          <w:tcPr>
            <w:tcW w:w="0" w:type="auto"/>
            <w:vAlign w:val="center"/>
          </w:tcPr>
          <w:p w:rsidR="000478A5" w:rsidRDefault="00475522">
            <w:pPr>
              <w:jc w:val="right"/>
            </w:pPr>
            <w:r>
              <w:rPr>
                <w:color w:val="000000"/>
                <w:kern w:val="0"/>
                <w:sz w:val="24"/>
              </w:rPr>
              <w:t>39,520,588.84</w:t>
            </w:r>
          </w:p>
        </w:tc>
        <w:tc>
          <w:tcPr>
            <w:tcW w:w="0" w:type="auto"/>
            <w:vAlign w:val="center"/>
          </w:tcPr>
          <w:p w:rsidR="000478A5" w:rsidRDefault="00475522">
            <w:pPr>
              <w:jc w:val="right"/>
            </w:pPr>
            <w:r>
              <w:rPr>
                <w:color w:val="000000"/>
                <w:kern w:val="0"/>
                <w:sz w:val="24"/>
              </w:rPr>
              <w:t>5.83</w:t>
            </w:r>
          </w:p>
        </w:tc>
      </w:tr>
      <w:tr w:rsidR="000478A5">
        <w:tc>
          <w:tcPr>
            <w:tcW w:w="0" w:type="auto"/>
            <w:vAlign w:val="center"/>
          </w:tcPr>
          <w:p w:rsidR="000478A5" w:rsidRDefault="00475522">
            <w:pPr>
              <w:jc w:val="center"/>
            </w:pPr>
            <w:r>
              <w:rPr>
                <w:color w:val="000000"/>
                <w:kern w:val="0"/>
                <w:sz w:val="24"/>
              </w:rPr>
              <w:t>5</w:t>
            </w:r>
          </w:p>
        </w:tc>
        <w:tc>
          <w:tcPr>
            <w:tcW w:w="0" w:type="auto"/>
            <w:vAlign w:val="center"/>
          </w:tcPr>
          <w:p w:rsidR="000478A5" w:rsidRDefault="00475522">
            <w:pPr>
              <w:jc w:val="center"/>
            </w:pPr>
            <w:r>
              <w:rPr>
                <w:color w:val="000000"/>
                <w:kern w:val="0"/>
                <w:sz w:val="24"/>
              </w:rPr>
              <w:t>601211</w:t>
            </w:r>
          </w:p>
        </w:tc>
        <w:tc>
          <w:tcPr>
            <w:tcW w:w="0" w:type="auto"/>
            <w:vAlign w:val="center"/>
          </w:tcPr>
          <w:p w:rsidR="000478A5" w:rsidRDefault="00475522">
            <w:pPr>
              <w:jc w:val="center"/>
            </w:pPr>
            <w:r>
              <w:rPr>
                <w:color w:val="000000"/>
                <w:kern w:val="0"/>
                <w:sz w:val="24"/>
              </w:rPr>
              <w:t>国泰君安</w:t>
            </w:r>
          </w:p>
        </w:tc>
        <w:tc>
          <w:tcPr>
            <w:tcW w:w="0" w:type="auto"/>
            <w:vAlign w:val="center"/>
          </w:tcPr>
          <w:p w:rsidR="000478A5" w:rsidRDefault="00475522">
            <w:pPr>
              <w:jc w:val="right"/>
            </w:pPr>
            <w:r>
              <w:rPr>
                <w:color w:val="000000"/>
                <w:kern w:val="0"/>
                <w:sz w:val="24"/>
              </w:rPr>
              <w:t>2,343,087</w:t>
            </w:r>
          </w:p>
        </w:tc>
        <w:tc>
          <w:tcPr>
            <w:tcW w:w="0" w:type="auto"/>
            <w:vAlign w:val="center"/>
          </w:tcPr>
          <w:p w:rsidR="000478A5" w:rsidRDefault="00475522">
            <w:pPr>
              <w:jc w:val="right"/>
            </w:pPr>
            <w:r>
              <w:rPr>
                <w:color w:val="000000"/>
                <w:kern w:val="0"/>
                <w:sz w:val="24"/>
              </w:rPr>
              <w:t>38,145,456.36</w:t>
            </w:r>
          </w:p>
        </w:tc>
        <w:tc>
          <w:tcPr>
            <w:tcW w:w="0" w:type="auto"/>
            <w:vAlign w:val="center"/>
          </w:tcPr>
          <w:p w:rsidR="000478A5" w:rsidRDefault="00475522">
            <w:pPr>
              <w:jc w:val="right"/>
            </w:pPr>
            <w:r>
              <w:rPr>
                <w:color w:val="000000"/>
                <w:kern w:val="0"/>
                <w:sz w:val="24"/>
              </w:rPr>
              <w:t>5.63</w:t>
            </w:r>
          </w:p>
        </w:tc>
      </w:tr>
      <w:tr w:rsidR="000478A5">
        <w:tc>
          <w:tcPr>
            <w:tcW w:w="0" w:type="auto"/>
            <w:vAlign w:val="center"/>
          </w:tcPr>
          <w:p w:rsidR="000478A5" w:rsidRDefault="00475522">
            <w:pPr>
              <w:jc w:val="center"/>
            </w:pPr>
            <w:r>
              <w:rPr>
                <w:color w:val="000000"/>
                <w:kern w:val="0"/>
                <w:sz w:val="24"/>
              </w:rPr>
              <w:t>6</w:t>
            </w:r>
          </w:p>
        </w:tc>
        <w:tc>
          <w:tcPr>
            <w:tcW w:w="0" w:type="auto"/>
            <w:vAlign w:val="center"/>
          </w:tcPr>
          <w:p w:rsidR="000478A5" w:rsidRDefault="00475522">
            <w:pPr>
              <w:jc w:val="center"/>
            </w:pPr>
            <w:r>
              <w:rPr>
                <w:color w:val="000000"/>
                <w:kern w:val="0"/>
                <w:sz w:val="24"/>
              </w:rPr>
              <w:t>600999</w:t>
            </w:r>
          </w:p>
        </w:tc>
        <w:tc>
          <w:tcPr>
            <w:tcW w:w="0" w:type="auto"/>
            <w:vAlign w:val="center"/>
          </w:tcPr>
          <w:p w:rsidR="000478A5" w:rsidRDefault="00475522">
            <w:pPr>
              <w:jc w:val="center"/>
            </w:pPr>
            <w:r>
              <w:rPr>
                <w:color w:val="000000"/>
                <w:kern w:val="0"/>
                <w:sz w:val="24"/>
              </w:rPr>
              <w:t>招商证券</w:t>
            </w:r>
          </w:p>
        </w:tc>
        <w:tc>
          <w:tcPr>
            <w:tcW w:w="0" w:type="auto"/>
            <w:vAlign w:val="center"/>
          </w:tcPr>
          <w:p w:rsidR="000478A5" w:rsidRDefault="00475522">
            <w:pPr>
              <w:jc w:val="right"/>
            </w:pPr>
            <w:r>
              <w:rPr>
                <w:color w:val="000000"/>
                <w:kern w:val="0"/>
                <w:sz w:val="24"/>
              </w:rPr>
              <w:t>1,485,747</w:t>
            </w:r>
          </w:p>
        </w:tc>
        <w:tc>
          <w:tcPr>
            <w:tcW w:w="0" w:type="auto"/>
            <w:vAlign w:val="center"/>
          </w:tcPr>
          <w:p w:rsidR="000478A5" w:rsidRDefault="00475522">
            <w:pPr>
              <w:jc w:val="right"/>
            </w:pPr>
            <w:r>
              <w:rPr>
                <w:color w:val="000000"/>
                <w:kern w:val="0"/>
                <w:sz w:val="24"/>
              </w:rPr>
              <w:t>25,435,988.64</w:t>
            </w:r>
          </w:p>
        </w:tc>
        <w:tc>
          <w:tcPr>
            <w:tcW w:w="0" w:type="auto"/>
            <w:vAlign w:val="center"/>
          </w:tcPr>
          <w:p w:rsidR="000478A5" w:rsidRDefault="00475522">
            <w:pPr>
              <w:jc w:val="right"/>
            </w:pPr>
            <w:r>
              <w:rPr>
                <w:color w:val="000000"/>
                <w:kern w:val="0"/>
                <w:sz w:val="24"/>
              </w:rPr>
              <w:t>3.75</w:t>
            </w:r>
          </w:p>
        </w:tc>
      </w:tr>
      <w:tr w:rsidR="000478A5">
        <w:tc>
          <w:tcPr>
            <w:tcW w:w="0" w:type="auto"/>
            <w:vAlign w:val="center"/>
          </w:tcPr>
          <w:p w:rsidR="000478A5" w:rsidRDefault="00475522">
            <w:pPr>
              <w:jc w:val="center"/>
            </w:pPr>
            <w:r>
              <w:rPr>
                <w:color w:val="000000"/>
                <w:kern w:val="0"/>
                <w:sz w:val="24"/>
              </w:rPr>
              <w:t>7</w:t>
            </w:r>
          </w:p>
        </w:tc>
        <w:tc>
          <w:tcPr>
            <w:tcW w:w="0" w:type="auto"/>
            <w:vAlign w:val="center"/>
          </w:tcPr>
          <w:p w:rsidR="000478A5" w:rsidRDefault="00475522">
            <w:pPr>
              <w:jc w:val="center"/>
            </w:pPr>
            <w:r>
              <w:rPr>
                <w:color w:val="000000"/>
                <w:kern w:val="0"/>
                <w:sz w:val="24"/>
              </w:rPr>
              <w:t>000166</w:t>
            </w:r>
          </w:p>
        </w:tc>
        <w:tc>
          <w:tcPr>
            <w:tcW w:w="0" w:type="auto"/>
            <w:vAlign w:val="center"/>
          </w:tcPr>
          <w:p w:rsidR="000478A5" w:rsidRDefault="00475522">
            <w:pPr>
              <w:jc w:val="center"/>
            </w:pPr>
            <w:r>
              <w:rPr>
                <w:color w:val="000000"/>
                <w:kern w:val="0"/>
                <w:sz w:val="24"/>
              </w:rPr>
              <w:t>申万宏源</w:t>
            </w:r>
          </w:p>
        </w:tc>
        <w:tc>
          <w:tcPr>
            <w:tcW w:w="0" w:type="auto"/>
            <w:vAlign w:val="center"/>
          </w:tcPr>
          <w:p w:rsidR="000478A5" w:rsidRDefault="00475522">
            <w:pPr>
              <w:jc w:val="right"/>
            </w:pPr>
            <w:r>
              <w:rPr>
                <w:color w:val="000000"/>
                <w:kern w:val="0"/>
                <w:sz w:val="24"/>
              </w:rPr>
              <w:t>4,683,573</w:t>
            </w:r>
          </w:p>
        </w:tc>
        <w:tc>
          <w:tcPr>
            <w:tcW w:w="0" w:type="auto"/>
            <w:vAlign w:val="center"/>
          </w:tcPr>
          <w:p w:rsidR="000478A5" w:rsidRDefault="00475522">
            <w:pPr>
              <w:jc w:val="right"/>
            </w:pPr>
            <w:r>
              <w:rPr>
                <w:color w:val="000000"/>
                <w:kern w:val="0"/>
                <w:sz w:val="24"/>
              </w:rPr>
              <w:t>20,654,556.93</w:t>
            </w:r>
          </w:p>
        </w:tc>
        <w:tc>
          <w:tcPr>
            <w:tcW w:w="0" w:type="auto"/>
            <w:vAlign w:val="center"/>
          </w:tcPr>
          <w:p w:rsidR="000478A5" w:rsidRDefault="00475522">
            <w:pPr>
              <w:jc w:val="right"/>
            </w:pPr>
            <w:r>
              <w:rPr>
                <w:color w:val="000000"/>
                <w:kern w:val="0"/>
                <w:sz w:val="24"/>
              </w:rPr>
              <w:t>3.05</w:t>
            </w:r>
          </w:p>
        </w:tc>
      </w:tr>
      <w:tr w:rsidR="000478A5">
        <w:tc>
          <w:tcPr>
            <w:tcW w:w="0" w:type="auto"/>
            <w:vAlign w:val="center"/>
          </w:tcPr>
          <w:p w:rsidR="000478A5" w:rsidRDefault="00475522">
            <w:pPr>
              <w:jc w:val="center"/>
            </w:pPr>
            <w:r>
              <w:rPr>
                <w:color w:val="000000"/>
                <w:kern w:val="0"/>
                <w:sz w:val="24"/>
              </w:rPr>
              <w:t>8</w:t>
            </w:r>
          </w:p>
        </w:tc>
        <w:tc>
          <w:tcPr>
            <w:tcW w:w="0" w:type="auto"/>
            <w:vAlign w:val="center"/>
          </w:tcPr>
          <w:p w:rsidR="000478A5" w:rsidRDefault="00475522">
            <w:pPr>
              <w:jc w:val="center"/>
            </w:pPr>
            <w:r>
              <w:rPr>
                <w:color w:val="000000"/>
                <w:kern w:val="0"/>
                <w:sz w:val="24"/>
              </w:rPr>
              <w:t>600958</w:t>
            </w:r>
          </w:p>
        </w:tc>
        <w:tc>
          <w:tcPr>
            <w:tcW w:w="0" w:type="auto"/>
            <w:vAlign w:val="center"/>
          </w:tcPr>
          <w:p w:rsidR="000478A5" w:rsidRDefault="00475522">
            <w:pPr>
              <w:jc w:val="center"/>
            </w:pPr>
            <w:r>
              <w:rPr>
                <w:color w:val="000000"/>
                <w:kern w:val="0"/>
                <w:sz w:val="24"/>
              </w:rPr>
              <w:t>东方证券</w:t>
            </w:r>
          </w:p>
        </w:tc>
        <w:tc>
          <w:tcPr>
            <w:tcW w:w="0" w:type="auto"/>
            <w:vAlign w:val="center"/>
          </w:tcPr>
          <w:p w:rsidR="000478A5" w:rsidRDefault="00475522">
            <w:pPr>
              <w:jc w:val="right"/>
            </w:pPr>
            <w:r>
              <w:rPr>
                <w:color w:val="000000"/>
                <w:kern w:val="0"/>
                <w:sz w:val="24"/>
              </w:rPr>
              <w:t>1,860,063</w:t>
            </w:r>
          </w:p>
        </w:tc>
        <w:tc>
          <w:tcPr>
            <w:tcW w:w="0" w:type="auto"/>
            <w:vAlign w:val="center"/>
          </w:tcPr>
          <w:p w:rsidR="000478A5" w:rsidRDefault="00475522">
            <w:pPr>
              <w:jc w:val="right"/>
            </w:pPr>
            <w:r>
              <w:rPr>
                <w:color w:val="000000"/>
                <w:kern w:val="0"/>
                <w:sz w:val="24"/>
              </w:rPr>
              <w:t>16,963,774.56</w:t>
            </w:r>
          </w:p>
        </w:tc>
        <w:tc>
          <w:tcPr>
            <w:tcW w:w="0" w:type="auto"/>
            <w:vAlign w:val="center"/>
          </w:tcPr>
          <w:p w:rsidR="000478A5" w:rsidRDefault="00475522">
            <w:pPr>
              <w:jc w:val="right"/>
            </w:pPr>
            <w:r>
              <w:rPr>
                <w:color w:val="000000"/>
                <w:kern w:val="0"/>
                <w:sz w:val="24"/>
              </w:rPr>
              <w:t>2.50</w:t>
            </w:r>
          </w:p>
        </w:tc>
      </w:tr>
      <w:tr w:rsidR="000478A5">
        <w:tc>
          <w:tcPr>
            <w:tcW w:w="0" w:type="auto"/>
            <w:vAlign w:val="center"/>
          </w:tcPr>
          <w:p w:rsidR="000478A5" w:rsidRDefault="00475522">
            <w:pPr>
              <w:jc w:val="center"/>
            </w:pPr>
            <w:r>
              <w:rPr>
                <w:color w:val="000000"/>
                <w:kern w:val="0"/>
                <w:sz w:val="24"/>
              </w:rPr>
              <w:t>9</w:t>
            </w:r>
          </w:p>
        </w:tc>
        <w:tc>
          <w:tcPr>
            <w:tcW w:w="0" w:type="auto"/>
            <w:vAlign w:val="center"/>
          </w:tcPr>
          <w:p w:rsidR="000478A5" w:rsidRDefault="00475522">
            <w:pPr>
              <w:jc w:val="center"/>
            </w:pPr>
            <w:r>
              <w:rPr>
                <w:color w:val="000000"/>
                <w:kern w:val="0"/>
                <w:sz w:val="24"/>
              </w:rPr>
              <w:t>601901</w:t>
            </w:r>
          </w:p>
        </w:tc>
        <w:tc>
          <w:tcPr>
            <w:tcW w:w="0" w:type="auto"/>
            <w:vAlign w:val="center"/>
          </w:tcPr>
          <w:p w:rsidR="000478A5" w:rsidRDefault="00475522">
            <w:pPr>
              <w:jc w:val="center"/>
            </w:pPr>
            <w:r>
              <w:rPr>
                <w:color w:val="000000"/>
                <w:kern w:val="0"/>
                <w:sz w:val="24"/>
              </w:rPr>
              <w:t>方正证券</w:t>
            </w:r>
          </w:p>
        </w:tc>
        <w:tc>
          <w:tcPr>
            <w:tcW w:w="0" w:type="auto"/>
            <w:vAlign w:val="center"/>
          </w:tcPr>
          <w:p w:rsidR="000478A5" w:rsidRDefault="00475522">
            <w:pPr>
              <w:jc w:val="right"/>
            </w:pPr>
            <w:r>
              <w:rPr>
                <w:color w:val="000000"/>
                <w:kern w:val="0"/>
                <w:sz w:val="24"/>
              </w:rPr>
              <w:t>2,138,650</w:t>
            </w:r>
          </w:p>
        </w:tc>
        <w:tc>
          <w:tcPr>
            <w:tcW w:w="0" w:type="auto"/>
            <w:vAlign w:val="center"/>
          </w:tcPr>
          <w:p w:rsidR="000478A5" w:rsidRDefault="00475522">
            <w:pPr>
              <w:jc w:val="right"/>
            </w:pPr>
            <w:r>
              <w:rPr>
                <w:color w:val="000000"/>
                <w:kern w:val="0"/>
                <w:sz w:val="24"/>
              </w:rPr>
              <w:t>15,355,507.00</w:t>
            </w:r>
          </w:p>
        </w:tc>
        <w:tc>
          <w:tcPr>
            <w:tcW w:w="0" w:type="auto"/>
            <w:vAlign w:val="center"/>
          </w:tcPr>
          <w:p w:rsidR="000478A5" w:rsidRDefault="00475522">
            <w:pPr>
              <w:jc w:val="right"/>
            </w:pPr>
            <w:r>
              <w:rPr>
                <w:color w:val="000000"/>
                <w:kern w:val="0"/>
                <w:sz w:val="24"/>
              </w:rPr>
              <w:t>2.26</w:t>
            </w:r>
          </w:p>
        </w:tc>
      </w:tr>
      <w:tr w:rsidR="000478A5">
        <w:tc>
          <w:tcPr>
            <w:tcW w:w="0" w:type="auto"/>
            <w:vAlign w:val="center"/>
          </w:tcPr>
          <w:p w:rsidR="000478A5" w:rsidRDefault="00475522">
            <w:pPr>
              <w:jc w:val="center"/>
            </w:pPr>
            <w:r>
              <w:rPr>
                <w:color w:val="000000"/>
                <w:kern w:val="0"/>
                <w:sz w:val="24"/>
              </w:rPr>
              <w:t>10</w:t>
            </w:r>
          </w:p>
        </w:tc>
        <w:tc>
          <w:tcPr>
            <w:tcW w:w="0" w:type="auto"/>
            <w:vAlign w:val="center"/>
          </w:tcPr>
          <w:p w:rsidR="000478A5" w:rsidRDefault="00475522">
            <w:pPr>
              <w:jc w:val="center"/>
            </w:pPr>
            <w:r>
              <w:rPr>
                <w:color w:val="000000"/>
                <w:kern w:val="0"/>
                <w:sz w:val="24"/>
              </w:rPr>
              <w:t>601377</w:t>
            </w:r>
          </w:p>
        </w:tc>
        <w:tc>
          <w:tcPr>
            <w:tcW w:w="0" w:type="auto"/>
            <w:vAlign w:val="center"/>
          </w:tcPr>
          <w:p w:rsidR="000478A5" w:rsidRDefault="00475522">
            <w:pPr>
              <w:jc w:val="center"/>
            </w:pPr>
            <w:r>
              <w:rPr>
                <w:color w:val="000000"/>
                <w:kern w:val="0"/>
                <w:sz w:val="24"/>
              </w:rPr>
              <w:t>兴业证券</w:t>
            </w:r>
          </w:p>
        </w:tc>
        <w:tc>
          <w:tcPr>
            <w:tcW w:w="0" w:type="auto"/>
            <w:vAlign w:val="center"/>
          </w:tcPr>
          <w:p w:rsidR="000478A5" w:rsidRDefault="00475522">
            <w:pPr>
              <w:jc w:val="right"/>
            </w:pPr>
            <w:r>
              <w:rPr>
                <w:color w:val="000000"/>
                <w:kern w:val="0"/>
                <w:sz w:val="24"/>
              </w:rPr>
              <w:t>2,435,562</w:t>
            </w:r>
          </w:p>
        </w:tc>
        <w:tc>
          <w:tcPr>
            <w:tcW w:w="0" w:type="auto"/>
            <w:vAlign w:val="center"/>
          </w:tcPr>
          <w:p w:rsidR="000478A5" w:rsidRDefault="00475522">
            <w:pPr>
              <w:jc w:val="right"/>
            </w:pPr>
            <w:r>
              <w:rPr>
                <w:color w:val="000000"/>
                <w:kern w:val="0"/>
                <w:sz w:val="24"/>
              </w:rPr>
              <w:t>15,222,262.50</w:t>
            </w:r>
          </w:p>
        </w:tc>
        <w:tc>
          <w:tcPr>
            <w:tcW w:w="0" w:type="auto"/>
            <w:vAlign w:val="center"/>
          </w:tcPr>
          <w:p w:rsidR="000478A5" w:rsidRDefault="00475522">
            <w:pPr>
              <w:jc w:val="right"/>
            </w:pPr>
            <w:r>
              <w:rPr>
                <w:color w:val="000000"/>
                <w:kern w:val="0"/>
                <w:sz w:val="24"/>
              </w:rPr>
              <w:t>2.24</w:t>
            </w:r>
          </w:p>
        </w:tc>
      </w:tr>
    </w:tbl>
    <w:p w:rsidR="00653BAC" w:rsidRPr="00653BAC" w:rsidRDefault="001C36D8" w:rsidP="00653BAC">
      <w:pPr>
        <w:autoSpaceDE w:val="0"/>
        <w:autoSpaceDN w:val="0"/>
        <w:adjustRightInd w:val="0"/>
        <w:spacing w:line="360" w:lineRule="auto"/>
        <w:jc w:val="left"/>
        <w:rPr>
          <w:rFonts w:eastAsiaTheme="minorEastAsia"/>
          <w:b/>
          <w:color w:val="000000" w:themeColor="text1"/>
          <w:kern w:val="0"/>
          <w:sz w:val="24"/>
        </w:rPr>
      </w:pPr>
      <w:r w:rsidRPr="00272E0C">
        <w:rPr>
          <w:rFonts w:ascii="宋体" w:hAnsi="宋体" w:cs="Arial"/>
          <w:b/>
          <w:color w:val="000000"/>
          <w:kern w:val="0"/>
          <w:sz w:val="24"/>
        </w:rPr>
        <w:t xml:space="preserve">5.4 </w:t>
      </w:r>
      <w:r w:rsidRPr="00272E0C">
        <w:rPr>
          <w:rFonts w:ascii="宋体" w:hAnsi="宋体" w:cs="Arial" w:hint="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序号</w:t>
            </w:r>
          </w:p>
        </w:tc>
        <w:tc>
          <w:tcPr>
            <w:tcW w:w="3260"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债券品种</w:t>
            </w:r>
          </w:p>
        </w:tc>
        <w:tc>
          <w:tcPr>
            <w:tcW w:w="2835"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公允价值</w:t>
            </w:r>
            <w:r w:rsidRPr="00653BAC">
              <w:rPr>
                <w:rFonts w:eastAsiaTheme="minorEastAsia"/>
                <w:color w:val="000000" w:themeColor="text1"/>
                <w:sz w:val="24"/>
              </w:rPr>
              <w:t>(</w:t>
            </w:r>
            <w:r w:rsidRPr="00653BAC">
              <w:rPr>
                <w:rFonts w:eastAsiaTheme="minorEastAsia"/>
                <w:color w:val="000000" w:themeColor="text1"/>
                <w:sz w:val="24"/>
              </w:rPr>
              <w:t>元</w:t>
            </w: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占基金资产净值比例</w:t>
            </w:r>
            <w:r w:rsidRPr="00653BAC">
              <w:rPr>
                <w:rFonts w:eastAsiaTheme="minorEastAsia"/>
                <w:color w:val="000000" w:themeColor="text1"/>
                <w:sz w:val="24"/>
              </w:rPr>
              <w:t>(</w:t>
            </w:r>
            <w:r w:rsidRPr="00653BAC">
              <w:rPr>
                <w:rFonts w:eastAsiaTheme="minorEastAsia"/>
                <w:color w:val="000000" w:themeColor="text1"/>
                <w:sz w:val="24"/>
              </w:rPr>
              <w:t>％</w:t>
            </w: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1</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国家债券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2</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央行票据</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3</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金融债券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其中：政策性金融债</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4</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企业债券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5</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企业短期融资券</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6</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中期票据</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7</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可转债</w:t>
            </w:r>
            <w:r w:rsidR="00C77034" w:rsidRPr="00C77034">
              <w:rPr>
                <w:rFonts w:eastAsiaTheme="minorEastAsia" w:hint="eastAsia"/>
                <w:color w:val="000000" w:themeColor="text1"/>
                <w:sz w:val="24"/>
              </w:rPr>
              <w:t>（可交换债）</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732,996.78</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0.11</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8</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同业存单</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9</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其他</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w:t>
            </w:r>
          </w:p>
        </w:tc>
      </w:tr>
      <w:tr w:rsidR="00653BAC" w:rsidRPr="00653BAC" w:rsidTr="0007556C">
        <w:tc>
          <w:tcPr>
            <w:tcW w:w="817" w:type="dxa"/>
            <w:shd w:val="clear" w:color="auto" w:fill="auto"/>
            <w:vAlign w:val="center"/>
          </w:tcPr>
          <w:p w:rsidR="00653BAC" w:rsidRPr="00653BAC" w:rsidRDefault="00653BAC" w:rsidP="0007556C">
            <w:pPr>
              <w:spacing w:before="29" w:line="360" w:lineRule="auto"/>
              <w:ind w:left="17"/>
              <w:jc w:val="center"/>
              <w:rPr>
                <w:rFonts w:eastAsiaTheme="minorEastAsia"/>
                <w:color w:val="000000" w:themeColor="text1"/>
                <w:sz w:val="24"/>
              </w:rPr>
            </w:pPr>
            <w:r w:rsidRPr="00653BAC">
              <w:rPr>
                <w:rFonts w:eastAsiaTheme="minorEastAsia"/>
                <w:color w:val="000000" w:themeColor="text1"/>
                <w:sz w:val="24"/>
              </w:rPr>
              <w:t>10</w:t>
            </w:r>
          </w:p>
        </w:tc>
        <w:tc>
          <w:tcPr>
            <w:tcW w:w="3260" w:type="dxa"/>
            <w:shd w:val="clear" w:color="auto" w:fill="auto"/>
            <w:vAlign w:val="center"/>
          </w:tcPr>
          <w:p w:rsidR="00653BAC" w:rsidRPr="00653BAC" w:rsidRDefault="00653BAC" w:rsidP="0007556C">
            <w:pPr>
              <w:spacing w:before="29" w:line="360" w:lineRule="auto"/>
              <w:ind w:left="17"/>
              <w:jc w:val="left"/>
              <w:rPr>
                <w:rFonts w:eastAsiaTheme="minorEastAsia"/>
                <w:color w:val="000000" w:themeColor="text1"/>
                <w:sz w:val="24"/>
              </w:rPr>
            </w:pPr>
            <w:r w:rsidRPr="00653BAC">
              <w:rPr>
                <w:rFonts w:eastAsiaTheme="minorEastAsia"/>
                <w:color w:val="000000" w:themeColor="text1"/>
                <w:sz w:val="24"/>
              </w:rPr>
              <w:t>合计</w:t>
            </w:r>
          </w:p>
        </w:tc>
        <w:tc>
          <w:tcPr>
            <w:tcW w:w="2835"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732,996.78</w:t>
            </w:r>
          </w:p>
        </w:tc>
        <w:tc>
          <w:tcPr>
            <w:tcW w:w="1616" w:type="dxa"/>
            <w:shd w:val="clear" w:color="auto" w:fill="auto"/>
            <w:vAlign w:val="center"/>
          </w:tcPr>
          <w:p w:rsidR="00653BAC" w:rsidRPr="00653BAC" w:rsidRDefault="00653BAC" w:rsidP="0007556C">
            <w:pPr>
              <w:spacing w:before="29" w:line="360" w:lineRule="auto"/>
              <w:ind w:left="17"/>
              <w:jc w:val="right"/>
              <w:rPr>
                <w:rFonts w:eastAsiaTheme="minorEastAsia"/>
                <w:color w:val="000000" w:themeColor="text1"/>
                <w:sz w:val="24"/>
              </w:rPr>
            </w:pPr>
            <w:r w:rsidRPr="00653BAC">
              <w:rPr>
                <w:rFonts w:eastAsiaTheme="minorEastAsia"/>
                <w:color w:val="000000" w:themeColor="text1"/>
                <w:sz w:val="24"/>
              </w:rPr>
              <w:t>0.11</w:t>
            </w:r>
          </w:p>
        </w:tc>
      </w:tr>
    </w:tbl>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 xml:space="preserve">5.5 </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843"/>
        <w:gridCol w:w="1190"/>
      </w:tblGrid>
      <w:tr w:rsidR="001C36D8" w:rsidRPr="00272E0C" w:rsidTr="003A20AA">
        <w:tc>
          <w:tcPr>
            <w:tcW w:w="817"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序号</w:t>
            </w:r>
          </w:p>
        </w:tc>
        <w:tc>
          <w:tcPr>
            <w:tcW w:w="1418"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债券代码</w:t>
            </w:r>
          </w:p>
        </w:tc>
        <w:tc>
          <w:tcPr>
            <w:tcW w:w="1701" w:type="dxa"/>
            <w:vAlign w:val="center"/>
          </w:tcPr>
          <w:p w:rsidR="001C36D8" w:rsidRPr="005B1E0B" w:rsidRDefault="001C36D8" w:rsidP="007A6BEA">
            <w:pPr>
              <w:spacing w:before="29" w:line="360" w:lineRule="auto"/>
              <w:ind w:left="17"/>
              <w:jc w:val="center"/>
              <w:rPr>
                <w:color w:val="000000"/>
                <w:sz w:val="24"/>
              </w:rPr>
            </w:pPr>
            <w:r w:rsidRPr="005B1E0B">
              <w:rPr>
                <w:color w:val="000000"/>
                <w:sz w:val="24"/>
              </w:rPr>
              <w:t>债券名称</w:t>
            </w:r>
          </w:p>
        </w:tc>
        <w:tc>
          <w:tcPr>
            <w:tcW w:w="1559"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数量</w:t>
            </w:r>
            <w:r w:rsidR="0015779C" w:rsidRPr="005B1E0B">
              <w:rPr>
                <w:color w:val="000000"/>
                <w:sz w:val="24"/>
              </w:rPr>
              <w:t>（张）</w:t>
            </w:r>
          </w:p>
        </w:tc>
        <w:tc>
          <w:tcPr>
            <w:tcW w:w="1843"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公允价值</w:t>
            </w:r>
            <w:r w:rsidR="0015779C" w:rsidRPr="005B1E0B">
              <w:rPr>
                <w:color w:val="000000"/>
                <w:sz w:val="24"/>
              </w:rPr>
              <w:t>（元）</w:t>
            </w:r>
          </w:p>
        </w:tc>
        <w:tc>
          <w:tcPr>
            <w:tcW w:w="1190" w:type="dxa"/>
            <w:vAlign w:val="center"/>
          </w:tcPr>
          <w:p w:rsidR="001C36D8" w:rsidRPr="005B1E0B" w:rsidRDefault="001C36D8" w:rsidP="0015779C">
            <w:pPr>
              <w:spacing w:before="29" w:line="360" w:lineRule="auto"/>
              <w:ind w:left="17"/>
              <w:jc w:val="center"/>
              <w:rPr>
                <w:color w:val="000000"/>
                <w:sz w:val="24"/>
              </w:rPr>
            </w:pPr>
            <w:r w:rsidRPr="005B1E0B">
              <w:rPr>
                <w:color w:val="000000"/>
                <w:sz w:val="24"/>
              </w:rPr>
              <w:t>占基金资产净值比例</w:t>
            </w:r>
            <w:r w:rsidR="0015779C" w:rsidRPr="005B1E0B">
              <w:rPr>
                <w:color w:val="000000"/>
                <w:sz w:val="24"/>
              </w:rPr>
              <w:t>（％）</w:t>
            </w:r>
          </w:p>
        </w:tc>
      </w:tr>
      <w:tr w:rsidR="000478A5">
        <w:tc>
          <w:tcPr>
            <w:tcW w:w="0" w:type="auto"/>
            <w:vAlign w:val="center"/>
          </w:tcPr>
          <w:p w:rsidR="000478A5" w:rsidRDefault="00475522">
            <w:pPr>
              <w:jc w:val="center"/>
            </w:pPr>
            <w:r>
              <w:rPr>
                <w:color w:val="000000"/>
                <w:sz w:val="24"/>
              </w:rPr>
              <w:t>1</w:t>
            </w:r>
          </w:p>
        </w:tc>
        <w:tc>
          <w:tcPr>
            <w:tcW w:w="0" w:type="auto"/>
            <w:vAlign w:val="center"/>
          </w:tcPr>
          <w:p w:rsidR="000478A5" w:rsidRDefault="00475522">
            <w:pPr>
              <w:jc w:val="center"/>
            </w:pPr>
            <w:r>
              <w:rPr>
                <w:color w:val="000000"/>
                <w:sz w:val="24"/>
              </w:rPr>
              <w:t>110067</w:t>
            </w:r>
          </w:p>
        </w:tc>
        <w:tc>
          <w:tcPr>
            <w:tcW w:w="0" w:type="auto"/>
            <w:vAlign w:val="center"/>
          </w:tcPr>
          <w:p w:rsidR="000478A5" w:rsidRDefault="00475522">
            <w:pPr>
              <w:jc w:val="center"/>
            </w:pPr>
            <w:r>
              <w:rPr>
                <w:color w:val="000000"/>
                <w:sz w:val="24"/>
              </w:rPr>
              <w:t>华安转债</w:t>
            </w:r>
          </w:p>
        </w:tc>
        <w:tc>
          <w:tcPr>
            <w:tcW w:w="0" w:type="auto"/>
            <w:vAlign w:val="center"/>
          </w:tcPr>
          <w:p w:rsidR="000478A5" w:rsidRDefault="00475522">
            <w:pPr>
              <w:jc w:val="right"/>
            </w:pPr>
            <w:r>
              <w:rPr>
                <w:color w:val="000000"/>
                <w:sz w:val="24"/>
              </w:rPr>
              <w:t>7,330</w:t>
            </w:r>
          </w:p>
        </w:tc>
        <w:tc>
          <w:tcPr>
            <w:tcW w:w="0" w:type="auto"/>
            <w:vAlign w:val="center"/>
          </w:tcPr>
          <w:p w:rsidR="000478A5" w:rsidRDefault="00475522">
            <w:pPr>
              <w:jc w:val="right"/>
            </w:pPr>
            <w:r>
              <w:rPr>
                <w:color w:val="000000"/>
                <w:sz w:val="24"/>
              </w:rPr>
              <w:t>732,996.78</w:t>
            </w:r>
          </w:p>
        </w:tc>
        <w:tc>
          <w:tcPr>
            <w:tcW w:w="0" w:type="auto"/>
            <w:vAlign w:val="center"/>
          </w:tcPr>
          <w:p w:rsidR="000478A5" w:rsidRDefault="00475522">
            <w:pPr>
              <w:jc w:val="right"/>
            </w:pPr>
            <w:r>
              <w:rPr>
                <w:color w:val="000000"/>
                <w:sz w:val="24"/>
              </w:rPr>
              <w:t>0.11</w:t>
            </w:r>
          </w:p>
        </w:tc>
      </w:tr>
    </w:tbl>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272E0C">
        <w:rPr>
          <w:rFonts w:ascii="宋体" w:hAnsi="宋体" w:cs="Arial"/>
          <w:b/>
          <w:color w:val="000000"/>
          <w:kern w:val="0"/>
          <w:sz w:val="24"/>
        </w:rPr>
        <w:t>5.6</w:t>
      </w:r>
      <w:r w:rsidRPr="00272E0C">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272E0C">
        <w:rPr>
          <w:rFonts w:ascii="宋体" w:hAnsi="宋体" w:cs="Arial" w:hint="eastAsia"/>
          <w:b/>
          <w:color w:val="000000"/>
          <w:kern w:val="0"/>
          <w:sz w:val="24"/>
        </w:rPr>
        <w:t>的前十名资产支持证券投资明细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本基金本报告期末未持有资产支持证券。</w:t>
      </w:r>
    </w:p>
    <w:p w:rsidR="001C36D8" w:rsidRPr="001D63BB" w:rsidRDefault="001C36D8" w:rsidP="001C123E">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本基金本报告期末未持有贵金属。</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sidRPr="001B0A62">
        <w:rPr>
          <w:rFonts w:ascii="宋体"/>
          <w:b/>
          <w:bCs/>
          <w:color w:val="000000"/>
          <w:kern w:val="0"/>
          <w:sz w:val="24"/>
        </w:rPr>
        <w:t>5.8</w:t>
      </w:r>
      <w:r w:rsidRPr="00272E0C">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272E0C">
        <w:rPr>
          <w:rFonts w:ascii="宋体" w:hAnsi="宋体" w:hint="eastAsia"/>
          <w:b/>
          <w:bCs/>
          <w:color w:val="000000"/>
          <w:sz w:val="24"/>
        </w:rPr>
        <w:t>的前五名权证投资明细</w:t>
      </w:r>
    </w:p>
    <w:p w:rsidR="001C36D8" w:rsidRPr="005B1E0B" w:rsidRDefault="001C36D8" w:rsidP="005B1E0B">
      <w:pPr>
        <w:spacing w:line="360" w:lineRule="auto"/>
        <w:ind w:firstLineChars="200" w:firstLine="480"/>
        <w:rPr>
          <w:color w:val="000000"/>
          <w:sz w:val="24"/>
        </w:rPr>
      </w:pPr>
      <w:r w:rsidRPr="003D22BD">
        <w:rPr>
          <w:color w:val="000000"/>
          <w:sz w:val="24"/>
        </w:rPr>
        <w:t>本基金本报告期末未持有权证。</w:t>
      </w:r>
    </w:p>
    <w:p w:rsidR="001C36D8" w:rsidRPr="00E85E29" w:rsidRDefault="001C36D8" w:rsidP="00E57068">
      <w:pPr>
        <w:adjustRightInd w:val="0"/>
        <w:snapToGrid w:val="0"/>
        <w:spacing w:line="360" w:lineRule="auto"/>
        <w:rPr>
          <w:rFonts w:ascii="宋体"/>
          <w:b/>
          <w:sz w:val="24"/>
        </w:rPr>
      </w:pPr>
      <w:r w:rsidRPr="001B0A62">
        <w:rPr>
          <w:rFonts w:ascii="宋体"/>
          <w:b/>
          <w:bCs/>
          <w:color w:val="000000"/>
          <w:kern w:val="0"/>
          <w:sz w:val="24"/>
        </w:rPr>
        <w:t>5.9</w:t>
      </w:r>
      <w:r w:rsidRPr="00E85E29">
        <w:rPr>
          <w:rFonts w:ascii="宋体" w:hAnsi="宋体" w:hint="eastAsia"/>
          <w:b/>
          <w:sz w:val="24"/>
        </w:rPr>
        <w:t>报告期末本基金投资的股指期货交易情况说明</w:t>
      </w:r>
    </w:p>
    <w:p w:rsidR="003B3D0C" w:rsidRDefault="003B3D0C" w:rsidP="003B3D0C">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1C36D8" w:rsidRPr="00272E0C" w:rsidRDefault="001C36D8" w:rsidP="00576862">
      <w:pPr>
        <w:adjustRightInd w:val="0"/>
        <w:snapToGrid w:val="0"/>
        <w:spacing w:line="360" w:lineRule="auto"/>
        <w:rPr>
          <w:rFonts w:ascii="宋体"/>
          <w:b/>
          <w:sz w:val="24"/>
        </w:rPr>
      </w:pPr>
      <w:r>
        <w:rPr>
          <w:rFonts w:ascii="宋体" w:hAnsi="宋体"/>
          <w:b/>
          <w:sz w:val="24"/>
        </w:rPr>
        <w:t>5</w:t>
      </w:r>
      <w:r w:rsidRPr="00272E0C">
        <w:rPr>
          <w:rFonts w:ascii="宋体"/>
          <w:b/>
          <w:sz w:val="24"/>
        </w:rPr>
        <w:t>.</w:t>
      </w:r>
      <w:r>
        <w:rPr>
          <w:rFonts w:ascii="宋体" w:hAnsi="宋体"/>
          <w:b/>
          <w:sz w:val="24"/>
        </w:rPr>
        <w:t>10</w:t>
      </w:r>
      <w:r w:rsidRPr="00272E0C">
        <w:rPr>
          <w:rFonts w:ascii="宋体" w:hAnsi="宋体" w:hint="eastAsia"/>
          <w:b/>
          <w:sz w:val="24"/>
        </w:rPr>
        <w:t>报告期末本基金投资的国债期货交易情况说明</w:t>
      </w:r>
    </w:p>
    <w:p w:rsidR="000C44BD" w:rsidRDefault="000C44BD" w:rsidP="000C44BD">
      <w:pPr>
        <w:spacing w:line="360" w:lineRule="auto"/>
        <w:ind w:firstLineChars="200" w:firstLine="480"/>
      </w:pPr>
      <w:r>
        <w:rPr>
          <w:color w:val="000000"/>
          <w:sz w:val="24"/>
        </w:rPr>
        <w:t>本基金本报告期末未投资国债期货。</w:t>
      </w:r>
    </w:p>
    <w:p w:rsidR="001C36D8" w:rsidRPr="00272E0C" w:rsidRDefault="001C36D8" w:rsidP="00576862">
      <w:pPr>
        <w:autoSpaceDE w:val="0"/>
        <w:autoSpaceDN w:val="0"/>
        <w:adjustRightInd w:val="0"/>
        <w:spacing w:line="360" w:lineRule="auto"/>
        <w:jc w:val="left"/>
        <w:rPr>
          <w:rFonts w:ascii="宋体" w:cs="Arial"/>
          <w:b/>
          <w:color w:val="000000"/>
          <w:kern w:val="0"/>
          <w:sz w:val="24"/>
        </w:rPr>
      </w:pPr>
      <w:r>
        <w:rPr>
          <w:rFonts w:ascii="宋体" w:hAnsi="宋体" w:cs="Arial"/>
          <w:b/>
          <w:color w:val="000000"/>
          <w:kern w:val="0"/>
          <w:sz w:val="24"/>
        </w:rPr>
        <w:t>5</w:t>
      </w:r>
      <w:r w:rsidRPr="00272E0C">
        <w:rPr>
          <w:rFonts w:ascii="宋体" w:cs="Arial"/>
          <w:b/>
          <w:color w:val="000000"/>
          <w:kern w:val="0"/>
          <w:sz w:val="24"/>
        </w:rPr>
        <w:t>.</w:t>
      </w:r>
      <w:r>
        <w:rPr>
          <w:rFonts w:ascii="宋体" w:hAnsi="宋体" w:cs="Arial"/>
          <w:b/>
          <w:color w:val="000000"/>
          <w:kern w:val="0"/>
          <w:sz w:val="24"/>
        </w:rPr>
        <w:t>11</w:t>
      </w:r>
      <w:r w:rsidRPr="00272E0C">
        <w:rPr>
          <w:rFonts w:ascii="宋体" w:hAnsi="宋体" w:cs="Arial" w:hint="eastAsia"/>
          <w:b/>
          <w:color w:val="000000"/>
          <w:kern w:val="0"/>
          <w:sz w:val="24"/>
        </w:rPr>
        <w:t>投资组合报告附注</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5.11.1</w:t>
      </w:r>
      <w:r w:rsidR="00D8121C">
        <w:rPr>
          <w:rFonts w:ascii="宋体" w:hAnsi="宋体" w:hint="eastAsia"/>
          <w:bCs/>
          <w:color w:val="000000"/>
          <w:kern w:val="0"/>
          <w:sz w:val="24"/>
        </w:rPr>
        <w:t xml:space="preserve"> </w:t>
      </w:r>
      <w:r w:rsidRPr="005B1E0B">
        <w:rPr>
          <w:color w:val="000000"/>
          <w:kern w:val="0"/>
          <w:sz w:val="24"/>
        </w:rPr>
        <w:t>本基金投资的前十名证券的发行主体本期没有出现被监管部门立案调查，或在报告编制日前一年内受到公开谴责、处罚的情形。</w:t>
      </w:r>
    </w:p>
    <w:p w:rsidR="001C36D8" w:rsidRPr="005B1E0B" w:rsidRDefault="001C36D8" w:rsidP="00576862">
      <w:pPr>
        <w:spacing w:line="360" w:lineRule="auto"/>
        <w:rPr>
          <w:color w:val="000000"/>
          <w:kern w:val="0"/>
          <w:sz w:val="24"/>
        </w:rPr>
      </w:pPr>
      <w:r w:rsidRPr="001C123E">
        <w:rPr>
          <w:rFonts w:ascii="宋体" w:hAnsi="宋体"/>
          <w:bCs/>
          <w:color w:val="000000"/>
          <w:kern w:val="0"/>
          <w:sz w:val="24"/>
        </w:rPr>
        <w:t>5.11.2</w:t>
      </w:r>
      <w:r w:rsidR="00D8121C">
        <w:rPr>
          <w:rFonts w:ascii="宋体" w:hAnsi="宋体" w:hint="eastAsia"/>
          <w:bCs/>
          <w:color w:val="000000"/>
          <w:kern w:val="0"/>
          <w:sz w:val="24"/>
        </w:rPr>
        <w:t xml:space="preserve"> </w:t>
      </w:r>
      <w:r w:rsidRPr="005B1E0B">
        <w:rPr>
          <w:color w:val="000000"/>
          <w:kern w:val="0"/>
          <w:sz w:val="24"/>
        </w:rPr>
        <w:t>本基金投资的前十名股票没有超出基金合同规定的备选股票库。</w:t>
      </w:r>
    </w:p>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5.11.3</w:t>
      </w:r>
      <w:r w:rsidRPr="00717C29">
        <w:rPr>
          <w:rFonts w:ascii="宋体" w:hAnsi="宋体" w:cs="Arial" w:hint="eastAsia"/>
          <w:color w:val="000000"/>
          <w:kern w:val="0"/>
          <w:sz w:val="24"/>
        </w:rPr>
        <w:t>其他各项资产构成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761"/>
        <w:gridCol w:w="4808"/>
      </w:tblGrid>
      <w:tr w:rsidR="001C36D8" w:rsidRPr="00272E0C" w:rsidTr="001A09F9">
        <w:tc>
          <w:tcPr>
            <w:tcW w:w="959"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序号</w:t>
            </w:r>
          </w:p>
        </w:tc>
        <w:tc>
          <w:tcPr>
            <w:tcW w:w="2761"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名称</w:t>
            </w:r>
          </w:p>
        </w:tc>
        <w:tc>
          <w:tcPr>
            <w:tcW w:w="4808" w:type="dxa"/>
          </w:tcPr>
          <w:p w:rsidR="001C36D8" w:rsidRPr="005B1E0B" w:rsidRDefault="001C36D8" w:rsidP="001A09F9">
            <w:pPr>
              <w:autoSpaceDE w:val="0"/>
              <w:autoSpaceDN w:val="0"/>
              <w:adjustRightInd w:val="0"/>
              <w:spacing w:line="360" w:lineRule="auto"/>
              <w:jc w:val="left"/>
              <w:rPr>
                <w:color w:val="000000"/>
                <w:sz w:val="24"/>
              </w:rPr>
            </w:pPr>
            <w:r w:rsidRPr="005B1E0B">
              <w:rPr>
                <w:color w:val="000000"/>
                <w:sz w:val="24"/>
              </w:rPr>
              <w:t>金额（元）</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kern w:val="0"/>
                <w:sz w:val="24"/>
              </w:rPr>
            </w:pPr>
            <w:r w:rsidRPr="005B1E0B">
              <w:rPr>
                <w:color w:val="000000"/>
                <w:sz w:val="24"/>
              </w:rPr>
              <w:t>1</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存出保证金</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46,486.73</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2</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应收证券清算款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3</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应收股利</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4</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应收利息</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7,879.35</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5</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应收申购款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679,800.65</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6</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其他应收款</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7</w:t>
            </w:r>
          </w:p>
        </w:tc>
        <w:tc>
          <w:tcPr>
            <w:tcW w:w="2761" w:type="dxa"/>
          </w:tcPr>
          <w:p w:rsidR="001C36D8" w:rsidRPr="005B1E0B" w:rsidRDefault="001C36D8" w:rsidP="0015779C">
            <w:pPr>
              <w:autoSpaceDE w:val="0"/>
              <w:autoSpaceDN w:val="0"/>
              <w:adjustRightInd w:val="0"/>
              <w:spacing w:before="29" w:line="360" w:lineRule="auto"/>
              <w:ind w:leftChars="50" w:left="105"/>
              <w:rPr>
                <w:color w:val="000000"/>
                <w:sz w:val="24"/>
              </w:rPr>
            </w:pPr>
            <w:r w:rsidRPr="005B1E0B">
              <w:rPr>
                <w:color w:val="000000"/>
                <w:sz w:val="24"/>
              </w:rPr>
              <w:t>待摊费用</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sz w:val="24"/>
              </w:rPr>
            </w:pPr>
            <w:r w:rsidRPr="005B1E0B">
              <w:rPr>
                <w:color w:val="00000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8</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其他</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w:t>
            </w:r>
          </w:p>
        </w:tc>
      </w:tr>
      <w:tr w:rsidR="001C36D8" w:rsidRPr="00272E0C" w:rsidTr="001A09F9">
        <w:tc>
          <w:tcPr>
            <w:tcW w:w="959" w:type="dxa"/>
            <w:vAlign w:val="center"/>
          </w:tcPr>
          <w:p w:rsidR="001C36D8" w:rsidRPr="005B1E0B" w:rsidRDefault="001C36D8" w:rsidP="001A09F9">
            <w:pPr>
              <w:autoSpaceDE w:val="0"/>
              <w:autoSpaceDN w:val="0"/>
              <w:adjustRightInd w:val="0"/>
              <w:spacing w:before="29" w:line="360" w:lineRule="auto"/>
              <w:ind w:left="15"/>
              <w:jc w:val="center"/>
              <w:rPr>
                <w:color w:val="000000"/>
                <w:sz w:val="24"/>
              </w:rPr>
            </w:pPr>
            <w:r w:rsidRPr="005B1E0B">
              <w:rPr>
                <w:color w:val="000000"/>
                <w:sz w:val="24"/>
              </w:rPr>
              <w:t>9</w:t>
            </w:r>
          </w:p>
        </w:tc>
        <w:tc>
          <w:tcPr>
            <w:tcW w:w="2761" w:type="dxa"/>
            <w:vAlign w:val="center"/>
          </w:tcPr>
          <w:p w:rsidR="001C36D8" w:rsidRPr="005B1E0B" w:rsidRDefault="001C36D8" w:rsidP="001A09F9">
            <w:pPr>
              <w:autoSpaceDE w:val="0"/>
              <w:autoSpaceDN w:val="0"/>
              <w:adjustRightInd w:val="0"/>
              <w:spacing w:before="29" w:line="360" w:lineRule="auto"/>
              <w:ind w:left="15"/>
              <w:jc w:val="left"/>
              <w:rPr>
                <w:color w:val="000000"/>
                <w:kern w:val="0"/>
                <w:sz w:val="24"/>
              </w:rPr>
            </w:pPr>
            <w:r w:rsidRPr="005B1E0B">
              <w:rPr>
                <w:color w:val="000000"/>
                <w:kern w:val="0"/>
                <w:sz w:val="24"/>
              </w:rPr>
              <w:t>合计</w:t>
            </w:r>
          </w:p>
        </w:tc>
        <w:tc>
          <w:tcPr>
            <w:tcW w:w="4808" w:type="dxa"/>
            <w:vAlign w:val="center"/>
          </w:tcPr>
          <w:p w:rsidR="001C36D8" w:rsidRPr="005B1E0B" w:rsidRDefault="001C36D8" w:rsidP="001A09F9">
            <w:pPr>
              <w:autoSpaceDE w:val="0"/>
              <w:autoSpaceDN w:val="0"/>
              <w:adjustRightInd w:val="0"/>
              <w:spacing w:before="29" w:line="360" w:lineRule="auto"/>
              <w:ind w:left="15"/>
              <w:jc w:val="right"/>
              <w:rPr>
                <w:color w:val="000000"/>
                <w:kern w:val="0"/>
                <w:sz w:val="24"/>
              </w:rPr>
            </w:pPr>
            <w:r w:rsidRPr="005B1E0B">
              <w:rPr>
                <w:color w:val="000000"/>
                <w:kern w:val="0"/>
                <w:sz w:val="24"/>
              </w:rPr>
              <w:t>734,166.73</w:t>
            </w:r>
          </w:p>
        </w:tc>
      </w:tr>
    </w:tbl>
    <w:p w:rsidR="001C36D8" w:rsidRPr="00717C29" w:rsidRDefault="001C36D8" w:rsidP="00576862">
      <w:pPr>
        <w:autoSpaceDE w:val="0"/>
        <w:autoSpaceDN w:val="0"/>
        <w:adjustRightInd w:val="0"/>
        <w:spacing w:line="360" w:lineRule="auto"/>
        <w:jc w:val="left"/>
        <w:rPr>
          <w:rFonts w:ascii="宋体" w:cs="Arial"/>
          <w:color w:val="000000"/>
          <w:kern w:val="0"/>
          <w:sz w:val="24"/>
        </w:rPr>
      </w:pPr>
      <w:r w:rsidRPr="00717C29">
        <w:rPr>
          <w:rFonts w:ascii="宋体" w:hAnsi="宋体"/>
          <w:bCs/>
          <w:color w:val="000000"/>
          <w:kern w:val="0"/>
          <w:sz w:val="24"/>
        </w:rPr>
        <w:t>5.11.4</w:t>
      </w:r>
      <w:r w:rsidRPr="00717C29">
        <w:rPr>
          <w:rFonts w:ascii="宋体" w:hAnsi="宋体" w:cs="Arial" w:hint="eastAsia"/>
          <w:color w:val="000000"/>
          <w:kern w:val="0"/>
          <w:sz w:val="24"/>
        </w:rPr>
        <w:t>报告期末持有的处于转股期的可转换债券明细</w:t>
      </w:r>
    </w:p>
    <w:p w:rsidR="001C36D8" w:rsidRPr="003D22BD" w:rsidRDefault="001C36D8" w:rsidP="003D22BD">
      <w:pPr>
        <w:spacing w:line="360" w:lineRule="auto"/>
        <w:ind w:firstLineChars="200" w:firstLine="480"/>
        <w:rPr>
          <w:color w:val="000000"/>
          <w:sz w:val="24"/>
        </w:rPr>
      </w:pPr>
      <w:r w:rsidRPr="003D22BD">
        <w:rPr>
          <w:color w:val="000000"/>
          <w:sz w:val="24"/>
        </w:rPr>
        <w:t>本基金本报告期末未持有处于转股期的可转换债券。</w:t>
      </w:r>
    </w:p>
    <w:p w:rsidR="00924A95" w:rsidRPr="001C7E00" w:rsidRDefault="00924A95" w:rsidP="00924A95">
      <w:pPr>
        <w:autoSpaceDE w:val="0"/>
        <w:autoSpaceDN w:val="0"/>
        <w:adjustRightInd w:val="0"/>
        <w:spacing w:line="360" w:lineRule="auto"/>
        <w:jc w:val="left"/>
        <w:rPr>
          <w:rFonts w:ascii="宋体"/>
          <w:bCs/>
          <w:color w:val="000000"/>
          <w:kern w:val="0"/>
          <w:sz w:val="24"/>
        </w:rPr>
      </w:pPr>
      <w:r w:rsidRPr="001C7E00">
        <w:rPr>
          <w:rFonts w:ascii="宋体" w:hAnsi="宋体"/>
          <w:bCs/>
          <w:color w:val="000000"/>
          <w:kern w:val="0"/>
          <w:sz w:val="24"/>
        </w:rPr>
        <w:t>5.11.5</w:t>
      </w:r>
      <w:r w:rsidRPr="001C7E00">
        <w:rPr>
          <w:rFonts w:ascii="宋体" w:hAnsi="宋体" w:hint="eastAsia"/>
          <w:bCs/>
          <w:color w:val="000000"/>
          <w:kern w:val="0"/>
          <w:sz w:val="24"/>
        </w:rPr>
        <w:t>报告期末前十名股票中存在流通受限情况的说明</w:t>
      </w:r>
    </w:p>
    <w:p w:rsidR="001C36D8" w:rsidRPr="005B1E0B" w:rsidRDefault="00924A95" w:rsidP="005B1E0B">
      <w:pPr>
        <w:spacing w:line="360" w:lineRule="auto"/>
        <w:ind w:firstLineChars="200" w:firstLine="480"/>
        <w:rPr>
          <w:color w:val="000000"/>
          <w:sz w:val="24"/>
        </w:rPr>
      </w:pPr>
      <w:r w:rsidRPr="006C56AA">
        <w:rPr>
          <w:color w:val="000000"/>
          <w:sz w:val="24"/>
        </w:rPr>
        <w:t>本基金本报告期末前十名股票中不存在流通受限情况。</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Pr>
          <w:rFonts w:ascii="宋体" w:hAnsi="宋体" w:cs="Arial"/>
          <w:color w:val="000000"/>
          <w:kern w:val="0"/>
          <w:sz w:val="24"/>
          <w:szCs w:val="24"/>
        </w:rPr>
        <w:t>6</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开放式基金份额变动</w:t>
      </w:r>
    </w:p>
    <w:p w:rsidR="001C36D8" w:rsidRPr="00272E0C" w:rsidRDefault="001C36D8" w:rsidP="0019563C">
      <w:pPr>
        <w:autoSpaceDE w:val="0"/>
        <w:autoSpaceDN w:val="0"/>
        <w:adjustRightInd w:val="0"/>
        <w:spacing w:before="29" w:line="360" w:lineRule="auto"/>
        <w:ind w:left="15"/>
        <w:jc w:val="right"/>
        <w:rPr>
          <w:rFonts w:ascii="宋体" w:cs="Arial"/>
          <w:color w:val="000000"/>
          <w:kern w:val="0"/>
          <w:sz w:val="24"/>
        </w:rPr>
      </w:pPr>
      <w:r w:rsidRPr="00272E0C">
        <w:rPr>
          <w:rFonts w:ascii="宋体" w:hAnsi="宋体" w:cs="Arial" w:hint="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5B14F0">
            <w:pPr>
              <w:autoSpaceDE w:val="0"/>
              <w:autoSpaceDN w:val="0"/>
              <w:adjustRightInd w:val="0"/>
              <w:spacing w:before="29" w:line="360" w:lineRule="auto"/>
              <w:ind w:left="17"/>
              <w:jc w:val="right"/>
              <w:rPr>
                <w:sz w:val="24"/>
              </w:rPr>
            </w:pPr>
            <w:r w:rsidRPr="005B1E0B">
              <w:rPr>
                <w:sz w:val="24"/>
              </w:rPr>
              <w:t>易方达证券公司分级</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sz w:val="24"/>
              </w:rPr>
              <w:t>易方达证券公司分级</w:t>
            </w:r>
            <w:r w:rsidRPr="005B1E0B">
              <w:rPr>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易方达证券公司分级</w:t>
            </w:r>
            <w:r w:rsidRPr="005B1E0B">
              <w:rPr>
                <w:sz w:val="24"/>
              </w:rPr>
              <w:t>B</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482,022,966.69</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123,120,367.00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123,120,367.00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66,980,152.78</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减：报告期基金总赎回份额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121,925,410.21</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w:t>
            </w:r>
          </w:p>
        </w:tc>
      </w:tr>
      <w:tr w:rsidR="001C36D8" w:rsidRPr="00272E0C"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报告期基金拆分变动份额</w:t>
            </w:r>
            <w:r w:rsidR="005541BC" w:rsidRPr="00921BFA">
              <w:rPr>
                <w:rFonts w:hint="eastAsia"/>
                <w:color w:val="000000"/>
                <w:kern w:val="0"/>
                <w:sz w:val="24"/>
              </w:rPr>
              <w:t>（份额减少以“</w:t>
            </w:r>
            <w:r w:rsidR="005541BC" w:rsidRPr="00921BFA">
              <w:rPr>
                <w:rFonts w:hint="eastAsia"/>
                <w:color w:val="000000"/>
                <w:kern w:val="0"/>
                <w:sz w:val="24"/>
              </w:rPr>
              <w:t>-</w:t>
            </w:r>
            <w:r w:rsidR="005541BC" w:rsidRPr="00921BFA">
              <w:rPr>
                <w:rFonts w:hint="eastAsia"/>
                <w:color w:val="000000"/>
                <w:kern w:val="0"/>
                <w:sz w:val="24"/>
              </w:rPr>
              <w:t>”填列）</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-2,006,600.00</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1,003,300.00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1,003,300.00</w:t>
            </w:r>
          </w:p>
        </w:tc>
      </w:tr>
      <w:tr w:rsidR="001C36D8" w:rsidRPr="00272E0C"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left"/>
              <w:rPr>
                <w:color w:val="000000"/>
                <w:kern w:val="0"/>
                <w:sz w:val="24"/>
              </w:rPr>
            </w:pPr>
            <w:r w:rsidRPr="005B1E0B">
              <w:rPr>
                <w:color w:val="000000"/>
                <w:kern w:val="0"/>
                <w:sz w:val="24"/>
              </w:rPr>
              <w:t>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7A6BEA">
            <w:pPr>
              <w:autoSpaceDE w:val="0"/>
              <w:autoSpaceDN w:val="0"/>
              <w:adjustRightInd w:val="0"/>
              <w:spacing w:before="29" w:line="360" w:lineRule="auto"/>
              <w:ind w:left="17"/>
              <w:jc w:val="right"/>
              <w:rPr>
                <w:color w:val="000000"/>
                <w:sz w:val="24"/>
              </w:rPr>
            </w:pPr>
            <w:r w:rsidRPr="005B1E0B">
              <w:rPr>
                <w:color w:val="000000"/>
                <w:sz w:val="24"/>
              </w:rPr>
              <w:t>425,071,109.26</w:t>
            </w:r>
          </w:p>
        </w:tc>
        <w:tc>
          <w:tcPr>
            <w:tcW w:w="2410"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465C86">
            <w:pPr>
              <w:autoSpaceDE w:val="0"/>
              <w:autoSpaceDN w:val="0"/>
              <w:adjustRightInd w:val="0"/>
              <w:spacing w:before="29" w:line="360" w:lineRule="auto"/>
              <w:ind w:left="17"/>
              <w:jc w:val="right"/>
              <w:rPr>
                <w:color w:val="000000"/>
                <w:sz w:val="24"/>
              </w:rPr>
            </w:pPr>
            <w:r w:rsidRPr="005B1E0B">
              <w:rPr>
                <w:color w:val="000000"/>
                <w:sz w:val="24"/>
              </w:rPr>
              <w:t>124,123,667.00</w:t>
            </w:r>
          </w:p>
        </w:tc>
        <w:tc>
          <w:tcPr>
            <w:tcW w:w="2126" w:type="dxa"/>
            <w:tcBorders>
              <w:top w:val="single" w:sz="8" w:space="0" w:color="000000"/>
              <w:left w:val="single" w:sz="8" w:space="0" w:color="000000"/>
              <w:bottom w:val="single" w:sz="8" w:space="0" w:color="000000"/>
              <w:right w:val="single" w:sz="8" w:space="0" w:color="000000"/>
            </w:tcBorders>
            <w:vAlign w:val="center"/>
          </w:tcPr>
          <w:p w:rsidR="001C36D8" w:rsidRPr="005B1E0B" w:rsidRDefault="001C36D8" w:rsidP="00183C9E">
            <w:pPr>
              <w:autoSpaceDE w:val="0"/>
              <w:autoSpaceDN w:val="0"/>
              <w:adjustRightInd w:val="0"/>
              <w:spacing w:before="29" w:line="360" w:lineRule="auto"/>
              <w:ind w:left="17"/>
              <w:jc w:val="right"/>
              <w:rPr>
                <w:color w:val="000000"/>
                <w:sz w:val="24"/>
              </w:rPr>
            </w:pPr>
            <w:r w:rsidRPr="005B1E0B">
              <w:rPr>
                <w:sz w:val="24"/>
              </w:rPr>
              <w:t>124,123,667.00</w:t>
            </w:r>
          </w:p>
        </w:tc>
      </w:tr>
    </w:tbl>
    <w:p w:rsidR="001C36D8" w:rsidRPr="003D22BD" w:rsidRDefault="001C36D8" w:rsidP="003D22BD">
      <w:pPr>
        <w:spacing w:line="360" w:lineRule="auto"/>
        <w:ind w:firstLineChars="200" w:firstLine="480"/>
        <w:rPr>
          <w:color w:val="000000"/>
          <w:sz w:val="24"/>
        </w:rPr>
      </w:pPr>
      <w:r w:rsidRPr="003D22BD">
        <w:rPr>
          <w:color w:val="000000"/>
          <w:sz w:val="24"/>
        </w:rPr>
        <w:t>注：拆分变动份额包括三类份额之间的配对转换份额。</w:t>
      </w:r>
    </w:p>
    <w:p w:rsidR="001C36D8" w:rsidRDefault="001C36D8" w:rsidP="005C6DF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1C36D8" w:rsidRDefault="001C36D8" w:rsidP="003D4E5A">
      <w:pPr>
        <w:spacing w:line="360" w:lineRule="auto"/>
        <w:jc w:val="left"/>
        <w:rPr>
          <w:sz w:val="24"/>
        </w:rPr>
      </w:pPr>
      <w:r>
        <w:rPr>
          <w:b/>
          <w:sz w:val="24"/>
        </w:rPr>
        <w:t xml:space="preserve">7.1 </w:t>
      </w:r>
      <w:r>
        <w:rPr>
          <w:rFonts w:hint="eastAsia"/>
          <w:b/>
          <w:sz w:val="24"/>
        </w:rPr>
        <w:t>基金管理人持有本基金份额变动情况</w:t>
      </w:r>
    </w:p>
    <w:p w:rsidR="001C36D8" w:rsidRPr="005B1E0B" w:rsidRDefault="00BF63AF" w:rsidP="005B1E0B">
      <w:pPr>
        <w:spacing w:line="360" w:lineRule="auto"/>
        <w:ind w:firstLineChars="200" w:firstLine="480"/>
        <w:rPr>
          <w:color w:val="000000"/>
          <w:sz w:val="24"/>
        </w:rPr>
      </w:pPr>
      <w:r w:rsidRPr="00510DAB">
        <w:rPr>
          <w:color w:val="000000"/>
          <w:sz w:val="24"/>
        </w:rPr>
        <w:t>本报告期内基金管理人未持有本基金份额。</w:t>
      </w:r>
    </w:p>
    <w:p w:rsidR="001C36D8" w:rsidRDefault="001C36D8" w:rsidP="003D4E5A">
      <w:pPr>
        <w:spacing w:line="360" w:lineRule="auto"/>
        <w:jc w:val="left"/>
        <w:rPr>
          <w:sz w:val="24"/>
        </w:rPr>
      </w:pPr>
      <w:r>
        <w:rPr>
          <w:b/>
          <w:sz w:val="24"/>
        </w:rPr>
        <w:t xml:space="preserve">7.2 </w:t>
      </w:r>
      <w:r>
        <w:rPr>
          <w:rFonts w:hint="eastAsia"/>
          <w:b/>
          <w:sz w:val="24"/>
        </w:rPr>
        <w:t>基金管理人运用固有资金投资本基金交易明细</w:t>
      </w:r>
    </w:p>
    <w:p w:rsidR="001C36D8" w:rsidRPr="003D22BD" w:rsidRDefault="001C36D8" w:rsidP="003D22BD">
      <w:pPr>
        <w:spacing w:line="360" w:lineRule="auto"/>
        <w:ind w:firstLineChars="200" w:firstLine="480"/>
        <w:rPr>
          <w:color w:val="000000"/>
          <w:sz w:val="24"/>
        </w:rPr>
      </w:pPr>
      <w:r w:rsidRPr="003D22BD">
        <w:rPr>
          <w:color w:val="000000"/>
          <w:sz w:val="24"/>
        </w:rPr>
        <w:t>本报告期内基金管理人未运用固有资金申购、赎回、买卖本基金份额。</w:t>
      </w:r>
    </w:p>
    <w:p w:rsidR="00A12EEF" w:rsidRPr="005D2CC7" w:rsidRDefault="00A12EEF" w:rsidP="00A12EEF">
      <w:pPr>
        <w:pStyle w:val="1"/>
        <w:spacing w:beforeLines="100" w:before="312" w:afterLines="100" w:after="312" w:line="360" w:lineRule="auto"/>
        <w:jc w:val="center"/>
        <w:rPr>
          <w:rFonts w:ascii="宋体" w:hAnsi="宋体" w:cs="Arial"/>
          <w:color w:val="000000"/>
          <w:kern w:val="0"/>
          <w:sz w:val="24"/>
          <w:szCs w:val="24"/>
        </w:rPr>
      </w:pPr>
      <w:r w:rsidRPr="005D2CC7">
        <w:rPr>
          <w:rFonts w:ascii="宋体" w:hAnsi="宋体" w:cs="Arial"/>
          <w:color w:val="000000"/>
          <w:kern w:val="0"/>
          <w:sz w:val="24"/>
          <w:szCs w:val="24"/>
        </w:rPr>
        <w:t>§8</w:t>
      </w:r>
      <w:r w:rsidR="005D2CC7" w:rsidRPr="00272E0C">
        <w:rPr>
          <w:rFonts w:ascii="宋体" w:hAnsi="宋体" w:cs="Arial"/>
          <w:color w:val="000000"/>
          <w:kern w:val="0"/>
          <w:sz w:val="24"/>
          <w:szCs w:val="24"/>
        </w:rPr>
        <w:t xml:space="preserve">  </w:t>
      </w:r>
      <w:r w:rsidRPr="005D2CC7">
        <w:rPr>
          <w:rFonts w:ascii="宋体" w:hAnsi="宋体" w:cs="Arial"/>
          <w:color w:val="000000"/>
          <w:kern w:val="0"/>
          <w:sz w:val="24"/>
          <w:szCs w:val="24"/>
        </w:rPr>
        <w:t>影响投资者决策的其他重要信息</w:t>
      </w:r>
    </w:p>
    <w:p w:rsidR="004B7CA0" w:rsidRPr="00654C5E" w:rsidRDefault="004B7CA0" w:rsidP="004B7CA0">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8.1 影响投资者决策的其他重要信息</w:t>
      </w:r>
    </w:p>
    <w:p w:rsidR="001C36D8" w:rsidRPr="003D22BD" w:rsidRDefault="004B7CA0" w:rsidP="004B7CA0">
      <w:pPr>
        <w:spacing w:line="360" w:lineRule="auto"/>
        <w:ind w:firstLineChars="200" w:firstLine="480"/>
        <w:rPr>
          <w:color w:val="000000"/>
          <w:sz w:val="24"/>
        </w:rPr>
      </w:pPr>
      <w:r w:rsidRPr="00FC0759">
        <w:rPr>
          <w:rFonts w:eastAsiaTheme="minorEastAsia"/>
          <w:color w:val="000000" w:themeColor="text1"/>
          <w:sz w:val="24"/>
        </w:rPr>
        <w:t>根据《关于规范金融机构资产管理业务的指导意见》（以下简称《资管新规》）要求，公募产品不得进行份额分级，应在《资管新规》规定的过渡期结束前（即</w:t>
      </w:r>
      <w:r w:rsidRPr="00FC0759">
        <w:rPr>
          <w:rFonts w:eastAsiaTheme="minorEastAsia"/>
          <w:color w:val="000000" w:themeColor="text1"/>
          <w:sz w:val="24"/>
        </w:rPr>
        <w:t>2020</w:t>
      </w:r>
      <w:r w:rsidRPr="00FC0759">
        <w:rPr>
          <w:rFonts w:eastAsiaTheme="minorEastAsia"/>
          <w:color w:val="000000" w:themeColor="text1"/>
          <w:sz w:val="24"/>
        </w:rPr>
        <w:t>年</w:t>
      </w:r>
      <w:r w:rsidRPr="00FC0759">
        <w:rPr>
          <w:rFonts w:eastAsiaTheme="minorEastAsia"/>
          <w:color w:val="000000" w:themeColor="text1"/>
          <w:sz w:val="24"/>
        </w:rPr>
        <w:t>12</w:t>
      </w:r>
      <w:r w:rsidRPr="00FC0759">
        <w:rPr>
          <w:rFonts w:eastAsiaTheme="minorEastAsia"/>
          <w:color w:val="000000" w:themeColor="text1"/>
          <w:sz w:val="24"/>
        </w:rPr>
        <w:t>月</w:t>
      </w:r>
      <w:r w:rsidRPr="00FC0759">
        <w:rPr>
          <w:rFonts w:eastAsiaTheme="minorEastAsia"/>
          <w:color w:val="000000" w:themeColor="text1"/>
          <w:sz w:val="24"/>
        </w:rPr>
        <w:t>31</w:t>
      </w:r>
      <w:r w:rsidRPr="00FC0759">
        <w:rPr>
          <w:rFonts w:eastAsiaTheme="minorEastAsia"/>
          <w:color w:val="000000" w:themeColor="text1"/>
          <w:sz w:val="24"/>
        </w:rPr>
        <w:t>日前）进行整改规范，请投资者关注相关风险以及基金管理人届时发布的相关公告。</w:t>
      </w:r>
    </w:p>
    <w:p w:rsidR="001C36D8" w:rsidRPr="00272E0C" w:rsidRDefault="001C36D8" w:rsidP="005C6DF3">
      <w:pPr>
        <w:pStyle w:val="1"/>
        <w:spacing w:beforeLines="100" w:before="312" w:afterLines="100" w:after="312" w:line="360" w:lineRule="auto"/>
        <w:jc w:val="center"/>
        <w:rPr>
          <w:rFonts w:ascii="宋体" w:cs="Arial"/>
          <w:color w:val="000000"/>
          <w:kern w:val="0"/>
          <w:sz w:val="24"/>
          <w:szCs w:val="24"/>
        </w:rPr>
      </w:pPr>
      <w:r w:rsidRPr="00272E0C">
        <w:rPr>
          <w:rFonts w:ascii="宋体" w:hAnsi="宋体" w:cs="Arial" w:hint="eastAsia"/>
          <w:color w:val="000000"/>
          <w:kern w:val="0"/>
          <w:sz w:val="24"/>
          <w:szCs w:val="24"/>
        </w:rPr>
        <w:t>§</w:t>
      </w:r>
      <w:r w:rsidRPr="00272E0C">
        <w:rPr>
          <w:rFonts w:ascii="宋体" w:hAnsi="宋体" w:cs="Arial"/>
          <w:color w:val="000000"/>
          <w:kern w:val="0"/>
          <w:sz w:val="24"/>
          <w:szCs w:val="24"/>
        </w:rPr>
        <w:t>9</w:t>
      </w:r>
      <w:r w:rsidR="005D2CC7" w:rsidRPr="00272E0C">
        <w:rPr>
          <w:rFonts w:ascii="宋体" w:hAnsi="宋体" w:cs="Arial"/>
          <w:color w:val="000000"/>
          <w:kern w:val="0"/>
          <w:sz w:val="24"/>
          <w:szCs w:val="24"/>
        </w:rPr>
        <w:t xml:space="preserve">  </w:t>
      </w:r>
      <w:r w:rsidRPr="00272E0C">
        <w:rPr>
          <w:rFonts w:ascii="宋体" w:hAnsi="宋体" w:cs="Arial" w:hint="eastAsia"/>
          <w:color w:val="000000"/>
          <w:kern w:val="0"/>
          <w:sz w:val="24"/>
          <w:szCs w:val="24"/>
        </w:rPr>
        <w:t>备查文件目录</w:t>
      </w:r>
    </w:p>
    <w:p w:rsidR="001C36D8" w:rsidRPr="00CE2DE4" w:rsidRDefault="001C36D8" w:rsidP="001078B6">
      <w:pPr>
        <w:spacing w:line="360" w:lineRule="auto"/>
        <w:rPr>
          <w:rFonts w:ascii="宋体"/>
          <w:b/>
          <w:color w:val="000000"/>
          <w:kern w:val="0"/>
          <w:sz w:val="24"/>
        </w:rPr>
      </w:pPr>
      <w:r w:rsidRPr="00CE2DE4">
        <w:rPr>
          <w:rFonts w:ascii="宋体" w:hAnsi="宋体"/>
          <w:b/>
          <w:color w:val="000000"/>
          <w:sz w:val="24"/>
        </w:rPr>
        <w:t xml:space="preserve">9.1 </w:t>
      </w:r>
      <w:r w:rsidRPr="00CE2DE4">
        <w:rPr>
          <w:rFonts w:ascii="宋体" w:hAnsi="宋体" w:hint="eastAsia"/>
          <w:b/>
          <w:color w:val="000000"/>
          <w:sz w:val="24"/>
        </w:rPr>
        <w:t>备查文件目录</w:t>
      </w:r>
    </w:p>
    <w:p w:rsidR="000478A5" w:rsidRDefault="00475522">
      <w:pPr>
        <w:spacing w:line="360" w:lineRule="auto"/>
        <w:ind w:firstLineChars="200" w:firstLine="480"/>
        <w:rPr>
          <w:color w:val="000000"/>
          <w:sz w:val="24"/>
        </w:rPr>
      </w:pPr>
      <w:r>
        <w:rPr>
          <w:color w:val="000000"/>
          <w:sz w:val="24"/>
        </w:rPr>
        <w:t>1.</w:t>
      </w:r>
      <w:r>
        <w:rPr>
          <w:color w:val="000000"/>
          <w:sz w:val="24"/>
        </w:rPr>
        <w:t>中国证监会准予易方达证券公司指数分级证券投资基金募集注册的文件；</w:t>
      </w:r>
    </w:p>
    <w:p w:rsidR="000478A5" w:rsidRDefault="00475522">
      <w:pPr>
        <w:spacing w:line="360" w:lineRule="auto"/>
        <w:ind w:firstLineChars="200" w:firstLine="480"/>
        <w:rPr>
          <w:color w:val="000000"/>
          <w:sz w:val="24"/>
        </w:rPr>
      </w:pPr>
      <w:r>
        <w:rPr>
          <w:color w:val="000000"/>
          <w:sz w:val="24"/>
        </w:rPr>
        <w:t>2.</w:t>
      </w:r>
      <w:r>
        <w:rPr>
          <w:color w:val="000000"/>
          <w:sz w:val="24"/>
        </w:rPr>
        <w:t>《易方达证券公司指数分级证券投资基金基金合同》；</w:t>
      </w:r>
    </w:p>
    <w:p w:rsidR="000478A5" w:rsidRDefault="00475522">
      <w:pPr>
        <w:spacing w:line="360" w:lineRule="auto"/>
        <w:ind w:firstLineChars="200" w:firstLine="480"/>
        <w:rPr>
          <w:color w:val="000000"/>
          <w:sz w:val="24"/>
        </w:rPr>
      </w:pPr>
      <w:r>
        <w:rPr>
          <w:color w:val="000000"/>
          <w:sz w:val="24"/>
        </w:rPr>
        <w:t>3.</w:t>
      </w:r>
      <w:r>
        <w:rPr>
          <w:color w:val="000000"/>
          <w:sz w:val="24"/>
        </w:rPr>
        <w:t>《易方达证券公司指数分级证券投资基金托管协议》；</w:t>
      </w:r>
    </w:p>
    <w:p w:rsidR="001C36D8" w:rsidRPr="00E43B0B" w:rsidRDefault="001C36D8" w:rsidP="00E43B0B">
      <w:pPr>
        <w:spacing w:line="360" w:lineRule="auto"/>
        <w:ind w:firstLineChars="200" w:firstLine="480"/>
        <w:rPr>
          <w:color w:val="000000"/>
          <w:sz w:val="24"/>
        </w:rPr>
      </w:pPr>
      <w:r w:rsidRPr="003D22BD">
        <w:rPr>
          <w:color w:val="000000"/>
          <w:sz w:val="24"/>
        </w:rPr>
        <w:t>4.</w:t>
      </w:r>
      <w:r w:rsidRPr="003D22BD">
        <w:rPr>
          <w:color w:val="000000"/>
          <w:sz w:val="24"/>
        </w:rPr>
        <w:t>基金管理人业务资格批件和营业执照。</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9.2 </w:t>
      </w:r>
      <w:r w:rsidRPr="00CE2DE4">
        <w:rPr>
          <w:rFonts w:ascii="宋体" w:hAnsi="宋体" w:hint="eastAsia"/>
          <w:b/>
          <w:color w:val="000000"/>
          <w:sz w:val="24"/>
        </w:rPr>
        <w:t>存放地点</w:t>
      </w:r>
    </w:p>
    <w:p w:rsidR="001C36D8" w:rsidRPr="00E43B0B" w:rsidRDefault="001C36D8" w:rsidP="00E43B0B">
      <w:pPr>
        <w:spacing w:line="360" w:lineRule="auto"/>
        <w:ind w:firstLineChars="200" w:firstLine="480"/>
        <w:rPr>
          <w:color w:val="000000"/>
          <w:sz w:val="24"/>
        </w:rPr>
      </w:pPr>
      <w:r w:rsidRPr="003D22BD">
        <w:rPr>
          <w:color w:val="000000"/>
          <w:sz w:val="24"/>
        </w:rPr>
        <w:t>广州市天河区珠江新城珠江东路</w:t>
      </w:r>
      <w:r w:rsidRPr="003D22BD">
        <w:rPr>
          <w:color w:val="000000"/>
          <w:sz w:val="24"/>
        </w:rPr>
        <w:t>30</w:t>
      </w:r>
      <w:r w:rsidRPr="003D22BD">
        <w:rPr>
          <w:color w:val="000000"/>
          <w:sz w:val="24"/>
        </w:rPr>
        <w:t>号广州银行大厦</w:t>
      </w:r>
      <w:r w:rsidRPr="003D22BD">
        <w:rPr>
          <w:color w:val="000000"/>
          <w:sz w:val="24"/>
        </w:rPr>
        <w:t>40-43</w:t>
      </w:r>
      <w:r w:rsidRPr="003D22BD">
        <w:rPr>
          <w:color w:val="000000"/>
          <w:sz w:val="24"/>
        </w:rPr>
        <w:t>楼。</w:t>
      </w:r>
    </w:p>
    <w:p w:rsidR="001C36D8" w:rsidRPr="00CE2DE4" w:rsidRDefault="001C36D8" w:rsidP="001078B6">
      <w:pPr>
        <w:spacing w:line="360" w:lineRule="auto"/>
        <w:rPr>
          <w:rFonts w:ascii="宋体"/>
          <w:b/>
          <w:color w:val="000000"/>
          <w:sz w:val="24"/>
        </w:rPr>
      </w:pPr>
      <w:r w:rsidRPr="00CE2DE4">
        <w:rPr>
          <w:rFonts w:ascii="宋体" w:hAnsi="宋体"/>
          <w:b/>
          <w:color w:val="000000"/>
          <w:sz w:val="24"/>
        </w:rPr>
        <w:t xml:space="preserve">9.3 </w:t>
      </w:r>
      <w:r w:rsidRPr="00CE2DE4">
        <w:rPr>
          <w:rFonts w:ascii="宋体" w:hAnsi="宋体" w:hint="eastAsia"/>
          <w:b/>
          <w:color w:val="000000"/>
          <w:sz w:val="24"/>
        </w:rPr>
        <w:t>查阅方式</w:t>
      </w:r>
    </w:p>
    <w:p w:rsidR="001C36D8" w:rsidRPr="003D22BD" w:rsidRDefault="001C36D8" w:rsidP="0015779C">
      <w:pPr>
        <w:spacing w:line="360" w:lineRule="auto"/>
        <w:ind w:firstLineChars="200" w:firstLine="480"/>
        <w:rPr>
          <w:color w:val="000000"/>
          <w:sz w:val="24"/>
        </w:rPr>
      </w:pPr>
      <w:r w:rsidRPr="003D22BD">
        <w:rPr>
          <w:color w:val="000000"/>
          <w:sz w:val="24"/>
        </w:rPr>
        <w:t>投资者可在营业时间免费查阅，也可按工本费购买复印件。</w:t>
      </w:r>
    </w:p>
    <w:p w:rsidR="001C36D8" w:rsidRPr="00272E0C" w:rsidRDefault="001C36D8" w:rsidP="0019563C">
      <w:pPr>
        <w:spacing w:line="360" w:lineRule="auto"/>
        <w:ind w:left="840"/>
        <w:jc w:val="right"/>
        <w:rPr>
          <w:rFonts w:ascii="宋体"/>
          <w:color w:val="000000"/>
          <w:sz w:val="24"/>
        </w:rPr>
      </w:pPr>
      <w:r w:rsidRPr="00272E0C">
        <w:rPr>
          <w:rFonts w:ascii="宋体"/>
          <w:color w:val="000000"/>
          <w:sz w:val="24"/>
        </w:rPr>
        <w:tab/>
      </w: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9563C">
      <w:pPr>
        <w:spacing w:line="360" w:lineRule="auto"/>
        <w:ind w:left="840"/>
        <w:jc w:val="right"/>
        <w:rPr>
          <w:rFonts w:ascii="宋体"/>
          <w:color w:val="000000"/>
          <w:sz w:val="24"/>
        </w:rPr>
      </w:pPr>
    </w:p>
    <w:p w:rsidR="001C36D8" w:rsidRPr="00272E0C" w:rsidRDefault="001C36D8" w:rsidP="001078B6">
      <w:pPr>
        <w:spacing w:line="360" w:lineRule="auto"/>
        <w:jc w:val="right"/>
        <w:rPr>
          <w:rFonts w:ascii="宋体" w:hAnsi="宋体"/>
          <w:b/>
          <w:bCs/>
          <w:sz w:val="24"/>
        </w:rPr>
      </w:pPr>
      <w:r w:rsidRPr="00272E0C">
        <w:rPr>
          <w:rFonts w:ascii="宋体" w:hAnsi="宋体"/>
          <w:b/>
          <w:bCs/>
          <w:sz w:val="24"/>
        </w:rPr>
        <w:t>易方达基金管理有限公司</w:t>
      </w:r>
    </w:p>
    <w:p w:rsidR="001C36D8" w:rsidRPr="008C2A97" w:rsidRDefault="001C36D8" w:rsidP="008C2A97">
      <w:pPr>
        <w:spacing w:line="360" w:lineRule="auto"/>
        <w:jc w:val="right"/>
        <w:rPr>
          <w:rFonts w:ascii="宋体" w:hAnsi="宋体"/>
          <w:b/>
          <w:bCs/>
          <w:sz w:val="24"/>
        </w:rPr>
      </w:pPr>
      <w:r w:rsidRPr="00272E0C">
        <w:rPr>
          <w:rFonts w:ascii="宋体" w:hAnsi="宋体"/>
          <w:b/>
          <w:bCs/>
          <w:sz w:val="24"/>
        </w:rPr>
        <w:t>二〇二〇年四月二十一日</w:t>
      </w:r>
    </w:p>
    <w:sectPr w:rsidR="001C36D8" w:rsidRPr="008C2A97"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8C" w:rsidRDefault="0097008C">
      <w:r>
        <w:separator/>
      </w:r>
    </w:p>
  </w:endnote>
  <w:endnote w:type="continuationSeparator" w:id="0">
    <w:p w:rsidR="0097008C" w:rsidRDefault="0097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1D0DB0" w:rsidRDefault="00E43B0B" w:rsidP="00230A66">
    <w:pPr>
      <w:pStyle w:val="a6"/>
      <w:jc w:val="center"/>
    </w:pPr>
    <w:r>
      <w:rPr>
        <w:rFonts w:hint="eastAsia"/>
        <w:kern w:val="0"/>
        <w:szCs w:val="21"/>
      </w:rPr>
      <w:t>第</w:t>
    </w:r>
    <w:r w:rsidR="0015021E">
      <w:rPr>
        <w:kern w:val="0"/>
        <w:szCs w:val="21"/>
      </w:rPr>
      <w:fldChar w:fldCharType="begin"/>
    </w:r>
    <w:r>
      <w:rPr>
        <w:kern w:val="0"/>
        <w:szCs w:val="21"/>
      </w:rPr>
      <w:instrText xml:space="preserve"> PAGE </w:instrText>
    </w:r>
    <w:r w:rsidR="0015021E">
      <w:rPr>
        <w:kern w:val="0"/>
        <w:szCs w:val="21"/>
      </w:rPr>
      <w:fldChar w:fldCharType="separate"/>
    </w:r>
    <w:r w:rsidR="00475522">
      <w:rPr>
        <w:noProof/>
        <w:kern w:val="0"/>
        <w:szCs w:val="21"/>
      </w:rPr>
      <w:t>1</w:t>
    </w:r>
    <w:r w:rsidR="0015021E">
      <w:rPr>
        <w:kern w:val="0"/>
        <w:szCs w:val="21"/>
      </w:rPr>
      <w:fldChar w:fldCharType="end"/>
    </w:r>
    <w:r>
      <w:rPr>
        <w:rFonts w:hint="eastAsia"/>
        <w:kern w:val="0"/>
        <w:szCs w:val="21"/>
      </w:rPr>
      <w:t>页共</w:t>
    </w:r>
    <w:r w:rsidR="0015021E">
      <w:rPr>
        <w:kern w:val="0"/>
        <w:szCs w:val="21"/>
      </w:rPr>
      <w:fldChar w:fldCharType="begin"/>
    </w:r>
    <w:r>
      <w:rPr>
        <w:kern w:val="0"/>
        <w:szCs w:val="21"/>
      </w:rPr>
      <w:instrText xml:space="preserve"> NUMPAGES </w:instrText>
    </w:r>
    <w:r w:rsidR="0015021E">
      <w:rPr>
        <w:kern w:val="0"/>
        <w:szCs w:val="21"/>
      </w:rPr>
      <w:fldChar w:fldCharType="separate"/>
    </w:r>
    <w:r w:rsidR="00475522">
      <w:rPr>
        <w:noProof/>
        <w:kern w:val="0"/>
        <w:szCs w:val="21"/>
      </w:rPr>
      <w:t>1</w:t>
    </w:r>
    <w:r w:rsidR="0015021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end"/>
    </w:r>
  </w:p>
  <w:p w:rsidR="00E43B0B" w:rsidRDefault="00E43B0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Default="0015021E">
    <w:pPr>
      <w:pStyle w:val="a6"/>
      <w:framePr w:wrap="around" w:vAnchor="text" w:hAnchor="margin" w:xAlign="center" w:y="1"/>
      <w:rPr>
        <w:rStyle w:val="a7"/>
      </w:rPr>
    </w:pPr>
    <w:r>
      <w:rPr>
        <w:rStyle w:val="a7"/>
      </w:rPr>
      <w:fldChar w:fldCharType="begin"/>
    </w:r>
    <w:r w:rsidR="00E43B0B">
      <w:rPr>
        <w:rStyle w:val="a7"/>
      </w:rPr>
      <w:instrText xml:space="preserve">PAGE  </w:instrText>
    </w:r>
    <w:r>
      <w:rPr>
        <w:rStyle w:val="a7"/>
      </w:rPr>
      <w:fldChar w:fldCharType="separate"/>
    </w:r>
    <w:r w:rsidR="00475522">
      <w:rPr>
        <w:rStyle w:val="a7"/>
        <w:noProof/>
      </w:rPr>
      <w:t>2</w:t>
    </w:r>
    <w:r>
      <w:rPr>
        <w:rStyle w:val="a7"/>
      </w:rPr>
      <w:fldChar w:fldCharType="end"/>
    </w:r>
  </w:p>
  <w:p w:rsidR="00E43B0B" w:rsidRDefault="00E43B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8C" w:rsidRDefault="0097008C">
      <w:r>
        <w:separator/>
      </w:r>
    </w:p>
  </w:footnote>
  <w:footnote w:type="continuationSeparator" w:id="0">
    <w:p w:rsidR="0097008C" w:rsidRDefault="00970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0B" w:rsidRPr="00717C29" w:rsidRDefault="00E43B0B" w:rsidP="00FB572A">
    <w:pPr>
      <w:pStyle w:val="a9"/>
      <w:pBdr>
        <w:bottom w:val="single" w:sz="6" w:space="0" w:color="auto"/>
      </w:pBdr>
      <w:jc w:val="right"/>
      <w:rPr>
        <w:sz w:val="15"/>
      </w:rPr>
    </w:pPr>
    <w:r w:rsidRPr="00717C29">
      <w:rPr>
        <w:szCs w:val="21"/>
      </w:rPr>
      <w:t>易方达证券公司指数分级证券投资基金</w:t>
    </w:r>
    <w:r w:rsidRPr="00717C29">
      <w:rPr>
        <w:szCs w:val="21"/>
      </w:rPr>
      <w:t>2020</w:t>
    </w:r>
    <w:r w:rsidRPr="00717C29">
      <w:rPr>
        <w:szCs w:val="21"/>
      </w:rPr>
      <w:t>年第</w:t>
    </w:r>
    <w:r w:rsidRPr="00717C29">
      <w:rPr>
        <w:szCs w:val="21"/>
      </w:rPr>
      <w:t>1</w:t>
    </w:r>
    <w:r w:rsidRPr="00717C29">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116E"/>
    <w:rsid w:val="0000403B"/>
    <w:rsid w:val="00005911"/>
    <w:rsid w:val="0000595B"/>
    <w:rsid w:val="00010A83"/>
    <w:rsid w:val="00010A8E"/>
    <w:rsid w:val="00010AC3"/>
    <w:rsid w:val="000118A9"/>
    <w:rsid w:val="00011EB5"/>
    <w:rsid w:val="0001280C"/>
    <w:rsid w:val="00013023"/>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478A5"/>
    <w:rsid w:val="000510AB"/>
    <w:rsid w:val="00055190"/>
    <w:rsid w:val="00055AF1"/>
    <w:rsid w:val="00056A75"/>
    <w:rsid w:val="00057DD3"/>
    <w:rsid w:val="000625A6"/>
    <w:rsid w:val="000627CD"/>
    <w:rsid w:val="00062BCE"/>
    <w:rsid w:val="00064AE3"/>
    <w:rsid w:val="00066524"/>
    <w:rsid w:val="00070CD1"/>
    <w:rsid w:val="0007171B"/>
    <w:rsid w:val="00074E9F"/>
    <w:rsid w:val="00081D05"/>
    <w:rsid w:val="0008378B"/>
    <w:rsid w:val="00085449"/>
    <w:rsid w:val="00087CF7"/>
    <w:rsid w:val="00090B0F"/>
    <w:rsid w:val="00090D91"/>
    <w:rsid w:val="00091214"/>
    <w:rsid w:val="00094876"/>
    <w:rsid w:val="00095912"/>
    <w:rsid w:val="00095CE0"/>
    <w:rsid w:val="00096933"/>
    <w:rsid w:val="00097230"/>
    <w:rsid w:val="0009778D"/>
    <w:rsid w:val="000A457E"/>
    <w:rsid w:val="000A53FD"/>
    <w:rsid w:val="000A549A"/>
    <w:rsid w:val="000A72F2"/>
    <w:rsid w:val="000B0C56"/>
    <w:rsid w:val="000B3E43"/>
    <w:rsid w:val="000B5974"/>
    <w:rsid w:val="000B5CC0"/>
    <w:rsid w:val="000C1038"/>
    <w:rsid w:val="000C1723"/>
    <w:rsid w:val="000C1B20"/>
    <w:rsid w:val="000C4107"/>
    <w:rsid w:val="000C44BD"/>
    <w:rsid w:val="000C45E7"/>
    <w:rsid w:val="000C57A8"/>
    <w:rsid w:val="000D0149"/>
    <w:rsid w:val="000D01F4"/>
    <w:rsid w:val="000D0D4E"/>
    <w:rsid w:val="000D1519"/>
    <w:rsid w:val="000E1618"/>
    <w:rsid w:val="000E4456"/>
    <w:rsid w:val="000F175F"/>
    <w:rsid w:val="000F17D1"/>
    <w:rsid w:val="000F2837"/>
    <w:rsid w:val="000F399F"/>
    <w:rsid w:val="000F60FF"/>
    <w:rsid w:val="000F635F"/>
    <w:rsid w:val="000F6C61"/>
    <w:rsid w:val="001008A1"/>
    <w:rsid w:val="00100C12"/>
    <w:rsid w:val="00102E56"/>
    <w:rsid w:val="001049B6"/>
    <w:rsid w:val="001051C6"/>
    <w:rsid w:val="001078B6"/>
    <w:rsid w:val="0011177A"/>
    <w:rsid w:val="00111D44"/>
    <w:rsid w:val="00116E31"/>
    <w:rsid w:val="00120BED"/>
    <w:rsid w:val="0012304E"/>
    <w:rsid w:val="001248EF"/>
    <w:rsid w:val="001257C7"/>
    <w:rsid w:val="00126DDF"/>
    <w:rsid w:val="001270BF"/>
    <w:rsid w:val="00127BAC"/>
    <w:rsid w:val="00134868"/>
    <w:rsid w:val="001366D4"/>
    <w:rsid w:val="00140FF8"/>
    <w:rsid w:val="00142A56"/>
    <w:rsid w:val="00144DF5"/>
    <w:rsid w:val="00145A97"/>
    <w:rsid w:val="00146485"/>
    <w:rsid w:val="00147338"/>
    <w:rsid w:val="0015021E"/>
    <w:rsid w:val="001506B4"/>
    <w:rsid w:val="00150A6E"/>
    <w:rsid w:val="00150AD6"/>
    <w:rsid w:val="00153B40"/>
    <w:rsid w:val="00154ADA"/>
    <w:rsid w:val="0015531A"/>
    <w:rsid w:val="00155953"/>
    <w:rsid w:val="0015779C"/>
    <w:rsid w:val="001600E8"/>
    <w:rsid w:val="00163B27"/>
    <w:rsid w:val="00165317"/>
    <w:rsid w:val="00170F80"/>
    <w:rsid w:val="00171BAD"/>
    <w:rsid w:val="001744B4"/>
    <w:rsid w:val="001756A1"/>
    <w:rsid w:val="001761EE"/>
    <w:rsid w:val="0017638D"/>
    <w:rsid w:val="00176EAA"/>
    <w:rsid w:val="0017725A"/>
    <w:rsid w:val="00177C4B"/>
    <w:rsid w:val="0018325A"/>
    <w:rsid w:val="00183C9E"/>
    <w:rsid w:val="00184556"/>
    <w:rsid w:val="00185D2B"/>
    <w:rsid w:val="00186199"/>
    <w:rsid w:val="001878B0"/>
    <w:rsid w:val="001928F7"/>
    <w:rsid w:val="00193F07"/>
    <w:rsid w:val="00194537"/>
    <w:rsid w:val="0019563C"/>
    <w:rsid w:val="001A09F9"/>
    <w:rsid w:val="001A14DB"/>
    <w:rsid w:val="001A21A9"/>
    <w:rsid w:val="001A363B"/>
    <w:rsid w:val="001A59D8"/>
    <w:rsid w:val="001A5FA6"/>
    <w:rsid w:val="001B0A62"/>
    <w:rsid w:val="001B2F0C"/>
    <w:rsid w:val="001B64E7"/>
    <w:rsid w:val="001C123E"/>
    <w:rsid w:val="001C36D8"/>
    <w:rsid w:val="001C37F6"/>
    <w:rsid w:val="001C4BEC"/>
    <w:rsid w:val="001C6288"/>
    <w:rsid w:val="001C7DE9"/>
    <w:rsid w:val="001D0DB0"/>
    <w:rsid w:val="001D0F6A"/>
    <w:rsid w:val="001D21BC"/>
    <w:rsid w:val="001D2FA5"/>
    <w:rsid w:val="001D35E0"/>
    <w:rsid w:val="001D5045"/>
    <w:rsid w:val="001D5387"/>
    <w:rsid w:val="001D5A44"/>
    <w:rsid w:val="001D63BB"/>
    <w:rsid w:val="001D724B"/>
    <w:rsid w:val="001E11D3"/>
    <w:rsid w:val="001E2A6A"/>
    <w:rsid w:val="001E3DC2"/>
    <w:rsid w:val="001E56FF"/>
    <w:rsid w:val="001E5C6B"/>
    <w:rsid w:val="001E6E4D"/>
    <w:rsid w:val="001F03E1"/>
    <w:rsid w:val="001F0DE2"/>
    <w:rsid w:val="001F218E"/>
    <w:rsid w:val="001F3CC6"/>
    <w:rsid w:val="001F40BA"/>
    <w:rsid w:val="001F4530"/>
    <w:rsid w:val="002010DE"/>
    <w:rsid w:val="00202968"/>
    <w:rsid w:val="00202A66"/>
    <w:rsid w:val="00202C32"/>
    <w:rsid w:val="00203AEF"/>
    <w:rsid w:val="00210344"/>
    <w:rsid w:val="00211A26"/>
    <w:rsid w:val="002125F7"/>
    <w:rsid w:val="00213171"/>
    <w:rsid w:val="00213917"/>
    <w:rsid w:val="00214463"/>
    <w:rsid w:val="00214756"/>
    <w:rsid w:val="00215CF2"/>
    <w:rsid w:val="00215E33"/>
    <w:rsid w:val="00216232"/>
    <w:rsid w:val="00220542"/>
    <w:rsid w:val="00220684"/>
    <w:rsid w:val="00221174"/>
    <w:rsid w:val="00225ADC"/>
    <w:rsid w:val="00230732"/>
    <w:rsid w:val="00230A66"/>
    <w:rsid w:val="00230EC2"/>
    <w:rsid w:val="002359EB"/>
    <w:rsid w:val="002363AB"/>
    <w:rsid w:val="00237FA3"/>
    <w:rsid w:val="0024172D"/>
    <w:rsid w:val="00241B12"/>
    <w:rsid w:val="0024260D"/>
    <w:rsid w:val="00243E40"/>
    <w:rsid w:val="00245012"/>
    <w:rsid w:val="0024504E"/>
    <w:rsid w:val="0024651F"/>
    <w:rsid w:val="002470BA"/>
    <w:rsid w:val="00250BE3"/>
    <w:rsid w:val="00251290"/>
    <w:rsid w:val="0025158D"/>
    <w:rsid w:val="00251D17"/>
    <w:rsid w:val="00251F3A"/>
    <w:rsid w:val="0025281A"/>
    <w:rsid w:val="00253D3C"/>
    <w:rsid w:val="0025435F"/>
    <w:rsid w:val="00255292"/>
    <w:rsid w:val="00260200"/>
    <w:rsid w:val="00263563"/>
    <w:rsid w:val="002648D8"/>
    <w:rsid w:val="00264E55"/>
    <w:rsid w:val="00270548"/>
    <w:rsid w:val="00272E0C"/>
    <w:rsid w:val="00273F86"/>
    <w:rsid w:val="002752B0"/>
    <w:rsid w:val="002774F0"/>
    <w:rsid w:val="0028459B"/>
    <w:rsid w:val="00284C5F"/>
    <w:rsid w:val="002873F0"/>
    <w:rsid w:val="00291A74"/>
    <w:rsid w:val="00292198"/>
    <w:rsid w:val="002964F9"/>
    <w:rsid w:val="00297EF3"/>
    <w:rsid w:val="002A1F14"/>
    <w:rsid w:val="002A2678"/>
    <w:rsid w:val="002A2E01"/>
    <w:rsid w:val="002A398F"/>
    <w:rsid w:val="002A44F9"/>
    <w:rsid w:val="002A5C6B"/>
    <w:rsid w:val="002A5D31"/>
    <w:rsid w:val="002A714F"/>
    <w:rsid w:val="002A74FB"/>
    <w:rsid w:val="002B1851"/>
    <w:rsid w:val="002B27FF"/>
    <w:rsid w:val="002B4429"/>
    <w:rsid w:val="002B6793"/>
    <w:rsid w:val="002C1726"/>
    <w:rsid w:val="002C1DF3"/>
    <w:rsid w:val="002C21A6"/>
    <w:rsid w:val="002C26D5"/>
    <w:rsid w:val="002C2DE0"/>
    <w:rsid w:val="002C5777"/>
    <w:rsid w:val="002C7FC3"/>
    <w:rsid w:val="002D1791"/>
    <w:rsid w:val="002D32E3"/>
    <w:rsid w:val="002D55E7"/>
    <w:rsid w:val="002E0FEB"/>
    <w:rsid w:val="002E1EBA"/>
    <w:rsid w:val="002F0F79"/>
    <w:rsid w:val="002F280E"/>
    <w:rsid w:val="002F3709"/>
    <w:rsid w:val="002F3A6C"/>
    <w:rsid w:val="002F3E9C"/>
    <w:rsid w:val="002F4296"/>
    <w:rsid w:val="00300951"/>
    <w:rsid w:val="003023C9"/>
    <w:rsid w:val="00302CA8"/>
    <w:rsid w:val="00302DE9"/>
    <w:rsid w:val="003041B1"/>
    <w:rsid w:val="00305084"/>
    <w:rsid w:val="003168E2"/>
    <w:rsid w:val="003204E9"/>
    <w:rsid w:val="00320DDA"/>
    <w:rsid w:val="00321E8C"/>
    <w:rsid w:val="00322A65"/>
    <w:rsid w:val="00322A86"/>
    <w:rsid w:val="00323AE8"/>
    <w:rsid w:val="00324548"/>
    <w:rsid w:val="003251F4"/>
    <w:rsid w:val="003303E3"/>
    <w:rsid w:val="00331FA4"/>
    <w:rsid w:val="003329EA"/>
    <w:rsid w:val="00332FDE"/>
    <w:rsid w:val="003407A5"/>
    <w:rsid w:val="00341188"/>
    <w:rsid w:val="0034147B"/>
    <w:rsid w:val="0034432A"/>
    <w:rsid w:val="00350238"/>
    <w:rsid w:val="0035109C"/>
    <w:rsid w:val="00351F0A"/>
    <w:rsid w:val="0035432B"/>
    <w:rsid w:val="00357EB5"/>
    <w:rsid w:val="00361E7E"/>
    <w:rsid w:val="003669EF"/>
    <w:rsid w:val="00370AA4"/>
    <w:rsid w:val="00371FF4"/>
    <w:rsid w:val="00373015"/>
    <w:rsid w:val="00375D24"/>
    <w:rsid w:val="00377520"/>
    <w:rsid w:val="00380D36"/>
    <w:rsid w:val="003822D3"/>
    <w:rsid w:val="0038409E"/>
    <w:rsid w:val="00384BC3"/>
    <w:rsid w:val="00386630"/>
    <w:rsid w:val="00390522"/>
    <w:rsid w:val="00390B25"/>
    <w:rsid w:val="00390C86"/>
    <w:rsid w:val="00397156"/>
    <w:rsid w:val="00397960"/>
    <w:rsid w:val="003A20AA"/>
    <w:rsid w:val="003A3BC4"/>
    <w:rsid w:val="003A458A"/>
    <w:rsid w:val="003A4DA3"/>
    <w:rsid w:val="003A768B"/>
    <w:rsid w:val="003B07C8"/>
    <w:rsid w:val="003B2082"/>
    <w:rsid w:val="003B2F13"/>
    <w:rsid w:val="003B3D0C"/>
    <w:rsid w:val="003B405E"/>
    <w:rsid w:val="003B57D3"/>
    <w:rsid w:val="003C1F58"/>
    <w:rsid w:val="003C792F"/>
    <w:rsid w:val="003D124B"/>
    <w:rsid w:val="003D18F3"/>
    <w:rsid w:val="003D22BD"/>
    <w:rsid w:val="003D4E5A"/>
    <w:rsid w:val="003D5951"/>
    <w:rsid w:val="003D74F2"/>
    <w:rsid w:val="003D78B5"/>
    <w:rsid w:val="003E1062"/>
    <w:rsid w:val="003E244F"/>
    <w:rsid w:val="003E3AE8"/>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6C10"/>
    <w:rsid w:val="004217C8"/>
    <w:rsid w:val="0042180E"/>
    <w:rsid w:val="004222C8"/>
    <w:rsid w:val="0042253F"/>
    <w:rsid w:val="00424726"/>
    <w:rsid w:val="00424EF3"/>
    <w:rsid w:val="004268BB"/>
    <w:rsid w:val="00431047"/>
    <w:rsid w:val="004318F0"/>
    <w:rsid w:val="00431B86"/>
    <w:rsid w:val="00431BC5"/>
    <w:rsid w:val="004344A5"/>
    <w:rsid w:val="004408EC"/>
    <w:rsid w:val="00441B38"/>
    <w:rsid w:val="00441D14"/>
    <w:rsid w:val="00441E6A"/>
    <w:rsid w:val="004432B9"/>
    <w:rsid w:val="00443C8F"/>
    <w:rsid w:val="00452481"/>
    <w:rsid w:val="00453E40"/>
    <w:rsid w:val="004542DD"/>
    <w:rsid w:val="00456CE0"/>
    <w:rsid w:val="004575E9"/>
    <w:rsid w:val="00457804"/>
    <w:rsid w:val="004646BF"/>
    <w:rsid w:val="00464744"/>
    <w:rsid w:val="00465C86"/>
    <w:rsid w:val="004665E3"/>
    <w:rsid w:val="004731F1"/>
    <w:rsid w:val="00475522"/>
    <w:rsid w:val="0047652F"/>
    <w:rsid w:val="00480BC8"/>
    <w:rsid w:val="00481265"/>
    <w:rsid w:val="004814BF"/>
    <w:rsid w:val="004828AE"/>
    <w:rsid w:val="0048587E"/>
    <w:rsid w:val="00487C2B"/>
    <w:rsid w:val="0049168F"/>
    <w:rsid w:val="00491ABD"/>
    <w:rsid w:val="0049297D"/>
    <w:rsid w:val="004929F2"/>
    <w:rsid w:val="00495A03"/>
    <w:rsid w:val="00497079"/>
    <w:rsid w:val="004A1BBA"/>
    <w:rsid w:val="004A1E8A"/>
    <w:rsid w:val="004A3E3C"/>
    <w:rsid w:val="004A3F71"/>
    <w:rsid w:val="004B0E6D"/>
    <w:rsid w:val="004B16E8"/>
    <w:rsid w:val="004B2326"/>
    <w:rsid w:val="004B4D2D"/>
    <w:rsid w:val="004B6250"/>
    <w:rsid w:val="004B76B1"/>
    <w:rsid w:val="004B7CA0"/>
    <w:rsid w:val="004C0057"/>
    <w:rsid w:val="004C04AE"/>
    <w:rsid w:val="004C0541"/>
    <w:rsid w:val="004C2C46"/>
    <w:rsid w:val="004C6E88"/>
    <w:rsid w:val="004C7235"/>
    <w:rsid w:val="004C7955"/>
    <w:rsid w:val="004D047F"/>
    <w:rsid w:val="004D3D96"/>
    <w:rsid w:val="004D650F"/>
    <w:rsid w:val="004D67E0"/>
    <w:rsid w:val="004E12E1"/>
    <w:rsid w:val="004E2133"/>
    <w:rsid w:val="004E32E2"/>
    <w:rsid w:val="004E5AB9"/>
    <w:rsid w:val="004E60FB"/>
    <w:rsid w:val="004F779C"/>
    <w:rsid w:val="004F7846"/>
    <w:rsid w:val="005000D4"/>
    <w:rsid w:val="005015FA"/>
    <w:rsid w:val="00505411"/>
    <w:rsid w:val="00510CAF"/>
    <w:rsid w:val="00510DAB"/>
    <w:rsid w:val="005128C5"/>
    <w:rsid w:val="00514754"/>
    <w:rsid w:val="0051478B"/>
    <w:rsid w:val="0051566A"/>
    <w:rsid w:val="00515D7B"/>
    <w:rsid w:val="005166E9"/>
    <w:rsid w:val="0052009E"/>
    <w:rsid w:val="0052302C"/>
    <w:rsid w:val="00525E59"/>
    <w:rsid w:val="00530D61"/>
    <w:rsid w:val="005318CC"/>
    <w:rsid w:val="00531D1B"/>
    <w:rsid w:val="005349B1"/>
    <w:rsid w:val="005374BC"/>
    <w:rsid w:val="00537A4E"/>
    <w:rsid w:val="00543188"/>
    <w:rsid w:val="00543367"/>
    <w:rsid w:val="00543BFA"/>
    <w:rsid w:val="00547D9C"/>
    <w:rsid w:val="00547DA1"/>
    <w:rsid w:val="005505E1"/>
    <w:rsid w:val="005541BC"/>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61D7"/>
    <w:rsid w:val="00597057"/>
    <w:rsid w:val="00597D8B"/>
    <w:rsid w:val="005A1C30"/>
    <w:rsid w:val="005A229D"/>
    <w:rsid w:val="005A3295"/>
    <w:rsid w:val="005A46FF"/>
    <w:rsid w:val="005A5AE2"/>
    <w:rsid w:val="005B011E"/>
    <w:rsid w:val="005B14F0"/>
    <w:rsid w:val="005B1E0B"/>
    <w:rsid w:val="005B2E84"/>
    <w:rsid w:val="005B70C6"/>
    <w:rsid w:val="005B7B0E"/>
    <w:rsid w:val="005C526E"/>
    <w:rsid w:val="005C5409"/>
    <w:rsid w:val="005C69AC"/>
    <w:rsid w:val="005C6DCF"/>
    <w:rsid w:val="005C6DF3"/>
    <w:rsid w:val="005C722E"/>
    <w:rsid w:val="005D01A4"/>
    <w:rsid w:val="005D14DE"/>
    <w:rsid w:val="005D2CC7"/>
    <w:rsid w:val="005D44E4"/>
    <w:rsid w:val="005D45B3"/>
    <w:rsid w:val="005D4CEB"/>
    <w:rsid w:val="005D5F80"/>
    <w:rsid w:val="005E0C14"/>
    <w:rsid w:val="005E1D51"/>
    <w:rsid w:val="005F04E6"/>
    <w:rsid w:val="005F43B9"/>
    <w:rsid w:val="005F68CB"/>
    <w:rsid w:val="005F6A4A"/>
    <w:rsid w:val="006033E3"/>
    <w:rsid w:val="00603663"/>
    <w:rsid w:val="0061321C"/>
    <w:rsid w:val="006159E5"/>
    <w:rsid w:val="00620DB0"/>
    <w:rsid w:val="0062386E"/>
    <w:rsid w:val="00623D9A"/>
    <w:rsid w:val="00623F01"/>
    <w:rsid w:val="006242FB"/>
    <w:rsid w:val="00626E2D"/>
    <w:rsid w:val="00627D94"/>
    <w:rsid w:val="00630B42"/>
    <w:rsid w:val="00631DB3"/>
    <w:rsid w:val="00634900"/>
    <w:rsid w:val="00637BA7"/>
    <w:rsid w:val="00642072"/>
    <w:rsid w:val="006440ED"/>
    <w:rsid w:val="00645293"/>
    <w:rsid w:val="00651B78"/>
    <w:rsid w:val="00652263"/>
    <w:rsid w:val="00652881"/>
    <w:rsid w:val="00653BAC"/>
    <w:rsid w:val="00657CAF"/>
    <w:rsid w:val="00661974"/>
    <w:rsid w:val="00662F58"/>
    <w:rsid w:val="00664551"/>
    <w:rsid w:val="0066704D"/>
    <w:rsid w:val="006676A0"/>
    <w:rsid w:val="006706B6"/>
    <w:rsid w:val="00670857"/>
    <w:rsid w:val="00671124"/>
    <w:rsid w:val="006727B0"/>
    <w:rsid w:val="0067307E"/>
    <w:rsid w:val="006848C1"/>
    <w:rsid w:val="006868CD"/>
    <w:rsid w:val="00686EEA"/>
    <w:rsid w:val="00687AD5"/>
    <w:rsid w:val="00690EC4"/>
    <w:rsid w:val="00691D14"/>
    <w:rsid w:val="00695251"/>
    <w:rsid w:val="00695296"/>
    <w:rsid w:val="00695ADE"/>
    <w:rsid w:val="00695C0D"/>
    <w:rsid w:val="00696356"/>
    <w:rsid w:val="00696DDE"/>
    <w:rsid w:val="006A72C6"/>
    <w:rsid w:val="006B02DA"/>
    <w:rsid w:val="006B0806"/>
    <w:rsid w:val="006B10DA"/>
    <w:rsid w:val="006B2065"/>
    <w:rsid w:val="006B3940"/>
    <w:rsid w:val="006B5B3E"/>
    <w:rsid w:val="006C168D"/>
    <w:rsid w:val="006C4465"/>
    <w:rsid w:val="006C642C"/>
    <w:rsid w:val="006C6FC6"/>
    <w:rsid w:val="006D0E4F"/>
    <w:rsid w:val="006D676F"/>
    <w:rsid w:val="006D7693"/>
    <w:rsid w:val="006E231B"/>
    <w:rsid w:val="006E346E"/>
    <w:rsid w:val="006E34B7"/>
    <w:rsid w:val="006F103E"/>
    <w:rsid w:val="006F4C30"/>
    <w:rsid w:val="006F4CD8"/>
    <w:rsid w:val="006F53D9"/>
    <w:rsid w:val="007004DC"/>
    <w:rsid w:val="00701347"/>
    <w:rsid w:val="007027B6"/>
    <w:rsid w:val="00703E8A"/>
    <w:rsid w:val="00707FB8"/>
    <w:rsid w:val="0071006D"/>
    <w:rsid w:val="00711522"/>
    <w:rsid w:val="007124FE"/>
    <w:rsid w:val="007125A9"/>
    <w:rsid w:val="00713186"/>
    <w:rsid w:val="00713757"/>
    <w:rsid w:val="00716F79"/>
    <w:rsid w:val="00717772"/>
    <w:rsid w:val="00717C29"/>
    <w:rsid w:val="00721AF1"/>
    <w:rsid w:val="0072280F"/>
    <w:rsid w:val="00722B5E"/>
    <w:rsid w:val="0072708F"/>
    <w:rsid w:val="00727C6C"/>
    <w:rsid w:val="0073150B"/>
    <w:rsid w:val="00732D1D"/>
    <w:rsid w:val="00736034"/>
    <w:rsid w:val="0073681C"/>
    <w:rsid w:val="00737AB0"/>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41EA"/>
    <w:rsid w:val="007951F3"/>
    <w:rsid w:val="0079671E"/>
    <w:rsid w:val="00797637"/>
    <w:rsid w:val="007A0A57"/>
    <w:rsid w:val="007A3680"/>
    <w:rsid w:val="007A59B8"/>
    <w:rsid w:val="007A6BEA"/>
    <w:rsid w:val="007B2191"/>
    <w:rsid w:val="007B2862"/>
    <w:rsid w:val="007B3C32"/>
    <w:rsid w:val="007B505A"/>
    <w:rsid w:val="007B662A"/>
    <w:rsid w:val="007C2BCC"/>
    <w:rsid w:val="007C7E22"/>
    <w:rsid w:val="007D1C16"/>
    <w:rsid w:val="007D28C9"/>
    <w:rsid w:val="007D3CC8"/>
    <w:rsid w:val="007D62F9"/>
    <w:rsid w:val="007D63A4"/>
    <w:rsid w:val="007E008D"/>
    <w:rsid w:val="007E0F0C"/>
    <w:rsid w:val="007E1AA2"/>
    <w:rsid w:val="007E1AD0"/>
    <w:rsid w:val="007E4C1F"/>
    <w:rsid w:val="007E5EDC"/>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1C19"/>
    <w:rsid w:val="008174D4"/>
    <w:rsid w:val="00820FE6"/>
    <w:rsid w:val="00821985"/>
    <w:rsid w:val="00821A66"/>
    <w:rsid w:val="00822476"/>
    <w:rsid w:val="00822882"/>
    <w:rsid w:val="00823E6D"/>
    <w:rsid w:val="00824200"/>
    <w:rsid w:val="00825D22"/>
    <w:rsid w:val="00825F68"/>
    <w:rsid w:val="00827CB9"/>
    <w:rsid w:val="008305BF"/>
    <w:rsid w:val="00832748"/>
    <w:rsid w:val="00835408"/>
    <w:rsid w:val="008359DA"/>
    <w:rsid w:val="00836D2A"/>
    <w:rsid w:val="00837CEF"/>
    <w:rsid w:val="00840035"/>
    <w:rsid w:val="00840220"/>
    <w:rsid w:val="00840677"/>
    <w:rsid w:val="00840C20"/>
    <w:rsid w:val="008428A9"/>
    <w:rsid w:val="00844112"/>
    <w:rsid w:val="00844CBE"/>
    <w:rsid w:val="008456C9"/>
    <w:rsid w:val="0084611D"/>
    <w:rsid w:val="00850C62"/>
    <w:rsid w:val="00854463"/>
    <w:rsid w:val="00857643"/>
    <w:rsid w:val="00863011"/>
    <w:rsid w:val="0086312D"/>
    <w:rsid w:val="00863392"/>
    <w:rsid w:val="00865075"/>
    <w:rsid w:val="0086734C"/>
    <w:rsid w:val="0086748F"/>
    <w:rsid w:val="00872CE4"/>
    <w:rsid w:val="00874F4B"/>
    <w:rsid w:val="0087539B"/>
    <w:rsid w:val="00877B62"/>
    <w:rsid w:val="00880016"/>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2A97"/>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1C17"/>
    <w:rsid w:val="008F2477"/>
    <w:rsid w:val="00900DD1"/>
    <w:rsid w:val="009010F0"/>
    <w:rsid w:val="00901162"/>
    <w:rsid w:val="0090223A"/>
    <w:rsid w:val="009028E2"/>
    <w:rsid w:val="00904082"/>
    <w:rsid w:val="009055EC"/>
    <w:rsid w:val="009100C0"/>
    <w:rsid w:val="0091247B"/>
    <w:rsid w:val="0091320A"/>
    <w:rsid w:val="00914EAB"/>
    <w:rsid w:val="009150A1"/>
    <w:rsid w:val="00916808"/>
    <w:rsid w:val="00922D49"/>
    <w:rsid w:val="0092482C"/>
    <w:rsid w:val="00924A95"/>
    <w:rsid w:val="009259CF"/>
    <w:rsid w:val="00925E37"/>
    <w:rsid w:val="00925EDD"/>
    <w:rsid w:val="00927D0E"/>
    <w:rsid w:val="009309DA"/>
    <w:rsid w:val="00935771"/>
    <w:rsid w:val="00936688"/>
    <w:rsid w:val="00937CFA"/>
    <w:rsid w:val="009406B3"/>
    <w:rsid w:val="00945CF5"/>
    <w:rsid w:val="00946D66"/>
    <w:rsid w:val="009500A1"/>
    <w:rsid w:val="0095037E"/>
    <w:rsid w:val="00952AAD"/>
    <w:rsid w:val="00952F4F"/>
    <w:rsid w:val="00954567"/>
    <w:rsid w:val="009547A9"/>
    <w:rsid w:val="00957466"/>
    <w:rsid w:val="0096260B"/>
    <w:rsid w:val="00963F05"/>
    <w:rsid w:val="00965469"/>
    <w:rsid w:val="009664D5"/>
    <w:rsid w:val="0097008C"/>
    <w:rsid w:val="00970C69"/>
    <w:rsid w:val="009716AF"/>
    <w:rsid w:val="00971F1C"/>
    <w:rsid w:val="0097211D"/>
    <w:rsid w:val="00972E10"/>
    <w:rsid w:val="0097328D"/>
    <w:rsid w:val="009746CA"/>
    <w:rsid w:val="0097608D"/>
    <w:rsid w:val="0097659D"/>
    <w:rsid w:val="0097692D"/>
    <w:rsid w:val="00980242"/>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2B7"/>
    <w:rsid w:val="009D0628"/>
    <w:rsid w:val="009D1EA4"/>
    <w:rsid w:val="009D27AA"/>
    <w:rsid w:val="009D2D8B"/>
    <w:rsid w:val="009D38BA"/>
    <w:rsid w:val="009D4991"/>
    <w:rsid w:val="009D5BB5"/>
    <w:rsid w:val="009D696D"/>
    <w:rsid w:val="009D6ED2"/>
    <w:rsid w:val="009E0D5D"/>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2EEF"/>
    <w:rsid w:val="00A14AE3"/>
    <w:rsid w:val="00A16675"/>
    <w:rsid w:val="00A22CD6"/>
    <w:rsid w:val="00A234EC"/>
    <w:rsid w:val="00A2417A"/>
    <w:rsid w:val="00A26668"/>
    <w:rsid w:val="00A27804"/>
    <w:rsid w:val="00A36822"/>
    <w:rsid w:val="00A36AB5"/>
    <w:rsid w:val="00A37A23"/>
    <w:rsid w:val="00A411D1"/>
    <w:rsid w:val="00A43389"/>
    <w:rsid w:val="00A43E71"/>
    <w:rsid w:val="00A45753"/>
    <w:rsid w:val="00A47B15"/>
    <w:rsid w:val="00A52F84"/>
    <w:rsid w:val="00A5533F"/>
    <w:rsid w:val="00A554CA"/>
    <w:rsid w:val="00A56B05"/>
    <w:rsid w:val="00A57678"/>
    <w:rsid w:val="00A60E2F"/>
    <w:rsid w:val="00A63284"/>
    <w:rsid w:val="00A64CB8"/>
    <w:rsid w:val="00A67018"/>
    <w:rsid w:val="00A672F3"/>
    <w:rsid w:val="00A673DC"/>
    <w:rsid w:val="00A67D40"/>
    <w:rsid w:val="00A7076E"/>
    <w:rsid w:val="00A709BE"/>
    <w:rsid w:val="00A7162E"/>
    <w:rsid w:val="00A7195A"/>
    <w:rsid w:val="00A72D71"/>
    <w:rsid w:val="00A7519C"/>
    <w:rsid w:val="00A75705"/>
    <w:rsid w:val="00A77C69"/>
    <w:rsid w:val="00A83953"/>
    <w:rsid w:val="00A83A77"/>
    <w:rsid w:val="00A85AF5"/>
    <w:rsid w:val="00A900E7"/>
    <w:rsid w:val="00A903B6"/>
    <w:rsid w:val="00A90F4F"/>
    <w:rsid w:val="00A92E44"/>
    <w:rsid w:val="00A9418A"/>
    <w:rsid w:val="00A947AA"/>
    <w:rsid w:val="00A9769C"/>
    <w:rsid w:val="00AA1B53"/>
    <w:rsid w:val="00AA3556"/>
    <w:rsid w:val="00AA35FD"/>
    <w:rsid w:val="00AA3DB7"/>
    <w:rsid w:val="00AB0340"/>
    <w:rsid w:val="00AB3012"/>
    <w:rsid w:val="00AB321C"/>
    <w:rsid w:val="00AB5B99"/>
    <w:rsid w:val="00AB688F"/>
    <w:rsid w:val="00AB75EA"/>
    <w:rsid w:val="00AB7AA2"/>
    <w:rsid w:val="00AB7BE2"/>
    <w:rsid w:val="00AC4BC1"/>
    <w:rsid w:val="00AD04BD"/>
    <w:rsid w:val="00AD1C72"/>
    <w:rsid w:val="00AD25F6"/>
    <w:rsid w:val="00AD46E6"/>
    <w:rsid w:val="00AD7214"/>
    <w:rsid w:val="00AE1066"/>
    <w:rsid w:val="00AE2AD2"/>
    <w:rsid w:val="00AE4518"/>
    <w:rsid w:val="00AE5D7F"/>
    <w:rsid w:val="00AE79F0"/>
    <w:rsid w:val="00AF2089"/>
    <w:rsid w:val="00AF3350"/>
    <w:rsid w:val="00AF4305"/>
    <w:rsid w:val="00AF5585"/>
    <w:rsid w:val="00AF561C"/>
    <w:rsid w:val="00AF6EC1"/>
    <w:rsid w:val="00B00331"/>
    <w:rsid w:val="00B01A80"/>
    <w:rsid w:val="00B02675"/>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2B4A"/>
    <w:rsid w:val="00B54370"/>
    <w:rsid w:val="00B55185"/>
    <w:rsid w:val="00B55281"/>
    <w:rsid w:val="00B60FD1"/>
    <w:rsid w:val="00B61923"/>
    <w:rsid w:val="00B621D6"/>
    <w:rsid w:val="00B63EF5"/>
    <w:rsid w:val="00B65D6F"/>
    <w:rsid w:val="00B67C23"/>
    <w:rsid w:val="00B70DC7"/>
    <w:rsid w:val="00B715FD"/>
    <w:rsid w:val="00B73042"/>
    <w:rsid w:val="00B74BB9"/>
    <w:rsid w:val="00B75283"/>
    <w:rsid w:val="00B75735"/>
    <w:rsid w:val="00B77142"/>
    <w:rsid w:val="00B807F5"/>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2FA"/>
    <w:rsid w:val="00BD3EB4"/>
    <w:rsid w:val="00BD5C65"/>
    <w:rsid w:val="00BD71EE"/>
    <w:rsid w:val="00BE6018"/>
    <w:rsid w:val="00BF1F57"/>
    <w:rsid w:val="00BF4086"/>
    <w:rsid w:val="00BF426C"/>
    <w:rsid w:val="00BF58D0"/>
    <w:rsid w:val="00BF63AF"/>
    <w:rsid w:val="00BF7D6A"/>
    <w:rsid w:val="00C013E1"/>
    <w:rsid w:val="00C01611"/>
    <w:rsid w:val="00C02D59"/>
    <w:rsid w:val="00C030B6"/>
    <w:rsid w:val="00C03284"/>
    <w:rsid w:val="00C050D7"/>
    <w:rsid w:val="00C05B5F"/>
    <w:rsid w:val="00C06911"/>
    <w:rsid w:val="00C104CC"/>
    <w:rsid w:val="00C12898"/>
    <w:rsid w:val="00C152FE"/>
    <w:rsid w:val="00C16739"/>
    <w:rsid w:val="00C22C7D"/>
    <w:rsid w:val="00C22CCE"/>
    <w:rsid w:val="00C231D6"/>
    <w:rsid w:val="00C23BA2"/>
    <w:rsid w:val="00C272C4"/>
    <w:rsid w:val="00C31C12"/>
    <w:rsid w:val="00C32AF2"/>
    <w:rsid w:val="00C33204"/>
    <w:rsid w:val="00C338EB"/>
    <w:rsid w:val="00C3465D"/>
    <w:rsid w:val="00C35643"/>
    <w:rsid w:val="00C379E9"/>
    <w:rsid w:val="00C439FB"/>
    <w:rsid w:val="00C43F23"/>
    <w:rsid w:val="00C50011"/>
    <w:rsid w:val="00C52CA1"/>
    <w:rsid w:val="00C5755E"/>
    <w:rsid w:val="00C6379C"/>
    <w:rsid w:val="00C645E6"/>
    <w:rsid w:val="00C64D82"/>
    <w:rsid w:val="00C64FBC"/>
    <w:rsid w:val="00C65A83"/>
    <w:rsid w:val="00C724F2"/>
    <w:rsid w:val="00C72C6F"/>
    <w:rsid w:val="00C75057"/>
    <w:rsid w:val="00C77034"/>
    <w:rsid w:val="00C80F23"/>
    <w:rsid w:val="00C81151"/>
    <w:rsid w:val="00C81EFA"/>
    <w:rsid w:val="00C82CC6"/>
    <w:rsid w:val="00C850A3"/>
    <w:rsid w:val="00C85C32"/>
    <w:rsid w:val="00C87568"/>
    <w:rsid w:val="00C90DB6"/>
    <w:rsid w:val="00C913B6"/>
    <w:rsid w:val="00C9394F"/>
    <w:rsid w:val="00C93B1A"/>
    <w:rsid w:val="00C96F5F"/>
    <w:rsid w:val="00CA4126"/>
    <w:rsid w:val="00CA4574"/>
    <w:rsid w:val="00CA5927"/>
    <w:rsid w:val="00CA79EC"/>
    <w:rsid w:val="00CB041A"/>
    <w:rsid w:val="00CB39C2"/>
    <w:rsid w:val="00CB4664"/>
    <w:rsid w:val="00CB4C8C"/>
    <w:rsid w:val="00CB6782"/>
    <w:rsid w:val="00CC080A"/>
    <w:rsid w:val="00CC0994"/>
    <w:rsid w:val="00CC0C03"/>
    <w:rsid w:val="00CD0AAD"/>
    <w:rsid w:val="00CD6177"/>
    <w:rsid w:val="00CE182E"/>
    <w:rsid w:val="00CE2DAB"/>
    <w:rsid w:val="00CE2DE4"/>
    <w:rsid w:val="00CE2E79"/>
    <w:rsid w:val="00CE5277"/>
    <w:rsid w:val="00CE5A79"/>
    <w:rsid w:val="00CE6358"/>
    <w:rsid w:val="00CF2D54"/>
    <w:rsid w:val="00CF592C"/>
    <w:rsid w:val="00CF6992"/>
    <w:rsid w:val="00CF6AD7"/>
    <w:rsid w:val="00CF7B8C"/>
    <w:rsid w:val="00D03538"/>
    <w:rsid w:val="00D049B8"/>
    <w:rsid w:val="00D0516C"/>
    <w:rsid w:val="00D05EE7"/>
    <w:rsid w:val="00D068D0"/>
    <w:rsid w:val="00D078D1"/>
    <w:rsid w:val="00D129A8"/>
    <w:rsid w:val="00D12FB9"/>
    <w:rsid w:val="00D13FE2"/>
    <w:rsid w:val="00D200BD"/>
    <w:rsid w:val="00D22399"/>
    <w:rsid w:val="00D24B11"/>
    <w:rsid w:val="00D310BA"/>
    <w:rsid w:val="00D32C0A"/>
    <w:rsid w:val="00D33751"/>
    <w:rsid w:val="00D3382F"/>
    <w:rsid w:val="00D33924"/>
    <w:rsid w:val="00D34559"/>
    <w:rsid w:val="00D36F6E"/>
    <w:rsid w:val="00D3705B"/>
    <w:rsid w:val="00D37343"/>
    <w:rsid w:val="00D4205E"/>
    <w:rsid w:val="00D45DB6"/>
    <w:rsid w:val="00D5574C"/>
    <w:rsid w:val="00D604CE"/>
    <w:rsid w:val="00D61982"/>
    <w:rsid w:val="00D6267A"/>
    <w:rsid w:val="00D67D12"/>
    <w:rsid w:val="00D7585A"/>
    <w:rsid w:val="00D77B06"/>
    <w:rsid w:val="00D80618"/>
    <w:rsid w:val="00D8121C"/>
    <w:rsid w:val="00D82494"/>
    <w:rsid w:val="00D84A4B"/>
    <w:rsid w:val="00D92168"/>
    <w:rsid w:val="00D940B5"/>
    <w:rsid w:val="00D95CB0"/>
    <w:rsid w:val="00D977C0"/>
    <w:rsid w:val="00DA00A3"/>
    <w:rsid w:val="00DA13F3"/>
    <w:rsid w:val="00DA23C3"/>
    <w:rsid w:val="00DA2DE3"/>
    <w:rsid w:val="00DA475D"/>
    <w:rsid w:val="00DA7146"/>
    <w:rsid w:val="00DA716A"/>
    <w:rsid w:val="00DB1F4F"/>
    <w:rsid w:val="00DB37EE"/>
    <w:rsid w:val="00DB4450"/>
    <w:rsid w:val="00DB7B69"/>
    <w:rsid w:val="00DC234A"/>
    <w:rsid w:val="00DC27AD"/>
    <w:rsid w:val="00DC41E4"/>
    <w:rsid w:val="00DC5116"/>
    <w:rsid w:val="00DC7C77"/>
    <w:rsid w:val="00DD074A"/>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6313"/>
    <w:rsid w:val="00E1738C"/>
    <w:rsid w:val="00E207A1"/>
    <w:rsid w:val="00E22D28"/>
    <w:rsid w:val="00E230E3"/>
    <w:rsid w:val="00E27A14"/>
    <w:rsid w:val="00E30EDF"/>
    <w:rsid w:val="00E30F3C"/>
    <w:rsid w:val="00E31EC2"/>
    <w:rsid w:val="00E31FBA"/>
    <w:rsid w:val="00E32CB6"/>
    <w:rsid w:val="00E34042"/>
    <w:rsid w:val="00E34CDF"/>
    <w:rsid w:val="00E36AAE"/>
    <w:rsid w:val="00E41773"/>
    <w:rsid w:val="00E428DD"/>
    <w:rsid w:val="00E43B0B"/>
    <w:rsid w:val="00E44A50"/>
    <w:rsid w:val="00E477F6"/>
    <w:rsid w:val="00E50841"/>
    <w:rsid w:val="00E513F6"/>
    <w:rsid w:val="00E52F3B"/>
    <w:rsid w:val="00E53A45"/>
    <w:rsid w:val="00E53D94"/>
    <w:rsid w:val="00E53DEA"/>
    <w:rsid w:val="00E548E9"/>
    <w:rsid w:val="00E553CC"/>
    <w:rsid w:val="00E55667"/>
    <w:rsid w:val="00E57068"/>
    <w:rsid w:val="00E57630"/>
    <w:rsid w:val="00E616DB"/>
    <w:rsid w:val="00E627A4"/>
    <w:rsid w:val="00E630ED"/>
    <w:rsid w:val="00E74EC5"/>
    <w:rsid w:val="00E75FDC"/>
    <w:rsid w:val="00E76B86"/>
    <w:rsid w:val="00E8342F"/>
    <w:rsid w:val="00E847A7"/>
    <w:rsid w:val="00E85E29"/>
    <w:rsid w:val="00E85F25"/>
    <w:rsid w:val="00E86E79"/>
    <w:rsid w:val="00E87313"/>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4874"/>
    <w:rsid w:val="00EE79A6"/>
    <w:rsid w:val="00EF6111"/>
    <w:rsid w:val="00EF6232"/>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0868"/>
    <w:rsid w:val="00F423BD"/>
    <w:rsid w:val="00F4255D"/>
    <w:rsid w:val="00F432FF"/>
    <w:rsid w:val="00F46DF9"/>
    <w:rsid w:val="00F4715C"/>
    <w:rsid w:val="00F54869"/>
    <w:rsid w:val="00F556B2"/>
    <w:rsid w:val="00F57252"/>
    <w:rsid w:val="00F5754B"/>
    <w:rsid w:val="00F576DE"/>
    <w:rsid w:val="00F63BF7"/>
    <w:rsid w:val="00F64563"/>
    <w:rsid w:val="00F65617"/>
    <w:rsid w:val="00F65D71"/>
    <w:rsid w:val="00F70112"/>
    <w:rsid w:val="00F710BE"/>
    <w:rsid w:val="00F723B1"/>
    <w:rsid w:val="00F736D2"/>
    <w:rsid w:val="00F7564C"/>
    <w:rsid w:val="00F76220"/>
    <w:rsid w:val="00F769BE"/>
    <w:rsid w:val="00F81C33"/>
    <w:rsid w:val="00F82A1D"/>
    <w:rsid w:val="00F82E6B"/>
    <w:rsid w:val="00F91F6D"/>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098"/>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462119ED-FECF-4F34-9B6F-E3197937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1E02"/>
    <w:rPr>
      <w:rFonts w:cs="Times New Roman"/>
      <w:b/>
      <w:bCs/>
      <w:kern w:val="44"/>
      <w:sz w:val="44"/>
      <w:szCs w:val="44"/>
    </w:rPr>
  </w:style>
  <w:style w:type="character" w:customStyle="1" w:styleId="2Char">
    <w:name w:val="标题 2 Char"/>
    <w:link w:val="2"/>
    <w:uiPriority w:val="99"/>
    <w:semiHidden/>
    <w:locked/>
    <w:rsid w:val="00140FF8"/>
    <w:rPr>
      <w:rFonts w:ascii="Cambria" w:eastAsia="宋体" w:hAnsi="Cambria" w:cs="Times New Roman"/>
      <w:b/>
      <w:bCs/>
      <w:sz w:val="32"/>
      <w:szCs w:val="32"/>
    </w:rPr>
  </w:style>
  <w:style w:type="paragraph" w:styleId="a0">
    <w:name w:val="Normal Indent"/>
    <w:basedOn w:val="a"/>
    <w:uiPriority w:val="99"/>
    <w:rsid w:val="00C12898"/>
    <w:pPr>
      <w:ind w:firstLineChars="200" w:firstLine="420"/>
    </w:pPr>
  </w:style>
  <w:style w:type="paragraph" w:styleId="a4">
    <w:name w:val="Body Text Indent"/>
    <w:basedOn w:val="a"/>
    <w:link w:val="Char"/>
    <w:uiPriority w:val="99"/>
    <w:rsid w:val="00C1289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
    <w:name w:val="正文文本缩进 Char"/>
    <w:link w:val="a4"/>
    <w:uiPriority w:val="99"/>
    <w:semiHidden/>
    <w:locked/>
    <w:rsid w:val="00140FF8"/>
    <w:rPr>
      <w:rFonts w:cs="Times New Roman"/>
      <w:sz w:val="24"/>
      <w:szCs w:val="24"/>
    </w:rPr>
  </w:style>
  <w:style w:type="paragraph" w:styleId="a5">
    <w:name w:val="Plain Text"/>
    <w:basedOn w:val="a"/>
    <w:link w:val="Char0"/>
    <w:uiPriority w:val="99"/>
    <w:rsid w:val="00C12898"/>
    <w:rPr>
      <w:rFonts w:ascii="宋体" w:hAnsi="Courier New"/>
      <w:szCs w:val="21"/>
    </w:rPr>
  </w:style>
  <w:style w:type="character" w:customStyle="1" w:styleId="Char0">
    <w:name w:val="纯文本 Char"/>
    <w:link w:val="a5"/>
    <w:uiPriority w:val="99"/>
    <w:locked/>
    <w:rsid w:val="0042253F"/>
    <w:rPr>
      <w:rFonts w:ascii="宋体" w:hAnsi="Courier New" w:cs="Times New Roman"/>
      <w:kern w:val="2"/>
      <w:sz w:val="21"/>
    </w:rPr>
  </w:style>
  <w:style w:type="paragraph" w:styleId="20">
    <w:name w:val="Body Text Indent 2"/>
    <w:basedOn w:val="a"/>
    <w:link w:val="2Char0"/>
    <w:uiPriority w:val="99"/>
    <w:rsid w:val="00C12898"/>
    <w:pPr>
      <w:spacing w:line="560" w:lineRule="exact"/>
      <w:ind w:firstLineChars="200" w:firstLine="480"/>
    </w:pPr>
    <w:rPr>
      <w:rFonts w:ascii="宋体" w:hAnsi="宋体"/>
      <w:color w:val="FF0000"/>
      <w:sz w:val="24"/>
    </w:rPr>
  </w:style>
  <w:style w:type="character" w:customStyle="1" w:styleId="2Char0">
    <w:name w:val="正文文本缩进 2 Char"/>
    <w:link w:val="20"/>
    <w:uiPriority w:val="99"/>
    <w:semiHidden/>
    <w:locked/>
    <w:rsid w:val="00140FF8"/>
    <w:rPr>
      <w:rFonts w:cs="Times New Roman"/>
      <w:sz w:val="24"/>
      <w:szCs w:val="24"/>
    </w:rPr>
  </w:style>
  <w:style w:type="paragraph" w:styleId="a6">
    <w:name w:val="footer"/>
    <w:basedOn w:val="a"/>
    <w:link w:val="Char1"/>
    <w:uiPriority w:val="99"/>
    <w:rsid w:val="00C12898"/>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140FF8"/>
    <w:rPr>
      <w:rFonts w:cs="Times New Roman"/>
      <w:sz w:val="18"/>
      <w:szCs w:val="18"/>
    </w:rPr>
  </w:style>
  <w:style w:type="character" w:styleId="a7">
    <w:name w:val="page number"/>
    <w:uiPriority w:val="99"/>
    <w:rsid w:val="00C12898"/>
    <w:rPr>
      <w:rFonts w:cs="Times New Roman"/>
    </w:rPr>
  </w:style>
  <w:style w:type="character" w:styleId="a8">
    <w:name w:val="Hyperlink"/>
    <w:uiPriority w:val="99"/>
    <w:rsid w:val="00C12898"/>
    <w:rPr>
      <w:rFonts w:cs="Times New Roman"/>
      <w:color w:val="0000FF"/>
      <w:u w:val="single"/>
    </w:rPr>
  </w:style>
  <w:style w:type="paragraph" w:styleId="3">
    <w:name w:val="Body Text Indent 3"/>
    <w:basedOn w:val="a"/>
    <w:link w:val="3Char"/>
    <w:uiPriority w:val="99"/>
    <w:rsid w:val="00C12898"/>
    <w:pPr>
      <w:spacing w:line="560" w:lineRule="exact"/>
      <w:ind w:firstLineChars="200" w:firstLine="420"/>
    </w:pPr>
    <w:rPr>
      <w:rFonts w:ascii="Arial" w:hAnsi="Arial" w:cs="Arial"/>
      <w:color w:val="FF0000"/>
    </w:rPr>
  </w:style>
  <w:style w:type="character" w:customStyle="1" w:styleId="3Char">
    <w:name w:val="正文文本缩进 3 Char"/>
    <w:link w:val="3"/>
    <w:uiPriority w:val="99"/>
    <w:semiHidden/>
    <w:locked/>
    <w:rsid w:val="00140FF8"/>
    <w:rPr>
      <w:rFonts w:cs="Times New Roman"/>
      <w:sz w:val="16"/>
      <w:szCs w:val="16"/>
    </w:rPr>
  </w:style>
  <w:style w:type="paragraph" w:styleId="a9">
    <w:name w:val="header"/>
    <w:basedOn w:val="a"/>
    <w:link w:val="Char2"/>
    <w:uiPriority w:val="99"/>
    <w:rsid w:val="00C1289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FB572A"/>
    <w:rPr>
      <w:rFonts w:cs="Times New Roman"/>
      <w:kern w:val="2"/>
      <w:sz w:val="18"/>
      <w:szCs w:val="18"/>
    </w:rPr>
  </w:style>
  <w:style w:type="character" w:styleId="aa">
    <w:name w:val="FollowedHyperlink"/>
    <w:uiPriority w:val="99"/>
    <w:rsid w:val="00C12898"/>
    <w:rPr>
      <w:rFonts w:cs="Times New Roman"/>
      <w:color w:val="800080"/>
      <w:u w:val="single"/>
    </w:rPr>
  </w:style>
  <w:style w:type="paragraph" w:styleId="ab">
    <w:name w:val="List"/>
    <w:basedOn w:val="ac"/>
    <w:uiPriority w:val="99"/>
    <w:rsid w:val="00C12898"/>
    <w:pPr>
      <w:spacing w:after="220" w:line="220" w:lineRule="atLeast"/>
      <w:ind w:left="1440" w:hanging="360"/>
    </w:pPr>
    <w:rPr>
      <w:szCs w:val="20"/>
    </w:rPr>
  </w:style>
  <w:style w:type="paragraph" w:styleId="ac">
    <w:name w:val="Body Text"/>
    <w:basedOn w:val="a"/>
    <w:link w:val="Char3"/>
    <w:uiPriority w:val="99"/>
    <w:rsid w:val="00C12898"/>
    <w:pPr>
      <w:spacing w:after="120"/>
    </w:pPr>
  </w:style>
  <w:style w:type="character" w:customStyle="1" w:styleId="Char3">
    <w:name w:val="正文文本 Char"/>
    <w:link w:val="ac"/>
    <w:uiPriority w:val="99"/>
    <w:semiHidden/>
    <w:locked/>
    <w:rsid w:val="00140FF8"/>
    <w:rPr>
      <w:rFonts w:cs="Times New Roman"/>
      <w:sz w:val="24"/>
      <w:szCs w:val="24"/>
    </w:rPr>
  </w:style>
  <w:style w:type="paragraph" w:styleId="ad">
    <w:name w:val="Date"/>
    <w:basedOn w:val="a"/>
    <w:next w:val="a"/>
    <w:link w:val="Char4"/>
    <w:uiPriority w:val="99"/>
    <w:rsid w:val="00C12898"/>
    <w:rPr>
      <w:sz w:val="24"/>
      <w:szCs w:val="20"/>
    </w:rPr>
  </w:style>
  <w:style w:type="character" w:customStyle="1" w:styleId="Char4">
    <w:name w:val="日期 Char"/>
    <w:link w:val="ad"/>
    <w:uiPriority w:val="99"/>
    <w:locked/>
    <w:rsid w:val="00F27C38"/>
    <w:rPr>
      <w:rFonts w:cs="Times New Roman"/>
      <w:kern w:val="2"/>
      <w:sz w:val="24"/>
    </w:rPr>
  </w:style>
  <w:style w:type="character" w:customStyle="1" w:styleId="c1">
    <w:name w:val="c1"/>
    <w:uiPriority w:val="99"/>
    <w:rsid w:val="00C12898"/>
    <w:rPr>
      <w:rFonts w:cs="Times New Roman"/>
      <w:color w:val="000000"/>
      <w:sz w:val="18"/>
      <w:szCs w:val="18"/>
    </w:rPr>
  </w:style>
  <w:style w:type="paragraph" w:styleId="10">
    <w:name w:val="index 1"/>
    <w:basedOn w:val="a"/>
    <w:next w:val="a"/>
    <w:autoRedefine/>
    <w:uiPriority w:val="99"/>
    <w:semiHidden/>
    <w:rsid w:val="00C12898"/>
    <w:pPr>
      <w:jc w:val="right"/>
    </w:pPr>
    <w:rPr>
      <w:color w:val="008000"/>
    </w:rPr>
  </w:style>
  <w:style w:type="paragraph" w:customStyle="1" w:styleId="font5">
    <w:name w:val="font5"/>
    <w:basedOn w:val="a"/>
    <w:uiPriority w:val="99"/>
    <w:rsid w:val="00C12898"/>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C12898"/>
    <w:rPr>
      <w:sz w:val="18"/>
      <w:szCs w:val="18"/>
    </w:rPr>
  </w:style>
  <w:style w:type="character" w:customStyle="1" w:styleId="Char5">
    <w:name w:val="批注框文本 Char"/>
    <w:link w:val="ae"/>
    <w:uiPriority w:val="99"/>
    <w:semiHidden/>
    <w:locked/>
    <w:rsid w:val="00140FF8"/>
    <w:rPr>
      <w:rFonts w:cs="Times New Roman"/>
      <w:sz w:val="2"/>
    </w:rPr>
  </w:style>
  <w:style w:type="character" w:styleId="af">
    <w:name w:val="annotation reference"/>
    <w:uiPriority w:val="99"/>
    <w:semiHidden/>
    <w:rsid w:val="00C12898"/>
    <w:rPr>
      <w:rFonts w:cs="Times New Roman"/>
      <w:sz w:val="21"/>
      <w:szCs w:val="21"/>
    </w:rPr>
  </w:style>
  <w:style w:type="paragraph" w:styleId="af0">
    <w:name w:val="annotation text"/>
    <w:basedOn w:val="a"/>
    <w:link w:val="Char6"/>
    <w:uiPriority w:val="99"/>
    <w:semiHidden/>
    <w:rsid w:val="00C12898"/>
    <w:pPr>
      <w:jc w:val="left"/>
    </w:pPr>
  </w:style>
  <w:style w:type="character" w:customStyle="1" w:styleId="Char6">
    <w:name w:val="批注文字 Char"/>
    <w:link w:val="af0"/>
    <w:uiPriority w:val="99"/>
    <w:semiHidden/>
    <w:locked/>
    <w:rsid w:val="00140FF8"/>
    <w:rPr>
      <w:rFonts w:cs="Times New Roman"/>
      <w:sz w:val="24"/>
      <w:szCs w:val="24"/>
    </w:rPr>
  </w:style>
  <w:style w:type="paragraph" w:styleId="af1">
    <w:name w:val="annotation subject"/>
    <w:basedOn w:val="af0"/>
    <w:next w:val="af0"/>
    <w:link w:val="Char7"/>
    <w:uiPriority w:val="99"/>
    <w:semiHidden/>
    <w:rsid w:val="00C12898"/>
    <w:rPr>
      <w:b/>
      <w:bCs/>
    </w:rPr>
  </w:style>
  <w:style w:type="character" w:customStyle="1" w:styleId="Char7">
    <w:name w:val="批注主题 Char"/>
    <w:link w:val="af1"/>
    <w:uiPriority w:val="99"/>
    <w:semiHidden/>
    <w:locked/>
    <w:rsid w:val="00140FF8"/>
    <w:rPr>
      <w:rFonts w:cs="Times New Roman"/>
      <w:b/>
      <w:bCs/>
      <w:sz w:val="24"/>
      <w:szCs w:val="24"/>
    </w:rPr>
  </w:style>
  <w:style w:type="paragraph" w:customStyle="1" w:styleId="Char8">
    <w:name w:val="Char"/>
    <w:basedOn w:val="a"/>
    <w:uiPriority w:val="99"/>
    <w:rsid w:val="00C12898"/>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140FF8"/>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140FF8"/>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695296"/>
    <w:pPr>
      <w:widowControl w:val="0"/>
      <w:autoSpaceDE w:val="0"/>
      <w:autoSpaceDN w:val="0"/>
      <w:adjustRightInd w:val="0"/>
    </w:pPr>
    <w:rPr>
      <w:rFonts w:ascii="FangSong" w:hAnsi="FangSong" w:cs="FangSong"/>
      <w:color w:val="000000"/>
      <w:sz w:val="24"/>
      <w:szCs w:val="24"/>
    </w:rPr>
  </w:style>
  <w:style w:type="paragraph" w:styleId="HTML">
    <w:name w:val="HTML Preformatted"/>
    <w:basedOn w:val="a"/>
    <w:link w:val="HTMLChar"/>
    <w:uiPriority w:val="99"/>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locked/>
    <w:rsid w:val="00634900"/>
    <w:rPr>
      <w:rFonts w:ascii="宋体" w:eastAsia="宋体" w:cs="宋体"/>
      <w:sz w:val="24"/>
      <w:szCs w:val="24"/>
    </w:rPr>
  </w:style>
  <w:style w:type="character" w:styleId="af8">
    <w:name w:val="Strong"/>
    <w:basedOn w:val="a1"/>
    <w:uiPriority w:val="22"/>
    <w:qFormat/>
    <w:locked/>
    <w:rsid w:val="00193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13930">
      <w:bodyDiv w:val="1"/>
      <w:marLeft w:val="0"/>
      <w:marRight w:val="0"/>
      <w:marTop w:val="0"/>
      <w:marBottom w:val="0"/>
      <w:divBdr>
        <w:top w:val="none" w:sz="0" w:space="0" w:color="auto"/>
        <w:left w:val="none" w:sz="0" w:space="0" w:color="auto"/>
        <w:bottom w:val="none" w:sz="0" w:space="0" w:color="auto"/>
        <w:right w:val="none" w:sz="0" w:space="0" w:color="auto"/>
      </w:divBdr>
    </w:div>
    <w:div w:id="1077090524">
      <w:bodyDiv w:val="1"/>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1682857255">
      <w:marLeft w:val="0"/>
      <w:marRight w:val="0"/>
      <w:marTop w:val="0"/>
      <w:marBottom w:val="0"/>
      <w:divBdr>
        <w:top w:val="none" w:sz="0" w:space="0" w:color="auto"/>
        <w:left w:val="none" w:sz="0" w:space="0" w:color="auto"/>
        <w:bottom w:val="none" w:sz="0" w:space="0" w:color="auto"/>
        <w:right w:val="none" w:sz="0" w:space="0" w:color="auto"/>
      </w:divBdr>
    </w:div>
    <w:div w:id="1682857256">
      <w:marLeft w:val="0"/>
      <w:marRight w:val="0"/>
      <w:marTop w:val="0"/>
      <w:marBottom w:val="0"/>
      <w:divBdr>
        <w:top w:val="none" w:sz="0" w:space="0" w:color="auto"/>
        <w:left w:val="none" w:sz="0" w:space="0" w:color="auto"/>
        <w:bottom w:val="none" w:sz="0" w:space="0" w:color="auto"/>
        <w:right w:val="none" w:sz="0" w:space="0" w:color="auto"/>
      </w:divBdr>
    </w:div>
    <w:div w:id="1682857257">
      <w:marLeft w:val="0"/>
      <w:marRight w:val="0"/>
      <w:marTop w:val="0"/>
      <w:marBottom w:val="0"/>
      <w:divBdr>
        <w:top w:val="none" w:sz="0" w:space="0" w:color="auto"/>
        <w:left w:val="none" w:sz="0" w:space="0" w:color="auto"/>
        <w:bottom w:val="none" w:sz="0" w:space="0" w:color="auto"/>
        <w:right w:val="none" w:sz="0" w:space="0" w:color="auto"/>
      </w:divBdr>
    </w:div>
    <w:div w:id="1682857258">
      <w:marLeft w:val="0"/>
      <w:marRight w:val="0"/>
      <w:marTop w:val="0"/>
      <w:marBottom w:val="0"/>
      <w:divBdr>
        <w:top w:val="none" w:sz="0" w:space="0" w:color="auto"/>
        <w:left w:val="none" w:sz="0" w:space="0" w:color="auto"/>
        <w:bottom w:val="none" w:sz="0" w:space="0" w:color="auto"/>
        <w:right w:val="none" w:sz="0" w:space="0" w:color="auto"/>
      </w:divBdr>
    </w:div>
    <w:div w:id="1682857259">
      <w:marLeft w:val="0"/>
      <w:marRight w:val="0"/>
      <w:marTop w:val="0"/>
      <w:marBottom w:val="0"/>
      <w:divBdr>
        <w:top w:val="none" w:sz="0" w:space="0" w:color="auto"/>
        <w:left w:val="none" w:sz="0" w:space="0" w:color="auto"/>
        <w:bottom w:val="none" w:sz="0" w:space="0" w:color="auto"/>
        <w:right w:val="none" w:sz="0" w:space="0" w:color="auto"/>
      </w:divBdr>
    </w:div>
    <w:div w:id="1682857260">
      <w:marLeft w:val="0"/>
      <w:marRight w:val="0"/>
      <w:marTop w:val="0"/>
      <w:marBottom w:val="0"/>
      <w:divBdr>
        <w:top w:val="none" w:sz="0" w:space="0" w:color="auto"/>
        <w:left w:val="none" w:sz="0" w:space="0" w:color="auto"/>
        <w:bottom w:val="none" w:sz="0" w:space="0" w:color="auto"/>
        <w:right w:val="none" w:sz="0" w:space="0" w:color="auto"/>
      </w:divBdr>
    </w:div>
    <w:div w:id="1682857261">
      <w:marLeft w:val="0"/>
      <w:marRight w:val="0"/>
      <w:marTop w:val="0"/>
      <w:marBottom w:val="0"/>
      <w:divBdr>
        <w:top w:val="none" w:sz="0" w:space="0" w:color="auto"/>
        <w:left w:val="none" w:sz="0" w:space="0" w:color="auto"/>
        <w:bottom w:val="none" w:sz="0" w:space="0" w:color="auto"/>
        <w:right w:val="none" w:sz="0" w:space="0" w:color="auto"/>
      </w:divBdr>
    </w:div>
    <w:div w:id="1682857262">
      <w:marLeft w:val="0"/>
      <w:marRight w:val="0"/>
      <w:marTop w:val="0"/>
      <w:marBottom w:val="0"/>
      <w:divBdr>
        <w:top w:val="none" w:sz="0" w:space="0" w:color="auto"/>
        <w:left w:val="none" w:sz="0" w:space="0" w:color="auto"/>
        <w:bottom w:val="none" w:sz="0" w:space="0" w:color="auto"/>
        <w:right w:val="none" w:sz="0" w:space="0" w:color="auto"/>
      </w:divBdr>
    </w:div>
    <w:div w:id="1682857263">
      <w:marLeft w:val="0"/>
      <w:marRight w:val="0"/>
      <w:marTop w:val="0"/>
      <w:marBottom w:val="0"/>
      <w:divBdr>
        <w:top w:val="none" w:sz="0" w:space="0" w:color="auto"/>
        <w:left w:val="none" w:sz="0" w:space="0" w:color="auto"/>
        <w:bottom w:val="none" w:sz="0" w:space="0" w:color="auto"/>
        <w:right w:val="none" w:sz="0" w:space="0" w:color="auto"/>
      </w:divBdr>
    </w:div>
    <w:div w:id="1682857264">
      <w:marLeft w:val="0"/>
      <w:marRight w:val="0"/>
      <w:marTop w:val="0"/>
      <w:marBottom w:val="0"/>
      <w:divBdr>
        <w:top w:val="none" w:sz="0" w:space="0" w:color="auto"/>
        <w:left w:val="none" w:sz="0" w:space="0" w:color="auto"/>
        <w:bottom w:val="none" w:sz="0" w:space="0" w:color="auto"/>
        <w:right w:val="none" w:sz="0" w:space="0" w:color="auto"/>
      </w:divBdr>
    </w:div>
    <w:div w:id="168285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6393</Characters>
  <Application>Microsoft Office Word</Application>
  <DocSecurity>4</DocSecurity>
  <Lines>53</Lines>
  <Paragraphs>14</Paragraphs>
  <ScaleCrop>false</ScaleCrop>
  <Company>TRT. Ltd. Co.</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cp:lastPrinted>2007-07-19T00:46:00Z</cp:lastPrinted>
  <dcterms:created xsi:type="dcterms:W3CDTF">2020-04-14T01:37:00Z</dcterms:created>
  <dcterms:modified xsi:type="dcterms:W3CDTF">2020-04-14T01:37:00Z</dcterms:modified>
</cp:coreProperties>
</file>