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易方达3年封闭运作战略配售灵活配置混合型证券投资基金（LOF）</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中国建设银行股份有限公司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E57567" w:rsidRDefault="00082A9D">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57567" w:rsidRDefault="00082A9D">
      <w:pPr>
        <w:spacing w:line="360"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57567" w:rsidRDefault="00082A9D">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57567" w:rsidRDefault="00082A9D">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57567" w:rsidRDefault="00082A9D">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w:t>
            </w:r>
            <w:r w:rsidRPr="00232B03">
              <w:rPr>
                <w:color w:val="000000"/>
                <w:kern w:val="0"/>
                <w:sz w:val="24"/>
                <w:szCs w:val="24"/>
              </w:rPr>
              <w:t>3</w:t>
            </w:r>
            <w:r w:rsidRPr="00232B03">
              <w:rPr>
                <w:color w:val="000000"/>
                <w:kern w:val="0"/>
                <w:sz w:val="24"/>
                <w:szCs w:val="24"/>
              </w:rPr>
              <w:t>年封闭战略配售混合（</w:t>
            </w:r>
            <w:r w:rsidRPr="00232B03">
              <w:rPr>
                <w:color w:val="000000"/>
                <w:kern w:val="0"/>
                <w:sz w:val="24"/>
                <w:szCs w:val="24"/>
              </w:rPr>
              <w:t>LOF</w:t>
            </w:r>
            <w:r w:rsidRPr="00232B03">
              <w:rPr>
                <w:color w:val="000000"/>
                <w:kern w:val="0"/>
                <w:sz w:val="24"/>
                <w:szCs w:val="24"/>
              </w:rPr>
              <w:t>）</w:t>
            </w:r>
          </w:p>
        </w:tc>
      </w:tr>
      <w:tr w:rsidR="00815999" w:rsidRPr="00264E55" w:rsidTr="003328D9">
        <w:tc>
          <w:tcPr>
            <w:tcW w:w="2835" w:type="dxa"/>
            <w:vAlign w:val="center"/>
          </w:tcPr>
          <w:p w:rsidR="00815999" w:rsidRPr="00232B03" w:rsidRDefault="00815999" w:rsidP="00815999">
            <w:pPr>
              <w:adjustRightInd w:val="0"/>
              <w:spacing w:before="29" w:line="360" w:lineRule="auto"/>
              <w:ind w:left="17"/>
              <w:jc w:val="left"/>
              <w:rPr>
                <w:kern w:val="0"/>
                <w:sz w:val="24"/>
                <w:szCs w:val="24"/>
              </w:rPr>
            </w:pPr>
            <w:r w:rsidRPr="00232B03">
              <w:rPr>
                <w:kern w:val="0"/>
                <w:sz w:val="24"/>
                <w:szCs w:val="24"/>
              </w:rPr>
              <w:t>场内简称</w:t>
            </w:r>
          </w:p>
        </w:tc>
        <w:tc>
          <w:tcPr>
            <w:tcW w:w="5479" w:type="dxa"/>
            <w:vAlign w:val="center"/>
          </w:tcPr>
          <w:p w:rsidR="00815999" w:rsidRPr="00232B03" w:rsidRDefault="00815999" w:rsidP="00815999">
            <w:pPr>
              <w:adjustRightInd w:val="0"/>
              <w:spacing w:before="29" w:line="360" w:lineRule="auto"/>
              <w:ind w:left="17"/>
              <w:jc w:val="left"/>
              <w:rPr>
                <w:kern w:val="0"/>
                <w:sz w:val="24"/>
                <w:szCs w:val="24"/>
              </w:rPr>
            </w:pPr>
            <w:r w:rsidRPr="00232B03">
              <w:rPr>
                <w:kern w:val="0"/>
                <w:sz w:val="24"/>
                <w:szCs w:val="24"/>
              </w:rPr>
              <w:t>易基配售</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161131</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161131</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2018</w:t>
            </w:r>
            <w:r w:rsidRPr="00232B03">
              <w:rPr>
                <w:color w:val="000000"/>
                <w:kern w:val="0"/>
                <w:sz w:val="24"/>
                <w:szCs w:val="24"/>
              </w:rPr>
              <w:t>年</w:t>
            </w:r>
            <w:r w:rsidRPr="00232B03">
              <w:rPr>
                <w:color w:val="000000"/>
                <w:kern w:val="0"/>
                <w:sz w:val="24"/>
                <w:szCs w:val="24"/>
              </w:rPr>
              <w:t>7</w:t>
            </w:r>
            <w:r w:rsidRPr="00232B03">
              <w:rPr>
                <w:color w:val="000000"/>
                <w:kern w:val="0"/>
                <w:sz w:val="24"/>
                <w:szCs w:val="24"/>
              </w:rPr>
              <w:t>月</w:t>
            </w:r>
            <w:r w:rsidRPr="00232B03">
              <w:rPr>
                <w:color w:val="000000"/>
                <w:kern w:val="0"/>
                <w:sz w:val="24"/>
                <w:szCs w:val="24"/>
              </w:rPr>
              <w:t>5</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24,458,013,050.22</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在严格控制风险的前提下，追求超越业绩比较基准的投资回报，力争实现基金资产的长期稳健增值。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本基金在封闭运作期内主要采用战略配售和固定收益两种投资策略。基金将深入分析战略配售股票的投资机会，通过综合分析行业景气度、行业竞争格局、公司基本面、治理状况、估值水平、业务持</w:t>
            </w:r>
            <w:r w:rsidRPr="00232B03">
              <w:rPr>
                <w:color w:val="000000"/>
                <w:kern w:val="0"/>
                <w:sz w:val="24"/>
                <w:szCs w:val="24"/>
              </w:rPr>
              <w:lastRenderedPageBreak/>
              <w:t>续性和盈利确定性等多方面因素，结合市场未来走势等判断，精选战略配售个股，并在锁定期结束后选择适当的时机卖出。在债券投资方面主要通过类属配置与券种选择进行投资管理。类属配置方面，基金结合对宏观经济、市场利率、供求变化等因素的综合分析，定期对投资组合类属资产进行优化配置和调整；在券种选择上，基金以长期利率趋势分析为基础，结合经济变化趋势、货币政策及不同债券品种的收益率水平、流动性和信用风险等因素，实施积极主动的债券投资管理。本基金还将积极关注银行存款、同业存单的投资机会并进行合理配置。</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×60%+</w:t>
            </w:r>
            <w:r w:rsidRPr="00232B03">
              <w:rPr>
                <w:color w:val="000000"/>
                <w:kern w:val="0"/>
                <w:sz w:val="24"/>
                <w:szCs w:val="24"/>
              </w:rPr>
              <w:t>中债总指数收益率</w:t>
            </w:r>
            <w:r w:rsidRPr="00232B03">
              <w:rPr>
                <w:color w:val="000000"/>
                <w:kern w:val="0"/>
                <w:sz w:val="24"/>
                <w:szCs w:val="24"/>
              </w:rPr>
              <w:t>×40%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本基金为混合型证券投资基金，其预期风险与预期收益水平低于股票型基金，高于债券型基金和货币市场基金。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中国建设银行股份有限公司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153,689,901.75</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-443,593,463.57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-0.0181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26,211,917,040.03</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1.0717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E57567" w:rsidRDefault="00082A9D">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E57567">
        <w:tc>
          <w:tcPr>
            <w:tcW w:w="0" w:type="auto"/>
            <w:vAlign w:val="center"/>
          </w:tcPr>
          <w:p w:rsidR="00E57567" w:rsidRDefault="00082A9D">
            <w:pPr>
              <w:jc w:val="left"/>
            </w:pPr>
            <w:r>
              <w:rPr>
                <w:color w:val="000000"/>
                <w:kern w:val="0"/>
                <w:sz w:val="24"/>
                <w:szCs w:val="24"/>
              </w:rPr>
              <w:t>过去三个月</w:t>
            </w:r>
          </w:p>
        </w:tc>
        <w:tc>
          <w:tcPr>
            <w:tcW w:w="0" w:type="auto"/>
            <w:vAlign w:val="center"/>
          </w:tcPr>
          <w:p w:rsidR="00E57567" w:rsidRDefault="00082A9D">
            <w:pPr>
              <w:jc w:val="center"/>
            </w:pPr>
            <w:r>
              <w:rPr>
                <w:color w:val="000000"/>
                <w:kern w:val="0"/>
                <w:sz w:val="24"/>
                <w:szCs w:val="24"/>
              </w:rPr>
              <w:t>-1.66%</w:t>
            </w:r>
          </w:p>
        </w:tc>
        <w:tc>
          <w:tcPr>
            <w:tcW w:w="0" w:type="auto"/>
            <w:vAlign w:val="center"/>
          </w:tcPr>
          <w:p w:rsidR="00E57567" w:rsidRDefault="00082A9D">
            <w:pPr>
              <w:jc w:val="center"/>
            </w:pPr>
            <w:r>
              <w:rPr>
                <w:color w:val="000000"/>
                <w:kern w:val="0"/>
                <w:sz w:val="24"/>
                <w:szCs w:val="24"/>
              </w:rPr>
              <w:t>0.42%</w:t>
            </w:r>
          </w:p>
        </w:tc>
        <w:tc>
          <w:tcPr>
            <w:tcW w:w="0" w:type="auto"/>
            <w:vAlign w:val="center"/>
          </w:tcPr>
          <w:p w:rsidR="00E57567" w:rsidRDefault="00082A9D">
            <w:pPr>
              <w:jc w:val="center"/>
            </w:pPr>
            <w:r>
              <w:rPr>
                <w:color w:val="000000"/>
                <w:kern w:val="0"/>
                <w:sz w:val="24"/>
                <w:szCs w:val="24"/>
              </w:rPr>
              <w:t>-4.98%</w:t>
            </w:r>
          </w:p>
        </w:tc>
        <w:tc>
          <w:tcPr>
            <w:tcW w:w="0" w:type="auto"/>
            <w:vAlign w:val="center"/>
          </w:tcPr>
          <w:p w:rsidR="00E57567" w:rsidRDefault="00082A9D">
            <w:pPr>
              <w:jc w:val="center"/>
            </w:pPr>
            <w:r>
              <w:rPr>
                <w:color w:val="000000"/>
                <w:kern w:val="0"/>
                <w:sz w:val="24"/>
                <w:szCs w:val="24"/>
              </w:rPr>
              <w:t>1.14%</w:t>
            </w:r>
          </w:p>
        </w:tc>
        <w:tc>
          <w:tcPr>
            <w:tcW w:w="0" w:type="auto"/>
            <w:vAlign w:val="center"/>
          </w:tcPr>
          <w:p w:rsidR="00E57567" w:rsidRDefault="00082A9D">
            <w:pPr>
              <w:jc w:val="center"/>
            </w:pPr>
            <w:r>
              <w:rPr>
                <w:color w:val="000000"/>
                <w:kern w:val="0"/>
                <w:sz w:val="24"/>
                <w:szCs w:val="24"/>
              </w:rPr>
              <w:t>3.32%</w:t>
            </w:r>
          </w:p>
        </w:tc>
        <w:tc>
          <w:tcPr>
            <w:tcW w:w="0" w:type="auto"/>
            <w:vAlign w:val="center"/>
          </w:tcPr>
          <w:p w:rsidR="00E57567" w:rsidRDefault="00082A9D">
            <w:pPr>
              <w:jc w:val="center"/>
            </w:pPr>
            <w:r>
              <w:rPr>
                <w:color w:val="000000"/>
                <w:kern w:val="0"/>
                <w:sz w:val="24"/>
                <w:szCs w:val="24"/>
              </w:rPr>
              <w:t>-0.72%</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w:t>
      </w:r>
      <w:r w:rsidRPr="0074694E">
        <w:rPr>
          <w:color w:val="000000"/>
          <w:sz w:val="24"/>
          <w:szCs w:val="24"/>
        </w:rPr>
        <w:t>3</w:t>
      </w:r>
      <w:r w:rsidRPr="0074694E">
        <w:rPr>
          <w:color w:val="000000"/>
          <w:sz w:val="24"/>
          <w:szCs w:val="24"/>
        </w:rPr>
        <w:t>年封闭运作战略配售灵活配置混合型证券投资基金（</w:t>
      </w:r>
      <w:r w:rsidRPr="0074694E">
        <w:rPr>
          <w:color w:val="000000"/>
          <w:sz w:val="24"/>
          <w:szCs w:val="24"/>
        </w:rPr>
        <w:t>LOF</w:t>
      </w:r>
      <w:r w:rsidRPr="0074694E">
        <w:rPr>
          <w:color w:val="000000"/>
          <w:sz w:val="24"/>
          <w:szCs w:val="24"/>
        </w:rPr>
        <w:t>）</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2018</w:t>
      </w:r>
      <w:r w:rsidRPr="0074694E">
        <w:rPr>
          <w:rFonts w:ascii="Times New Roman" w:hAnsi="Times New Roman"/>
          <w:sz w:val="24"/>
          <w:szCs w:val="24"/>
        </w:rPr>
        <w:t>年</w:t>
      </w:r>
      <w:r w:rsidRPr="0074694E">
        <w:rPr>
          <w:rFonts w:ascii="Times New Roman" w:hAnsi="Times New Roman"/>
          <w:sz w:val="24"/>
          <w:szCs w:val="24"/>
        </w:rPr>
        <w:t>7</w:t>
      </w:r>
      <w:r w:rsidRPr="0074694E">
        <w:rPr>
          <w:rFonts w:ascii="Times New Roman" w:hAnsi="Times New Roman"/>
          <w:sz w:val="24"/>
          <w:szCs w:val="24"/>
        </w:rPr>
        <w:t>月</w:t>
      </w:r>
      <w:r w:rsidRPr="0074694E">
        <w:rPr>
          <w:rFonts w:ascii="Times New Roman" w:hAnsi="Times New Roman"/>
          <w:sz w:val="24"/>
          <w:szCs w:val="24"/>
        </w:rPr>
        <w:t>5</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082A9D"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7.17%</w:t>
      </w:r>
      <w:r w:rsidRPr="006C56AA">
        <w:rPr>
          <w:color w:val="000000"/>
          <w:sz w:val="24"/>
          <w:szCs w:val="24"/>
        </w:rPr>
        <w:t>，同期业绩比较基准收益率为</w:t>
      </w:r>
      <w:r w:rsidRPr="006C56AA">
        <w:rPr>
          <w:color w:val="000000"/>
          <w:sz w:val="24"/>
          <w:szCs w:val="24"/>
        </w:rPr>
        <w:t>8.44%</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E57567">
        <w:tc>
          <w:tcPr>
            <w:tcW w:w="0" w:type="auto"/>
            <w:vAlign w:val="center"/>
          </w:tcPr>
          <w:p w:rsidR="00E57567" w:rsidRDefault="00082A9D">
            <w:pPr>
              <w:jc w:val="center"/>
            </w:pPr>
            <w:r>
              <w:rPr>
                <w:color w:val="000000"/>
                <w:sz w:val="24"/>
              </w:rPr>
              <w:t>纪玲云</w:t>
            </w:r>
          </w:p>
        </w:tc>
        <w:tc>
          <w:tcPr>
            <w:tcW w:w="0" w:type="auto"/>
            <w:vAlign w:val="center"/>
          </w:tcPr>
          <w:p w:rsidR="00E57567" w:rsidRDefault="00082A9D">
            <w:pPr>
              <w:jc w:val="left"/>
            </w:pPr>
            <w:r>
              <w:rPr>
                <w:color w:val="000000"/>
                <w:sz w:val="24"/>
              </w:rPr>
              <w:t>本基金的基金经理、易方达信用债债券型证券投资基金的基金经理、易方达瑞财灵活配置混合型证券投资基金的基金经理、易方达恒利</w:t>
            </w:r>
            <w:r>
              <w:rPr>
                <w:color w:val="000000"/>
                <w:sz w:val="24"/>
              </w:rPr>
              <w:t>3</w:t>
            </w:r>
            <w:r>
              <w:rPr>
                <w:color w:val="000000"/>
                <w:sz w:val="24"/>
              </w:rPr>
              <w:t>个月定期开放债券型发起式证券投资基金的基金经理、易方达恒盛</w:t>
            </w:r>
            <w:r>
              <w:rPr>
                <w:color w:val="000000"/>
                <w:sz w:val="24"/>
              </w:rPr>
              <w:t>3</w:t>
            </w:r>
            <w:r>
              <w:rPr>
                <w:color w:val="000000"/>
                <w:sz w:val="24"/>
              </w:rPr>
              <w:t>个月定期开放混合型发起式证券投资基金的基金经理、易方达恒裕一年定期开放债券型发起式证券投资基金的基金经理、易方达稳健收益债券型证券投资基金的基金经理助理、易方达丰惠混合型证券投资基金的基金经理助理、固定收益研究部总经理助理、投资经理</w:t>
            </w:r>
          </w:p>
        </w:tc>
        <w:tc>
          <w:tcPr>
            <w:tcW w:w="0" w:type="auto"/>
            <w:vAlign w:val="center"/>
          </w:tcPr>
          <w:p w:rsidR="00E57567" w:rsidRDefault="00082A9D">
            <w:pPr>
              <w:jc w:val="center"/>
            </w:pPr>
            <w:r>
              <w:rPr>
                <w:color w:val="000000"/>
                <w:sz w:val="24"/>
              </w:rPr>
              <w:t>2018-07-05</w:t>
            </w:r>
          </w:p>
        </w:tc>
        <w:tc>
          <w:tcPr>
            <w:tcW w:w="0" w:type="auto"/>
            <w:vAlign w:val="center"/>
          </w:tcPr>
          <w:p w:rsidR="00E57567" w:rsidRDefault="00082A9D">
            <w:pPr>
              <w:jc w:val="center"/>
            </w:pPr>
            <w:r>
              <w:rPr>
                <w:color w:val="000000"/>
                <w:sz w:val="24"/>
              </w:rPr>
              <w:t>-</w:t>
            </w:r>
          </w:p>
        </w:tc>
        <w:tc>
          <w:tcPr>
            <w:tcW w:w="0" w:type="auto"/>
            <w:vAlign w:val="center"/>
          </w:tcPr>
          <w:p w:rsidR="00E57567" w:rsidRDefault="00082A9D">
            <w:pPr>
              <w:jc w:val="center"/>
            </w:pPr>
            <w:r>
              <w:rPr>
                <w:color w:val="000000"/>
                <w:sz w:val="24"/>
              </w:rPr>
              <w:t>11</w:t>
            </w:r>
            <w:r>
              <w:rPr>
                <w:color w:val="000000"/>
                <w:sz w:val="24"/>
              </w:rPr>
              <w:t>年</w:t>
            </w:r>
          </w:p>
        </w:tc>
        <w:tc>
          <w:tcPr>
            <w:tcW w:w="0" w:type="auto"/>
            <w:vAlign w:val="center"/>
          </w:tcPr>
          <w:p w:rsidR="00E57567" w:rsidRDefault="00082A9D">
            <w:r>
              <w:rPr>
                <w:color w:val="000000"/>
                <w:sz w:val="24"/>
              </w:rPr>
              <w:t>硕士研究生，具有基金从业资格。曾任易方达基金管理有限公司固定收益研究员、投资经理助理。</w:t>
            </w:r>
          </w:p>
        </w:tc>
      </w:tr>
      <w:tr w:rsidR="00E57567">
        <w:tc>
          <w:tcPr>
            <w:tcW w:w="0" w:type="auto"/>
            <w:vAlign w:val="center"/>
          </w:tcPr>
          <w:p w:rsidR="00E57567" w:rsidRDefault="00082A9D">
            <w:pPr>
              <w:jc w:val="center"/>
            </w:pPr>
            <w:r>
              <w:rPr>
                <w:color w:val="000000"/>
                <w:sz w:val="24"/>
              </w:rPr>
              <w:t>付浩</w:t>
            </w:r>
          </w:p>
        </w:tc>
        <w:tc>
          <w:tcPr>
            <w:tcW w:w="0" w:type="auto"/>
            <w:vAlign w:val="center"/>
          </w:tcPr>
          <w:p w:rsidR="00E57567" w:rsidRDefault="00082A9D">
            <w:pPr>
              <w:jc w:val="left"/>
            </w:pPr>
            <w:r>
              <w:rPr>
                <w:color w:val="000000"/>
                <w:sz w:val="24"/>
              </w:rPr>
              <w:t>本基金的基金经理、权益投资管理部总经理、投资经理</w:t>
            </w:r>
          </w:p>
        </w:tc>
        <w:tc>
          <w:tcPr>
            <w:tcW w:w="0" w:type="auto"/>
            <w:vAlign w:val="center"/>
          </w:tcPr>
          <w:p w:rsidR="00E57567" w:rsidRDefault="00082A9D">
            <w:pPr>
              <w:jc w:val="center"/>
            </w:pPr>
            <w:r>
              <w:rPr>
                <w:color w:val="000000"/>
                <w:sz w:val="24"/>
              </w:rPr>
              <w:t>2018-07-05</w:t>
            </w:r>
          </w:p>
        </w:tc>
        <w:tc>
          <w:tcPr>
            <w:tcW w:w="0" w:type="auto"/>
            <w:vAlign w:val="center"/>
          </w:tcPr>
          <w:p w:rsidR="00E57567" w:rsidRDefault="00082A9D">
            <w:pPr>
              <w:jc w:val="center"/>
            </w:pPr>
            <w:r>
              <w:rPr>
                <w:color w:val="000000"/>
                <w:sz w:val="24"/>
              </w:rPr>
              <w:t>-</w:t>
            </w:r>
          </w:p>
        </w:tc>
        <w:tc>
          <w:tcPr>
            <w:tcW w:w="0" w:type="auto"/>
            <w:vAlign w:val="center"/>
          </w:tcPr>
          <w:p w:rsidR="00E57567" w:rsidRDefault="00082A9D">
            <w:pPr>
              <w:jc w:val="center"/>
            </w:pPr>
            <w:r>
              <w:rPr>
                <w:color w:val="000000"/>
                <w:sz w:val="24"/>
              </w:rPr>
              <w:t>23</w:t>
            </w:r>
            <w:r>
              <w:rPr>
                <w:color w:val="000000"/>
                <w:sz w:val="24"/>
              </w:rPr>
              <w:t>年</w:t>
            </w:r>
          </w:p>
        </w:tc>
        <w:tc>
          <w:tcPr>
            <w:tcW w:w="0" w:type="auto"/>
            <w:vAlign w:val="center"/>
          </w:tcPr>
          <w:p w:rsidR="00E57567" w:rsidRDefault="00082A9D">
            <w:r>
              <w:rPr>
                <w:color w:val="000000"/>
                <w:sz w:val="24"/>
              </w:rPr>
              <w:t>硕士研究生，具有基金从业资格。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w:t>
            </w:r>
            <w:r>
              <w:rPr>
                <w:color w:val="000000"/>
                <w:sz w:val="24"/>
              </w:rPr>
              <w:t>理、科瑞证券投资基金基金经理、易方达科翔股票型证券投资基金基金经理、易方达科汇灵活配置混合型证券投资基金基金经理。</w:t>
            </w:r>
          </w:p>
        </w:tc>
      </w:tr>
      <w:tr w:rsidR="00E57567">
        <w:tc>
          <w:tcPr>
            <w:tcW w:w="0" w:type="auto"/>
            <w:vAlign w:val="center"/>
          </w:tcPr>
          <w:p w:rsidR="00E57567" w:rsidRDefault="00082A9D">
            <w:pPr>
              <w:jc w:val="center"/>
            </w:pPr>
            <w:r>
              <w:rPr>
                <w:color w:val="000000"/>
                <w:sz w:val="24"/>
              </w:rPr>
              <w:t>胡剑</w:t>
            </w:r>
          </w:p>
        </w:tc>
        <w:tc>
          <w:tcPr>
            <w:tcW w:w="0" w:type="auto"/>
            <w:vAlign w:val="center"/>
          </w:tcPr>
          <w:p w:rsidR="00E57567" w:rsidRDefault="00082A9D">
            <w:pPr>
              <w:jc w:val="left"/>
            </w:pPr>
            <w:r>
              <w:rPr>
                <w:color w:val="000000"/>
                <w:sz w:val="24"/>
              </w:rPr>
              <w:t>本基金的基金经理、易方达稳健收益债券型证券投资基金的基金经理、易方达信用债债券型证券投资基金的基金经理、易方达裕惠回报定期开放式混合型发起式证券投资基金的基金经理、易方达丰惠混合型证券投资基金的基金经理、易方达瑞富灵活配置混合型证券投资基金的基金经理、易方达岁丰添利债券型证券投资基金的基金经理、易方达恒利</w:t>
            </w:r>
            <w:r>
              <w:rPr>
                <w:color w:val="000000"/>
                <w:sz w:val="24"/>
              </w:rPr>
              <w:t>3</w:t>
            </w:r>
            <w:r>
              <w:rPr>
                <w:color w:val="000000"/>
                <w:sz w:val="24"/>
              </w:rPr>
              <w:t>个月定期开放债券型发起式证券投资基金的基金经理、易方达恒益定期开放债券型发起式证</w:t>
            </w:r>
            <w:r>
              <w:rPr>
                <w:color w:val="000000"/>
                <w:sz w:val="24"/>
              </w:rPr>
              <w:t>券投资基金的基金经理、易方达恒盛</w:t>
            </w:r>
            <w:r>
              <w:rPr>
                <w:color w:val="000000"/>
                <w:sz w:val="24"/>
              </w:rPr>
              <w:t>3</w:t>
            </w:r>
            <w:r>
              <w:rPr>
                <w:color w:val="000000"/>
                <w:sz w:val="24"/>
              </w:rPr>
              <w:t>个月定期开放混合型发起式证券投资基金的基金经理、易方达富惠纯债债券型证券投资基金的基金经理、易方达中债</w:t>
            </w:r>
            <w:r>
              <w:rPr>
                <w:color w:val="000000"/>
                <w:sz w:val="24"/>
              </w:rPr>
              <w:t>7-10</w:t>
            </w:r>
            <w:r>
              <w:rPr>
                <w:color w:val="000000"/>
                <w:sz w:val="24"/>
              </w:rPr>
              <w:t>年期国开行债券指数证券投资基金的基金经理、易方达中债</w:t>
            </w:r>
            <w:r>
              <w:rPr>
                <w:color w:val="000000"/>
                <w:sz w:val="24"/>
              </w:rPr>
              <w:t>3-5</w:t>
            </w:r>
            <w:r>
              <w:rPr>
                <w:color w:val="000000"/>
                <w:sz w:val="24"/>
              </w:rPr>
              <w:t>年期国债指数证券投资基金的基金经理、固定收益研究部总经理、固定收益投资部总经理、投资经理</w:t>
            </w:r>
          </w:p>
        </w:tc>
        <w:tc>
          <w:tcPr>
            <w:tcW w:w="0" w:type="auto"/>
            <w:vAlign w:val="center"/>
          </w:tcPr>
          <w:p w:rsidR="00E57567" w:rsidRDefault="00082A9D">
            <w:pPr>
              <w:jc w:val="center"/>
            </w:pPr>
            <w:r>
              <w:rPr>
                <w:color w:val="000000"/>
                <w:sz w:val="24"/>
              </w:rPr>
              <w:t>2018-07-05</w:t>
            </w:r>
          </w:p>
        </w:tc>
        <w:tc>
          <w:tcPr>
            <w:tcW w:w="0" w:type="auto"/>
            <w:vAlign w:val="center"/>
          </w:tcPr>
          <w:p w:rsidR="00E57567" w:rsidRDefault="00082A9D">
            <w:pPr>
              <w:jc w:val="center"/>
            </w:pPr>
            <w:r>
              <w:rPr>
                <w:color w:val="000000"/>
                <w:sz w:val="24"/>
              </w:rPr>
              <w:t>-</w:t>
            </w:r>
          </w:p>
        </w:tc>
        <w:tc>
          <w:tcPr>
            <w:tcW w:w="0" w:type="auto"/>
            <w:vAlign w:val="center"/>
          </w:tcPr>
          <w:p w:rsidR="00E57567" w:rsidRDefault="00082A9D">
            <w:pPr>
              <w:jc w:val="center"/>
            </w:pPr>
            <w:r>
              <w:rPr>
                <w:color w:val="000000"/>
                <w:sz w:val="24"/>
              </w:rPr>
              <w:t>14</w:t>
            </w:r>
            <w:r>
              <w:rPr>
                <w:color w:val="000000"/>
                <w:sz w:val="24"/>
              </w:rPr>
              <w:t>年</w:t>
            </w:r>
          </w:p>
        </w:tc>
        <w:tc>
          <w:tcPr>
            <w:tcW w:w="0" w:type="auto"/>
            <w:vAlign w:val="center"/>
          </w:tcPr>
          <w:p w:rsidR="00E57567" w:rsidRDefault="00082A9D">
            <w:r>
              <w:rPr>
                <w:color w:val="000000"/>
                <w:sz w:val="24"/>
              </w:rPr>
              <w:t>硕士研究生，具有基金从业资格。曾任易方达基金管理有限公司固定收益部债券研究员、基金经理助理、固定收益研究部负责人、固定收益总部总经理助理、易方达中债新综合债券指数发起式证券投资基金（</w:t>
            </w:r>
            <w:r>
              <w:rPr>
                <w:color w:val="000000"/>
                <w:sz w:val="24"/>
              </w:rPr>
              <w:t>LOF</w:t>
            </w:r>
            <w:r>
              <w:rPr>
                <w:color w:val="000000"/>
                <w:sz w:val="24"/>
              </w:rPr>
              <w:t>）基金经理、易方达纯债债券型证券投资基金基金经理、易方达永旭添利定期开放债券型证券投资基金基金经理、易方达纯债</w:t>
            </w:r>
            <w:r>
              <w:rPr>
                <w:color w:val="000000"/>
                <w:sz w:val="24"/>
              </w:rPr>
              <w:t>1</w:t>
            </w:r>
            <w:r>
              <w:rPr>
                <w:color w:val="000000"/>
                <w:sz w:val="24"/>
              </w:rPr>
              <w:t>年定期开放债券型证券投资基金基金经理、易方达裕景添利</w:t>
            </w:r>
            <w:r>
              <w:rPr>
                <w:color w:val="000000"/>
                <w:sz w:val="24"/>
              </w:rPr>
              <w:t>6</w:t>
            </w:r>
            <w:r>
              <w:rPr>
                <w:color w:val="000000"/>
                <w:sz w:val="24"/>
              </w:rPr>
              <w:t>个月定期开放债券型证券投资基金基金经理、易方达瑞智灵活配置混合型证券投资基金基金经理、易方达瑞兴灵活配置混合型证券投资基金基金经理、易方达瑞祥灵活配置混合型证</w:t>
            </w:r>
            <w:r>
              <w:rPr>
                <w:color w:val="000000"/>
                <w:sz w:val="24"/>
              </w:rPr>
              <w:t>券投资基金基金经理、易方达高等级信用债债券型证券投资基金基金经理、易方达瑞祺灵活配置混合型证券投资基金基金经理、易方达瑞财灵活配置混合型证券投资基金基金经理。</w:t>
            </w:r>
          </w:p>
        </w:tc>
      </w:tr>
    </w:tbl>
    <w:p w:rsidR="00E57567" w:rsidRDefault="00082A9D">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E57567" w:rsidRDefault="00082A9D">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E57567" w:rsidRDefault="00082A9D">
      <w:pPr>
        <w:spacing w:line="360" w:lineRule="auto"/>
        <w:ind w:firstLineChars="200" w:firstLine="480"/>
        <w:rPr>
          <w:color w:val="000000"/>
          <w:sz w:val="24"/>
          <w:szCs w:val="24"/>
        </w:rPr>
      </w:pPr>
      <w:r>
        <w:rPr>
          <w:color w:val="000000"/>
          <w:sz w:val="24"/>
          <w:szCs w:val="24"/>
        </w:rPr>
        <w:t>2020</w:t>
      </w:r>
      <w:r>
        <w:rPr>
          <w:color w:val="000000"/>
          <w:sz w:val="24"/>
          <w:szCs w:val="24"/>
        </w:rPr>
        <w:t>年一季度经济基本面受新冠疫情影响出现较大幅度回落。</w:t>
      </w:r>
      <w:r>
        <w:rPr>
          <w:color w:val="000000"/>
          <w:sz w:val="24"/>
          <w:szCs w:val="24"/>
        </w:rPr>
        <w:t>1-2</w:t>
      </w:r>
      <w:r>
        <w:rPr>
          <w:color w:val="000000"/>
          <w:sz w:val="24"/>
          <w:szCs w:val="24"/>
        </w:rPr>
        <w:t>月工业增加值同比下降</w:t>
      </w:r>
      <w:r>
        <w:rPr>
          <w:color w:val="000000"/>
          <w:sz w:val="24"/>
          <w:szCs w:val="24"/>
        </w:rPr>
        <w:t>13.5%</w:t>
      </w:r>
      <w:r>
        <w:rPr>
          <w:color w:val="000000"/>
          <w:sz w:val="24"/>
          <w:szCs w:val="24"/>
        </w:rPr>
        <w:t>；投资增速由</w:t>
      </w:r>
      <w:r>
        <w:rPr>
          <w:color w:val="000000"/>
          <w:sz w:val="24"/>
          <w:szCs w:val="24"/>
        </w:rPr>
        <w:t>11.8%</w:t>
      </w:r>
      <w:r>
        <w:rPr>
          <w:color w:val="000000"/>
          <w:sz w:val="24"/>
          <w:szCs w:val="24"/>
        </w:rPr>
        <w:t>大幅回落至</w:t>
      </w:r>
      <w:r>
        <w:rPr>
          <w:color w:val="000000"/>
          <w:sz w:val="24"/>
          <w:szCs w:val="24"/>
        </w:rPr>
        <w:t>-24.5%</w:t>
      </w:r>
      <w:r>
        <w:rPr>
          <w:color w:val="000000"/>
          <w:sz w:val="24"/>
          <w:szCs w:val="24"/>
        </w:rPr>
        <w:t>，其中制造业投资增速下滑达到</w:t>
      </w:r>
      <w:r>
        <w:rPr>
          <w:color w:val="000000"/>
          <w:sz w:val="24"/>
          <w:szCs w:val="24"/>
        </w:rPr>
        <w:t>-40%</w:t>
      </w:r>
      <w:r>
        <w:rPr>
          <w:color w:val="000000"/>
          <w:sz w:val="24"/>
          <w:szCs w:val="24"/>
        </w:rPr>
        <w:t>；</w:t>
      </w:r>
      <w:r>
        <w:rPr>
          <w:color w:val="000000"/>
          <w:sz w:val="24"/>
          <w:szCs w:val="24"/>
        </w:rPr>
        <w:t>1-2</w:t>
      </w:r>
      <w:r>
        <w:rPr>
          <w:color w:val="000000"/>
          <w:sz w:val="24"/>
          <w:szCs w:val="24"/>
        </w:rPr>
        <w:t>月零售增速同比由</w:t>
      </w:r>
      <w:r>
        <w:rPr>
          <w:color w:val="000000"/>
          <w:sz w:val="24"/>
          <w:szCs w:val="24"/>
        </w:rPr>
        <w:t>8%</w:t>
      </w:r>
      <w:r>
        <w:rPr>
          <w:color w:val="000000"/>
          <w:sz w:val="24"/>
          <w:szCs w:val="24"/>
        </w:rPr>
        <w:t>大幅下降至</w:t>
      </w:r>
      <w:r>
        <w:rPr>
          <w:color w:val="000000"/>
          <w:sz w:val="24"/>
          <w:szCs w:val="24"/>
        </w:rPr>
        <w:t>-20.5%</w:t>
      </w:r>
      <w:r>
        <w:rPr>
          <w:color w:val="000000"/>
          <w:sz w:val="24"/>
          <w:szCs w:val="24"/>
        </w:rPr>
        <w:t>，其中餐饮降幅最大，环比下降</w:t>
      </w:r>
      <w:r>
        <w:rPr>
          <w:color w:val="000000"/>
          <w:sz w:val="24"/>
          <w:szCs w:val="24"/>
        </w:rPr>
        <w:t>46%</w:t>
      </w:r>
      <w:r>
        <w:rPr>
          <w:color w:val="000000"/>
          <w:sz w:val="24"/>
          <w:szCs w:val="24"/>
        </w:rPr>
        <w:t>，服装环比下降</w:t>
      </w:r>
      <w:r>
        <w:rPr>
          <w:color w:val="000000"/>
          <w:sz w:val="24"/>
          <w:szCs w:val="24"/>
        </w:rPr>
        <w:t>33%</w:t>
      </w:r>
      <w:r>
        <w:rPr>
          <w:color w:val="000000"/>
          <w:sz w:val="24"/>
          <w:szCs w:val="24"/>
        </w:rPr>
        <w:t>。通胀方面，</w:t>
      </w:r>
      <w:r>
        <w:rPr>
          <w:color w:val="000000"/>
          <w:sz w:val="24"/>
          <w:szCs w:val="24"/>
        </w:rPr>
        <w:t>CPI</w:t>
      </w:r>
      <w:r>
        <w:rPr>
          <w:color w:val="000000"/>
          <w:sz w:val="24"/>
          <w:szCs w:val="24"/>
        </w:rPr>
        <w:t>数据维持在</w:t>
      </w:r>
      <w:r>
        <w:rPr>
          <w:color w:val="000000"/>
          <w:sz w:val="24"/>
          <w:szCs w:val="24"/>
        </w:rPr>
        <w:t>5.2-5.4%</w:t>
      </w:r>
      <w:r>
        <w:rPr>
          <w:color w:val="000000"/>
          <w:sz w:val="24"/>
          <w:szCs w:val="24"/>
        </w:rPr>
        <w:t>的较高水平，</w:t>
      </w:r>
      <w:r>
        <w:rPr>
          <w:color w:val="000000"/>
          <w:sz w:val="24"/>
          <w:szCs w:val="24"/>
        </w:rPr>
        <w:t>PPI</w:t>
      </w:r>
      <w:r>
        <w:rPr>
          <w:color w:val="000000"/>
          <w:sz w:val="24"/>
          <w:szCs w:val="24"/>
        </w:rPr>
        <w:t>数据在</w:t>
      </w:r>
      <w:r>
        <w:rPr>
          <w:color w:val="000000"/>
          <w:sz w:val="24"/>
          <w:szCs w:val="24"/>
        </w:rPr>
        <w:t>0%</w:t>
      </w:r>
      <w:r>
        <w:rPr>
          <w:color w:val="000000"/>
          <w:sz w:val="24"/>
          <w:szCs w:val="24"/>
        </w:rPr>
        <w:t>附近徘徊，结构上主要是食品维持高位，而非食品和中上游产品价格在</w:t>
      </w:r>
      <w:r>
        <w:rPr>
          <w:color w:val="000000"/>
          <w:sz w:val="24"/>
          <w:szCs w:val="24"/>
        </w:rPr>
        <w:t>2</w:t>
      </w:r>
      <w:r>
        <w:rPr>
          <w:color w:val="000000"/>
          <w:sz w:val="24"/>
          <w:szCs w:val="24"/>
        </w:rPr>
        <w:t>月份转向大幅回落。社融方面扩张不及预期，主要是由于受疫情影响居民部门贷款大幅下降。</w:t>
      </w:r>
    </w:p>
    <w:p w:rsidR="00E57567" w:rsidRDefault="00082A9D">
      <w:pPr>
        <w:spacing w:line="360" w:lineRule="auto"/>
        <w:ind w:firstLineChars="200" w:firstLine="480"/>
        <w:rPr>
          <w:color w:val="000000"/>
          <w:sz w:val="24"/>
          <w:szCs w:val="24"/>
        </w:rPr>
      </w:pPr>
      <w:r>
        <w:rPr>
          <w:color w:val="000000"/>
          <w:sz w:val="24"/>
          <w:szCs w:val="24"/>
        </w:rPr>
        <w:t>政策层面，疫情</w:t>
      </w:r>
      <w:r>
        <w:rPr>
          <w:color w:val="000000"/>
          <w:sz w:val="24"/>
          <w:szCs w:val="24"/>
        </w:rPr>
        <w:t>以来整体的对冲意愿相对保守。货币政策降低逆回购利率较为缓慢，财政政策方面主要以专项债推动基建投资的增长，目前的力度和进度都相对有限。房地产坚持</w:t>
      </w:r>
      <w:r>
        <w:rPr>
          <w:color w:val="000000"/>
          <w:sz w:val="24"/>
          <w:szCs w:val="24"/>
        </w:rPr>
        <w:t>“</w:t>
      </w:r>
      <w:r>
        <w:rPr>
          <w:color w:val="000000"/>
          <w:sz w:val="24"/>
          <w:szCs w:val="24"/>
        </w:rPr>
        <w:t>房住不炒</w:t>
      </w:r>
      <w:r>
        <w:rPr>
          <w:color w:val="000000"/>
          <w:sz w:val="24"/>
          <w:szCs w:val="24"/>
        </w:rPr>
        <w:t>”</w:t>
      </w:r>
      <w:r>
        <w:rPr>
          <w:color w:val="000000"/>
          <w:sz w:val="24"/>
          <w:szCs w:val="24"/>
        </w:rPr>
        <w:t>的定位。在地方政府隐性债务约束未有明显放松的前提下，地方基建投资大幅上行的空间相对有限。</w:t>
      </w:r>
    </w:p>
    <w:p w:rsidR="00E57567" w:rsidRDefault="00082A9D">
      <w:pPr>
        <w:spacing w:line="360" w:lineRule="auto"/>
        <w:ind w:firstLineChars="200" w:firstLine="480"/>
        <w:rPr>
          <w:color w:val="000000"/>
          <w:sz w:val="24"/>
          <w:szCs w:val="24"/>
        </w:rPr>
      </w:pPr>
      <w:r>
        <w:rPr>
          <w:color w:val="000000"/>
          <w:sz w:val="24"/>
          <w:szCs w:val="24"/>
        </w:rPr>
        <w:t>债券市场方面，收益率自年初出现明显的下行，</w:t>
      </w:r>
      <w:r>
        <w:rPr>
          <w:color w:val="000000"/>
          <w:sz w:val="24"/>
          <w:szCs w:val="24"/>
        </w:rPr>
        <w:t>10</w:t>
      </w:r>
      <w:r>
        <w:rPr>
          <w:color w:val="000000"/>
          <w:sz w:val="24"/>
          <w:szCs w:val="24"/>
        </w:rPr>
        <w:t>年国开债收益率下行</w:t>
      </w:r>
      <w:r>
        <w:rPr>
          <w:color w:val="000000"/>
          <w:sz w:val="24"/>
          <w:szCs w:val="24"/>
        </w:rPr>
        <w:t>63BP</w:t>
      </w:r>
      <w:r>
        <w:rPr>
          <w:color w:val="000000"/>
          <w:sz w:val="24"/>
          <w:szCs w:val="24"/>
        </w:rPr>
        <w:t>至</w:t>
      </w:r>
      <w:r>
        <w:rPr>
          <w:color w:val="000000"/>
          <w:sz w:val="24"/>
          <w:szCs w:val="24"/>
        </w:rPr>
        <w:t>2.95%</w:t>
      </w:r>
      <w:r>
        <w:rPr>
          <w:color w:val="000000"/>
          <w:sz w:val="24"/>
          <w:szCs w:val="24"/>
        </w:rPr>
        <w:t>，创历史新低。</w:t>
      </w:r>
      <w:r>
        <w:rPr>
          <w:color w:val="000000"/>
          <w:sz w:val="24"/>
          <w:szCs w:val="24"/>
        </w:rPr>
        <w:t>3</w:t>
      </w:r>
      <w:r>
        <w:rPr>
          <w:color w:val="000000"/>
          <w:sz w:val="24"/>
          <w:szCs w:val="24"/>
        </w:rPr>
        <w:t>月中旬全球资本市场大幅波动带来流动性危机，国债遭外资抛售，收益率出现阶段性上行。之后随着美联储的大量流动性缓解措施，市场波动率下降，国内债市再度转为上涨行情。</w:t>
      </w:r>
    </w:p>
    <w:p w:rsidR="00E57567" w:rsidRDefault="00082A9D">
      <w:pPr>
        <w:spacing w:line="360" w:lineRule="auto"/>
        <w:ind w:firstLineChars="200" w:firstLine="480"/>
        <w:rPr>
          <w:color w:val="000000"/>
          <w:sz w:val="24"/>
          <w:szCs w:val="24"/>
        </w:rPr>
      </w:pPr>
      <w:r>
        <w:rPr>
          <w:color w:val="000000"/>
          <w:sz w:val="24"/>
          <w:szCs w:val="24"/>
        </w:rPr>
        <w:t>权益市场</w:t>
      </w:r>
      <w:r>
        <w:rPr>
          <w:color w:val="000000"/>
          <w:sz w:val="24"/>
          <w:szCs w:val="24"/>
        </w:rPr>
        <w:t>一季度受疫情影响出现较大幅度的波动。国内疫情影响相对有限，在</w:t>
      </w:r>
      <w:r>
        <w:rPr>
          <w:color w:val="000000"/>
          <w:sz w:val="24"/>
          <w:szCs w:val="24"/>
        </w:rPr>
        <w:t>2</w:t>
      </w:r>
      <w:r>
        <w:rPr>
          <w:color w:val="000000"/>
          <w:sz w:val="24"/>
          <w:szCs w:val="24"/>
        </w:rPr>
        <w:t>月</w:t>
      </w:r>
      <w:r>
        <w:rPr>
          <w:color w:val="000000"/>
          <w:sz w:val="24"/>
          <w:szCs w:val="24"/>
        </w:rPr>
        <w:t>3</w:t>
      </w:r>
      <w:r>
        <w:rPr>
          <w:color w:val="000000"/>
          <w:sz w:val="24"/>
          <w:szCs w:val="24"/>
        </w:rPr>
        <w:t>日下跌之后陆续恢复至前期高点；随着</w:t>
      </w:r>
      <w:r>
        <w:rPr>
          <w:color w:val="000000"/>
          <w:sz w:val="24"/>
          <w:szCs w:val="24"/>
        </w:rPr>
        <w:t>2</w:t>
      </w:r>
      <w:r>
        <w:rPr>
          <w:color w:val="000000"/>
          <w:sz w:val="24"/>
          <w:szCs w:val="24"/>
        </w:rPr>
        <w:t>月下旬海外疫情的蔓延，叠加原油市场动荡、海外流动性紧张，股票市场再度出现较为显著的下行，一季度整体收跌。沪深</w:t>
      </w:r>
      <w:r>
        <w:rPr>
          <w:color w:val="000000"/>
          <w:sz w:val="24"/>
          <w:szCs w:val="24"/>
        </w:rPr>
        <w:t>300</w:t>
      </w:r>
      <w:r>
        <w:rPr>
          <w:color w:val="000000"/>
          <w:sz w:val="24"/>
          <w:szCs w:val="24"/>
        </w:rPr>
        <w:t>指数下跌</w:t>
      </w:r>
      <w:r>
        <w:rPr>
          <w:color w:val="000000"/>
          <w:sz w:val="24"/>
          <w:szCs w:val="24"/>
        </w:rPr>
        <w:t>10.02%</w:t>
      </w:r>
      <w:r>
        <w:rPr>
          <w:color w:val="000000"/>
          <w:sz w:val="24"/>
          <w:szCs w:val="24"/>
        </w:rPr>
        <w:t>，上证综指下跌</w:t>
      </w:r>
      <w:r>
        <w:rPr>
          <w:color w:val="000000"/>
          <w:sz w:val="24"/>
          <w:szCs w:val="24"/>
        </w:rPr>
        <w:t>9.83%</w:t>
      </w:r>
      <w:r>
        <w:rPr>
          <w:color w:val="000000"/>
          <w:sz w:val="24"/>
          <w:szCs w:val="24"/>
        </w:rPr>
        <w:t>，不过创业板指数依然上涨</w:t>
      </w:r>
      <w:r>
        <w:rPr>
          <w:color w:val="000000"/>
          <w:sz w:val="24"/>
          <w:szCs w:val="24"/>
        </w:rPr>
        <w:t>4.1%</w:t>
      </w:r>
      <w:r>
        <w:rPr>
          <w:color w:val="000000"/>
          <w:sz w:val="24"/>
          <w:szCs w:val="24"/>
        </w:rPr>
        <w:t>。转债也相对抗跌，中证转债指数一季度上涨</w:t>
      </w:r>
      <w:r>
        <w:rPr>
          <w:color w:val="000000"/>
          <w:sz w:val="24"/>
          <w:szCs w:val="24"/>
        </w:rPr>
        <w:t>0.02%</w:t>
      </w:r>
      <w:r>
        <w:rPr>
          <w:color w:val="000000"/>
          <w:sz w:val="24"/>
          <w:szCs w:val="24"/>
        </w:rPr>
        <w:t>，基本收平。</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操作上，组合在债券方面维持了中短端、高流动性资产为主的配置思路，在给组合提供流动性的同时获取安全的票息收益。权益投资方面，不仅积极参与新股战略配售和网下申购，还以非常谨慎的心态参与二级市场主动投资，力争能为持有人获取相对稳健的收益。随着权益仓位的不断提高，组合净值受市场影响波动有所加大。</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1.0717</w:t>
      </w:r>
      <w:r w:rsidRPr="006C56AA">
        <w:rPr>
          <w:color w:val="000000"/>
          <w:sz w:val="24"/>
          <w:szCs w:val="24"/>
        </w:rPr>
        <w:t>元，本报告期份额净值增长率为</w:t>
      </w:r>
      <w:r w:rsidRPr="006C56AA">
        <w:rPr>
          <w:color w:val="000000"/>
          <w:sz w:val="24"/>
          <w:szCs w:val="24"/>
        </w:rPr>
        <w:t>-1.66%</w:t>
      </w:r>
      <w:r w:rsidRPr="006C56AA">
        <w:rPr>
          <w:color w:val="000000"/>
          <w:sz w:val="24"/>
          <w:szCs w:val="24"/>
        </w:rPr>
        <w:t>，同期业绩比较基准收益率为</w:t>
      </w:r>
      <w:r w:rsidRPr="006C56AA">
        <w:rPr>
          <w:color w:val="000000"/>
          <w:sz w:val="24"/>
          <w:szCs w:val="24"/>
        </w:rPr>
        <w:t>-4.98%</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6,949,059,084.41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25.90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6,949,059,084.41</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25.90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19,260,918,900.00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71.79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19,260,918,900.00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71.79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160,785,486.70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0.60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457,730,124.29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1.71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26,828,493,595.40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7,141,530.00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0.03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1,061,019,496.33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1,709,293,146.64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770,903,591.19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2.94</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1,059,408.73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2,835,793,144.30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10.82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494,919,326.95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68,808,050.98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0.26</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102,241.98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6,949,059,084.41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26.51</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57567">
        <w:tc>
          <w:tcPr>
            <w:tcW w:w="0" w:type="auto"/>
            <w:vAlign w:val="center"/>
          </w:tcPr>
          <w:p w:rsidR="00E57567" w:rsidRDefault="00082A9D">
            <w:pPr>
              <w:jc w:val="center"/>
            </w:pPr>
            <w:r>
              <w:rPr>
                <w:color w:val="000000"/>
                <w:kern w:val="0"/>
                <w:sz w:val="24"/>
                <w:szCs w:val="24"/>
              </w:rPr>
              <w:t>1</w:t>
            </w:r>
          </w:p>
        </w:tc>
        <w:tc>
          <w:tcPr>
            <w:tcW w:w="0" w:type="auto"/>
            <w:vAlign w:val="center"/>
          </w:tcPr>
          <w:p w:rsidR="00E57567" w:rsidRDefault="00082A9D">
            <w:pPr>
              <w:jc w:val="center"/>
            </w:pPr>
            <w:r>
              <w:rPr>
                <w:color w:val="000000"/>
                <w:kern w:val="0"/>
                <w:sz w:val="24"/>
                <w:szCs w:val="24"/>
              </w:rPr>
              <w:t>601658</w:t>
            </w:r>
          </w:p>
        </w:tc>
        <w:tc>
          <w:tcPr>
            <w:tcW w:w="0" w:type="auto"/>
            <w:vAlign w:val="center"/>
          </w:tcPr>
          <w:p w:rsidR="00E57567" w:rsidRDefault="00082A9D">
            <w:pPr>
              <w:jc w:val="center"/>
            </w:pPr>
            <w:r>
              <w:rPr>
                <w:color w:val="000000"/>
                <w:kern w:val="0"/>
                <w:sz w:val="24"/>
                <w:szCs w:val="24"/>
              </w:rPr>
              <w:t>邮储银行</w:t>
            </w:r>
          </w:p>
        </w:tc>
        <w:tc>
          <w:tcPr>
            <w:tcW w:w="0" w:type="auto"/>
            <w:vAlign w:val="center"/>
          </w:tcPr>
          <w:p w:rsidR="00E57567" w:rsidRDefault="00082A9D">
            <w:pPr>
              <w:jc w:val="right"/>
            </w:pPr>
            <w:r>
              <w:rPr>
                <w:color w:val="000000"/>
                <w:kern w:val="0"/>
                <w:sz w:val="24"/>
                <w:szCs w:val="24"/>
              </w:rPr>
              <w:t>461,030,000</w:t>
            </w:r>
          </w:p>
        </w:tc>
        <w:tc>
          <w:tcPr>
            <w:tcW w:w="0" w:type="auto"/>
            <w:vAlign w:val="center"/>
          </w:tcPr>
          <w:p w:rsidR="00E57567" w:rsidRDefault="00082A9D">
            <w:pPr>
              <w:jc w:val="right"/>
            </w:pPr>
            <w:r>
              <w:rPr>
                <w:color w:val="000000"/>
                <w:kern w:val="0"/>
                <w:sz w:val="24"/>
                <w:szCs w:val="24"/>
              </w:rPr>
              <w:t>2,351,256,570.00</w:t>
            </w:r>
          </w:p>
        </w:tc>
        <w:tc>
          <w:tcPr>
            <w:tcW w:w="0" w:type="auto"/>
            <w:vAlign w:val="center"/>
          </w:tcPr>
          <w:p w:rsidR="00E57567" w:rsidRDefault="00082A9D">
            <w:pPr>
              <w:jc w:val="right"/>
            </w:pPr>
            <w:r>
              <w:rPr>
                <w:color w:val="000000"/>
                <w:kern w:val="0"/>
                <w:sz w:val="24"/>
                <w:szCs w:val="24"/>
              </w:rPr>
              <w:t>8.97</w:t>
            </w:r>
          </w:p>
        </w:tc>
      </w:tr>
      <w:tr w:rsidR="00E57567">
        <w:tc>
          <w:tcPr>
            <w:tcW w:w="0" w:type="auto"/>
            <w:vAlign w:val="center"/>
          </w:tcPr>
          <w:p w:rsidR="00E57567" w:rsidRDefault="00082A9D">
            <w:pPr>
              <w:jc w:val="center"/>
            </w:pPr>
            <w:r>
              <w:rPr>
                <w:color w:val="000000"/>
                <w:kern w:val="0"/>
                <w:sz w:val="24"/>
                <w:szCs w:val="24"/>
              </w:rPr>
              <w:t>2</w:t>
            </w:r>
          </w:p>
        </w:tc>
        <w:tc>
          <w:tcPr>
            <w:tcW w:w="0" w:type="auto"/>
            <w:vAlign w:val="center"/>
          </w:tcPr>
          <w:p w:rsidR="00E57567" w:rsidRDefault="00082A9D">
            <w:pPr>
              <w:jc w:val="center"/>
            </w:pPr>
            <w:r>
              <w:rPr>
                <w:color w:val="000000"/>
                <w:kern w:val="0"/>
                <w:sz w:val="24"/>
                <w:szCs w:val="24"/>
              </w:rPr>
              <w:t>003816</w:t>
            </w:r>
          </w:p>
        </w:tc>
        <w:tc>
          <w:tcPr>
            <w:tcW w:w="0" w:type="auto"/>
            <w:vAlign w:val="center"/>
          </w:tcPr>
          <w:p w:rsidR="00E57567" w:rsidRDefault="00082A9D">
            <w:pPr>
              <w:jc w:val="center"/>
            </w:pPr>
            <w:r>
              <w:rPr>
                <w:color w:val="000000"/>
                <w:kern w:val="0"/>
                <w:sz w:val="24"/>
                <w:szCs w:val="24"/>
              </w:rPr>
              <w:t>中国广核</w:t>
            </w:r>
          </w:p>
        </w:tc>
        <w:tc>
          <w:tcPr>
            <w:tcW w:w="0" w:type="auto"/>
            <w:vAlign w:val="center"/>
          </w:tcPr>
          <w:p w:rsidR="00E57567" w:rsidRDefault="00082A9D">
            <w:pPr>
              <w:jc w:val="right"/>
            </w:pPr>
            <w:r>
              <w:rPr>
                <w:color w:val="000000"/>
                <w:kern w:val="0"/>
                <w:sz w:val="24"/>
                <w:szCs w:val="24"/>
              </w:rPr>
              <w:t>555,485,000</w:t>
            </w:r>
          </w:p>
        </w:tc>
        <w:tc>
          <w:tcPr>
            <w:tcW w:w="0" w:type="auto"/>
            <w:vAlign w:val="center"/>
          </w:tcPr>
          <w:p w:rsidR="00E57567" w:rsidRDefault="00082A9D">
            <w:pPr>
              <w:jc w:val="right"/>
            </w:pPr>
            <w:r>
              <w:rPr>
                <w:color w:val="000000"/>
                <w:kern w:val="0"/>
                <w:sz w:val="24"/>
                <w:szCs w:val="24"/>
              </w:rPr>
              <w:t>1,555,358,000.00</w:t>
            </w:r>
          </w:p>
        </w:tc>
        <w:tc>
          <w:tcPr>
            <w:tcW w:w="0" w:type="auto"/>
            <w:vAlign w:val="center"/>
          </w:tcPr>
          <w:p w:rsidR="00E57567" w:rsidRDefault="00082A9D">
            <w:pPr>
              <w:jc w:val="right"/>
            </w:pPr>
            <w:r>
              <w:rPr>
                <w:color w:val="000000"/>
                <w:kern w:val="0"/>
                <w:sz w:val="24"/>
                <w:szCs w:val="24"/>
              </w:rPr>
              <w:t>5.93</w:t>
            </w:r>
          </w:p>
        </w:tc>
      </w:tr>
      <w:tr w:rsidR="00E57567">
        <w:tc>
          <w:tcPr>
            <w:tcW w:w="0" w:type="auto"/>
            <w:vAlign w:val="center"/>
          </w:tcPr>
          <w:p w:rsidR="00E57567" w:rsidRDefault="00082A9D">
            <w:pPr>
              <w:jc w:val="center"/>
            </w:pPr>
            <w:r>
              <w:rPr>
                <w:color w:val="000000"/>
                <w:kern w:val="0"/>
                <w:sz w:val="24"/>
                <w:szCs w:val="24"/>
              </w:rPr>
              <w:t>3</w:t>
            </w:r>
          </w:p>
        </w:tc>
        <w:tc>
          <w:tcPr>
            <w:tcW w:w="0" w:type="auto"/>
            <w:vAlign w:val="center"/>
          </w:tcPr>
          <w:p w:rsidR="00E57567" w:rsidRDefault="00082A9D">
            <w:pPr>
              <w:jc w:val="center"/>
            </w:pPr>
            <w:r>
              <w:rPr>
                <w:color w:val="000000"/>
                <w:kern w:val="0"/>
                <w:sz w:val="24"/>
                <w:szCs w:val="24"/>
              </w:rPr>
              <w:t>601816</w:t>
            </w:r>
          </w:p>
        </w:tc>
        <w:tc>
          <w:tcPr>
            <w:tcW w:w="0" w:type="auto"/>
            <w:vAlign w:val="center"/>
          </w:tcPr>
          <w:p w:rsidR="00E57567" w:rsidRDefault="00082A9D">
            <w:pPr>
              <w:jc w:val="center"/>
            </w:pPr>
            <w:r>
              <w:rPr>
                <w:color w:val="000000"/>
                <w:kern w:val="0"/>
                <w:sz w:val="24"/>
                <w:szCs w:val="24"/>
              </w:rPr>
              <w:t>京沪高铁</w:t>
            </w:r>
          </w:p>
        </w:tc>
        <w:tc>
          <w:tcPr>
            <w:tcW w:w="0" w:type="auto"/>
            <w:vAlign w:val="center"/>
          </w:tcPr>
          <w:p w:rsidR="00E57567" w:rsidRDefault="00082A9D">
            <w:pPr>
              <w:jc w:val="right"/>
            </w:pPr>
            <w:r>
              <w:rPr>
                <w:color w:val="000000"/>
                <w:kern w:val="0"/>
                <w:sz w:val="24"/>
                <w:szCs w:val="24"/>
              </w:rPr>
              <w:t>114,754,098</w:t>
            </w:r>
          </w:p>
        </w:tc>
        <w:tc>
          <w:tcPr>
            <w:tcW w:w="0" w:type="auto"/>
            <w:vAlign w:val="center"/>
          </w:tcPr>
          <w:p w:rsidR="00E57567" w:rsidRDefault="00082A9D">
            <w:pPr>
              <w:jc w:val="right"/>
            </w:pPr>
            <w:r>
              <w:rPr>
                <w:color w:val="000000"/>
                <w:kern w:val="0"/>
                <w:sz w:val="24"/>
                <w:szCs w:val="24"/>
              </w:rPr>
              <w:t>643,770,489.78</w:t>
            </w:r>
          </w:p>
        </w:tc>
        <w:tc>
          <w:tcPr>
            <w:tcW w:w="0" w:type="auto"/>
            <w:vAlign w:val="center"/>
          </w:tcPr>
          <w:p w:rsidR="00E57567" w:rsidRDefault="00082A9D">
            <w:pPr>
              <w:jc w:val="right"/>
            </w:pPr>
            <w:r>
              <w:rPr>
                <w:color w:val="000000"/>
                <w:kern w:val="0"/>
                <w:sz w:val="24"/>
                <w:szCs w:val="24"/>
              </w:rPr>
              <w:t>2.46</w:t>
            </w:r>
          </w:p>
        </w:tc>
      </w:tr>
      <w:tr w:rsidR="00E57567">
        <w:tc>
          <w:tcPr>
            <w:tcW w:w="0" w:type="auto"/>
            <w:vAlign w:val="center"/>
          </w:tcPr>
          <w:p w:rsidR="00E57567" w:rsidRDefault="00082A9D">
            <w:pPr>
              <w:jc w:val="center"/>
            </w:pPr>
            <w:r>
              <w:rPr>
                <w:color w:val="000000"/>
                <w:kern w:val="0"/>
                <w:sz w:val="24"/>
                <w:szCs w:val="24"/>
              </w:rPr>
              <w:t>4</w:t>
            </w:r>
          </w:p>
        </w:tc>
        <w:tc>
          <w:tcPr>
            <w:tcW w:w="0" w:type="auto"/>
            <w:vAlign w:val="center"/>
          </w:tcPr>
          <w:p w:rsidR="00E57567" w:rsidRDefault="00082A9D">
            <w:pPr>
              <w:jc w:val="center"/>
            </w:pPr>
            <w:r>
              <w:rPr>
                <w:color w:val="000000"/>
                <w:kern w:val="0"/>
                <w:sz w:val="24"/>
                <w:szCs w:val="24"/>
              </w:rPr>
              <w:t>601319</w:t>
            </w:r>
          </w:p>
        </w:tc>
        <w:tc>
          <w:tcPr>
            <w:tcW w:w="0" w:type="auto"/>
            <w:vAlign w:val="center"/>
          </w:tcPr>
          <w:p w:rsidR="00E57567" w:rsidRDefault="00082A9D">
            <w:pPr>
              <w:jc w:val="center"/>
            </w:pPr>
            <w:r>
              <w:rPr>
                <w:color w:val="000000"/>
                <w:kern w:val="0"/>
                <w:sz w:val="24"/>
                <w:szCs w:val="24"/>
              </w:rPr>
              <w:t>中国人保</w:t>
            </w:r>
          </w:p>
        </w:tc>
        <w:tc>
          <w:tcPr>
            <w:tcW w:w="0" w:type="auto"/>
            <w:vAlign w:val="center"/>
          </w:tcPr>
          <w:p w:rsidR="00E57567" w:rsidRDefault="00082A9D">
            <w:pPr>
              <w:jc w:val="right"/>
            </w:pPr>
            <w:r>
              <w:rPr>
                <w:color w:val="000000"/>
                <w:kern w:val="0"/>
                <w:sz w:val="24"/>
                <w:szCs w:val="24"/>
              </w:rPr>
              <w:t>74,850,000</w:t>
            </w:r>
          </w:p>
        </w:tc>
        <w:tc>
          <w:tcPr>
            <w:tcW w:w="0" w:type="auto"/>
            <w:vAlign w:val="center"/>
          </w:tcPr>
          <w:p w:rsidR="00E57567" w:rsidRDefault="00082A9D">
            <w:pPr>
              <w:jc w:val="right"/>
            </w:pPr>
            <w:r>
              <w:rPr>
                <w:color w:val="000000"/>
                <w:kern w:val="0"/>
                <w:sz w:val="24"/>
                <w:szCs w:val="24"/>
              </w:rPr>
              <w:t>471,555,000.00</w:t>
            </w:r>
          </w:p>
        </w:tc>
        <w:tc>
          <w:tcPr>
            <w:tcW w:w="0" w:type="auto"/>
            <w:vAlign w:val="center"/>
          </w:tcPr>
          <w:p w:rsidR="00E57567" w:rsidRDefault="00082A9D">
            <w:pPr>
              <w:jc w:val="right"/>
            </w:pPr>
            <w:r>
              <w:rPr>
                <w:color w:val="000000"/>
                <w:kern w:val="0"/>
                <w:sz w:val="24"/>
                <w:szCs w:val="24"/>
              </w:rPr>
              <w:t>1.80</w:t>
            </w:r>
          </w:p>
        </w:tc>
      </w:tr>
      <w:tr w:rsidR="00E57567">
        <w:tc>
          <w:tcPr>
            <w:tcW w:w="0" w:type="auto"/>
            <w:vAlign w:val="center"/>
          </w:tcPr>
          <w:p w:rsidR="00E57567" w:rsidRDefault="00082A9D">
            <w:pPr>
              <w:jc w:val="center"/>
            </w:pPr>
            <w:r>
              <w:rPr>
                <w:color w:val="000000"/>
                <w:kern w:val="0"/>
                <w:sz w:val="24"/>
                <w:szCs w:val="24"/>
              </w:rPr>
              <w:t>5</w:t>
            </w:r>
          </w:p>
        </w:tc>
        <w:tc>
          <w:tcPr>
            <w:tcW w:w="0" w:type="auto"/>
            <w:vAlign w:val="center"/>
          </w:tcPr>
          <w:p w:rsidR="00E57567" w:rsidRDefault="00082A9D">
            <w:pPr>
              <w:jc w:val="center"/>
            </w:pPr>
            <w:r>
              <w:rPr>
                <w:color w:val="000000"/>
                <w:kern w:val="0"/>
                <w:sz w:val="24"/>
                <w:szCs w:val="24"/>
              </w:rPr>
              <w:t>000651</w:t>
            </w:r>
          </w:p>
        </w:tc>
        <w:tc>
          <w:tcPr>
            <w:tcW w:w="0" w:type="auto"/>
            <w:vAlign w:val="center"/>
          </w:tcPr>
          <w:p w:rsidR="00E57567" w:rsidRDefault="00082A9D">
            <w:pPr>
              <w:jc w:val="center"/>
            </w:pPr>
            <w:r>
              <w:rPr>
                <w:color w:val="000000"/>
                <w:kern w:val="0"/>
                <w:sz w:val="24"/>
                <w:szCs w:val="24"/>
              </w:rPr>
              <w:t>格力电器</w:t>
            </w:r>
          </w:p>
        </w:tc>
        <w:tc>
          <w:tcPr>
            <w:tcW w:w="0" w:type="auto"/>
            <w:vAlign w:val="center"/>
          </w:tcPr>
          <w:p w:rsidR="00E57567" w:rsidRDefault="00082A9D">
            <w:pPr>
              <w:jc w:val="right"/>
            </w:pPr>
            <w:r>
              <w:rPr>
                <w:color w:val="000000"/>
                <w:kern w:val="0"/>
                <w:sz w:val="24"/>
                <w:szCs w:val="24"/>
              </w:rPr>
              <w:t>4,395,343</w:t>
            </w:r>
          </w:p>
        </w:tc>
        <w:tc>
          <w:tcPr>
            <w:tcW w:w="0" w:type="auto"/>
            <w:vAlign w:val="center"/>
          </w:tcPr>
          <w:p w:rsidR="00E57567" w:rsidRDefault="00082A9D">
            <w:pPr>
              <w:jc w:val="right"/>
            </w:pPr>
            <w:r>
              <w:rPr>
                <w:color w:val="000000"/>
                <w:kern w:val="0"/>
                <w:sz w:val="24"/>
                <w:szCs w:val="24"/>
              </w:rPr>
              <w:t>229,436,904.60</w:t>
            </w:r>
          </w:p>
        </w:tc>
        <w:tc>
          <w:tcPr>
            <w:tcW w:w="0" w:type="auto"/>
            <w:vAlign w:val="center"/>
          </w:tcPr>
          <w:p w:rsidR="00E57567" w:rsidRDefault="00082A9D">
            <w:pPr>
              <w:jc w:val="right"/>
            </w:pPr>
            <w:r>
              <w:rPr>
                <w:color w:val="000000"/>
                <w:kern w:val="0"/>
                <w:sz w:val="24"/>
                <w:szCs w:val="24"/>
              </w:rPr>
              <w:t>0.88</w:t>
            </w:r>
          </w:p>
        </w:tc>
      </w:tr>
      <w:tr w:rsidR="00E57567">
        <w:tc>
          <w:tcPr>
            <w:tcW w:w="0" w:type="auto"/>
            <w:vAlign w:val="center"/>
          </w:tcPr>
          <w:p w:rsidR="00E57567" w:rsidRDefault="00082A9D">
            <w:pPr>
              <w:jc w:val="center"/>
            </w:pPr>
            <w:r>
              <w:rPr>
                <w:color w:val="000000"/>
                <w:kern w:val="0"/>
                <w:sz w:val="24"/>
                <w:szCs w:val="24"/>
              </w:rPr>
              <w:t>6</w:t>
            </w:r>
          </w:p>
        </w:tc>
        <w:tc>
          <w:tcPr>
            <w:tcW w:w="0" w:type="auto"/>
            <w:vAlign w:val="center"/>
          </w:tcPr>
          <w:p w:rsidR="00E57567" w:rsidRDefault="00082A9D">
            <w:pPr>
              <w:jc w:val="center"/>
            </w:pPr>
            <w:r>
              <w:rPr>
                <w:color w:val="000000"/>
                <w:kern w:val="0"/>
                <w:sz w:val="24"/>
                <w:szCs w:val="24"/>
              </w:rPr>
              <w:t>600519</w:t>
            </w:r>
          </w:p>
        </w:tc>
        <w:tc>
          <w:tcPr>
            <w:tcW w:w="0" w:type="auto"/>
            <w:vAlign w:val="center"/>
          </w:tcPr>
          <w:p w:rsidR="00E57567" w:rsidRDefault="00082A9D">
            <w:pPr>
              <w:jc w:val="center"/>
            </w:pPr>
            <w:r>
              <w:rPr>
                <w:color w:val="000000"/>
                <w:kern w:val="0"/>
                <w:sz w:val="24"/>
                <w:szCs w:val="24"/>
              </w:rPr>
              <w:t>贵州茅台</w:t>
            </w:r>
          </w:p>
        </w:tc>
        <w:tc>
          <w:tcPr>
            <w:tcW w:w="0" w:type="auto"/>
            <w:vAlign w:val="center"/>
          </w:tcPr>
          <w:p w:rsidR="00E57567" w:rsidRDefault="00082A9D">
            <w:pPr>
              <w:jc w:val="right"/>
            </w:pPr>
            <w:r>
              <w:rPr>
                <w:color w:val="000000"/>
                <w:kern w:val="0"/>
                <w:sz w:val="24"/>
                <w:szCs w:val="24"/>
              </w:rPr>
              <w:t>183,538</w:t>
            </w:r>
          </w:p>
        </w:tc>
        <w:tc>
          <w:tcPr>
            <w:tcW w:w="0" w:type="auto"/>
            <w:vAlign w:val="center"/>
          </w:tcPr>
          <w:p w:rsidR="00E57567" w:rsidRDefault="00082A9D">
            <w:pPr>
              <w:jc w:val="right"/>
            </w:pPr>
            <w:r>
              <w:rPr>
                <w:color w:val="000000"/>
                <w:kern w:val="0"/>
                <w:sz w:val="24"/>
                <w:szCs w:val="24"/>
              </w:rPr>
              <w:t>203,910,718.00</w:t>
            </w:r>
          </w:p>
        </w:tc>
        <w:tc>
          <w:tcPr>
            <w:tcW w:w="0" w:type="auto"/>
            <w:vAlign w:val="center"/>
          </w:tcPr>
          <w:p w:rsidR="00E57567" w:rsidRDefault="00082A9D">
            <w:pPr>
              <w:jc w:val="right"/>
            </w:pPr>
            <w:r>
              <w:rPr>
                <w:color w:val="000000"/>
                <w:kern w:val="0"/>
                <w:sz w:val="24"/>
                <w:szCs w:val="24"/>
              </w:rPr>
              <w:t>0.78</w:t>
            </w:r>
          </w:p>
        </w:tc>
      </w:tr>
      <w:tr w:rsidR="00E57567">
        <w:tc>
          <w:tcPr>
            <w:tcW w:w="0" w:type="auto"/>
            <w:vAlign w:val="center"/>
          </w:tcPr>
          <w:p w:rsidR="00E57567" w:rsidRDefault="00082A9D">
            <w:pPr>
              <w:jc w:val="center"/>
            </w:pPr>
            <w:r>
              <w:rPr>
                <w:color w:val="000000"/>
                <w:kern w:val="0"/>
                <w:sz w:val="24"/>
                <w:szCs w:val="24"/>
              </w:rPr>
              <w:t>7</w:t>
            </w:r>
          </w:p>
        </w:tc>
        <w:tc>
          <w:tcPr>
            <w:tcW w:w="0" w:type="auto"/>
            <w:vAlign w:val="center"/>
          </w:tcPr>
          <w:p w:rsidR="00E57567" w:rsidRDefault="00082A9D">
            <w:pPr>
              <w:jc w:val="center"/>
            </w:pPr>
            <w:r>
              <w:rPr>
                <w:color w:val="000000"/>
                <w:kern w:val="0"/>
                <w:sz w:val="24"/>
                <w:szCs w:val="24"/>
              </w:rPr>
              <w:t>600887</w:t>
            </w:r>
          </w:p>
        </w:tc>
        <w:tc>
          <w:tcPr>
            <w:tcW w:w="0" w:type="auto"/>
            <w:vAlign w:val="center"/>
          </w:tcPr>
          <w:p w:rsidR="00E57567" w:rsidRDefault="00082A9D">
            <w:pPr>
              <w:jc w:val="center"/>
            </w:pPr>
            <w:r>
              <w:rPr>
                <w:color w:val="000000"/>
                <w:kern w:val="0"/>
                <w:sz w:val="24"/>
                <w:szCs w:val="24"/>
              </w:rPr>
              <w:t>伊利股份</w:t>
            </w:r>
          </w:p>
        </w:tc>
        <w:tc>
          <w:tcPr>
            <w:tcW w:w="0" w:type="auto"/>
            <w:vAlign w:val="center"/>
          </w:tcPr>
          <w:p w:rsidR="00E57567" w:rsidRDefault="00082A9D">
            <w:pPr>
              <w:jc w:val="right"/>
            </w:pPr>
            <w:r>
              <w:rPr>
                <w:color w:val="000000"/>
                <w:kern w:val="0"/>
                <w:sz w:val="24"/>
                <w:szCs w:val="24"/>
              </w:rPr>
              <w:t>6,479,994</w:t>
            </w:r>
          </w:p>
        </w:tc>
        <w:tc>
          <w:tcPr>
            <w:tcW w:w="0" w:type="auto"/>
            <w:vAlign w:val="center"/>
          </w:tcPr>
          <w:p w:rsidR="00E57567" w:rsidRDefault="00082A9D">
            <w:pPr>
              <w:jc w:val="right"/>
            </w:pPr>
            <w:r>
              <w:rPr>
                <w:color w:val="000000"/>
                <w:kern w:val="0"/>
                <w:sz w:val="24"/>
                <w:szCs w:val="24"/>
              </w:rPr>
              <w:t>193,492,620.84</w:t>
            </w:r>
          </w:p>
        </w:tc>
        <w:tc>
          <w:tcPr>
            <w:tcW w:w="0" w:type="auto"/>
            <w:vAlign w:val="center"/>
          </w:tcPr>
          <w:p w:rsidR="00E57567" w:rsidRDefault="00082A9D">
            <w:pPr>
              <w:jc w:val="right"/>
            </w:pPr>
            <w:r>
              <w:rPr>
                <w:color w:val="000000"/>
                <w:kern w:val="0"/>
                <w:sz w:val="24"/>
                <w:szCs w:val="24"/>
              </w:rPr>
              <w:t>0.74</w:t>
            </w:r>
          </w:p>
        </w:tc>
      </w:tr>
      <w:tr w:rsidR="00E57567">
        <w:tc>
          <w:tcPr>
            <w:tcW w:w="0" w:type="auto"/>
            <w:vAlign w:val="center"/>
          </w:tcPr>
          <w:p w:rsidR="00E57567" w:rsidRDefault="00082A9D">
            <w:pPr>
              <w:jc w:val="center"/>
            </w:pPr>
            <w:r>
              <w:rPr>
                <w:color w:val="000000"/>
                <w:kern w:val="0"/>
                <w:sz w:val="24"/>
                <w:szCs w:val="24"/>
              </w:rPr>
              <w:t>8</w:t>
            </w:r>
          </w:p>
        </w:tc>
        <w:tc>
          <w:tcPr>
            <w:tcW w:w="0" w:type="auto"/>
            <w:vAlign w:val="center"/>
          </w:tcPr>
          <w:p w:rsidR="00E57567" w:rsidRDefault="00082A9D">
            <w:pPr>
              <w:jc w:val="center"/>
            </w:pPr>
            <w:r>
              <w:rPr>
                <w:color w:val="000000"/>
                <w:kern w:val="0"/>
                <w:sz w:val="24"/>
                <w:szCs w:val="24"/>
              </w:rPr>
              <w:t>001914</w:t>
            </w:r>
          </w:p>
        </w:tc>
        <w:tc>
          <w:tcPr>
            <w:tcW w:w="0" w:type="auto"/>
            <w:vAlign w:val="center"/>
          </w:tcPr>
          <w:p w:rsidR="00E57567" w:rsidRDefault="00082A9D">
            <w:pPr>
              <w:jc w:val="center"/>
            </w:pPr>
            <w:r>
              <w:rPr>
                <w:color w:val="000000"/>
                <w:kern w:val="0"/>
                <w:sz w:val="24"/>
                <w:szCs w:val="24"/>
              </w:rPr>
              <w:t>招商积余</w:t>
            </w:r>
          </w:p>
        </w:tc>
        <w:tc>
          <w:tcPr>
            <w:tcW w:w="0" w:type="auto"/>
            <w:vAlign w:val="center"/>
          </w:tcPr>
          <w:p w:rsidR="00E57567" w:rsidRDefault="00082A9D">
            <w:pPr>
              <w:jc w:val="right"/>
            </w:pPr>
            <w:r>
              <w:rPr>
                <w:color w:val="000000"/>
                <w:kern w:val="0"/>
                <w:sz w:val="24"/>
                <w:szCs w:val="24"/>
              </w:rPr>
              <w:t>7,871,277</w:t>
            </w:r>
          </w:p>
        </w:tc>
        <w:tc>
          <w:tcPr>
            <w:tcW w:w="0" w:type="auto"/>
            <w:vAlign w:val="center"/>
          </w:tcPr>
          <w:p w:rsidR="00E57567" w:rsidRDefault="00082A9D">
            <w:pPr>
              <w:jc w:val="right"/>
            </w:pPr>
            <w:r>
              <w:rPr>
                <w:color w:val="000000"/>
                <w:kern w:val="0"/>
                <w:sz w:val="24"/>
                <w:szCs w:val="24"/>
              </w:rPr>
              <w:t>185,683,424.43</w:t>
            </w:r>
          </w:p>
        </w:tc>
        <w:tc>
          <w:tcPr>
            <w:tcW w:w="0" w:type="auto"/>
            <w:vAlign w:val="center"/>
          </w:tcPr>
          <w:p w:rsidR="00E57567" w:rsidRDefault="00082A9D">
            <w:pPr>
              <w:jc w:val="right"/>
            </w:pPr>
            <w:r>
              <w:rPr>
                <w:color w:val="000000"/>
                <w:kern w:val="0"/>
                <w:sz w:val="24"/>
                <w:szCs w:val="24"/>
              </w:rPr>
              <w:t>0.71</w:t>
            </w:r>
          </w:p>
        </w:tc>
      </w:tr>
      <w:tr w:rsidR="00E57567">
        <w:tc>
          <w:tcPr>
            <w:tcW w:w="0" w:type="auto"/>
            <w:vAlign w:val="center"/>
          </w:tcPr>
          <w:p w:rsidR="00E57567" w:rsidRDefault="00082A9D">
            <w:pPr>
              <w:jc w:val="center"/>
            </w:pPr>
            <w:r>
              <w:rPr>
                <w:color w:val="000000"/>
                <w:kern w:val="0"/>
                <w:sz w:val="24"/>
                <w:szCs w:val="24"/>
              </w:rPr>
              <w:t>9</w:t>
            </w:r>
          </w:p>
        </w:tc>
        <w:tc>
          <w:tcPr>
            <w:tcW w:w="0" w:type="auto"/>
            <w:vAlign w:val="center"/>
          </w:tcPr>
          <w:p w:rsidR="00E57567" w:rsidRDefault="00082A9D">
            <w:pPr>
              <w:jc w:val="center"/>
            </w:pPr>
            <w:r>
              <w:rPr>
                <w:color w:val="000000"/>
                <w:kern w:val="0"/>
                <w:sz w:val="24"/>
                <w:szCs w:val="24"/>
              </w:rPr>
              <w:t>600048</w:t>
            </w:r>
          </w:p>
        </w:tc>
        <w:tc>
          <w:tcPr>
            <w:tcW w:w="0" w:type="auto"/>
            <w:vAlign w:val="center"/>
          </w:tcPr>
          <w:p w:rsidR="00E57567" w:rsidRDefault="00082A9D">
            <w:pPr>
              <w:jc w:val="center"/>
            </w:pPr>
            <w:r>
              <w:rPr>
                <w:color w:val="000000"/>
                <w:kern w:val="0"/>
                <w:sz w:val="24"/>
                <w:szCs w:val="24"/>
              </w:rPr>
              <w:t>保利地产</w:t>
            </w:r>
          </w:p>
        </w:tc>
        <w:tc>
          <w:tcPr>
            <w:tcW w:w="0" w:type="auto"/>
            <w:vAlign w:val="center"/>
          </w:tcPr>
          <w:p w:rsidR="00E57567" w:rsidRDefault="00082A9D">
            <w:pPr>
              <w:jc w:val="right"/>
            </w:pPr>
            <w:r>
              <w:rPr>
                <w:color w:val="000000"/>
                <w:kern w:val="0"/>
                <w:sz w:val="24"/>
                <w:szCs w:val="24"/>
              </w:rPr>
              <w:t>10,919,200</w:t>
            </w:r>
          </w:p>
        </w:tc>
        <w:tc>
          <w:tcPr>
            <w:tcW w:w="0" w:type="auto"/>
            <w:vAlign w:val="center"/>
          </w:tcPr>
          <w:p w:rsidR="00E57567" w:rsidRDefault="00082A9D">
            <w:pPr>
              <w:jc w:val="right"/>
            </w:pPr>
            <w:r>
              <w:rPr>
                <w:color w:val="000000"/>
                <w:kern w:val="0"/>
                <w:sz w:val="24"/>
                <w:szCs w:val="24"/>
              </w:rPr>
              <w:t>162,368,504.00</w:t>
            </w:r>
          </w:p>
        </w:tc>
        <w:tc>
          <w:tcPr>
            <w:tcW w:w="0" w:type="auto"/>
            <w:vAlign w:val="center"/>
          </w:tcPr>
          <w:p w:rsidR="00E57567" w:rsidRDefault="00082A9D">
            <w:pPr>
              <w:jc w:val="right"/>
            </w:pPr>
            <w:r>
              <w:rPr>
                <w:color w:val="000000"/>
                <w:kern w:val="0"/>
                <w:sz w:val="24"/>
                <w:szCs w:val="24"/>
              </w:rPr>
              <w:t>0.62</w:t>
            </w:r>
          </w:p>
        </w:tc>
      </w:tr>
      <w:tr w:rsidR="00E57567">
        <w:tc>
          <w:tcPr>
            <w:tcW w:w="0" w:type="auto"/>
            <w:vAlign w:val="center"/>
          </w:tcPr>
          <w:p w:rsidR="00E57567" w:rsidRDefault="00082A9D">
            <w:pPr>
              <w:jc w:val="center"/>
            </w:pPr>
            <w:r>
              <w:rPr>
                <w:color w:val="000000"/>
                <w:kern w:val="0"/>
                <w:sz w:val="24"/>
                <w:szCs w:val="24"/>
              </w:rPr>
              <w:t>10</w:t>
            </w:r>
          </w:p>
        </w:tc>
        <w:tc>
          <w:tcPr>
            <w:tcW w:w="0" w:type="auto"/>
            <w:vAlign w:val="center"/>
          </w:tcPr>
          <w:p w:rsidR="00E57567" w:rsidRDefault="00082A9D">
            <w:pPr>
              <w:jc w:val="center"/>
            </w:pPr>
            <w:r>
              <w:rPr>
                <w:color w:val="000000"/>
                <w:kern w:val="0"/>
                <w:sz w:val="24"/>
                <w:szCs w:val="24"/>
              </w:rPr>
              <w:t>600886</w:t>
            </w:r>
          </w:p>
        </w:tc>
        <w:tc>
          <w:tcPr>
            <w:tcW w:w="0" w:type="auto"/>
            <w:vAlign w:val="center"/>
          </w:tcPr>
          <w:p w:rsidR="00E57567" w:rsidRDefault="00082A9D">
            <w:pPr>
              <w:jc w:val="center"/>
            </w:pPr>
            <w:r>
              <w:rPr>
                <w:color w:val="000000"/>
                <w:kern w:val="0"/>
                <w:sz w:val="24"/>
                <w:szCs w:val="24"/>
              </w:rPr>
              <w:t>国投电力</w:t>
            </w:r>
          </w:p>
        </w:tc>
        <w:tc>
          <w:tcPr>
            <w:tcW w:w="0" w:type="auto"/>
            <w:vAlign w:val="center"/>
          </w:tcPr>
          <w:p w:rsidR="00E57567" w:rsidRDefault="00082A9D">
            <w:pPr>
              <w:jc w:val="right"/>
            </w:pPr>
            <w:r>
              <w:rPr>
                <w:color w:val="000000"/>
                <w:kern w:val="0"/>
                <w:sz w:val="24"/>
                <w:szCs w:val="24"/>
              </w:rPr>
              <w:t>19,384,220</w:t>
            </w:r>
          </w:p>
        </w:tc>
        <w:tc>
          <w:tcPr>
            <w:tcW w:w="0" w:type="auto"/>
            <w:vAlign w:val="center"/>
          </w:tcPr>
          <w:p w:rsidR="00E57567" w:rsidRDefault="00082A9D">
            <w:pPr>
              <w:jc w:val="right"/>
            </w:pPr>
            <w:r>
              <w:rPr>
                <w:color w:val="000000"/>
                <w:kern w:val="0"/>
                <w:sz w:val="24"/>
                <w:szCs w:val="24"/>
              </w:rPr>
              <w:t>153,910,706.80</w:t>
            </w:r>
          </w:p>
        </w:tc>
        <w:tc>
          <w:tcPr>
            <w:tcW w:w="0" w:type="auto"/>
            <w:vAlign w:val="center"/>
          </w:tcPr>
          <w:p w:rsidR="00E57567" w:rsidRDefault="00082A9D">
            <w:pPr>
              <w:jc w:val="right"/>
            </w:pPr>
            <w:r>
              <w:rPr>
                <w:color w:val="000000"/>
                <w:kern w:val="0"/>
                <w:sz w:val="24"/>
                <w:szCs w:val="24"/>
              </w:rPr>
              <w:t>0.59</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2,874,343,000.00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10.97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2,874,343,000.00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10.97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2,412,094,900.00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9.20</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3,755,505,000.00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14.33</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10,218,976,000.00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38.99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19,260,918,900.00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73.48</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E57567">
        <w:tc>
          <w:tcPr>
            <w:tcW w:w="0" w:type="auto"/>
            <w:vAlign w:val="center"/>
          </w:tcPr>
          <w:p w:rsidR="00E57567" w:rsidRDefault="00082A9D">
            <w:pPr>
              <w:jc w:val="center"/>
            </w:pPr>
            <w:r>
              <w:rPr>
                <w:color w:val="000000"/>
                <w:kern w:val="0"/>
                <w:sz w:val="24"/>
                <w:szCs w:val="24"/>
              </w:rPr>
              <w:t>1</w:t>
            </w:r>
          </w:p>
        </w:tc>
        <w:tc>
          <w:tcPr>
            <w:tcW w:w="0" w:type="auto"/>
            <w:vAlign w:val="center"/>
          </w:tcPr>
          <w:p w:rsidR="00E57567" w:rsidRDefault="00082A9D">
            <w:pPr>
              <w:jc w:val="center"/>
            </w:pPr>
            <w:r>
              <w:rPr>
                <w:color w:val="000000"/>
                <w:kern w:val="0"/>
                <w:sz w:val="24"/>
                <w:szCs w:val="24"/>
              </w:rPr>
              <w:t>180212</w:t>
            </w:r>
          </w:p>
        </w:tc>
        <w:tc>
          <w:tcPr>
            <w:tcW w:w="0" w:type="auto"/>
            <w:vAlign w:val="center"/>
          </w:tcPr>
          <w:p w:rsidR="00E57567" w:rsidRDefault="00082A9D">
            <w:pPr>
              <w:jc w:val="center"/>
            </w:pPr>
            <w:r>
              <w:rPr>
                <w:color w:val="000000"/>
                <w:kern w:val="0"/>
                <w:sz w:val="24"/>
                <w:szCs w:val="24"/>
              </w:rPr>
              <w:t>18</w:t>
            </w:r>
            <w:r>
              <w:rPr>
                <w:color w:val="000000"/>
                <w:kern w:val="0"/>
                <w:sz w:val="24"/>
                <w:szCs w:val="24"/>
              </w:rPr>
              <w:t>国开</w:t>
            </w:r>
            <w:r>
              <w:rPr>
                <w:color w:val="000000"/>
                <w:kern w:val="0"/>
                <w:sz w:val="24"/>
                <w:szCs w:val="24"/>
              </w:rPr>
              <w:t>12</w:t>
            </w:r>
          </w:p>
        </w:tc>
        <w:tc>
          <w:tcPr>
            <w:tcW w:w="0" w:type="auto"/>
            <w:vAlign w:val="center"/>
          </w:tcPr>
          <w:p w:rsidR="00E57567" w:rsidRDefault="00082A9D">
            <w:pPr>
              <w:jc w:val="right"/>
            </w:pPr>
            <w:r>
              <w:rPr>
                <w:color w:val="000000"/>
                <w:kern w:val="0"/>
                <w:sz w:val="24"/>
                <w:szCs w:val="24"/>
              </w:rPr>
              <w:t>18,600,000</w:t>
            </w:r>
          </w:p>
        </w:tc>
        <w:tc>
          <w:tcPr>
            <w:tcW w:w="0" w:type="auto"/>
            <w:vAlign w:val="center"/>
          </w:tcPr>
          <w:p w:rsidR="00E57567" w:rsidRDefault="00082A9D">
            <w:pPr>
              <w:jc w:val="right"/>
            </w:pPr>
            <w:r>
              <w:rPr>
                <w:color w:val="000000"/>
                <w:kern w:val="0"/>
                <w:sz w:val="24"/>
                <w:szCs w:val="24"/>
              </w:rPr>
              <w:t>1,900,548,000.00</w:t>
            </w:r>
          </w:p>
        </w:tc>
        <w:tc>
          <w:tcPr>
            <w:tcW w:w="0" w:type="auto"/>
            <w:vAlign w:val="center"/>
          </w:tcPr>
          <w:p w:rsidR="00E57567" w:rsidRDefault="00082A9D">
            <w:pPr>
              <w:jc w:val="right"/>
            </w:pPr>
            <w:r>
              <w:rPr>
                <w:color w:val="000000"/>
                <w:kern w:val="0"/>
                <w:sz w:val="24"/>
                <w:szCs w:val="24"/>
              </w:rPr>
              <w:t>7.25</w:t>
            </w:r>
          </w:p>
        </w:tc>
      </w:tr>
      <w:tr w:rsidR="00E57567">
        <w:tc>
          <w:tcPr>
            <w:tcW w:w="0" w:type="auto"/>
            <w:vAlign w:val="center"/>
          </w:tcPr>
          <w:p w:rsidR="00E57567" w:rsidRDefault="00082A9D">
            <w:pPr>
              <w:jc w:val="center"/>
            </w:pPr>
            <w:r>
              <w:rPr>
                <w:color w:val="000000"/>
                <w:kern w:val="0"/>
                <w:sz w:val="24"/>
                <w:szCs w:val="24"/>
              </w:rPr>
              <w:t>2</w:t>
            </w:r>
          </w:p>
        </w:tc>
        <w:tc>
          <w:tcPr>
            <w:tcW w:w="0" w:type="auto"/>
            <w:vAlign w:val="center"/>
          </w:tcPr>
          <w:p w:rsidR="00E57567" w:rsidRDefault="00082A9D">
            <w:pPr>
              <w:jc w:val="center"/>
            </w:pPr>
            <w:r>
              <w:rPr>
                <w:color w:val="000000"/>
                <w:kern w:val="0"/>
                <w:sz w:val="24"/>
                <w:szCs w:val="24"/>
              </w:rPr>
              <w:t>111906140</w:t>
            </w:r>
          </w:p>
        </w:tc>
        <w:tc>
          <w:tcPr>
            <w:tcW w:w="0" w:type="auto"/>
            <w:vAlign w:val="center"/>
          </w:tcPr>
          <w:p w:rsidR="00E57567" w:rsidRDefault="00082A9D">
            <w:pPr>
              <w:jc w:val="center"/>
            </w:pPr>
            <w:r>
              <w:rPr>
                <w:color w:val="000000"/>
                <w:kern w:val="0"/>
                <w:sz w:val="24"/>
                <w:szCs w:val="24"/>
              </w:rPr>
              <w:t>19</w:t>
            </w:r>
            <w:r>
              <w:rPr>
                <w:color w:val="000000"/>
                <w:kern w:val="0"/>
                <w:sz w:val="24"/>
                <w:szCs w:val="24"/>
              </w:rPr>
              <w:t>交通银行</w:t>
            </w:r>
            <w:r>
              <w:rPr>
                <w:color w:val="000000"/>
                <w:kern w:val="0"/>
                <w:sz w:val="24"/>
                <w:szCs w:val="24"/>
              </w:rPr>
              <w:t>CD140</w:t>
            </w:r>
          </w:p>
        </w:tc>
        <w:tc>
          <w:tcPr>
            <w:tcW w:w="0" w:type="auto"/>
            <w:vAlign w:val="center"/>
          </w:tcPr>
          <w:p w:rsidR="00E57567" w:rsidRDefault="00082A9D">
            <w:pPr>
              <w:jc w:val="right"/>
            </w:pPr>
            <w:r>
              <w:rPr>
                <w:color w:val="000000"/>
                <w:kern w:val="0"/>
                <w:sz w:val="24"/>
                <w:szCs w:val="24"/>
              </w:rPr>
              <w:t>10,000,000</w:t>
            </w:r>
          </w:p>
        </w:tc>
        <w:tc>
          <w:tcPr>
            <w:tcW w:w="0" w:type="auto"/>
            <w:vAlign w:val="center"/>
          </w:tcPr>
          <w:p w:rsidR="00E57567" w:rsidRDefault="00082A9D">
            <w:pPr>
              <w:jc w:val="right"/>
            </w:pPr>
            <w:r>
              <w:rPr>
                <w:color w:val="000000"/>
                <w:kern w:val="0"/>
                <w:sz w:val="24"/>
                <w:szCs w:val="24"/>
              </w:rPr>
              <w:t>970,600,000.00</w:t>
            </w:r>
          </w:p>
        </w:tc>
        <w:tc>
          <w:tcPr>
            <w:tcW w:w="0" w:type="auto"/>
            <w:vAlign w:val="center"/>
          </w:tcPr>
          <w:p w:rsidR="00E57567" w:rsidRDefault="00082A9D">
            <w:pPr>
              <w:jc w:val="right"/>
            </w:pPr>
            <w:r>
              <w:rPr>
                <w:color w:val="000000"/>
                <w:kern w:val="0"/>
                <w:sz w:val="24"/>
                <w:szCs w:val="24"/>
              </w:rPr>
              <w:t>3.70</w:t>
            </w:r>
          </w:p>
        </w:tc>
      </w:tr>
      <w:tr w:rsidR="00E57567">
        <w:tc>
          <w:tcPr>
            <w:tcW w:w="0" w:type="auto"/>
            <w:vAlign w:val="center"/>
          </w:tcPr>
          <w:p w:rsidR="00E57567" w:rsidRDefault="00082A9D">
            <w:pPr>
              <w:jc w:val="center"/>
            </w:pPr>
            <w:r>
              <w:rPr>
                <w:color w:val="000000"/>
                <w:kern w:val="0"/>
                <w:sz w:val="24"/>
                <w:szCs w:val="24"/>
              </w:rPr>
              <w:t>3</w:t>
            </w:r>
          </w:p>
        </w:tc>
        <w:tc>
          <w:tcPr>
            <w:tcW w:w="0" w:type="auto"/>
            <w:vAlign w:val="center"/>
          </w:tcPr>
          <w:p w:rsidR="00E57567" w:rsidRDefault="00082A9D">
            <w:pPr>
              <w:jc w:val="center"/>
            </w:pPr>
            <w:r>
              <w:rPr>
                <w:color w:val="000000"/>
                <w:kern w:val="0"/>
                <w:sz w:val="24"/>
                <w:szCs w:val="24"/>
              </w:rPr>
              <w:t>180409</w:t>
            </w:r>
          </w:p>
        </w:tc>
        <w:tc>
          <w:tcPr>
            <w:tcW w:w="0" w:type="auto"/>
            <w:vAlign w:val="center"/>
          </w:tcPr>
          <w:p w:rsidR="00E57567" w:rsidRDefault="00082A9D">
            <w:pPr>
              <w:jc w:val="center"/>
            </w:pPr>
            <w:r>
              <w:rPr>
                <w:color w:val="000000"/>
                <w:kern w:val="0"/>
                <w:sz w:val="24"/>
                <w:szCs w:val="24"/>
              </w:rPr>
              <w:t>18</w:t>
            </w:r>
            <w:r>
              <w:rPr>
                <w:color w:val="000000"/>
                <w:kern w:val="0"/>
                <w:sz w:val="24"/>
                <w:szCs w:val="24"/>
              </w:rPr>
              <w:t>农发</w:t>
            </w:r>
            <w:r>
              <w:rPr>
                <w:color w:val="000000"/>
                <w:kern w:val="0"/>
                <w:sz w:val="24"/>
                <w:szCs w:val="24"/>
              </w:rPr>
              <w:t>09</w:t>
            </w:r>
          </w:p>
        </w:tc>
        <w:tc>
          <w:tcPr>
            <w:tcW w:w="0" w:type="auto"/>
            <w:vAlign w:val="center"/>
          </w:tcPr>
          <w:p w:rsidR="00E57567" w:rsidRDefault="00082A9D">
            <w:pPr>
              <w:jc w:val="right"/>
            </w:pPr>
            <w:r>
              <w:rPr>
                <w:color w:val="000000"/>
                <w:kern w:val="0"/>
                <w:sz w:val="24"/>
                <w:szCs w:val="24"/>
              </w:rPr>
              <w:t>8,500,000</w:t>
            </w:r>
          </w:p>
        </w:tc>
        <w:tc>
          <w:tcPr>
            <w:tcW w:w="0" w:type="auto"/>
            <w:vAlign w:val="center"/>
          </w:tcPr>
          <w:p w:rsidR="00E57567" w:rsidRDefault="00082A9D">
            <w:pPr>
              <w:jc w:val="right"/>
            </w:pPr>
            <w:r>
              <w:rPr>
                <w:color w:val="000000"/>
                <w:kern w:val="0"/>
                <w:sz w:val="24"/>
                <w:szCs w:val="24"/>
              </w:rPr>
              <w:t>871,505,000.00</w:t>
            </w:r>
          </w:p>
        </w:tc>
        <w:tc>
          <w:tcPr>
            <w:tcW w:w="0" w:type="auto"/>
            <w:vAlign w:val="center"/>
          </w:tcPr>
          <w:p w:rsidR="00E57567" w:rsidRDefault="00082A9D">
            <w:pPr>
              <w:jc w:val="right"/>
            </w:pPr>
            <w:r>
              <w:rPr>
                <w:color w:val="000000"/>
                <w:kern w:val="0"/>
                <w:sz w:val="24"/>
                <w:szCs w:val="24"/>
              </w:rPr>
              <w:t>3.32</w:t>
            </w:r>
          </w:p>
        </w:tc>
      </w:tr>
      <w:tr w:rsidR="00E57567">
        <w:tc>
          <w:tcPr>
            <w:tcW w:w="0" w:type="auto"/>
            <w:vAlign w:val="center"/>
          </w:tcPr>
          <w:p w:rsidR="00E57567" w:rsidRDefault="00082A9D">
            <w:pPr>
              <w:jc w:val="center"/>
            </w:pPr>
            <w:r>
              <w:rPr>
                <w:color w:val="000000"/>
                <w:kern w:val="0"/>
                <w:sz w:val="24"/>
                <w:szCs w:val="24"/>
              </w:rPr>
              <w:t>4</w:t>
            </w:r>
          </w:p>
        </w:tc>
        <w:tc>
          <w:tcPr>
            <w:tcW w:w="0" w:type="auto"/>
            <w:vAlign w:val="center"/>
          </w:tcPr>
          <w:p w:rsidR="00E57567" w:rsidRDefault="00082A9D">
            <w:pPr>
              <w:jc w:val="center"/>
            </w:pPr>
            <w:r>
              <w:rPr>
                <w:color w:val="000000"/>
                <w:kern w:val="0"/>
                <w:sz w:val="24"/>
                <w:szCs w:val="24"/>
              </w:rPr>
              <w:t>111917054</w:t>
            </w:r>
          </w:p>
        </w:tc>
        <w:tc>
          <w:tcPr>
            <w:tcW w:w="0" w:type="auto"/>
            <w:vAlign w:val="center"/>
          </w:tcPr>
          <w:p w:rsidR="00E57567" w:rsidRDefault="00082A9D">
            <w:pPr>
              <w:jc w:val="center"/>
            </w:pPr>
            <w:r>
              <w:rPr>
                <w:color w:val="000000"/>
                <w:kern w:val="0"/>
                <w:sz w:val="24"/>
                <w:szCs w:val="24"/>
              </w:rPr>
              <w:t>19</w:t>
            </w:r>
            <w:r>
              <w:rPr>
                <w:color w:val="000000"/>
                <w:kern w:val="0"/>
                <w:sz w:val="24"/>
                <w:szCs w:val="24"/>
              </w:rPr>
              <w:t>光大银行</w:t>
            </w:r>
            <w:r>
              <w:rPr>
                <w:color w:val="000000"/>
                <w:kern w:val="0"/>
                <w:sz w:val="24"/>
                <w:szCs w:val="24"/>
              </w:rPr>
              <w:t>CD054</w:t>
            </w:r>
          </w:p>
        </w:tc>
        <w:tc>
          <w:tcPr>
            <w:tcW w:w="0" w:type="auto"/>
            <w:vAlign w:val="center"/>
          </w:tcPr>
          <w:p w:rsidR="00E57567" w:rsidRDefault="00082A9D">
            <w:pPr>
              <w:jc w:val="right"/>
            </w:pPr>
            <w:r>
              <w:rPr>
                <w:color w:val="000000"/>
                <w:kern w:val="0"/>
                <w:sz w:val="24"/>
                <w:szCs w:val="24"/>
              </w:rPr>
              <w:t>8,000,000</w:t>
            </w:r>
          </w:p>
        </w:tc>
        <w:tc>
          <w:tcPr>
            <w:tcW w:w="0" w:type="auto"/>
            <w:vAlign w:val="center"/>
          </w:tcPr>
          <w:p w:rsidR="00E57567" w:rsidRDefault="00082A9D">
            <w:pPr>
              <w:jc w:val="right"/>
            </w:pPr>
            <w:r>
              <w:rPr>
                <w:color w:val="000000"/>
                <w:kern w:val="0"/>
                <w:sz w:val="24"/>
                <w:szCs w:val="24"/>
              </w:rPr>
              <w:t>778,960,000.00</w:t>
            </w:r>
          </w:p>
        </w:tc>
        <w:tc>
          <w:tcPr>
            <w:tcW w:w="0" w:type="auto"/>
            <w:vAlign w:val="center"/>
          </w:tcPr>
          <w:p w:rsidR="00E57567" w:rsidRDefault="00082A9D">
            <w:pPr>
              <w:jc w:val="right"/>
            </w:pPr>
            <w:r>
              <w:rPr>
                <w:color w:val="000000"/>
                <w:kern w:val="0"/>
                <w:sz w:val="24"/>
                <w:szCs w:val="24"/>
              </w:rPr>
              <w:t>2.97</w:t>
            </w:r>
          </w:p>
        </w:tc>
      </w:tr>
      <w:tr w:rsidR="00E57567">
        <w:tc>
          <w:tcPr>
            <w:tcW w:w="0" w:type="auto"/>
            <w:vAlign w:val="center"/>
          </w:tcPr>
          <w:p w:rsidR="00E57567" w:rsidRDefault="00082A9D">
            <w:pPr>
              <w:jc w:val="center"/>
            </w:pPr>
            <w:r>
              <w:rPr>
                <w:color w:val="000000"/>
                <w:kern w:val="0"/>
                <w:sz w:val="24"/>
                <w:szCs w:val="24"/>
              </w:rPr>
              <w:t>4</w:t>
            </w:r>
          </w:p>
        </w:tc>
        <w:tc>
          <w:tcPr>
            <w:tcW w:w="0" w:type="auto"/>
            <w:vAlign w:val="center"/>
          </w:tcPr>
          <w:p w:rsidR="00E57567" w:rsidRDefault="00082A9D">
            <w:pPr>
              <w:jc w:val="center"/>
            </w:pPr>
            <w:r>
              <w:rPr>
                <w:color w:val="000000"/>
                <w:kern w:val="0"/>
                <w:sz w:val="24"/>
                <w:szCs w:val="24"/>
              </w:rPr>
              <w:t>111918250</w:t>
            </w:r>
          </w:p>
        </w:tc>
        <w:tc>
          <w:tcPr>
            <w:tcW w:w="0" w:type="auto"/>
            <w:vAlign w:val="center"/>
          </w:tcPr>
          <w:p w:rsidR="00E57567" w:rsidRDefault="00082A9D">
            <w:pPr>
              <w:jc w:val="center"/>
            </w:pPr>
            <w:r>
              <w:rPr>
                <w:color w:val="000000"/>
                <w:kern w:val="0"/>
                <w:sz w:val="24"/>
                <w:szCs w:val="24"/>
              </w:rPr>
              <w:t>19</w:t>
            </w:r>
            <w:r>
              <w:rPr>
                <w:color w:val="000000"/>
                <w:kern w:val="0"/>
                <w:sz w:val="24"/>
                <w:szCs w:val="24"/>
              </w:rPr>
              <w:t>华夏银行</w:t>
            </w:r>
            <w:r>
              <w:rPr>
                <w:color w:val="000000"/>
                <w:kern w:val="0"/>
                <w:sz w:val="24"/>
                <w:szCs w:val="24"/>
              </w:rPr>
              <w:t>CD250</w:t>
            </w:r>
          </w:p>
        </w:tc>
        <w:tc>
          <w:tcPr>
            <w:tcW w:w="0" w:type="auto"/>
            <w:vAlign w:val="center"/>
          </w:tcPr>
          <w:p w:rsidR="00E57567" w:rsidRDefault="00082A9D">
            <w:pPr>
              <w:jc w:val="right"/>
            </w:pPr>
            <w:r>
              <w:rPr>
                <w:color w:val="000000"/>
                <w:kern w:val="0"/>
                <w:sz w:val="24"/>
                <w:szCs w:val="24"/>
              </w:rPr>
              <w:t>8,000,000</w:t>
            </w:r>
          </w:p>
        </w:tc>
        <w:tc>
          <w:tcPr>
            <w:tcW w:w="0" w:type="auto"/>
            <w:vAlign w:val="center"/>
          </w:tcPr>
          <w:p w:rsidR="00E57567" w:rsidRDefault="00082A9D">
            <w:pPr>
              <w:jc w:val="right"/>
            </w:pPr>
            <w:r>
              <w:rPr>
                <w:color w:val="000000"/>
                <w:kern w:val="0"/>
                <w:sz w:val="24"/>
                <w:szCs w:val="24"/>
              </w:rPr>
              <w:t>778,960,000.00</w:t>
            </w:r>
          </w:p>
        </w:tc>
        <w:tc>
          <w:tcPr>
            <w:tcW w:w="0" w:type="auto"/>
            <w:vAlign w:val="center"/>
          </w:tcPr>
          <w:p w:rsidR="00E57567" w:rsidRDefault="00082A9D">
            <w:pPr>
              <w:jc w:val="right"/>
            </w:pPr>
            <w:r>
              <w:rPr>
                <w:color w:val="000000"/>
                <w:kern w:val="0"/>
                <w:sz w:val="24"/>
                <w:szCs w:val="24"/>
              </w:rPr>
              <w:t>2.97</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19交通银行CD140（代码：111906140）是易方达3年封闭运作战略配售灵活配置混合型证券投资基金(LOF) 的前十大持仓证券。2019年7月25日，中国银行保险监督管理委员会上海监管局对交通银行股份有限公司太平洋信用卡中心的如下违法违规行为作出“处以责令改正，并处罚款40万元”的行政处罚决定：2017年6月至10月期间在办理部分客户信用卡业务时未遵守总授信额度管理制度。2019年12月27日，中国银行保险监督管理委员会对交通银行股份有限公司如下违法违规行为作出“罚款150万元”的行政处罚：1、授信审批不审慎；2、总行对分支机构管控不力承担管理责任。</w:t>
      </w:r>
    </w:p>
    <w:p w:rsidR="00E57567" w:rsidRDefault="00082A9D">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CD250</w:t>
      </w:r>
      <w:r>
        <w:rPr>
          <w:rFonts w:ascii="宋体" w:hAnsi="宋体"/>
          <w:color w:val="000000"/>
          <w:sz w:val="24"/>
          <w:szCs w:val="24"/>
        </w:rPr>
        <w:t>（代码：</w:t>
      </w:r>
      <w:r>
        <w:rPr>
          <w:rFonts w:ascii="宋体" w:hAnsi="宋体"/>
          <w:color w:val="000000"/>
          <w:sz w:val="24"/>
          <w:szCs w:val="24"/>
        </w:rPr>
        <w:t>111918250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CD249</w:t>
      </w:r>
      <w:r>
        <w:rPr>
          <w:rFonts w:ascii="宋体" w:hAnsi="宋体"/>
          <w:color w:val="000000"/>
          <w:sz w:val="24"/>
          <w:szCs w:val="24"/>
        </w:rPr>
        <w:t>（代码：</w:t>
      </w:r>
      <w:r>
        <w:rPr>
          <w:rFonts w:ascii="宋体" w:hAnsi="宋体"/>
          <w:color w:val="000000"/>
          <w:sz w:val="24"/>
          <w:szCs w:val="24"/>
        </w:rPr>
        <w:t>111918249</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 xml:space="preserve">(LOF) </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28</w:t>
      </w:r>
      <w:r>
        <w:rPr>
          <w:rFonts w:ascii="宋体" w:hAnsi="宋体"/>
          <w:color w:val="000000"/>
          <w:sz w:val="24"/>
          <w:szCs w:val="24"/>
        </w:rPr>
        <w:t>日，宁波银保监局对华夏银行信用卡中心宁波分中心信用卡业务管理严重不审慎的行为，罚款</w:t>
      </w:r>
      <w:r>
        <w:rPr>
          <w:rFonts w:ascii="宋体" w:hAnsi="宋体"/>
          <w:color w:val="000000"/>
          <w:sz w:val="24"/>
          <w:szCs w:val="24"/>
        </w:rPr>
        <w:t>30</w:t>
      </w:r>
      <w:r>
        <w:rPr>
          <w:rFonts w:ascii="宋体" w:hAnsi="宋体"/>
          <w:color w:val="000000"/>
          <w:sz w:val="24"/>
          <w:szCs w:val="24"/>
        </w:rPr>
        <w:t>万元。</w:t>
      </w:r>
    </w:p>
    <w:p w:rsidR="00E57567" w:rsidRDefault="00082A9D">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浦发银行</w:t>
      </w:r>
      <w:r>
        <w:rPr>
          <w:rFonts w:ascii="宋体" w:hAnsi="宋体"/>
          <w:color w:val="000000"/>
          <w:sz w:val="24"/>
          <w:szCs w:val="24"/>
        </w:rPr>
        <w:t>CD245</w:t>
      </w:r>
      <w:r>
        <w:rPr>
          <w:rFonts w:ascii="宋体" w:hAnsi="宋体"/>
          <w:color w:val="000000"/>
          <w:sz w:val="24"/>
          <w:szCs w:val="24"/>
        </w:rPr>
        <w:t>（代码：</w:t>
      </w:r>
      <w:r>
        <w:rPr>
          <w:rFonts w:ascii="宋体" w:hAnsi="宋体"/>
          <w:color w:val="000000"/>
          <w:sz w:val="24"/>
          <w:szCs w:val="24"/>
        </w:rPr>
        <w:t>111909245</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 xml:space="preserve">(LOF) </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w:t>
      </w:r>
      <w:r>
        <w:rPr>
          <w:rFonts w:ascii="宋体" w:hAnsi="宋体"/>
          <w:color w:val="000000"/>
          <w:sz w:val="24"/>
          <w:szCs w:val="24"/>
        </w:rPr>
        <w:t>24</w:t>
      </w:r>
      <w:r>
        <w:rPr>
          <w:rFonts w:ascii="宋体" w:hAnsi="宋体"/>
          <w:color w:val="000000"/>
          <w:sz w:val="24"/>
          <w:szCs w:val="24"/>
        </w:rPr>
        <w:t>日，中国银</w:t>
      </w:r>
      <w:r>
        <w:rPr>
          <w:rFonts w:ascii="宋体" w:hAnsi="宋体"/>
          <w:color w:val="000000"/>
          <w:sz w:val="24"/>
          <w:szCs w:val="24"/>
        </w:rPr>
        <w:t>行保险监督管理委员会对上海浦东发展银行股份有限公司的如下违法违规行为作出</w:t>
      </w:r>
      <w:r>
        <w:rPr>
          <w:rFonts w:ascii="宋体" w:hAnsi="宋体"/>
          <w:color w:val="000000"/>
          <w:sz w:val="24"/>
          <w:szCs w:val="24"/>
        </w:rPr>
        <w:t>“</w:t>
      </w:r>
      <w:r>
        <w:rPr>
          <w:rFonts w:ascii="宋体" w:hAnsi="宋体"/>
          <w:color w:val="000000"/>
          <w:sz w:val="24"/>
          <w:szCs w:val="24"/>
        </w:rPr>
        <w:t>罚款</w:t>
      </w:r>
      <w:r>
        <w:rPr>
          <w:rFonts w:ascii="宋体" w:hAnsi="宋体"/>
          <w:color w:val="000000"/>
          <w:sz w:val="24"/>
          <w:szCs w:val="24"/>
        </w:rPr>
        <w:t>130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的行政处罚决定：（一）对成都分行授信业务及整改情况严重失察；</w:t>
      </w:r>
      <w:r>
        <w:rPr>
          <w:rFonts w:ascii="宋体" w:hAnsi="宋体"/>
          <w:color w:val="000000"/>
          <w:sz w:val="24"/>
          <w:szCs w:val="24"/>
        </w:rPr>
        <w:t xml:space="preserve"> </w:t>
      </w:r>
      <w:r>
        <w:rPr>
          <w:rFonts w:ascii="宋体" w:hAnsi="宋体"/>
          <w:color w:val="000000"/>
          <w:sz w:val="24"/>
          <w:szCs w:val="24"/>
        </w:rPr>
        <w:t>（二）重大审计发现未向监管部门报告；（三）轮岗制度执行不力。</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8</w:t>
      </w:r>
      <w:r>
        <w:rPr>
          <w:rFonts w:ascii="宋体" w:hAnsi="宋体"/>
          <w:color w:val="000000"/>
          <w:sz w:val="24"/>
          <w:szCs w:val="24"/>
        </w:rPr>
        <w:t>日，中国银行保险监督管理委员会上海监管局对上海浦东发展银行股份有限公司信用卡中心的如下违法违规行为作出</w:t>
      </w:r>
      <w:r>
        <w:rPr>
          <w:rFonts w:ascii="宋体" w:hAnsi="宋体"/>
          <w:color w:val="000000"/>
          <w:sz w:val="24"/>
          <w:szCs w:val="24"/>
        </w:rPr>
        <w:t>“</w:t>
      </w:r>
      <w:r>
        <w:rPr>
          <w:rFonts w:ascii="宋体" w:hAnsi="宋体"/>
          <w:color w:val="000000"/>
          <w:sz w:val="24"/>
          <w:szCs w:val="24"/>
        </w:rPr>
        <w:t>责令改正，并处罚款</w:t>
      </w:r>
      <w:r>
        <w:rPr>
          <w:rFonts w:ascii="宋体" w:hAnsi="宋体"/>
          <w:color w:val="000000"/>
          <w:sz w:val="24"/>
          <w:szCs w:val="24"/>
        </w:rPr>
        <w:t>30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r>
        <w:rPr>
          <w:rFonts w:ascii="宋体" w:hAnsi="宋体"/>
          <w:color w:val="000000"/>
          <w:sz w:val="24"/>
          <w:szCs w:val="24"/>
        </w:rPr>
        <w:t>2015</w:t>
      </w:r>
      <w:r>
        <w:rPr>
          <w:rFonts w:ascii="宋体" w:hAnsi="宋体"/>
          <w:color w:val="000000"/>
          <w:sz w:val="24"/>
          <w:szCs w:val="24"/>
        </w:rPr>
        <w:t>年至</w:t>
      </w:r>
      <w:r>
        <w:rPr>
          <w:rFonts w:ascii="宋体" w:hAnsi="宋体"/>
          <w:color w:val="000000"/>
          <w:sz w:val="24"/>
          <w:szCs w:val="24"/>
        </w:rPr>
        <w:t>2018</w:t>
      </w:r>
      <w:r>
        <w:rPr>
          <w:rFonts w:ascii="宋体" w:hAnsi="宋体"/>
          <w:color w:val="000000"/>
          <w:sz w:val="24"/>
          <w:szCs w:val="24"/>
        </w:rPr>
        <w:t>年</w:t>
      </w:r>
      <w:r>
        <w:rPr>
          <w:rFonts w:ascii="宋体" w:hAnsi="宋体"/>
          <w:color w:val="000000"/>
          <w:sz w:val="24"/>
          <w:szCs w:val="24"/>
        </w:rPr>
        <w:t>6</w:t>
      </w:r>
      <w:r>
        <w:rPr>
          <w:rFonts w:ascii="宋体" w:hAnsi="宋体"/>
          <w:color w:val="000000"/>
          <w:sz w:val="24"/>
          <w:szCs w:val="24"/>
        </w:rPr>
        <w:t>月，该中心在为部分客户办理信用卡业务时，对申请人收入核定严重不审慎。</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12</w:t>
      </w:r>
      <w:r>
        <w:rPr>
          <w:rFonts w:ascii="宋体" w:hAnsi="宋体"/>
          <w:color w:val="000000"/>
          <w:sz w:val="24"/>
          <w:szCs w:val="24"/>
        </w:rPr>
        <w:t>月</w:t>
      </w:r>
      <w:r>
        <w:rPr>
          <w:rFonts w:ascii="宋体" w:hAnsi="宋体"/>
          <w:color w:val="000000"/>
          <w:sz w:val="24"/>
          <w:szCs w:val="24"/>
        </w:rPr>
        <w:t>3</w:t>
      </w:r>
      <w:r>
        <w:rPr>
          <w:rFonts w:ascii="宋体" w:hAnsi="宋体"/>
          <w:color w:val="000000"/>
          <w:sz w:val="24"/>
          <w:szCs w:val="24"/>
        </w:rPr>
        <w:t>日中国银行保险监督管理委员</w:t>
      </w:r>
      <w:r>
        <w:rPr>
          <w:rFonts w:ascii="宋体" w:hAnsi="宋体"/>
          <w:color w:val="000000"/>
          <w:sz w:val="24"/>
          <w:szCs w:val="24"/>
        </w:rPr>
        <w:t>会上海监管局对上海浦东发展银行股份有限公司信用卡中心</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w:t>
      </w:r>
      <w:r>
        <w:rPr>
          <w:rFonts w:ascii="宋体" w:hAnsi="宋体"/>
          <w:color w:val="000000"/>
          <w:sz w:val="24"/>
          <w:szCs w:val="24"/>
        </w:rPr>
        <w:t>月信用卡催收外包管理严重违反审慎经营规则的违法违规事实，作出</w:t>
      </w:r>
      <w:r>
        <w:rPr>
          <w:rFonts w:ascii="宋体" w:hAnsi="宋体"/>
          <w:color w:val="000000"/>
          <w:sz w:val="24"/>
          <w:szCs w:val="24"/>
        </w:rPr>
        <w:t>“</w:t>
      </w:r>
      <w:r>
        <w:rPr>
          <w:rFonts w:ascii="宋体" w:hAnsi="宋体"/>
          <w:color w:val="000000"/>
          <w:sz w:val="24"/>
          <w:szCs w:val="24"/>
        </w:rPr>
        <w:t>责令改正，并处罚款</w:t>
      </w:r>
      <w:r>
        <w:rPr>
          <w:rFonts w:ascii="宋体" w:hAnsi="宋体"/>
          <w:color w:val="000000"/>
          <w:sz w:val="24"/>
          <w:szCs w:val="24"/>
        </w:rPr>
        <w:t>50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p>
    <w:p w:rsidR="00E57567" w:rsidRDefault="00082A9D">
      <w:pPr>
        <w:spacing w:line="360" w:lineRule="auto"/>
        <w:rPr>
          <w:rFonts w:ascii="宋体" w:hAnsi="宋体"/>
          <w:color w:val="000000"/>
          <w:sz w:val="24"/>
          <w:szCs w:val="24"/>
        </w:rPr>
      </w:pPr>
      <w:r>
        <w:rPr>
          <w:rFonts w:ascii="宋体" w:hAnsi="宋体"/>
          <w:color w:val="000000"/>
          <w:sz w:val="24"/>
          <w:szCs w:val="24"/>
        </w:rPr>
        <w:t>邮储银行（代码：</w:t>
      </w:r>
      <w:r>
        <w:rPr>
          <w:rFonts w:ascii="宋体" w:hAnsi="宋体"/>
          <w:color w:val="000000"/>
          <w:sz w:val="24"/>
          <w:szCs w:val="24"/>
        </w:rPr>
        <w:t>601658</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(LOF)</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7</w:t>
      </w:r>
      <w:r>
        <w:rPr>
          <w:rFonts w:ascii="宋体" w:hAnsi="宋体"/>
          <w:color w:val="000000"/>
          <w:sz w:val="24"/>
          <w:szCs w:val="24"/>
        </w:rPr>
        <w:t>月</w:t>
      </w:r>
      <w:r>
        <w:rPr>
          <w:rFonts w:ascii="宋体" w:hAnsi="宋体"/>
          <w:color w:val="000000"/>
          <w:sz w:val="24"/>
          <w:szCs w:val="24"/>
        </w:rPr>
        <w:t>3</w:t>
      </w:r>
      <w:r>
        <w:rPr>
          <w:rFonts w:ascii="宋体" w:hAnsi="宋体"/>
          <w:color w:val="000000"/>
          <w:sz w:val="24"/>
          <w:szCs w:val="24"/>
        </w:rPr>
        <w:t>日，中国银行保险监督管理委员会对中国邮政储蓄银行股份有限公司的如下违法违规行为作出罚款</w:t>
      </w:r>
      <w:r>
        <w:rPr>
          <w:rFonts w:ascii="宋体" w:hAnsi="宋体"/>
          <w:color w:val="000000"/>
          <w:sz w:val="24"/>
          <w:szCs w:val="24"/>
        </w:rPr>
        <w:t>140</w:t>
      </w:r>
      <w:r>
        <w:rPr>
          <w:rFonts w:ascii="宋体" w:hAnsi="宋体"/>
          <w:color w:val="000000"/>
          <w:sz w:val="24"/>
          <w:szCs w:val="24"/>
        </w:rPr>
        <w:t>万元的决定：</w:t>
      </w:r>
      <w:r>
        <w:rPr>
          <w:rFonts w:ascii="宋体" w:hAnsi="宋体"/>
          <w:color w:val="000000"/>
          <w:sz w:val="24"/>
          <w:szCs w:val="24"/>
        </w:rPr>
        <w:t>1</w:t>
      </w:r>
      <w:r>
        <w:rPr>
          <w:rFonts w:ascii="宋体" w:hAnsi="宋体"/>
          <w:color w:val="000000"/>
          <w:sz w:val="24"/>
          <w:szCs w:val="24"/>
        </w:rPr>
        <w:t>、未按要求对代理营业机构进行考核；</w:t>
      </w:r>
      <w:r>
        <w:rPr>
          <w:rFonts w:ascii="宋体" w:hAnsi="宋体"/>
          <w:color w:val="000000"/>
          <w:sz w:val="24"/>
          <w:szCs w:val="24"/>
        </w:rPr>
        <w:t>2</w:t>
      </w:r>
      <w:r>
        <w:rPr>
          <w:rFonts w:ascii="宋体" w:hAnsi="宋体"/>
          <w:color w:val="000000"/>
          <w:sz w:val="24"/>
          <w:szCs w:val="24"/>
        </w:rPr>
        <w:t>、劳务派遣工违规担任综合柜员；</w:t>
      </w:r>
      <w:r>
        <w:rPr>
          <w:rFonts w:ascii="宋体" w:hAnsi="宋体"/>
          <w:color w:val="000000"/>
          <w:sz w:val="24"/>
          <w:szCs w:val="24"/>
        </w:rPr>
        <w:t>3</w:t>
      </w:r>
      <w:r>
        <w:rPr>
          <w:rFonts w:ascii="宋体" w:hAnsi="宋体"/>
          <w:color w:val="000000"/>
          <w:sz w:val="24"/>
          <w:szCs w:val="24"/>
        </w:rPr>
        <w:t>、员工信息管理不到位；</w:t>
      </w:r>
      <w:r>
        <w:rPr>
          <w:rFonts w:ascii="宋体" w:hAnsi="宋体"/>
          <w:color w:val="000000"/>
          <w:sz w:val="24"/>
          <w:szCs w:val="24"/>
        </w:rPr>
        <w:t>4</w:t>
      </w:r>
      <w:r>
        <w:rPr>
          <w:rFonts w:ascii="宋体" w:hAnsi="宋体"/>
          <w:color w:val="000000"/>
          <w:sz w:val="24"/>
          <w:szCs w:val="24"/>
        </w:rPr>
        <w:t>、未按规定开展</w:t>
      </w:r>
      <w:r>
        <w:rPr>
          <w:rFonts w:ascii="宋体" w:hAnsi="宋体"/>
          <w:color w:val="000000"/>
          <w:sz w:val="24"/>
          <w:szCs w:val="24"/>
        </w:rPr>
        <w:t>审计工作。</w:t>
      </w:r>
      <w:r>
        <w:rPr>
          <w:rFonts w:ascii="宋体" w:hAnsi="宋体"/>
          <w:color w:val="000000"/>
          <w:sz w:val="24"/>
          <w:szCs w:val="24"/>
        </w:rPr>
        <w:t>2020</w:t>
      </w:r>
      <w:r>
        <w:rPr>
          <w:rFonts w:ascii="宋体" w:hAnsi="宋体"/>
          <w:color w:val="000000"/>
          <w:sz w:val="24"/>
          <w:szCs w:val="24"/>
        </w:rPr>
        <w:t>年</w:t>
      </w:r>
      <w:r>
        <w:rPr>
          <w:rFonts w:ascii="宋体" w:hAnsi="宋体"/>
          <w:color w:val="000000"/>
          <w:sz w:val="24"/>
          <w:szCs w:val="24"/>
        </w:rPr>
        <w:t>3</w:t>
      </w:r>
      <w:r>
        <w:rPr>
          <w:rFonts w:ascii="宋体" w:hAnsi="宋体"/>
          <w:color w:val="000000"/>
          <w:sz w:val="24"/>
          <w:szCs w:val="24"/>
        </w:rPr>
        <w:t>月</w:t>
      </w:r>
      <w:r>
        <w:rPr>
          <w:rFonts w:ascii="宋体" w:hAnsi="宋体"/>
          <w:color w:val="000000"/>
          <w:sz w:val="24"/>
          <w:szCs w:val="24"/>
        </w:rPr>
        <w:t>9</w:t>
      </w:r>
      <w:r>
        <w:rPr>
          <w:rFonts w:ascii="宋体" w:hAnsi="宋体"/>
          <w:color w:val="000000"/>
          <w:sz w:val="24"/>
          <w:szCs w:val="24"/>
        </w:rPr>
        <w:t>日，中国银行保险监督管理委员会对中国邮政储蓄银行股份有限公司的如下违法违规行为作出罚款</w:t>
      </w:r>
      <w:r>
        <w:rPr>
          <w:rFonts w:ascii="宋体" w:hAnsi="宋体"/>
          <w:color w:val="000000"/>
          <w:sz w:val="24"/>
          <w:szCs w:val="24"/>
        </w:rPr>
        <w:t>50</w:t>
      </w:r>
      <w:r>
        <w:rPr>
          <w:rFonts w:ascii="宋体" w:hAnsi="宋体"/>
          <w:color w:val="000000"/>
          <w:sz w:val="24"/>
          <w:szCs w:val="24"/>
        </w:rPr>
        <w:t>万元的行政处罚决定：可回溯制度执行不到位、可回溯基础管理不到位、未传递或缺失可回溯视频资料、质检不合格业务占比较高。</w:t>
      </w:r>
    </w:p>
    <w:p w:rsidR="00E57567" w:rsidRDefault="00082A9D">
      <w:pPr>
        <w:spacing w:line="360" w:lineRule="auto"/>
        <w:rPr>
          <w:rFonts w:ascii="宋体" w:hAnsi="宋体"/>
          <w:color w:val="000000"/>
          <w:sz w:val="24"/>
          <w:szCs w:val="24"/>
        </w:rPr>
      </w:pPr>
      <w:r>
        <w:rPr>
          <w:rFonts w:ascii="宋体" w:hAnsi="宋体"/>
          <w:color w:val="000000"/>
          <w:sz w:val="24"/>
          <w:szCs w:val="24"/>
        </w:rPr>
        <w:t>19</w:t>
      </w:r>
      <w:r>
        <w:rPr>
          <w:rFonts w:ascii="宋体" w:hAnsi="宋体"/>
          <w:color w:val="000000"/>
          <w:sz w:val="24"/>
          <w:szCs w:val="24"/>
        </w:rPr>
        <w:t>光大银行</w:t>
      </w:r>
      <w:r>
        <w:rPr>
          <w:rFonts w:ascii="宋体" w:hAnsi="宋体"/>
          <w:color w:val="000000"/>
          <w:sz w:val="24"/>
          <w:szCs w:val="24"/>
        </w:rPr>
        <w:t>CD054</w:t>
      </w:r>
      <w:r>
        <w:rPr>
          <w:rFonts w:ascii="宋体" w:hAnsi="宋体"/>
          <w:color w:val="000000"/>
          <w:sz w:val="24"/>
          <w:szCs w:val="24"/>
        </w:rPr>
        <w:t>（代码：</w:t>
      </w:r>
      <w:r>
        <w:rPr>
          <w:rFonts w:ascii="宋体" w:hAnsi="宋体"/>
          <w:color w:val="000000"/>
          <w:sz w:val="24"/>
          <w:szCs w:val="24"/>
        </w:rPr>
        <w:t>111917054</w:t>
      </w:r>
      <w:r>
        <w:rPr>
          <w:rFonts w:ascii="宋体" w:hAnsi="宋体"/>
          <w:color w:val="000000"/>
          <w:sz w:val="24"/>
          <w:szCs w:val="24"/>
        </w:rPr>
        <w:t>）是易方达</w:t>
      </w:r>
      <w:r>
        <w:rPr>
          <w:rFonts w:ascii="宋体" w:hAnsi="宋体"/>
          <w:color w:val="000000"/>
          <w:sz w:val="24"/>
          <w:szCs w:val="24"/>
        </w:rPr>
        <w:t>3</w:t>
      </w:r>
      <w:r>
        <w:rPr>
          <w:rFonts w:ascii="宋体" w:hAnsi="宋体"/>
          <w:color w:val="000000"/>
          <w:sz w:val="24"/>
          <w:szCs w:val="24"/>
        </w:rPr>
        <w:t>年封闭运作战略配售灵活配置混合型证券投资基金</w:t>
      </w:r>
      <w:r>
        <w:rPr>
          <w:rFonts w:ascii="宋体" w:hAnsi="宋体"/>
          <w:color w:val="000000"/>
          <w:sz w:val="24"/>
          <w:szCs w:val="24"/>
        </w:rPr>
        <w:t>(LOF)</w:t>
      </w:r>
      <w:r>
        <w:rPr>
          <w:rFonts w:ascii="宋体" w:hAnsi="宋体"/>
          <w:color w:val="000000"/>
          <w:sz w:val="24"/>
          <w:szCs w:val="24"/>
        </w:rPr>
        <w:t>的前十大持仓证券。</w:t>
      </w:r>
      <w:r>
        <w:rPr>
          <w:rFonts w:ascii="宋体" w:hAnsi="宋体"/>
          <w:color w:val="000000"/>
          <w:sz w:val="24"/>
          <w:szCs w:val="24"/>
        </w:rPr>
        <w:t>2019</w:t>
      </w:r>
      <w:r>
        <w:rPr>
          <w:rFonts w:ascii="宋体" w:hAnsi="宋体"/>
          <w:color w:val="000000"/>
          <w:sz w:val="24"/>
          <w:szCs w:val="24"/>
        </w:rPr>
        <w:t>年</w:t>
      </w:r>
      <w:r>
        <w:rPr>
          <w:rFonts w:ascii="宋体" w:hAnsi="宋体"/>
          <w:color w:val="000000"/>
          <w:sz w:val="24"/>
          <w:szCs w:val="24"/>
        </w:rPr>
        <w:t>12</w:t>
      </w:r>
      <w:r>
        <w:rPr>
          <w:rFonts w:ascii="宋体" w:hAnsi="宋体"/>
          <w:color w:val="000000"/>
          <w:sz w:val="24"/>
          <w:szCs w:val="24"/>
        </w:rPr>
        <w:t>月</w:t>
      </w:r>
      <w:r>
        <w:rPr>
          <w:rFonts w:ascii="宋体" w:hAnsi="宋体"/>
          <w:color w:val="000000"/>
          <w:sz w:val="24"/>
          <w:szCs w:val="24"/>
        </w:rPr>
        <w:t>27</w:t>
      </w:r>
      <w:r>
        <w:rPr>
          <w:rFonts w:ascii="宋体" w:hAnsi="宋体"/>
          <w:color w:val="000000"/>
          <w:sz w:val="24"/>
          <w:szCs w:val="24"/>
        </w:rPr>
        <w:t>日，中国银行保险监督管理委员会对中国光大银行股份有限公司的如下违法违规行为作出</w:t>
      </w:r>
      <w:r>
        <w:rPr>
          <w:rFonts w:ascii="宋体" w:hAnsi="宋体"/>
          <w:color w:val="000000"/>
          <w:sz w:val="24"/>
          <w:szCs w:val="24"/>
        </w:rPr>
        <w:t>“</w:t>
      </w:r>
      <w:r>
        <w:rPr>
          <w:rFonts w:ascii="宋体" w:hAnsi="宋体"/>
          <w:color w:val="000000"/>
          <w:sz w:val="24"/>
          <w:szCs w:val="24"/>
        </w:rPr>
        <w:t>罚款</w:t>
      </w:r>
      <w:r>
        <w:rPr>
          <w:rFonts w:ascii="宋体" w:hAnsi="宋体"/>
          <w:color w:val="000000"/>
          <w:sz w:val="24"/>
          <w:szCs w:val="24"/>
        </w:rPr>
        <w:t>180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r>
        <w:rPr>
          <w:rFonts w:ascii="宋体" w:hAnsi="宋体"/>
          <w:color w:val="000000"/>
          <w:sz w:val="24"/>
          <w:szCs w:val="24"/>
        </w:rPr>
        <w:t>1</w:t>
      </w:r>
      <w:r>
        <w:rPr>
          <w:rFonts w:ascii="宋体" w:hAnsi="宋体"/>
          <w:color w:val="000000"/>
          <w:sz w:val="24"/>
          <w:szCs w:val="24"/>
        </w:rPr>
        <w:t>、授信审批不</w:t>
      </w:r>
      <w:r>
        <w:rPr>
          <w:rFonts w:ascii="宋体" w:hAnsi="宋体"/>
          <w:color w:val="000000"/>
          <w:sz w:val="24"/>
          <w:szCs w:val="24"/>
        </w:rPr>
        <w:t>审慎；</w:t>
      </w:r>
      <w:r>
        <w:rPr>
          <w:rFonts w:ascii="宋体" w:hAnsi="宋体"/>
          <w:color w:val="000000"/>
          <w:sz w:val="24"/>
          <w:szCs w:val="24"/>
        </w:rPr>
        <w:t>2</w:t>
      </w:r>
      <w:r>
        <w:rPr>
          <w:rFonts w:ascii="宋体" w:hAnsi="宋体"/>
          <w:color w:val="000000"/>
          <w:sz w:val="24"/>
          <w:szCs w:val="24"/>
        </w:rPr>
        <w:t>、为还款来源不清晰的项目办理业务；</w:t>
      </w:r>
      <w:r>
        <w:rPr>
          <w:rFonts w:ascii="宋体" w:hAnsi="宋体"/>
          <w:color w:val="000000"/>
          <w:sz w:val="24"/>
          <w:szCs w:val="24"/>
        </w:rPr>
        <w:t>3</w:t>
      </w:r>
      <w:r>
        <w:rPr>
          <w:rFonts w:ascii="宋体" w:hAnsi="宋体"/>
          <w:color w:val="000000"/>
          <w:sz w:val="24"/>
          <w:szCs w:val="24"/>
        </w:rPr>
        <w:t>、总行对分支机构管控不力承担管理责任。</w:t>
      </w:r>
      <w:r>
        <w:rPr>
          <w:rFonts w:ascii="宋体" w:hAnsi="宋体"/>
          <w:color w:val="000000"/>
          <w:sz w:val="24"/>
          <w:szCs w:val="24"/>
        </w:rPr>
        <w:t>2020</w:t>
      </w:r>
      <w:r>
        <w:rPr>
          <w:rFonts w:ascii="宋体" w:hAnsi="宋体"/>
          <w:color w:val="000000"/>
          <w:sz w:val="24"/>
          <w:szCs w:val="24"/>
        </w:rPr>
        <w:t>年</w:t>
      </w:r>
      <w:r>
        <w:rPr>
          <w:rFonts w:ascii="宋体" w:hAnsi="宋体"/>
          <w:color w:val="000000"/>
          <w:sz w:val="24"/>
          <w:szCs w:val="24"/>
        </w:rPr>
        <w:t>2</w:t>
      </w:r>
      <w:r>
        <w:rPr>
          <w:rFonts w:ascii="宋体" w:hAnsi="宋体"/>
          <w:color w:val="000000"/>
          <w:sz w:val="24"/>
          <w:szCs w:val="24"/>
        </w:rPr>
        <w:t>月</w:t>
      </w:r>
      <w:r>
        <w:rPr>
          <w:rFonts w:ascii="宋体" w:hAnsi="宋体"/>
          <w:color w:val="000000"/>
          <w:sz w:val="24"/>
          <w:szCs w:val="24"/>
        </w:rPr>
        <w:t>10</w:t>
      </w:r>
      <w:r>
        <w:rPr>
          <w:rFonts w:ascii="宋体" w:hAnsi="宋体"/>
          <w:color w:val="000000"/>
          <w:sz w:val="24"/>
          <w:szCs w:val="24"/>
        </w:rPr>
        <w:t>日，中国人民银行对中国光大银行股份有限公司的如下违法违规行为作出</w:t>
      </w:r>
      <w:r>
        <w:rPr>
          <w:rFonts w:ascii="宋体" w:hAnsi="宋体"/>
          <w:color w:val="000000"/>
          <w:sz w:val="24"/>
          <w:szCs w:val="24"/>
        </w:rPr>
        <w:t>“</w:t>
      </w:r>
      <w:r>
        <w:rPr>
          <w:rFonts w:ascii="宋体" w:hAnsi="宋体"/>
          <w:color w:val="000000"/>
          <w:sz w:val="24"/>
          <w:szCs w:val="24"/>
        </w:rPr>
        <w:t>罚款</w:t>
      </w:r>
      <w:r>
        <w:rPr>
          <w:rFonts w:ascii="宋体" w:hAnsi="宋体"/>
          <w:color w:val="000000"/>
          <w:sz w:val="24"/>
          <w:szCs w:val="24"/>
        </w:rPr>
        <w:t>1820</w:t>
      </w:r>
      <w:r>
        <w:rPr>
          <w:rFonts w:ascii="宋体" w:hAnsi="宋体"/>
          <w:color w:val="000000"/>
          <w:sz w:val="24"/>
          <w:szCs w:val="24"/>
        </w:rPr>
        <w:t>万元</w:t>
      </w:r>
      <w:r>
        <w:rPr>
          <w:rFonts w:ascii="宋体" w:hAnsi="宋体"/>
          <w:color w:val="000000"/>
          <w:sz w:val="24"/>
          <w:szCs w:val="24"/>
        </w:rPr>
        <w:t>”</w:t>
      </w:r>
      <w:r>
        <w:rPr>
          <w:rFonts w:ascii="宋体" w:hAnsi="宋体"/>
          <w:color w:val="000000"/>
          <w:sz w:val="24"/>
          <w:szCs w:val="24"/>
        </w:rPr>
        <w:t>的行政处罚决定：</w:t>
      </w:r>
      <w:r>
        <w:rPr>
          <w:rFonts w:ascii="宋体" w:hAnsi="宋体"/>
          <w:color w:val="000000"/>
          <w:sz w:val="24"/>
          <w:szCs w:val="24"/>
        </w:rPr>
        <w:t>1.</w:t>
      </w:r>
      <w:r>
        <w:rPr>
          <w:rFonts w:ascii="宋体" w:hAnsi="宋体"/>
          <w:color w:val="000000"/>
          <w:sz w:val="24"/>
          <w:szCs w:val="24"/>
        </w:rPr>
        <w:t>未按规定履行客户身份识别义务；</w:t>
      </w:r>
      <w:r>
        <w:rPr>
          <w:rFonts w:ascii="宋体" w:hAnsi="宋体"/>
          <w:color w:val="000000"/>
          <w:sz w:val="24"/>
          <w:szCs w:val="24"/>
        </w:rPr>
        <w:t>2.</w:t>
      </w:r>
      <w:r>
        <w:rPr>
          <w:rFonts w:ascii="宋体" w:hAnsi="宋体"/>
          <w:color w:val="000000"/>
          <w:sz w:val="24"/>
          <w:szCs w:val="24"/>
        </w:rPr>
        <w:t>未按规定保存客户身份资料和交易记录；</w:t>
      </w:r>
      <w:r>
        <w:rPr>
          <w:rFonts w:ascii="宋体" w:hAnsi="宋体"/>
          <w:color w:val="000000"/>
          <w:sz w:val="24"/>
          <w:szCs w:val="24"/>
        </w:rPr>
        <w:t>3.</w:t>
      </w:r>
      <w:r>
        <w:rPr>
          <w:rFonts w:ascii="宋体" w:hAnsi="宋体"/>
          <w:color w:val="000000"/>
          <w:sz w:val="24"/>
          <w:szCs w:val="24"/>
        </w:rPr>
        <w:t>未按规定报送大额交易报告和可疑交易报告；</w:t>
      </w:r>
      <w:r>
        <w:rPr>
          <w:rFonts w:ascii="宋体" w:hAnsi="宋体"/>
          <w:color w:val="000000"/>
          <w:sz w:val="24"/>
          <w:szCs w:val="24"/>
        </w:rPr>
        <w:t>4.</w:t>
      </w:r>
      <w:r>
        <w:rPr>
          <w:rFonts w:ascii="宋体" w:hAnsi="宋体"/>
          <w:color w:val="000000"/>
          <w:sz w:val="24"/>
          <w:szCs w:val="24"/>
        </w:rPr>
        <w:t>与身份不明的客户进行交易。</w:t>
      </w:r>
    </w:p>
    <w:p w:rsidR="00E57567" w:rsidRDefault="00082A9D">
      <w:pPr>
        <w:spacing w:line="360" w:lineRule="auto"/>
        <w:rPr>
          <w:rFonts w:ascii="宋体" w:hAnsi="宋体"/>
          <w:color w:val="000000"/>
          <w:sz w:val="24"/>
          <w:szCs w:val="24"/>
        </w:rPr>
      </w:pPr>
      <w:r>
        <w:rPr>
          <w:rFonts w:ascii="宋体" w:hAnsi="宋体"/>
          <w:color w:val="000000"/>
          <w:sz w:val="24"/>
          <w:szCs w:val="24"/>
        </w:rPr>
        <w:t>本基金投资</w:t>
      </w:r>
      <w:r>
        <w:rPr>
          <w:rFonts w:ascii="宋体" w:hAnsi="宋体"/>
          <w:color w:val="000000"/>
          <w:sz w:val="24"/>
          <w:szCs w:val="24"/>
        </w:rPr>
        <w:t>19</w:t>
      </w:r>
      <w:r>
        <w:rPr>
          <w:rFonts w:ascii="宋体" w:hAnsi="宋体"/>
          <w:color w:val="000000"/>
          <w:sz w:val="24"/>
          <w:szCs w:val="24"/>
        </w:rPr>
        <w:t>交通银行</w:t>
      </w:r>
      <w:r>
        <w:rPr>
          <w:rFonts w:ascii="宋体" w:hAnsi="宋体"/>
          <w:color w:val="000000"/>
          <w:sz w:val="24"/>
          <w:szCs w:val="24"/>
        </w:rPr>
        <w:t>CD140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CD250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CD249</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浦发银行</w:t>
      </w:r>
      <w:r>
        <w:rPr>
          <w:rFonts w:ascii="宋体" w:hAnsi="宋体"/>
          <w:color w:val="000000"/>
          <w:sz w:val="24"/>
          <w:szCs w:val="24"/>
        </w:rPr>
        <w:t>CD245</w:t>
      </w:r>
      <w:r>
        <w:rPr>
          <w:rFonts w:ascii="宋体" w:hAnsi="宋体"/>
          <w:color w:val="000000"/>
          <w:sz w:val="24"/>
          <w:szCs w:val="24"/>
        </w:rPr>
        <w:t>、邮储银行、</w:t>
      </w:r>
      <w:r>
        <w:rPr>
          <w:rFonts w:ascii="宋体" w:hAnsi="宋体"/>
          <w:color w:val="000000"/>
          <w:sz w:val="24"/>
          <w:szCs w:val="24"/>
        </w:rPr>
        <w:t>19</w:t>
      </w:r>
      <w:r>
        <w:rPr>
          <w:rFonts w:ascii="宋体" w:hAnsi="宋体"/>
          <w:color w:val="000000"/>
          <w:sz w:val="24"/>
          <w:szCs w:val="24"/>
        </w:rPr>
        <w:t>光大银行</w:t>
      </w:r>
      <w:r>
        <w:rPr>
          <w:rFonts w:ascii="宋体" w:hAnsi="宋体"/>
          <w:color w:val="000000"/>
          <w:sz w:val="24"/>
          <w:szCs w:val="24"/>
        </w:rPr>
        <w:t>CD054</w:t>
      </w:r>
      <w:r>
        <w:rPr>
          <w:rFonts w:ascii="宋体" w:hAnsi="宋体"/>
          <w:color w:val="000000"/>
          <w:sz w:val="24"/>
          <w:szCs w:val="24"/>
        </w:rPr>
        <w:t>的投资决策程序符合公司投</w:t>
      </w:r>
      <w:r>
        <w:rPr>
          <w:rFonts w:ascii="宋体" w:hAnsi="宋体"/>
          <w:color w:val="000000"/>
          <w:sz w:val="24"/>
          <w:szCs w:val="24"/>
        </w:rPr>
        <w:t>资制度的规定。</w:t>
      </w:r>
    </w:p>
    <w:p w:rsidR="00E57567" w:rsidRDefault="00082A9D">
      <w:pPr>
        <w:spacing w:line="360" w:lineRule="auto"/>
        <w:rPr>
          <w:rFonts w:ascii="宋体" w:hAnsi="宋体"/>
          <w:color w:val="000000"/>
          <w:sz w:val="24"/>
          <w:szCs w:val="24"/>
        </w:rPr>
      </w:pPr>
      <w:r>
        <w:rPr>
          <w:rFonts w:ascii="宋体" w:hAnsi="宋体"/>
          <w:color w:val="000000"/>
          <w:sz w:val="24"/>
          <w:szCs w:val="24"/>
        </w:rPr>
        <w:t>除</w:t>
      </w:r>
      <w:r>
        <w:rPr>
          <w:rFonts w:ascii="宋体" w:hAnsi="宋体"/>
          <w:color w:val="000000"/>
          <w:sz w:val="24"/>
          <w:szCs w:val="24"/>
        </w:rPr>
        <w:t>19</w:t>
      </w:r>
      <w:r>
        <w:rPr>
          <w:rFonts w:ascii="宋体" w:hAnsi="宋体"/>
          <w:color w:val="000000"/>
          <w:sz w:val="24"/>
          <w:szCs w:val="24"/>
        </w:rPr>
        <w:t>交通银行</w:t>
      </w:r>
      <w:r>
        <w:rPr>
          <w:rFonts w:ascii="宋体" w:hAnsi="宋体"/>
          <w:color w:val="000000"/>
          <w:sz w:val="24"/>
          <w:szCs w:val="24"/>
        </w:rPr>
        <w:t>CD140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CD250</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华夏银行</w:t>
      </w:r>
      <w:r>
        <w:rPr>
          <w:rFonts w:ascii="宋体" w:hAnsi="宋体"/>
          <w:color w:val="000000"/>
          <w:sz w:val="24"/>
          <w:szCs w:val="24"/>
        </w:rPr>
        <w:t>CD249</w:t>
      </w:r>
      <w:r>
        <w:rPr>
          <w:rFonts w:ascii="宋体" w:hAnsi="宋体"/>
          <w:color w:val="000000"/>
          <w:sz w:val="24"/>
          <w:szCs w:val="24"/>
        </w:rPr>
        <w:t>、</w:t>
      </w:r>
      <w:r>
        <w:rPr>
          <w:rFonts w:ascii="宋体" w:hAnsi="宋体"/>
          <w:color w:val="000000"/>
          <w:sz w:val="24"/>
          <w:szCs w:val="24"/>
        </w:rPr>
        <w:t>19</w:t>
      </w:r>
      <w:r>
        <w:rPr>
          <w:rFonts w:ascii="宋体" w:hAnsi="宋体"/>
          <w:color w:val="000000"/>
          <w:sz w:val="24"/>
          <w:szCs w:val="24"/>
        </w:rPr>
        <w:t>浦发银行</w:t>
      </w:r>
      <w:r>
        <w:rPr>
          <w:rFonts w:ascii="宋体" w:hAnsi="宋体"/>
          <w:color w:val="000000"/>
          <w:sz w:val="24"/>
          <w:szCs w:val="24"/>
        </w:rPr>
        <w:t>CD245</w:t>
      </w:r>
      <w:r>
        <w:rPr>
          <w:rFonts w:ascii="宋体" w:hAnsi="宋体"/>
          <w:color w:val="000000"/>
          <w:sz w:val="24"/>
          <w:szCs w:val="24"/>
        </w:rPr>
        <w:t>、邮储银行、</w:t>
      </w:r>
      <w:r>
        <w:rPr>
          <w:rFonts w:ascii="宋体" w:hAnsi="宋体"/>
          <w:color w:val="000000"/>
          <w:sz w:val="24"/>
          <w:szCs w:val="24"/>
        </w:rPr>
        <w:t>19</w:t>
      </w:r>
      <w:r>
        <w:rPr>
          <w:rFonts w:ascii="宋体" w:hAnsi="宋体"/>
          <w:color w:val="000000"/>
          <w:sz w:val="24"/>
          <w:szCs w:val="24"/>
        </w:rPr>
        <w:t>光大银行</w:t>
      </w:r>
      <w:r>
        <w:rPr>
          <w:rFonts w:ascii="宋体" w:hAnsi="宋体"/>
          <w:color w:val="000000"/>
          <w:sz w:val="24"/>
          <w:szCs w:val="24"/>
        </w:rPr>
        <w:t>CD054</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509,699.01</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457,220,425.28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457,730,124.29</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50D48" w:rsidRPr="00264E55" w:rsidTr="00B05049">
        <w:tc>
          <w:tcPr>
            <w:tcW w:w="1083"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302"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股票代码</w:t>
            </w:r>
          </w:p>
        </w:tc>
        <w:tc>
          <w:tcPr>
            <w:tcW w:w="1301"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股票名称</w:t>
            </w:r>
          </w:p>
        </w:tc>
        <w:tc>
          <w:tcPr>
            <w:tcW w:w="180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流通受限部分的公允价值</w:t>
            </w:r>
            <w:r w:rsidR="005F7917" w:rsidRPr="00B227EA">
              <w:rPr>
                <w:color w:val="000000"/>
                <w:kern w:val="0"/>
                <w:sz w:val="24"/>
                <w:szCs w:val="24"/>
              </w:rPr>
              <w:t>（元）</w:t>
            </w:r>
          </w:p>
        </w:tc>
        <w:tc>
          <w:tcPr>
            <w:tcW w:w="1655"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w="1367"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流通受限情况说明</w:t>
            </w:r>
          </w:p>
        </w:tc>
      </w:tr>
      <w:tr w:rsidR="00E57567">
        <w:tc>
          <w:tcPr>
            <w:tcW w:w="0" w:type="auto"/>
            <w:vAlign w:val="center"/>
          </w:tcPr>
          <w:p w:rsidR="00E57567" w:rsidRDefault="00082A9D">
            <w:pPr>
              <w:jc w:val="center"/>
            </w:pPr>
            <w:r>
              <w:rPr>
                <w:color w:val="000000"/>
                <w:kern w:val="0"/>
                <w:sz w:val="24"/>
                <w:szCs w:val="24"/>
              </w:rPr>
              <w:t>1</w:t>
            </w:r>
          </w:p>
        </w:tc>
        <w:tc>
          <w:tcPr>
            <w:tcW w:w="0" w:type="auto"/>
            <w:vAlign w:val="center"/>
          </w:tcPr>
          <w:p w:rsidR="00E57567" w:rsidRDefault="00082A9D">
            <w:pPr>
              <w:jc w:val="center"/>
            </w:pPr>
            <w:r>
              <w:rPr>
                <w:color w:val="000000"/>
                <w:kern w:val="0"/>
                <w:sz w:val="24"/>
                <w:szCs w:val="24"/>
              </w:rPr>
              <w:t>601658</w:t>
            </w:r>
          </w:p>
        </w:tc>
        <w:tc>
          <w:tcPr>
            <w:tcW w:w="0" w:type="auto"/>
            <w:vAlign w:val="center"/>
          </w:tcPr>
          <w:p w:rsidR="00E57567" w:rsidRDefault="00082A9D">
            <w:pPr>
              <w:jc w:val="center"/>
            </w:pPr>
            <w:r>
              <w:rPr>
                <w:color w:val="000000"/>
                <w:kern w:val="0"/>
                <w:sz w:val="24"/>
                <w:szCs w:val="24"/>
              </w:rPr>
              <w:t>邮储银行</w:t>
            </w:r>
          </w:p>
        </w:tc>
        <w:tc>
          <w:tcPr>
            <w:tcW w:w="0" w:type="auto"/>
            <w:vAlign w:val="center"/>
          </w:tcPr>
          <w:p w:rsidR="00E57567" w:rsidRDefault="00082A9D">
            <w:pPr>
              <w:jc w:val="right"/>
            </w:pPr>
            <w:r>
              <w:rPr>
                <w:color w:val="000000"/>
                <w:kern w:val="0"/>
                <w:sz w:val="24"/>
                <w:szCs w:val="24"/>
              </w:rPr>
              <w:t>2,351,145,900.00</w:t>
            </w:r>
          </w:p>
        </w:tc>
        <w:tc>
          <w:tcPr>
            <w:tcW w:w="0" w:type="auto"/>
            <w:vAlign w:val="center"/>
          </w:tcPr>
          <w:p w:rsidR="00E57567" w:rsidRDefault="00082A9D">
            <w:pPr>
              <w:jc w:val="right"/>
            </w:pPr>
            <w:r>
              <w:rPr>
                <w:color w:val="000000"/>
                <w:kern w:val="0"/>
                <w:sz w:val="24"/>
                <w:szCs w:val="24"/>
              </w:rPr>
              <w:t>8.97</w:t>
            </w:r>
          </w:p>
        </w:tc>
        <w:tc>
          <w:tcPr>
            <w:tcW w:w="0" w:type="auto"/>
            <w:vAlign w:val="center"/>
          </w:tcPr>
          <w:p w:rsidR="00E57567" w:rsidRDefault="00082A9D">
            <w:pPr>
              <w:jc w:val="right"/>
            </w:pPr>
            <w:r>
              <w:rPr>
                <w:color w:val="000000"/>
                <w:kern w:val="0"/>
                <w:sz w:val="24"/>
                <w:szCs w:val="24"/>
              </w:rPr>
              <w:t>新股战略配售流通受限</w:t>
            </w:r>
          </w:p>
        </w:tc>
      </w:tr>
      <w:tr w:rsidR="00E57567">
        <w:tc>
          <w:tcPr>
            <w:tcW w:w="0" w:type="auto"/>
            <w:vAlign w:val="center"/>
          </w:tcPr>
          <w:p w:rsidR="00E57567" w:rsidRDefault="00082A9D">
            <w:pPr>
              <w:jc w:val="center"/>
            </w:pPr>
            <w:r>
              <w:rPr>
                <w:color w:val="000000"/>
                <w:kern w:val="0"/>
                <w:sz w:val="24"/>
                <w:szCs w:val="24"/>
              </w:rPr>
              <w:t>2</w:t>
            </w:r>
          </w:p>
        </w:tc>
        <w:tc>
          <w:tcPr>
            <w:tcW w:w="0" w:type="auto"/>
            <w:vAlign w:val="center"/>
          </w:tcPr>
          <w:p w:rsidR="00E57567" w:rsidRDefault="00082A9D">
            <w:pPr>
              <w:jc w:val="center"/>
            </w:pPr>
            <w:r>
              <w:rPr>
                <w:color w:val="000000"/>
                <w:kern w:val="0"/>
                <w:sz w:val="24"/>
                <w:szCs w:val="24"/>
              </w:rPr>
              <w:t>003816</w:t>
            </w:r>
          </w:p>
        </w:tc>
        <w:tc>
          <w:tcPr>
            <w:tcW w:w="0" w:type="auto"/>
            <w:vAlign w:val="center"/>
          </w:tcPr>
          <w:p w:rsidR="00E57567" w:rsidRDefault="00082A9D">
            <w:pPr>
              <w:jc w:val="center"/>
            </w:pPr>
            <w:r>
              <w:rPr>
                <w:color w:val="000000"/>
                <w:kern w:val="0"/>
                <w:sz w:val="24"/>
                <w:szCs w:val="24"/>
              </w:rPr>
              <w:t>中国广核</w:t>
            </w:r>
          </w:p>
        </w:tc>
        <w:tc>
          <w:tcPr>
            <w:tcW w:w="0" w:type="auto"/>
            <w:vAlign w:val="center"/>
          </w:tcPr>
          <w:p w:rsidR="00E57567" w:rsidRDefault="00082A9D">
            <w:pPr>
              <w:jc w:val="right"/>
            </w:pPr>
            <w:r>
              <w:rPr>
                <w:color w:val="000000"/>
                <w:kern w:val="0"/>
                <w:sz w:val="24"/>
                <w:szCs w:val="24"/>
              </w:rPr>
              <w:t>1,555,358,000.00</w:t>
            </w:r>
          </w:p>
        </w:tc>
        <w:tc>
          <w:tcPr>
            <w:tcW w:w="0" w:type="auto"/>
            <w:vAlign w:val="center"/>
          </w:tcPr>
          <w:p w:rsidR="00E57567" w:rsidRDefault="00082A9D">
            <w:pPr>
              <w:jc w:val="right"/>
            </w:pPr>
            <w:r>
              <w:rPr>
                <w:color w:val="000000"/>
                <w:kern w:val="0"/>
                <w:sz w:val="24"/>
                <w:szCs w:val="24"/>
              </w:rPr>
              <w:t>5.93</w:t>
            </w:r>
          </w:p>
        </w:tc>
        <w:tc>
          <w:tcPr>
            <w:tcW w:w="0" w:type="auto"/>
            <w:vAlign w:val="center"/>
          </w:tcPr>
          <w:p w:rsidR="00E57567" w:rsidRDefault="00082A9D">
            <w:pPr>
              <w:jc w:val="right"/>
            </w:pPr>
            <w:r>
              <w:rPr>
                <w:color w:val="000000"/>
                <w:kern w:val="0"/>
                <w:sz w:val="24"/>
                <w:szCs w:val="24"/>
              </w:rPr>
              <w:t>新股战略配售流通受限</w:t>
            </w:r>
          </w:p>
        </w:tc>
      </w:tr>
      <w:tr w:rsidR="00E57567">
        <w:tc>
          <w:tcPr>
            <w:tcW w:w="0" w:type="auto"/>
            <w:vAlign w:val="center"/>
          </w:tcPr>
          <w:p w:rsidR="00E57567" w:rsidRDefault="00082A9D">
            <w:pPr>
              <w:jc w:val="center"/>
            </w:pPr>
            <w:r>
              <w:rPr>
                <w:color w:val="000000"/>
                <w:kern w:val="0"/>
                <w:sz w:val="24"/>
                <w:szCs w:val="24"/>
              </w:rPr>
              <w:t>3</w:t>
            </w:r>
          </w:p>
        </w:tc>
        <w:tc>
          <w:tcPr>
            <w:tcW w:w="0" w:type="auto"/>
            <w:vAlign w:val="center"/>
          </w:tcPr>
          <w:p w:rsidR="00E57567" w:rsidRDefault="00082A9D">
            <w:pPr>
              <w:jc w:val="center"/>
            </w:pPr>
            <w:r>
              <w:rPr>
                <w:color w:val="000000"/>
                <w:kern w:val="0"/>
                <w:sz w:val="24"/>
                <w:szCs w:val="24"/>
              </w:rPr>
              <w:t>601816</w:t>
            </w:r>
          </w:p>
        </w:tc>
        <w:tc>
          <w:tcPr>
            <w:tcW w:w="0" w:type="auto"/>
            <w:vAlign w:val="center"/>
          </w:tcPr>
          <w:p w:rsidR="00E57567" w:rsidRDefault="00082A9D">
            <w:pPr>
              <w:jc w:val="center"/>
            </w:pPr>
            <w:r>
              <w:rPr>
                <w:color w:val="000000"/>
                <w:kern w:val="0"/>
                <w:sz w:val="24"/>
                <w:szCs w:val="24"/>
              </w:rPr>
              <w:t>京沪高铁</w:t>
            </w:r>
          </w:p>
        </w:tc>
        <w:tc>
          <w:tcPr>
            <w:tcW w:w="0" w:type="auto"/>
            <w:vAlign w:val="center"/>
          </w:tcPr>
          <w:p w:rsidR="00E57567" w:rsidRDefault="00082A9D">
            <w:pPr>
              <w:jc w:val="right"/>
            </w:pPr>
            <w:r>
              <w:rPr>
                <w:color w:val="000000"/>
                <w:kern w:val="0"/>
                <w:sz w:val="24"/>
                <w:szCs w:val="24"/>
              </w:rPr>
              <w:t>643,770,489.78</w:t>
            </w:r>
          </w:p>
        </w:tc>
        <w:tc>
          <w:tcPr>
            <w:tcW w:w="0" w:type="auto"/>
            <w:vAlign w:val="center"/>
          </w:tcPr>
          <w:p w:rsidR="00E57567" w:rsidRDefault="00082A9D">
            <w:pPr>
              <w:jc w:val="right"/>
            </w:pPr>
            <w:r>
              <w:rPr>
                <w:color w:val="000000"/>
                <w:kern w:val="0"/>
                <w:sz w:val="24"/>
                <w:szCs w:val="24"/>
              </w:rPr>
              <w:t>2.46</w:t>
            </w:r>
          </w:p>
        </w:tc>
        <w:tc>
          <w:tcPr>
            <w:tcW w:w="0" w:type="auto"/>
            <w:vAlign w:val="center"/>
          </w:tcPr>
          <w:p w:rsidR="00E57567" w:rsidRDefault="00082A9D">
            <w:pPr>
              <w:jc w:val="right"/>
            </w:pPr>
            <w:r>
              <w:rPr>
                <w:color w:val="000000"/>
                <w:kern w:val="0"/>
                <w:sz w:val="24"/>
                <w:szCs w:val="24"/>
              </w:rPr>
              <w:t>新股战略配售流通受限</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24,455,755,153.17</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2,257,897.05</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24,458,013,050.22</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E57567" w:rsidRDefault="00082A9D">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w:t>
      </w:r>
      <w:r>
        <w:rPr>
          <w:color w:val="000000"/>
          <w:sz w:val="24"/>
          <w:szCs w:val="24"/>
        </w:rPr>
        <w:t>3</w:t>
      </w:r>
      <w:r>
        <w:rPr>
          <w:color w:val="000000"/>
          <w:sz w:val="24"/>
          <w:szCs w:val="24"/>
        </w:rPr>
        <w:t>年封闭运作战略配售灵活配置混合型证券投资基金（</w:t>
      </w:r>
      <w:r>
        <w:rPr>
          <w:color w:val="000000"/>
          <w:sz w:val="24"/>
          <w:szCs w:val="24"/>
        </w:rPr>
        <w:t>LOF</w:t>
      </w:r>
      <w:r>
        <w:rPr>
          <w:color w:val="000000"/>
          <w:sz w:val="24"/>
          <w:szCs w:val="24"/>
        </w:rPr>
        <w:t>）注册的文件；</w:t>
      </w:r>
    </w:p>
    <w:p w:rsidR="00E57567" w:rsidRDefault="00082A9D">
      <w:pPr>
        <w:spacing w:line="360" w:lineRule="auto"/>
        <w:ind w:firstLineChars="200" w:firstLine="480"/>
        <w:rPr>
          <w:color w:val="000000"/>
          <w:sz w:val="24"/>
          <w:szCs w:val="24"/>
        </w:rPr>
      </w:pPr>
      <w:r>
        <w:rPr>
          <w:color w:val="000000"/>
          <w:sz w:val="24"/>
          <w:szCs w:val="24"/>
        </w:rPr>
        <w:t>2.</w:t>
      </w:r>
      <w:r>
        <w:rPr>
          <w:color w:val="000000"/>
          <w:sz w:val="24"/>
          <w:szCs w:val="24"/>
        </w:rPr>
        <w:t>《易方达</w:t>
      </w:r>
      <w:r>
        <w:rPr>
          <w:color w:val="000000"/>
          <w:sz w:val="24"/>
          <w:szCs w:val="24"/>
        </w:rPr>
        <w:t>3</w:t>
      </w:r>
      <w:r>
        <w:rPr>
          <w:color w:val="000000"/>
          <w:sz w:val="24"/>
          <w:szCs w:val="24"/>
        </w:rPr>
        <w:t>年封闭运作战略配售灵活配置混合型证券投资基金（</w:t>
      </w:r>
      <w:r>
        <w:rPr>
          <w:color w:val="000000"/>
          <w:sz w:val="24"/>
          <w:szCs w:val="24"/>
        </w:rPr>
        <w:t>LOF</w:t>
      </w:r>
      <w:r>
        <w:rPr>
          <w:color w:val="000000"/>
          <w:sz w:val="24"/>
          <w:szCs w:val="24"/>
        </w:rPr>
        <w:t>）基金合同》；</w:t>
      </w:r>
    </w:p>
    <w:p w:rsidR="00E57567" w:rsidRDefault="00082A9D">
      <w:pPr>
        <w:spacing w:line="360" w:lineRule="auto"/>
        <w:ind w:firstLineChars="200" w:firstLine="480"/>
        <w:rPr>
          <w:color w:val="000000"/>
          <w:sz w:val="24"/>
          <w:szCs w:val="24"/>
        </w:rPr>
      </w:pPr>
      <w:r>
        <w:rPr>
          <w:color w:val="000000"/>
          <w:sz w:val="24"/>
          <w:szCs w:val="24"/>
        </w:rPr>
        <w:t>3.</w:t>
      </w:r>
      <w:r>
        <w:rPr>
          <w:color w:val="000000"/>
          <w:sz w:val="24"/>
          <w:szCs w:val="24"/>
        </w:rPr>
        <w:t>《易方达</w:t>
      </w:r>
      <w:r>
        <w:rPr>
          <w:color w:val="000000"/>
          <w:sz w:val="24"/>
          <w:szCs w:val="24"/>
        </w:rPr>
        <w:t>3</w:t>
      </w:r>
      <w:r>
        <w:rPr>
          <w:color w:val="000000"/>
          <w:sz w:val="24"/>
          <w:szCs w:val="24"/>
        </w:rPr>
        <w:t>年封闭运作战略配售灵活配置混合型证券投资基金（</w:t>
      </w:r>
      <w:r>
        <w:rPr>
          <w:color w:val="000000"/>
          <w:sz w:val="24"/>
          <w:szCs w:val="24"/>
        </w:rPr>
        <w:t>LOF</w:t>
      </w:r>
      <w:r>
        <w:rPr>
          <w:color w:val="000000"/>
          <w:sz w:val="24"/>
          <w:szCs w:val="24"/>
        </w:rPr>
        <w:t>）托管协议》；</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4.</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82A9D">
      <w:rPr>
        <w:rStyle w:val="a7"/>
        <w:noProof/>
      </w:rPr>
      <w:t>1</w:t>
    </w:r>
    <w:r>
      <w:rPr>
        <w:rStyle w:val="a7"/>
      </w:rPr>
      <w:fldChar w:fldCharType="end"/>
    </w:r>
    <w:r>
      <w:rPr>
        <w:rStyle w:val="a7"/>
        <w:rFonts w:hint="eastAsia"/>
      </w:rPr>
      <w:t>页共</w:t>
    </w:r>
    <w:fldSimple w:instr=" NUMPAGES  \* Arabic  \* MERGEFORMAT ">
      <w:r w:rsidR="00082A9D" w:rsidRPr="00082A9D">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82A9D">
      <w:rPr>
        <w:rStyle w:val="a7"/>
        <w:noProof/>
      </w:rPr>
      <w:t>2</w:t>
    </w:r>
    <w:r>
      <w:rPr>
        <w:rStyle w:val="a7"/>
      </w:rPr>
      <w:fldChar w:fldCharType="end"/>
    </w:r>
    <w:r>
      <w:rPr>
        <w:rStyle w:val="a7"/>
        <w:rFonts w:hint="eastAsia"/>
      </w:rPr>
      <w:t>页共</w:t>
    </w:r>
    <w:r w:rsidR="00082A9D">
      <w:fldChar w:fldCharType="begin"/>
    </w:r>
    <w:r w:rsidR="00082A9D">
      <w:instrText xml:space="preserve"> NUMPAGES  \* Arabic  \* MERGEFORMAT </w:instrText>
    </w:r>
    <w:r w:rsidR="00082A9D">
      <w:fldChar w:fldCharType="separate"/>
    </w:r>
    <w:r w:rsidR="00082A9D" w:rsidRPr="00082A9D">
      <w:rPr>
        <w:rStyle w:val="a7"/>
        <w:noProof/>
      </w:rPr>
      <w:t>2</w:t>
    </w:r>
    <w:r w:rsidR="00082A9D">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w:t>
    </w:r>
    <w:r w:rsidRPr="00093704">
      <w:t>3</w:t>
    </w:r>
    <w:r w:rsidRPr="00093704">
      <w:t>年封闭运作战略配售灵活配置混合型证券投资基金（</w:t>
    </w:r>
    <w:r w:rsidRPr="00093704">
      <w:t>LOF</w:t>
    </w:r>
    <w:r w:rsidRPr="00093704">
      <w:t>）</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2A9D"/>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57567"/>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B04B2444-E4E0-4CEF-B550-5755E98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AFB3-6364-4742-A3EA-9F230730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8322</Characters>
  <Application>Microsoft Office Word</Application>
  <DocSecurity>4</DocSecurity>
  <Lines>69</Lines>
  <Paragraphs>19</Paragraphs>
  <ScaleCrop>false</ScaleCrop>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2020-04-14T01:38:00Z</dcterms:created>
  <dcterms:modified xsi:type="dcterms:W3CDTF">2020-04-14T01:38:00Z</dcterms:modified>
</cp:coreProperties>
</file>