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易方达黄金主题证券投资基金（LOF）</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2020年第1季度报告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2020年3月31日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易方达基金管理有限公司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中国农业银行股份有限公司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二〇二〇年四月二十一日</w:t>
      </w:r>
    </w:p>
    <w:p w:rsidR="0076518F" w:rsidRPr="00A67563" w:rsidRDefault="0076518F" w:rsidP="00775284">
      <w:pPr>
        <w:pStyle w:val="1"/>
        <w:spacing w:beforeLines="100" w:before="312" w:afterLines="100" w:after="312" w:line="360" w:lineRule="auto"/>
        <w:jc w:val="center"/>
        <w:rPr>
          <w:b w:val="0"/>
          <w:color w:val="000000" w:themeColor="text1"/>
          <w:kern w:val="0"/>
          <w:sz w:val="24"/>
          <w:szCs w:val="24"/>
        </w:rPr>
      </w:pPr>
      <w:r w:rsidRPr="00A67563">
        <w:rPr>
          <w:color w:val="000000" w:themeColor="text1"/>
          <w:kern w:val="0"/>
          <w:sz w:val="24"/>
          <w:szCs w:val="24"/>
        </w:rPr>
        <w:lastRenderedPageBreak/>
        <w:t xml:space="preserve">§1  </w:t>
      </w:r>
      <w:r w:rsidRPr="00A67563">
        <w:rPr>
          <w:color w:val="000000" w:themeColor="text1"/>
          <w:kern w:val="0"/>
          <w:sz w:val="24"/>
          <w:szCs w:val="24"/>
        </w:rPr>
        <w:t>重要提示</w:t>
      </w:r>
    </w:p>
    <w:p w:rsidR="00C33E3C" w:rsidRDefault="008A77B9">
      <w:pPr>
        <w:spacing w:line="360" w:lineRule="auto"/>
        <w:ind w:firstLineChars="200" w:firstLine="480"/>
        <w:rPr>
          <w:color w:val="000000" w:themeColor="text1"/>
          <w:sz w:val="24"/>
        </w:rPr>
      </w:pPr>
      <w:r>
        <w:rPr>
          <w:color w:val="000000" w:themeColor="text1"/>
          <w:sz w:val="24"/>
        </w:rPr>
        <w:t>基金管理人的董事会及董事保证本报告所载资料不存在虚假记载、误导性陈述或重大遗漏，并对其内容的真实性、准确性和完整性承担个别及连带责任。</w:t>
      </w:r>
      <w:r>
        <w:rPr>
          <w:color w:val="000000" w:themeColor="text1"/>
          <w:sz w:val="24"/>
        </w:rPr>
        <w:t xml:space="preserve"> </w:t>
      </w:r>
    </w:p>
    <w:p w:rsidR="00C33E3C" w:rsidRDefault="008A77B9">
      <w:pPr>
        <w:spacing w:line="360" w:lineRule="auto"/>
        <w:ind w:firstLineChars="200" w:firstLine="480"/>
        <w:rPr>
          <w:color w:val="000000" w:themeColor="text1"/>
          <w:sz w:val="24"/>
        </w:rPr>
      </w:pPr>
      <w:r>
        <w:rPr>
          <w:color w:val="000000" w:themeColor="text1"/>
          <w:sz w:val="24"/>
        </w:rPr>
        <w:t>基金托管人中国农业银行股份有限公司根据本基金合同规定，于</w:t>
      </w:r>
      <w:r>
        <w:rPr>
          <w:color w:val="000000" w:themeColor="text1"/>
          <w:sz w:val="24"/>
        </w:rPr>
        <w:t>2020</w:t>
      </w:r>
      <w:r>
        <w:rPr>
          <w:color w:val="000000" w:themeColor="text1"/>
          <w:sz w:val="24"/>
        </w:rPr>
        <w:t>年</w:t>
      </w:r>
      <w:r>
        <w:rPr>
          <w:color w:val="000000" w:themeColor="text1"/>
          <w:sz w:val="24"/>
        </w:rPr>
        <w:t>4</w:t>
      </w:r>
      <w:r>
        <w:rPr>
          <w:color w:val="000000" w:themeColor="text1"/>
          <w:sz w:val="24"/>
        </w:rPr>
        <w:t>月</w:t>
      </w:r>
      <w:r>
        <w:rPr>
          <w:color w:val="000000" w:themeColor="text1"/>
          <w:sz w:val="24"/>
        </w:rPr>
        <w:t>17</w:t>
      </w:r>
      <w:r>
        <w:rPr>
          <w:color w:val="000000" w:themeColor="text1"/>
          <w:sz w:val="24"/>
        </w:rPr>
        <w:t>日复核了本报告中的财务指标、净值表现和投资组合报告等内容，保证复核内容不存在虚假记载、误导性陈述或者重大遗漏。</w:t>
      </w:r>
      <w:r>
        <w:rPr>
          <w:color w:val="000000" w:themeColor="text1"/>
          <w:sz w:val="24"/>
        </w:rPr>
        <w:t xml:space="preserve"> </w:t>
      </w:r>
    </w:p>
    <w:p w:rsidR="00C33E3C" w:rsidRDefault="008A77B9">
      <w:pPr>
        <w:spacing w:line="360" w:lineRule="auto"/>
        <w:ind w:firstLineChars="200" w:firstLine="480"/>
        <w:rPr>
          <w:color w:val="000000" w:themeColor="text1"/>
          <w:sz w:val="24"/>
        </w:rPr>
      </w:pPr>
      <w:r>
        <w:rPr>
          <w:color w:val="000000" w:themeColor="text1"/>
          <w:sz w:val="24"/>
        </w:rPr>
        <w:t>基金管理人承诺以诚实信用、勤勉尽责的原则管理和运用基金资产，但不保证基金一定盈利。</w:t>
      </w:r>
      <w:r>
        <w:rPr>
          <w:color w:val="000000" w:themeColor="text1"/>
          <w:sz w:val="24"/>
        </w:rPr>
        <w:t xml:space="preserve"> </w:t>
      </w:r>
    </w:p>
    <w:p w:rsidR="00C33E3C" w:rsidRDefault="008A77B9">
      <w:pPr>
        <w:spacing w:line="360" w:lineRule="auto"/>
        <w:ind w:firstLineChars="200" w:firstLine="480"/>
        <w:rPr>
          <w:color w:val="000000" w:themeColor="text1"/>
          <w:sz w:val="24"/>
        </w:rPr>
      </w:pPr>
      <w:r>
        <w:rPr>
          <w:color w:val="000000" w:themeColor="text1"/>
          <w:sz w:val="24"/>
        </w:rPr>
        <w:t>基金的过往业绩并不代表其未来表现。投资有风险，投资者在作出</w:t>
      </w:r>
      <w:r>
        <w:rPr>
          <w:color w:val="000000" w:themeColor="text1"/>
          <w:sz w:val="24"/>
        </w:rPr>
        <w:t>投资决策前应仔细阅读本基金的招募说明书。</w:t>
      </w:r>
      <w:r>
        <w:rPr>
          <w:color w:val="000000" w:themeColor="text1"/>
          <w:sz w:val="24"/>
        </w:rPr>
        <w:t xml:space="preserve"> </w:t>
      </w:r>
    </w:p>
    <w:p w:rsidR="00C33E3C" w:rsidRDefault="008A77B9">
      <w:pPr>
        <w:spacing w:line="360" w:lineRule="auto"/>
        <w:ind w:firstLineChars="200" w:firstLine="480"/>
        <w:rPr>
          <w:color w:val="000000" w:themeColor="text1"/>
          <w:sz w:val="24"/>
        </w:rPr>
      </w:pPr>
      <w:r>
        <w:rPr>
          <w:color w:val="000000" w:themeColor="text1"/>
          <w:sz w:val="24"/>
        </w:rPr>
        <w:t>本报告中财务资料未经审计。</w:t>
      </w:r>
    </w:p>
    <w:p w:rsidR="007D1292" w:rsidRPr="00A67563" w:rsidRDefault="007D1292" w:rsidP="006669C9">
      <w:pPr>
        <w:spacing w:line="360" w:lineRule="auto"/>
        <w:ind w:firstLineChars="200" w:firstLine="480"/>
        <w:rPr>
          <w:color w:val="000000" w:themeColor="text1"/>
          <w:sz w:val="24"/>
        </w:rPr>
      </w:pPr>
      <w:r w:rsidRPr="00A67563">
        <w:rPr>
          <w:color w:val="000000" w:themeColor="text1"/>
          <w:sz w:val="24"/>
        </w:rPr>
        <w:t>本报告期自</w:t>
      </w:r>
      <w:r w:rsidRPr="00A67563">
        <w:rPr>
          <w:color w:val="000000" w:themeColor="text1"/>
          <w:sz w:val="24"/>
        </w:rPr>
        <w:t>2020</w:t>
      </w:r>
      <w:r w:rsidRPr="00A67563">
        <w:rPr>
          <w:color w:val="000000" w:themeColor="text1"/>
          <w:sz w:val="24"/>
        </w:rPr>
        <w:t>年</w:t>
      </w:r>
      <w:r w:rsidRPr="00A67563">
        <w:rPr>
          <w:color w:val="000000" w:themeColor="text1"/>
          <w:sz w:val="24"/>
        </w:rPr>
        <w:t>1</w:t>
      </w:r>
      <w:r w:rsidRPr="00A67563">
        <w:rPr>
          <w:color w:val="000000" w:themeColor="text1"/>
          <w:sz w:val="24"/>
        </w:rPr>
        <w:t>月</w:t>
      </w:r>
      <w:r w:rsidRPr="00A67563">
        <w:rPr>
          <w:color w:val="000000" w:themeColor="text1"/>
          <w:sz w:val="24"/>
        </w:rPr>
        <w:t>1</w:t>
      </w:r>
      <w:r w:rsidRPr="00A67563">
        <w:rPr>
          <w:color w:val="000000" w:themeColor="text1"/>
          <w:sz w:val="24"/>
        </w:rPr>
        <w:t>日起至</w:t>
      </w:r>
      <w:r w:rsidRPr="00A67563">
        <w:rPr>
          <w:color w:val="000000" w:themeColor="text1"/>
          <w:sz w:val="24"/>
        </w:rPr>
        <w:t>3</w:t>
      </w:r>
      <w:r w:rsidRPr="00A67563">
        <w:rPr>
          <w:color w:val="000000" w:themeColor="text1"/>
          <w:sz w:val="24"/>
        </w:rPr>
        <w:t>月</w:t>
      </w:r>
      <w:r w:rsidRPr="00A67563">
        <w:rPr>
          <w:color w:val="000000" w:themeColor="text1"/>
          <w:sz w:val="24"/>
        </w:rPr>
        <w:t>31</w:t>
      </w:r>
      <w:r w:rsidRPr="00A67563">
        <w:rPr>
          <w:color w:val="000000" w:themeColor="text1"/>
          <w:sz w:val="24"/>
        </w:rPr>
        <w:t>日止。</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§2  </w:t>
      </w:r>
      <w:r w:rsidRPr="00A67563">
        <w:rPr>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67563" w:rsidTr="003376D5">
        <w:tc>
          <w:tcPr>
            <w:tcW w:w="2980" w:type="dxa"/>
            <w:vAlign w:val="center"/>
          </w:tcPr>
          <w:p w:rsidR="00363E15" w:rsidRPr="00A67563" w:rsidRDefault="00363E15" w:rsidP="003376D5">
            <w:pPr>
              <w:adjustRightInd w:val="0"/>
              <w:spacing w:before="29" w:line="360" w:lineRule="auto"/>
              <w:ind w:left="17"/>
              <w:rPr>
                <w:color w:val="000000" w:themeColor="text1"/>
                <w:kern w:val="0"/>
                <w:sz w:val="24"/>
              </w:rPr>
            </w:pPr>
            <w:r w:rsidRPr="00A67563">
              <w:rPr>
                <w:color w:val="000000" w:themeColor="text1"/>
                <w:kern w:val="0"/>
                <w:sz w:val="24"/>
              </w:rPr>
              <w:t>基金简称</w:t>
            </w:r>
          </w:p>
        </w:tc>
        <w:tc>
          <w:tcPr>
            <w:tcW w:w="5443" w:type="dxa"/>
            <w:gridSpan w:val="2"/>
            <w:vAlign w:val="center"/>
          </w:tcPr>
          <w:p w:rsidR="00363E15" w:rsidRPr="00A67563" w:rsidRDefault="00363E15" w:rsidP="003376D5">
            <w:pPr>
              <w:adjustRightInd w:val="0"/>
              <w:spacing w:before="29" w:line="360" w:lineRule="auto"/>
              <w:ind w:left="17"/>
              <w:rPr>
                <w:color w:val="000000" w:themeColor="text1"/>
                <w:kern w:val="0"/>
                <w:sz w:val="24"/>
              </w:rPr>
            </w:pPr>
            <w:r w:rsidRPr="00A67563">
              <w:rPr>
                <w:color w:val="000000" w:themeColor="text1"/>
                <w:kern w:val="0"/>
                <w:sz w:val="24"/>
              </w:rPr>
              <w:t>易方达黄金主题（</w:t>
            </w:r>
            <w:r w:rsidRPr="00A67563">
              <w:rPr>
                <w:color w:val="000000" w:themeColor="text1"/>
                <w:kern w:val="0"/>
                <w:sz w:val="24"/>
              </w:rPr>
              <w:t>QDII-LOF-FOF</w:t>
            </w:r>
            <w:r w:rsidRPr="00A67563">
              <w:rPr>
                <w:color w:val="000000" w:themeColor="text1"/>
                <w:kern w:val="0"/>
                <w:sz w:val="24"/>
              </w:rPr>
              <w:t>）</w:t>
            </w:r>
          </w:p>
        </w:tc>
      </w:tr>
      <w:tr w:rsidR="008277FF" w:rsidRPr="00A67563" w:rsidTr="003376D5">
        <w:tc>
          <w:tcPr>
            <w:tcW w:w="2980" w:type="dxa"/>
            <w:vAlign w:val="center"/>
          </w:tcPr>
          <w:p w:rsidR="00584F63" w:rsidRPr="00A67563" w:rsidRDefault="00584F63" w:rsidP="003376D5">
            <w:pPr>
              <w:rPr>
                <w:color w:val="000000" w:themeColor="text1"/>
                <w:sz w:val="24"/>
              </w:rPr>
            </w:pPr>
            <w:r w:rsidRPr="00A67563">
              <w:rPr>
                <w:color w:val="000000" w:themeColor="text1"/>
                <w:sz w:val="24"/>
              </w:rPr>
              <w:t>场内简称</w:t>
            </w:r>
          </w:p>
        </w:tc>
        <w:tc>
          <w:tcPr>
            <w:tcW w:w="5443" w:type="dxa"/>
            <w:gridSpan w:val="2"/>
            <w:vAlign w:val="center"/>
          </w:tcPr>
          <w:p w:rsidR="00584F63" w:rsidRPr="00A67563" w:rsidRDefault="00584F63" w:rsidP="003376D5">
            <w:pPr>
              <w:rPr>
                <w:color w:val="000000" w:themeColor="text1"/>
                <w:sz w:val="24"/>
              </w:rPr>
            </w:pPr>
            <w:r w:rsidRPr="00A67563">
              <w:rPr>
                <w:color w:val="000000" w:themeColor="text1"/>
                <w:sz w:val="24"/>
              </w:rPr>
              <w:t>易基黄金</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基金主代码</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161116</w:t>
            </w:r>
          </w:p>
        </w:tc>
      </w:tr>
      <w:tr w:rsidR="008277FF" w:rsidRPr="00A67563" w:rsidTr="003376D5">
        <w:tc>
          <w:tcPr>
            <w:tcW w:w="2980" w:type="dxa"/>
            <w:vAlign w:val="center"/>
          </w:tcPr>
          <w:p w:rsidR="005837E4" w:rsidRPr="00A67563" w:rsidRDefault="005837E4" w:rsidP="003376D5">
            <w:pPr>
              <w:adjustRightInd w:val="0"/>
              <w:spacing w:before="29" w:line="360" w:lineRule="auto"/>
              <w:ind w:left="17"/>
              <w:rPr>
                <w:color w:val="000000" w:themeColor="text1"/>
                <w:kern w:val="0"/>
                <w:sz w:val="24"/>
              </w:rPr>
            </w:pPr>
            <w:r w:rsidRPr="00A67563">
              <w:rPr>
                <w:color w:val="000000" w:themeColor="text1"/>
                <w:kern w:val="0"/>
                <w:sz w:val="24"/>
              </w:rPr>
              <w:t>交易代码</w:t>
            </w:r>
          </w:p>
        </w:tc>
        <w:tc>
          <w:tcPr>
            <w:tcW w:w="5443" w:type="dxa"/>
            <w:gridSpan w:val="2"/>
            <w:vAlign w:val="center"/>
          </w:tcPr>
          <w:p w:rsidR="005837E4" w:rsidRPr="00A67563" w:rsidRDefault="005837E4" w:rsidP="003376D5">
            <w:pPr>
              <w:adjustRightInd w:val="0"/>
              <w:spacing w:before="29" w:line="360" w:lineRule="auto"/>
              <w:ind w:left="17"/>
              <w:rPr>
                <w:color w:val="000000" w:themeColor="text1"/>
                <w:kern w:val="0"/>
                <w:sz w:val="24"/>
              </w:rPr>
            </w:pPr>
            <w:r w:rsidRPr="00A67563">
              <w:rPr>
                <w:color w:val="000000" w:themeColor="text1"/>
                <w:kern w:val="0"/>
                <w:sz w:val="24"/>
              </w:rPr>
              <w:t>161116</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基金运作方式</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契约型、上市开放式（</w:t>
            </w:r>
            <w:r w:rsidRPr="00A67563">
              <w:rPr>
                <w:color w:val="000000" w:themeColor="text1"/>
                <w:kern w:val="0"/>
                <w:sz w:val="24"/>
              </w:rPr>
              <w:t>LOF</w:t>
            </w:r>
            <w:r w:rsidRPr="00A67563">
              <w:rPr>
                <w:color w:val="000000" w:themeColor="text1"/>
                <w:kern w:val="0"/>
                <w:sz w:val="24"/>
              </w:rPr>
              <w:t>）</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基金合同生效日</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kern w:val="0"/>
                <w:sz w:val="24"/>
              </w:rPr>
            </w:pPr>
            <w:r w:rsidRPr="00A67563">
              <w:rPr>
                <w:color w:val="000000" w:themeColor="text1"/>
                <w:kern w:val="0"/>
                <w:sz w:val="24"/>
              </w:rPr>
              <w:t>2011</w:t>
            </w:r>
            <w:r w:rsidRPr="00A67563">
              <w:rPr>
                <w:color w:val="000000" w:themeColor="text1"/>
                <w:kern w:val="0"/>
                <w:sz w:val="24"/>
              </w:rPr>
              <w:t>年</w:t>
            </w:r>
            <w:r w:rsidRPr="00A67563">
              <w:rPr>
                <w:color w:val="000000" w:themeColor="text1"/>
                <w:kern w:val="0"/>
                <w:sz w:val="24"/>
              </w:rPr>
              <w:t>5</w:t>
            </w:r>
            <w:r w:rsidRPr="00A67563">
              <w:rPr>
                <w:color w:val="000000" w:themeColor="text1"/>
                <w:kern w:val="0"/>
                <w:sz w:val="24"/>
              </w:rPr>
              <w:t>月</w:t>
            </w:r>
            <w:r w:rsidRPr="00A67563">
              <w:rPr>
                <w:color w:val="000000" w:themeColor="text1"/>
                <w:kern w:val="0"/>
                <w:sz w:val="24"/>
              </w:rPr>
              <w:t>6</w:t>
            </w:r>
            <w:r w:rsidRPr="00A67563">
              <w:rPr>
                <w:color w:val="000000" w:themeColor="text1"/>
                <w:kern w:val="0"/>
                <w:sz w:val="24"/>
              </w:rPr>
              <w:t>日</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报告期末基金份额总额</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389,439,223.73</w:t>
            </w:r>
            <w:r w:rsidRPr="00A67563">
              <w:rPr>
                <w:color w:val="000000" w:themeColor="text1"/>
                <w:kern w:val="0"/>
                <w:sz w:val="24"/>
              </w:rPr>
              <w:t>份</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投资目标</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本基金追求基金资产的长期稳定增值。</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投资策略</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本基金主要通过对国际黄金价格中长期趋势的判断，深入研究黄金价格趋势、黄金采掘企业盈利和估值水平变化，以及考察其他品种的风险收益特征的基础上，进行黄金</w:t>
            </w:r>
            <w:r w:rsidRPr="00A67563">
              <w:rPr>
                <w:color w:val="000000" w:themeColor="text1"/>
                <w:kern w:val="0"/>
                <w:sz w:val="24"/>
              </w:rPr>
              <w:t>ETF</w:t>
            </w:r>
            <w:r w:rsidRPr="00A67563">
              <w:rPr>
                <w:color w:val="000000" w:themeColor="text1"/>
                <w:kern w:val="0"/>
                <w:sz w:val="24"/>
              </w:rPr>
              <w:t>、黄金股票类资产以及其他资产的比例配置。</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lastRenderedPageBreak/>
              <w:t>业绩比较基准</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以伦敦黄金市场下午定盘价计价的国际现货黄金（经汇率折算）</w:t>
            </w:r>
            <w:r w:rsidRPr="00A67563">
              <w:rPr>
                <w:color w:val="000000" w:themeColor="text1"/>
                <w:kern w:val="0"/>
                <w:sz w:val="24"/>
              </w:rPr>
              <w:t>×50%+MSCI</w:t>
            </w:r>
            <w:r w:rsidRPr="00A67563">
              <w:rPr>
                <w:color w:val="000000" w:themeColor="text1"/>
                <w:kern w:val="0"/>
                <w:sz w:val="24"/>
              </w:rPr>
              <w:t>全球金矿股指数（</w:t>
            </w:r>
            <w:r w:rsidRPr="00A67563">
              <w:rPr>
                <w:color w:val="000000" w:themeColor="text1"/>
                <w:kern w:val="0"/>
                <w:sz w:val="24"/>
              </w:rPr>
              <w:t>MSCI ACWI SELECT GOLD MINERS IMI INDEX</w:t>
            </w:r>
            <w:r w:rsidRPr="00A67563">
              <w:rPr>
                <w:color w:val="000000" w:themeColor="text1"/>
                <w:kern w:val="0"/>
                <w:sz w:val="24"/>
              </w:rPr>
              <w:t>）</w:t>
            </w:r>
            <w:r w:rsidRPr="00A67563">
              <w:rPr>
                <w:color w:val="000000" w:themeColor="text1"/>
                <w:kern w:val="0"/>
                <w:sz w:val="24"/>
              </w:rPr>
              <w:t>×50%</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风险收益特征</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管理人根据对黄金价格走势的判断，在黄金基金、黄金采掘公司股票及其他资产之间进行主动配置。本基金的表现与黄金价格相关性较高，本基金是预期收益与预期风险较高的基金品种。此外，本基金主要投资海外，存在汇率风险。</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基金管理人</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易方达基金管理有限公司</w:t>
            </w:r>
          </w:p>
        </w:tc>
      </w:tr>
      <w:tr w:rsidR="008277FF" w:rsidRPr="00A67563" w:rsidTr="003376D5">
        <w:tc>
          <w:tcPr>
            <w:tcW w:w="2980" w:type="dxa"/>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基金托管人</w:t>
            </w:r>
          </w:p>
        </w:tc>
        <w:tc>
          <w:tcPr>
            <w:tcW w:w="5443" w:type="dxa"/>
            <w:gridSpan w:val="2"/>
            <w:vAlign w:val="center"/>
          </w:tcPr>
          <w:p w:rsidR="0066726C" w:rsidRPr="00A67563" w:rsidRDefault="0066726C" w:rsidP="003376D5">
            <w:pPr>
              <w:adjustRightInd w:val="0"/>
              <w:spacing w:before="29" w:line="360" w:lineRule="auto"/>
              <w:ind w:left="17"/>
              <w:rPr>
                <w:color w:val="000000" w:themeColor="text1"/>
                <w:sz w:val="24"/>
              </w:rPr>
            </w:pPr>
            <w:r w:rsidRPr="00A67563">
              <w:rPr>
                <w:color w:val="000000" w:themeColor="text1"/>
                <w:kern w:val="0"/>
                <w:sz w:val="24"/>
              </w:rPr>
              <w:t>中国农业银行股份有限公司</w:t>
            </w:r>
          </w:p>
        </w:tc>
      </w:tr>
      <w:tr w:rsidR="007F4CD3" w:rsidRPr="00A67563" w:rsidTr="003376D5">
        <w:tc>
          <w:tcPr>
            <w:tcW w:w="2980" w:type="dxa"/>
            <w:vMerge w:val="restart"/>
            <w:vAlign w:val="center"/>
          </w:tcPr>
          <w:p w:rsidR="007F4CD3" w:rsidRPr="00A67563" w:rsidRDefault="007F4CD3" w:rsidP="007F4CD3">
            <w:pPr>
              <w:adjustRightInd w:val="0"/>
              <w:spacing w:before="29" w:line="360" w:lineRule="auto"/>
              <w:ind w:left="17"/>
              <w:rPr>
                <w:color w:val="000000" w:themeColor="text1"/>
                <w:kern w:val="0"/>
                <w:sz w:val="24"/>
              </w:rPr>
            </w:pPr>
            <w:r w:rsidRPr="00A67563">
              <w:rPr>
                <w:color w:val="000000" w:themeColor="text1"/>
                <w:kern w:val="0"/>
                <w:sz w:val="24"/>
              </w:rPr>
              <w:t>境外投资顾问</w:t>
            </w: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英文名称</w:t>
            </w:r>
            <w:r w:rsidR="00801249">
              <w:rPr>
                <w:rFonts w:hint="eastAsia"/>
                <w:color w:val="000000" w:themeColor="text1"/>
                <w:kern w:val="0"/>
                <w:sz w:val="24"/>
              </w:rPr>
              <w:t>：</w:t>
            </w:r>
            <w:r w:rsidRPr="00A67563">
              <w:rPr>
                <w:color w:val="000000" w:themeColor="text1"/>
                <w:kern w:val="0"/>
                <w:sz w:val="24"/>
              </w:rPr>
              <w:t>无</w:t>
            </w:r>
          </w:p>
        </w:tc>
      </w:tr>
      <w:tr w:rsidR="007F4CD3" w:rsidRPr="00A67563" w:rsidTr="003376D5">
        <w:tc>
          <w:tcPr>
            <w:tcW w:w="2980" w:type="dxa"/>
            <w:vMerge/>
            <w:vAlign w:val="center"/>
          </w:tcPr>
          <w:p w:rsidR="007F4CD3" w:rsidRPr="00A67563" w:rsidRDefault="007F4CD3" w:rsidP="007F4CD3">
            <w:pPr>
              <w:adjustRightInd w:val="0"/>
              <w:spacing w:before="29" w:line="360" w:lineRule="auto"/>
              <w:ind w:left="17"/>
              <w:rPr>
                <w:color w:val="000000" w:themeColor="text1"/>
                <w:kern w:val="0"/>
                <w:sz w:val="24"/>
              </w:rPr>
            </w:pP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Pr>
                <w:rFonts w:hint="eastAsia"/>
                <w:color w:val="000000" w:themeColor="text1"/>
                <w:kern w:val="0"/>
                <w:sz w:val="24"/>
              </w:rPr>
              <w:t>中文</w:t>
            </w:r>
            <w:r>
              <w:rPr>
                <w:color w:val="000000" w:themeColor="text1"/>
                <w:kern w:val="0"/>
                <w:sz w:val="24"/>
              </w:rPr>
              <w:t>名称</w:t>
            </w:r>
            <w:r>
              <w:rPr>
                <w:rFonts w:hint="eastAsia"/>
                <w:color w:val="000000" w:themeColor="text1"/>
                <w:kern w:val="0"/>
                <w:sz w:val="24"/>
              </w:rPr>
              <w:t>：</w:t>
            </w:r>
            <w:r w:rsidRPr="00A67563">
              <w:rPr>
                <w:color w:val="000000" w:themeColor="text1"/>
                <w:kern w:val="0"/>
                <w:sz w:val="24"/>
              </w:rPr>
              <w:t>无</w:t>
            </w:r>
          </w:p>
        </w:tc>
      </w:tr>
      <w:tr w:rsidR="007F4CD3" w:rsidRPr="00A67563" w:rsidTr="0031104D">
        <w:tc>
          <w:tcPr>
            <w:tcW w:w="2980" w:type="dxa"/>
            <w:vMerge w:val="restart"/>
            <w:vAlign w:val="center"/>
          </w:tcPr>
          <w:p w:rsidR="007F4CD3" w:rsidRPr="00A67563" w:rsidRDefault="007F4CD3" w:rsidP="007F4CD3">
            <w:pPr>
              <w:adjustRightInd w:val="0"/>
              <w:spacing w:before="29" w:line="360" w:lineRule="auto"/>
              <w:ind w:left="17"/>
              <w:rPr>
                <w:color w:val="000000" w:themeColor="text1"/>
                <w:kern w:val="0"/>
                <w:sz w:val="24"/>
              </w:rPr>
            </w:pPr>
            <w:r w:rsidRPr="00A67563">
              <w:rPr>
                <w:color w:val="000000" w:themeColor="text1"/>
                <w:kern w:val="0"/>
                <w:sz w:val="24"/>
              </w:rPr>
              <w:t>境外资产托管人</w:t>
            </w: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英文名称</w:t>
            </w:r>
            <w:r>
              <w:rPr>
                <w:rFonts w:hint="eastAsia"/>
                <w:color w:val="000000" w:themeColor="text1"/>
                <w:kern w:val="0"/>
                <w:sz w:val="24"/>
              </w:rPr>
              <w:t>：</w:t>
            </w:r>
            <w:r w:rsidRPr="00A67563">
              <w:rPr>
                <w:color w:val="000000" w:themeColor="text1"/>
                <w:kern w:val="0"/>
                <w:sz w:val="24"/>
              </w:rPr>
              <w:t>The Hongkong and Shanghai Banking Corporation Limited</w:t>
            </w:r>
          </w:p>
        </w:tc>
      </w:tr>
      <w:tr w:rsidR="007F4CD3" w:rsidRPr="00A67563" w:rsidTr="0031104D">
        <w:tc>
          <w:tcPr>
            <w:tcW w:w="2980" w:type="dxa"/>
            <w:vMerge/>
            <w:vAlign w:val="center"/>
          </w:tcPr>
          <w:p w:rsidR="007F4CD3" w:rsidRPr="00A67563" w:rsidRDefault="007F4CD3" w:rsidP="007F4CD3">
            <w:pPr>
              <w:adjustRightInd w:val="0"/>
              <w:spacing w:before="29" w:line="360" w:lineRule="auto"/>
              <w:ind w:left="17"/>
              <w:rPr>
                <w:color w:val="000000" w:themeColor="text1"/>
                <w:kern w:val="0"/>
                <w:sz w:val="24"/>
              </w:rPr>
            </w:pPr>
          </w:p>
        </w:tc>
        <w:tc>
          <w:tcPr>
            <w:tcW w:w="5443" w:type="dxa"/>
            <w:gridSpan w:val="2"/>
            <w:vAlign w:val="center"/>
          </w:tcPr>
          <w:p w:rsidR="007F4CD3" w:rsidRPr="00A67563" w:rsidRDefault="007F4CD3" w:rsidP="00801249">
            <w:pPr>
              <w:adjustRightInd w:val="0"/>
              <w:spacing w:before="29" w:line="360" w:lineRule="auto"/>
              <w:ind w:left="17"/>
              <w:jc w:val="left"/>
              <w:rPr>
                <w:color w:val="000000" w:themeColor="text1"/>
                <w:kern w:val="0"/>
                <w:sz w:val="24"/>
              </w:rPr>
            </w:pPr>
            <w:r w:rsidRPr="00A67563">
              <w:rPr>
                <w:color w:val="000000" w:themeColor="text1"/>
                <w:kern w:val="0"/>
                <w:sz w:val="24"/>
              </w:rPr>
              <w:t>中文名称</w:t>
            </w:r>
            <w:r>
              <w:rPr>
                <w:rFonts w:hint="eastAsia"/>
                <w:color w:val="000000" w:themeColor="text1"/>
                <w:kern w:val="0"/>
                <w:sz w:val="24"/>
              </w:rPr>
              <w:t>：</w:t>
            </w:r>
            <w:r w:rsidRPr="00A67563">
              <w:rPr>
                <w:color w:val="000000" w:themeColor="text1"/>
                <w:kern w:val="0"/>
                <w:sz w:val="24"/>
              </w:rPr>
              <w:t>香港上海汇丰银行有限公司</w:t>
            </w:r>
          </w:p>
        </w:tc>
      </w:tr>
      <w:tr w:rsidR="00070DD6" w:rsidRPr="00A67563" w:rsidTr="00845292">
        <w:tblPrEx>
          <w:tblLook w:val="0000" w:firstRow="0" w:lastRow="0" w:firstColumn="0" w:lastColumn="0" w:noHBand="0" w:noVBand="0"/>
        </w:tblPrEx>
        <w:trPr>
          <w:trHeight w:val="866"/>
        </w:trPr>
        <w:tc>
          <w:tcPr>
            <w:tcW w:w="2980" w:type="dxa"/>
          </w:tcPr>
          <w:p w:rsidR="00070DD6" w:rsidRPr="00A67563" w:rsidRDefault="00070DD6" w:rsidP="00845292">
            <w:pPr>
              <w:adjustRightInd w:val="0"/>
              <w:spacing w:before="29" w:line="360" w:lineRule="auto"/>
              <w:ind w:left="17"/>
              <w:jc w:val="left"/>
              <w:rPr>
                <w:color w:val="000000" w:themeColor="text1"/>
                <w:kern w:val="0"/>
                <w:sz w:val="24"/>
              </w:rPr>
            </w:pPr>
            <w:r w:rsidRPr="00A67563">
              <w:rPr>
                <w:color w:val="000000" w:themeColor="text1"/>
                <w:sz w:val="24"/>
              </w:rPr>
              <w:t>下属分级基金的基金简称</w:t>
            </w:r>
          </w:p>
        </w:tc>
        <w:tc>
          <w:tcPr>
            <w:tcW w:w="2780" w:type="dxa"/>
            <w:vAlign w:val="center"/>
          </w:tcPr>
          <w:p w:rsidR="00070DD6" w:rsidRPr="00A67563" w:rsidRDefault="00070DD6" w:rsidP="00845292">
            <w:pPr>
              <w:jc w:val="left"/>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663" w:type="dxa"/>
            <w:vAlign w:val="center"/>
          </w:tcPr>
          <w:p w:rsidR="00070DD6" w:rsidRPr="00A67563" w:rsidRDefault="00070DD6" w:rsidP="00845292">
            <w:pPr>
              <w:jc w:val="left"/>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070DD6" w:rsidRPr="00A67563" w:rsidTr="00845292">
        <w:tblPrEx>
          <w:tblLook w:val="0000" w:firstRow="0" w:lastRow="0" w:firstColumn="0" w:lastColumn="0" w:noHBand="0" w:noVBand="0"/>
        </w:tblPrEx>
        <w:trPr>
          <w:trHeight w:val="628"/>
        </w:trPr>
        <w:tc>
          <w:tcPr>
            <w:tcW w:w="2980" w:type="dxa"/>
          </w:tcPr>
          <w:p w:rsidR="00070DD6" w:rsidRPr="00A67563" w:rsidRDefault="00070DD6" w:rsidP="00845292">
            <w:pPr>
              <w:adjustRightInd w:val="0"/>
              <w:spacing w:before="29" w:line="360" w:lineRule="auto"/>
              <w:ind w:left="17"/>
              <w:jc w:val="left"/>
              <w:rPr>
                <w:color w:val="000000" w:themeColor="text1"/>
                <w:sz w:val="24"/>
              </w:rPr>
            </w:pPr>
            <w:r w:rsidRPr="00A67563">
              <w:rPr>
                <w:color w:val="000000" w:themeColor="text1"/>
                <w:sz w:val="24"/>
              </w:rPr>
              <w:t>下属分级基金的交易代码</w:t>
            </w:r>
          </w:p>
        </w:tc>
        <w:tc>
          <w:tcPr>
            <w:tcW w:w="2780" w:type="dxa"/>
            <w:vAlign w:val="center"/>
          </w:tcPr>
          <w:p w:rsidR="00070DD6" w:rsidRPr="00A67563" w:rsidRDefault="00070DD6" w:rsidP="00845292">
            <w:pPr>
              <w:jc w:val="left"/>
              <w:rPr>
                <w:color w:val="000000" w:themeColor="text1"/>
                <w:sz w:val="24"/>
              </w:rPr>
            </w:pPr>
            <w:r w:rsidRPr="00A67563">
              <w:rPr>
                <w:color w:val="000000" w:themeColor="text1"/>
                <w:sz w:val="24"/>
              </w:rPr>
              <w:t>161116</w:t>
            </w:r>
          </w:p>
        </w:tc>
        <w:tc>
          <w:tcPr>
            <w:tcW w:w="2663" w:type="dxa"/>
            <w:vAlign w:val="center"/>
          </w:tcPr>
          <w:p w:rsidR="00070DD6" w:rsidRPr="00A67563" w:rsidRDefault="00070DD6" w:rsidP="00845292">
            <w:pPr>
              <w:jc w:val="left"/>
              <w:rPr>
                <w:color w:val="000000" w:themeColor="text1"/>
                <w:sz w:val="24"/>
              </w:rPr>
            </w:pPr>
            <w:r w:rsidRPr="00A67563">
              <w:rPr>
                <w:color w:val="000000" w:themeColor="text1"/>
                <w:sz w:val="24"/>
              </w:rPr>
              <w:t>007976</w:t>
            </w:r>
          </w:p>
        </w:tc>
      </w:tr>
      <w:tr w:rsidR="00322A5E" w:rsidRPr="00A67563" w:rsidTr="0031104D">
        <w:tblPrEx>
          <w:tblLook w:val="0000" w:firstRow="0" w:lastRow="0" w:firstColumn="0" w:lastColumn="0" w:noHBand="0" w:noVBand="0"/>
        </w:tblPrEx>
        <w:trPr>
          <w:trHeight w:val="555"/>
        </w:trPr>
        <w:tc>
          <w:tcPr>
            <w:tcW w:w="2980" w:type="dxa"/>
            <w:vAlign w:val="center"/>
          </w:tcPr>
          <w:p w:rsidR="00322A5E" w:rsidRPr="00A67563" w:rsidRDefault="00322A5E" w:rsidP="00845292">
            <w:pPr>
              <w:adjustRightInd w:val="0"/>
              <w:spacing w:before="29" w:line="360" w:lineRule="auto"/>
              <w:ind w:left="17"/>
              <w:rPr>
                <w:color w:val="000000" w:themeColor="text1"/>
                <w:sz w:val="24"/>
              </w:rPr>
            </w:pPr>
            <w:r w:rsidRPr="00A67563">
              <w:rPr>
                <w:color w:val="000000" w:themeColor="text1"/>
                <w:sz w:val="24"/>
              </w:rPr>
              <w:t>报告期末下属分级基金的份额总额</w:t>
            </w:r>
          </w:p>
        </w:tc>
        <w:tc>
          <w:tcPr>
            <w:tcW w:w="2780" w:type="dxa"/>
            <w:vAlign w:val="center"/>
          </w:tcPr>
          <w:p w:rsidR="00322A5E" w:rsidRPr="00A67563" w:rsidRDefault="00322A5E" w:rsidP="00845292">
            <w:pPr>
              <w:rPr>
                <w:color w:val="000000" w:themeColor="text1"/>
                <w:sz w:val="24"/>
              </w:rPr>
            </w:pPr>
            <w:r w:rsidRPr="00A67563">
              <w:rPr>
                <w:color w:val="000000" w:themeColor="text1"/>
                <w:sz w:val="24"/>
              </w:rPr>
              <w:t>387,407,507.75</w:t>
            </w:r>
            <w:r w:rsidRPr="00A67563">
              <w:rPr>
                <w:color w:val="000000" w:themeColor="text1"/>
                <w:kern w:val="0"/>
                <w:sz w:val="24"/>
              </w:rPr>
              <w:t>份</w:t>
            </w:r>
          </w:p>
        </w:tc>
        <w:tc>
          <w:tcPr>
            <w:tcW w:w="2663" w:type="dxa"/>
            <w:vAlign w:val="center"/>
          </w:tcPr>
          <w:p w:rsidR="00322A5E" w:rsidRPr="00A67563" w:rsidRDefault="00322A5E" w:rsidP="00845292">
            <w:pPr>
              <w:rPr>
                <w:color w:val="000000" w:themeColor="text1"/>
                <w:sz w:val="24"/>
              </w:rPr>
            </w:pPr>
            <w:r w:rsidRPr="00A67563">
              <w:rPr>
                <w:color w:val="000000" w:themeColor="text1"/>
                <w:sz w:val="24"/>
              </w:rPr>
              <w:t>2,031,715.98</w:t>
            </w:r>
            <w:r w:rsidRPr="00A67563">
              <w:rPr>
                <w:color w:val="000000" w:themeColor="text1"/>
                <w:kern w:val="0"/>
                <w:sz w:val="24"/>
              </w:rPr>
              <w:t>份</w:t>
            </w:r>
          </w:p>
        </w:tc>
      </w:tr>
    </w:tbl>
    <w:p w:rsidR="00C33E3C" w:rsidRDefault="008A77B9">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根据</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10</w:t>
      </w:r>
      <w:r>
        <w:rPr>
          <w:color w:val="000000" w:themeColor="text1"/>
          <w:sz w:val="24"/>
        </w:rPr>
        <w:t>日发布的《易方达基金管理有限公司关于易方达黄金主题证券投资基金（</w:t>
      </w:r>
      <w:r>
        <w:rPr>
          <w:color w:val="000000" w:themeColor="text1"/>
          <w:sz w:val="24"/>
        </w:rPr>
        <w:t>LOF</w:t>
      </w:r>
      <w:r>
        <w:rPr>
          <w:color w:val="000000" w:themeColor="text1"/>
          <w:sz w:val="24"/>
        </w:rPr>
        <w:t>）增设基金份额、修改业绩比较基准并修订基金合同、托管协议部分条款的公告》，经与基金托管人协商一致并报中国证监会备案，易方达基金管理有限公司对易方达黄金主题证券投资基金（</w:t>
      </w:r>
      <w:r>
        <w:rPr>
          <w:color w:val="000000" w:themeColor="text1"/>
          <w:sz w:val="24"/>
        </w:rPr>
        <w:t>LOF</w:t>
      </w:r>
      <w:r>
        <w:rPr>
          <w:color w:val="000000" w:themeColor="text1"/>
          <w:sz w:val="24"/>
        </w:rPr>
        <w:t>）增设了基金份额，并对基金业绩比较基准进行了修改。易方达黄金主题证券投资基金（</w:t>
      </w:r>
      <w:r>
        <w:rPr>
          <w:color w:val="000000" w:themeColor="text1"/>
          <w:sz w:val="24"/>
        </w:rPr>
        <w:t>LOF</w:t>
      </w:r>
      <w:r>
        <w:rPr>
          <w:color w:val="000000" w:themeColor="text1"/>
          <w:sz w:val="24"/>
        </w:rPr>
        <w:t>）增设基金份额，并对基金业绩比较基准进行修改事宜，以及基金合同、托管协议的修订自</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11</w:t>
      </w:r>
      <w:r>
        <w:rPr>
          <w:color w:val="000000" w:themeColor="text1"/>
          <w:sz w:val="24"/>
        </w:rPr>
        <w:t>日起生效，具体详见公告。</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 xml:space="preserve">2. </w:t>
      </w:r>
      <w:r w:rsidRPr="00A67563">
        <w:rPr>
          <w:color w:val="000000" w:themeColor="text1"/>
          <w:sz w:val="24"/>
        </w:rPr>
        <w:t>本基金</w:t>
      </w:r>
      <w:r w:rsidRPr="00A67563">
        <w:rPr>
          <w:color w:val="000000" w:themeColor="text1"/>
          <w:sz w:val="24"/>
        </w:rPr>
        <w:t>A</w:t>
      </w:r>
      <w:r w:rsidRPr="00A67563">
        <w:rPr>
          <w:color w:val="000000" w:themeColor="text1"/>
          <w:sz w:val="24"/>
        </w:rPr>
        <w:t>类人民币份额由原易方达黄金主题（</w:t>
      </w:r>
      <w:r w:rsidRPr="00A67563">
        <w:rPr>
          <w:color w:val="000000" w:themeColor="text1"/>
          <w:sz w:val="24"/>
        </w:rPr>
        <w:t>QDII-LOF-FOF</w:t>
      </w:r>
      <w:r w:rsidRPr="00A67563">
        <w:rPr>
          <w:color w:val="000000" w:themeColor="text1"/>
          <w:sz w:val="24"/>
        </w:rPr>
        <w:t>）变更而来，并于</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11</w:t>
      </w:r>
      <w:r w:rsidRPr="00A67563">
        <w:rPr>
          <w:color w:val="000000" w:themeColor="text1"/>
          <w:sz w:val="24"/>
        </w:rPr>
        <w:t>日起增设</w:t>
      </w:r>
      <w:r w:rsidRPr="00A67563">
        <w:rPr>
          <w:color w:val="000000" w:themeColor="text1"/>
          <w:sz w:val="24"/>
        </w:rPr>
        <w:t>A</w:t>
      </w:r>
      <w:r w:rsidRPr="00A67563">
        <w:rPr>
          <w:color w:val="000000" w:themeColor="text1"/>
          <w:sz w:val="24"/>
        </w:rPr>
        <w:t>类美元份额、</w:t>
      </w:r>
      <w:r w:rsidRPr="00A67563">
        <w:rPr>
          <w:color w:val="000000" w:themeColor="text1"/>
          <w:sz w:val="24"/>
        </w:rPr>
        <w:t>C</w:t>
      </w:r>
      <w:r w:rsidRPr="00A67563">
        <w:rPr>
          <w:color w:val="000000" w:themeColor="text1"/>
          <w:sz w:val="24"/>
        </w:rPr>
        <w:t>类人民币份额及</w:t>
      </w:r>
      <w:r w:rsidRPr="00A67563">
        <w:rPr>
          <w:color w:val="000000" w:themeColor="text1"/>
          <w:sz w:val="24"/>
        </w:rPr>
        <w:t>C</w:t>
      </w:r>
      <w:r w:rsidRPr="00A67563">
        <w:rPr>
          <w:color w:val="000000" w:themeColor="text1"/>
          <w:sz w:val="24"/>
        </w:rPr>
        <w:t>类美元份额，份额首次确认日为</w:t>
      </w:r>
      <w:r w:rsidRPr="00A67563">
        <w:rPr>
          <w:color w:val="000000" w:themeColor="text1"/>
          <w:sz w:val="24"/>
        </w:rPr>
        <w:t>2019</w:t>
      </w:r>
      <w:r w:rsidRPr="00A67563">
        <w:rPr>
          <w:color w:val="000000" w:themeColor="text1"/>
          <w:sz w:val="24"/>
        </w:rPr>
        <w:t>年</w:t>
      </w:r>
      <w:r w:rsidRPr="00A67563">
        <w:rPr>
          <w:color w:val="000000" w:themeColor="text1"/>
          <w:sz w:val="24"/>
        </w:rPr>
        <w:t>10</w:t>
      </w:r>
      <w:r w:rsidRPr="00A67563">
        <w:rPr>
          <w:color w:val="000000" w:themeColor="text1"/>
          <w:sz w:val="24"/>
        </w:rPr>
        <w:t>月</w:t>
      </w:r>
      <w:r w:rsidRPr="00A67563">
        <w:rPr>
          <w:color w:val="000000" w:themeColor="text1"/>
          <w:sz w:val="24"/>
        </w:rPr>
        <w:t>14</w:t>
      </w:r>
      <w:r w:rsidRPr="00A67563">
        <w:rPr>
          <w:color w:val="000000" w:themeColor="text1"/>
          <w:sz w:val="24"/>
        </w:rPr>
        <w:t>日。易方达黄金主题（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含</w:t>
      </w:r>
      <w:r w:rsidRPr="00A67563">
        <w:rPr>
          <w:color w:val="000000" w:themeColor="text1"/>
          <w:sz w:val="24"/>
        </w:rPr>
        <w:t>A</w:t>
      </w:r>
      <w:r w:rsidRPr="00A67563">
        <w:rPr>
          <w:color w:val="000000" w:themeColor="text1"/>
          <w:sz w:val="24"/>
        </w:rPr>
        <w:t>类人民币份额（份额代码：</w:t>
      </w:r>
      <w:r w:rsidRPr="00A67563">
        <w:rPr>
          <w:color w:val="000000" w:themeColor="text1"/>
          <w:sz w:val="24"/>
        </w:rPr>
        <w:t>161116</w:t>
      </w:r>
      <w:r w:rsidRPr="00A67563">
        <w:rPr>
          <w:color w:val="000000" w:themeColor="text1"/>
          <w:sz w:val="24"/>
        </w:rPr>
        <w:t>）及</w:t>
      </w:r>
      <w:r w:rsidRPr="00A67563">
        <w:rPr>
          <w:color w:val="000000" w:themeColor="text1"/>
          <w:sz w:val="24"/>
        </w:rPr>
        <w:t>A</w:t>
      </w:r>
      <w:r w:rsidRPr="00A67563">
        <w:rPr>
          <w:color w:val="000000" w:themeColor="text1"/>
          <w:sz w:val="24"/>
        </w:rPr>
        <w:t>类美元现汇份额（份额代码：</w:t>
      </w:r>
      <w:r w:rsidRPr="00A67563">
        <w:rPr>
          <w:color w:val="000000" w:themeColor="text1"/>
          <w:sz w:val="24"/>
        </w:rPr>
        <w:t>007977</w:t>
      </w:r>
      <w:r w:rsidRPr="00A67563">
        <w:rPr>
          <w:color w:val="000000" w:themeColor="text1"/>
          <w:sz w:val="24"/>
        </w:rPr>
        <w:t>），交易代码仅列示</w:t>
      </w:r>
      <w:r w:rsidRPr="00A67563">
        <w:rPr>
          <w:color w:val="000000" w:themeColor="text1"/>
          <w:sz w:val="24"/>
        </w:rPr>
        <w:t>A</w:t>
      </w:r>
      <w:r w:rsidRPr="00A67563">
        <w:rPr>
          <w:color w:val="000000" w:themeColor="text1"/>
          <w:sz w:val="24"/>
        </w:rPr>
        <w:t>类人民币份额代码；易方达黄金主题（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含</w:t>
      </w:r>
      <w:r w:rsidRPr="00A67563">
        <w:rPr>
          <w:color w:val="000000" w:themeColor="text1"/>
          <w:sz w:val="24"/>
        </w:rPr>
        <w:t>C</w:t>
      </w:r>
      <w:r w:rsidRPr="00A67563">
        <w:rPr>
          <w:color w:val="000000" w:themeColor="text1"/>
          <w:sz w:val="24"/>
        </w:rPr>
        <w:t>类人民币份额（份额代码：</w:t>
      </w:r>
      <w:r w:rsidRPr="00A67563">
        <w:rPr>
          <w:color w:val="000000" w:themeColor="text1"/>
          <w:sz w:val="24"/>
        </w:rPr>
        <w:t>007976</w:t>
      </w:r>
      <w:r w:rsidRPr="00A67563">
        <w:rPr>
          <w:color w:val="000000" w:themeColor="text1"/>
          <w:sz w:val="24"/>
        </w:rPr>
        <w:t>）及</w:t>
      </w:r>
      <w:r w:rsidRPr="00A67563">
        <w:rPr>
          <w:color w:val="000000" w:themeColor="text1"/>
          <w:sz w:val="24"/>
        </w:rPr>
        <w:t>C</w:t>
      </w:r>
      <w:r w:rsidRPr="00A67563">
        <w:rPr>
          <w:color w:val="000000" w:themeColor="text1"/>
          <w:sz w:val="24"/>
        </w:rPr>
        <w:t>类美元现汇份额（份额代码：</w:t>
      </w:r>
      <w:r w:rsidRPr="00A67563">
        <w:rPr>
          <w:color w:val="000000" w:themeColor="text1"/>
          <w:sz w:val="24"/>
        </w:rPr>
        <w:t>007978</w:t>
      </w:r>
      <w:r w:rsidRPr="00A67563">
        <w:rPr>
          <w:color w:val="000000" w:themeColor="text1"/>
          <w:sz w:val="24"/>
        </w:rPr>
        <w:t>），交易代码仅列示</w:t>
      </w:r>
      <w:r w:rsidRPr="00A67563">
        <w:rPr>
          <w:color w:val="000000" w:themeColor="text1"/>
          <w:sz w:val="24"/>
        </w:rPr>
        <w:t>C</w:t>
      </w:r>
      <w:r w:rsidRPr="00A67563">
        <w:rPr>
          <w:color w:val="000000" w:themeColor="text1"/>
          <w:sz w:val="24"/>
        </w:rPr>
        <w:t>类人民币份额代码。</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§3  </w:t>
      </w:r>
      <w:r w:rsidRPr="00A67563">
        <w:rPr>
          <w:color w:val="000000" w:themeColor="text1"/>
          <w:kern w:val="0"/>
          <w:sz w:val="24"/>
          <w:szCs w:val="24"/>
        </w:rPr>
        <w:t>主要财务指标和基金净值表现</w:t>
      </w:r>
    </w:p>
    <w:p w:rsidR="0076518F" w:rsidRPr="00A67563" w:rsidRDefault="0076518F" w:rsidP="00506D57">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3.1 </w:t>
      </w:r>
      <w:r w:rsidRPr="00A67563">
        <w:rPr>
          <w:b/>
          <w:color w:val="000000" w:themeColor="text1"/>
          <w:kern w:val="0"/>
          <w:sz w:val="24"/>
        </w:rPr>
        <w:t>主要财务指标</w:t>
      </w:r>
    </w:p>
    <w:p w:rsidR="0076518F" w:rsidRPr="00A67563" w:rsidRDefault="0076518F" w:rsidP="008B6A4A">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67563" w:rsidTr="00845292">
        <w:tc>
          <w:tcPr>
            <w:tcW w:w="3402" w:type="dxa"/>
            <w:vMerge w:val="restart"/>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主要财务指标</w:t>
            </w:r>
          </w:p>
        </w:tc>
        <w:tc>
          <w:tcPr>
            <w:tcW w:w="4962" w:type="dxa"/>
            <w:gridSpan w:val="2"/>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报告期</w:t>
            </w:r>
          </w:p>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(2020</w:t>
            </w:r>
            <w:r w:rsidRPr="00A67563">
              <w:rPr>
                <w:color w:val="000000" w:themeColor="text1"/>
                <w:sz w:val="24"/>
              </w:rPr>
              <w:t>年</w:t>
            </w:r>
            <w:r w:rsidRPr="00A67563">
              <w:rPr>
                <w:color w:val="000000" w:themeColor="text1"/>
                <w:sz w:val="24"/>
              </w:rPr>
              <w:t>1</w:t>
            </w:r>
            <w:r w:rsidRPr="00A67563">
              <w:rPr>
                <w:color w:val="000000" w:themeColor="text1"/>
                <w:sz w:val="24"/>
              </w:rPr>
              <w:t>月</w:t>
            </w:r>
            <w:r w:rsidRPr="00A67563">
              <w:rPr>
                <w:color w:val="000000" w:themeColor="text1"/>
                <w:sz w:val="24"/>
              </w:rPr>
              <w:t>1</w:t>
            </w:r>
            <w:r w:rsidRPr="00A67563">
              <w:rPr>
                <w:color w:val="000000" w:themeColor="text1"/>
                <w:sz w:val="24"/>
              </w:rPr>
              <w:t>日</w:t>
            </w:r>
            <w:r w:rsidRPr="00A67563">
              <w:rPr>
                <w:color w:val="000000" w:themeColor="text1"/>
                <w:sz w:val="24"/>
              </w:rPr>
              <w:t>-2020</w:t>
            </w:r>
            <w:r w:rsidRPr="00A67563">
              <w:rPr>
                <w:color w:val="000000" w:themeColor="text1"/>
                <w:sz w:val="24"/>
              </w:rPr>
              <w:t>年</w:t>
            </w:r>
            <w:r w:rsidRPr="00A67563">
              <w:rPr>
                <w:color w:val="000000" w:themeColor="text1"/>
                <w:sz w:val="24"/>
              </w:rPr>
              <w:t>3</w:t>
            </w:r>
            <w:r w:rsidRPr="00A67563">
              <w:rPr>
                <w:color w:val="000000" w:themeColor="text1"/>
                <w:sz w:val="24"/>
              </w:rPr>
              <w:t>月</w:t>
            </w:r>
            <w:r w:rsidRPr="00A67563">
              <w:rPr>
                <w:color w:val="000000" w:themeColor="text1"/>
                <w:sz w:val="24"/>
              </w:rPr>
              <w:t>31</w:t>
            </w:r>
            <w:r w:rsidRPr="00A67563">
              <w:rPr>
                <w:color w:val="000000" w:themeColor="text1"/>
                <w:sz w:val="24"/>
              </w:rPr>
              <w:t>日</w:t>
            </w:r>
            <w:r w:rsidRPr="00A67563">
              <w:rPr>
                <w:color w:val="000000" w:themeColor="text1"/>
                <w:sz w:val="24"/>
              </w:rPr>
              <w:t>)</w:t>
            </w:r>
          </w:p>
        </w:tc>
      </w:tr>
      <w:tr w:rsidR="00225051" w:rsidRPr="00A67563" w:rsidTr="00845292">
        <w:tc>
          <w:tcPr>
            <w:tcW w:w="3402" w:type="dxa"/>
            <w:vMerge/>
            <w:vAlign w:val="center"/>
          </w:tcPr>
          <w:p w:rsidR="00225051" w:rsidRPr="00A67563" w:rsidRDefault="00225051" w:rsidP="00845292">
            <w:pPr>
              <w:adjustRightInd w:val="0"/>
              <w:spacing w:before="29" w:line="360" w:lineRule="auto"/>
              <w:ind w:left="17"/>
              <w:rPr>
                <w:color w:val="000000" w:themeColor="text1"/>
                <w:kern w:val="0"/>
                <w:sz w:val="24"/>
              </w:rPr>
            </w:pPr>
          </w:p>
        </w:tc>
        <w:tc>
          <w:tcPr>
            <w:tcW w:w="2481" w:type="dxa"/>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481" w:type="dxa"/>
            <w:vAlign w:val="center"/>
          </w:tcPr>
          <w:p w:rsidR="00225051" w:rsidRPr="00A67563" w:rsidRDefault="00225051" w:rsidP="00845292">
            <w:pPr>
              <w:adjustRightInd w:val="0"/>
              <w:spacing w:before="29" w:line="360" w:lineRule="auto"/>
              <w:ind w:left="17"/>
              <w:jc w:val="center"/>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1.</w:t>
            </w:r>
            <w:r w:rsidRPr="00A67563">
              <w:rPr>
                <w:color w:val="000000" w:themeColor="text1"/>
                <w:kern w:val="0"/>
                <w:sz w:val="24"/>
              </w:rPr>
              <w:t>本期已实现收益</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-738,497.23</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-87,522.58</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2.</w:t>
            </w:r>
            <w:r w:rsidRPr="00A67563">
              <w:rPr>
                <w:color w:val="000000" w:themeColor="text1"/>
                <w:kern w:val="0"/>
                <w:sz w:val="24"/>
              </w:rPr>
              <w:t>本期利润</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-41,843,361.99</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-322,329.53</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3.</w:t>
            </w:r>
            <w:r w:rsidRPr="00A67563">
              <w:rPr>
                <w:color w:val="000000" w:themeColor="text1"/>
                <w:kern w:val="0"/>
                <w:sz w:val="24"/>
              </w:rPr>
              <w:t>加权平均基金份额本期利润</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-0.1036</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-0.2181</w:t>
            </w:r>
          </w:p>
        </w:tc>
      </w:tr>
      <w:tr w:rsidR="00225051" w:rsidRPr="00A67563" w:rsidTr="00845292">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4.</w:t>
            </w:r>
            <w:r w:rsidRPr="00A67563">
              <w:rPr>
                <w:color w:val="000000" w:themeColor="text1"/>
                <w:kern w:val="0"/>
                <w:sz w:val="24"/>
              </w:rPr>
              <w:t>期末基金资产净值</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291,452,679.19</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1,529,191.76</w:t>
            </w:r>
          </w:p>
        </w:tc>
      </w:tr>
      <w:tr w:rsidR="00225051" w:rsidRPr="00A67563" w:rsidTr="00845292">
        <w:trPr>
          <w:trHeight w:val="158"/>
        </w:trPr>
        <w:tc>
          <w:tcPr>
            <w:tcW w:w="3402" w:type="dxa"/>
            <w:vAlign w:val="center"/>
          </w:tcPr>
          <w:p w:rsidR="00225051" w:rsidRPr="00A67563" w:rsidRDefault="00225051" w:rsidP="00845292">
            <w:pPr>
              <w:adjustRightInd w:val="0"/>
              <w:spacing w:before="29" w:line="360" w:lineRule="auto"/>
              <w:ind w:left="17"/>
              <w:rPr>
                <w:color w:val="000000" w:themeColor="text1"/>
                <w:kern w:val="0"/>
                <w:sz w:val="24"/>
              </w:rPr>
            </w:pPr>
            <w:r w:rsidRPr="00A67563">
              <w:rPr>
                <w:color w:val="000000" w:themeColor="text1"/>
                <w:kern w:val="0"/>
                <w:sz w:val="24"/>
              </w:rPr>
              <w:t>5.</w:t>
            </w:r>
            <w:r w:rsidRPr="00A67563">
              <w:rPr>
                <w:color w:val="000000" w:themeColor="text1"/>
                <w:kern w:val="0"/>
                <w:sz w:val="24"/>
              </w:rPr>
              <w:t>期末基金份额净值</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0.752</w:t>
            </w:r>
          </w:p>
        </w:tc>
        <w:tc>
          <w:tcPr>
            <w:tcW w:w="2481" w:type="dxa"/>
            <w:vAlign w:val="center"/>
          </w:tcPr>
          <w:p w:rsidR="00225051" w:rsidRPr="00A67563" w:rsidRDefault="00225051" w:rsidP="00845292">
            <w:pPr>
              <w:adjustRightInd w:val="0"/>
              <w:spacing w:before="29" w:line="360" w:lineRule="auto"/>
              <w:ind w:left="17"/>
              <w:jc w:val="right"/>
              <w:rPr>
                <w:color w:val="000000" w:themeColor="text1"/>
                <w:sz w:val="24"/>
              </w:rPr>
            </w:pPr>
            <w:r w:rsidRPr="00A67563">
              <w:rPr>
                <w:color w:val="000000" w:themeColor="text1"/>
                <w:sz w:val="24"/>
              </w:rPr>
              <w:t>0.753</w:t>
            </w:r>
          </w:p>
        </w:tc>
      </w:tr>
    </w:tbl>
    <w:p w:rsidR="00C33E3C" w:rsidRDefault="008A77B9">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所述基金业绩指标不包括持有人认购或交易基金的各项费用，计入费用后实际收益水平要低于所列数字。</w:t>
      </w:r>
    </w:p>
    <w:p w:rsidR="007D1292" w:rsidRPr="00A67563" w:rsidRDefault="007D1292"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2.</w:t>
      </w:r>
      <w:r w:rsidRPr="00A67563">
        <w:rPr>
          <w:color w:val="000000" w:themeColor="text1"/>
          <w:sz w:val="24"/>
        </w:rPr>
        <w:t>本期已实现收益指基金本期利息收入、投资收益、其他收入（不含公允价值变动收益）扣除相关费用后的余额，本期利润为本期已实现收益加上本期公允价值变动收益。</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3.2 </w:t>
      </w:r>
      <w:r w:rsidRPr="00A67563">
        <w:rPr>
          <w:b/>
          <w:color w:val="000000" w:themeColor="text1"/>
          <w:kern w:val="0"/>
          <w:sz w:val="24"/>
        </w:rPr>
        <w:t>基金净值表现</w:t>
      </w:r>
    </w:p>
    <w:p w:rsidR="0076518F" w:rsidRPr="00A67563" w:rsidRDefault="0076518F" w:rsidP="00EC4BA3">
      <w:pPr>
        <w:autoSpaceDE w:val="0"/>
        <w:autoSpaceDN w:val="0"/>
        <w:adjustRightInd w:val="0"/>
        <w:spacing w:line="360" w:lineRule="auto"/>
        <w:jc w:val="left"/>
        <w:rPr>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67563">
          <w:rPr>
            <w:b/>
            <w:color w:val="000000" w:themeColor="text1"/>
            <w:kern w:val="0"/>
            <w:sz w:val="24"/>
          </w:rPr>
          <w:t>3.2.1</w:t>
        </w:r>
      </w:smartTag>
      <w:r w:rsidRPr="00A67563">
        <w:rPr>
          <w:b/>
          <w:color w:val="000000" w:themeColor="text1"/>
          <w:kern w:val="0"/>
          <w:sz w:val="24"/>
        </w:rPr>
        <w:t>本报告期基金份额净值增长率及其与同期业绩比较基准收益率的比较</w:t>
      </w:r>
    </w:p>
    <w:p w:rsidR="0065601A" w:rsidRPr="00A67563" w:rsidRDefault="0065601A" w:rsidP="0065601A">
      <w:pPr>
        <w:spacing w:line="360" w:lineRule="auto"/>
        <w:rPr>
          <w:b/>
          <w:color w:val="000000" w:themeColor="text1"/>
          <w:sz w:val="24"/>
        </w:rPr>
      </w:pPr>
      <w:r w:rsidRPr="00A67563">
        <w:rPr>
          <w:b/>
          <w:color w:val="000000" w:themeColor="text1"/>
          <w:kern w:val="0"/>
          <w:sz w:val="24"/>
        </w:rPr>
        <w:t>易方达黄金主题（</w:t>
      </w:r>
      <w:r w:rsidRPr="00A67563">
        <w:rPr>
          <w:b/>
          <w:color w:val="000000" w:themeColor="text1"/>
          <w:kern w:val="0"/>
          <w:sz w:val="24"/>
        </w:rPr>
        <w:t>QDII-LOF-FOF</w:t>
      </w:r>
      <w:r w:rsidRPr="00A67563">
        <w:rPr>
          <w:b/>
          <w:color w:val="000000" w:themeColor="text1"/>
          <w:kern w:val="0"/>
          <w:sz w:val="24"/>
        </w:rPr>
        <w:t>）</w:t>
      </w:r>
      <w:r w:rsidRPr="00A67563">
        <w:rPr>
          <w:b/>
          <w:color w:val="000000" w:themeColor="text1"/>
          <w:kern w:val="0"/>
          <w:sz w:val="24"/>
        </w:rPr>
        <w:t>A</w:t>
      </w:r>
    </w:p>
    <w:tbl>
      <w:tblPr>
        <w:tblStyle w:val="af7"/>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67563" w:rsidTr="00845292">
        <w:tc>
          <w:tcPr>
            <w:tcW w:w="1290"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阶段</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净值增长率</w:t>
            </w:r>
            <w:r w:rsidRPr="00A67563">
              <w:rPr>
                <w:rFonts w:ascii="宋体" w:hAnsi="宋体" w:cs="宋体" w:hint="eastAsia"/>
                <w:color w:val="000000" w:themeColor="text1"/>
                <w:sz w:val="24"/>
              </w:rPr>
              <w:t>①</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净值增长率标准差</w:t>
            </w:r>
            <w:r w:rsidRPr="00A67563">
              <w:rPr>
                <w:rFonts w:ascii="宋体" w:hAnsi="宋体" w:cs="宋体" w:hint="eastAsia"/>
                <w:color w:val="000000" w:themeColor="text1"/>
                <w:sz w:val="24"/>
              </w:rPr>
              <w:t>②</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业绩比较基准收益率标准差</w:t>
            </w:r>
            <w:r w:rsidRPr="00A67563">
              <w:rPr>
                <w:rFonts w:ascii="宋体" w:hAnsi="宋体" w:cs="宋体" w:hint="eastAsia"/>
                <w:color w:val="000000" w:themeColor="text1"/>
                <w:sz w:val="24"/>
              </w:rPr>
              <w:t>④</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①</w:t>
            </w:r>
            <w:r w:rsidRPr="00A67563">
              <w:rPr>
                <w:color w:val="000000" w:themeColor="text1"/>
                <w:sz w:val="24"/>
              </w:rPr>
              <w:t>－</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②</w:t>
            </w:r>
            <w:r w:rsidRPr="00A67563">
              <w:rPr>
                <w:color w:val="000000" w:themeColor="text1"/>
                <w:sz w:val="24"/>
              </w:rPr>
              <w:t>－</w:t>
            </w:r>
            <w:r w:rsidRPr="00A67563">
              <w:rPr>
                <w:rFonts w:ascii="宋体" w:hAnsi="宋体" w:cs="宋体" w:hint="eastAsia"/>
                <w:color w:val="000000" w:themeColor="text1"/>
                <w:sz w:val="24"/>
              </w:rPr>
              <w:t>④</w:t>
            </w:r>
          </w:p>
        </w:tc>
      </w:tr>
      <w:tr w:rsidR="00C33E3C">
        <w:tc>
          <w:tcPr>
            <w:tcW w:w="0" w:type="auto"/>
            <w:vAlign w:val="center"/>
          </w:tcPr>
          <w:p w:rsidR="00C33E3C" w:rsidRDefault="008A77B9">
            <w:pPr>
              <w:jc w:val="left"/>
            </w:pPr>
            <w:r>
              <w:rPr>
                <w:color w:val="000000" w:themeColor="text1"/>
                <w:sz w:val="24"/>
              </w:rPr>
              <w:t>过去三个月</w:t>
            </w:r>
          </w:p>
        </w:tc>
        <w:tc>
          <w:tcPr>
            <w:tcW w:w="0" w:type="auto"/>
            <w:vAlign w:val="center"/>
          </w:tcPr>
          <w:p w:rsidR="00C33E3C" w:rsidRDefault="008A77B9">
            <w:pPr>
              <w:jc w:val="right"/>
            </w:pPr>
            <w:r>
              <w:rPr>
                <w:color w:val="000000" w:themeColor="text1"/>
                <w:sz w:val="24"/>
              </w:rPr>
              <w:t>-12.05%</w:t>
            </w:r>
          </w:p>
        </w:tc>
        <w:tc>
          <w:tcPr>
            <w:tcW w:w="0" w:type="auto"/>
            <w:vAlign w:val="center"/>
          </w:tcPr>
          <w:p w:rsidR="00C33E3C" w:rsidRDefault="008A77B9">
            <w:pPr>
              <w:jc w:val="right"/>
            </w:pPr>
            <w:r>
              <w:rPr>
                <w:color w:val="000000" w:themeColor="text1"/>
                <w:sz w:val="24"/>
              </w:rPr>
              <w:t>2.86%</w:t>
            </w:r>
          </w:p>
        </w:tc>
        <w:tc>
          <w:tcPr>
            <w:tcW w:w="0" w:type="auto"/>
            <w:vAlign w:val="center"/>
          </w:tcPr>
          <w:p w:rsidR="00C33E3C" w:rsidRDefault="008A77B9">
            <w:pPr>
              <w:jc w:val="right"/>
            </w:pPr>
            <w:r>
              <w:rPr>
                <w:color w:val="000000" w:themeColor="text1"/>
                <w:sz w:val="24"/>
              </w:rPr>
              <w:t>-5.99%</w:t>
            </w:r>
          </w:p>
        </w:tc>
        <w:tc>
          <w:tcPr>
            <w:tcW w:w="0" w:type="auto"/>
            <w:vAlign w:val="center"/>
          </w:tcPr>
          <w:p w:rsidR="00C33E3C" w:rsidRDefault="008A77B9">
            <w:pPr>
              <w:jc w:val="right"/>
            </w:pPr>
            <w:r>
              <w:rPr>
                <w:color w:val="000000" w:themeColor="text1"/>
                <w:sz w:val="24"/>
              </w:rPr>
              <w:t>2.68%</w:t>
            </w:r>
          </w:p>
        </w:tc>
        <w:tc>
          <w:tcPr>
            <w:tcW w:w="0" w:type="auto"/>
            <w:vAlign w:val="center"/>
          </w:tcPr>
          <w:p w:rsidR="00C33E3C" w:rsidRDefault="008A77B9">
            <w:pPr>
              <w:jc w:val="right"/>
            </w:pPr>
            <w:r>
              <w:rPr>
                <w:color w:val="000000" w:themeColor="text1"/>
                <w:sz w:val="24"/>
              </w:rPr>
              <w:t>-6.06%</w:t>
            </w:r>
          </w:p>
        </w:tc>
        <w:tc>
          <w:tcPr>
            <w:tcW w:w="0" w:type="auto"/>
            <w:vAlign w:val="center"/>
          </w:tcPr>
          <w:p w:rsidR="00C33E3C" w:rsidRDefault="008A77B9">
            <w:pPr>
              <w:jc w:val="right"/>
            </w:pPr>
            <w:r>
              <w:rPr>
                <w:color w:val="000000" w:themeColor="text1"/>
                <w:sz w:val="24"/>
              </w:rPr>
              <w:t>0.18%</w:t>
            </w:r>
          </w:p>
        </w:tc>
      </w:tr>
    </w:tbl>
    <w:p w:rsidR="0065601A" w:rsidRPr="00A67563" w:rsidRDefault="0065601A" w:rsidP="00775284">
      <w:pPr>
        <w:adjustRightInd w:val="0"/>
        <w:spacing w:beforeLines="50" w:before="156" w:line="360" w:lineRule="auto"/>
        <w:rPr>
          <w:b/>
          <w:color w:val="000000" w:themeColor="text1"/>
          <w:kern w:val="0"/>
          <w:sz w:val="24"/>
        </w:rPr>
      </w:pPr>
      <w:r w:rsidRPr="00A67563">
        <w:rPr>
          <w:b/>
          <w:color w:val="000000" w:themeColor="text1"/>
          <w:kern w:val="0"/>
          <w:sz w:val="24"/>
        </w:rPr>
        <w:t>易方达黄金主题（</w:t>
      </w:r>
      <w:r w:rsidRPr="00A67563">
        <w:rPr>
          <w:b/>
          <w:color w:val="000000" w:themeColor="text1"/>
          <w:kern w:val="0"/>
          <w:sz w:val="24"/>
        </w:rPr>
        <w:t>QDII-LOF-FOF</w:t>
      </w:r>
      <w:r w:rsidRPr="00A67563">
        <w:rPr>
          <w:b/>
          <w:color w:val="000000" w:themeColor="text1"/>
          <w:kern w:val="0"/>
          <w:sz w:val="24"/>
        </w:rPr>
        <w:t>）</w:t>
      </w:r>
      <w:r w:rsidRPr="00A67563">
        <w:rPr>
          <w:b/>
          <w:color w:val="000000" w:themeColor="text1"/>
          <w:kern w:val="0"/>
          <w:sz w:val="24"/>
        </w:rPr>
        <w:t>C</w:t>
      </w:r>
    </w:p>
    <w:tbl>
      <w:tblPr>
        <w:tblStyle w:val="af7"/>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67563" w:rsidTr="00845292">
        <w:tc>
          <w:tcPr>
            <w:tcW w:w="1290"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阶段</w:t>
            </w:r>
          </w:p>
        </w:tc>
        <w:tc>
          <w:tcPr>
            <w:tcW w:w="1291" w:type="dxa"/>
            <w:vAlign w:val="center"/>
          </w:tcPr>
          <w:p w:rsidR="0065601A" w:rsidRPr="00A67563" w:rsidRDefault="0065601A" w:rsidP="00845292">
            <w:pPr>
              <w:snapToGrid w:val="0"/>
              <w:spacing w:line="288" w:lineRule="auto"/>
              <w:jc w:val="center"/>
              <w:rPr>
                <w:color w:val="000000" w:themeColor="text1"/>
                <w:sz w:val="24"/>
                <w:highlight w:val="green"/>
              </w:rPr>
            </w:pPr>
            <w:r w:rsidRPr="00A67563">
              <w:rPr>
                <w:color w:val="000000" w:themeColor="text1"/>
                <w:sz w:val="24"/>
              </w:rPr>
              <w:t>净值增长率</w:t>
            </w:r>
            <w:r w:rsidRPr="00A67563">
              <w:rPr>
                <w:rFonts w:ascii="宋体" w:hAnsi="宋体" w:cs="宋体" w:hint="eastAsia"/>
                <w:color w:val="000000" w:themeColor="text1"/>
                <w:sz w:val="24"/>
              </w:rPr>
              <w:t>①</w:t>
            </w:r>
          </w:p>
        </w:tc>
        <w:tc>
          <w:tcPr>
            <w:tcW w:w="1291" w:type="dxa"/>
            <w:vAlign w:val="center"/>
          </w:tcPr>
          <w:p w:rsidR="0065601A" w:rsidRPr="00A67563" w:rsidRDefault="0065601A" w:rsidP="00845292">
            <w:pPr>
              <w:snapToGrid w:val="0"/>
              <w:spacing w:line="288" w:lineRule="auto"/>
              <w:jc w:val="center"/>
              <w:rPr>
                <w:color w:val="000000" w:themeColor="text1"/>
                <w:sz w:val="24"/>
                <w:highlight w:val="green"/>
              </w:rPr>
            </w:pPr>
            <w:r w:rsidRPr="00A67563">
              <w:rPr>
                <w:color w:val="000000" w:themeColor="text1"/>
                <w:sz w:val="24"/>
              </w:rPr>
              <w:t>净值增长率标准差</w:t>
            </w:r>
            <w:r w:rsidRPr="00A67563">
              <w:rPr>
                <w:rFonts w:ascii="宋体" w:hAnsi="宋体" w:cs="宋体" w:hint="eastAsia"/>
                <w:color w:val="000000" w:themeColor="text1"/>
                <w:sz w:val="24"/>
              </w:rPr>
              <w:t>②</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color w:val="000000" w:themeColor="text1"/>
                <w:sz w:val="24"/>
              </w:rPr>
              <w:t>业绩比较基准收益率标准差</w:t>
            </w:r>
            <w:r w:rsidRPr="00A67563">
              <w:rPr>
                <w:rFonts w:ascii="宋体" w:hAnsi="宋体" w:cs="宋体" w:hint="eastAsia"/>
                <w:color w:val="000000" w:themeColor="text1"/>
                <w:sz w:val="24"/>
              </w:rPr>
              <w:t>④</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①</w:t>
            </w:r>
            <w:r w:rsidRPr="00A67563">
              <w:rPr>
                <w:color w:val="000000" w:themeColor="text1"/>
                <w:sz w:val="24"/>
              </w:rPr>
              <w:t>－</w:t>
            </w:r>
            <w:r w:rsidRPr="00A67563">
              <w:rPr>
                <w:rFonts w:ascii="宋体" w:hAnsi="宋体" w:cs="宋体" w:hint="eastAsia"/>
                <w:color w:val="000000" w:themeColor="text1"/>
                <w:sz w:val="24"/>
              </w:rPr>
              <w:t>③</w:t>
            </w:r>
          </w:p>
        </w:tc>
        <w:tc>
          <w:tcPr>
            <w:tcW w:w="1291" w:type="dxa"/>
            <w:vAlign w:val="center"/>
          </w:tcPr>
          <w:p w:rsidR="0065601A" w:rsidRPr="00A67563" w:rsidRDefault="0065601A" w:rsidP="00845292">
            <w:pPr>
              <w:snapToGrid w:val="0"/>
              <w:spacing w:line="288" w:lineRule="auto"/>
              <w:jc w:val="center"/>
              <w:rPr>
                <w:color w:val="000000" w:themeColor="text1"/>
                <w:sz w:val="24"/>
              </w:rPr>
            </w:pPr>
            <w:r w:rsidRPr="00A67563">
              <w:rPr>
                <w:rFonts w:ascii="宋体" w:hAnsi="宋体" w:cs="宋体" w:hint="eastAsia"/>
                <w:color w:val="000000" w:themeColor="text1"/>
                <w:sz w:val="24"/>
              </w:rPr>
              <w:t>②</w:t>
            </w:r>
            <w:r w:rsidRPr="00A67563">
              <w:rPr>
                <w:color w:val="000000" w:themeColor="text1"/>
                <w:sz w:val="24"/>
              </w:rPr>
              <w:t>－</w:t>
            </w:r>
            <w:r w:rsidRPr="00A67563">
              <w:rPr>
                <w:rFonts w:ascii="宋体" w:hAnsi="宋体" w:cs="宋体" w:hint="eastAsia"/>
                <w:color w:val="000000" w:themeColor="text1"/>
                <w:sz w:val="24"/>
              </w:rPr>
              <w:t>④</w:t>
            </w:r>
          </w:p>
        </w:tc>
      </w:tr>
      <w:tr w:rsidR="00C33E3C">
        <w:tc>
          <w:tcPr>
            <w:tcW w:w="0" w:type="auto"/>
            <w:vAlign w:val="center"/>
          </w:tcPr>
          <w:p w:rsidR="00C33E3C" w:rsidRDefault="008A77B9">
            <w:pPr>
              <w:jc w:val="left"/>
            </w:pPr>
            <w:r>
              <w:rPr>
                <w:color w:val="000000" w:themeColor="text1"/>
                <w:sz w:val="24"/>
              </w:rPr>
              <w:t>过去三个月</w:t>
            </w:r>
          </w:p>
        </w:tc>
        <w:tc>
          <w:tcPr>
            <w:tcW w:w="0" w:type="auto"/>
            <w:vAlign w:val="center"/>
          </w:tcPr>
          <w:p w:rsidR="00C33E3C" w:rsidRDefault="008A77B9">
            <w:pPr>
              <w:jc w:val="right"/>
            </w:pPr>
            <w:r>
              <w:rPr>
                <w:color w:val="000000" w:themeColor="text1"/>
                <w:sz w:val="24"/>
              </w:rPr>
              <w:t>-11.93%</w:t>
            </w:r>
          </w:p>
        </w:tc>
        <w:tc>
          <w:tcPr>
            <w:tcW w:w="0" w:type="auto"/>
            <w:vAlign w:val="center"/>
          </w:tcPr>
          <w:p w:rsidR="00C33E3C" w:rsidRDefault="008A77B9">
            <w:pPr>
              <w:jc w:val="right"/>
            </w:pPr>
            <w:r>
              <w:rPr>
                <w:color w:val="000000" w:themeColor="text1"/>
                <w:sz w:val="24"/>
              </w:rPr>
              <w:t>2.86%</w:t>
            </w:r>
          </w:p>
        </w:tc>
        <w:tc>
          <w:tcPr>
            <w:tcW w:w="0" w:type="auto"/>
            <w:vAlign w:val="center"/>
          </w:tcPr>
          <w:p w:rsidR="00C33E3C" w:rsidRDefault="008A77B9">
            <w:pPr>
              <w:jc w:val="right"/>
            </w:pPr>
            <w:r>
              <w:rPr>
                <w:color w:val="000000" w:themeColor="text1"/>
                <w:sz w:val="24"/>
              </w:rPr>
              <w:t>-5.99%</w:t>
            </w:r>
          </w:p>
        </w:tc>
        <w:tc>
          <w:tcPr>
            <w:tcW w:w="0" w:type="auto"/>
            <w:vAlign w:val="center"/>
          </w:tcPr>
          <w:p w:rsidR="00C33E3C" w:rsidRDefault="008A77B9">
            <w:pPr>
              <w:jc w:val="right"/>
            </w:pPr>
            <w:r>
              <w:rPr>
                <w:color w:val="000000" w:themeColor="text1"/>
                <w:sz w:val="24"/>
              </w:rPr>
              <w:t>2.68%</w:t>
            </w:r>
          </w:p>
        </w:tc>
        <w:tc>
          <w:tcPr>
            <w:tcW w:w="0" w:type="auto"/>
            <w:vAlign w:val="center"/>
          </w:tcPr>
          <w:p w:rsidR="00C33E3C" w:rsidRDefault="008A77B9">
            <w:pPr>
              <w:jc w:val="right"/>
            </w:pPr>
            <w:r>
              <w:rPr>
                <w:color w:val="000000" w:themeColor="text1"/>
                <w:sz w:val="24"/>
              </w:rPr>
              <w:t>-5.94%</w:t>
            </w:r>
          </w:p>
        </w:tc>
        <w:tc>
          <w:tcPr>
            <w:tcW w:w="0" w:type="auto"/>
            <w:vAlign w:val="center"/>
          </w:tcPr>
          <w:p w:rsidR="00C33E3C" w:rsidRDefault="008A77B9">
            <w:pPr>
              <w:jc w:val="right"/>
            </w:pPr>
            <w:r>
              <w:rPr>
                <w:color w:val="000000" w:themeColor="text1"/>
                <w:sz w:val="24"/>
              </w:rPr>
              <w:t>0.18%</w:t>
            </w:r>
          </w:p>
        </w:tc>
      </w:tr>
    </w:tbl>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3.2.2</w:t>
      </w:r>
      <w:r w:rsidRPr="00A67563">
        <w:rPr>
          <w:b/>
          <w:color w:val="000000" w:themeColor="text1"/>
          <w:kern w:val="0"/>
          <w:sz w:val="24"/>
        </w:rPr>
        <w:t xml:space="preserve">　</w:t>
      </w:r>
      <w:r w:rsidR="009779FD" w:rsidRPr="00A67563">
        <w:rPr>
          <w:rStyle w:val="af8"/>
          <w:color w:val="000000" w:themeColor="text1"/>
          <w:sz w:val="24"/>
          <w:shd w:val="clear" w:color="auto" w:fill="FFFFFF"/>
        </w:rPr>
        <w:t>自基金合同生效以来</w:t>
      </w:r>
      <w:r w:rsidRPr="00A67563">
        <w:rPr>
          <w:b/>
          <w:color w:val="000000" w:themeColor="text1"/>
          <w:kern w:val="0"/>
          <w:sz w:val="24"/>
        </w:rPr>
        <w:t>基金累计</w:t>
      </w:r>
      <w:r w:rsidR="004339D9" w:rsidRPr="00A67563">
        <w:rPr>
          <w:b/>
          <w:color w:val="000000" w:themeColor="text1"/>
          <w:kern w:val="0"/>
          <w:sz w:val="24"/>
        </w:rPr>
        <w:t>份额</w:t>
      </w:r>
      <w:r w:rsidRPr="00A67563">
        <w:rPr>
          <w:b/>
          <w:color w:val="000000" w:themeColor="text1"/>
          <w:kern w:val="0"/>
          <w:sz w:val="24"/>
        </w:rPr>
        <w:t>净值增长率变动及其与同期业绩比较基准收益率变动的比较</w:t>
      </w:r>
    </w:p>
    <w:p w:rsidR="00A96FD9" w:rsidRPr="00A67563" w:rsidRDefault="00A96FD9" w:rsidP="00EC4BA3">
      <w:pPr>
        <w:spacing w:line="360" w:lineRule="auto"/>
        <w:jc w:val="center"/>
        <w:rPr>
          <w:color w:val="000000" w:themeColor="text1"/>
          <w:sz w:val="24"/>
        </w:rPr>
      </w:pPr>
      <w:r w:rsidRPr="00A67563">
        <w:rPr>
          <w:color w:val="000000" w:themeColor="text1"/>
          <w:sz w:val="24"/>
        </w:rPr>
        <w:t>易方达黄金主题证券投资基金（</w:t>
      </w:r>
      <w:r w:rsidRPr="00A67563">
        <w:rPr>
          <w:color w:val="000000" w:themeColor="text1"/>
          <w:sz w:val="24"/>
        </w:rPr>
        <w:t>LOF</w:t>
      </w:r>
      <w:r w:rsidRPr="00A67563">
        <w:rPr>
          <w:color w:val="000000" w:themeColor="text1"/>
          <w:sz w:val="24"/>
        </w:rPr>
        <w:t>）</w:t>
      </w:r>
    </w:p>
    <w:p w:rsidR="00520D90" w:rsidRDefault="0008610C" w:rsidP="00520D90">
      <w:pPr>
        <w:pStyle w:val="a5"/>
        <w:snapToGrid w:val="0"/>
        <w:spacing w:line="360" w:lineRule="auto"/>
        <w:ind w:firstLine="480"/>
        <w:jc w:val="center"/>
        <w:rPr>
          <w:rFonts w:ascii="Times New Roman" w:eastAsiaTheme="minorEastAsia" w:hAnsi="Times New Roman"/>
          <w:color w:val="000000" w:themeColor="text1"/>
          <w:sz w:val="24"/>
          <w:szCs w:val="24"/>
        </w:rPr>
      </w:pPr>
      <w:r>
        <w:rPr>
          <w:rFonts w:ascii="Times New Roman" w:hAnsi="Times New Roman" w:hint="eastAsia"/>
          <w:color w:val="000000"/>
          <w:sz w:val="24"/>
          <w:szCs w:val="24"/>
        </w:rPr>
        <w:t>累计净值增长率与业绩比较基准收益率的历史走势对比图</w:t>
      </w:r>
    </w:p>
    <w:p w:rsidR="00520D90" w:rsidRDefault="0065601A" w:rsidP="00520D90">
      <w:pPr>
        <w:snapToGrid w:val="0"/>
        <w:spacing w:line="360" w:lineRule="auto"/>
        <w:rPr>
          <w:rFonts w:eastAsiaTheme="minorEastAsia" w:hAnsiTheme="minorEastAsia"/>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p>
    <w:p w:rsidR="0065601A" w:rsidRPr="00520D90" w:rsidRDefault="00520D90" w:rsidP="00520D90">
      <w:pPr>
        <w:pStyle w:val="a5"/>
        <w:snapToGrid w:val="0"/>
        <w:spacing w:line="360" w:lineRule="auto"/>
        <w:jc w:val="center"/>
        <w:rPr>
          <w:rFonts w:ascii="Times New Roman" w:hAnsi="Times New Roman"/>
          <w:sz w:val="24"/>
          <w:szCs w:val="24"/>
        </w:rPr>
      </w:pPr>
      <w:r w:rsidRPr="00520D90">
        <w:rPr>
          <w:rFonts w:ascii="Times New Roman" w:hAnsi="Times New Roman"/>
          <w:sz w:val="24"/>
          <w:szCs w:val="24"/>
        </w:rPr>
        <w:t>（</w:t>
      </w:r>
      <w:r w:rsidRPr="00520D90">
        <w:rPr>
          <w:rFonts w:ascii="Times New Roman" w:hAnsi="Times New Roman"/>
          <w:sz w:val="24"/>
          <w:szCs w:val="24"/>
        </w:rPr>
        <w:t>2011</w:t>
      </w:r>
      <w:r w:rsidRPr="00520D90">
        <w:rPr>
          <w:rFonts w:ascii="Times New Roman" w:hAnsi="Times New Roman"/>
          <w:sz w:val="24"/>
          <w:szCs w:val="24"/>
        </w:rPr>
        <w:t>年</w:t>
      </w:r>
      <w:r w:rsidRPr="00520D90">
        <w:rPr>
          <w:rFonts w:ascii="Times New Roman" w:hAnsi="Times New Roman"/>
          <w:sz w:val="24"/>
          <w:szCs w:val="24"/>
        </w:rPr>
        <w:t>5</w:t>
      </w:r>
      <w:r w:rsidRPr="00520D90">
        <w:rPr>
          <w:rFonts w:ascii="Times New Roman" w:hAnsi="Times New Roman"/>
          <w:sz w:val="24"/>
          <w:szCs w:val="24"/>
        </w:rPr>
        <w:t>月</w:t>
      </w:r>
      <w:r w:rsidRPr="00520D90">
        <w:rPr>
          <w:rFonts w:ascii="Times New Roman" w:hAnsi="Times New Roman"/>
          <w:sz w:val="24"/>
          <w:szCs w:val="24"/>
        </w:rPr>
        <w:t>6</w:t>
      </w:r>
      <w:r w:rsidRPr="00520D90">
        <w:rPr>
          <w:rFonts w:ascii="Times New Roman" w:hAnsi="Times New Roman"/>
          <w:sz w:val="24"/>
          <w:szCs w:val="24"/>
        </w:rPr>
        <w:t>日至</w:t>
      </w:r>
      <w:r w:rsidRPr="00520D90">
        <w:rPr>
          <w:rFonts w:ascii="Times New Roman" w:hAnsi="Times New Roman"/>
          <w:sz w:val="24"/>
          <w:szCs w:val="24"/>
        </w:rPr>
        <w:t>2020</w:t>
      </w:r>
      <w:r w:rsidRPr="00520D90">
        <w:rPr>
          <w:rFonts w:ascii="Times New Roman" w:hAnsi="Times New Roman"/>
          <w:sz w:val="24"/>
          <w:szCs w:val="24"/>
        </w:rPr>
        <w:t>年</w:t>
      </w:r>
      <w:r w:rsidRPr="00520D90">
        <w:rPr>
          <w:rFonts w:ascii="Times New Roman" w:hAnsi="Times New Roman"/>
          <w:sz w:val="24"/>
          <w:szCs w:val="24"/>
        </w:rPr>
        <w:t>3</w:t>
      </w:r>
      <w:r w:rsidRPr="00520D90">
        <w:rPr>
          <w:rFonts w:ascii="Times New Roman" w:hAnsi="Times New Roman"/>
          <w:sz w:val="24"/>
          <w:szCs w:val="24"/>
        </w:rPr>
        <w:t>月</w:t>
      </w:r>
      <w:r w:rsidRPr="00520D90">
        <w:rPr>
          <w:rFonts w:ascii="Times New Roman" w:hAnsi="Times New Roman"/>
          <w:sz w:val="24"/>
          <w:szCs w:val="24"/>
        </w:rPr>
        <w:t>31</w:t>
      </w:r>
      <w:r w:rsidRPr="00520D90">
        <w:rPr>
          <w:rFonts w:ascii="Times New Roman" w:hAnsi="Times New Roman"/>
          <w:sz w:val="24"/>
          <w:szCs w:val="24"/>
        </w:rPr>
        <w:t>日）</w:t>
      </w:r>
    </w:p>
    <w:p w:rsidR="0065601A" w:rsidRPr="00A67563" w:rsidRDefault="0065601A" w:rsidP="0065601A">
      <w:pPr>
        <w:pStyle w:val="20"/>
        <w:spacing w:line="288" w:lineRule="auto"/>
        <w:ind w:firstLineChars="0" w:firstLine="0"/>
        <w:jc w:val="center"/>
        <w:rPr>
          <w:rFonts w:ascii="Times New Roman" w:hAnsi="Times New Roman"/>
          <w:color w:val="000000" w:themeColor="text1"/>
        </w:rPr>
      </w:pPr>
      <w:r w:rsidRPr="00A67563">
        <w:rPr>
          <w:rFonts w:ascii="Times New Roman"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520D90" w:rsidRDefault="0065601A" w:rsidP="00520D90">
      <w:pPr>
        <w:snapToGrid w:val="0"/>
        <w:spacing w:beforeLines="100" w:before="312" w:line="360" w:lineRule="auto"/>
        <w:rPr>
          <w:rFonts w:eastAsiaTheme="minorEastAsia" w:hAnsiTheme="minorEastAsia"/>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p>
    <w:p w:rsidR="0065601A" w:rsidRPr="00520D90" w:rsidRDefault="00520D90" w:rsidP="00520D90">
      <w:pPr>
        <w:pStyle w:val="a5"/>
        <w:snapToGrid w:val="0"/>
        <w:spacing w:line="360" w:lineRule="auto"/>
        <w:jc w:val="center"/>
        <w:rPr>
          <w:rFonts w:ascii="Times New Roman" w:hAnsi="Times New Roman"/>
          <w:sz w:val="24"/>
          <w:szCs w:val="24"/>
        </w:rPr>
      </w:pPr>
      <w:r w:rsidRPr="00520D90">
        <w:rPr>
          <w:rFonts w:ascii="Times New Roman" w:hAnsi="Times New Roman"/>
          <w:sz w:val="24"/>
          <w:szCs w:val="24"/>
        </w:rPr>
        <w:t>（</w:t>
      </w:r>
      <w:r w:rsidRPr="00520D90">
        <w:rPr>
          <w:rFonts w:ascii="Times New Roman" w:hAnsi="Times New Roman"/>
          <w:sz w:val="24"/>
          <w:szCs w:val="24"/>
        </w:rPr>
        <w:t>2019</w:t>
      </w:r>
      <w:r w:rsidRPr="00520D90">
        <w:rPr>
          <w:rFonts w:ascii="Times New Roman" w:hAnsi="Times New Roman"/>
          <w:sz w:val="24"/>
          <w:szCs w:val="24"/>
        </w:rPr>
        <w:t>年</w:t>
      </w:r>
      <w:r w:rsidRPr="00520D90">
        <w:rPr>
          <w:rFonts w:ascii="Times New Roman" w:hAnsi="Times New Roman"/>
          <w:sz w:val="24"/>
          <w:szCs w:val="24"/>
        </w:rPr>
        <w:t>10</w:t>
      </w:r>
      <w:r w:rsidRPr="00520D90">
        <w:rPr>
          <w:rFonts w:ascii="Times New Roman" w:hAnsi="Times New Roman"/>
          <w:sz w:val="24"/>
          <w:szCs w:val="24"/>
        </w:rPr>
        <w:t>月</w:t>
      </w:r>
      <w:r w:rsidRPr="00520D90">
        <w:rPr>
          <w:rFonts w:ascii="Times New Roman" w:hAnsi="Times New Roman"/>
          <w:sz w:val="24"/>
          <w:szCs w:val="24"/>
        </w:rPr>
        <w:t>14</w:t>
      </w:r>
      <w:r w:rsidRPr="00520D90">
        <w:rPr>
          <w:rFonts w:ascii="Times New Roman" w:hAnsi="Times New Roman"/>
          <w:sz w:val="24"/>
          <w:szCs w:val="24"/>
        </w:rPr>
        <w:t>日至</w:t>
      </w:r>
      <w:r w:rsidRPr="00520D90">
        <w:rPr>
          <w:rFonts w:ascii="Times New Roman" w:hAnsi="Times New Roman"/>
          <w:sz w:val="24"/>
          <w:szCs w:val="24"/>
        </w:rPr>
        <w:t>2020</w:t>
      </w:r>
      <w:r w:rsidRPr="00520D90">
        <w:rPr>
          <w:rFonts w:ascii="Times New Roman" w:hAnsi="Times New Roman"/>
          <w:sz w:val="24"/>
          <w:szCs w:val="24"/>
        </w:rPr>
        <w:t>年</w:t>
      </w:r>
      <w:r w:rsidRPr="00520D90">
        <w:rPr>
          <w:rFonts w:ascii="Times New Roman" w:hAnsi="Times New Roman"/>
          <w:sz w:val="24"/>
          <w:szCs w:val="24"/>
        </w:rPr>
        <w:t>3</w:t>
      </w:r>
      <w:r w:rsidRPr="00520D90">
        <w:rPr>
          <w:rFonts w:ascii="Times New Roman" w:hAnsi="Times New Roman"/>
          <w:sz w:val="24"/>
          <w:szCs w:val="24"/>
        </w:rPr>
        <w:t>月</w:t>
      </w:r>
      <w:r w:rsidRPr="00520D90">
        <w:rPr>
          <w:rFonts w:ascii="Times New Roman" w:hAnsi="Times New Roman"/>
          <w:sz w:val="24"/>
          <w:szCs w:val="24"/>
        </w:rPr>
        <w:t>31</w:t>
      </w:r>
      <w:r w:rsidRPr="00520D90">
        <w:rPr>
          <w:rFonts w:ascii="Times New Roman" w:hAnsi="Times New Roman"/>
          <w:sz w:val="24"/>
          <w:szCs w:val="24"/>
        </w:rPr>
        <w:t>日）</w:t>
      </w:r>
    </w:p>
    <w:p w:rsidR="0065601A" w:rsidRPr="00A67563" w:rsidRDefault="0065601A" w:rsidP="0065601A">
      <w:pPr>
        <w:pStyle w:val="20"/>
        <w:spacing w:line="288" w:lineRule="auto"/>
        <w:ind w:firstLineChars="0" w:firstLine="0"/>
        <w:jc w:val="center"/>
        <w:rPr>
          <w:rFonts w:ascii="Times New Roman" w:hAnsi="Times New Roman"/>
          <w:color w:val="000000" w:themeColor="text1"/>
        </w:rPr>
      </w:pPr>
      <w:r w:rsidRPr="00A67563">
        <w:rPr>
          <w:rFonts w:ascii="Times New Roman"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33E3C" w:rsidRDefault="008A77B9">
      <w:pPr>
        <w:autoSpaceDE w:val="0"/>
        <w:autoSpaceDN w:val="0"/>
        <w:adjustRightInd w:val="0"/>
        <w:spacing w:line="360" w:lineRule="auto"/>
        <w:ind w:firstLineChars="200" w:firstLine="480"/>
        <w:jc w:val="left"/>
        <w:rPr>
          <w:color w:val="000000" w:themeColor="text1"/>
          <w:sz w:val="24"/>
        </w:rPr>
      </w:pPr>
      <w:r>
        <w:rPr>
          <w:color w:val="000000" w:themeColor="text1"/>
          <w:sz w:val="24"/>
        </w:rPr>
        <w:t>注：</w:t>
      </w:r>
      <w:r>
        <w:rPr>
          <w:color w:val="000000" w:themeColor="text1"/>
          <w:sz w:val="24"/>
        </w:rPr>
        <w:t>1.</w:t>
      </w:r>
      <w:r>
        <w:rPr>
          <w:color w:val="000000" w:themeColor="text1"/>
          <w:sz w:val="24"/>
        </w:rPr>
        <w:t>自</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11</w:t>
      </w:r>
      <w:r>
        <w:rPr>
          <w:color w:val="000000" w:themeColor="text1"/>
          <w:sz w:val="24"/>
        </w:rPr>
        <w:t>日起，本基金增设</w:t>
      </w:r>
      <w:r>
        <w:rPr>
          <w:color w:val="000000" w:themeColor="text1"/>
          <w:sz w:val="24"/>
        </w:rPr>
        <w:t>C</w:t>
      </w:r>
      <w:r>
        <w:rPr>
          <w:color w:val="000000" w:themeColor="text1"/>
          <w:sz w:val="24"/>
        </w:rPr>
        <w:t>类份额类别，份额首次确认日为</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14</w:t>
      </w:r>
      <w:r>
        <w:rPr>
          <w:color w:val="000000" w:themeColor="text1"/>
          <w:sz w:val="24"/>
        </w:rPr>
        <w:t>日，增设当期的相关数据和指标按实际存续期计算。</w:t>
      </w:r>
    </w:p>
    <w:p w:rsidR="00C33E3C" w:rsidRDefault="008A77B9">
      <w:pPr>
        <w:autoSpaceDE w:val="0"/>
        <w:autoSpaceDN w:val="0"/>
        <w:adjustRightInd w:val="0"/>
        <w:spacing w:line="360" w:lineRule="auto"/>
        <w:ind w:firstLineChars="200" w:firstLine="480"/>
        <w:jc w:val="left"/>
        <w:rPr>
          <w:color w:val="000000" w:themeColor="text1"/>
          <w:sz w:val="24"/>
        </w:rPr>
      </w:pPr>
      <w:r>
        <w:rPr>
          <w:color w:val="000000" w:themeColor="text1"/>
          <w:sz w:val="24"/>
        </w:rPr>
        <w:t>2.</w:t>
      </w:r>
      <w:r>
        <w:rPr>
          <w:color w:val="000000" w:themeColor="text1"/>
          <w:sz w:val="24"/>
        </w:rPr>
        <w:t>自</w:t>
      </w:r>
      <w:r>
        <w:rPr>
          <w:color w:val="000000" w:themeColor="text1"/>
          <w:sz w:val="24"/>
        </w:rPr>
        <w:t>2019</w:t>
      </w:r>
      <w:r>
        <w:rPr>
          <w:color w:val="000000" w:themeColor="text1"/>
          <w:sz w:val="24"/>
        </w:rPr>
        <w:t>年</w:t>
      </w:r>
      <w:r>
        <w:rPr>
          <w:color w:val="000000" w:themeColor="text1"/>
          <w:sz w:val="24"/>
        </w:rPr>
        <w:t>10</w:t>
      </w:r>
      <w:r>
        <w:rPr>
          <w:color w:val="000000" w:themeColor="text1"/>
          <w:sz w:val="24"/>
        </w:rPr>
        <w:t>月</w:t>
      </w:r>
      <w:r>
        <w:rPr>
          <w:color w:val="000000" w:themeColor="text1"/>
          <w:sz w:val="24"/>
        </w:rPr>
        <w:t>11</w:t>
      </w:r>
      <w:r>
        <w:rPr>
          <w:color w:val="000000" w:themeColor="text1"/>
          <w:sz w:val="24"/>
        </w:rPr>
        <w:t>日起，本基金业绩比较基准由</w:t>
      </w:r>
      <w:r>
        <w:rPr>
          <w:color w:val="000000" w:themeColor="text1"/>
          <w:sz w:val="24"/>
        </w:rPr>
        <w:t>“</w:t>
      </w:r>
      <w:r>
        <w:rPr>
          <w:color w:val="000000" w:themeColor="text1"/>
          <w:sz w:val="24"/>
        </w:rPr>
        <w:t>以伦敦黄金市场下午定盘价计价的国际现货黄金（经汇率折算）</w:t>
      </w:r>
      <w:r>
        <w:rPr>
          <w:color w:val="000000" w:themeColor="text1"/>
          <w:sz w:val="24"/>
        </w:rPr>
        <w:t>”</w:t>
      </w:r>
      <w:r>
        <w:rPr>
          <w:color w:val="000000" w:themeColor="text1"/>
          <w:sz w:val="24"/>
        </w:rPr>
        <w:t>调整为</w:t>
      </w:r>
      <w:r>
        <w:rPr>
          <w:color w:val="000000" w:themeColor="text1"/>
          <w:sz w:val="24"/>
        </w:rPr>
        <w:t>“</w:t>
      </w:r>
      <w:r>
        <w:rPr>
          <w:color w:val="000000" w:themeColor="text1"/>
          <w:sz w:val="24"/>
        </w:rPr>
        <w:t>以伦敦黄金市场下午定盘价计价的国际现货黄金（经汇率折算）</w:t>
      </w:r>
      <w:r>
        <w:rPr>
          <w:color w:val="000000" w:themeColor="text1"/>
          <w:sz w:val="24"/>
        </w:rPr>
        <w:t>×50%+MSCI</w:t>
      </w:r>
      <w:r>
        <w:rPr>
          <w:color w:val="000000" w:themeColor="text1"/>
          <w:sz w:val="24"/>
        </w:rPr>
        <w:t>全球金矿股指数（</w:t>
      </w:r>
      <w:r>
        <w:rPr>
          <w:color w:val="000000" w:themeColor="text1"/>
          <w:sz w:val="24"/>
        </w:rPr>
        <w:t>MSCI ACWI SELECT GOLD MINERS IMI INDEX</w:t>
      </w:r>
      <w:r>
        <w:rPr>
          <w:color w:val="000000" w:themeColor="text1"/>
          <w:sz w:val="24"/>
        </w:rPr>
        <w:t>）</w:t>
      </w:r>
      <w:r>
        <w:rPr>
          <w:color w:val="000000" w:themeColor="text1"/>
          <w:sz w:val="24"/>
        </w:rPr>
        <w:t>×50%”</w:t>
      </w:r>
      <w:r>
        <w:rPr>
          <w:color w:val="000000" w:themeColor="text1"/>
          <w:sz w:val="24"/>
        </w:rPr>
        <w:t>。</w:t>
      </w:r>
      <w:r>
        <w:rPr>
          <w:color w:val="000000" w:themeColor="text1"/>
          <w:sz w:val="24"/>
        </w:rPr>
        <w:t>MSCI</w:t>
      </w:r>
      <w:r>
        <w:rPr>
          <w:color w:val="000000" w:themeColor="text1"/>
          <w:sz w:val="24"/>
        </w:rPr>
        <w:t>全球金矿股指数（</w:t>
      </w:r>
      <w:r>
        <w:rPr>
          <w:color w:val="000000" w:themeColor="text1"/>
          <w:sz w:val="24"/>
        </w:rPr>
        <w:t>MSCI ACWI SELECT GOLD MINERS IMI INDEX</w:t>
      </w:r>
      <w:r>
        <w:rPr>
          <w:color w:val="000000" w:themeColor="text1"/>
          <w:sz w:val="24"/>
        </w:rPr>
        <w:t>）由</w:t>
      </w:r>
      <w:r>
        <w:rPr>
          <w:color w:val="000000" w:themeColor="text1"/>
          <w:sz w:val="24"/>
        </w:rPr>
        <w:t>MSCI</w:t>
      </w:r>
      <w:r>
        <w:rPr>
          <w:color w:val="000000" w:themeColor="text1"/>
          <w:sz w:val="24"/>
        </w:rPr>
        <w:t>编制，由全球主要黄金采掘企业股票组成。而本基金为黄金主题基金，投资于基金的资产合计不低于本基金基金资</w:t>
      </w:r>
      <w:r>
        <w:rPr>
          <w:color w:val="000000" w:themeColor="text1"/>
          <w:sz w:val="24"/>
        </w:rPr>
        <w:t>产净值的</w:t>
      </w:r>
      <w:r>
        <w:rPr>
          <w:color w:val="000000" w:themeColor="text1"/>
          <w:sz w:val="24"/>
        </w:rPr>
        <w:t>60%</w:t>
      </w:r>
      <w:r>
        <w:rPr>
          <w:color w:val="000000" w:themeColor="text1"/>
          <w:sz w:val="24"/>
        </w:rPr>
        <w:t>，投资于基金的资产中不低于</w:t>
      </w:r>
      <w:r>
        <w:rPr>
          <w:color w:val="000000" w:themeColor="text1"/>
          <w:sz w:val="24"/>
        </w:rPr>
        <w:t>80%</w:t>
      </w:r>
      <w:r>
        <w:rPr>
          <w:color w:val="000000" w:themeColor="text1"/>
          <w:sz w:val="24"/>
        </w:rPr>
        <w:t>投资于黄金基金，黄金基金指黄金</w:t>
      </w:r>
      <w:r>
        <w:rPr>
          <w:color w:val="000000" w:themeColor="text1"/>
          <w:sz w:val="24"/>
        </w:rPr>
        <w:t>ETF</w:t>
      </w:r>
      <w:r>
        <w:rPr>
          <w:color w:val="000000" w:themeColor="text1"/>
          <w:sz w:val="24"/>
        </w:rPr>
        <w:t>（即跟踪黄金价格或黄金价格指数的</w:t>
      </w:r>
      <w:r>
        <w:rPr>
          <w:color w:val="000000" w:themeColor="text1"/>
          <w:sz w:val="24"/>
        </w:rPr>
        <w:t>ETF</w:t>
      </w:r>
      <w:r>
        <w:rPr>
          <w:color w:val="000000" w:themeColor="text1"/>
          <w:sz w:val="24"/>
        </w:rPr>
        <w:t>）及黄金股票基金（包括跟踪黄金股票指数的指数基金和</w:t>
      </w:r>
      <w:r>
        <w:rPr>
          <w:color w:val="000000" w:themeColor="text1"/>
          <w:sz w:val="24"/>
        </w:rPr>
        <w:t>ETF</w:t>
      </w:r>
      <w:r>
        <w:rPr>
          <w:color w:val="000000" w:themeColor="text1"/>
          <w:sz w:val="24"/>
        </w:rPr>
        <w:t>，以及</w:t>
      </w:r>
      <w:r>
        <w:rPr>
          <w:color w:val="000000" w:themeColor="text1"/>
          <w:sz w:val="24"/>
        </w:rPr>
        <w:t>80%</w:t>
      </w:r>
      <w:r>
        <w:rPr>
          <w:color w:val="000000" w:themeColor="text1"/>
          <w:sz w:val="24"/>
        </w:rPr>
        <w:t>以上基金资产投资于黄金采掘公司股票的主动基金）。基金管理人在对黄金基金、黄金采掘公司股票以及与其他资产进行主动配置的过程中，黄金价格和黄金采掘公司股票价格是影响投资判断的关键因素。采用</w:t>
      </w:r>
      <w:r>
        <w:rPr>
          <w:color w:val="000000" w:themeColor="text1"/>
          <w:sz w:val="24"/>
        </w:rPr>
        <w:t>“</w:t>
      </w:r>
      <w:r>
        <w:rPr>
          <w:color w:val="000000" w:themeColor="text1"/>
          <w:sz w:val="24"/>
        </w:rPr>
        <w:t>以伦敦黄金市场下午定盘价计价的国际现货黄金（经汇率折算）</w:t>
      </w:r>
      <w:r>
        <w:rPr>
          <w:color w:val="000000" w:themeColor="text1"/>
          <w:sz w:val="24"/>
        </w:rPr>
        <w:t>×50%+MSCI</w:t>
      </w:r>
      <w:r>
        <w:rPr>
          <w:color w:val="000000" w:themeColor="text1"/>
          <w:sz w:val="24"/>
        </w:rPr>
        <w:t>全球金矿股指数（</w:t>
      </w:r>
      <w:r>
        <w:rPr>
          <w:color w:val="000000" w:themeColor="text1"/>
          <w:sz w:val="24"/>
        </w:rPr>
        <w:t>MSCI ACWI SELECT GOLD MI</w:t>
      </w:r>
      <w:r>
        <w:rPr>
          <w:color w:val="000000" w:themeColor="text1"/>
          <w:sz w:val="24"/>
        </w:rPr>
        <w:t>NERS IMI INDEX</w:t>
      </w:r>
      <w:r>
        <w:rPr>
          <w:color w:val="000000" w:themeColor="text1"/>
          <w:sz w:val="24"/>
        </w:rPr>
        <w:t>）</w:t>
      </w:r>
      <w:r>
        <w:rPr>
          <w:color w:val="000000" w:themeColor="text1"/>
          <w:sz w:val="24"/>
        </w:rPr>
        <w:t>×50%”</w:t>
      </w:r>
      <w:r>
        <w:rPr>
          <w:color w:val="000000" w:themeColor="text1"/>
          <w:sz w:val="24"/>
        </w:rPr>
        <w:t>作为业绩比较基准，能够相对比较真实、客观地反映本基金的风险收益特征。基金业绩比较基准收益率在变更前后期间分别根据相应的指标计算。</w:t>
      </w:r>
    </w:p>
    <w:p w:rsidR="0065601A" w:rsidRPr="00A67563" w:rsidRDefault="0065601A"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3.</w:t>
      </w:r>
      <w:r w:rsidRPr="00A67563">
        <w:rPr>
          <w:color w:val="000000" w:themeColor="text1"/>
          <w:sz w:val="24"/>
        </w:rPr>
        <w:t>自基金合同生效至报告期末，</w:t>
      </w:r>
      <w:r w:rsidRPr="00A67563">
        <w:rPr>
          <w:color w:val="000000" w:themeColor="text1"/>
          <w:sz w:val="24"/>
        </w:rPr>
        <w:t>A</w:t>
      </w:r>
      <w:r w:rsidRPr="00A67563">
        <w:rPr>
          <w:color w:val="000000" w:themeColor="text1"/>
          <w:sz w:val="24"/>
        </w:rPr>
        <w:t>类基金份额净值增长率为</w:t>
      </w:r>
      <w:r w:rsidRPr="00A67563">
        <w:rPr>
          <w:color w:val="000000" w:themeColor="text1"/>
          <w:sz w:val="24"/>
        </w:rPr>
        <w:t>-24.80%</w:t>
      </w:r>
      <w:r w:rsidRPr="00A67563">
        <w:rPr>
          <w:color w:val="000000" w:themeColor="text1"/>
          <w:sz w:val="24"/>
        </w:rPr>
        <w:t>，同期业绩比较基准收益率为</w:t>
      </w:r>
      <w:r w:rsidRPr="00A67563">
        <w:rPr>
          <w:color w:val="000000" w:themeColor="text1"/>
          <w:sz w:val="24"/>
        </w:rPr>
        <w:t>5.26%</w:t>
      </w:r>
      <w:r w:rsidRPr="00A67563">
        <w:rPr>
          <w:color w:val="000000" w:themeColor="text1"/>
          <w:sz w:val="24"/>
        </w:rPr>
        <w:t>。</w:t>
      </w:r>
      <w:r w:rsidRPr="00A67563">
        <w:rPr>
          <w:color w:val="000000" w:themeColor="text1"/>
          <w:sz w:val="24"/>
        </w:rPr>
        <w:t>C</w:t>
      </w:r>
      <w:r w:rsidRPr="00A67563">
        <w:rPr>
          <w:color w:val="000000" w:themeColor="text1"/>
          <w:sz w:val="24"/>
        </w:rPr>
        <w:t>类基金份额净值增长率为</w:t>
      </w:r>
      <w:r w:rsidRPr="00A67563">
        <w:rPr>
          <w:color w:val="000000" w:themeColor="text1"/>
          <w:sz w:val="24"/>
        </w:rPr>
        <w:t>-6.46%</w:t>
      </w:r>
      <w:r w:rsidRPr="00A67563">
        <w:rPr>
          <w:color w:val="000000" w:themeColor="text1"/>
          <w:sz w:val="24"/>
        </w:rPr>
        <w:t>，同期业绩比较基准收益率为</w:t>
      </w:r>
      <w:r w:rsidRPr="00A67563">
        <w:rPr>
          <w:color w:val="000000" w:themeColor="text1"/>
          <w:sz w:val="24"/>
        </w:rPr>
        <w:t>-0.49%</w:t>
      </w:r>
      <w:r w:rsidRPr="00A67563">
        <w:rPr>
          <w:color w:val="000000" w:themeColor="text1"/>
          <w:sz w:val="24"/>
        </w:rPr>
        <w:t>。</w:t>
      </w:r>
    </w:p>
    <w:p w:rsidR="00845292" w:rsidRPr="00A67563" w:rsidRDefault="00845292" w:rsidP="0065601A">
      <w:pPr>
        <w:spacing w:line="360" w:lineRule="auto"/>
        <w:ind w:firstLineChars="200" w:firstLine="480"/>
        <w:rPr>
          <w:color w:val="000000" w:themeColor="text1"/>
          <w:sz w:val="24"/>
        </w:rPr>
      </w:pP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§4  </w:t>
      </w:r>
      <w:r w:rsidRPr="00A67563">
        <w:rPr>
          <w:color w:val="000000" w:themeColor="text1"/>
          <w:kern w:val="0"/>
          <w:sz w:val="24"/>
          <w:szCs w:val="24"/>
        </w:rPr>
        <w:t>管理人报告</w:t>
      </w:r>
    </w:p>
    <w:p w:rsidR="0040617F" w:rsidRPr="006506EF" w:rsidRDefault="0076518F" w:rsidP="0040617F">
      <w:pPr>
        <w:autoSpaceDE w:val="0"/>
        <w:autoSpaceDN w:val="0"/>
        <w:adjustRightInd w:val="0"/>
        <w:spacing w:line="360" w:lineRule="auto"/>
        <w:jc w:val="left"/>
        <w:rPr>
          <w:b/>
          <w:color w:val="000000"/>
          <w:kern w:val="0"/>
          <w:sz w:val="24"/>
        </w:rPr>
      </w:pPr>
      <w:r w:rsidRPr="00A67563">
        <w:rPr>
          <w:b/>
          <w:color w:val="000000" w:themeColor="text1"/>
          <w:kern w:val="0"/>
          <w:sz w:val="24"/>
        </w:rPr>
        <w:t xml:space="preserve">4.1 </w:t>
      </w:r>
      <w:r w:rsidRPr="00A67563">
        <w:rPr>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260"/>
        <w:gridCol w:w="1276"/>
        <w:gridCol w:w="1276"/>
        <w:gridCol w:w="850"/>
        <w:gridCol w:w="1418"/>
      </w:tblGrid>
      <w:tr w:rsidR="0040617F" w:rsidRPr="006506EF" w:rsidTr="000B42A7">
        <w:trPr>
          <w:cantSplit/>
          <w:trHeight w:val="292"/>
        </w:trPr>
        <w:tc>
          <w:tcPr>
            <w:tcW w:w="851"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姓名</w:t>
            </w:r>
          </w:p>
        </w:tc>
        <w:tc>
          <w:tcPr>
            <w:tcW w:w="3260"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职务</w:t>
            </w:r>
          </w:p>
        </w:tc>
        <w:tc>
          <w:tcPr>
            <w:tcW w:w="2552" w:type="dxa"/>
            <w:gridSpan w:val="2"/>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任本基金的基金经理期限</w:t>
            </w:r>
          </w:p>
        </w:tc>
        <w:tc>
          <w:tcPr>
            <w:tcW w:w="850" w:type="dxa"/>
            <w:vMerge w:val="restart"/>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证券从业年限</w:t>
            </w:r>
          </w:p>
        </w:tc>
        <w:tc>
          <w:tcPr>
            <w:tcW w:w="1418" w:type="dxa"/>
            <w:vMerge w:val="restart"/>
            <w:vAlign w:val="center"/>
          </w:tcPr>
          <w:p w:rsidR="0040617F" w:rsidRPr="006506EF" w:rsidRDefault="0040617F" w:rsidP="000B42A7">
            <w:pPr>
              <w:widowControl/>
              <w:spacing w:before="29" w:line="360" w:lineRule="auto"/>
              <w:ind w:left="17"/>
              <w:jc w:val="center"/>
              <w:rPr>
                <w:color w:val="000000"/>
                <w:kern w:val="0"/>
                <w:sz w:val="24"/>
              </w:rPr>
            </w:pPr>
            <w:r w:rsidRPr="006506EF">
              <w:rPr>
                <w:color w:val="000000"/>
                <w:kern w:val="0"/>
                <w:sz w:val="24"/>
              </w:rPr>
              <w:t>说明</w:t>
            </w:r>
          </w:p>
        </w:tc>
      </w:tr>
      <w:tr w:rsidR="0040617F" w:rsidRPr="006506EF" w:rsidTr="000B42A7">
        <w:trPr>
          <w:cantSplit/>
        </w:trPr>
        <w:tc>
          <w:tcPr>
            <w:tcW w:w="851" w:type="dxa"/>
            <w:vMerge/>
            <w:vAlign w:val="center"/>
          </w:tcPr>
          <w:p w:rsidR="0040617F" w:rsidRPr="006506EF" w:rsidRDefault="0040617F" w:rsidP="000B42A7">
            <w:pPr>
              <w:widowControl/>
              <w:spacing w:line="360" w:lineRule="auto"/>
              <w:jc w:val="left"/>
              <w:rPr>
                <w:color w:val="000000"/>
                <w:kern w:val="0"/>
                <w:sz w:val="24"/>
              </w:rPr>
            </w:pPr>
          </w:p>
        </w:tc>
        <w:tc>
          <w:tcPr>
            <w:tcW w:w="3260" w:type="dxa"/>
            <w:vMerge/>
            <w:vAlign w:val="center"/>
          </w:tcPr>
          <w:p w:rsidR="0040617F" w:rsidRPr="006506EF" w:rsidRDefault="0040617F" w:rsidP="000B42A7">
            <w:pPr>
              <w:widowControl/>
              <w:spacing w:line="360" w:lineRule="auto"/>
              <w:jc w:val="left"/>
              <w:rPr>
                <w:color w:val="000000"/>
                <w:kern w:val="0"/>
                <w:sz w:val="24"/>
              </w:rPr>
            </w:pPr>
          </w:p>
        </w:tc>
        <w:tc>
          <w:tcPr>
            <w:tcW w:w="1276" w:type="dxa"/>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任职日期</w:t>
            </w:r>
          </w:p>
        </w:tc>
        <w:tc>
          <w:tcPr>
            <w:tcW w:w="1276" w:type="dxa"/>
            <w:vAlign w:val="center"/>
          </w:tcPr>
          <w:p w:rsidR="0040617F" w:rsidRPr="006506EF" w:rsidRDefault="0040617F" w:rsidP="000B42A7">
            <w:pPr>
              <w:autoSpaceDE w:val="0"/>
              <w:autoSpaceDN w:val="0"/>
              <w:adjustRightInd w:val="0"/>
              <w:spacing w:before="29" w:line="360" w:lineRule="auto"/>
              <w:ind w:left="17"/>
              <w:jc w:val="center"/>
              <w:rPr>
                <w:color w:val="000000"/>
                <w:kern w:val="0"/>
                <w:sz w:val="24"/>
              </w:rPr>
            </w:pPr>
            <w:r w:rsidRPr="006506EF">
              <w:rPr>
                <w:color w:val="000000"/>
                <w:kern w:val="0"/>
                <w:sz w:val="24"/>
              </w:rPr>
              <w:t>离任日期</w:t>
            </w:r>
          </w:p>
        </w:tc>
        <w:tc>
          <w:tcPr>
            <w:tcW w:w="850" w:type="dxa"/>
            <w:vMerge/>
            <w:vAlign w:val="center"/>
          </w:tcPr>
          <w:p w:rsidR="0040617F" w:rsidRPr="006506EF" w:rsidRDefault="0040617F" w:rsidP="000B42A7">
            <w:pPr>
              <w:widowControl/>
              <w:spacing w:line="360" w:lineRule="auto"/>
              <w:jc w:val="left"/>
              <w:rPr>
                <w:color w:val="000000"/>
                <w:kern w:val="0"/>
                <w:sz w:val="24"/>
              </w:rPr>
            </w:pPr>
          </w:p>
        </w:tc>
        <w:tc>
          <w:tcPr>
            <w:tcW w:w="1418" w:type="dxa"/>
            <w:vMerge/>
            <w:vAlign w:val="center"/>
          </w:tcPr>
          <w:p w:rsidR="0040617F" w:rsidRPr="006506EF" w:rsidRDefault="0040617F" w:rsidP="000B42A7">
            <w:pPr>
              <w:widowControl/>
              <w:spacing w:line="360" w:lineRule="auto"/>
              <w:jc w:val="left"/>
              <w:rPr>
                <w:color w:val="000000"/>
                <w:kern w:val="0"/>
                <w:sz w:val="24"/>
              </w:rPr>
            </w:pPr>
          </w:p>
        </w:tc>
      </w:tr>
      <w:tr w:rsidR="00C33E3C">
        <w:tc>
          <w:tcPr>
            <w:tcW w:w="0" w:type="auto"/>
            <w:vAlign w:val="center"/>
          </w:tcPr>
          <w:p w:rsidR="00C33E3C" w:rsidRDefault="008A77B9">
            <w:pPr>
              <w:jc w:val="center"/>
            </w:pPr>
            <w:r>
              <w:rPr>
                <w:color w:val="000000"/>
                <w:sz w:val="24"/>
              </w:rPr>
              <w:t>周宇</w:t>
            </w:r>
          </w:p>
        </w:tc>
        <w:tc>
          <w:tcPr>
            <w:tcW w:w="0" w:type="auto"/>
            <w:vAlign w:val="center"/>
          </w:tcPr>
          <w:p w:rsidR="00C33E3C" w:rsidRDefault="008A77B9">
            <w:pPr>
              <w:jc w:val="left"/>
            </w:pPr>
            <w:r>
              <w:rPr>
                <w:color w:val="000000"/>
                <w:sz w:val="24"/>
              </w:rPr>
              <w:t>本基金的基金经理</w:t>
            </w:r>
          </w:p>
        </w:tc>
        <w:tc>
          <w:tcPr>
            <w:tcW w:w="0" w:type="auto"/>
            <w:vAlign w:val="center"/>
          </w:tcPr>
          <w:p w:rsidR="00C33E3C" w:rsidRDefault="008A77B9">
            <w:pPr>
              <w:jc w:val="center"/>
            </w:pPr>
            <w:r>
              <w:rPr>
                <w:color w:val="000000"/>
                <w:sz w:val="24"/>
              </w:rPr>
              <w:t>2017-04-21</w:t>
            </w:r>
          </w:p>
        </w:tc>
        <w:tc>
          <w:tcPr>
            <w:tcW w:w="0" w:type="auto"/>
            <w:vAlign w:val="center"/>
          </w:tcPr>
          <w:p w:rsidR="00C33E3C" w:rsidRDefault="008A77B9">
            <w:pPr>
              <w:jc w:val="center"/>
            </w:pPr>
            <w:r>
              <w:rPr>
                <w:color w:val="000000"/>
                <w:sz w:val="24"/>
              </w:rPr>
              <w:t>-</w:t>
            </w:r>
          </w:p>
        </w:tc>
        <w:tc>
          <w:tcPr>
            <w:tcW w:w="0" w:type="auto"/>
            <w:vAlign w:val="center"/>
          </w:tcPr>
          <w:p w:rsidR="00C33E3C" w:rsidRDefault="008A77B9">
            <w:pPr>
              <w:jc w:val="center"/>
            </w:pPr>
            <w:r>
              <w:rPr>
                <w:color w:val="000000"/>
                <w:sz w:val="24"/>
              </w:rPr>
              <w:t>9</w:t>
            </w:r>
            <w:r>
              <w:rPr>
                <w:color w:val="000000"/>
                <w:sz w:val="24"/>
              </w:rPr>
              <w:t>年</w:t>
            </w:r>
          </w:p>
        </w:tc>
        <w:tc>
          <w:tcPr>
            <w:tcW w:w="0" w:type="auto"/>
            <w:vAlign w:val="center"/>
          </w:tcPr>
          <w:p w:rsidR="00C33E3C" w:rsidRDefault="008A77B9">
            <w:pPr>
              <w:jc w:val="left"/>
            </w:pPr>
            <w:r>
              <w:rPr>
                <w:color w:val="000000"/>
                <w:sz w:val="24"/>
              </w:rPr>
              <w:t>硕士研究生，具有基金从业资格。曾任古根海姆投资管理公司全球宏观策略师，中国平安人寿保险总部投资管理中心策略经理，上海国泰君安证券资产管理有限公司研究发展部大类资产配置高级研究员。</w:t>
            </w:r>
          </w:p>
        </w:tc>
      </w:tr>
    </w:tbl>
    <w:p w:rsidR="00C33E3C" w:rsidRDefault="008A77B9">
      <w:pPr>
        <w:autoSpaceDE w:val="0"/>
        <w:autoSpaceDN w:val="0"/>
        <w:adjustRightInd w:val="0"/>
        <w:spacing w:line="360" w:lineRule="auto"/>
        <w:ind w:firstLineChars="200" w:firstLine="480"/>
        <w:jc w:val="left"/>
        <w:rPr>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A47E47" w:rsidRPr="00A67563" w:rsidRDefault="0040617F" w:rsidP="00120EAF">
      <w:pPr>
        <w:autoSpaceDE w:val="0"/>
        <w:autoSpaceDN w:val="0"/>
        <w:adjustRightInd w:val="0"/>
        <w:spacing w:line="360" w:lineRule="auto"/>
        <w:ind w:firstLineChars="200" w:firstLine="480"/>
        <w:jc w:val="left"/>
        <w:rPr>
          <w:color w:val="000000" w:themeColor="text1"/>
          <w:sz w:val="24"/>
        </w:rPr>
      </w:pPr>
      <w:r w:rsidRPr="006506EF">
        <w:rPr>
          <w:color w:val="000000"/>
          <w:sz w:val="24"/>
        </w:rPr>
        <w:t>2.</w:t>
      </w:r>
      <w:r w:rsidRPr="006506EF">
        <w:rPr>
          <w:color w:val="000000"/>
          <w:sz w:val="24"/>
        </w:rPr>
        <w:t>证券从业的含义遵从《证券业从业人员资格管理办法》的相关规定。</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4.</w:t>
      </w:r>
      <w:r w:rsidR="00F077D2" w:rsidRPr="00A67563">
        <w:rPr>
          <w:b/>
          <w:color w:val="000000" w:themeColor="text1"/>
          <w:kern w:val="0"/>
          <w:sz w:val="24"/>
        </w:rPr>
        <w:t>2</w:t>
      </w:r>
      <w:r w:rsidR="00A32FDA" w:rsidRPr="00A67563">
        <w:rPr>
          <w:b/>
          <w:color w:val="000000" w:themeColor="text1"/>
          <w:kern w:val="0"/>
          <w:sz w:val="24"/>
        </w:rPr>
        <w:t xml:space="preserve"> </w:t>
      </w:r>
      <w:r w:rsidRPr="00A67563">
        <w:rPr>
          <w:b/>
          <w:color w:val="000000" w:themeColor="text1"/>
          <w:kern w:val="0"/>
          <w:sz w:val="24"/>
        </w:rPr>
        <w:t>境外投资顾问为本基金提供投资建议的主要成员简介</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本基金没有聘请境外投资顾问。</w:t>
      </w:r>
    </w:p>
    <w:p w:rsidR="00FB47E0" w:rsidRPr="00A67563" w:rsidRDefault="00FB47E0" w:rsidP="008B6A4A">
      <w:pPr>
        <w:autoSpaceDE w:val="0"/>
        <w:autoSpaceDN w:val="0"/>
        <w:adjustRightInd w:val="0"/>
        <w:spacing w:line="360" w:lineRule="auto"/>
        <w:jc w:val="left"/>
        <w:rPr>
          <w:color w:val="000000" w:themeColor="text1"/>
          <w:kern w:val="0"/>
          <w:sz w:val="24"/>
        </w:rPr>
      </w:pPr>
    </w:p>
    <w:p w:rsidR="0008610C" w:rsidRDefault="0076518F" w:rsidP="0008610C">
      <w:pPr>
        <w:autoSpaceDE w:val="0"/>
        <w:autoSpaceDN w:val="0"/>
        <w:adjustRightInd w:val="0"/>
        <w:spacing w:line="360" w:lineRule="auto"/>
        <w:jc w:val="left"/>
        <w:rPr>
          <w:b/>
          <w:color w:val="000000"/>
          <w:kern w:val="0"/>
          <w:sz w:val="24"/>
        </w:rPr>
      </w:pPr>
      <w:r w:rsidRPr="00A67563">
        <w:rPr>
          <w:b/>
          <w:color w:val="000000" w:themeColor="text1"/>
          <w:kern w:val="0"/>
          <w:sz w:val="24"/>
        </w:rPr>
        <w:t>4.</w:t>
      </w:r>
      <w:r w:rsidR="00A32FDA" w:rsidRPr="00A67563">
        <w:rPr>
          <w:b/>
          <w:color w:val="000000" w:themeColor="text1"/>
          <w:kern w:val="0"/>
          <w:sz w:val="24"/>
        </w:rPr>
        <w:t>3</w:t>
      </w:r>
      <w:r w:rsidR="0008610C">
        <w:rPr>
          <w:rFonts w:hint="eastAsia"/>
          <w:b/>
          <w:color w:val="000000"/>
          <w:kern w:val="0"/>
          <w:sz w:val="24"/>
        </w:rPr>
        <w:t>报告期内本基金运作遵规守信情况说明</w:t>
      </w:r>
    </w:p>
    <w:p w:rsidR="00363E15" w:rsidRPr="00A67563" w:rsidRDefault="00363E15" w:rsidP="00636CF5">
      <w:pPr>
        <w:spacing w:line="360" w:lineRule="auto"/>
        <w:ind w:firstLineChars="200" w:firstLine="480"/>
        <w:rPr>
          <w:color w:val="000000" w:themeColor="text1"/>
          <w:sz w:val="24"/>
        </w:rPr>
      </w:pPr>
      <w:r w:rsidRPr="00A67563">
        <w:rPr>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6518F" w:rsidRPr="00A67563" w:rsidRDefault="0076518F" w:rsidP="00A70E23">
      <w:pPr>
        <w:autoSpaceDE w:val="0"/>
        <w:autoSpaceDN w:val="0"/>
        <w:adjustRightInd w:val="0"/>
        <w:spacing w:line="360" w:lineRule="auto"/>
        <w:jc w:val="left"/>
        <w:rPr>
          <w:color w:val="000000" w:themeColor="text1"/>
          <w:kern w:val="0"/>
          <w:sz w:val="24"/>
        </w:rPr>
      </w:pPr>
    </w:p>
    <w:p w:rsidR="0076518F" w:rsidRPr="00A67563" w:rsidRDefault="0076518F" w:rsidP="00A70E2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4.</w:t>
      </w:r>
      <w:r w:rsidR="00A32FDA" w:rsidRPr="00A67563">
        <w:rPr>
          <w:b/>
          <w:color w:val="000000" w:themeColor="text1"/>
          <w:kern w:val="0"/>
          <w:sz w:val="24"/>
        </w:rPr>
        <w:t>4</w:t>
      </w:r>
      <w:r w:rsidRPr="00A67563">
        <w:rPr>
          <w:b/>
          <w:color w:val="000000" w:themeColor="text1"/>
          <w:kern w:val="0"/>
          <w:sz w:val="24"/>
        </w:rPr>
        <w:t xml:space="preserve"> </w:t>
      </w:r>
      <w:r w:rsidRPr="00A67563">
        <w:rPr>
          <w:b/>
          <w:color w:val="000000" w:themeColor="text1"/>
          <w:kern w:val="0"/>
          <w:sz w:val="24"/>
        </w:rPr>
        <w:t>公平交易专项说明</w:t>
      </w:r>
    </w:p>
    <w:p w:rsidR="00AB42E2" w:rsidRPr="00A67563" w:rsidRDefault="00AB42E2" w:rsidP="00A70E23">
      <w:pPr>
        <w:spacing w:line="360" w:lineRule="auto"/>
        <w:rPr>
          <w:color w:val="000000" w:themeColor="text1"/>
          <w:sz w:val="24"/>
        </w:rPr>
      </w:pPr>
      <w:r w:rsidRPr="00A67563">
        <w:rPr>
          <w:color w:val="000000" w:themeColor="text1"/>
          <w:sz w:val="24"/>
        </w:rPr>
        <w:t>4.</w:t>
      </w:r>
      <w:r w:rsidR="00A32FDA" w:rsidRPr="00A67563">
        <w:rPr>
          <w:color w:val="000000" w:themeColor="text1"/>
          <w:sz w:val="24"/>
        </w:rPr>
        <w:t>4.1</w:t>
      </w:r>
      <w:r w:rsidRPr="00A67563">
        <w:rPr>
          <w:color w:val="000000" w:themeColor="text1"/>
          <w:sz w:val="24"/>
        </w:rPr>
        <w:t>公平交易制度的执行情况</w:t>
      </w:r>
    </w:p>
    <w:p w:rsidR="00AB42E2" w:rsidRPr="00A67563" w:rsidRDefault="001F3C28" w:rsidP="00797DD2">
      <w:pPr>
        <w:spacing w:line="360" w:lineRule="auto"/>
        <w:ind w:firstLineChars="200" w:firstLine="480"/>
        <w:rPr>
          <w:color w:val="000000" w:themeColor="text1"/>
          <w:sz w:val="24"/>
        </w:rPr>
      </w:pPr>
      <w:r w:rsidRPr="00A67563">
        <w:rPr>
          <w:color w:val="000000" w:themeColor="text1"/>
          <w:sz w:val="24"/>
        </w:rPr>
        <w:t>本基金管理人努力通过建立有纪律、规范化的投资研究和决策流程来确保公平对待不同投资组合，切实防范利益输送。本基金管理人制定了相应的投资权限管理制度、投资备选库管理制度和集中交易制度等，通过投资交易系统中的公平交易模块，同时依据境外市场的交易特点规范交易委托方式，以尽可能确保公平对待各投资组合。本报告期内，公平交易制度总体执行情况良好。</w:t>
      </w:r>
    </w:p>
    <w:p w:rsidR="00AB42E2" w:rsidRPr="00A67563" w:rsidRDefault="00AB42E2" w:rsidP="00A70E23">
      <w:pPr>
        <w:spacing w:line="360" w:lineRule="auto"/>
        <w:rPr>
          <w:color w:val="000000" w:themeColor="text1"/>
          <w:sz w:val="24"/>
        </w:rPr>
      </w:pPr>
      <w:r w:rsidRPr="00A67563">
        <w:rPr>
          <w:color w:val="000000" w:themeColor="text1"/>
          <w:sz w:val="24"/>
        </w:rPr>
        <w:t>4.</w:t>
      </w:r>
      <w:r w:rsidR="00A32FDA" w:rsidRPr="00A67563">
        <w:rPr>
          <w:color w:val="000000" w:themeColor="text1"/>
          <w:sz w:val="24"/>
        </w:rPr>
        <w:t>4</w:t>
      </w:r>
      <w:r w:rsidRPr="00A67563">
        <w:rPr>
          <w:color w:val="000000" w:themeColor="text1"/>
          <w:sz w:val="24"/>
        </w:rPr>
        <w:t>.</w:t>
      </w:r>
      <w:r w:rsidR="00A32FDA" w:rsidRPr="00A67563">
        <w:rPr>
          <w:color w:val="000000" w:themeColor="text1"/>
          <w:sz w:val="24"/>
        </w:rPr>
        <w:t>2</w:t>
      </w:r>
      <w:r w:rsidRPr="00A67563">
        <w:rPr>
          <w:color w:val="000000" w:themeColor="text1"/>
          <w:sz w:val="24"/>
        </w:rPr>
        <w:t>异常交易行为的专项说明</w:t>
      </w:r>
    </w:p>
    <w:p w:rsidR="00C33E3C" w:rsidRDefault="008A77B9">
      <w:pPr>
        <w:spacing w:line="360" w:lineRule="auto"/>
        <w:ind w:firstLineChars="200" w:firstLine="480"/>
        <w:rPr>
          <w:color w:val="000000" w:themeColor="text1"/>
          <w:sz w:val="24"/>
        </w:rPr>
      </w:pPr>
      <w:r>
        <w:rPr>
          <w:color w:val="000000" w:themeColor="text1"/>
          <w:sz w:val="24"/>
        </w:rPr>
        <w:t>本报告期内，公司旗下所有投资组合参与的交易所公开竞价交易中，同日反向交易成交较少的单边交易量超过该证券当日成交量的</w:t>
      </w:r>
      <w:r>
        <w:rPr>
          <w:color w:val="000000" w:themeColor="text1"/>
          <w:sz w:val="24"/>
        </w:rPr>
        <w:t>5%</w:t>
      </w:r>
      <w:r>
        <w:rPr>
          <w:color w:val="000000" w:themeColor="text1"/>
          <w:sz w:val="24"/>
        </w:rPr>
        <w:t>的交易共</w:t>
      </w:r>
      <w:r>
        <w:rPr>
          <w:color w:val="000000" w:themeColor="text1"/>
          <w:sz w:val="24"/>
        </w:rPr>
        <w:t>17</w:t>
      </w:r>
      <w:r>
        <w:rPr>
          <w:color w:val="000000" w:themeColor="text1"/>
          <w:sz w:val="24"/>
        </w:rPr>
        <w:t>次，全部为指</w:t>
      </w:r>
      <w:r>
        <w:rPr>
          <w:color w:val="000000" w:themeColor="text1"/>
          <w:sz w:val="24"/>
        </w:rPr>
        <w:t>数量化投资组合因投资策略需要和其他组合发生的反向交易。</w:t>
      </w:r>
    </w:p>
    <w:p w:rsidR="001F3C28" w:rsidRPr="00A67563" w:rsidRDefault="001F3C28" w:rsidP="00797DD2">
      <w:pPr>
        <w:spacing w:line="360" w:lineRule="auto"/>
        <w:ind w:firstLineChars="200" w:firstLine="480"/>
        <w:rPr>
          <w:color w:val="000000" w:themeColor="text1"/>
          <w:sz w:val="24"/>
        </w:rPr>
      </w:pPr>
      <w:r w:rsidRPr="00A67563">
        <w:rPr>
          <w:color w:val="000000" w:themeColor="text1"/>
          <w:sz w:val="24"/>
        </w:rPr>
        <w:t>本报告期内，未发现本基金有可能导致不公平交易和利益输送的异常交易。</w:t>
      </w:r>
    </w:p>
    <w:p w:rsidR="0076518F" w:rsidRPr="00A67563" w:rsidRDefault="0076518F" w:rsidP="00A70E23">
      <w:pPr>
        <w:autoSpaceDE w:val="0"/>
        <w:autoSpaceDN w:val="0"/>
        <w:adjustRightInd w:val="0"/>
        <w:spacing w:line="360" w:lineRule="auto"/>
        <w:jc w:val="left"/>
        <w:rPr>
          <w:color w:val="000000" w:themeColor="text1"/>
          <w:kern w:val="0"/>
          <w:sz w:val="24"/>
        </w:rPr>
      </w:pPr>
    </w:p>
    <w:p w:rsidR="0067094A" w:rsidRDefault="0076518F" w:rsidP="0067094A">
      <w:pPr>
        <w:autoSpaceDE w:val="0"/>
        <w:autoSpaceDN w:val="0"/>
        <w:adjustRightInd w:val="0"/>
        <w:spacing w:line="360" w:lineRule="auto"/>
        <w:jc w:val="left"/>
        <w:rPr>
          <w:sz w:val="24"/>
        </w:rPr>
      </w:pPr>
      <w:r w:rsidRPr="00A67563">
        <w:rPr>
          <w:b/>
          <w:color w:val="000000" w:themeColor="text1"/>
          <w:kern w:val="0"/>
          <w:sz w:val="24"/>
        </w:rPr>
        <w:t>4.</w:t>
      </w:r>
      <w:r w:rsidR="00A32FDA" w:rsidRPr="00A67563">
        <w:rPr>
          <w:b/>
          <w:color w:val="000000" w:themeColor="text1"/>
          <w:kern w:val="0"/>
          <w:sz w:val="24"/>
        </w:rPr>
        <w:t>5</w:t>
      </w:r>
      <w:r w:rsidRPr="00A67563">
        <w:rPr>
          <w:b/>
          <w:color w:val="000000" w:themeColor="text1"/>
          <w:kern w:val="0"/>
          <w:sz w:val="24"/>
        </w:rPr>
        <w:t xml:space="preserve"> </w:t>
      </w:r>
      <w:r w:rsidR="0067094A">
        <w:rPr>
          <w:rFonts w:hint="eastAsia"/>
          <w:b/>
          <w:color w:val="000000"/>
          <w:kern w:val="0"/>
          <w:sz w:val="24"/>
        </w:rPr>
        <w:t>报告期内基金的投资策略和业绩表现说明</w:t>
      </w:r>
    </w:p>
    <w:p w:rsidR="00C33E3C" w:rsidRDefault="008A77B9">
      <w:pPr>
        <w:spacing w:line="360" w:lineRule="auto"/>
        <w:ind w:firstLineChars="200" w:firstLine="480"/>
        <w:rPr>
          <w:color w:val="000000" w:themeColor="text1"/>
          <w:sz w:val="24"/>
        </w:rPr>
      </w:pPr>
      <w:r>
        <w:rPr>
          <w:color w:val="000000" w:themeColor="text1"/>
          <w:sz w:val="24"/>
        </w:rPr>
        <w:t>一季度，全球市场遭遇多重冲击引发剧烈震荡。驱动黄金和金矿股的因素从年初的中东风险，到疫情的蔓延和金融市场的流动性危机，对黄金和黄金类资产的走势造成了明显的影响。年初至今，黄金依然是大类资产中表现最佳的品种之一，而金矿股出现了分化。龙头企业如巴里克和纽蒙特，以强劲的资产负债表和较好的资源储备依然上涨，但多数金矿股，受累于部分矿山被迫停工、现</w:t>
      </w:r>
      <w:r>
        <w:rPr>
          <w:color w:val="000000" w:themeColor="text1"/>
          <w:sz w:val="24"/>
        </w:rPr>
        <w:t>金流恶化下信用风险的上升、以及</w:t>
      </w:r>
      <w:r>
        <w:rPr>
          <w:color w:val="000000" w:themeColor="text1"/>
          <w:sz w:val="24"/>
        </w:rPr>
        <w:t>ETF</w:t>
      </w:r>
      <w:r>
        <w:rPr>
          <w:color w:val="000000" w:themeColor="text1"/>
          <w:sz w:val="24"/>
        </w:rPr>
        <w:t>的投资者不加区分的抛售而出现显著跌幅。本基金一季度大体维持黄金</w:t>
      </w:r>
      <w:r>
        <w:rPr>
          <w:color w:val="000000" w:themeColor="text1"/>
          <w:sz w:val="24"/>
        </w:rPr>
        <w:t>ETF</w:t>
      </w:r>
      <w:r>
        <w:rPr>
          <w:color w:val="000000" w:themeColor="text1"/>
          <w:sz w:val="24"/>
        </w:rPr>
        <w:t>与金矿股基金的均衡配置，但受累于多数金矿股和金矿股</w:t>
      </w:r>
      <w:r>
        <w:rPr>
          <w:color w:val="000000" w:themeColor="text1"/>
          <w:sz w:val="24"/>
        </w:rPr>
        <w:t>ETF</w:t>
      </w:r>
      <w:r>
        <w:rPr>
          <w:color w:val="000000" w:themeColor="text1"/>
          <w:sz w:val="24"/>
        </w:rPr>
        <w:t>的抛售而跑输基准。</w:t>
      </w:r>
    </w:p>
    <w:p w:rsidR="00C33E3C" w:rsidRDefault="008A77B9">
      <w:pPr>
        <w:spacing w:line="360" w:lineRule="auto"/>
        <w:ind w:firstLineChars="200" w:firstLine="480"/>
        <w:rPr>
          <w:color w:val="000000" w:themeColor="text1"/>
          <w:sz w:val="24"/>
        </w:rPr>
      </w:pPr>
      <w:r>
        <w:rPr>
          <w:color w:val="000000" w:themeColor="text1"/>
          <w:sz w:val="24"/>
        </w:rPr>
        <w:t>类似的场景，我们在</w:t>
      </w:r>
      <w:r>
        <w:rPr>
          <w:color w:val="000000" w:themeColor="text1"/>
          <w:sz w:val="24"/>
        </w:rPr>
        <w:t>2000</w:t>
      </w:r>
      <w:r>
        <w:rPr>
          <w:color w:val="000000" w:themeColor="text1"/>
          <w:sz w:val="24"/>
        </w:rPr>
        <w:t>年和</w:t>
      </w:r>
      <w:r>
        <w:rPr>
          <w:color w:val="000000" w:themeColor="text1"/>
          <w:sz w:val="24"/>
        </w:rPr>
        <w:t>2008</w:t>
      </w:r>
      <w:r>
        <w:rPr>
          <w:color w:val="000000" w:themeColor="text1"/>
          <w:sz w:val="24"/>
        </w:rPr>
        <w:t>年的全球股票熊市均经历过。在</w:t>
      </w:r>
      <w:r>
        <w:rPr>
          <w:color w:val="000000" w:themeColor="text1"/>
          <w:sz w:val="24"/>
        </w:rPr>
        <w:t>2000</w:t>
      </w:r>
      <w:r>
        <w:rPr>
          <w:color w:val="000000" w:themeColor="text1"/>
          <w:sz w:val="24"/>
        </w:rPr>
        <w:t>年股票熊市期间，黄金与全球金矿股指数分别从当年高点下跌</w:t>
      </w:r>
      <w:r>
        <w:rPr>
          <w:color w:val="000000" w:themeColor="text1"/>
          <w:sz w:val="24"/>
        </w:rPr>
        <w:t>16%</w:t>
      </w:r>
      <w:r>
        <w:rPr>
          <w:color w:val="000000" w:themeColor="text1"/>
          <w:sz w:val="24"/>
        </w:rPr>
        <w:t>与</w:t>
      </w:r>
      <w:r>
        <w:rPr>
          <w:color w:val="000000" w:themeColor="text1"/>
          <w:sz w:val="24"/>
        </w:rPr>
        <w:t>43%</w:t>
      </w:r>
      <w:r>
        <w:rPr>
          <w:color w:val="000000" w:themeColor="text1"/>
          <w:sz w:val="24"/>
        </w:rPr>
        <w:t>，然后在接下来</w:t>
      </w:r>
      <w:r>
        <w:rPr>
          <w:color w:val="000000" w:themeColor="text1"/>
          <w:sz w:val="24"/>
        </w:rPr>
        <w:t>3</w:t>
      </w:r>
      <w:r>
        <w:rPr>
          <w:color w:val="000000" w:themeColor="text1"/>
          <w:sz w:val="24"/>
        </w:rPr>
        <w:t>年分别累计上涨</w:t>
      </w:r>
      <w:r>
        <w:rPr>
          <w:color w:val="000000" w:themeColor="text1"/>
          <w:sz w:val="24"/>
        </w:rPr>
        <w:t>45%</w:t>
      </w:r>
      <w:r>
        <w:rPr>
          <w:color w:val="000000" w:themeColor="text1"/>
          <w:sz w:val="24"/>
        </w:rPr>
        <w:t>与</w:t>
      </w:r>
      <w:r>
        <w:rPr>
          <w:color w:val="000000" w:themeColor="text1"/>
          <w:sz w:val="24"/>
        </w:rPr>
        <w:t>307%</w:t>
      </w:r>
      <w:r>
        <w:rPr>
          <w:color w:val="000000" w:themeColor="text1"/>
          <w:sz w:val="24"/>
        </w:rPr>
        <w:t>。在</w:t>
      </w:r>
      <w:r>
        <w:rPr>
          <w:color w:val="000000" w:themeColor="text1"/>
          <w:sz w:val="24"/>
        </w:rPr>
        <w:t>2008</w:t>
      </w:r>
      <w:r>
        <w:rPr>
          <w:color w:val="000000" w:themeColor="text1"/>
          <w:sz w:val="24"/>
        </w:rPr>
        <w:t>年全球金融危机时，黄金与全球金矿股指数分别从当年高点快速回撤</w:t>
      </w:r>
      <w:r>
        <w:rPr>
          <w:color w:val="000000" w:themeColor="text1"/>
          <w:sz w:val="24"/>
        </w:rPr>
        <w:t>29%</w:t>
      </w:r>
      <w:r>
        <w:rPr>
          <w:color w:val="000000" w:themeColor="text1"/>
          <w:sz w:val="24"/>
        </w:rPr>
        <w:t>与</w:t>
      </w:r>
      <w:r>
        <w:rPr>
          <w:color w:val="000000" w:themeColor="text1"/>
          <w:sz w:val="24"/>
        </w:rPr>
        <w:t>71%</w:t>
      </w:r>
      <w:r>
        <w:rPr>
          <w:color w:val="000000" w:themeColor="text1"/>
          <w:sz w:val="24"/>
        </w:rPr>
        <w:t>，然后在接下来</w:t>
      </w:r>
      <w:r>
        <w:rPr>
          <w:color w:val="000000" w:themeColor="text1"/>
          <w:sz w:val="24"/>
        </w:rPr>
        <w:t>3</w:t>
      </w:r>
      <w:r>
        <w:rPr>
          <w:color w:val="000000" w:themeColor="text1"/>
          <w:sz w:val="24"/>
        </w:rPr>
        <w:t>年分别累计上涨</w:t>
      </w:r>
      <w:r>
        <w:rPr>
          <w:color w:val="000000" w:themeColor="text1"/>
          <w:sz w:val="24"/>
        </w:rPr>
        <w:t>151%</w:t>
      </w:r>
      <w:r>
        <w:rPr>
          <w:color w:val="000000" w:themeColor="text1"/>
          <w:sz w:val="24"/>
        </w:rPr>
        <w:t>与</w:t>
      </w:r>
      <w:r>
        <w:rPr>
          <w:color w:val="000000" w:themeColor="text1"/>
          <w:sz w:val="24"/>
        </w:rPr>
        <w:t>290%</w:t>
      </w:r>
      <w:r>
        <w:rPr>
          <w:color w:val="000000" w:themeColor="text1"/>
          <w:sz w:val="24"/>
        </w:rPr>
        <w:t>。在本轮美股已经确认熊市后，全球央行料将长期维持着非常宽松的货币政策。而各国的财政政策将在未来打破通缩预期，压低实际利率水平。而美元多年牛市亦将宣告结束。失业压力对社会稳定和地缘政治环境的冲</w:t>
      </w:r>
      <w:r>
        <w:rPr>
          <w:color w:val="000000" w:themeColor="text1"/>
          <w:sz w:val="24"/>
        </w:rPr>
        <w:t>击将持续带动避险情绪的升级。</w:t>
      </w:r>
    </w:p>
    <w:p w:rsidR="00C33E3C" w:rsidRDefault="008A77B9">
      <w:pPr>
        <w:spacing w:line="360" w:lineRule="auto"/>
        <w:ind w:firstLineChars="200" w:firstLine="480"/>
        <w:rPr>
          <w:color w:val="000000" w:themeColor="text1"/>
          <w:sz w:val="24"/>
        </w:rPr>
      </w:pPr>
      <w:r>
        <w:rPr>
          <w:color w:val="000000" w:themeColor="text1"/>
          <w:sz w:val="24"/>
        </w:rPr>
        <w:t>我们对黄金和金矿股资产的牛市判断的核心因素非但没有改变，反而得到了进一步的确立和强化。短期的波动实际上是黄金资产多年牛市的前期必经的调整期，我们建议投资者保持耐心，更加积极的看待黄金资产的中长期前景。本基金亦将继续积极的管理，力争降低短期调整期的回撤，把握中长期的上涨行情，取得相对基准的超额收益。</w:t>
      </w:r>
    </w:p>
    <w:p w:rsidR="00FD7298" w:rsidRPr="00A67563" w:rsidRDefault="0067094A" w:rsidP="00F47E2F">
      <w:pPr>
        <w:spacing w:line="360" w:lineRule="auto"/>
        <w:ind w:firstLineChars="200" w:firstLine="480"/>
        <w:rPr>
          <w:color w:val="000000" w:themeColor="text1"/>
          <w:sz w:val="24"/>
        </w:rPr>
      </w:pPr>
      <w:r w:rsidRPr="00F47E2F">
        <w:rPr>
          <w:color w:val="000000" w:themeColor="text1"/>
          <w:sz w:val="24"/>
        </w:rPr>
        <w:t>截至报告期末，本基金</w:t>
      </w:r>
      <w:r w:rsidRPr="00F47E2F">
        <w:rPr>
          <w:color w:val="000000" w:themeColor="text1"/>
          <w:sz w:val="24"/>
        </w:rPr>
        <w:t>A</w:t>
      </w:r>
      <w:r w:rsidRPr="00F47E2F">
        <w:rPr>
          <w:color w:val="000000" w:themeColor="text1"/>
          <w:sz w:val="24"/>
        </w:rPr>
        <w:t>类基金份额净值为</w:t>
      </w:r>
      <w:r w:rsidRPr="00F47E2F">
        <w:rPr>
          <w:color w:val="000000" w:themeColor="text1"/>
          <w:sz w:val="24"/>
        </w:rPr>
        <w:t>0.752</w:t>
      </w:r>
      <w:r w:rsidRPr="00F47E2F">
        <w:rPr>
          <w:color w:val="000000" w:themeColor="text1"/>
          <w:sz w:val="24"/>
        </w:rPr>
        <w:t>元，本报告期份额净值增长率为</w:t>
      </w:r>
      <w:r w:rsidRPr="00F47E2F">
        <w:rPr>
          <w:color w:val="000000" w:themeColor="text1"/>
          <w:sz w:val="24"/>
        </w:rPr>
        <w:t>-12.05%</w:t>
      </w:r>
      <w:r w:rsidRPr="00F47E2F">
        <w:rPr>
          <w:color w:val="000000" w:themeColor="text1"/>
          <w:sz w:val="24"/>
        </w:rPr>
        <w:t>；</w:t>
      </w:r>
      <w:r w:rsidRPr="00F47E2F">
        <w:rPr>
          <w:color w:val="000000" w:themeColor="text1"/>
          <w:sz w:val="24"/>
        </w:rPr>
        <w:t>C</w:t>
      </w:r>
      <w:r w:rsidRPr="00F47E2F">
        <w:rPr>
          <w:color w:val="000000" w:themeColor="text1"/>
          <w:sz w:val="24"/>
        </w:rPr>
        <w:t>类基金份额净值为</w:t>
      </w:r>
      <w:r w:rsidRPr="00F47E2F">
        <w:rPr>
          <w:color w:val="000000" w:themeColor="text1"/>
          <w:sz w:val="24"/>
        </w:rPr>
        <w:t>0.753</w:t>
      </w:r>
      <w:r w:rsidRPr="00F47E2F">
        <w:rPr>
          <w:color w:val="000000" w:themeColor="text1"/>
          <w:sz w:val="24"/>
        </w:rPr>
        <w:t>元，本报告期份额净值增长率为</w:t>
      </w:r>
      <w:r w:rsidRPr="00F47E2F">
        <w:rPr>
          <w:color w:val="000000" w:themeColor="text1"/>
          <w:sz w:val="24"/>
        </w:rPr>
        <w:t>-11.93%</w:t>
      </w:r>
      <w:r w:rsidRPr="00F47E2F">
        <w:rPr>
          <w:color w:val="000000" w:themeColor="text1"/>
          <w:sz w:val="24"/>
        </w:rPr>
        <w:t>，同期业绩比较基准收益率为</w:t>
      </w:r>
      <w:r w:rsidRPr="00F47E2F">
        <w:rPr>
          <w:color w:val="000000" w:themeColor="text1"/>
          <w:sz w:val="24"/>
        </w:rPr>
        <w:t>-5.99%</w:t>
      </w:r>
      <w:r w:rsidRPr="00F47E2F">
        <w:rPr>
          <w:color w:val="000000" w:themeColor="text1"/>
          <w:sz w:val="24"/>
        </w:rPr>
        <w:t>。</w:t>
      </w:r>
    </w:p>
    <w:p w:rsidR="00C736BB" w:rsidRPr="00A67563" w:rsidRDefault="00C736BB" w:rsidP="00A70E23">
      <w:pPr>
        <w:spacing w:line="360" w:lineRule="auto"/>
        <w:ind w:firstLineChars="200" w:firstLine="480"/>
        <w:rPr>
          <w:color w:val="000000" w:themeColor="text1"/>
          <w:sz w:val="24"/>
        </w:rPr>
      </w:pP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§5  </w:t>
      </w:r>
      <w:r w:rsidRPr="00A67563">
        <w:rPr>
          <w:color w:val="000000" w:themeColor="text1"/>
          <w:kern w:val="0"/>
          <w:sz w:val="24"/>
          <w:szCs w:val="24"/>
        </w:rPr>
        <w:t>投资组合报告</w:t>
      </w:r>
    </w:p>
    <w:p w:rsidR="0076518F" w:rsidRPr="00A67563" w:rsidRDefault="0076518F"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 xml:space="preserve">5.1 </w:t>
      </w:r>
      <w:r w:rsidRPr="00A67563">
        <w:rPr>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67563" w:rsidTr="00592EFF">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序号</w:t>
            </w:r>
          </w:p>
        </w:tc>
        <w:tc>
          <w:tcPr>
            <w:tcW w:w="4253"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项目</w:t>
            </w:r>
          </w:p>
        </w:tc>
        <w:tc>
          <w:tcPr>
            <w:tcW w:w="2835"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金额</w:t>
            </w:r>
            <w:r w:rsidRPr="00A67563">
              <w:rPr>
                <w:color w:val="000000" w:themeColor="text1"/>
                <w:sz w:val="24"/>
              </w:rPr>
              <w:t>(</w:t>
            </w:r>
            <w:r w:rsidR="002655D4" w:rsidRPr="00A67563">
              <w:rPr>
                <w:color w:val="000000" w:themeColor="text1"/>
                <w:sz w:val="24"/>
              </w:rPr>
              <w:t>人民币</w:t>
            </w:r>
            <w:r w:rsidRPr="00A67563">
              <w:rPr>
                <w:color w:val="000000" w:themeColor="text1"/>
                <w:sz w:val="24"/>
              </w:rPr>
              <w:t>元</w:t>
            </w:r>
            <w:r w:rsidRPr="00A67563">
              <w:rPr>
                <w:color w:val="000000" w:themeColor="text1"/>
                <w:sz w:val="24"/>
              </w:rPr>
              <w:t>)</w:t>
            </w:r>
          </w:p>
        </w:tc>
        <w:tc>
          <w:tcPr>
            <w:tcW w:w="1559"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占基金总资产的比例</w:t>
            </w:r>
            <w:r w:rsidRPr="00A67563">
              <w:rPr>
                <w:color w:val="000000" w:themeColor="text1"/>
                <w:sz w:val="24"/>
              </w:rPr>
              <w:t>(%)</w:t>
            </w:r>
          </w:p>
        </w:tc>
      </w:tr>
      <w:tr w:rsidR="008277FF" w:rsidRPr="00A67563" w:rsidTr="00877D98">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r w:rsidRPr="00A67563">
              <w:rPr>
                <w:color w:val="000000" w:themeColor="text1"/>
                <w:sz w:val="24"/>
              </w:rPr>
              <w:t>1</w:t>
            </w:r>
          </w:p>
        </w:tc>
        <w:tc>
          <w:tcPr>
            <w:tcW w:w="4253" w:type="dxa"/>
            <w:shd w:val="clear" w:color="auto" w:fill="auto"/>
            <w:vAlign w:val="center"/>
          </w:tcPr>
          <w:p w:rsidR="00363E15" w:rsidRPr="00A67563" w:rsidRDefault="00363E15" w:rsidP="00877D98">
            <w:pPr>
              <w:spacing w:before="29" w:line="360" w:lineRule="auto"/>
              <w:ind w:left="17"/>
              <w:rPr>
                <w:color w:val="000000" w:themeColor="text1"/>
                <w:sz w:val="24"/>
              </w:rPr>
            </w:pPr>
            <w:r w:rsidRPr="00A67563">
              <w:rPr>
                <w:color w:val="000000" w:themeColor="text1"/>
                <w:sz w:val="24"/>
              </w:rPr>
              <w:t>权益投资</w:t>
            </w:r>
          </w:p>
        </w:tc>
        <w:tc>
          <w:tcPr>
            <w:tcW w:w="2835"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363E15" w:rsidRPr="00A67563" w:rsidRDefault="00363E15" w:rsidP="00B918B8">
            <w:pPr>
              <w:spacing w:before="29" w:line="360" w:lineRule="auto"/>
              <w:ind w:left="17"/>
              <w:jc w:val="center"/>
              <w:rPr>
                <w:color w:val="000000" w:themeColor="text1"/>
                <w:sz w:val="24"/>
              </w:rPr>
            </w:pPr>
          </w:p>
        </w:tc>
        <w:tc>
          <w:tcPr>
            <w:tcW w:w="4253" w:type="dxa"/>
            <w:shd w:val="clear" w:color="auto" w:fill="auto"/>
            <w:vAlign w:val="center"/>
          </w:tcPr>
          <w:p w:rsidR="00363E15" w:rsidRPr="00A67563" w:rsidRDefault="00363E15" w:rsidP="00877D98">
            <w:pPr>
              <w:spacing w:before="29" w:line="360" w:lineRule="auto"/>
              <w:ind w:left="17"/>
              <w:rPr>
                <w:color w:val="000000" w:themeColor="text1"/>
                <w:sz w:val="24"/>
              </w:rPr>
            </w:pPr>
            <w:r w:rsidRPr="00A67563">
              <w:rPr>
                <w:color w:val="000000" w:themeColor="text1"/>
                <w:sz w:val="24"/>
              </w:rPr>
              <w:t>其中：</w:t>
            </w:r>
            <w:r w:rsidR="00E462F4" w:rsidRPr="00A67563">
              <w:rPr>
                <w:color w:val="000000" w:themeColor="text1"/>
                <w:sz w:val="24"/>
              </w:rPr>
              <w:t>普通股</w:t>
            </w:r>
          </w:p>
        </w:tc>
        <w:tc>
          <w:tcPr>
            <w:tcW w:w="2835"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363E15" w:rsidRPr="00A67563" w:rsidRDefault="00363E15"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firstLineChars="300" w:firstLine="720"/>
              <w:rPr>
                <w:color w:val="000000" w:themeColor="text1"/>
                <w:sz w:val="24"/>
              </w:rPr>
            </w:pPr>
            <w:r w:rsidRPr="00A67563">
              <w:rPr>
                <w:color w:val="000000" w:themeColor="text1"/>
                <w:sz w:val="24"/>
              </w:rPr>
              <w:t>存托凭证</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CE4499" w:rsidRPr="00A67563" w:rsidRDefault="00CE4499" w:rsidP="00877D98">
            <w:pPr>
              <w:spacing w:before="29" w:line="360" w:lineRule="auto"/>
              <w:ind w:left="17"/>
              <w:jc w:val="center"/>
              <w:rPr>
                <w:color w:val="000000" w:themeColor="text1"/>
                <w:sz w:val="24"/>
              </w:rPr>
            </w:pPr>
          </w:p>
        </w:tc>
        <w:tc>
          <w:tcPr>
            <w:tcW w:w="4253" w:type="dxa"/>
            <w:shd w:val="clear" w:color="auto" w:fill="auto"/>
            <w:vAlign w:val="center"/>
          </w:tcPr>
          <w:p w:rsidR="00CE4499" w:rsidRPr="00A67563" w:rsidRDefault="00CE4499" w:rsidP="00877D98">
            <w:pPr>
              <w:spacing w:before="29" w:line="360" w:lineRule="auto"/>
              <w:ind w:left="17" w:firstLineChars="300" w:firstLine="720"/>
              <w:rPr>
                <w:color w:val="000000" w:themeColor="text1"/>
                <w:sz w:val="24"/>
              </w:rPr>
            </w:pPr>
            <w:r w:rsidRPr="00A67563">
              <w:rPr>
                <w:color w:val="000000" w:themeColor="text1"/>
                <w:sz w:val="24"/>
              </w:rPr>
              <w:t>优先股</w:t>
            </w:r>
          </w:p>
        </w:tc>
        <w:tc>
          <w:tcPr>
            <w:tcW w:w="2835"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CE4499" w:rsidRPr="00A67563" w:rsidRDefault="00CE4499" w:rsidP="00877D98">
            <w:pPr>
              <w:spacing w:before="29" w:line="360" w:lineRule="auto"/>
              <w:ind w:left="17"/>
              <w:jc w:val="center"/>
              <w:rPr>
                <w:color w:val="000000" w:themeColor="text1"/>
                <w:sz w:val="24"/>
              </w:rPr>
            </w:pPr>
          </w:p>
        </w:tc>
        <w:tc>
          <w:tcPr>
            <w:tcW w:w="4253" w:type="dxa"/>
            <w:shd w:val="clear" w:color="auto" w:fill="auto"/>
            <w:vAlign w:val="center"/>
          </w:tcPr>
          <w:p w:rsidR="00CE4499" w:rsidRPr="00A67563" w:rsidRDefault="00CE4499" w:rsidP="00877D98">
            <w:pPr>
              <w:spacing w:before="29" w:line="360" w:lineRule="auto"/>
              <w:ind w:left="17" w:firstLineChars="300" w:firstLine="720"/>
              <w:rPr>
                <w:color w:val="000000" w:themeColor="text1"/>
                <w:sz w:val="24"/>
              </w:rPr>
            </w:pPr>
            <w:r w:rsidRPr="00A67563">
              <w:rPr>
                <w:color w:val="000000" w:themeColor="text1"/>
                <w:sz w:val="24"/>
              </w:rPr>
              <w:t>房地产信托</w:t>
            </w:r>
          </w:p>
        </w:tc>
        <w:tc>
          <w:tcPr>
            <w:tcW w:w="2835"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CE4499" w:rsidRPr="00A67563" w:rsidRDefault="00CE449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adjustRightInd w:val="0"/>
              <w:snapToGrid w:val="0"/>
              <w:spacing w:line="400" w:lineRule="exact"/>
              <w:jc w:val="center"/>
              <w:rPr>
                <w:color w:val="000000" w:themeColor="text1"/>
                <w:sz w:val="24"/>
              </w:rPr>
            </w:pPr>
            <w:r w:rsidRPr="00A67563">
              <w:rPr>
                <w:color w:val="000000" w:themeColor="text1"/>
                <w:sz w:val="24"/>
              </w:rPr>
              <w:t>2</w:t>
            </w: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基金投资</w:t>
            </w:r>
          </w:p>
        </w:tc>
        <w:tc>
          <w:tcPr>
            <w:tcW w:w="2835" w:type="dxa"/>
            <w:shd w:val="clear" w:color="auto" w:fill="auto"/>
            <w:vAlign w:val="center"/>
          </w:tcPr>
          <w:p w:rsidR="00E462F4" w:rsidRPr="00A67563" w:rsidRDefault="006C4E16" w:rsidP="00BF1DD5">
            <w:pPr>
              <w:spacing w:before="29" w:line="360" w:lineRule="auto"/>
              <w:ind w:left="17"/>
              <w:jc w:val="right"/>
              <w:rPr>
                <w:color w:val="000000" w:themeColor="text1"/>
                <w:sz w:val="24"/>
              </w:rPr>
            </w:pPr>
            <w:r w:rsidRPr="00A67563">
              <w:rPr>
                <w:color w:val="000000" w:themeColor="text1"/>
                <w:sz w:val="24"/>
              </w:rPr>
              <w:t>256,584,828.21</w:t>
            </w:r>
          </w:p>
        </w:tc>
        <w:tc>
          <w:tcPr>
            <w:tcW w:w="1559" w:type="dxa"/>
            <w:shd w:val="clear" w:color="auto" w:fill="auto"/>
            <w:vAlign w:val="center"/>
          </w:tcPr>
          <w:p w:rsidR="00E462F4" w:rsidRPr="00A67563" w:rsidRDefault="006C4E16" w:rsidP="00BF1DD5">
            <w:pPr>
              <w:spacing w:before="29" w:line="360" w:lineRule="auto"/>
              <w:ind w:left="17"/>
              <w:jc w:val="right"/>
              <w:rPr>
                <w:color w:val="000000" w:themeColor="text1"/>
                <w:sz w:val="24"/>
              </w:rPr>
            </w:pPr>
            <w:r w:rsidRPr="00A67563">
              <w:rPr>
                <w:color w:val="000000" w:themeColor="text1"/>
                <w:sz w:val="24"/>
              </w:rPr>
              <w:t>85.99</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r w:rsidRPr="00A67563">
              <w:rPr>
                <w:color w:val="000000" w:themeColor="text1"/>
                <w:sz w:val="24"/>
              </w:rPr>
              <w:t>3</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固定收益投资</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其中：债券</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utoSpaceDE w:val="0"/>
              <w:autoSpaceDN w:val="0"/>
              <w:adjustRightInd w:val="0"/>
              <w:spacing w:before="29" w:line="360" w:lineRule="auto"/>
              <w:ind w:left="17" w:firstLineChars="300" w:firstLine="720"/>
              <w:rPr>
                <w:color w:val="000000" w:themeColor="text1"/>
                <w:sz w:val="24"/>
              </w:rPr>
            </w:pPr>
            <w:r w:rsidRPr="00A67563">
              <w:rPr>
                <w:color w:val="000000" w:themeColor="text1"/>
                <w:sz w:val="24"/>
              </w:rPr>
              <w:t>资产支持证券</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r w:rsidRPr="00A67563">
              <w:rPr>
                <w:color w:val="000000" w:themeColor="text1"/>
                <w:sz w:val="24"/>
              </w:rPr>
              <w:t>4</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金融衍生品投资</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其中：远期</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Del="00455464" w:rsidRDefault="00E462F4" w:rsidP="00877D98">
            <w:pPr>
              <w:adjustRightInd w:val="0"/>
              <w:snapToGrid w:val="0"/>
              <w:spacing w:line="400" w:lineRule="exact"/>
              <w:ind w:firstLineChars="300" w:firstLine="720"/>
              <w:rPr>
                <w:color w:val="000000" w:themeColor="text1"/>
                <w:sz w:val="24"/>
              </w:rPr>
            </w:pPr>
            <w:r w:rsidRPr="00A67563">
              <w:rPr>
                <w:color w:val="000000" w:themeColor="text1"/>
                <w:sz w:val="24"/>
              </w:rPr>
              <w:t>期货</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B918B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ind w:firstLineChars="300" w:firstLine="720"/>
              <w:rPr>
                <w:color w:val="000000" w:themeColor="text1"/>
                <w:sz w:val="24"/>
              </w:rPr>
            </w:pPr>
            <w:r w:rsidRPr="00A67563">
              <w:rPr>
                <w:color w:val="000000" w:themeColor="text1"/>
                <w:sz w:val="24"/>
              </w:rPr>
              <w:t>期权</w:t>
            </w:r>
          </w:p>
        </w:tc>
        <w:tc>
          <w:tcPr>
            <w:tcW w:w="2835"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adjustRightInd w:val="0"/>
              <w:snapToGrid w:val="0"/>
              <w:spacing w:line="400" w:lineRule="exact"/>
              <w:ind w:firstLineChars="298" w:firstLine="715"/>
              <w:rPr>
                <w:color w:val="000000" w:themeColor="text1"/>
                <w:sz w:val="24"/>
              </w:rPr>
            </w:pPr>
            <w:r w:rsidRPr="00A67563">
              <w:rPr>
                <w:color w:val="000000" w:themeColor="text1"/>
                <w:sz w:val="24"/>
              </w:rPr>
              <w:t>权证</w:t>
            </w:r>
          </w:p>
        </w:tc>
        <w:tc>
          <w:tcPr>
            <w:tcW w:w="2835" w:type="dxa"/>
            <w:shd w:val="clear" w:color="auto" w:fill="auto"/>
            <w:vAlign w:val="center"/>
          </w:tcPr>
          <w:p w:rsidR="00E462F4" w:rsidRPr="00A67563" w:rsidRDefault="00664F49" w:rsidP="00877D98">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664F49" w:rsidP="00877D98">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r w:rsidRPr="00A67563">
              <w:rPr>
                <w:color w:val="000000" w:themeColor="text1"/>
                <w:sz w:val="24"/>
              </w:rPr>
              <w:t>5</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买入返售金融资产</w:t>
            </w:r>
          </w:p>
        </w:tc>
        <w:tc>
          <w:tcPr>
            <w:tcW w:w="2835" w:type="dxa"/>
            <w:shd w:val="clear" w:color="auto" w:fill="auto"/>
            <w:vAlign w:val="center"/>
          </w:tcPr>
          <w:p w:rsidR="00E462F4" w:rsidRPr="00A67563" w:rsidRDefault="00E462F4" w:rsidP="00877D98">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877D98">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其中：买断式回购的买入返售金融资产</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adjustRightInd w:val="0"/>
              <w:snapToGrid w:val="0"/>
              <w:spacing w:line="400" w:lineRule="exact"/>
              <w:jc w:val="center"/>
              <w:rPr>
                <w:color w:val="000000" w:themeColor="text1"/>
                <w:sz w:val="24"/>
              </w:rPr>
            </w:pPr>
            <w:r w:rsidRPr="00A67563">
              <w:rPr>
                <w:color w:val="000000" w:themeColor="text1"/>
                <w:sz w:val="24"/>
              </w:rPr>
              <w:t>6</w:t>
            </w:r>
          </w:p>
        </w:tc>
        <w:tc>
          <w:tcPr>
            <w:tcW w:w="4253" w:type="dxa"/>
            <w:shd w:val="clear" w:color="auto" w:fill="auto"/>
            <w:vAlign w:val="center"/>
          </w:tcPr>
          <w:p w:rsidR="00E462F4" w:rsidRPr="00A67563" w:rsidRDefault="00E462F4" w:rsidP="00877D98">
            <w:pPr>
              <w:adjustRightInd w:val="0"/>
              <w:snapToGrid w:val="0"/>
              <w:spacing w:line="400" w:lineRule="exact"/>
              <w:rPr>
                <w:color w:val="000000" w:themeColor="text1"/>
                <w:sz w:val="24"/>
              </w:rPr>
            </w:pPr>
            <w:r w:rsidRPr="00A67563">
              <w:rPr>
                <w:color w:val="000000" w:themeColor="text1"/>
                <w:sz w:val="24"/>
              </w:rPr>
              <w:t>货币市场工具</w:t>
            </w:r>
          </w:p>
        </w:tc>
        <w:tc>
          <w:tcPr>
            <w:tcW w:w="2835" w:type="dxa"/>
            <w:shd w:val="clear" w:color="auto" w:fill="auto"/>
            <w:vAlign w:val="center"/>
          </w:tcPr>
          <w:p w:rsidR="00E462F4" w:rsidRPr="00A67563" w:rsidRDefault="00CE7FC6" w:rsidP="00BF1DD5">
            <w:pPr>
              <w:spacing w:before="29" w:line="360" w:lineRule="auto"/>
              <w:ind w:left="17"/>
              <w:jc w:val="right"/>
              <w:rPr>
                <w:color w:val="000000" w:themeColor="text1"/>
                <w:sz w:val="24"/>
              </w:rPr>
            </w:pPr>
            <w:r w:rsidRPr="00A67563">
              <w:rPr>
                <w:color w:val="000000" w:themeColor="text1"/>
                <w:sz w:val="24"/>
              </w:rPr>
              <w:t>-</w:t>
            </w:r>
          </w:p>
        </w:tc>
        <w:tc>
          <w:tcPr>
            <w:tcW w:w="1559" w:type="dxa"/>
            <w:shd w:val="clear" w:color="auto" w:fill="auto"/>
            <w:vAlign w:val="center"/>
          </w:tcPr>
          <w:p w:rsidR="00E462F4" w:rsidRPr="00A67563" w:rsidRDefault="00CE7FC6" w:rsidP="00BF1DD5">
            <w:pPr>
              <w:spacing w:before="29" w:line="360" w:lineRule="auto"/>
              <w:ind w:left="17"/>
              <w:jc w:val="right"/>
              <w:rPr>
                <w:color w:val="000000" w:themeColor="text1"/>
                <w:sz w:val="24"/>
              </w:rPr>
            </w:pPr>
            <w:r w:rsidRPr="00A67563">
              <w:rPr>
                <w:color w:val="000000" w:themeColor="text1"/>
                <w:sz w:val="24"/>
              </w:rPr>
              <w:t>-</w:t>
            </w:r>
          </w:p>
        </w:tc>
      </w:tr>
      <w:tr w:rsidR="008277FF" w:rsidRPr="00A67563" w:rsidTr="00877D98">
        <w:tc>
          <w:tcPr>
            <w:tcW w:w="851" w:type="dxa"/>
            <w:shd w:val="clear" w:color="auto" w:fill="auto"/>
            <w:vAlign w:val="center"/>
          </w:tcPr>
          <w:p w:rsidR="00E462F4" w:rsidRPr="00A67563" w:rsidRDefault="00E462F4" w:rsidP="00877D98">
            <w:pPr>
              <w:spacing w:before="29" w:line="360" w:lineRule="auto"/>
              <w:ind w:left="17"/>
              <w:jc w:val="center"/>
              <w:rPr>
                <w:color w:val="000000" w:themeColor="text1"/>
                <w:sz w:val="24"/>
              </w:rPr>
            </w:pPr>
            <w:r w:rsidRPr="00A67563">
              <w:rPr>
                <w:color w:val="000000" w:themeColor="text1"/>
                <w:sz w:val="24"/>
              </w:rPr>
              <w:t>7</w:t>
            </w:r>
          </w:p>
        </w:tc>
        <w:tc>
          <w:tcPr>
            <w:tcW w:w="4253" w:type="dxa"/>
            <w:shd w:val="clear" w:color="auto" w:fill="auto"/>
            <w:vAlign w:val="center"/>
          </w:tcPr>
          <w:p w:rsidR="00E462F4" w:rsidRPr="00A67563" w:rsidRDefault="00E462F4" w:rsidP="00877D98">
            <w:pPr>
              <w:spacing w:before="29" w:line="360" w:lineRule="auto"/>
              <w:ind w:left="17"/>
              <w:rPr>
                <w:color w:val="000000" w:themeColor="text1"/>
                <w:sz w:val="24"/>
              </w:rPr>
            </w:pPr>
            <w:r w:rsidRPr="00A67563">
              <w:rPr>
                <w:color w:val="000000" w:themeColor="text1"/>
                <w:sz w:val="24"/>
              </w:rPr>
              <w:t>银行存款和结算备付金合计</w:t>
            </w:r>
          </w:p>
        </w:tc>
        <w:tc>
          <w:tcPr>
            <w:tcW w:w="2835"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41,371,128.46</w:t>
            </w:r>
          </w:p>
        </w:tc>
        <w:tc>
          <w:tcPr>
            <w:tcW w:w="1559" w:type="dxa"/>
            <w:shd w:val="clear" w:color="auto" w:fill="auto"/>
            <w:vAlign w:val="center"/>
          </w:tcPr>
          <w:p w:rsidR="00E462F4" w:rsidRPr="00A67563" w:rsidRDefault="00E462F4" w:rsidP="00BF1DD5">
            <w:pPr>
              <w:spacing w:before="29" w:line="360" w:lineRule="auto"/>
              <w:ind w:left="17"/>
              <w:jc w:val="right"/>
              <w:rPr>
                <w:color w:val="000000" w:themeColor="text1"/>
                <w:sz w:val="24"/>
              </w:rPr>
            </w:pPr>
            <w:r w:rsidRPr="00A67563">
              <w:rPr>
                <w:color w:val="000000" w:themeColor="text1"/>
                <w:sz w:val="24"/>
              </w:rPr>
              <w:t>13.87</w:t>
            </w:r>
          </w:p>
        </w:tc>
      </w:tr>
      <w:tr w:rsidR="008277FF" w:rsidRPr="00A67563" w:rsidTr="00797DD2">
        <w:tc>
          <w:tcPr>
            <w:tcW w:w="851" w:type="dxa"/>
            <w:shd w:val="clear" w:color="auto" w:fill="auto"/>
            <w:vAlign w:val="center"/>
          </w:tcPr>
          <w:p w:rsidR="00E462F4" w:rsidRPr="00A67563" w:rsidRDefault="00E462F4" w:rsidP="00466B17">
            <w:pPr>
              <w:spacing w:before="29" w:line="360" w:lineRule="auto"/>
              <w:ind w:left="17"/>
              <w:jc w:val="center"/>
              <w:rPr>
                <w:color w:val="000000" w:themeColor="text1"/>
                <w:sz w:val="24"/>
              </w:rPr>
            </w:pPr>
            <w:r w:rsidRPr="00A67563">
              <w:rPr>
                <w:color w:val="000000" w:themeColor="text1"/>
                <w:sz w:val="24"/>
              </w:rPr>
              <w:t>8</w:t>
            </w:r>
          </w:p>
        </w:tc>
        <w:tc>
          <w:tcPr>
            <w:tcW w:w="4253" w:type="dxa"/>
            <w:shd w:val="clear" w:color="auto" w:fill="auto"/>
            <w:vAlign w:val="center"/>
          </w:tcPr>
          <w:p w:rsidR="00E462F4" w:rsidRPr="00A67563" w:rsidRDefault="001457F4" w:rsidP="00797DD2">
            <w:pPr>
              <w:rPr>
                <w:color w:val="000000" w:themeColor="text1"/>
                <w:sz w:val="24"/>
              </w:rPr>
            </w:pPr>
            <w:r>
              <w:rPr>
                <w:color w:val="000000" w:themeColor="text1"/>
                <w:sz w:val="24"/>
              </w:rPr>
              <w:t>其他</w:t>
            </w:r>
            <w:r w:rsidR="00E462F4" w:rsidRPr="00A67563">
              <w:rPr>
                <w:color w:val="000000" w:themeColor="text1"/>
                <w:sz w:val="24"/>
              </w:rPr>
              <w:t>资产</w:t>
            </w:r>
          </w:p>
        </w:tc>
        <w:tc>
          <w:tcPr>
            <w:tcW w:w="2835"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417,689.02</w:t>
            </w:r>
          </w:p>
        </w:tc>
        <w:tc>
          <w:tcPr>
            <w:tcW w:w="1559"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0.14</w:t>
            </w:r>
          </w:p>
        </w:tc>
      </w:tr>
      <w:tr w:rsidR="008277FF" w:rsidRPr="00A67563" w:rsidTr="00797DD2">
        <w:tc>
          <w:tcPr>
            <w:tcW w:w="851" w:type="dxa"/>
            <w:shd w:val="clear" w:color="auto" w:fill="auto"/>
            <w:vAlign w:val="center"/>
          </w:tcPr>
          <w:p w:rsidR="00E462F4" w:rsidRPr="00A67563" w:rsidRDefault="00E462F4" w:rsidP="00466B17">
            <w:pPr>
              <w:spacing w:before="29" w:line="360" w:lineRule="auto"/>
              <w:ind w:left="17"/>
              <w:jc w:val="center"/>
              <w:rPr>
                <w:color w:val="000000" w:themeColor="text1"/>
                <w:sz w:val="24"/>
              </w:rPr>
            </w:pPr>
            <w:r w:rsidRPr="00A67563">
              <w:rPr>
                <w:color w:val="000000" w:themeColor="text1"/>
                <w:sz w:val="24"/>
              </w:rPr>
              <w:t>9</w:t>
            </w:r>
          </w:p>
        </w:tc>
        <w:tc>
          <w:tcPr>
            <w:tcW w:w="4253" w:type="dxa"/>
            <w:shd w:val="clear" w:color="auto" w:fill="auto"/>
            <w:vAlign w:val="center"/>
          </w:tcPr>
          <w:p w:rsidR="00E462F4" w:rsidRPr="00A67563" w:rsidRDefault="00E462F4" w:rsidP="00797DD2">
            <w:pPr>
              <w:rPr>
                <w:color w:val="000000" w:themeColor="text1"/>
                <w:sz w:val="24"/>
              </w:rPr>
            </w:pPr>
            <w:r w:rsidRPr="00A67563">
              <w:rPr>
                <w:color w:val="000000" w:themeColor="text1"/>
                <w:sz w:val="24"/>
              </w:rPr>
              <w:t>合计</w:t>
            </w:r>
          </w:p>
        </w:tc>
        <w:tc>
          <w:tcPr>
            <w:tcW w:w="2835"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298,373,645.69</w:t>
            </w:r>
          </w:p>
        </w:tc>
        <w:tc>
          <w:tcPr>
            <w:tcW w:w="1559" w:type="dxa"/>
            <w:shd w:val="clear" w:color="auto" w:fill="auto"/>
            <w:vAlign w:val="center"/>
          </w:tcPr>
          <w:p w:rsidR="00E462F4" w:rsidRPr="00A67563" w:rsidRDefault="00E462F4" w:rsidP="00BF1DD5">
            <w:pPr>
              <w:jc w:val="right"/>
              <w:rPr>
                <w:color w:val="000000" w:themeColor="text1"/>
                <w:sz w:val="24"/>
              </w:rPr>
            </w:pPr>
            <w:r w:rsidRPr="00A67563">
              <w:rPr>
                <w:color w:val="000000" w:themeColor="text1"/>
                <w:sz w:val="24"/>
              </w:rPr>
              <w:t>100.00</w:t>
            </w:r>
          </w:p>
        </w:tc>
      </w:tr>
    </w:tbl>
    <w:p w:rsidR="00F512C0" w:rsidRPr="00A67563" w:rsidRDefault="00F512C0" w:rsidP="00363E15">
      <w:pPr>
        <w:autoSpaceDE w:val="0"/>
        <w:autoSpaceDN w:val="0"/>
        <w:adjustRightInd w:val="0"/>
        <w:spacing w:line="360" w:lineRule="auto"/>
        <w:jc w:val="left"/>
        <w:rPr>
          <w:color w:val="000000" w:themeColor="text1"/>
          <w:sz w:val="24"/>
        </w:rPr>
      </w:pPr>
    </w:p>
    <w:p w:rsidR="0076518F" w:rsidRPr="00A67563" w:rsidRDefault="00A82C02"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2</w:t>
      </w:r>
      <w:r w:rsidRPr="00A67563">
        <w:rPr>
          <w:b/>
          <w:color w:val="000000" w:themeColor="text1"/>
          <w:kern w:val="0"/>
          <w:sz w:val="24"/>
        </w:rPr>
        <w:t xml:space="preserve"> </w:t>
      </w:r>
      <w:r w:rsidR="0076518F" w:rsidRPr="00A67563">
        <w:rPr>
          <w:b/>
          <w:color w:val="000000" w:themeColor="text1"/>
          <w:kern w:val="0"/>
          <w:sz w:val="24"/>
        </w:rPr>
        <w:t>报告期末在各个国家（地区）证券市场的股票及存托凭证投资分布</w:t>
      </w:r>
    </w:p>
    <w:p w:rsidR="00363E15" w:rsidRPr="00A67563" w:rsidRDefault="00363E15"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76518F" w:rsidRPr="00A67563" w:rsidRDefault="0076518F" w:rsidP="008B6A4A">
      <w:pPr>
        <w:autoSpaceDE w:val="0"/>
        <w:autoSpaceDN w:val="0"/>
        <w:adjustRightInd w:val="0"/>
        <w:spacing w:line="360" w:lineRule="auto"/>
        <w:jc w:val="left"/>
        <w:rPr>
          <w:color w:val="000000" w:themeColor="text1"/>
          <w:kern w:val="0"/>
          <w:sz w:val="24"/>
        </w:rPr>
      </w:pPr>
    </w:p>
    <w:p w:rsidR="00C37E98"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3</w:t>
      </w:r>
      <w:r w:rsidR="0076518F" w:rsidRPr="00A67563">
        <w:rPr>
          <w:b/>
          <w:color w:val="000000" w:themeColor="text1"/>
          <w:kern w:val="0"/>
          <w:sz w:val="24"/>
        </w:rPr>
        <w:t xml:space="preserve"> </w:t>
      </w:r>
      <w:r w:rsidR="0076518F" w:rsidRPr="00A67563">
        <w:rPr>
          <w:b/>
          <w:color w:val="000000" w:themeColor="text1"/>
          <w:kern w:val="0"/>
          <w:sz w:val="24"/>
        </w:rPr>
        <w:t>报告期末按行业分类的股票及存托凭证投资组合</w:t>
      </w:r>
    </w:p>
    <w:p w:rsidR="005B6AC7" w:rsidRPr="00A67563" w:rsidRDefault="000A521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0A521D" w:rsidRPr="00A67563" w:rsidRDefault="000A521D" w:rsidP="008B6A4A">
      <w:pPr>
        <w:autoSpaceDE w:val="0"/>
        <w:autoSpaceDN w:val="0"/>
        <w:adjustRightInd w:val="0"/>
        <w:spacing w:line="360" w:lineRule="auto"/>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4</w:t>
      </w:r>
      <w:r w:rsidR="0076518F"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报告期末按公允价值占基金资产净值比例大小排序的前十名股票及存托凭证投资明细</w:t>
      </w:r>
    </w:p>
    <w:p w:rsidR="00B62914" w:rsidRPr="00A67563" w:rsidRDefault="00E73C41"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本基金本报告期末未持有权益投资。</w:t>
      </w:r>
    </w:p>
    <w:p w:rsidR="00521EDE" w:rsidRPr="00A67563" w:rsidRDefault="00521EDE" w:rsidP="00890172">
      <w:pPr>
        <w:autoSpaceDE w:val="0"/>
        <w:autoSpaceDN w:val="0"/>
        <w:adjustRightInd w:val="0"/>
        <w:spacing w:before="29" w:line="360" w:lineRule="auto"/>
        <w:ind w:left="15"/>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5</w:t>
      </w:r>
      <w:r w:rsidR="0076518F" w:rsidRPr="00A67563">
        <w:rPr>
          <w:b/>
          <w:color w:val="000000" w:themeColor="text1"/>
          <w:kern w:val="0"/>
          <w:sz w:val="24"/>
        </w:rPr>
        <w:t xml:space="preserve"> </w:t>
      </w:r>
      <w:r w:rsidR="0076518F" w:rsidRPr="00A67563">
        <w:rPr>
          <w:b/>
          <w:color w:val="000000" w:themeColor="text1"/>
          <w:kern w:val="0"/>
          <w:sz w:val="24"/>
        </w:rPr>
        <w:t>报告期末按债券信用等级分类的债券投资组合</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本基金本报告期末未持有债券。</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6</w:t>
      </w:r>
      <w:r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的前五名债券投资明细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本基金本报告期末未持有债券。</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2A0FA2" w:rsidRPr="00A67563">
        <w:rPr>
          <w:b/>
          <w:color w:val="000000" w:themeColor="text1"/>
          <w:kern w:val="0"/>
          <w:sz w:val="24"/>
        </w:rPr>
        <w:t>7</w:t>
      </w:r>
      <w:r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的前十名资产支持证券投资明细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本基金本报告期末未持有资产支持证券。</w:t>
      </w:r>
    </w:p>
    <w:p w:rsidR="005B6AC7" w:rsidRPr="00A67563" w:rsidRDefault="005B6AC7" w:rsidP="00521EDE">
      <w:pPr>
        <w:autoSpaceDE w:val="0"/>
        <w:autoSpaceDN w:val="0"/>
        <w:adjustRightInd w:val="0"/>
        <w:spacing w:before="29" w:line="360" w:lineRule="auto"/>
        <w:ind w:left="15"/>
        <w:jc w:val="left"/>
        <w:rPr>
          <w:b/>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5.8</w:t>
      </w:r>
      <w:r w:rsidR="0076518F" w:rsidRPr="00A67563">
        <w:rPr>
          <w:b/>
          <w:color w:val="000000" w:themeColor="text1"/>
          <w:kern w:val="0"/>
          <w:sz w:val="24"/>
        </w:rPr>
        <w:t xml:space="preserve"> </w:t>
      </w:r>
      <w:r w:rsidR="0076518F" w:rsidRPr="00A67563">
        <w:rPr>
          <w:b/>
          <w:color w:val="000000" w:themeColor="text1"/>
          <w:kern w:val="0"/>
          <w:sz w:val="24"/>
        </w:rPr>
        <w:t>报告期末按公允价值占基金资产净值比例大小排</w:t>
      </w:r>
      <w:r w:rsidR="00B26CF4">
        <w:rPr>
          <w:rFonts w:hint="eastAsia"/>
          <w:b/>
          <w:color w:val="000000" w:themeColor="text1"/>
          <w:kern w:val="0"/>
          <w:sz w:val="24"/>
        </w:rPr>
        <w:t>序</w:t>
      </w:r>
      <w:r w:rsidR="0076518F" w:rsidRPr="00A67563">
        <w:rPr>
          <w:b/>
          <w:color w:val="000000" w:themeColor="text1"/>
          <w:kern w:val="0"/>
          <w:sz w:val="24"/>
        </w:rPr>
        <w:t>的前五名金融衍生品投资明细</w:t>
      </w:r>
    </w:p>
    <w:p w:rsidR="00521EDE" w:rsidRPr="00A67563" w:rsidRDefault="00521EDE"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本基金本报告期末未持有金融衍生品。</w:t>
      </w:r>
    </w:p>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B22A61"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5.9</w:t>
      </w:r>
      <w:r w:rsidR="0076518F" w:rsidRPr="00A67563">
        <w:rPr>
          <w:b/>
          <w:color w:val="000000" w:themeColor="text1"/>
          <w:kern w:val="0"/>
          <w:sz w:val="24"/>
        </w:rPr>
        <w:t>报告期末按公允价值占基金资产净值比例大小排序的前十名基金投资明细</w:t>
      </w:r>
    </w:p>
    <w:tbl>
      <w:tblPr>
        <w:tblStyle w:val="af7"/>
        <w:tblW w:w="0" w:type="auto"/>
        <w:tblInd w:w="15" w:type="dxa"/>
        <w:tblLook w:val="04A0" w:firstRow="1" w:lastRow="0" w:firstColumn="1" w:lastColumn="0" w:noHBand="0" w:noVBand="1"/>
      </w:tblPr>
      <w:tblGrid>
        <w:gridCol w:w="1184"/>
        <w:gridCol w:w="1185"/>
        <w:gridCol w:w="1185"/>
        <w:gridCol w:w="1185"/>
        <w:gridCol w:w="1185"/>
        <w:gridCol w:w="1331"/>
        <w:gridCol w:w="1258"/>
      </w:tblGrid>
      <w:tr w:rsidR="008277FF" w:rsidRPr="00A67563" w:rsidTr="00797DD2">
        <w:tc>
          <w:tcPr>
            <w:tcW w:w="1215"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序号</w:t>
            </w:r>
          </w:p>
        </w:tc>
        <w:tc>
          <w:tcPr>
            <w:tcW w:w="1216" w:type="dxa"/>
            <w:vAlign w:val="center"/>
          </w:tcPr>
          <w:p w:rsidR="00017739" w:rsidRPr="00A67563" w:rsidRDefault="00017739" w:rsidP="00797DD2">
            <w:pPr>
              <w:spacing w:line="360" w:lineRule="auto"/>
              <w:rPr>
                <w:color w:val="000000" w:themeColor="text1"/>
                <w:sz w:val="24"/>
              </w:rPr>
            </w:pPr>
            <w:r w:rsidRPr="00A67563">
              <w:rPr>
                <w:color w:val="000000" w:themeColor="text1"/>
                <w:sz w:val="24"/>
              </w:rPr>
              <w:t>基金名称</w:t>
            </w:r>
          </w:p>
        </w:tc>
        <w:tc>
          <w:tcPr>
            <w:tcW w:w="1216" w:type="dxa"/>
            <w:vAlign w:val="center"/>
          </w:tcPr>
          <w:p w:rsidR="00017739" w:rsidRPr="00A67563" w:rsidRDefault="00017739" w:rsidP="00797DD2">
            <w:pPr>
              <w:spacing w:line="360" w:lineRule="auto"/>
              <w:rPr>
                <w:color w:val="000000" w:themeColor="text1"/>
                <w:sz w:val="24"/>
              </w:rPr>
            </w:pPr>
            <w:r w:rsidRPr="00A67563">
              <w:rPr>
                <w:color w:val="000000" w:themeColor="text1"/>
                <w:sz w:val="24"/>
              </w:rPr>
              <w:t>基金类型</w:t>
            </w:r>
          </w:p>
        </w:tc>
        <w:tc>
          <w:tcPr>
            <w:tcW w:w="1216"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运作方式</w:t>
            </w:r>
          </w:p>
        </w:tc>
        <w:tc>
          <w:tcPr>
            <w:tcW w:w="1216"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管理人</w:t>
            </w:r>
          </w:p>
        </w:tc>
        <w:tc>
          <w:tcPr>
            <w:tcW w:w="1217"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公允价值</w:t>
            </w:r>
          </w:p>
          <w:p w:rsidR="00017739" w:rsidRPr="00A67563" w:rsidRDefault="00017739" w:rsidP="00797DD2">
            <w:pPr>
              <w:spacing w:line="360" w:lineRule="auto"/>
              <w:jc w:val="center"/>
              <w:rPr>
                <w:color w:val="000000" w:themeColor="text1"/>
                <w:sz w:val="24"/>
              </w:rPr>
            </w:pPr>
            <w:r w:rsidRPr="00A67563">
              <w:rPr>
                <w:color w:val="000000" w:themeColor="text1"/>
                <w:sz w:val="24"/>
              </w:rPr>
              <w:t>（人民币元）</w:t>
            </w:r>
          </w:p>
        </w:tc>
        <w:tc>
          <w:tcPr>
            <w:tcW w:w="1217" w:type="dxa"/>
            <w:vAlign w:val="center"/>
          </w:tcPr>
          <w:p w:rsidR="00017739" w:rsidRPr="00A67563" w:rsidRDefault="00017739" w:rsidP="00797DD2">
            <w:pPr>
              <w:spacing w:line="360" w:lineRule="auto"/>
              <w:jc w:val="center"/>
              <w:rPr>
                <w:color w:val="000000" w:themeColor="text1"/>
                <w:sz w:val="24"/>
              </w:rPr>
            </w:pPr>
            <w:r w:rsidRPr="00A67563">
              <w:rPr>
                <w:color w:val="000000" w:themeColor="text1"/>
                <w:sz w:val="24"/>
              </w:rPr>
              <w:t>占基金资产净值比例</w:t>
            </w:r>
            <w:r w:rsidRPr="00A67563">
              <w:rPr>
                <w:color w:val="000000" w:themeColor="text1"/>
                <w:sz w:val="24"/>
              </w:rPr>
              <w:t>(%)</w:t>
            </w:r>
          </w:p>
        </w:tc>
      </w:tr>
      <w:tr w:rsidR="00C33E3C">
        <w:tc>
          <w:tcPr>
            <w:tcW w:w="0" w:type="auto"/>
            <w:vAlign w:val="center"/>
          </w:tcPr>
          <w:p w:rsidR="00C33E3C" w:rsidRDefault="008A77B9">
            <w:pPr>
              <w:jc w:val="center"/>
            </w:pPr>
            <w:r>
              <w:rPr>
                <w:color w:val="000000" w:themeColor="text1"/>
                <w:sz w:val="24"/>
              </w:rPr>
              <w:t>1</w:t>
            </w:r>
          </w:p>
        </w:tc>
        <w:tc>
          <w:tcPr>
            <w:tcW w:w="0" w:type="auto"/>
            <w:vAlign w:val="center"/>
          </w:tcPr>
          <w:p w:rsidR="00C33E3C" w:rsidRDefault="008A77B9">
            <w:pPr>
              <w:jc w:val="center"/>
            </w:pPr>
            <w:r>
              <w:rPr>
                <w:color w:val="000000" w:themeColor="text1"/>
                <w:sz w:val="24"/>
              </w:rPr>
              <w:t>iShares MSCI Global Gold Miners ETF</w:t>
            </w:r>
          </w:p>
        </w:tc>
        <w:tc>
          <w:tcPr>
            <w:tcW w:w="0" w:type="auto"/>
            <w:vAlign w:val="center"/>
          </w:tcPr>
          <w:p w:rsidR="00C33E3C" w:rsidRDefault="008A77B9">
            <w:pPr>
              <w:jc w:val="center"/>
            </w:pPr>
            <w:r>
              <w:rPr>
                <w:color w:val="000000" w:themeColor="text1"/>
                <w:sz w:val="24"/>
              </w:rPr>
              <w:t>ETF</w:t>
            </w:r>
          </w:p>
        </w:tc>
        <w:tc>
          <w:tcPr>
            <w:tcW w:w="0" w:type="auto"/>
            <w:vAlign w:val="center"/>
          </w:tcPr>
          <w:p w:rsidR="00C33E3C" w:rsidRDefault="008A77B9">
            <w:pPr>
              <w:jc w:val="center"/>
            </w:pPr>
            <w:r>
              <w:rPr>
                <w:color w:val="000000" w:themeColor="text1"/>
                <w:sz w:val="24"/>
              </w:rPr>
              <w:t>开放式</w:t>
            </w:r>
          </w:p>
        </w:tc>
        <w:tc>
          <w:tcPr>
            <w:tcW w:w="0" w:type="auto"/>
            <w:vAlign w:val="center"/>
          </w:tcPr>
          <w:p w:rsidR="00C33E3C" w:rsidRDefault="008A77B9">
            <w:pPr>
              <w:jc w:val="center"/>
            </w:pPr>
            <w:r>
              <w:rPr>
                <w:color w:val="000000" w:themeColor="text1"/>
                <w:sz w:val="24"/>
              </w:rPr>
              <w:t xml:space="preserve">BlackRock </w:t>
            </w:r>
            <w:r>
              <w:rPr>
                <w:color w:val="000000" w:themeColor="text1"/>
                <w:sz w:val="24"/>
              </w:rPr>
              <w:t>Fund Advisors</w:t>
            </w:r>
          </w:p>
        </w:tc>
        <w:tc>
          <w:tcPr>
            <w:tcW w:w="0" w:type="auto"/>
            <w:vAlign w:val="center"/>
          </w:tcPr>
          <w:p w:rsidR="00C33E3C" w:rsidRDefault="008A77B9">
            <w:pPr>
              <w:jc w:val="right"/>
            </w:pPr>
            <w:r>
              <w:rPr>
                <w:color w:val="000000" w:themeColor="text1"/>
                <w:sz w:val="24"/>
              </w:rPr>
              <w:t>54,169,750.15</w:t>
            </w:r>
          </w:p>
        </w:tc>
        <w:tc>
          <w:tcPr>
            <w:tcW w:w="0" w:type="auto"/>
            <w:vAlign w:val="center"/>
          </w:tcPr>
          <w:p w:rsidR="00C33E3C" w:rsidRDefault="008A77B9">
            <w:pPr>
              <w:jc w:val="right"/>
            </w:pPr>
            <w:r>
              <w:rPr>
                <w:color w:val="000000" w:themeColor="text1"/>
                <w:sz w:val="24"/>
              </w:rPr>
              <w:t>18.49</w:t>
            </w:r>
          </w:p>
        </w:tc>
      </w:tr>
      <w:tr w:rsidR="00C33E3C">
        <w:tc>
          <w:tcPr>
            <w:tcW w:w="0" w:type="auto"/>
            <w:vAlign w:val="center"/>
          </w:tcPr>
          <w:p w:rsidR="00C33E3C" w:rsidRDefault="008A77B9">
            <w:pPr>
              <w:jc w:val="center"/>
            </w:pPr>
            <w:r>
              <w:rPr>
                <w:color w:val="000000" w:themeColor="text1"/>
                <w:sz w:val="24"/>
              </w:rPr>
              <w:t>2</w:t>
            </w:r>
          </w:p>
        </w:tc>
        <w:tc>
          <w:tcPr>
            <w:tcW w:w="0" w:type="auto"/>
            <w:vAlign w:val="center"/>
          </w:tcPr>
          <w:p w:rsidR="00C33E3C" w:rsidRDefault="008A77B9">
            <w:pPr>
              <w:jc w:val="center"/>
            </w:pPr>
            <w:r>
              <w:rPr>
                <w:color w:val="000000" w:themeColor="text1"/>
                <w:sz w:val="24"/>
              </w:rPr>
              <w:t>SPDR Gold MiniShares Trust</w:t>
            </w:r>
          </w:p>
        </w:tc>
        <w:tc>
          <w:tcPr>
            <w:tcW w:w="0" w:type="auto"/>
            <w:vAlign w:val="center"/>
          </w:tcPr>
          <w:p w:rsidR="00C33E3C" w:rsidRDefault="008A77B9">
            <w:pPr>
              <w:jc w:val="center"/>
            </w:pPr>
            <w:r>
              <w:rPr>
                <w:color w:val="000000" w:themeColor="text1"/>
                <w:sz w:val="24"/>
              </w:rPr>
              <w:t>ETF</w:t>
            </w:r>
          </w:p>
        </w:tc>
        <w:tc>
          <w:tcPr>
            <w:tcW w:w="0" w:type="auto"/>
            <w:vAlign w:val="center"/>
          </w:tcPr>
          <w:p w:rsidR="00C33E3C" w:rsidRDefault="008A77B9">
            <w:pPr>
              <w:jc w:val="center"/>
            </w:pPr>
            <w:r>
              <w:rPr>
                <w:color w:val="000000" w:themeColor="text1"/>
                <w:sz w:val="24"/>
              </w:rPr>
              <w:t>开放式</w:t>
            </w:r>
          </w:p>
        </w:tc>
        <w:tc>
          <w:tcPr>
            <w:tcW w:w="0" w:type="auto"/>
            <w:vAlign w:val="center"/>
          </w:tcPr>
          <w:p w:rsidR="00C33E3C" w:rsidRDefault="008A77B9">
            <w:pPr>
              <w:jc w:val="center"/>
            </w:pPr>
            <w:r>
              <w:rPr>
                <w:color w:val="000000" w:themeColor="text1"/>
                <w:sz w:val="24"/>
              </w:rPr>
              <w:t>World Gold Trust Services LLC</w:t>
            </w:r>
          </w:p>
        </w:tc>
        <w:tc>
          <w:tcPr>
            <w:tcW w:w="0" w:type="auto"/>
            <w:vAlign w:val="center"/>
          </w:tcPr>
          <w:p w:rsidR="00C33E3C" w:rsidRDefault="008A77B9">
            <w:pPr>
              <w:jc w:val="right"/>
            </w:pPr>
            <w:r>
              <w:rPr>
                <w:color w:val="000000" w:themeColor="text1"/>
                <w:sz w:val="24"/>
              </w:rPr>
              <w:t>52,599,043.85</w:t>
            </w:r>
          </w:p>
        </w:tc>
        <w:tc>
          <w:tcPr>
            <w:tcW w:w="0" w:type="auto"/>
            <w:vAlign w:val="center"/>
          </w:tcPr>
          <w:p w:rsidR="00C33E3C" w:rsidRDefault="008A77B9">
            <w:pPr>
              <w:jc w:val="right"/>
            </w:pPr>
            <w:r>
              <w:rPr>
                <w:color w:val="000000" w:themeColor="text1"/>
                <w:sz w:val="24"/>
              </w:rPr>
              <w:t>17.95</w:t>
            </w:r>
          </w:p>
        </w:tc>
      </w:tr>
      <w:tr w:rsidR="00C33E3C">
        <w:tc>
          <w:tcPr>
            <w:tcW w:w="0" w:type="auto"/>
            <w:vAlign w:val="center"/>
          </w:tcPr>
          <w:p w:rsidR="00C33E3C" w:rsidRDefault="008A77B9">
            <w:pPr>
              <w:jc w:val="center"/>
            </w:pPr>
            <w:r>
              <w:rPr>
                <w:color w:val="000000" w:themeColor="text1"/>
                <w:sz w:val="24"/>
              </w:rPr>
              <w:t>3</w:t>
            </w:r>
          </w:p>
        </w:tc>
        <w:tc>
          <w:tcPr>
            <w:tcW w:w="0" w:type="auto"/>
            <w:vAlign w:val="center"/>
          </w:tcPr>
          <w:p w:rsidR="00C33E3C" w:rsidRDefault="008A77B9">
            <w:pPr>
              <w:jc w:val="center"/>
            </w:pPr>
            <w:r>
              <w:rPr>
                <w:color w:val="000000" w:themeColor="text1"/>
                <w:sz w:val="24"/>
              </w:rPr>
              <w:t>SPDR Gold Shares</w:t>
            </w:r>
          </w:p>
        </w:tc>
        <w:tc>
          <w:tcPr>
            <w:tcW w:w="0" w:type="auto"/>
            <w:vAlign w:val="center"/>
          </w:tcPr>
          <w:p w:rsidR="00C33E3C" w:rsidRDefault="008A77B9">
            <w:pPr>
              <w:jc w:val="center"/>
            </w:pPr>
            <w:r>
              <w:rPr>
                <w:color w:val="000000" w:themeColor="text1"/>
                <w:sz w:val="24"/>
              </w:rPr>
              <w:t>ETF</w:t>
            </w:r>
          </w:p>
        </w:tc>
        <w:tc>
          <w:tcPr>
            <w:tcW w:w="0" w:type="auto"/>
            <w:vAlign w:val="center"/>
          </w:tcPr>
          <w:p w:rsidR="00C33E3C" w:rsidRDefault="008A77B9">
            <w:pPr>
              <w:jc w:val="center"/>
            </w:pPr>
            <w:r>
              <w:rPr>
                <w:color w:val="000000" w:themeColor="text1"/>
                <w:sz w:val="24"/>
              </w:rPr>
              <w:t>开放式</w:t>
            </w:r>
          </w:p>
        </w:tc>
        <w:tc>
          <w:tcPr>
            <w:tcW w:w="0" w:type="auto"/>
            <w:vAlign w:val="center"/>
          </w:tcPr>
          <w:p w:rsidR="00C33E3C" w:rsidRDefault="008A77B9">
            <w:pPr>
              <w:jc w:val="center"/>
            </w:pPr>
            <w:r>
              <w:rPr>
                <w:color w:val="000000" w:themeColor="text1"/>
                <w:sz w:val="24"/>
              </w:rPr>
              <w:t>World Gold Trust Services LLC</w:t>
            </w:r>
          </w:p>
        </w:tc>
        <w:tc>
          <w:tcPr>
            <w:tcW w:w="0" w:type="auto"/>
            <w:vAlign w:val="center"/>
          </w:tcPr>
          <w:p w:rsidR="00C33E3C" w:rsidRDefault="008A77B9">
            <w:pPr>
              <w:jc w:val="right"/>
            </w:pPr>
            <w:r>
              <w:rPr>
                <w:color w:val="000000" w:themeColor="text1"/>
                <w:sz w:val="24"/>
              </w:rPr>
              <w:t>47,480,678.97</w:t>
            </w:r>
          </w:p>
        </w:tc>
        <w:tc>
          <w:tcPr>
            <w:tcW w:w="0" w:type="auto"/>
            <w:vAlign w:val="center"/>
          </w:tcPr>
          <w:p w:rsidR="00C33E3C" w:rsidRDefault="008A77B9">
            <w:pPr>
              <w:jc w:val="right"/>
            </w:pPr>
            <w:r>
              <w:rPr>
                <w:color w:val="000000" w:themeColor="text1"/>
                <w:sz w:val="24"/>
              </w:rPr>
              <w:t>16.21</w:t>
            </w:r>
          </w:p>
        </w:tc>
      </w:tr>
      <w:tr w:rsidR="00C33E3C">
        <w:tc>
          <w:tcPr>
            <w:tcW w:w="0" w:type="auto"/>
            <w:vAlign w:val="center"/>
          </w:tcPr>
          <w:p w:rsidR="00C33E3C" w:rsidRDefault="008A77B9">
            <w:pPr>
              <w:jc w:val="center"/>
            </w:pPr>
            <w:r>
              <w:rPr>
                <w:color w:val="000000" w:themeColor="text1"/>
                <w:sz w:val="24"/>
              </w:rPr>
              <w:t>4</w:t>
            </w:r>
          </w:p>
        </w:tc>
        <w:tc>
          <w:tcPr>
            <w:tcW w:w="0" w:type="auto"/>
            <w:vAlign w:val="center"/>
          </w:tcPr>
          <w:p w:rsidR="00C33E3C" w:rsidRDefault="008A77B9">
            <w:pPr>
              <w:jc w:val="center"/>
            </w:pPr>
            <w:r>
              <w:rPr>
                <w:color w:val="000000" w:themeColor="text1"/>
                <w:sz w:val="24"/>
              </w:rPr>
              <w:t>iShares Gold Trust</w:t>
            </w:r>
          </w:p>
        </w:tc>
        <w:tc>
          <w:tcPr>
            <w:tcW w:w="0" w:type="auto"/>
            <w:vAlign w:val="center"/>
          </w:tcPr>
          <w:p w:rsidR="00C33E3C" w:rsidRDefault="008A77B9">
            <w:pPr>
              <w:jc w:val="center"/>
            </w:pPr>
            <w:r>
              <w:rPr>
                <w:color w:val="000000" w:themeColor="text1"/>
                <w:sz w:val="24"/>
              </w:rPr>
              <w:t>ETF</w:t>
            </w:r>
          </w:p>
        </w:tc>
        <w:tc>
          <w:tcPr>
            <w:tcW w:w="0" w:type="auto"/>
            <w:vAlign w:val="center"/>
          </w:tcPr>
          <w:p w:rsidR="00C33E3C" w:rsidRDefault="008A77B9">
            <w:pPr>
              <w:jc w:val="center"/>
            </w:pPr>
            <w:r>
              <w:rPr>
                <w:color w:val="000000" w:themeColor="text1"/>
                <w:sz w:val="24"/>
              </w:rPr>
              <w:t>开放式</w:t>
            </w:r>
          </w:p>
        </w:tc>
        <w:tc>
          <w:tcPr>
            <w:tcW w:w="0" w:type="auto"/>
            <w:vAlign w:val="center"/>
          </w:tcPr>
          <w:p w:rsidR="00C33E3C" w:rsidRDefault="008A77B9">
            <w:pPr>
              <w:jc w:val="center"/>
            </w:pPr>
            <w:r>
              <w:rPr>
                <w:color w:val="000000" w:themeColor="text1"/>
                <w:sz w:val="24"/>
              </w:rPr>
              <w:t>BlackRock Fund Advisors</w:t>
            </w:r>
          </w:p>
        </w:tc>
        <w:tc>
          <w:tcPr>
            <w:tcW w:w="0" w:type="auto"/>
            <w:vAlign w:val="center"/>
          </w:tcPr>
          <w:p w:rsidR="00C33E3C" w:rsidRDefault="008A77B9">
            <w:pPr>
              <w:jc w:val="right"/>
            </w:pPr>
            <w:r>
              <w:rPr>
                <w:color w:val="000000" w:themeColor="text1"/>
                <w:sz w:val="24"/>
              </w:rPr>
              <w:t>33,909,010.44</w:t>
            </w:r>
          </w:p>
        </w:tc>
        <w:tc>
          <w:tcPr>
            <w:tcW w:w="0" w:type="auto"/>
            <w:vAlign w:val="center"/>
          </w:tcPr>
          <w:p w:rsidR="00C33E3C" w:rsidRDefault="008A77B9">
            <w:pPr>
              <w:jc w:val="right"/>
            </w:pPr>
            <w:r>
              <w:rPr>
                <w:color w:val="000000" w:themeColor="text1"/>
                <w:sz w:val="24"/>
              </w:rPr>
              <w:t>11.57</w:t>
            </w:r>
          </w:p>
        </w:tc>
      </w:tr>
      <w:tr w:rsidR="00C33E3C">
        <w:tc>
          <w:tcPr>
            <w:tcW w:w="0" w:type="auto"/>
            <w:vAlign w:val="center"/>
          </w:tcPr>
          <w:p w:rsidR="00C33E3C" w:rsidRDefault="008A77B9">
            <w:pPr>
              <w:jc w:val="center"/>
            </w:pPr>
            <w:r>
              <w:rPr>
                <w:color w:val="000000" w:themeColor="text1"/>
                <w:sz w:val="24"/>
              </w:rPr>
              <w:t>5</w:t>
            </w:r>
          </w:p>
        </w:tc>
        <w:tc>
          <w:tcPr>
            <w:tcW w:w="0" w:type="auto"/>
            <w:vAlign w:val="center"/>
          </w:tcPr>
          <w:p w:rsidR="00C33E3C" w:rsidRDefault="008A77B9">
            <w:pPr>
              <w:jc w:val="center"/>
            </w:pPr>
            <w:r>
              <w:rPr>
                <w:color w:val="000000" w:themeColor="text1"/>
                <w:sz w:val="24"/>
              </w:rPr>
              <w:t>VanEck Vectors Junior Gold Miners ETF</w:t>
            </w:r>
          </w:p>
        </w:tc>
        <w:tc>
          <w:tcPr>
            <w:tcW w:w="0" w:type="auto"/>
            <w:vAlign w:val="center"/>
          </w:tcPr>
          <w:p w:rsidR="00C33E3C" w:rsidRDefault="008A77B9">
            <w:pPr>
              <w:jc w:val="center"/>
            </w:pPr>
            <w:r>
              <w:rPr>
                <w:color w:val="000000" w:themeColor="text1"/>
                <w:sz w:val="24"/>
              </w:rPr>
              <w:t>ETF</w:t>
            </w:r>
          </w:p>
        </w:tc>
        <w:tc>
          <w:tcPr>
            <w:tcW w:w="0" w:type="auto"/>
            <w:vAlign w:val="center"/>
          </w:tcPr>
          <w:p w:rsidR="00C33E3C" w:rsidRDefault="008A77B9">
            <w:pPr>
              <w:jc w:val="center"/>
            </w:pPr>
            <w:r>
              <w:rPr>
                <w:color w:val="000000" w:themeColor="text1"/>
                <w:sz w:val="24"/>
              </w:rPr>
              <w:t>开放式</w:t>
            </w:r>
          </w:p>
        </w:tc>
        <w:tc>
          <w:tcPr>
            <w:tcW w:w="0" w:type="auto"/>
            <w:vAlign w:val="center"/>
          </w:tcPr>
          <w:p w:rsidR="00C33E3C" w:rsidRDefault="008A77B9">
            <w:pPr>
              <w:jc w:val="center"/>
            </w:pPr>
            <w:r>
              <w:rPr>
                <w:color w:val="000000" w:themeColor="text1"/>
                <w:sz w:val="24"/>
              </w:rPr>
              <w:t>Van Eck Associates Corp</w:t>
            </w:r>
          </w:p>
        </w:tc>
        <w:tc>
          <w:tcPr>
            <w:tcW w:w="0" w:type="auto"/>
            <w:vAlign w:val="center"/>
          </w:tcPr>
          <w:p w:rsidR="00C33E3C" w:rsidRDefault="008A77B9">
            <w:pPr>
              <w:jc w:val="right"/>
            </w:pPr>
            <w:r>
              <w:rPr>
                <w:color w:val="000000" w:themeColor="text1"/>
                <w:sz w:val="24"/>
              </w:rPr>
              <w:t>28,641,873.13</w:t>
            </w:r>
          </w:p>
        </w:tc>
        <w:tc>
          <w:tcPr>
            <w:tcW w:w="0" w:type="auto"/>
            <w:vAlign w:val="center"/>
          </w:tcPr>
          <w:p w:rsidR="00C33E3C" w:rsidRDefault="008A77B9">
            <w:pPr>
              <w:jc w:val="right"/>
            </w:pPr>
            <w:r>
              <w:rPr>
                <w:color w:val="000000" w:themeColor="text1"/>
                <w:sz w:val="24"/>
              </w:rPr>
              <w:t>9.78</w:t>
            </w:r>
          </w:p>
        </w:tc>
      </w:tr>
      <w:tr w:rsidR="00C33E3C">
        <w:tc>
          <w:tcPr>
            <w:tcW w:w="0" w:type="auto"/>
            <w:vAlign w:val="center"/>
          </w:tcPr>
          <w:p w:rsidR="00C33E3C" w:rsidRDefault="008A77B9">
            <w:pPr>
              <w:jc w:val="center"/>
            </w:pPr>
            <w:r>
              <w:rPr>
                <w:color w:val="000000" w:themeColor="text1"/>
                <w:sz w:val="24"/>
              </w:rPr>
              <w:t>6</w:t>
            </w:r>
          </w:p>
        </w:tc>
        <w:tc>
          <w:tcPr>
            <w:tcW w:w="0" w:type="auto"/>
            <w:vAlign w:val="center"/>
          </w:tcPr>
          <w:p w:rsidR="00C33E3C" w:rsidRDefault="008A77B9">
            <w:pPr>
              <w:jc w:val="center"/>
            </w:pPr>
            <w:r>
              <w:rPr>
                <w:color w:val="000000" w:themeColor="text1"/>
                <w:sz w:val="24"/>
              </w:rPr>
              <w:t>Direxion Daily Gold Miners Index Bull 3X Shares</w:t>
            </w:r>
          </w:p>
        </w:tc>
        <w:tc>
          <w:tcPr>
            <w:tcW w:w="0" w:type="auto"/>
            <w:vAlign w:val="center"/>
          </w:tcPr>
          <w:p w:rsidR="00C33E3C" w:rsidRDefault="008A77B9">
            <w:pPr>
              <w:jc w:val="center"/>
            </w:pPr>
            <w:r>
              <w:rPr>
                <w:color w:val="000000" w:themeColor="text1"/>
                <w:sz w:val="24"/>
              </w:rPr>
              <w:t>ETF</w:t>
            </w:r>
          </w:p>
        </w:tc>
        <w:tc>
          <w:tcPr>
            <w:tcW w:w="0" w:type="auto"/>
            <w:vAlign w:val="center"/>
          </w:tcPr>
          <w:p w:rsidR="00C33E3C" w:rsidRDefault="008A77B9">
            <w:pPr>
              <w:jc w:val="center"/>
            </w:pPr>
            <w:r>
              <w:rPr>
                <w:color w:val="000000" w:themeColor="text1"/>
                <w:sz w:val="24"/>
              </w:rPr>
              <w:t>开放式</w:t>
            </w:r>
          </w:p>
        </w:tc>
        <w:tc>
          <w:tcPr>
            <w:tcW w:w="0" w:type="auto"/>
            <w:vAlign w:val="center"/>
          </w:tcPr>
          <w:p w:rsidR="00C33E3C" w:rsidRDefault="008A77B9">
            <w:pPr>
              <w:jc w:val="center"/>
            </w:pPr>
            <w:r>
              <w:rPr>
                <w:color w:val="000000" w:themeColor="text1"/>
                <w:sz w:val="24"/>
              </w:rPr>
              <w:t>Rafferty Asset Management LLC</w:t>
            </w:r>
          </w:p>
        </w:tc>
        <w:tc>
          <w:tcPr>
            <w:tcW w:w="0" w:type="auto"/>
            <w:vAlign w:val="center"/>
          </w:tcPr>
          <w:p w:rsidR="00C33E3C" w:rsidRDefault="008A77B9">
            <w:pPr>
              <w:jc w:val="right"/>
            </w:pPr>
            <w:r>
              <w:rPr>
                <w:color w:val="000000" w:themeColor="text1"/>
                <w:sz w:val="24"/>
              </w:rPr>
              <w:t>12,365,202.76</w:t>
            </w:r>
          </w:p>
        </w:tc>
        <w:tc>
          <w:tcPr>
            <w:tcW w:w="0" w:type="auto"/>
            <w:vAlign w:val="center"/>
          </w:tcPr>
          <w:p w:rsidR="00C33E3C" w:rsidRDefault="008A77B9">
            <w:pPr>
              <w:jc w:val="right"/>
            </w:pPr>
            <w:r>
              <w:rPr>
                <w:color w:val="000000" w:themeColor="text1"/>
                <w:sz w:val="24"/>
              </w:rPr>
              <w:t>4.22</w:t>
            </w:r>
          </w:p>
        </w:tc>
      </w:tr>
      <w:tr w:rsidR="00C33E3C">
        <w:tc>
          <w:tcPr>
            <w:tcW w:w="0" w:type="auto"/>
            <w:vAlign w:val="center"/>
          </w:tcPr>
          <w:p w:rsidR="00C33E3C" w:rsidRDefault="008A77B9">
            <w:pPr>
              <w:jc w:val="center"/>
            </w:pPr>
            <w:r>
              <w:rPr>
                <w:color w:val="000000" w:themeColor="text1"/>
                <w:sz w:val="24"/>
              </w:rPr>
              <w:t>7</w:t>
            </w:r>
          </w:p>
        </w:tc>
        <w:tc>
          <w:tcPr>
            <w:tcW w:w="0" w:type="auto"/>
            <w:vAlign w:val="center"/>
          </w:tcPr>
          <w:p w:rsidR="00C33E3C" w:rsidRDefault="008A77B9">
            <w:pPr>
              <w:jc w:val="center"/>
            </w:pPr>
            <w:r>
              <w:rPr>
                <w:color w:val="000000" w:themeColor="text1"/>
                <w:sz w:val="24"/>
              </w:rPr>
              <w:t>INVESTEC GS GLOBAL GOLD-I</w:t>
            </w:r>
          </w:p>
        </w:tc>
        <w:tc>
          <w:tcPr>
            <w:tcW w:w="0" w:type="auto"/>
            <w:vAlign w:val="center"/>
          </w:tcPr>
          <w:p w:rsidR="00C33E3C" w:rsidRDefault="008A77B9">
            <w:pPr>
              <w:jc w:val="center"/>
            </w:pPr>
            <w:r>
              <w:rPr>
                <w:color w:val="000000" w:themeColor="text1"/>
                <w:sz w:val="24"/>
              </w:rPr>
              <w:t>SICAV</w:t>
            </w:r>
          </w:p>
        </w:tc>
        <w:tc>
          <w:tcPr>
            <w:tcW w:w="0" w:type="auto"/>
            <w:vAlign w:val="center"/>
          </w:tcPr>
          <w:p w:rsidR="00C33E3C" w:rsidRDefault="008A77B9">
            <w:pPr>
              <w:jc w:val="center"/>
            </w:pPr>
            <w:r>
              <w:rPr>
                <w:color w:val="000000" w:themeColor="text1"/>
                <w:sz w:val="24"/>
              </w:rPr>
              <w:t>开放式</w:t>
            </w:r>
          </w:p>
        </w:tc>
        <w:tc>
          <w:tcPr>
            <w:tcW w:w="0" w:type="auto"/>
            <w:vAlign w:val="center"/>
          </w:tcPr>
          <w:p w:rsidR="00C33E3C" w:rsidRDefault="008A77B9">
            <w:pPr>
              <w:jc w:val="center"/>
            </w:pPr>
            <w:r>
              <w:rPr>
                <w:color w:val="000000" w:themeColor="text1"/>
                <w:sz w:val="24"/>
              </w:rPr>
              <w:t>Investec Asset Management Luxembourg SA</w:t>
            </w:r>
          </w:p>
        </w:tc>
        <w:tc>
          <w:tcPr>
            <w:tcW w:w="0" w:type="auto"/>
            <w:vAlign w:val="center"/>
          </w:tcPr>
          <w:p w:rsidR="00C33E3C" w:rsidRDefault="008A77B9">
            <w:pPr>
              <w:jc w:val="right"/>
            </w:pPr>
            <w:r>
              <w:rPr>
                <w:color w:val="000000" w:themeColor="text1"/>
                <w:sz w:val="24"/>
              </w:rPr>
              <w:t>11,889,448.71</w:t>
            </w:r>
          </w:p>
        </w:tc>
        <w:tc>
          <w:tcPr>
            <w:tcW w:w="0" w:type="auto"/>
            <w:vAlign w:val="center"/>
          </w:tcPr>
          <w:p w:rsidR="00C33E3C" w:rsidRDefault="008A77B9">
            <w:pPr>
              <w:jc w:val="right"/>
            </w:pPr>
            <w:r>
              <w:rPr>
                <w:color w:val="000000" w:themeColor="text1"/>
                <w:sz w:val="24"/>
              </w:rPr>
              <w:t>4.06</w:t>
            </w:r>
          </w:p>
        </w:tc>
      </w:tr>
      <w:tr w:rsidR="00C33E3C">
        <w:tc>
          <w:tcPr>
            <w:tcW w:w="0" w:type="auto"/>
            <w:vAlign w:val="center"/>
          </w:tcPr>
          <w:p w:rsidR="00C33E3C" w:rsidRDefault="008A77B9">
            <w:pPr>
              <w:jc w:val="center"/>
            </w:pPr>
            <w:r>
              <w:rPr>
                <w:color w:val="000000" w:themeColor="text1"/>
                <w:sz w:val="24"/>
              </w:rPr>
              <w:t>8</w:t>
            </w:r>
          </w:p>
        </w:tc>
        <w:tc>
          <w:tcPr>
            <w:tcW w:w="0" w:type="auto"/>
            <w:vAlign w:val="center"/>
          </w:tcPr>
          <w:p w:rsidR="00C33E3C" w:rsidRDefault="008A77B9">
            <w:pPr>
              <w:jc w:val="center"/>
            </w:pPr>
            <w:r>
              <w:rPr>
                <w:color w:val="000000" w:themeColor="text1"/>
                <w:sz w:val="24"/>
              </w:rPr>
              <w:t>SCHRODER ISF-GL GOLD-C A USD</w:t>
            </w:r>
          </w:p>
        </w:tc>
        <w:tc>
          <w:tcPr>
            <w:tcW w:w="0" w:type="auto"/>
            <w:vAlign w:val="center"/>
          </w:tcPr>
          <w:p w:rsidR="00C33E3C" w:rsidRDefault="008A77B9">
            <w:pPr>
              <w:jc w:val="center"/>
            </w:pPr>
            <w:r>
              <w:rPr>
                <w:color w:val="000000" w:themeColor="text1"/>
                <w:sz w:val="24"/>
              </w:rPr>
              <w:t>SICAV</w:t>
            </w:r>
          </w:p>
        </w:tc>
        <w:tc>
          <w:tcPr>
            <w:tcW w:w="0" w:type="auto"/>
            <w:vAlign w:val="center"/>
          </w:tcPr>
          <w:p w:rsidR="00C33E3C" w:rsidRDefault="008A77B9">
            <w:pPr>
              <w:jc w:val="center"/>
            </w:pPr>
            <w:r>
              <w:rPr>
                <w:color w:val="000000" w:themeColor="text1"/>
                <w:sz w:val="24"/>
              </w:rPr>
              <w:t>开放式</w:t>
            </w:r>
          </w:p>
        </w:tc>
        <w:tc>
          <w:tcPr>
            <w:tcW w:w="0" w:type="auto"/>
            <w:vAlign w:val="center"/>
          </w:tcPr>
          <w:p w:rsidR="00C33E3C" w:rsidRDefault="008A77B9">
            <w:pPr>
              <w:jc w:val="center"/>
            </w:pPr>
            <w:r>
              <w:rPr>
                <w:color w:val="000000" w:themeColor="text1"/>
                <w:sz w:val="24"/>
              </w:rPr>
              <w:t>Schroder Investment Management Europe SA</w:t>
            </w:r>
          </w:p>
        </w:tc>
        <w:tc>
          <w:tcPr>
            <w:tcW w:w="0" w:type="auto"/>
            <w:vAlign w:val="center"/>
          </w:tcPr>
          <w:p w:rsidR="00C33E3C" w:rsidRDefault="008A77B9">
            <w:pPr>
              <w:jc w:val="right"/>
            </w:pPr>
            <w:r>
              <w:rPr>
                <w:color w:val="000000" w:themeColor="text1"/>
                <w:sz w:val="24"/>
              </w:rPr>
              <w:t>8,440,758.92</w:t>
            </w:r>
          </w:p>
        </w:tc>
        <w:tc>
          <w:tcPr>
            <w:tcW w:w="0" w:type="auto"/>
            <w:vAlign w:val="center"/>
          </w:tcPr>
          <w:p w:rsidR="00C33E3C" w:rsidRDefault="008A77B9">
            <w:pPr>
              <w:jc w:val="right"/>
            </w:pPr>
            <w:r>
              <w:rPr>
                <w:color w:val="000000" w:themeColor="text1"/>
                <w:sz w:val="24"/>
              </w:rPr>
              <w:t>2.88</w:t>
            </w:r>
          </w:p>
        </w:tc>
      </w:tr>
      <w:tr w:rsidR="00C33E3C">
        <w:tc>
          <w:tcPr>
            <w:tcW w:w="0" w:type="auto"/>
            <w:vAlign w:val="center"/>
          </w:tcPr>
          <w:p w:rsidR="00C33E3C" w:rsidRDefault="008A77B9">
            <w:pPr>
              <w:jc w:val="center"/>
            </w:pPr>
            <w:r>
              <w:rPr>
                <w:color w:val="000000" w:themeColor="text1"/>
                <w:sz w:val="24"/>
              </w:rPr>
              <w:t>9</w:t>
            </w:r>
          </w:p>
        </w:tc>
        <w:tc>
          <w:tcPr>
            <w:tcW w:w="0" w:type="auto"/>
            <w:vAlign w:val="center"/>
          </w:tcPr>
          <w:p w:rsidR="00C33E3C" w:rsidRDefault="008A77B9">
            <w:pPr>
              <w:jc w:val="center"/>
            </w:pPr>
            <w:r>
              <w:rPr>
                <w:color w:val="000000" w:themeColor="text1"/>
                <w:sz w:val="24"/>
              </w:rPr>
              <w:t>Direxion Daily Junior Gold Miners Index Bull 3x Shares</w:t>
            </w:r>
          </w:p>
        </w:tc>
        <w:tc>
          <w:tcPr>
            <w:tcW w:w="0" w:type="auto"/>
            <w:vAlign w:val="center"/>
          </w:tcPr>
          <w:p w:rsidR="00C33E3C" w:rsidRDefault="008A77B9">
            <w:pPr>
              <w:jc w:val="center"/>
            </w:pPr>
            <w:r>
              <w:rPr>
                <w:color w:val="000000" w:themeColor="text1"/>
                <w:sz w:val="24"/>
              </w:rPr>
              <w:t>ETF</w:t>
            </w:r>
          </w:p>
        </w:tc>
        <w:tc>
          <w:tcPr>
            <w:tcW w:w="0" w:type="auto"/>
            <w:vAlign w:val="center"/>
          </w:tcPr>
          <w:p w:rsidR="00C33E3C" w:rsidRDefault="008A77B9">
            <w:pPr>
              <w:jc w:val="center"/>
            </w:pPr>
            <w:r>
              <w:rPr>
                <w:color w:val="000000" w:themeColor="text1"/>
                <w:sz w:val="24"/>
              </w:rPr>
              <w:t>开放式</w:t>
            </w:r>
          </w:p>
        </w:tc>
        <w:tc>
          <w:tcPr>
            <w:tcW w:w="0" w:type="auto"/>
            <w:vAlign w:val="center"/>
          </w:tcPr>
          <w:p w:rsidR="00C33E3C" w:rsidRDefault="008A77B9">
            <w:pPr>
              <w:jc w:val="center"/>
            </w:pPr>
            <w:r>
              <w:rPr>
                <w:color w:val="000000" w:themeColor="text1"/>
                <w:sz w:val="24"/>
              </w:rPr>
              <w:t xml:space="preserve">Rafferty Asset Management </w:t>
            </w:r>
            <w:r>
              <w:rPr>
                <w:color w:val="000000" w:themeColor="text1"/>
                <w:sz w:val="24"/>
              </w:rPr>
              <w:t>LLC</w:t>
            </w:r>
          </w:p>
        </w:tc>
        <w:tc>
          <w:tcPr>
            <w:tcW w:w="0" w:type="auto"/>
            <w:vAlign w:val="center"/>
          </w:tcPr>
          <w:p w:rsidR="00C33E3C" w:rsidRDefault="008A77B9">
            <w:pPr>
              <w:jc w:val="right"/>
            </w:pPr>
            <w:r>
              <w:rPr>
                <w:color w:val="000000" w:themeColor="text1"/>
                <w:sz w:val="24"/>
              </w:rPr>
              <w:t>7,089,061.28</w:t>
            </w:r>
          </w:p>
        </w:tc>
        <w:tc>
          <w:tcPr>
            <w:tcW w:w="0" w:type="auto"/>
            <w:vAlign w:val="center"/>
          </w:tcPr>
          <w:p w:rsidR="00C33E3C" w:rsidRDefault="008A77B9">
            <w:pPr>
              <w:jc w:val="right"/>
            </w:pPr>
            <w:r>
              <w:rPr>
                <w:color w:val="000000" w:themeColor="text1"/>
                <w:sz w:val="24"/>
              </w:rPr>
              <w:t>2.42</w:t>
            </w:r>
          </w:p>
        </w:tc>
      </w:tr>
    </w:tbl>
    <w:p w:rsidR="0076518F" w:rsidRPr="00A67563" w:rsidRDefault="0076518F" w:rsidP="008B6A4A">
      <w:pPr>
        <w:autoSpaceDE w:val="0"/>
        <w:autoSpaceDN w:val="0"/>
        <w:adjustRightInd w:val="0"/>
        <w:spacing w:line="360" w:lineRule="auto"/>
        <w:jc w:val="left"/>
        <w:rPr>
          <w:color w:val="000000" w:themeColor="text1"/>
          <w:kern w:val="0"/>
          <w:sz w:val="24"/>
        </w:rPr>
      </w:pPr>
    </w:p>
    <w:p w:rsidR="0076518F" w:rsidRPr="00A67563" w:rsidRDefault="00B55EA7" w:rsidP="0049659A">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w:t>
      </w:r>
      <w:r w:rsidR="0076518F" w:rsidRPr="00A67563">
        <w:rPr>
          <w:b/>
          <w:color w:val="000000" w:themeColor="text1"/>
          <w:kern w:val="0"/>
          <w:sz w:val="24"/>
        </w:rPr>
        <w:t>.</w:t>
      </w:r>
      <w:r w:rsidRPr="00A67563">
        <w:rPr>
          <w:b/>
          <w:color w:val="000000" w:themeColor="text1"/>
          <w:kern w:val="0"/>
          <w:sz w:val="24"/>
        </w:rPr>
        <w:t>10</w:t>
      </w:r>
      <w:r w:rsidR="0076518F" w:rsidRPr="00A67563">
        <w:rPr>
          <w:b/>
          <w:color w:val="000000" w:themeColor="text1"/>
          <w:kern w:val="0"/>
          <w:sz w:val="24"/>
        </w:rPr>
        <w:t xml:space="preserve"> </w:t>
      </w:r>
      <w:r w:rsidR="0076518F" w:rsidRPr="00A67563">
        <w:rPr>
          <w:b/>
          <w:color w:val="000000" w:themeColor="text1"/>
          <w:kern w:val="0"/>
          <w:sz w:val="24"/>
        </w:rPr>
        <w:t>投资组合报告附注</w:t>
      </w:r>
    </w:p>
    <w:p w:rsidR="00B55EA7" w:rsidRPr="00A67563" w:rsidRDefault="00B55EA7" w:rsidP="000E3F11">
      <w:pPr>
        <w:widowControl/>
        <w:spacing w:line="360" w:lineRule="auto"/>
        <w:ind w:left="120" w:hangingChars="50" w:hanging="120"/>
        <w:rPr>
          <w:color w:val="000000" w:themeColor="text1"/>
          <w:sz w:val="24"/>
        </w:rPr>
      </w:pPr>
      <w:r w:rsidRPr="00A67563">
        <w:rPr>
          <w:color w:val="000000" w:themeColor="text1"/>
          <w:sz w:val="24"/>
        </w:rPr>
        <w:t>5.10.1</w:t>
      </w:r>
      <w:r w:rsidR="008212BF">
        <w:rPr>
          <w:rFonts w:hint="eastAsia"/>
          <w:color w:val="000000" w:themeColor="text1"/>
          <w:sz w:val="24"/>
        </w:rPr>
        <w:t xml:space="preserve"> </w:t>
      </w:r>
      <w:r w:rsidRPr="00A67563">
        <w:rPr>
          <w:color w:val="000000" w:themeColor="text1"/>
          <w:sz w:val="24"/>
        </w:rPr>
        <w:t>本基金投资的前十名证券的发行主体本期没有出现被监管部门立案调查，或在报告编制日前一年内受到公开谴责、处罚的情形。</w:t>
      </w:r>
    </w:p>
    <w:p w:rsidR="00B55EA7" w:rsidRPr="00A67563" w:rsidRDefault="00B55EA7" w:rsidP="00B55EA7">
      <w:pPr>
        <w:widowControl/>
        <w:spacing w:line="360" w:lineRule="auto"/>
        <w:rPr>
          <w:color w:val="000000" w:themeColor="text1"/>
          <w:sz w:val="24"/>
        </w:rPr>
      </w:pPr>
      <w:r w:rsidRPr="00A67563">
        <w:rPr>
          <w:color w:val="000000" w:themeColor="text1"/>
          <w:sz w:val="24"/>
        </w:rPr>
        <w:t>5.10.2</w:t>
      </w:r>
      <w:r w:rsidR="008212BF">
        <w:rPr>
          <w:rFonts w:hint="eastAsia"/>
          <w:color w:val="000000" w:themeColor="text1"/>
          <w:sz w:val="24"/>
        </w:rPr>
        <w:t xml:space="preserve"> </w:t>
      </w:r>
      <w:r w:rsidRPr="00A67563">
        <w:rPr>
          <w:color w:val="000000" w:themeColor="text1"/>
          <w:sz w:val="24"/>
        </w:rPr>
        <w:t>本基金投资的前十名股票没有超出基金合同规定的备选股票库。</w:t>
      </w:r>
    </w:p>
    <w:p w:rsidR="0076518F" w:rsidRPr="00A67563" w:rsidRDefault="008C71EB" w:rsidP="0049659A">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.3</w:t>
      </w:r>
      <w:r w:rsidR="0076518F" w:rsidRPr="00A67563">
        <w:rPr>
          <w:b/>
          <w:color w:val="000000" w:themeColor="text1"/>
          <w:kern w:val="0"/>
          <w:sz w:val="24"/>
        </w:rPr>
        <w:t>其他</w:t>
      </w:r>
      <w:r w:rsidR="00B26CF4">
        <w:rPr>
          <w:rFonts w:hint="eastAsia"/>
          <w:b/>
          <w:color w:val="000000" w:themeColor="text1"/>
          <w:kern w:val="0"/>
          <w:sz w:val="24"/>
        </w:rPr>
        <w:t>各项</w:t>
      </w:r>
      <w:r w:rsidR="0076518F" w:rsidRPr="00A67563">
        <w:rPr>
          <w:b/>
          <w:color w:val="000000" w:themeColor="text1"/>
          <w:kern w:val="0"/>
          <w:sz w:val="24"/>
        </w:rPr>
        <w:t>资产构成</w:t>
      </w:r>
    </w:p>
    <w:tbl>
      <w:tblPr>
        <w:tblStyle w:val="af7"/>
        <w:tblW w:w="0" w:type="auto"/>
        <w:tblInd w:w="15" w:type="dxa"/>
        <w:tblLayout w:type="fixed"/>
        <w:tblLook w:val="04A0" w:firstRow="1" w:lastRow="0" w:firstColumn="1" w:lastColumn="0" w:noHBand="0" w:noVBand="1"/>
      </w:tblPr>
      <w:tblGrid>
        <w:gridCol w:w="802"/>
        <w:gridCol w:w="2903"/>
        <w:gridCol w:w="4808"/>
      </w:tblGrid>
      <w:tr w:rsidR="008277FF" w:rsidRPr="00A67563" w:rsidTr="004C05F3">
        <w:tc>
          <w:tcPr>
            <w:tcW w:w="802"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序号</w:t>
            </w:r>
          </w:p>
        </w:tc>
        <w:tc>
          <w:tcPr>
            <w:tcW w:w="2903"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名称</w:t>
            </w:r>
          </w:p>
        </w:tc>
        <w:tc>
          <w:tcPr>
            <w:tcW w:w="4808" w:type="dxa"/>
            <w:vAlign w:val="center"/>
          </w:tcPr>
          <w:p w:rsidR="002C2678" w:rsidRPr="00A67563" w:rsidRDefault="002C2678" w:rsidP="00797DD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金额</w:t>
            </w:r>
            <w:r w:rsidRPr="00A67563">
              <w:rPr>
                <w:color w:val="000000" w:themeColor="text1"/>
                <w:kern w:val="0"/>
                <w:sz w:val="24"/>
              </w:rPr>
              <w:t>(</w:t>
            </w:r>
            <w:r w:rsidR="00C42431" w:rsidRPr="00A67563">
              <w:rPr>
                <w:color w:val="000000" w:themeColor="text1"/>
                <w:kern w:val="0"/>
                <w:sz w:val="24"/>
              </w:rPr>
              <w:t>人民币</w:t>
            </w:r>
            <w:r w:rsidRPr="00A67563">
              <w:rPr>
                <w:color w:val="000000" w:themeColor="text1"/>
                <w:kern w:val="0"/>
                <w:sz w:val="24"/>
              </w:rPr>
              <w:t>元</w:t>
            </w: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kern w:val="0"/>
                <w:sz w:val="24"/>
              </w:rPr>
            </w:pPr>
            <w:r w:rsidRPr="00A67563">
              <w:rPr>
                <w:color w:val="000000" w:themeColor="text1"/>
                <w:sz w:val="24"/>
              </w:rPr>
              <w:t>1</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存出保证金</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2</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应收证券清算款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3</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应收股利</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4</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应收利息</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11,822.06</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5</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应收申购款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405,866.96</w:t>
            </w:r>
          </w:p>
        </w:tc>
      </w:tr>
      <w:tr w:rsidR="008277FF" w:rsidRPr="00A67563" w:rsidTr="009E3391">
        <w:tc>
          <w:tcPr>
            <w:tcW w:w="802" w:type="dxa"/>
            <w:vAlign w:val="center"/>
          </w:tcPr>
          <w:p w:rsidR="002C2678" w:rsidRPr="00A67563" w:rsidRDefault="002C2678"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6</w:t>
            </w:r>
          </w:p>
        </w:tc>
        <w:tc>
          <w:tcPr>
            <w:tcW w:w="2903" w:type="dxa"/>
            <w:vAlign w:val="center"/>
          </w:tcPr>
          <w:p w:rsidR="002C2678" w:rsidRPr="00A67563" w:rsidRDefault="002C2678"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其他应收款</w:t>
            </w:r>
          </w:p>
        </w:tc>
        <w:tc>
          <w:tcPr>
            <w:tcW w:w="4808" w:type="dxa"/>
            <w:vAlign w:val="center"/>
          </w:tcPr>
          <w:p w:rsidR="002C2678" w:rsidRPr="00A67563" w:rsidRDefault="002C2678"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7</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sz w:val="24"/>
              </w:rPr>
            </w:pPr>
            <w:r w:rsidRPr="00A67563">
              <w:rPr>
                <w:color w:val="000000" w:themeColor="text1"/>
                <w:sz w:val="24"/>
              </w:rPr>
              <w:t>待摊费用</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sz w:val="24"/>
              </w:rPr>
            </w:pPr>
            <w:r w:rsidRPr="00A67563">
              <w:rPr>
                <w:color w:val="000000" w:themeColor="text1"/>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8</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其他</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w:t>
            </w:r>
          </w:p>
        </w:tc>
      </w:tr>
      <w:tr w:rsidR="008277FF" w:rsidRPr="00A67563" w:rsidTr="009E3391">
        <w:tc>
          <w:tcPr>
            <w:tcW w:w="802" w:type="dxa"/>
            <w:vAlign w:val="center"/>
          </w:tcPr>
          <w:p w:rsidR="00F951CF" w:rsidRPr="00A67563" w:rsidRDefault="00F951CF" w:rsidP="00797DD2">
            <w:pPr>
              <w:autoSpaceDE w:val="0"/>
              <w:autoSpaceDN w:val="0"/>
              <w:adjustRightInd w:val="0"/>
              <w:spacing w:before="29" w:line="360" w:lineRule="auto"/>
              <w:ind w:left="15"/>
              <w:jc w:val="center"/>
              <w:rPr>
                <w:color w:val="000000" w:themeColor="text1"/>
                <w:sz w:val="24"/>
              </w:rPr>
            </w:pPr>
            <w:r w:rsidRPr="00A67563">
              <w:rPr>
                <w:color w:val="000000" w:themeColor="text1"/>
                <w:sz w:val="24"/>
              </w:rPr>
              <w:t>9</w:t>
            </w:r>
          </w:p>
        </w:tc>
        <w:tc>
          <w:tcPr>
            <w:tcW w:w="2903" w:type="dxa"/>
            <w:vAlign w:val="center"/>
          </w:tcPr>
          <w:p w:rsidR="00F951CF" w:rsidRPr="00A67563" w:rsidRDefault="00F951CF" w:rsidP="009E3391">
            <w:pPr>
              <w:autoSpaceDE w:val="0"/>
              <w:autoSpaceDN w:val="0"/>
              <w:adjustRightInd w:val="0"/>
              <w:spacing w:before="29" w:line="360" w:lineRule="auto"/>
              <w:ind w:left="15"/>
              <w:rPr>
                <w:color w:val="000000" w:themeColor="text1"/>
                <w:kern w:val="0"/>
                <w:sz w:val="24"/>
              </w:rPr>
            </w:pPr>
            <w:r w:rsidRPr="00A67563">
              <w:rPr>
                <w:color w:val="000000" w:themeColor="text1"/>
                <w:kern w:val="0"/>
                <w:sz w:val="24"/>
              </w:rPr>
              <w:t>合计</w:t>
            </w:r>
          </w:p>
        </w:tc>
        <w:tc>
          <w:tcPr>
            <w:tcW w:w="4808" w:type="dxa"/>
            <w:vAlign w:val="center"/>
          </w:tcPr>
          <w:p w:rsidR="00F951CF" w:rsidRPr="00A67563" w:rsidRDefault="00F951CF" w:rsidP="00797DD2">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417,689.02</w:t>
            </w:r>
          </w:p>
        </w:tc>
      </w:tr>
    </w:tbl>
    <w:p w:rsidR="00A22D4B" w:rsidRPr="00A67563" w:rsidRDefault="00A22D4B" w:rsidP="00EC4BA3">
      <w:pPr>
        <w:autoSpaceDE w:val="0"/>
        <w:autoSpaceDN w:val="0"/>
        <w:adjustRightInd w:val="0"/>
        <w:spacing w:line="360" w:lineRule="auto"/>
        <w:jc w:val="left"/>
        <w:rPr>
          <w:b/>
          <w:color w:val="000000" w:themeColor="text1"/>
          <w:kern w:val="0"/>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.4</w:t>
      </w:r>
      <w:r w:rsidR="0076518F" w:rsidRPr="00A67563">
        <w:rPr>
          <w:b/>
          <w:color w:val="000000" w:themeColor="text1"/>
          <w:kern w:val="0"/>
          <w:sz w:val="24"/>
        </w:rPr>
        <w:t>报告期末持有的处于转股期的可转换债券明细</w:t>
      </w:r>
    </w:p>
    <w:p w:rsidR="000A55BD" w:rsidRPr="00A67563" w:rsidRDefault="000A55B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本基金本报告期末未持有处于转股期的可转换债券。</w:t>
      </w:r>
    </w:p>
    <w:p w:rsidR="009E3391" w:rsidRPr="00A67563" w:rsidRDefault="009E3391" w:rsidP="002236BC">
      <w:pPr>
        <w:autoSpaceDE w:val="0"/>
        <w:autoSpaceDN w:val="0"/>
        <w:adjustRightInd w:val="0"/>
        <w:spacing w:line="360" w:lineRule="auto"/>
        <w:jc w:val="left"/>
        <w:rPr>
          <w:color w:val="000000" w:themeColor="text1"/>
          <w:sz w:val="24"/>
        </w:rPr>
      </w:pPr>
    </w:p>
    <w:p w:rsidR="0076518F" w:rsidRPr="00A67563" w:rsidRDefault="008C71EB" w:rsidP="00EC4BA3">
      <w:pPr>
        <w:autoSpaceDE w:val="0"/>
        <w:autoSpaceDN w:val="0"/>
        <w:adjustRightInd w:val="0"/>
        <w:spacing w:line="360" w:lineRule="auto"/>
        <w:jc w:val="left"/>
        <w:rPr>
          <w:b/>
          <w:color w:val="000000" w:themeColor="text1"/>
          <w:kern w:val="0"/>
          <w:sz w:val="24"/>
        </w:rPr>
      </w:pPr>
      <w:r w:rsidRPr="00A67563">
        <w:rPr>
          <w:b/>
          <w:color w:val="000000" w:themeColor="text1"/>
          <w:kern w:val="0"/>
          <w:sz w:val="24"/>
        </w:rPr>
        <w:t>5.1</w:t>
      </w:r>
      <w:r w:rsidR="002A0FA2" w:rsidRPr="00A67563">
        <w:rPr>
          <w:b/>
          <w:color w:val="000000" w:themeColor="text1"/>
          <w:kern w:val="0"/>
          <w:sz w:val="24"/>
        </w:rPr>
        <w:t>0</w:t>
      </w:r>
      <w:r w:rsidR="0076518F" w:rsidRPr="00A67563">
        <w:rPr>
          <w:b/>
          <w:color w:val="000000" w:themeColor="text1"/>
          <w:kern w:val="0"/>
          <w:sz w:val="24"/>
        </w:rPr>
        <w:t xml:space="preserve">.5 </w:t>
      </w:r>
      <w:r w:rsidR="0076518F" w:rsidRPr="00A67563">
        <w:rPr>
          <w:b/>
          <w:color w:val="000000" w:themeColor="text1"/>
          <w:kern w:val="0"/>
          <w:sz w:val="24"/>
        </w:rPr>
        <w:t>报告期末前十名股票中存在流通受限情况的说明</w:t>
      </w:r>
    </w:p>
    <w:p w:rsidR="000A55BD" w:rsidRPr="00A67563" w:rsidRDefault="000A55BD" w:rsidP="002D6955">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本基金本报告期末未持有股票。</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 xml:space="preserve">§6  </w:t>
      </w:r>
      <w:r w:rsidRPr="00A67563">
        <w:rPr>
          <w:color w:val="000000" w:themeColor="text1"/>
          <w:kern w:val="0"/>
          <w:sz w:val="24"/>
          <w:szCs w:val="24"/>
        </w:rPr>
        <w:t>开放式基金份额变动</w:t>
      </w:r>
    </w:p>
    <w:p w:rsidR="0076518F" w:rsidRPr="00A67563" w:rsidRDefault="0076518F" w:rsidP="008B6A4A">
      <w:pPr>
        <w:autoSpaceDE w:val="0"/>
        <w:autoSpaceDN w:val="0"/>
        <w:adjustRightInd w:val="0"/>
        <w:spacing w:before="29" w:line="360" w:lineRule="auto"/>
        <w:ind w:left="15"/>
        <w:jc w:val="right"/>
        <w:rPr>
          <w:color w:val="000000" w:themeColor="text1"/>
          <w:kern w:val="0"/>
          <w:sz w:val="24"/>
        </w:rPr>
      </w:pPr>
      <w:r w:rsidRPr="00A67563">
        <w:rPr>
          <w:color w:val="000000" w:themeColor="text1"/>
          <w:kern w:val="0"/>
          <w:sz w:val="24"/>
        </w:rPr>
        <w:t>单位：份</w:t>
      </w:r>
    </w:p>
    <w:tbl>
      <w:tblPr>
        <w:tblW w:w="8634" w:type="dxa"/>
        <w:jc w:val="center"/>
        <w:tblLayout w:type="fixed"/>
        <w:tblLook w:val="0000" w:firstRow="0" w:lastRow="0" w:firstColumn="0" w:lastColumn="0" w:noHBand="0" w:noVBand="0"/>
      </w:tblPr>
      <w:tblGrid>
        <w:gridCol w:w="3900"/>
        <w:gridCol w:w="2367"/>
        <w:gridCol w:w="2367"/>
      </w:tblGrid>
      <w:tr w:rsidR="0022505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center"/>
              <w:rPr>
                <w:color w:val="000000" w:themeColor="text1"/>
                <w:kern w:val="0"/>
                <w:sz w:val="24"/>
              </w:rPr>
            </w:pPr>
            <w:r w:rsidRPr="00A67563">
              <w:rPr>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67563" w:rsidRDefault="0022505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428,703,387.26</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453,818.87</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100,197,469.06</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3,149,232.26</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141,493,348.57</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1,571,335.15</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报告期基金拆分变动份额</w:t>
            </w:r>
            <w:r w:rsidR="00A40508">
              <w:rPr>
                <w:rFonts w:hint="eastAsia"/>
                <w:color w:val="000000"/>
                <w:kern w:val="0"/>
                <w:sz w:val="24"/>
              </w:rPr>
              <w:t>（份额减少以“</w:t>
            </w:r>
            <w:r w:rsidR="00A40508">
              <w:rPr>
                <w:color w:val="000000"/>
                <w:kern w:val="0"/>
                <w:sz w:val="24"/>
              </w:rPr>
              <w:t>-</w:t>
            </w:r>
            <w:r w:rsidR="00A40508">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w:t>
            </w:r>
          </w:p>
        </w:tc>
      </w:tr>
      <w:tr w:rsidR="00550511" w:rsidRPr="00A67563" w:rsidTr="004B327C">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left"/>
              <w:rPr>
                <w:color w:val="000000" w:themeColor="text1"/>
                <w:kern w:val="0"/>
                <w:sz w:val="24"/>
              </w:rPr>
            </w:pPr>
            <w:r w:rsidRPr="00A67563">
              <w:rPr>
                <w:color w:val="000000" w:themeColor="text1"/>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387,407,507.75</w:t>
            </w:r>
          </w:p>
        </w:tc>
        <w:tc>
          <w:tcPr>
            <w:tcW w:w="2367" w:type="dxa"/>
            <w:tcBorders>
              <w:top w:val="single" w:sz="8" w:space="0" w:color="000000"/>
              <w:left w:val="single" w:sz="8" w:space="0" w:color="000000"/>
              <w:bottom w:val="single" w:sz="8" w:space="0" w:color="000000"/>
              <w:right w:val="single" w:sz="8" w:space="0" w:color="000000"/>
            </w:tcBorders>
            <w:vAlign w:val="center"/>
          </w:tcPr>
          <w:p w:rsidR="00550511" w:rsidRPr="00A67563" w:rsidRDefault="00550511" w:rsidP="00845292">
            <w:pPr>
              <w:autoSpaceDE w:val="0"/>
              <w:autoSpaceDN w:val="0"/>
              <w:adjustRightInd w:val="0"/>
              <w:spacing w:before="29" w:line="360" w:lineRule="auto"/>
              <w:ind w:left="17"/>
              <w:jc w:val="right"/>
              <w:rPr>
                <w:color w:val="000000" w:themeColor="text1"/>
                <w:sz w:val="24"/>
              </w:rPr>
            </w:pPr>
            <w:r w:rsidRPr="00A67563">
              <w:rPr>
                <w:color w:val="000000" w:themeColor="text1"/>
                <w:sz w:val="24"/>
              </w:rPr>
              <w:t>2,031,715.98</w:t>
            </w:r>
          </w:p>
        </w:tc>
      </w:tr>
    </w:tbl>
    <w:p w:rsidR="00322A5E" w:rsidRPr="00A67563" w:rsidRDefault="00322A5E" w:rsidP="002D6955">
      <w:pPr>
        <w:autoSpaceDE w:val="0"/>
        <w:autoSpaceDN w:val="0"/>
        <w:adjustRightInd w:val="0"/>
        <w:spacing w:line="360" w:lineRule="auto"/>
        <w:jc w:val="left"/>
        <w:rPr>
          <w:color w:val="000000" w:themeColor="text1"/>
          <w:sz w:val="24"/>
        </w:rPr>
      </w:pPr>
      <w:r w:rsidRPr="00A67563">
        <w:rPr>
          <w:color w:val="000000" w:themeColor="text1"/>
          <w:sz w:val="24"/>
        </w:rPr>
        <w:t>注：易方达黄金主题（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A</w:t>
      </w:r>
      <w:r w:rsidRPr="00A67563">
        <w:rPr>
          <w:color w:val="000000" w:themeColor="text1"/>
          <w:sz w:val="24"/>
        </w:rPr>
        <w:t>份额变动含</w:t>
      </w:r>
      <w:r w:rsidRPr="00A67563">
        <w:rPr>
          <w:color w:val="000000" w:themeColor="text1"/>
          <w:sz w:val="24"/>
        </w:rPr>
        <w:t>A</w:t>
      </w:r>
      <w:r w:rsidRPr="00A67563">
        <w:rPr>
          <w:color w:val="000000" w:themeColor="text1"/>
          <w:sz w:val="24"/>
        </w:rPr>
        <w:t>类人民币份额及</w:t>
      </w:r>
      <w:r w:rsidRPr="00A67563">
        <w:rPr>
          <w:color w:val="000000" w:themeColor="text1"/>
          <w:sz w:val="24"/>
        </w:rPr>
        <w:t>A</w:t>
      </w:r>
      <w:r w:rsidRPr="00A67563">
        <w:rPr>
          <w:color w:val="000000" w:themeColor="text1"/>
          <w:sz w:val="24"/>
        </w:rPr>
        <w:t>类美元份额；易方达黄金主题（</w:t>
      </w:r>
      <w:r w:rsidRPr="00A67563">
        <w:rPr>
          <w:color w:val="000000" w:themeColor="text1"/>
          <w:sz w:val="24"/>
        </w:rPr>
        <w:t>QDII-LOF-FOF</w:t>
      </w:r>
      <w:r w:rsidRPr="00A67563">
        <w:rPr>
          <w:color w:val="000000" w:themeColor="text1"/>
          <w:sz w:val="24"/>
        </w:rPr>
        <w:t>）</w:t>
      </w:r>
      <w:r w:rsidRPr="00A67563">
        <w:rPr>
          <w:color w:val="000000" w:themeColor="text1"/>
          <w:sz w:val="24"/>
        </w:rPr>
        <w:t>C</w:t>
      </w:r>
      <w:r w:rsidRPr="00A67563">
        <w:rPr>
          <w:color w:val="000000" w:themeColor="text1"/>
          <w:sz w:val="24"/>
        </w:rPr>
        <w:t>份额变动含</w:t>
      </w:r>
      <w:r w:rsidRPr="00A67563">
        <w:rPr>
          <w:color w:val="000000" w:themeColor="text1"/>
          <w:sz w:val="24"/>
        </w:rPr>
        <w:t>C</w:t>
      </w:r>
      <w:r w:rsidRPr="00A67563">
        <w:rPr>
          <w:color w:val="000000" w:themeColor="text1"/>
          <w:sz w:val="24"/>
        </w:rPr>
        <w:t>类人民币份额及</w:t>
      </w:r>
      <w:r w:rsidRPr="00A67563">
        <w:rPr>
          <w:color w:val="000000" w:themeColor="text1"/>
          <w:sz w:val="24"/>
        </w:rPr>
        <w:t>C</w:t>
      </w:r>
      <w:r w:rsidRPr="00A67563">
        <w:rPr>
          <w:color w:val="000000" w:themeColor="text1"/>
          <w:sz w:val="24"/>
        </w:rPr>
        <w:t>类美元份额。</w:t>
      </w:r>
    </w:p>
    <w:p w:rsidR="00BB5F3D" w:rsidRPr="00A67563" w:rsidRDefault="00BB5F3D" w:rsidP="00775284">
      <w:pPr>
        <w:pStyle w:val="1"/>
        <w:tabs>
          <w:tab w:val="center" w:pos="4156"/>
          <w:tab w:val="right" w:pos="8312"/>
        </w:tabs>
        <w:spacing w:beforeLines="100" w:before="312" w:afterLines="100" w:after="312" w:line="360" w:lineRule="auto"/>
        <w:jc w:val="center"/>
        <w:rPr>
          <w:color w:val="000000" w:themeColor="text1"/>
          <w:sz w:val="24"/>
        </w:rPr>
      </w:pPr>
      <w:r w:rsidRPr="00A67563">
        <w:rPr>
          <w:color w:val="000000" w:themeColor="text1"/>
          <w:kern w:val="0"/>
          <w:sz w:val="24"/>
          <w:szCs w:val="24"/>
        </w:rPr>
        <w:t xml:space="preserve">§7  </w:t>
      </w:r>
      <w:r w:rsidRPr="00A67563">
        <w:rPr>
          <w:color w:val="000000" w:themeColor="text1"/>
          <w:sz w:val="24"/>
          <w:szCs w:val="24"/>
        </w:rPr>
        <w:t>基金管理人运用固有资金投资本基金</w:t>
      </w:r>
      <w:r w:rsidR="00775284">
        <w:rPr>
          <w:rFonts w:hint="eastAsia"/>
          <w:color w:val="000000"/>
          <w:kern w:val="0"/>
          <w:sz w:val="24"/>
        </w:rPr>
        <w:t>交易明细</w:t>
      </w:r>
    </w:p>
    <w:p w:rsidR="005E64DA" w:rsidRPr="00A67563" w:rsidRDefault="00BB5F3D" w:rsidP="00E2281D">
      <w:pPr>
        <w:autoSpaceDE w:val="0"/>
        <w:autoSpaceDN w:val="0"/>
        <w:adjustRightInd w:val="0"/>
        <w:spacing w:line="360" w:lineRule="auto"/>
        <w:ind w:firstLineChars="200" w:firstLine="480"/>
        <w:jc w:val="left"/>
        <w:rPr>
          <w:color w:val="000000" w:themeColor="text1"/>
          <w:sz w:val="24"/>
        </w:rPr>
      </w:pPr>
      <w:r w:rsidRPr="00A67563">
        <w:rPr>
          <w:color w:val="000000" w:themeColor="text1"/>
          <w:sz w:val="24"/>
        </w:rPr>
        <w:t>本报告期内基金管理人未运用固有资金申购、赎回、买卖本基金份额。</w:t>
      </w:r>
    </w:p>
    <w:p w:rsidR="0076518F" w:rsidRPr="00A67563" w:rsidRDefault="0076518F" w:rsidP="00775284">
      <w:pPr>
        <w:pStyle w:val="1"/>
        <w:spacing w:beforeLines="100" w:before="312" w:afterLines="100" w:after="312" w:line="360" w:lineRule="auto"/>
        <w:jc w:val="center"/>
        <w:rPr>
          <w:color w:val="000000" w:themeColor="text1"/>
          <w:kern w:val="0"/>
          <w:sz w:val="24"/>
          <w:szCs w:val="24"/>
        </w:rPr>
      </w:pPr>
      <w:r w:rsidRPr="00A67563">
        <w:rPr>
          <w:color w:val="000000" w:themeColor="text1"/>
          <w:kern w:val="0"/>
          <w:sz w:val="24"/>
          <w:szCs w:val="24"/>
        </w:rPr>
        <w:t>§</w:t>
      </w:r>
      <w:r w:rsidR="002711AA" w:rsidRPr="00A67563">
        <w:rPr>
          <w:color w:val="000000" w:themeColor="text1"/>
          <w:kern w:val="0"/>
          <w:sz w:val="24"/>
          <w:szCs w:val="24"/>
        </w:rPr>
        <w:t>8</w:t>
      </w:r>
      <w:r w:rsidR="00BD7FC1" w:rsidRPr="00A67563">
        <w:rPr>
          <w:bCs w:val="0"/>
          <w:color w:val="000000" w:themeColor="text1"/>
          <w:kern w:val="2"/>
          <w:sz w:val="24"/>
          <w:szCs w:val="24"/>
        </w:rPr>
        <w:t xml:space="preserve">  </w:t>
      </w:r>
      <w:r w:rsidRPr="00A67563">
        <w:rPr>
          <w:color w:val="000000" w:themeColor="text1"/>
          <w:kern w:val="0"/>
          <w:sz w:val="24"/>
          <w:szCs w:val="24"/>
        </w:rPr>
        <w:t>备查文件目录</w:t>
      </w: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1</w:t>
      </w:r>
      <w:r w:rsidR="008975BC" w:rsidRPr="00A67563">
        <w:rPr>
          <w:b/>
          <w:bCs/>
          <w:color w:val="000000" w:themeColor="text1"/>
          <w:kern w:val="0"/>
          <w:sz w:val="24"/>
        </w:rPr>
        <w:t xml:space="preserve"> </w:t>
      </w:r>
      <w:r w:rsidR="008975BC" w:rsidRPr="00A67563">
        <w:rPr>
          <w:b/>
          <w:bCs/>
          <w:color w:val="000000" w:themeColor="text1"/>
          <w:kern w:val="0"/>
          <w:sz w:val="24"/>
        </w:rPr>
        <w:t>备查文件目录</w:t>
      </w:r>
    </w:p>
    <w:p w:rsidR="00C33E3C" w:rsidRDefault="008A77B9">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中国证监会核准易方达黄金主题证券投资基金（</w:t>
      </w:r>
      <w:r>
        <w:rPr>
          <w:color w:val="000000" w:themeColor="text1"/>
          <w:sz w:val="24"/>
        </w:rPr>
        <w:t>LOF</w:t>
      </w:r>
      <w:r>
        <w:rPr>
          <w:color w:val="000000" w:themeColor="text1"/>
          <w:sz w:val="24"/>
        </w:rPr>
        <w:t>）募集的文件；</w:t>
      </w:r>
    </w:p>
    <w:p w:rsidR="00C33E3C" w:rsidRDefault="008A77B9">
      <w:pPr>
        <w:spacing w:line="360" w:lineRule="auto"/>
        <w:ind w:firstLineChars="200" w:firstLine="480"/>
        <w:rPr>
          <w:color w:val="000000" w:themeColor="text1"/>
          <w:sz w:val="24"/>
        </w:rPr>
      </w:pPr>
      <w:r>
        <w:rPr>
          <w:color w:val="000000" w:themeColor="text1"/>
          <w:sz w:val="24"/>
        </w:rPr>
        <w:t>2.</w:t>
      </w:r>
      <w:r>
        <w:rPr>
          <w:color w:val="000000" w:themeColor="text1"/>
          <w:sz w:val="24"/>
        </w:rPr>
        <w:t>《易方达黄金主题证券投资基金（</w:t>
      </w:r>
      <w:r>
        <w:rPr>
          <w:color w:val="000000" w:themeColor="text1"/>
          <w:sz w:val="24"/>
        </w:rPr>
        <w:t>LOF</w:t>
      </w:r>
      <w:r>
        <w:rPr>
          <w:color w:val="000000" w:themeColor="text1"/>
          <w:sz w:val="24"/>
        </w:rPr>
        <w:t>）基金合同》；</w:t>
      </w:r>
    </w:p>
    <w:p w:rsidR="00C33E3C" w:rsidRDefault="008A77B9">
      <w:pPr>
        <w:spacing w:line="360" w:lineRule="auto"/>
        <w:ind w:firstLineChars="200" w:firstLine="480"/>
        <w:rPr>
          <w:color w:val="000000" w:themeColor="text1"/>
          <w:sz w:val="24"/>
        </w:rPr>
      </w:pPr>
      <w:r>
        <w:rPr>
          <w:color w:val="000000" w:themeColor="text1"/>
          <w:sz w:val="24"/>
        </w:rPr>
        <w:t>3.</w:t>
      </w:r>
      <w:r>
        <w:rPr>
          <w:color w:val="000000" w:themeColor="text1"/>
          <w:sz w:val="24"/>
        </w:rPr>
        <w:t>《易方达黄金主题证券投资基金（</w:t>
      </w:r>
      <w:r>
        <w:rPr>
          <w:color w:val="000000" w:themeColor="text1"/>
          <w:sz w:val="24"/>
        </w:rPr>
        <w:t>LOF</w:t>
      </w:r>
      <w:r>
        <w:rPr>
          <w:color w:val="000000" w:themeColor="text1"/>
          <w:sz w:val="24"/>
        </w:rPr>
        <w:t>）托管协议》；</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 xml:space="preserve">4. </w:t>
      </w:r>
      <w:r w:rsidRPr="00A67563">
        <w:rPr>
          <w:color w:val="000000" w:themeColor="text1"/>
          <w:sz w:val="24"/>
        </w:rPr>
        <w:t>基金管理人业务资格批件和营业执照。</w:t>
      </w:r>
    </w:p>
    <w:p w:rsidR="008A2EC6" w:rsidRPr="00A67563" w:rsidRDefault="008A2EC6" w:rsidP="000C7596">
      <w:pPr>
        <w:spacing w:line="360" w:lineRule="auto"/>
        <w:ind w:firstLineChars="200" w:firstLine="480"/>
        <w:rPr>
          <w:color w:val="000000" w:themeColor="text1"/>
          <w:sz w:val="24"/>
        </w:rPr>
      </w:pP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2</w:t>
      </w:r>
      <w:r w:rsidR="008975BC" w:rsidRPr="00A67563">
        <w:rPr>
          <w:b/>
          <w:bCs/>
          <w:color w:val="000000" w:themeColor="text1"/>
          <w:kern w:val="0"/>
          <w:sz w:val="24"/>
        </w:rPr>
        <w:t xml:space="preserve"> </w:t>
      </w:r>
      <w:r w:rsidR="008975BC" w:rsidRPr="00A67563">
        <w:rPr>
          <w:b/>
          <w:bCs/>
          <w:color w:val="000000" w:themeColor="text1"/>
          <w:kern w:val="0"/>
          <w:sz w:val="24"/>
        </w:rPr>
        <w:t>存放地点</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广州市天河区珠江新城珠江东路</w:t>
      </w:r>
      <w:r w:rsidRPr="00A67563">
        <w:rPr>
          <w:color w:val="000000" w:themeColor="text1"/>
          <w:sz w:val="24"/>
        </w:rPr>
        <w:t>30</w:t>
      </w:r>
      <w:r w:rsidRPr="00A67563">
        <w:rPr>
          <w:color w:val="000000" w:themeColor="text1"/>
          <w:sz w:val="24"/>
        </w:rPr>
        <w:t>号广州银行大厦</w:t>
      </w:r>
      <w:r w:rsidRPr="00A67563">
        <w:rPr>
          <w:color w:val="000000" w:themeColor="text1"/>
          <w:sz w:val="24"/>
        </w:rPr>
        <w:t>40-43</w:t>
      </w:r>
      <w:r w:rsidRPr="00A67563">
        <w:rPr>
          <w:color w:val="000000" w:themeColor="text1"/>
          <w:sz w:val="24"/>
        </w:rPr>
        <w:t>楼。</w:t>
      </w:r>
    </w:p>
    <w:p w:rsidR="008A2EC6" w:rsidRPr="00A67563" w:rsidRDefault="008A2EC6" w:rsidP="000C7596">
      <w:pPr>
        <w:spacing w:line="360" w:lineRule="auto"/>
        <w:ind w:firstLineChars="200" w:firstLine="480"/>
        <w:rPr>
          <w:color w:val="000000" w:themeColor="text1"/>
          <w:sz w:val="24"/>
        </w:rPr>
      </w:pPr>
    </w:p>
    <w:p w:rsidR="008975BC" w:rsidRPr="00A67563" w:rsidRDefault="00280566" w:rsidP="000C7596">
      <w:pPr>
        <w:autoSpaceDE w:val="0"/>
        <w:autoSpaceDN w:val="0"/>
        <w:adjustRightInd w:val="0"/>
        <w:spacing w:line="360" w:lineRule="auto"/>
        <w:jc w:val="left"/>
        <w:rPr>
          <w:b/>
          <w:bCs/>
          <w:color w:val="000000" w:themeColor="text1"/>
          <w:kern w:val="0"/>
          <w:sz w:val="24"/>
        </w:rPr>
      </w:pPr>
      <w:r w:rsidRPr="00A67563">
        <w:rPr>
          <w:b/>
          <w:bCs/>
          <w:color w:val="000000" w:themeColor="text1"/>
          <w:kern w:val="0"/>
          <w:sz w:val="24"/>
        </w:rPr>
        <w:t>8</w:t>
      </w:r>
      <w:r w:rsidR="008975BC" w:rsidRPr="00A67563">
        <w:rPr>
          <w:b/>
          <w:bCs/>
          <w:color w:val="000000" w:themeColor="text1"/>
          <w:kern w:val="0"/>
          <w:sz w:val="24"/>
        </w:rPr>
        <w:t>.</w:t>
      </w:r>
      <w:r w:rsidR="00376A15" w:rsidRPr="00A67563">
        <w:rPr>
          <w:b/>
          <w:bCs/>
          <w:color w:val="000000" w:themeColor="text1"/>
          <w:kern w:val="0"/>
          <w:sz w:val="24"/>
        </w:rPr>
        <w:t>3</w:t>
      </w:r>
      <w:r w:rsidR="008975BC" w:rsidRPr="00A67563">
        <w:rPr>
          <w:b/>
          <w:bCs/>
          <w:color w:val="000000" w:themeColor="text1"/>
          <w:kern w:val="0"/>
          <w:sz w:val="24"/>
        </w:rPr>
        <w:t xml:space="preserve"> </w:t>
      </w:r>
      <w:r w:rsidR="008975BC" w:rsidRPr="00A67563">
        <w:rPr>
          <w:b/>
          <w:bCs/>
          <w:color w:val="000000" w:themeColor="text1"/>
          <w:kern w:val="0"/>
          <w:sz w:val="24"/>
        </w:rPr>
        <w:t>查阅方式</w:t>
      </w:r>
    </w:p>
    <w:p w:rsidR="008975BC" w:rsidRPr="00A67563" w:rsidRDefault="008975BC" w:rsidP="002D6955">
      <w:pPr>
        <w:spacing w:line="360" w:lineRule="auto"/>
        <w:ind w:firstLineChars="200" w:firstLine="480"/>
        <w:rPr>
          <w:color w:val="000000" w:themeColor="text1"/>
          <w:sz w:val="24"/>
        </w:rPr>
      </w:pPr>
      <w:r w:rsidRPr="00A67563">
        <w:rPr>
          <w:color w:val="000000" w:themeColor="text1"/>
          <w:sz w:val="24"/>
        </w:rPr>
        <w:t>投资者可在营业时间免费查阅，也可按工本费购买复印件。</w:t>
      </w:r>
    </w:p>
    <w:p w:rsidR="0076518F" w:rsidRPr="00A67563" w:rsidRDefault="0076518F" w:rsidP="008B6A4A">
      <w:pPr>
        <w:spacing w:line="360" w:lineRule="auto"/>
        <w:ind w:firstLineChars="200" w:firstLine="480"/>
        <w:rPr>
          <w:color w:val="000000" w:themeColor="text1"/>
          <w:sz w:val="24"/>
        </w:rPr>
      </w:pPr>
    </w:p>
    <w:p w:rsidR="008A2EC6" w:rsidRPr="00A67563" w:rsidRDefault="008A2EC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0C7596" w:rsidRPr="00A67563" w:rsidRDefault="000C7596" w:rsidP="008B6A4A">
      <w:pPr>
        <w:spacing w:line="360" w:lineRule="auto"/>
        <w:ind w:firstLineChars="200" w:firstLine="480"/>
        <w:rPr>
          <w:color w:val="000000" w:themeColor="text1"/>
          <w:sz w:val="24"/>
        </w:rPr>
      </w:pPr>
    </w:p>
    <w:p w:rsidR="0076518F" w:rsidRPr="00A67563" w:rsidRDefault="0076518F" w:rsidP="008B6A4A">
      <w:pPr>
        <w:spacing w:line="360" w:lineRule="auto"/>
        <w:ind w:firstLineChars="200" w:firstLine="480"/>
        <w:rPr>
          <w:color w:val="000000" w:themeColor="text1"/>
          <w:sz w:val="24"/>
        </w:rPr>
      </w:pPr>
    </w:p>
    <w:p w:rsidR="008975BC" w:rsidRPr="00A67563" w:rsidRDefault="008975BC" w:rsidP="000C7596">
      <w:pPr>
        <w:spacing w:line="360" w:lineRule="auto"/>
        <w:jc w:val="right"/>
        <w:rPr>
          <w:b/>
          <w:bCs/>
          <w:color w:val="000000" w:themeColor="text1"/>
          <w:sz w:val="24"/>
        </w:rPr>
      </w:pPr>
      <w:r w:rsidRPr="00A67563">
        <w:rPr>
          <w:b/>
          <w:bCs/>
          <w:color w:val="000000" w:themeColor="text1"/>
          <w:sz w:val="24"/>
        </w:rPr>
        <w:t>易方达基金管理有限公司</w:t>
      </w:r>
    </w:p>
    <w:p w:rsidR="0076518F" w:rsidRPr="00A67563" w:rsidRDefault="00623556" w:rsidP="000C7596">
      <w:pPr>
        <w:spacing w:line="360" w:lineRule="auto"/>
        <w:jc w:val="right"/>
        <w:rPr>
          <w:b/>
          <w:bCs/>
          <w:color w:val="000000" w:themeColor="text1"/>
          <w:sz w:val="24"/>
        </w:rPr>
      </w:pPr>
      <w:r w:rsidRPr="00A67563">
        <w:rPr>
          <w:b/>
          <w:bCs/>
          <w:color w:val="000000" w:themeColor="text1"/>
          <w:sz w:val="24"/>
        </w:rPr>
        <w:t>二〇二〇年四月二十一日</w:t>
      </w:r>
    </w:p>
    <w:sectPr w:rsidR="0076518F" w:rsidRPr="00A67563"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09" w:rsidRDefault="00942509">
      <w:r>
        <w:separator/>
      </w:r>
    </w:p>
  </w:endnote>
  <w:endnote w:type="continuationSeparator" w:id="0">
    <w:p w:rsidR="00942509" w:rsidRDefault="0094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Pr="001D0DB0" w:rsidRDefault="00845292" w:rsidP="00B918B8">
    <w:pPr>
      <w:pStyle w:val="a6"/>
      <w:jc w:val="center"/>
    </w:pPr>
    <w:r>
      <w:rPr>
        <w:rFonts w:hint="eastAsia"/>
        <w:kern w:val="0"/>
        <w:szCs w:val="21"/>
      </w:rPr>
      <w:t>第</w:t>
    </w:r>
    <w:r w:rsidR="00C2458C">
      <w:rPr>
        <w:kern w:val="0"/>
        <w:szCs w:val="21"/>
      </w:rPr>
      <w:fldChar w:fldCharType="begin"/>
    </w:r>
    <w:r>
      <w:rPr>
        <w:kern w:val="0"/>
        <w:szCs w:val="21"/>
      </w:rPr>
      <w:instrText xml:space="preserve"> PAGE </w:instrText>
    </w:r>
    <w:r w:rsidR="00C2458C">
      <w:rPr>
        <w:kern w:val="0"/>
        <w:szCs w:val="21"/>
      </w:rPr>
      <w:fldChar w:fldCharType="separate"/>
    </w:r>
    <w:r w:rsidR="008A77B9">
      <w:rPr>
        <w:noProof/>
        <w:kern w:val="0"/>
        <w:szCs w:val="21"/>
      </w:rPr>
      <w:t>1</w:t>
    </w:r>
    <w:r w:rsidR="00C2458C">
      <w:rPr>
        <w:kern w:val="0"/>
        <w:szCs w:val="21"/>
      </w:rPr>
      <w:fldChar w:fldCharType="end"/>
    </w:r>
    <w:r>
      <w:rPr>
        <w:rFonts w:hint="eastAsia"/>
        <w:kern w:val="0"/>
        <w:szCs w:val="21"/>
      </w:rPr>
      <w:t>页共</w:t>
    </w:r>
    <w:r w:rsidR="00C2458C">
      <w:rPr>
        <w:kern w:val="0"/>
        <w:szCs w:val="21"/>
      </w:rPr>
      <w:fldChar w:fldCharType="begin"/>
    </w:r>
    <w:r>
      <w:rPr>
        <w:kern w:val="0"/>
        <w:szCs w:val="21"/>
      </w:rPr>
      <w:instrText xml:space="preserve"> NUMPAGES </w:instrText>
    </w:r>
    <w:r w:rsidR="00C2458C">
      <w:rPr>
        <w:kern w:val="0"/>
        <w:szCs w:val="21"/>
      </w:rPr>
      <w:fldChar w:fldCharType="separate"/>
    </w:r>
    <w:r w:rsidR="008A77B9">
      <w:rPr>
        <w:noProof/>
        <w:kern w:val="0"/>
        <w:szCs w:val="21"/>
      </w:rPr>
      <w:t>1</w:t>
    </w:r>
    <w:r w:rsidR="00C2458C">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C2458C">
    <w:pPr>
      <w:pStyle w:val="a6"/>
      <w:framePr w:wrap="around" w:vAnchor="text" w:hAnchor="margin" w:xAlign="center" w:y="1"/>
      <w:rPr>
        <w:rStyle w:val="a7"/>
      </w:rPr>
    </w:pPr>
    <w:r>
      <w:rPr>
        <w:rStyle w:val="a7"/>
      </w:rPr>
      <w:fldChar w:fldCharType="begin"/>
    </w:r>
    <w:r w:rsidR="00845292">
      <w:rPr>
        <w:rStyle w:val="a7"/>
      </w:rPr>
      <w:instrText xml:space="preserve">PAGE  </w:instrText>
    </w:r>
    <w:r>
      <w:rPr>
        <w:rStyle w:val="a7"/>
      </w:rPr>
      <w:fldChar w:fldCharType="end"/>
    </w:r>
  </w:p>
  <w:p w:rsidR="00845292" w:rsidRDefault="008452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C2458C">
    <w:pPr>
      <w:pStyle w:val="a6"/>
      <w:framePr w:wrap="around" w:vAnchor="text" w:hAnchor="margin" w:xAlign="center" w:y="1"/>
      <w:rPr>
        <w:rStyle w:val="a7"/>
      </w:rPr>
    </w:pPr>
    <w:r>
      <w:rPr>
        <w:rStyle w:val="a7"/>
      </w:rPr>
      <w:fldChar w:fldCharType="begin"/>
    </w:r>
    <w:r w:rsidR="00845292">
      <w:rPr>
        <w:rStyle w:val="a7"/>
      </w:rPr>
      <w:instrText xml:space="preserve">PAGE  </w:instrText>
    </w:r>
    <w:r>
      <w:rPr>
        <w:rStyle w:val="a7"/>
      </w:rPr>
      <w:fldChar w:fldCharType="separate"/>
    </w:r>
    <w:r w:rsidR="008A77B9">
      <w:rPr>
        <w:rStyle w:val="a7"/>
        <w:noProof/>
      </w:rPr>
      <w:t>2</w:t>
    </w:r>
    <w:r>
      <w:rPr>
        <w:rStyle w:val="a7"/>
      </w:rPr>
      <w:fldChar w:fldCharType="end"/>
    </w:r>
  </w:p>
  <w:p w:rsidR="00845292" w:rsidRDefault="0084529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09" w:rsidRDefault="00942509">
      <w:r>
        <w:separator/>
      </w:r>
    </w:p>
  </w:footnote>
  <w:footnote w:type="continuationSeparator" w:id="0">
    <w:p w:rsidR="00942509" w:rsidRDefault="0094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Pr="006669C9" w:rsidRDefault="00845292" w:rsidP="001D1356">
    <w:pPr>
      <w:pStyle w:val="a9"/>
      <w:pBdr>
        <w:bottom w:val="single" w:sz="6" w:space="0" w:color="auto"/>
      </w:pBdr>
      <w:jc w:val="right"/>
    </w:pPr>
    <w:r w:rsidRPr="006669C9">
      <w:t>易方达黄金主题证券投资基金（</w:t>
    </w:r>
    <w:r w:rsidRPr="006669C9">
      <w:t>LOF</w:t>
    </w:r>
    <w:r w:rsidRPr="006669C9">
      <w:t>）</w:t>
    </w:r>
    <w:r w:rsidRPr="006669C9">
      <w:t>2020</w:t>
    </w:r>
    <w:r w:rsidRPr="006669C9">
      <w:t>年第</w:t>
    </w:r>
    <w:r w:rsidRPr="006669C9">
      <w:t>1</w:t>
    </w:r>
    <w:r w:rsidRPr="006669C9">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92" w:rsidRDefault="008452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D4F"/>
    <w:rsid w:val="00011E10"/>
    <w:rsid w:val="00011EB5"/>
    <w:rsid w:val="00017581"/>
    <w:rsid w:val="00017739"/>
    <w:rsid w:val="00020583"/>
    <w:rsid w:val="00021DD4"/>
    <w:rsid w:val="0002303F"/>
    <w:rsid w:val="00023BE7"/>
    <w:rsid w:val="00026BFF"/>
    <w:rsid w:val="000306F0"/>
    <w:rsid w:val="0003091A"/>
    <w:rsid w:val="00037FCF"/>
    <w:rsid w:val="00041AB5"/>
    <w:rsid w:val="000421B8"/>
    <w:rsid w:val="00042C9C"/>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610C"/>
    <w:rsid w:val="000876A0"/>
    <w:rsid w:val="00087CF7"/>
    <w:rsid w:val="00094876"/>
    <w:rsid w:val="00095912"/>
    <w:rsid w:val="00095CE0"/>
    <w:rsid w:val="000965F7"/>
    <w:rsid w:val="000965FC"/>
    <w:rsid w:val="00096933"/>
    <w:rsid w:val="00097230"/>
    <w:rsid w:val="000A09BE"/>
    <w:rsid w:val="000A457E"/>
    <w:rsid w:val="000A521D"/>
    <w:rsid w:val="000A549A"/>
    <w:rsid w:val="000A55BD"/>
    <w:rsid w:val="000A72F2"/>
    <w:rsid w:val="000B0C56"/>
    <w:rsid w:val="000B3274"/>
    <w:rsid w:val="000B3E43"/>
    <w:rsid w:val="000C11E0"/>
    <w:rsid w:val="000C1723"/>
    <w:rsid w:val="000C1B20"/>
    <w:rsid w:val="000C4107"/>
    <w:rsid w:val="000C41AE"/>
    <w:rsid w:val="000C45E7"/>
    <w:rsid w:val="000C6876"/>
    <w:rsid w:val="000C7596"/>
    <w:rsid w:val="000D01F4"/>
    <w:rsid w:val="000D121F"/>
    <w:rsid w:val="000D1519"/>
    <w:rsid w:val="000E1F7C"/>
    <w:rsid w:val="000E26E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EAF"/>
    <w:rsid w:val="00120FAF"/>
    <w:rsid w:val="0012150F"/>
    <w:rsid w:val="00121683"/>
    <w:rsid w:val="0012304E"/>
    <w:rsid w:val="00123B10"/>
    <w:rsid w:val="001248EF"/>
    <w:rsid w:val="001257C7"/>
    <w:rsid w:val="00126DDF"/>
    <w:rsid w:val="001270BF"/>
    <w:rsid w:val="00127BAC"/>
    <w:rsid w:val="001326FC"/>
    <w:rsid w:val="00142A56"/>
    <w:rsid w:val="00143B45"/>
    <w:rsid w:val="00144DF5"/>
    <w:rsid w:val="001457F4"/>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4DA0"/>
    <w:rsid w:val="00186199"/>
    <w:rsid w:val="0018734E"/>
    <w:rsid w:val="001928F7"/>
    <w:rsid w:val="00194537"/>
    <w:rsid w:val="00194F40"/>
    <w:rsid w:val="001A21A9"/>
    <w:rsid w:val="001A2E94"/>
    <w:rsid w:val="001A59D8"/>
    <w:rsid w:val="001A5FA6"/>
    <w:rsid w:val="001B28D0"/>
    <w:rsid w:val="001B2F0C"/>
    <w:rsid w:val="001C37F6"/>
    <w:rsid w:val="001C46E1"/>
    <w:rsid w:val="001C5C03"/>
    <w:rsid w:val="001C6288"/>
    <w:rsid w:val="001C7D5D"/>
    <w:rsid w:val="001D0F6A"/>
    <w:rsid w:val="001D1356"/>
    <w:rsid w:val="001D21BC"/>
    <w:rsid w:val="001D2AF9"/>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166D"/>
    <w:rsid w:val="002224FF"/>
    <w:rsid w:val="00222E8C"/>
    <w:rsid w:val="002236BC"/>
    <w:rsid w:val="00223DBB"/>
    <w:rsid w:val="00225051"/>
    <w:rsid w:val="002273CA"/>
    <w:rsid w:val="00232846"/>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58B5"/>
    <w:rsid w:val="00276834"/>
    <w:rsid w:val="002774F0"/>
    <w:rsid w:val="00280566"/>
    <w:rsid w:val="00281DBD"/>
    <w:rsid w:val="00284519"/>
    <w:rsid w:val="0028459B"/>
    <w:rsid w:val="00284C5F"/>
    <w:rsid w:val="00285ABF"/>
    <w:rsid w:val="002873F0"/>
    <w:rsid w:val="00291151"/>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50D"/>
    <w:rsid w:val="002B27FF"/>
    <w:rsid w:val="002B3A0A"/>
    <w:rsid w:val="002B4320"/>
    <w:rsid w:val="002B6793"/>
    <w:rsid w:val="002C042C"/>
    <w:rsid w:val="002C1726"/>
    <w:rsid w:val="002C21A6"/>
    <w:rsid w:val="002C2678"/>
    <w:rsid w:val="002C26D5"/>
    <w:rsid w:val="002C5777"/>
    <w:rsid w:val="002D31BB"/>
    <w:rsid w:val="002D32E3"/>
    <w:rsid w:val="002D6955"/>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09D1"/>
    <w:rsid w:val="0031104D"/>
    <w:rsid w:val="00311094"/>
    <w:rsid w:val="0031598C"/>
    <w:rsid w:val="00316339"/>
    <w:rsid w:val="003204E9"/>
    <w:rsid w:val="00321E8C"/>
    <w:rsid w:val="00322A5E"/>
    <w:rsid w:val="00322A86"/>
    <w:rsid w:val="00323AE8"/>
    <w:rsid w:val="00324548"/>
    <w:rsid w:val="003251F4"/>
    <w:rsid w:val="003303E3"/>
    <w:rsid w:val="003329EA"/>
    <w:rsid w:val="0033649D"/>
    <w:rsid w:val="003371D0"/>
    <w:rsid w:val="003376D5"/>
    <w:rsid w:val="003407A5"/>
    <w:rsid w:val="00341188"/>
    <w:rsid w:val="0034147B"/>
    <w:rsid w:val="00345F56"/>
    <w:rsid w:val="00350238"/>
    <w:rsid w:val="003508B0"/>
    <w:rsid w:val="0035109C"/>
    <w:rsid w:val="00351F0A"/>
    <w:rsid w:val="003526A6"/>
    <w:rsid w:val="0035432B"/>
    <w:rsid w:val="00356D17"/>
    <w:rsid w:val="003570F4"/>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7F"/>
    <w:rsid w:val="004061D9"/>
    <w:rsid w:val="004066FC"/>
    <w:rsid w:val="00407C10"/>
    <w:rsid w:val="004113B4"/>
    <w:rsid w:val="00414827"/>
    <w:rsid w:val="00416C10"/>
    <w:rsid w:val="00420007"/>
    <w:rsid w:val="00421C77"/>
    <w:rsid w:val="00424EF3"/>
    <w:rsid w:val="004261BD"/>
    <w:rsid w:val="004268BB"/>
    <w:rsid w:val="00431047"/>
    <w:rsid w:val="00431B86"/>
    <w:rsid w:val="004339D9"/>
    <w:rsid w:val="004408EC"/>
    <w:rsid w:val="00441E6A"/>
    <w:rsid w:val="00443C8F"/>
    <w:rsid w:val="00450AA3"/>
    <w:rsid w:val="00452481"/>
    <w:rsid w:val="004567C5"/>
    <w:rsid w:val="00457804"/>
    <w:rsid w:val="00462B61"/>
    <w:rsid w:val="00464283"/>
    <w:rsid w:val="004646BF"/>
    <w:rsid w:val="00464744"/>
    <w:rsid w:val="004665E3"/>
    <w:rsid w:val="00466B17"/>
    <w:rsid w:val="004705EB"/>
    <w:rsid w:val="004721EF"/>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6C8B"/>
    <w:rsid w:val="00497079"/>
    <w:rsid w:val="00497E38"/>
    <w:rsid w:val="004A0BD6"/>
    <w:rsid w:val="004A1493"/>
    <w:rsid w:val="004A1BBA"/>
    <w:rsid w:val="004A3039"/>
    <w:rsid w:val="004A3E3C"/>
    <w:rsid w:val="004B0E6D"/>
    <w:rsid w:val="004B16E8"/>
    <w:rsid w:val="004B254D"/>
    <w:rsid w:val="004B327C"/>
    <w:rsid w:val="004B38A1"/>
    <w:rsid w:val="004B3F56"/>
    <w:rsid w:val="004B6250"/>
    <w:rsid w:val="004B76B1"/>
    <w:rsid w:val="004C0057"/>
    <w:rsid w:val="004C0541"/>
    <w:rsid w:val="004C05F3"/>
    <w:rsid w:val="004C2C46"/>
    <w:rsid w:val="004C30D5"/>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0D90"/>
    <w:rsid w:val="00521EDE"/>
    <w:rsid w:val="00525E59"/>
    <w:rsid w:val="005318CC"/>
    <w:rsid w:val="005346F1"/>
    <w:rsid w:val="005349B1"/>
    <w:rsid w:val="005374BC"/>
    <w:rsid w:val="00543367"/>
    <w:rsid w:val="00543BFA"/>
    <w:rsid w:val="0054649D"/>
    <w:rsid w:val="00547D9C"/>
    <w:rsid w:val="00547DA1"/>
    <w:rsid w:val="00550511"/>
    <w:rsid w:val="0055513C"/>
    <w:rsid w:val="00560C94"/>
    <w:rsid w:val="0056133A"/>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2929"/>
    <w:rsid w:val="005A2C0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6CF5"/>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9C9"/>
    <w:rsid w:val="0066726C"/>
    <w:rsid w:val="006674BD"/>
    <w:rsid w:val="006676A0"/>
    <w:rsid w:val="00670857"/>
    <w:rsid w:val="0067094A"/>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0BCB"/>
    <w:rsid w:val="006E34B7"/>
    <w:rsid w:val="006F4CD8"/>
    <w:rsid w:val="00700B57"/>
    <w:rsid w:val="00701F44"/>
    <w:rsid w:val="00703E8A"/>
    <w:rsid w:val="007058F8"/>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093C"/>
    <w:rsid w:val="00763925"/>
    <w:rsid w:val="00764A94"/>
    <w:rsid w:val="0076518F"/>
    <w:rsid w:val="007651E5"/>
    <w:rsid w:val="007670DC"/>
    <w:rsid w:val="0077111A"/>
    <w:rsid w:val="00772721"/>
    <w:rsid w:val="00775284"/>
    <w:rsid w:val="007756ED"/>
    <w:rsid w:val="007870FC"/>
    <w:rsid w:val="00787CD0"/>
    <w:rsid w:val="00791053"/>
    <w:rsid w:val="00791A3A"/>
    <w:rsid w:val="00791BB9"/>
    <w:rsid w:val="00794196"/>
    <w:rsid w:val="00794251"/>
    <w:rsid w:val="00795592"/>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4CD3"/>
    <w:rsid w:val="007F5F52"/>
    <w:rsid w:val="007F768B"/>
    <w:rsid w:val="007F77C6"/>
    <w:rsid w:val="008003A1"/>
    <w:rsid w:val="008006B7"/>
    <w:rsid w:val="00800FDB"/>
    <w:rsid w:val="00801249"/>
    <w:rsid w:val="00802081"/>
    <w:rsid w:val="00806461"/>
    <w:rsid w:val="0081096D"/>
    <w:rsid w:val="00810EAD"/>
    <w:rsid w:val="00811833"/>
    <w:rsid w:val="008118B6"/>
    <w:rsid w:val="008174D4"/>
    <w:rsid w:val="00820FE6"/>
    <w:rsid w:val="008212BF"/>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1E07"/>
    <w:rsid w:val="00872CE4"/>
    <w:rsid w:val="00877B62"/>
    <w:rsid w:val="00877D98"/>
    <w:rsid w:val="00881015"/>
    <w:rsid w:val="008810B0"/>
    <w:rsid w:val="008819B6"/>
    <w:rsid w:val="00881AAC"/>
    <w:rsid w:val="0088256A"/>
    <w:rsid w:val="008836B7"/>
    <w:rsid w:val="008841D3"/>
    <w:rsid w:val="00884359"/>
    <w:rsid w:val="00887C7E"/>
    <w:rsid w:val="00887DE6"/>
    <w:rsid w:val="00890172"/>
    <w:rsid w:val="008911D2"/>
    <w:rsid w:val="00893048"/>
    <w:rsid w:val="00894C2A"/>
    <w:rsid w:val="008975BC"/>
    <w:rsid w:val="00897708"/>
    <w:rsid w:val="00897D88"/>
    <w:rsid w:val="00897E6F"/>
    <w:rsid w:val="008A2EC6"/>
    <w:rsid w:val="008A2F16"/>
    <w:rsid w:val="008A6D69"/>
    <w:rsid w:val="008A77B9"/>
    <w:rsid w:val="008B0A73"/>
    <w:rsid w:val="008B1823"/>
    <w:rsid w:val="008B2C17"/>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6891"/>
    <w:rsid w:val="00937CFA"/>
    <w:rsid w:val="009406B3"/>
    <w:rsid w:val="00942509"/>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3250"/>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C77A0"/>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5A8D"/>
    <w:rsid w:val="00A36AB5"/>
    <w:rsid w:val="00A37DDA"/>
    <w:rsid w:val="00A40508"/>
    <w:rsid w:val="00A411D1"/>
    <w:rsid w:val="00A41566"/>
    <w:rsid w:val="00A421B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67563"/>
    <w:rsid w:val="00A7076E"/>
    <w:rsid w:val="00A707A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A7F64"/>
    <w:rsid w:val="00AB2DFA"/>
    <w:rsid w:val="00AB3012"/>
    <w:rsid w:val="00AB321C"/>
    <w:rsid w:val="00AB3DEF"/>
    <w:rsid w:val="00AB42E2"/>
    <w:rsid w:val="00AB688F"/>
    <w:rsid w:val="00AB75EA"/>
    <w:rsid w:val="00AB7AA2"/>
    <w:rsid w:val="00AC3EB9"/>
    <w:rsid w:val="00AC4BC1"/>
    <w:rsid w:val="00AC588F"/>
    <w:rsid w:val="00AC5E4B"/>
    <w:rsid w:val="00AD04BD"/>
    <w:rsid w:val="00AD1A03"/>
    <w:rsid w:val="00AD7214"/>
    <w:rsid w:val="00AE1066"/>
    <w:rsid w:val="00AE19D8"/>
    <w:rsid w:val="00AE4518"/>
    <w:rsid w:val="00AE5D7F"/>
    <w:rsid w:val="00AE79F0"/>
    <w:rsid w:val="00AE7D44"/>
    <w:rsid w:val="00AF4FE7"/>
    <w:rsid w:val="00AF65C5"/>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26B91"/>
    <w:rsid w:val="00B26CF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5A18"/>
    <w:rsid w:val="00BC76D5"/>
    <w:rsid w:val="00BD18B8"/>
    <w:rsid w:val="00BD30C8"/>
    <w:rsid w:val="00BD31D1"/>
    <w:rsid w:val="00BD3EB4"/>
    <w:rsid w:val="00BD5C65"/>
    <w:rsid w:val="00BD7FC1"/>
    <w:rsid w:val="00BE01CA"/>
    <w:rsid w:val="00BE4973"/>
    <w:rsid w:val="00BE6018"/>
    <w:rsid w:val="00BF1DD5"/>
    <w:rsid w:val="00BF1F57"/>
    <w:rsid w:val="00BF3EA0"/>
    <w:rsid w:val="00BF4086"/>
    <w:rsid w:val="00BF426C"/>
    <w:rsid w:val="00BF460D"/>
    <w:rsid w:val="00BF58D0"/>
    <w:rsid w:val="00BF7D6A"/>
    <w:rsid w:val="00C00EFD"/>
    <w:rsid w:val="00C013E1"/>
    <w:rsid w:val="00C01611"/>
    <w:rsid w:val="00C01C01"/>
    <w:rsid w:val="00C02C6D"/>
    <w:rsid w:val="00C02D59"/>
    <w:rsid w:val="00C030B6"/>
    <w:rsid w:val="00C03284"/>
    <w:rsid w:val="00C04855"/>
    <w:rsid w:val="00C050D7"/>
    <w:rsid w:val="00C05B5F"/>
    <w:rsid w:val="00C0667A"/>
    <w:rsid w:val="00C104CC"/>
    <w:rsid w:val="00C130C1"/>
    <w:rsid w:val="00C147DA"/>
    <w:rsid w:val="00C152FE"/>
    <w:rsid w:val="00C16739"/>
    <w:rsid w:val="00C22CCE"/>
    <w:rsid w:val="00C23BA2"/>
    <w:rsid w:val="00C2458C"/>
    <w:rsid w:val="00C25D0C"/>
    <w:rsid w:val="00C32AF2"/>
    <w:rsid w:val="00C33204"/>
    <w:rsid w:val="00C338EB"/>
    <w:rsid w:val="00C33E2E"/>
    <w:rsid w:val="00C33E3C"/>
    <w:rsid w:val="00C3465D"/>
    <w:rsid w:val="00C379E9"/>
    <w:rsid w:val="00C37E98"/>
    <w:rsid w:val="00C412BF"/>
    <w:rsid w:val="00C42431"/>
    <w:rsid w:val="00C439FB"/>
    <w:rsid w:val="00C43F23"/>
    <w:rsid w:val="00C442A1"/>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5216"/>
    <w:rsid w:val="00CE2741"/>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46CA6"/>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318"/>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81D"/>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5548D"/>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53EA"/>
    <w:rsid w:val="00EE79A6"/>
    <w:rsid w:val="00EE7FB4"/>
    <w:rsid w:val="00EF0A46"/>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47E2F"/>
    <w:rsid w:val="00F512C0"/>
    <w:rsid w:val="00F51C16"/>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76A66"/>
    <w:rsid w:val="00F813A0"/>
    <w:rsid w:val="00F82E6B"/>
    <w:rsid w:val="00F951CF"/>
    <w:rsid w:val="00F976E0"/>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70A79136-B4CB-4367-ADE5-A2816D0E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uiPriority w:val="99"/>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uiPriority w:val="99"/>
    <w:rsid w:val="00C503D3"/>
    <w:rPr>
      <w:kern w:val="2"/>
      <w:sz w:val="24"/>
    </w:rPr>
  </w:style>
  <w:style w:type="character" w:styleId="af8">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648">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73522549">
      <w:bodyDiv w:val="1"/>
      <w:marLeft w:val="0"/>
      <w:marRight w:val="0"/>
      <w:marTop w:val="0"/>
      <w:marBottom w:val="0"/>
      <w:divBdr>
        <w:top w:val="none" w:sz="0" w:space="0" w:color="auto"/>
        <w:left w:val="none" w:sz="0" w:space="0" w:color="auto"/>
        <w:bottom w:val="none" w:sz="0" w:space="0" w:color="auto"/>
        <w:right w:val="none" w:sz="0" w:space="0" w:color="auto"/>
      </w:divBdr>
    </w:div>
    <w:div w:id="496727229">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64007311">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509335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776706476">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 w:id="20364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0</TotalTime>
  <Pages>5</Pages>
  <Words>1157</Words>
  <Characters>6599</Characters>
  <Application>Microsoft Office Word</Application>
  <DocSecurity>4</DocSecurity>
  <Lines>54</Lines>
  <Paragraphs>15</Paragraphs>
  <ScaleCrop>false</ScaleCrop>
  <Company>TRT. Ltd. Co.</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2020-04-14T01:40:00Z</dcterms:created>
  <dcterms:modified xsi:type="dcterms:W3CDTF">2020-04-14T01:40:00Z</dcterms:modified>
</cp:coreProperties>
</file>