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6D8" w:rsidRPr="00272E0C" w:rsidRDefault="001C36D8" w:rsidP="00074E9F">
      <w:pPr>
        <w:autoSpaceDE w:val="0"/>
        <w:autoSpaceDN w:val="0"/>
        <w:adjustRightInd w:val="0"/>
        <w:spacing w:line="360" w:lineRule="auto"/>
        <w:jc w:val="left"/>
        <w:rPr>
          <w:rFonts w:ascii="宋体" w:cs="Arial"/>
          <w:color w:val="000000"/>
          <w:kern w:val="0"/>
          <w:sz w:val="24"/>
        </w:rPr>
      </w:pPr>
      <w:bookmarkStart w:id="0" w:name="_GoBack"/>
      <w:bookmarkEnd w:id="0"/>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7951F3">
      <w:pPr>
        <w:spacing w:line="360" w:lineRule="auto"/>
        <w:jc w:val="center"/>
        <w:rPr>
          <w:rFonts w:ascii="宋体" w:hAnsi="宋体"/>
          <w:b/>
          <w:sz w:val="36"/>
          <w:szCs w:val="36"/>
        </w:rPr>
      </w:pPr>
      <w:r w:rsidRPr="00272E0C">
        <w:rPr>
          <w:rFonts w:ascii="宋体" w:hAnsi="宋体"/>
          <w:b/>
          <w:sz w:val="36"/>
          <w:szCs w:val="36"/>
        </w:rPr>
        <w:t>易方达生物科技指数分级证券投资基金</w:t>
      </w:r>
    </w:p>
    <w:p w:rsidR="001C36D8" w:rsidRPr="00272E0C" w:rsidRDefault="001C36D8" w:rsidP="007951F3">
      <w:pPr>
        <w:spacing w:line="360" w:lineRule="auto"/>
        <w:jc w:val="center"/>
        <w:rPr>
          <w:rFonts w:ascii="宋体" w:hAnsi="宋体"/>
          <w:b/>
          <w:sz w:val="36"/>
          <w:szCs w:val="36"/>
        </w:rPr>
      </w:pPr>
      <w:r w:rsidRPr="00272E0C">
        <w:rPr>
          <w:rFonts w:ascii="宋体" w:hAnsi="宋体"/>
          <w:b/>
          <w:sz w:val="36"/>
          <w:szCs w:val="36"/>
        </w:rPr>
        <w:t>2020年第1季度报告</w:t>
      </w:r>
    </w:p>
    <w:p w:rsidR="001C36D8" w:rsidRPr="00717C29" w:rsidRDefault="001C36D8" w:rsidP="007951F3">
      <w:pPr>
        <w:spacing w:line="360" w:lineRule="auto"/>
        <w:jc w:val="center"/>
        <w:rPr>
          <w:rFonts w:ascii="宋体" w:hAnsi="宋体"/>
          <w:b/>
          <w:sz w:val="24"/>
          <w:szCs w:val="36"/>
        </w:rPr>
      </w:pPr>
      <w:r w:rsidRPr="00717C29">
        <w:rPr>
          <w:rFonts w:ascii="宋体" w:hAnsi="宋体"/>
          <w:b/>
          <w:sz w:val="24"/>
          <w:szCs w:val="36"/>
        </w:rPr>
        <w:t>2020年3月31日</w:t>
      </w: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rPr>
          <w:rFonts w:ascii="宋体"/>
          <w:b/>
          <w:color w:val="000000"/>
          <w:sz w:val="24"/>
        </w:rPr>
      </w:pPr>
    </w:p>
    <w:p w:rsidR="001C36D8" w:rsidRPr="00272E0C" w:rsidRDefault="001C36D8" w:rsidP="0015779C">
      <w:pPr>
        <w:spacing w:line="360" w:lineRule="auto"/>
        <w:ind w:firstLineChars="900" w:firstLine="2168"/>
        <w:rPr>
          <w:rFonts w:ascii="宋体" w:hAnsi="宋体"/>
          <w:b/>
          <w:color w:val="000000"/>
          <w:sz w:val="24"/>
        </w:rPr>
      </w:pPr>
      <w:r w:rsidRPr="00272E0C">
        <w:rPr>
          <w:rFonts w:ascii="宋体" w:hAnsi="宋体" w:hint="eastAsia"/>
          <w:b/>
          <w:color w:val="000000"/>
          <w:sz w:val="24"/>
        </w:rPr>
        <w:t>基金管理人：</w:t>
      </w:r>
      <w:r w:rsidRPr="00272E0C">
        <w:rPr>
          <w:rFonts w:ascii="宋体" w:hAnsi="宋体"/>
          <w:b/>
          <w:color w:val="000000"/>
          <w:sz w:val="24"/>
        </w:rPr>
        <w:t>易方达基金管理有限公司</w:t>
      </w:r>
    </w:p>
    <w:p w:rsidR="001C36D8" w:rsidRPr="00272E0C" w:rsidRDefault="001C36D8" w:rsidP="0015779C">
      <w:pPr>
        <w:spacing w:line="360" w:lineRule="auto"/>
        <w:ind w:firstLineChars="900" w:firstLine="2168"/>
        <w:rPr>
          <w:rFonts w:ascii="宋体" w:hAnsi="宋体"/>
          <w:b/>
          <w:color w:val="000000"/>
          <w:sz w:val="24"/>
        </w:rPr>
      </w:pPr>
      <w:r w:rsidRPr="00272E0C">
        <w:rPr>
          <w:rFonts w:ascii="宋体" w:hAnsi="宋体" w:hint="eastAsia"/>
          <w:b/>
          <w:color w:val="000000"/>
          <w:sz w:val="24"/>
        </w:rPr>
        <w:t>基金托管人：</w:t>
      </w:r>
      <w:r w:rsidRPr="00272E0C">
        <w:rPr>
          <w:rFonts w:ascii="宋体" w:hAnsi="宋体"/>
          <w:b/>
          <w:color w:val="000000"/>
          <w:sz w:val="24"/>
        </w:rPr>
        <w:t>中国建设银行股份有限公司</w:t>
      </w:r>
    </w:p>
    <w:p w:rsidR="001C36D8" w:rsidRPr="00272E0C" w:rsidRDefault="001C36D8" w:rsidP="0015779C">
      <w:pPr>
        <w:spacing w:line="360" w:lineRule="auto"/>
        <w:ind w:firstLineChars="900" w:firstLine="2168"/>
        <w:rPr>
          <w:rFonts w:ascii="宋体" w:hAnsi="宋体"/>
          <w:b/>
          <w:color w:val="000000"/>
          <w:sz w:val="24"/>
        </w:rPr>
        <w:sectPr w:rsidR="001C36D8" w:rsidRPr="00272E0C" w:rsidSect="00230A66">
          <w:headerReference w:type="default" r:id="rId7"/>
          <w:footerReference w:type="default" r:id="rId8"/>
          <w:pgSz w:w="11926" w:h="15840"/>
          <w:pgMar w:top="1418" w:right="1418" w:bottom="851" w:left="1418" w:header="851" w:footer="992" w:gutter="0"/>
          <w:cols w:space="720"/>
          <w:noEndnote/>
        </w:sectPr>
      </w:pPr>
      <w:r w:rsidRPr="00272E0C">
        <w:rPr>
          <w:rFonts w:ascii="宋体" w:hAnsi="宋体" w:hint="eastAsia"/>
          <w:b/>
          <w:color w:val="000000"/>
          <w:sz w:val="24"/>
        </w:rPr>
        <w:t>报告送出日期：</w:t>
      </w:r>
      <w:r w:rsidRPr="00272E0C">
        <w:rPr>
          <w:rFonts w:ascii="宋体" w:hAnsi="宋体"/>
          <w:b/>
          <w:color w:val="000000"/>
          <w:sz w:val="24"/>
        </w:rPr>
        <w:t>二〇二〇年四月二十一日</w:t>
      </w:r>
    </w:p>
    <w:p w:rsidR="001C36D8" w:rsidRPr="00272E0C" w:rsidRDefault="001C36D8" w:rsidP="005C6DF3">
      <w:pPr>
        <w:pStyle w:val="1"/>
        <w:spacing w:beforeLines="100" w:before="312" w:afterLines="100" w:after="312" w:line="360" w:lineRule="auto"/>
        <w:jc w:val="center"/>
        <w:rPr>
          <w:rFonts w:ascii="宋体" w:cs="Arial"/>
          <w:b w:val="0"/>
          <w:color w:val="000000"/>
          <w:kern w:val="0"/>
          <w:sz w:val="24"/>
          <w:szCs w:val="24"/>
        </w:rPr>
      </w:pPr>
      <w:r w:rsidRPr="00272E0C">
        <w:rPr>
          <w:rFonts w:ascii="宋体" w:hAnsi="宋体" w:cs="Arial" w:hint="eastAsia"/>
          <w:color w:val="000000"/>
          <w:kern w:val="0"/>
          <w:sz w:val="24"/>
          <w:szCs w:val="24"/>
        </w:rPr>
        <w:lastRenderedPageBreak/>
        <w:t>§</w:t>
      </w:r>
      <w:r w:rsidRPr="00272E0C">
        <w:rPr>
          <w:rFonts w:ascii="宋体" w:hAnsi="宋体" w:cs="Arial"/>
          <w:color w:val="000000"/>
          <w:kern w:val="0"/>
          <w:sz w:val="24"/>
          <w:szCs w:val="24"/>
        </w:rPr>
        <w:t xml:space="preserve">1  </w:t>
      </w:r>
      <w:r w:rsidRPr="00272E0C">
        <w:rPr>
          <w:rFonts w:ascii="宋体" w:hAnsi="宋体" w:cs="Arial" w:hint="eastAsia"/>
          <w:color w:val="000000"/>
          <w:kern w:val="0"/>
          <w:sz w:val="24"/>
          <w:szCs w:val="24"/>
        </w:rPr>
        <w:t>重要提示</w:t>
      </w:r>
    </w:p>
    <w:p w:rsidR="00317CD3" w:rsidRDefault="00761158">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317CD3" w:rsidRDefault="00761158">
      <w:pPr>
        <w:spacing w:line="360"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317CD3" w:rsidRDefault="00761158">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17CD3" w:rsidRDefault="00761158">
      <w:pPr>
        <w:spacing w:line="360" w:lineRule="auto"/>
        <w:ind w:firstLineChars="200" w:firstLine="480"/>
        <w:rPr>
          <w:color w:val="000000"/>
          <w:sz w:val="24"/>
        </w:rPr>
      </w:pPr>
      <w:r>
        <w:rPr>
          <w:color w:val="000000"/>
          <w:sz w:val="24"/>
        </w:rPr>
        <w:t>基金的过往业绩并不代表其未来表现。投资有风险，投资者在作出</w:t>
      </w:r>
      <w:r>
        <w:rPr>
          <w:color w:val="000000"/>
          <w:sz w:val="24"/>
        </w:rPr>
        <w:t>投资决策前应仔细阅读本基金的招募说明书。</w:t>
      </w:r>
      <w:r>
        <w:rPr>
          <w:color w:val="000000"/>
          <w:sz w:val="24"/>
        </w:rPr>
        <w:t xml:space="preserve"> </w:t>
      </w:r>
    </w:p>
    <w:p w:rsidR="00317CD3" w:rsidRDefault="00761158">
      <w:pPr>
        <w:spacing w:line="360" w:lineRule="auto"/>
        <w:ind w:firstLineChars="200" w:firstLine="480"/>
        <w:rPr>
          <w:color w:val="000000"/>
          <w:sz w:val="24"/>
        </w:rPr>
      </w:pPr>
      <w:r>
        <w:rPr>
          <w:color w:val="000000"/>
          <w:sz w:val="24"/>
        </w:rPr>
        <w:t>本报告中财务资料未经审计。</w:t>
      </w:r>
    </w:p>
    <w:p w:rsidR="001C36D8" w:rsidRPr="00CC0C03" w:rsidRDefault="001C36D8" w:rsidP="00CC0C03">
      <w:pPr>
        <w:spacing w:line="360" w:lineRule="auto"/>
        <w:ind w:firstLineChars="200" w:firstLine="480"/>
        <w:rPr>
          <w:color w:val="000000"/>
          <w:sz w:val="24"/>
        </w:rPr>
      </w:pPr>
      <w:r w:rsidRPr="00CC0C03">
        <w:rPr>
          <w:color w:val="000000"/>
          <w:sz w:val="24"/>
        </w:rPr>
        <w:t>本报告期自</w:t>
      </w:r>
      <w:r w:rsidRPr="00CC0C03">
        <w:rPr>
          <w:color w:val="000000"/>
          <w:sz w:val="24"/>
        </w:rPr>
        <w:t>2020</w:t>
      </w:r>
      <w:r w:rsidRPr="00CC0C03">
        <w:rPr>
          <w:color w:val="000000"/>
          <w:sz w:val="24"/>
        </w:rPr>
        <w:t>年</w:t>
      </w:r>
      <w:r w:rsidRPr="00CC0C03">
        <w:rPr>
          <w:color w:val="000000"/>
          <w:sz w:val="24"/>
        </w:rPr>
        <w:t>1</w:t>
      </w:r>
      <w:r w:rsidRPr="00CC0C03">
        <w:rPr>
          <w:color w:val="000000"/>
          <w:sz w:val="24"/>
        </w:rPr>
        <w:t>月</w:t>
      </w:r>
      <w:r w:rsidRPr="00CC0C03">
        <w:rPr>
          <w:color w:val="000000"/>
          <w:sz w:val="24"/>
        </w:rPr>
        <w:t>1</w:t>
      </w:r>
      <w:r w:rsidRPr="00CC0C03">
        <w:rPr>
          <w:color w:val="000000"/>
          <w:sz w:val="24"/>
        </w:rPr>
        <w:t>日起至</w:t>
      </w:r>
      <w:r w:rsidRPr="00CC0C03">
        <w:rPr>
          <w:color w:val="000000"/>
          <w:sz w:val="24"/>
        </w:rPr>
        <w:t>3</w:t>
      </w:r>
      <w:r w:rsidRPr="00CC0C03">
        <w:rPr>
          <w:color w:val="000000"/>
          <w:sz w:val="24"/>
        </w:rPr>
        <w:t>月</w:t>
      </w:r>
      <w:r w:rsidRPr="00CC0C03">
        <w:rPr>
          <w:color w:val="000000"/>
          <w:sz w:val="24"/>
        </w:rPr>
        <w:t>31</w:t>
      </w:r>
      <w:r w:rsidRPr="00CC0C03">
        <w:rPr>
          <w:color w:val="000000"/>
          <w:sz w:val="24"/>
        </w:rPr>
        <w:t>日止。</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2  </w:t>
      </w:r>
      <w:r w:rsidRPr="00272E0C">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1C36D8" w:rsidRPr="00272E0C" w:rsidTr="007A6BEA">
        <w:tc>
          <w:tcPr>
            <w:tcW w:w="2835" w:type="dxa"/>
          </w:tcPr>
          <w:p w:rsidR="001C36D8" w:rsidRPr="004C6E88" w:rsidRDefault="001C36D8" w:rsidP="007A6BEA">
            <w:pPr>
              <w:adjustRightInd w:val="0"/>
              <w:spacing w:before="29" w:line="360" w:lineRule="auto"/>
              <w:ind w:left="17"/>
              <w:jc w:val="left"/>
              <w:rPr>
                <w:rFonts w:eastAsiaTheme="minorEastAsia"/>
                <w:kern w:val="0"/>
                <w:sz w:val="24"/>
              </w:rPr>
            </w:pPr>
            <w:r w:rsidRPr="004C6E88">
              <w:rPr>
                <w:rFonts w:eastAsiaTheme="minorEastAsia"/>
                <w:kern w:val="0"/>
                <w:sz w:val="24"/>
              </w:rPr>
              <w:t>基金简称</w:t>
            </w:r>
          </w:p>
        </w:tc>
        <w:tc>
          <w:tcPr>
            <w:tcW w:w="5479" w:type="dxa"/>
            <w:gridSpan w:val="3"/>
          </w:tcPr>
          <w:p w:rsidR="001C36D8" w:rsidRPr="004C6E88" w:rsidRDefault="001C36D8" w:rsidP="007A6BEA">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易方达生物分级</w:t>
            </w:r>
          </w:p>
        </w:tc>
      </w:tr>
      <w:tr w:rsidR="001C36D8" w:rsidRPr="00272E0C" w:rsidTr="002A44F9">
        <w:tc>
          <w:tcPr>
            <w:tcW w:w="2835" w:type="dxa"/>
          </w:tcPr>
          <w:p w:rsidR="001C36D8" w:rsidRPr="004C6E88" w:rsidRDefault="001C36D8">
            <w:pPr>
              <w:adjustRightInd w:val="0"/>
              <w:spacing w:before="29" w:line="360" w:lineRule="auto"/>
              <w:ind w:left="17"/>
              <w:jc w:val="left"/>
              <w:rPr>
                <w:rFonts w:eastAsiaTheme="minorEastAsia"/>
                <w:kern w:val="0"/>
                <w:sz w:val="24"/>
              </w:rPr>
            </w:pPr>
            <w:r w:rsidRPr="004C6E88">
              <w:rPr>
                <w:rFonts w:eastAsiaTheme="minorEastAsia"/>
                <w:kern w:val="0"/>
                <w:sz w:val="24"/>
              </w:rPr>
              <w:t>基金主代码</w:t>
            </w:r>
          </w:p>
        </w:tc>
        <w:tc>
          <w:tcPr>
            <w:tcW w:w="5479" w:type="dxa"/>
            <w:gridSpan w:val="3"/>
          </w:tcPr>
          <w:p w:rsidR="001C36D8" w:rsidRPr="004C6E88" w:rsidRDefault="001C36D8">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161122</w:t>
            </w:r>
          </w:p>
        </w:tc>
      </w:tr>
      <w:tr w:rsidR="003A768B" w:rsidRPr="00272E0C" w:rsidTr="002A44F9">
        <w:tc>
          <w:tcPr>
            <w:tcW w:w="2835" w:type="dxa"/>
          </w:tcPr>
          <w:p w:rsidR="003A768B" w:rsidRPr="004C6E88" w:rsidRDefault="003A768B" w:rsidP="00E43B0B">
            <w:pPr>
              <w:adjustRightInd w:val="0"/>
              <w:spacing w:before="29" w:line="360" w:lineRule="auto"/>
              <w:ind w:left="17"/>
              <w:jc w:val="left"/>
              <w:rPr>
                <w:rFonts w:eastAsiaTheme="minorEastAsia"/>
                <w:kern w:val="0"/>
                <w:sz w:val="24"/>
              </w:rPr>
            </w:pPr>
            <w:r w:rsidRPr="004C6E88">
              <w:rPr>
                <w:rFonts w:eastAsiaTheme="minorEastAsia"/>
                <w:kern w:val="0"/>
                <w:sz w:val="24"/>
              </w:rPr>
              <w:t>交易代码</w:t>
            </w:r>
          </w:p>
        </w:tc>
        <w:tc>
          <w:tcPr>
            <w:tcW w:w="5479" w:type="dxa"/>
            <w:gridSpan w:val="3"/>
          </w:tcPr>
          <w:p w:rsidR="003A768B" w:rsidRPr="004C6E88" w:rsidRDefault="003A768B" w:rsidP="00E43B0B">
            <w:pPr>
              <w:adjustRightInd w:val="0"/>
              <w:spacing w:before="29" w:line="360" w:lineRule="auto"/>
              <w:ind w:left="17"/>
              <w:jc w:val="left"/>
              <w:rPr>
                <w:rFonts w:eastAsiaTheme="minorEastAsia"/>
                <w:color w:val="000000"/>
                <w:kern w:val="0"/>
                <w:sz w:val="24"/>
              </w:rPr>
            </w:pPr>
            <w:r w:rsidRPr="004C6E88">
              <w:rPr>
                <w:rFonts w:eastAsiaTheme="minorEastAsia"/>
                <w:kern w:val="0"/>
                <w:sz w:val="24"/>
              </w:rPr>
              <w:t>161122</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基金运作方式</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契约型开放式、分级基金</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基金合同生效日</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2015</w:t>
            </w:r>
            <w:r w:rsidRPr="004C6E88">
              <w:rPr>
                <w:rFonts w:eastAsiaTheme="minorEastAsia"/>
                <w:color w:val="000000"/>
                <w:kern w:val="0"/>
                <w:sz w:val="24"/>
              </w:rPr>
              <w:t>年</w:t>
            </w:r>
            <w:r w:rsidRPr="004C6E88">
              <w:rPr>
                <w:rFonts w:eastAsiaTheme="minorEastAsia"/>
                <w:color w:val="000000"/>
                <w:kern w:val="0"/>
                <w:sz w:val="24"/>
              </w:rPr>
              <w:t>6</w:t>
            </w:r>
            <w:r w:rsidRPr="004C6E88">
              <w:rPr>
                <w:rFonts w:eastAsiaTheme="minorEastAsia"/>
                <w:color w:val="000000"/>
                <w:kern w:val="0"/>
                <w:sz w:val="24"/>
              </w:rPr>
              <w:t>月</w:t>
            </w:r>
            <w:r w:rsidRPr="004C6E88">
              <w:rPr>
                <w:rFonts w:eastAsiaTheme="minorEastAsia"/>
                <w:color w:val="000000"/>
                <w:kern w:val="0"/>
                <w:sz w:val="24"/>
              </w:rPr>
              <w:t>3</w:t>
            </w:r>
            <w:r w:rsidRPr="004C6E88">
              <w:rPr>
                <w:rFonts w:eastAsiaTheme="minorEastAsia"/>
                <w:color w:val="000000"/>
                <w:kern w:val="0"/>
                <w:sz w:val="24"/>
              </w:rPr>
              <w:t>日</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报告期末基金份额总额</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128,952,319.86</w:t>
            </w:r>
            <w:r w:rsidRPr="004C6E88">
              <w:rPr>
                <w:rFonts w:eastAsiaTheme="minorEastAsia"/>
                <w:color w:val="000000"/>
                <w:kern w:val="0"/>
                <w:sz w:val="24"/>
              </w:rPr>
              <w:t>份</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投资目标</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紧密追踪业绩比较基准，追求跟踪偏离度与跟踪误差的最小化。</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投资策略</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本基金主要采取完全复制法，即完全按照标的指数的成份股组成及其权重构建基金股票投资组合，并根据标的指数成份股及其权重的变动进行相应调整。但在因特殊情形导致基金无法完全投资于标的指数成份股时，基金管理人可采取其他指数投资技</w:t>
            </w:r>
            <w:r w:rsidRPr="004C6E88">
              <w:rPr>
                <w:rFonts w:eastAsiaTheme="minorEastAsia"/>
                <w:color w:val="000000"/>
                <w:kern w:val="0"/>
                <w:sz w:val="24"/>
              </w:rPr>
              <w:lastRenderedPageBreak/>
              <w:t>术适当调整基金投资组合，以达到紧密跟踪标的指数的目的。</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lastRenderedPageBreak/>
              <w:t>业绩比较基准</w:t>
            </w:r>
          </w:p>
        </w:tc>
        <w:tc>
          <w:tcPr>
            <w:tcW w:w="5479" w:type="dxa"/>
            <w:gridSpan w:val="3"/>
          </w:tcPr>
          <w:p w:rsidR="003A768B" w:rsidRPr="004C6E88" w:rsidRDefault="003A768B" w:rsidP="00CD0AAD">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中证万得生物科技指数收益率</w:t>
            </w:r>
            <w:r w:rsidRPr="004C6E88">
              <w:rPr>
                <w:rFonts w:eastAsiaTheme="minorEastAsia"/>
                <w:color w:val="000000"/>
                <w:kern w:val="0"/>
                <w:sz w:val="24"/>
              </w:rPr>
              <w:t>×95%+</w:t>
            </w:r>
            <w:r w:rsidRPr="004C6E88">
              <w:rPr>
                <w:rFonts w:eastAsiaTheme="minorEastAsia"/>
                <w:color w:val="000000"/>
                <w:kern w:val="0"/>
                <w:sz w:val="24"/>
              </w:rPr>
              <w:t>活期存款利率（税后）</w:t>
            </w:r>
            <w:r w:rsidRPr="004C6E88">
              <w:rPr>
                <w:rFonts w:eastAsiaTheme="minorEastAsia"/>
                <w:color w:val="000000"/>
                <w:kern w:val="0"/>
                <w:sz w:val="24"/>
              </w:rPr>
              <w:t>×5%</w:t>
            </w:r>
          </w:p>
        </w:tc>
      </w:tr>
      <w:tr w:rsidR="003A768B" w:rsidRPr="00272E0C" w:rsidTr="00A008DA">
        <w:tc>
          <w:tcPr>
            <w:tcW w:w="2835" w:type="dxa"/>
          </w:tcPr>
          <w:p w:rsidR="003A768B" w:rsidRPr="004C6E88" w:rsidRDefault="003A768B" w:rsidP="00A008DA">
            <w:pPr>
              <w:adjustRightInd w:val="0"/>
              <w:spacing w:before="29" w:line="360" w:lineRule="auto"/>
              <w:ind w:left="17"/>
              <w:jc w:val="left"/>
              <w:rPr>
                <w:rFonts w:eastAsiaTheme="minorEastAsia"/>
                <w:sz w:val="24"/>
              </w:rPr>
            </w:pPr>
            <w:r w:rsidRPr="004C6E88">
              <w:rPr>
                <w:rFonts w:eastAsiaTheme="minorEastAsia"/>
                <w:kern w:val="0"/>
                <w:sz w:val="24"/>
              </w:rPr>
              <w:t>风险收益特征</w:t>
            </w:r>
          </w:p>
        </w:tc>
        <w:tc>
          <w:tcPr>
            <w:tcW w:w="5479" w:type="dxa"/>
            <w:gridSpan w:val="3"/>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本基金为股票型基金，主要采用完全复制策略跟踪标的指数的表现，其风险收益特征与标的指数相似。长期而言，其风险收益水平高于混合型基金、债券型基金和货币市场基金；</w:t>
            </w:r>
            <w:r w:rsidRPr="004C6E88">
              <w:rPr>
                <w:rFonts w:eastAsiaTheme="minorEastAsia"/>
                <w:color w:val="000000"/>
                <w:kern w:val="0"/>
                <w:sz w:val="24"/>
              </w:rPr>
              <w:t>A</w:t>
            </w:r>
            <w:r w:rsidRPr="004C6E88">
              <w:rPr>
                <w:rFonts w:eastAsiaTheme="minorEastAsia"/>
                <w:color w:val="000000"/>
                <w:kern w:val="0"/>
                <w:sz w:val="24"/>
              </w:rPr>
              <w:t>类份额具有预期风险、收益较低的特征；</w:t>
            </w:r>
            <w:r w:rsidRPr="004C6E88">
              <w:rPr>
                <w:rFonts w:eastAsiaTheme="minorEastAsia"/>
                <w:color w:val="000000"/>
                <w:kern w:val="0"/>
                <w:sz w:val="24"/>
              </w:rPr>
              <w:t>B</w:t>
            </w:r>
            <w:r w:rsidRPr="004C6E88">
              <w:rPr>
                <w:rFonts w:eastAsiaTheme="minorEastAsia"/>
                <w:color w:val="000000"/>
                <w:kern w:val="0"/>
                <w:sz w:val="24"/>
              </w:rPr>
              <w:t>类份额具有预期风险、收益较高的特征。</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基金管理人</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易方达基金管理有限公司</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基金托管人</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中国建设银行股份有限公司</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kern w:val="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级基金的基金简称</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易方达生物分级</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易方达生物分级</w:t>
            </w:r>
            <w:r w:rsidRPr="004C6E88">
              <w:rPr>
                <w:rFonts w:eastAsiaTheme="minorEastAsia"/>
                <w:sz w:val="24"/>
              </w:rPr>
              <w:t>A</w:t>
            </w:r>
          </w:p>
        </w:tc>
        <w:tc>
          <w:tcPr>
            <w:tcW w:w="1827" w:type="dxa"/>
            <w:vAlign w:val="center"/>
          </w:tcPr>
          <w:p w:rsidR="003A768B" w:rsidRPr="004C6E88" w:rsidRDefault="003A768B" w:rsidP="007A6BEA">
            <w:pPr>
              <w:jc w:val="left"/>
              <w:rPr>
                <w:rFonts w:eastAsiaTheme="minorEastAsia"/>
                <w:sz w:val="24"/>
              </w:rPr>
            </w:pPr>
            <w:r w:rsidRPr="004C6E88">
              <w:rPr>
                <w:rFonts w:eastAsiaTheme="minorEastAsia"/>
                <w:sz w:val="24"/>
              </w:rPr>
              <w:t>易方达生物分级</w:t>
            </w:r>
            <w:r w:rsidRPr="004C6E88">
              <w:rPr>
                <w:rFonts w:eastAsiaTheme="minorEastAsia"/>
                <w:sz w:val="24"/>
              </w:rPr>
              <w:t>B</w:t>
            </w:r>
          </w:p>
        </w:tc>
      </w:tr>
      <w:tr w:rsidR="002C2DE0" w:rsidRPr="00272E0C" w:rsidTr="00EB3E72">
        <w:tc>
          <w:tcPr>
            <w:tcW w:w="2835" w:type="dxa"/>
          </w:tcPr>
          <w:p w:rsidR="002C2DE0" w:rsidRPr="004C6E88" w:rsidRDefault="002C2DE0"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003168E2">
              <w:rPr>
                <w:rFonts w:eastAsiaTheme="minorEastAsia"/>
                <w:color w:val="000000"/>
                <w:sz w:val="24"/>
              </w:rPr>
              <w:t>级基金</w:t>
            </w:r>
            <w:r w:rsidRPr="004C6E88">
              <w:rPr>
                <w:rFonts w:eastAsiaTheme="minorEastAsia"/>
                <w:color w:val="000000"/>
                <w:sz w:val="24"/>
              </w:rPr>
              <w:t>场内简称</w:t>
            </w:r>
          </w:p>
        </w:tc>
        <w:tc>
          <w:tcPr>
            <w:tcW w:w="1826"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生物分级</w:t>
            </w:r>
          </w:p>
        </w:tc>
        <w:tc>
          <w:tcPr>
            <w:tcW w:w="1826"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生物</w:t>
            </w:r>
            <w:r w:rsidRPr="004C6E88">
              <w:rPr>
                <w:rFonts w:eastAsiaTheme="minorEastAsia"/>
                <w:sz w:val="24"/>
              </w:rPr>
              <w:t>A</w:t>
            </w:r>
          </w:p>
        </w:tc>
        <w:tc>
          <w:tcPr>
            <w:tcW w:w="1827"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生物</w:t>
            </w:r>
            <w:r w:rsidRPr="004C6E88">
              <w:rPr>
                <w:rFonts w:eastAsiaTheme="minorEastAsia"/>
                <w:sz w:val="24"/>
              </w:rPr>
              <w:t>B</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级基金的交易代码</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161122</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150257</w:t>
            </w:r>
          </w:p>
        </w:tc>
        <w:tc>
          <w:tcPr>
            <w:tcW w:w="1827" w:type="dxa"/>
            <w:vAlign w:val="center"/>
          </w:tcPr>
          <w:p w:rsidR="003A768B" w:rsidRPr="004C6E88" w:rsidRDefault="003A768B" w:rsidP="007A6BEA">
            <w:pPr>
              <w:jc w:val="left"/>
              <w:rPr>
                <w:rFonts w:eastAsiaTheme="minorEastAsia"/>
                <w:sz w:val="24"/>
              </w:rPr>
            </w:pPr>
            <w:r w:rsidRPr="004C6E88">
              <w:rPr>
                <w:rFonts w:eastAsiaTheme="minorEastAsia"/>
                <w:sz w:val="24"/>
              </w:rPr>
              <w:t>150258</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报告期末下属</w:t>
            </w:r>
            <w:r w:rsidR="004C6E88" w:rsidRPr="004C6E88">
              <w:rPr>
                <w:rFonts w:eastAsiaTheme="minorEastAsia"/>
                <w:color w:val="000000"/>
                <w:sz w:val="24"/>
              </w:rPr>
              <w:t>分</w:t>
            </w:r>
            <w:r w:rsidRPr="004C6E88">
              <w:rPr>
                <w:rFonts w:eastAsiaTheme="minorEastAsia"/>
                <w:color w:val="000000"/>
                <w:sz w:val="24"/>
              </w:rPr>
              <w:t>级基金的份额总额</w:t>
            </w:r>
          </w:p>
        </w:tc>
        <w:tc>
          <w:tcPr>
            <w:tcW w:w="1826" w:type="dxa"/>
            <w:vAlign w:val="center"/>
          </w:tcPr>
          <w:p w:rsidR="003A768B" w:rsidRPr="004C6E88" w:rsidRDefault="003A768B" w:rsidP="00057DD3">
            <w:pPr>
              <w:jc w:val="left"/>
              <w:rPr>
                <w:rFonts w:eastAsiaTheme="minorEastAsia"/>
                <w:sz w:val="24"/>
              </w:rPr>
            </w:pPr>
            <w:r w:rsidRPr="004C6E88">
              <w:rPr>
                <w:rFonts w:eastAsiaTheme="minorEastAsia"/>
                <w:sz w:val="24"/>
              </w:rPr>
              <w:t>119,580,715.86</w:t>
            </w:r>
            <w:r w:rsidRPr="004C6E88">
              <w:rPr>
                <w:rFonts w:eastAsiaTheme="minorEastAsia"/>
                <w:color w:val="000000"/>
                <w:kern w:val="0"/>
                <w:sz w:val="24"/>
              </w:rPr>
              <w:t>份</w:t>
            </w:r>
          </w:p>
        </w:tc>
        <w:tc>
          <w:tcPr>
            <w:tcW w:w="1826" w:type="dxa"/>
            <w:vAlign w:val="center"/>
          </w:tcPr>
          <w:p w:rsidR="003A768B" w:rsidRPr="004C6E88" w:rsidRDefault="003A768B" w:rsidP="00057DD3">
            <w:pPr>
              <w:jc w:val="left"/>
              <w:rPr>
                <w:rFonts w:eastAsiaTheme="minorEastAsia"/>
                <w:sz w:val="24"/>
              </w:rPr>
            </w:pPr>
            <w:r w:rsidRPr="004C6E88">
              <w:rPr>
                <w:rFonts w:eastAsiaTheme="minorEastAsia"/>
                <w:sz w:val="24"/>
              </w:rPr>
              <w:t>4,685,802.00</w:t>
            </w:r>
            <w:r w:rsidRPr="004C6E88">
              <w:rPr>
                <w:rFonts w:eastAsiaTheme="minorEastAsia"/>
                <w:color w:val="000000"/>
                <w:kern w:val="0"/>
                <w:sz w:val="24"/>
              </w:rPr>
              <w:t>份</w:t>
            </w:r>
          </w:p>
        </w:tc>
        <w:tc>
          <w:tcPr>
            <w:tcW w:w="1827" w:type="dxa"/>
            <w:vAlign w:val="center"/>
          </w:tcPr>
          <w:p w:rsidR="003A768B" w:rsidRPr="004C6E88" w:rsidRDefault="003A768B" w:rsidP="00057DD3">
            <w:pPr>
              <w:jc w:val="left"/>
              <w:rPr>
                <w:rFonts w:eastAsiaTheme="minorEastAsia"/>
                <w:sz w:val="24"/>
              </w:rPr>
            </w:pPr>
            <w:r w:rsidRPr="004C6E88">
              <w:rPr>
                <w:rFonts w:eastAsiaTheme="minorEastAsia"/>
                <w:sz w:val="24"/>
              </w:rPr>
              <w:t>4,685,802.00</w:t>
            </w:r>
            <w:r w:rsidRPr="004C6E88">
              <w:rPr>
                <w:rFonts w:eastAsiaTheme="minorEastAsia"/>
                <w:color w:val="000000"/>
                <w:kern w:val="0"/>
                <w:sz w:val="24"/>
              </w:rPr>
              <w:t>份</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sz w:val="24"/>
              </w:rPr>
            </w:pPr>
            <w:r w:rsidRPr="004C6E88">
              <w:rPr>
                <w:rFonts w:eastAsiaTheme="minorEastAsia"/>
                <w:color w:val="000000"/>
                <w:kern w:val="0"/>
                <w:sz w:val="24"/>
              </w:rPr>
              <w:t>下属</w:t>
            </w:r>
            <w:r w:rsidR="004C6E88" w:rsidRPr="004C6E88">
              <w:rPr>
                <w:rFonts w:eastAsiaTheme="minorEastAsia"/>
                <w:color w:val="000000"/>
                <w:kern w:val="0"/>
                <w:sz w:val="24"/>
              </w:rPr>
              <w:t>分</w:t>
            </w:r>
            <w:r w:rsidRPr="004C6E88">
              <w:rPr>
                <w:rFonts w:eastAsiaTheme="minorEastAsia"/>
                <w:color w:val="000000"/>
                <w:kern w:val="0"/>
                <w:sz w:val="24"/>
              </w:rPr>
              <w:t>级基金的</w:t>
            </w:r>
            <w:r w:rsidRPr="004C6E88">
              <w:rPr>
                <w:rFonts w:eastAsiaTheme="minorEastAsia"/>
                <w:kern w:val="0"/>
                <w:sz w:val="24"/>
              </w:rPr>
              <w:t>风险收益特征</w:t>
            </w:r>
          </w:p>
        </w:tc>
        <w:tc>
          <w:tcPr>
            <w:tcW w:w="1826"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基础份额为股票型基金，其风险收益水平高于混合型基金、债券型基金和货币市场基金。</w:t>
            </w:r>
          </w:p>
        </w:tc>
        <w:tc>
          <w:tcPr>
            <w:tcW w:w="1826"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与基础份额相比，</w:t>
            </w:r>
            <w:r w:rsidRPr="004C6E88">
              <w:rPr>
                <w:rFonts w:eastAsiaTheme="minorEastAsia"/>
                <w:color w:val="000000"/>
                <w:kern w:val="0"/>
                <w:sz w:val="24"/>
              </w:rPr>
              <w:t>A</w:t>
            </w:r>
            <w:r w:rsidRPr="004C6E88">
              <w:rPr>
                <w:rFonts w:eastAsiaTheme="minorEastAsia"/>
                <w:color w:val="000000"/>
                <w:kern w:val="0"/>
                <w:sz w:val="24"/>
              </w:rPr>
              <w:t>类份额的预期收益和预期风险低于基础份额。</w:t>
            </w:r>
          </w:p>
        </w:tc>
        <w:tc>
          <w:tcPr>
            <w:tcW w:w="1827"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与基础份额相比，</w:t>
            </w:r>
            <w:r w:rsidRPr="004C6E88">
              <w:rPr>
                <w:rFonts w:eastAsiaTheme="minorEastAsia"/>
                <w:color w:val="000000"/>
                <w:kern w:val="0"/>
                <w:sz w:val="24"/>
              </w:rPr>
              <w:t>B</w:t>
            </w:r>
            <w:r w:rsidRPr="004C6E88">
              <w:rPr>
                <w:rFonts w:eastAsiaTheme="minorEastAsia"/>
                <w:color w:val="000000"/>
                <w:kern w:val="0"/>
                <w:sz w:val="24"/>
              </w:rPr>
              <w:t>类份额的预期收益和预期风险高于基础份额。</w:t>
            </w:r>
          </w:p>
        </w:tc>
      </w:tr>
    </w:tbl>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3  </w:t>
      </w:r>
      <w:r w:rsidRPr="00272E0C">
        <w:rPr>
          <w:rFonts w:ascii="宋体" w:hAnsi="宋体" w:cs="Arial" w:hint="eastAsia"/>
          <w:color w:val="000000"/>
          <w:kern w:val="0"/>
          <w:sz w:val="24"/>
          <w:szCs w:val="24"/>
        </w:rPr>
        <w:t>主要财务指标和基金净值表现</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3.1 </w:t>
      </w:r>
      <w:r w:rsidRPr="00272E0C">
        <w:rPr>
          <w:rFonts w:ascii="宋体" w:hAnsi="宋体" w:cs="Arial" w:hint="eastAsia"/>
          <w:b/>
          <w:color w:val="000000"/>
          <w:kern w:val="0"/>
          <w:sz w:val="24"/>
        </w:rPr>
        <w:t>主要财务指标</w:t>
      </w:r>
    </w:p>
    <w:p w:rsidR="0008378B" w:rsidRPr="006506EF" w:rsidRDefault="0008378B" w:rsidP="0008378B">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08378B" w:rsidRPr="006506EF" w:rsidTr="005D3A22">
        <w:tc>
          <w:tcPr>
            <w:tcW w:w="3402" w:type="dxa"/>
            <w:vAlign w:val="center"/>
          </w:tcPr>
          <w:p w:rsidR="0008378B" w:rsidRPr="006506EF" w:rsidRDefault="0008378B" w:rsidP="005D3A22">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08378B" w:rsidRPr="006506EF" w:rsidRDefault="0008378B" w:rsidP="005D3A22">
            <w:pPr>
              <w:adjustRightInd w:val="0"/>
              <w:spacing w:before="29" w:line="360" w:lineRule="auto"/>
              <w:ind w:left="17"/>
              <w:jc w:val="center"/>
              <w:rPr>
                <w:color w:val="000000"/>
                <w:sz w:val="24"/>
              </w:rPr>
            </w:pPr>
            <w:r w:rsidRPr="006506EF">
              <w:rPr>
                <w:color w:val="000000"/>
                <w:sz w:val="24"/>
              </w:rPr>
              <w:t>报告期</w:t>
            </w:r>
          </w:p>
          <w:p w:rsidR="0008378B" w:rsidRPr="006506EF" w:rsidRDefault="0008378B" w:rsidP="005D3A22">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08378B" w:rsidRPr="006506EF" w:rsidRDefault="0008378B" w:rsidP="005D3A22">
            <w:pPr>
              <w:adjustRightInd w:val="0"/>
              <w:spacing w:before="29" w:line="360" w:lineRule="auto"/>
              <w:ind w:left="17"/>
              <w:jc w:val="center"/>
              <w:rPr>
                <w:color w:val="000000"/>
                <w:sz w:val="24"/>
              </w:rPr>
            </w:pPr>
            <w:r w:rsidRPr="006506EF">
              <w:rPr>
                <w:color w:val="000000"/>
                <w:sz w:val="24"/>
              </w:rPr>
              <w:t>上期金额</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512,034.33</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22,017,604.02</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0.1636</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173,957,319.81</w:t>
            </w:r>
          </w:p>
        </w:tc>
        <w:tc>
          <w:tcPr>
            <w:tcW w:w="2410" w:type="dxa"/>
            <w:hMerge/>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rPr>
          <w:trHeight w:val="158"/>
        </w:trPr>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1.3490</w:t>
            </w:r>
          </w:p>
        </w:tc>
        <w:tc>
          <w:tcPr>
            <w:tcW w:w="2410" w:type="dxa"/>
            <w:hMerge/>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bl>
    <w:p w:rsidR="00317CD3" w:rsidRDefault="00761158">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1C36D8" w:rsidRPr="00E43B0B" w:rsidRDefault="0008378B" w:rsidP="00E43B0B">
      <w:pPr>
        <w:spacing w:line="360" w:lineRule="auto"/>
        <w:ind w:firstLineChars="200" w:firstLine="480"/>
        <w:rPr>
          <w:color w:val="000000"/>
          <w:sz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3.2 </w:t>
      </w:r>
      <w:r w:rsidRPr="00272E0C">
        <w:rPr>
          <w:rFonts w:ascii="宋体" w:hAnsi="宋体" w:cs="Arial" w:hint="eastAsia"/>
          <w:b/>
          <w:color w:val="000000"/>
          <w:kern w:val="0"/>
          <w:sz w:val="24"/>
        </w:rPr>
        <w:t>基金净值表现</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cs="Arial"/>
            <w:b/>
            <w:color w:val="000000"/>
            <w:kern w:val="0"/>
            <w:sz w:val="24"/>
          </w:rPr>
          <w:t>3.2.1</w:t>
        </w:r>
      </w:smartTag>
      <w:r w:rsidRPr="00272E0C">
        <w:rPr>
          <w:rFonts w:ascii="宋体" w:hAnsi="宋体" w:cs="Arial" w:hint="eastAsia"/>
          <w:b/>
          <w:color w:val="000000"/>
          <w:kern w:val="0"/>
          <w:sz w:val="24"/>
        </w:rPr>
        <w:t>本报告期基金份额净值增长率及其与同期业绩比较基准收益率的比较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5"/>
        <w:gridCol w:w="1216"/>
        <w:gridCol w:w="1216"/>
        <w:gridCol w:w="1216"/>
        <w:gridCol w:w="1216"/>
        <w:gridCol w:w="1217"/>
        <w:gridCol w:w="1217"/>
      </w:tblGrid>
      <w:tr w:rsidR="001C36D8" w:rsidRPr="00272E0C" w:rsidTr="001A09F9">
        <w:tc>
          <w:tcPr>
            <w:tcW w:w="1215"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阶段</w:t>
            </w:r>
          </w:p>
        </w:tc>
        <w:tc>
          <w:tcPr>
            <w:tcW w:w="1216" w:type="dxa"/>
            <w:vAlign w:val="center"/>
          </w:tcPr>
          <w:p w:rsidR="001C36D8" w:rsidRPr="00E43B0B" w:rsidRDefault="001C36D8" w:rsidP="001A09F9">
            <w:pPr>
              <w:snapToGrid w:val="0"/>
              <w:spacing w:line="288" w:lineRule="auto"/>
              <w:jc w:val="center"/>
              <w:rPr>
                <w:color w:val="000000"/>
                <w:sz w:val="24"/>
                <w:highlight w:val="green"/>
              </w:rPr>
            </w:pPr>
            <w:r w:rsidRPr="00E43B0B">
              <w:rPr>
                <w:color w:val="000000"/>
                <w:sz w:val="24"/>
              </w:rPr>
              <w:t>净值增长率</w:t>
            </w:r>
            <w:r w:rsidRPr="00E43B0B">
              <w:rPr>
                <w:rFonts w:ascii="宋体" w:hAnsi="宋体" w:cs="宋体" w:hint="eastAsia"/>
                <w:color w:val="000000"/>
                <w:sz w:val="24"/>
              </w:rPr>
              <w:t>①</w:t>
            </w:r>
          </w:p>
        </w:tc>
        <w:tc>
          <w:tcPr>
            <w:tcW w:w="1216" w:type="dxa"/>
            <w:vAlign w:val="center"/>
          </w:tcPr>
          <w:p w:rsidR="001C36D8" w:rsidRPr="00E43B0B" w:rsidRDefault="001C36D8" w:rsidP="001A09F9">
            <w:pPr>
              <w:snapToGrid w:val="0"/>
              <w:spacing w:line="288" w:lineRule="auto"/>
              <w:jc w:val="center"/>
              <w:rPr>
                <w:color w:val="000000"/>
                <w:sz w:val="24"/>
                <w:highlight w:val="green"/>
              </w:rPr>
            </w:pPr>
            <w:r w:rsidRPr="00E43B0B">
              <w:rPr>
                <w:color w:val="000000"/>
                <w:sz w:val="24"/>
              </w:rPr>
              <w:t>净值增长率标准差</w:t>
            </w:r>
            <w:r w:rsidRPr="00E43B0B">
              <w:rPr>
                <w:rFonts w:ascii="宋体" w:hAnsi="宋体" w:cs="宋体" w:hint="eastAsia"/>
                <w:color w:val="000000"/>
                <w:sz w:val="24"/>
              </w:rPr>
              <w:t>②</w:t>
            </w:r>
          </w:p>
        </w:tc>
        <w:tc>
          <w:tcPr>
            <w:tcW w:w="1216"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业绩比较基准收益率</w:t>
            </w:r>
            <w:r w:rsidRPr="00E43B0B">
              <w:rPr>
                <w:rFonts w:ascii="宋体" w:hAnsi="宋体" w:cs="宋体" w:hint="eastAsia"/>
                <w:color w:val="000000"/>
                <w:sz w:val="24"/>
              </w:rPr>
              <w:t>③</w:t>
            </w:r>
          </w:p>
        </w:tc>
        <w:tc>
          <w:tcPr>
            <w:tcW w:w="1216"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业绩比较基准收益率标准差</w:t>
            </w:r>
            <w:r w:rsidRPr="00E43B0B">
              <w:rPr>
                <w:rFonts w:ascii="宋体" w:hAnsi="宋体" w:cs="宋体" w:hint="eastAsia"/>
                <w:color w:val="000000"/>
                <w:sz w:val="24"/>
              </w:rPr>
              <w:t>④</w:t>
            </w:r>
          </w:p>
        </w:tc>
        <w:tc>
          <w:tcPr>
            <w:tcW w:w="1217" w:type="dxa"/>
            <w:vAlign w:val="center"/>
          </w:tcPr>
          <w:p w:rsidR="001C36D8" w:rsidRPr="00E43B0B" w:rsidRDefault="001C36D8" w:rsidP="001A09F9">
            <w:pPr>
              <w:snapToGrid w:val="0"/>
              <w:spacing w:line="288" w:lineRule="auto"/>
              <w:jc w:val="center"/>
              <w:rPr>
                <w:color w:val="000000"/>
                <w:sz w:val="24"/>
              </w:rPr>
            </w:pPr>
            <w:r w:rsidRPr="00E43B0B">
              <w:rPr>
                <w:rFonts w:ascii="宋体" w:hAnsi="宋体" w:cs="宋体" w:hint="eastAsia"/>
                <w:color w:val="000000"/>
                <w:sz w:val="24"/>
              </w:rPr>
              <w:t>①</w:t>
            </w:r>
            <w:r w:rsidRPr="00E43B0B">
              <w:rPr>
                <w:color w:val="000000"/>
                <w:sz w:val="24"/>
              </w:rPr>
              <w:t>－</w:t>
            </w:r>
            <w:r w:rsidRPr="00E43B0B">
              <w:rPr>
                <w:rFonts w:ascii="宋体" w:hAnsi="宋体" w:cs="宋体" w:hint="eastAsia"/>
                <w:color w:val="000000"/>
                <w:sz w:val="24"/>
              </w:rPr>
              <w:t>③</w:t>
            </w:r>
          </w:p>
        </w:tc>
        <w:tc>
          <w:tcPr>
            <w:tcW w:w="1217" w:type="dxa"/>
            <w:vAlign w:val="center"/>
          </w:tcPr>
          <w:p w:rsidR="001C36D8" w:rsidRPr="00E43B0B" w:rsidRDefault="001C36D8" w:rsidP="001A09F9">
            <w:pPr>
              <w:snapToGrid w:val="0"/>
              <w:spacing w:line="288" w:lineRule="auto"/>
              <w:jc w:val="center"/>
              <w:rPr>
                <w:color w:val="000000"/>
                <w:sz w:val="24"/>
              </w:rPr>
            </w:pPr>
            <w:r w:rsidRPr="00E43B0B">
              <w:rPr>
                <w:rFonts w:ascii="宋体" w:hAnsi="宋体" w:cs="宋体" w:hint="eastAsia"/>
                <w:color w:val="000000"/>
                <w:sz w:val="24"/>
              </w:rPr>
              <w:t>②</w:t>
            </w:r>
            <w:r w:rsidRPr="00E43B0B">
              <w:rPr>
                <w:color w:val="000000"/>
                <w:sz w:val="24"/>
              </w:rPr>
              <w:t>－</w:t>
            </w:r>
            <w:r w:rsidRPr="00E43B0B">
              <w:rPr>
                <w:rFonts w:ascii="宋体" w:hAnsi="宋体" w:cs="宋体" w:hint="eastAsia"/>
                <w:color w:val="000000"/>
                <w:sz w:val="24"/>
              </w:rPr>
              <w:t>④</w:t>
            </w:r>
          </w:p>
        </w:tc>
      </w:tr>
      <w:tr w:rsidR="00317CD3">
        <w:tc>
          <w:tcPr>
            <w:tcW w:w="0" w:type="auto"/>
            <w:vAlign w:val="center"/>
          </w:tcPr>
          <w:p w:rsidR="00317CD3" w:rsidRDefault="00761158">
            <w:pPr>
              <w:jc w:val="left"/>
            </w:pPr>
            <w:r>
              <w:rPr>
                <w:color w:val="000000"/>
                <w:sz w:val="24"/>
              </w:rPr>
              <w:t>过去三个月</w:t>
            </w:r>
          </w:p>
        </w:tc>
        <w:tc>
          <w:tcPr>
            <w:tcW w:w="0" w:type="auto"/>
            <w:vAlign w:val="center"/>
          </w:tcPr>
          <w:p w:rsidR="00317CD3" w:rsidRDefault="00761158">
            <w:pPr>
              <w:jc w:val="center"/>
            </w:pPr>
            <w:r>
              <w:rPr>
                <w:color w:val="000000"/>
                <w:sz w:val="24"/>
              </w:rPr>
              <w:t>13.34%</w:t>
            </w:r>
          </w:p>
        </w:tc>
        <w:tc>
          <w:tcPr>
            <w:tcW w:w="0" w:type="auto"/>
            <w:vAlign w:val="center"/>
          </w:tcPr>
          <w:p w:rsidR="00317CD3" w:rsidRDefault="00761158">
            <w:pPr>
              <w:jc w:val="center"/>
            </w:pPr>
            <w:r>
              <w:rPr>
                <w:color w:val="000000"/>
                <w:sz w:val="24"/>
              </w:rPr>
              <w:t>1.96%</w:t>
            </w:r>
          </w:p>
        </w:tc>
        <w:tc>
          <w:tcPr>
            <w:tcW w:w="0" w:type="auto"/>
            <w:vAlign w:val="center"/>
          </w:tcPr>
          <w:p w:rsidR="00317CD3" w:rsidRDefault="00761158">
            <w:pPr>
              <w:jc w:val="center"/>
            </w:pPr>
            <w:r>
              <w:rPr>
                <w:color w:val="000000"/>
                <w:sz w:val="24"/>
              </w:rPr>
              <w:t>13.42%</w:t>
            </w:r>
          </w:p>
        </w:tc>
        <w:tc>
          <w:tcPr>
            <w:tcW w:w="0" w:type="auto"/>
            <w:vAlign w:val="center"/>
          </w:tcPr>
          <w:p w:rsidR="00317CD3" w:rsidRDefault="00761158">
            <w:pPr>
              <w:jc w:val="center"/>
            </w:pPr>
            <w:r>
              <w:rPr>
                <w:color w:val="000000"/>
                <w:sz w:val="24"/>
              </w:rPr>
              <w:t>1.97%</w:t>
            </w:r>
          </w:p>
        </w:tc>
        <w:tc>
          <w:tcPr>
            <w:tcW w:w="0" w:type="auto"/>
            <w:vAlign w:val="center"/>
          </w:tcPr>
          <w:p w:rsidR="00317CD3" w:rsidRDefault="00761158">
            <w:pPr>
              <w:jc w:val="center"/>
            </w:pPr>
            <w:r>
              <w:rPr>
                <w:color w:val="000000"/>
                <w:sz w:val="24"/>
              </w:rPr>
              <w:t>-0.08%</w:t>
            </w:r>
          </w:p>
        </w:tc>
        <w:tc>
          <w:tcPr>
            <w:tcW w:w="0" w:type="auto"/>
            <w:vAlign w:val="center"/>
          </w:tcPr>
          <w:p w:rsidR="00317CD3" w:rsidRDefault="00761158">
            <w:pPr>
              <w:jc w:val="center"/>
            </w:pPr>
            <w:r>
              <w:rPr>
                <w:color w:val="000000"/>
                <w:sz w:val="24"/>
              </w:rPr>
              <w:t>-0.01%</w:t>
            </w:r>
          </w:p>
        </w:tc>
      </w:tr>
    </w:tbl>
    <w:p w:rsidR="001C36D8" w:rsidRPr="00272E0C" w:rsidRDefault="001C36D8" w:rsidP="003A4DA3">
      <w:pPr>
        <w:spacing w:line="360" w:lineRule="auto"/>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cs="Arial"/>
            <w:b/>
            <w:color w:val="000000"/>
            <w:kern w:val="0"/>
            <w:sz w:val="24"/>
          </w:rPr>
          <w:t>3.2.2</w:t>
        </w:r>
        <w:r w:rsidR="00193F07" w:rsidRPr="00370BEA">
          <w:rPr>
            <w:rStyle w:val="af8"/>
            <w:rFonts w:hint="eastAsia"/>
            <w:color w:val="000000"/>
            <w:sz w:val="24"/>
            <w:shd w:val="clear" w:color="auto" w:fill="FFFFFF"/>
          </w:rPr>
          <w:t>自基金合同生效以来</w:t>
        </w:r>
      </w:smartTag>
      <w:r w:rsidRPr="00272E0C">
        <w:rPr>
          <w:rFonts w:ascii="宋体" w:hAnsi="宋体" w:hint="eastAsia"/>
          <w:b/>
          <w:bCs/>
          <w:color w:val="000000"/>
          <w:sz w:val="24"/>
        </w:rPr>
        <w:t>基金累计净值增长率变动及其与同期业绩比较基准收益率变动的比较</w:t>
      </w:r>
    </w:p>
    <w:p w:rsidR="001C36D8" w:rsidRPr="00E43B0B" w:rsidRDefault="001C36D8" w:rsidP="003A4DA3">
      <w:pPr>
        <w:spacing w:line="360" w:lineRule="auto"/>
        <w:jc w:val="center"/>
        <w:rPr>
          <w:sz w:val="24"/>
        </w:rPr>
      </w:pPr>
      <w:r w:rsidRPr="00E43B0B">
        <w:rPr>
          <w:sz w:val="24"/>
        </w:rPr>
        <w:t>易方达生物科技指数分级证券投资基金</w:t>
      </w:r>
    </w:p>
    <w:p w:rsidR="001C36D8" w:rsidRPr="00E43B0B" w:rsidRDefault="006F4C30" w:rsidP="003A4DA3">
      <w:pPr>
        <w:pStyle w:val="a5"/>
        <w:snapToGrid w:val="0"/>
        <w:spacing w:line="360" w:lineRule="auto"/>
        <w:jc w:val="center"/>
        <w:rPr>
          <w:rFonts w:ascii="Times New Roman" w:hAnsi="Times New Roman"/>
          <w:color w:val="000000"/>
          <w:sz w:val="24"/>
          <w:szCs w:val="24"/>
        </w:rPr>
      </w:pPr>
      <w:r w:rsidRPr="00E43B0B">
        <w:rPr>
          <w:rFonts w:ascii="Times New Roman" w:hAnsi="Times New Roman"/>
          <w:color w:val="000000"/>
          <w:sz w:val="24"/>
          <w:szCs w:val="24"/>
        </w:rPr>
        <w:t>累计</w:t>
      </w:r>
      <w:r w:rsidR="001C36D8" w:rsidRPr="00E43B0B">
        <w:rPr>
          <w:rFonts w:ascii="Times New Roman" w:hAnsi="Times New Roman"/>
          <w:color w:val="000000"/>
          <w:sz w:val="24"/>
          <w:szCs w:val="24"/>
        </w:rPr>
        <w:t>净值增长率与业绩比较基准收益率历史走势对比图</w:t>
      </w:r>
    </w:p>
    <w:p w:rsidR="001C36D8" w:rsidRPr="00E43B0B" w:rsidRDefault="001C36D8" w:rsidP="003A4DA3">
      <w:pPr>
        <w:spacing w:line="360" w:lineRule="auto"/>
        <w:jc w:val="center"/>
        <w:rPr>
          <w:sz w:val="24"/>
        </w:rPr>
      </w:pPr>
      <w:r w:rsidRPr="00E43B0B">
        <w:rPr>
          <w:color w:val="000000"/>
          <w:kern w:val="0"/>
          <w:sz w:val="24"/>
        </w:rPr>
        <w:t>（</w:t>
      </w:r>
      <w:r w:rsidRPr="00E43B0B">
        <w:rPr>
          <w:color w:val="000000"/>
          <w:kern w:val="0"/>
          <w:sz w:val="24"/>
        </w:rPr>
        <w:t>2015</w:t>
      </w:r>
      <w:r w:rsidRPr="00E43B0B">
        <w:rPr>
          <w:color w:val="000000"/>
          <w:kern w:val="0"/>
          <w:sz w:val="24"/>
        </w:rPr>
        <w:t>年</w:t>
      </w:r>
      <w:r w:rsidRPr="00E43B0B">
        <w:rPr>
          <w:color w:val="000000"/>
          <w:kern w:val="0"/>
          <w:sz w:val="24"/>
        </w:rPr>
        <w:t>6</w:t>
      </w:r>
      <w:r w:rsidRPr="00E43B0B">
        <w:rPr>
          <w:color w:val="000000"/>
          <w:kern w:val="0"/>
          <w:sz w:val="24"/>
        </w:rPr>
        <w:t>月</w:t>
      </w:r>
      <w:r w:rsidRPr="00E43B0B">
        <w:rPr>
          <w:color w:val="000000"/>
          <w:kern w:val="0"/>
          <w:sz w:val="24"/>
        </w:rPr>
        <w:t>3</w:t>
      </w:r>
      <w:r w:rsidRPr="00E43B0B">
        <w:rPr>
          <w:color w:val="000000"/>
          <w:kern w:val="0"/>
          <w:sz w:val="24"/>
        </w:rPr>
        <w:t>日至</w:t>
      </w:r>
      <w:r w:rsidRPr="00E43B0B">
        <w:rPr>
          <w:color w:val="000000"/>
          <w:kern w:val="0"/>
          <w:sz w:val="24"/>
        </w:rPr>
        <w:t>2020</w:t>
      </w:r>
      <w:r w:rsidRPr="00E43B0B">
        <w:rPr>
          <w:color w:val="000000"/>
          <w:kern w:val="0"/>
          <w:sz w:val="24"/>
        </w:rPr>
        <w:t>年</w:t>
      </w:r>
      <w:r w:rsidRPr="00E43B0B">
        <w:rPr>
          <w:color w:val="000000"/>
          <w:kern w:val="0"/>
          <w:sz w:val="24"/>
        </w:rPr>
        <w:t>3</w:t>
      </w:r>
      <w:r w:rsidRPr="00E43B0B">
        <w:rPr>
          <w:color w:val="000000"/>
          <w:kern w:val="0"/>
          <w:sz w:val="24"/>
        </w:rPr>
        <w:t>月</w:t>
      </w:r>
      <w:r w:rsidRPr="00E43B0B">
        <w:rPr>
          <w:color w:val="000000"/>
          <w:kern w:val="0"/>
          <w:sz w:val="24"/>
        </w:rPr>
        <w:t>31</w:t>
      </w:r>
      <w:r w:rsidRPr="00E43B0B">
        <w:rPr>
          <w:color w:val="000000"/>
          <w:kern w:val="0"/>
          <w:sz w:val="24"/>
        </w:rPr>
        <w:t>日）</w:t>
      </w:r>
    </w:p>
    <w:p w:rsidR="001C36D8" w:rsidRPr="00272E0C" w:rsidRDefault="00761158" w:rsidP="0042253F">
      <w:pPr>
        <w:tabs>
          <w:tab w:val="left" w:pos="180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1pt;height:241.5pt;visibility:visible">
            <v:imagedata r:id="rId9" o:title=""/>
          </v:shape>
        </w:pict>
      </w:r>
    </w:p>
    <w:p w:rsidR="001C36D8" w:rsidRPr="00E43B0B" w:rsidRDefault="001C36D8" w:rsidP="00E43B0B">
      <w:pPr>
        <w:spacing w:line="360" w:lineRule="auto"/>
        <w:ind w:firstLineChars="200" w:firstLine="480"/>
        <w:rPr>
          <w:color w:val="000000"/>
          <w:sz w:val="24"/>
        </w:rPr>
      </w:pPr>
      <w:r w:rsidRPr="003D22BD">
        <w:rPr>
          <w:color w:val="000000"/>
          <w:sz w:val="24"/>
        </w:rPr>
        <w:t>注：自基金合同生效至报告期末，基金份额净值增长率为</w:t>
      </w:r>
      <w:r w:rsidRPr="003D22BD">
        <w:rPr>
          <w:color w:val="000000"/>
          <w:sz w:val="24"/>
        </w:rPr>
        <w:t>-6.99%</w:t>
      </w:r>
      <w:r w:rsidRPr="003D22BD">
        <w:rPr>
          <w:color w:val="000000"/>
          <w:sz w:val="24"/>
        </w:rPr>
        <w:t>，同期业绩比较基准收益率为</w:t>
      </w:r>
      <w:r w:rsidRPr="003D22BD">
        <w:rPr>
          <w:color w:val="000000"/>
          <w:sz w:val="24"/>
        </w:rPr>
        <w:t>-9.48%</w:t>
      </w:r>
      <w:r w:rsidRPr="003D22BD">
        <w:rPr>
          <w:color w:val="000000"/>
          <w:sz w:val="24"/>
        </w:rPr>
        <w:t>。</w:t>
      </w:r>
    </w:p>
    <w:p w:rsidR="001C36D8" w:rsidRPr="00E43B0B" w:rsidRDefault="001C36D8" w:rsidP="00D3705B">
      <w:pPr>
        <w:tabs>
          <w:tab w:val="left" w:pos="1800"/>
        </w:tabs>
        <w:spacing w:line="288" w:lineRule="auto"/>
        <w:rPr>
          <w:color w:val="000000"/>
          <w:sz w:val="24"/>
        </w:rPr>
      </w:pP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4  </w:t>
      </w:r>
      <w:r w:rsidRPr="00272E0C">
        <w:rPr>
          <w:rFonts w:ascii="宋体" w:hAnsi="宋体" w:cs="Arial" w:hint="eastAsia"/>
          <w:color w:val="000000"/>
          <w:kern w:val="0"/>
          <w:sz w:val="24"/>
          <w:szCs w:val="24"/>
        </w:rPr>
        <w:t>管理人报告</w:t>
      </w:r>
    </w:p>
    <w:p w:rsidR="005C6DF3" w:rsidRPr="0078105B" w:rsidRDefault="001C36D8" w:rsidP="005C6DF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4.1 </w:t>
      </w:r>
      <w:r w:rsidRPr="00272E0C">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5C6DF3" w:rsidRPr="0078105B" w:rsidTr="00B7074C">
        <w:trPr>
          <w:cantSplit/>
        </w:trPr>
        <w:tc>
          <w:tcPr>
            <w:tcW w:w="567"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5C6DF3" w:rsidRPr="0078105B" w:rsidTr="00B7074C">
        <w:trPr>
          <w:cantSplit/>
        </w:trPr>
        <w:tc>
          <w:tcPr>
            <w:tcW w:w="567"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2835" w:type="dxa"/>
            <w:vMerge/>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851" w:type="dxa"/>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2977"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r>
      <w:tr w:rsidR="00317CD3">
        <w:tc>
          <w:tcPr>
            <w:tcW w:w="0" w:type="auto"/>
            <w:vAlign w:val="center"/>
          </w:tcPr>
          <w:p w:rsidR="00317CD3" w:rsidRDefault="00761158">
            <w:pPr>
              <w:jc w:val="center"/>
            </w:pPr>
            <w:r>
              <w:rPr>
                <w:color w:val="000000"/>
                <w:sz w:val="24"/>
              </w:rPr>
              <w:t>成曦</w:t>
            </w:r>
          </w:p>
        </w:tc>
        <w:tc>
          <w:tcPr>
            <w:tcW w:w="0" w:type="auto"/>
            <w:vAlign w:val="center"/>
          </w:tcPr>
          <w:p w:rsidR="00317CD3" w:rsidRDefault="00761158">
            <w:pPr>
              <w:jc w:val="left"/>
            </w:pPr>
            <w:r>
              <w:rPr>
                <w:color w:val="000000"/>
                <w:sz w:val="24"/>
              </w:rPr>
              <w:t>本基金的基金经理、易方达银行指数分级证券投资基金的基金经理、易方达创业板交易型开放式指数证券投资基金联接基金的基金经理、易方达深证</w:t>
            </w:r>
            <w:r>
              <w:rPr>
                <w:color w:val="000000"/>
                <w:sz w:val="24"/>
              </w:rPr>
              <w:t>100</w:t>
            </w:r>
            <w:r>
              <w:rPr>
                <w:color w:val="000000"/>
                <w:sz w:val="24"/>
              </w:rPr>
              <w:t>交易型开放式指数基金的基金经理、易方达创业板交易型开放式指数证券投资基金的基金经理、易方达中小板指数证券投资基金（</w:t>
            </w:r>
            <w:r>
              <w:rPr>
                <w:color w:val="000000"/>
                <w:sz w:val="24"/>
              </w:rPr>
              <w:t>LOF</w:t>
            </w:r>
            <w:r>
              <w:rPr>
                <w:color w:val="000000"/>
                <w:sz w:val="24"/>
              </w:rPr>
              <w:t>）（原易方达中小板指数分级证券投资基金）的基金经理、易方达深证</w:t>
            </w:r>
            <w:r>
              <w:rPr>
                <w:color w:val="000000"/>
                <w:sz w:val="24"/>
              </w:rPr>
              <w:t>100</w:t>
            </w:r>
            <w:r>
              <w:rPr>
                <w:color w:val="000000"/>
                <w:sz w:val="24"/>
              </w:rPr>
              <w:t>交易型开放式指数证券投资基金联接基金的基金经理、易方达并购重组指数分级证券投资基金的基金经理、易方达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股国际通交易型开放式指数证券投资基金的基金经理、易方达恒生中国企业交易型开</w:t>
            </w:r>
            <w:r>
              <w:rPr>
                <w:color w:val="000000"/>
                <w:sz w:val="24"/>
              </w:rPr>
              <w:t>放式指数证券投资基金的基金经理、易方达纳斯达克</w:t>
            </w:r>
            <w:r>
              <w:rPr>
                <w:color w:val="000000"/>
                <w:sz w:val="24"/>
              </w:rPr>
              <w:t>100</w:t>
            </w:r>
            <w:r>
              <w:rPr>
                <w:color w:val="000000"/>
                <w:sz w:val="24"/>
              </w:rPr>
              <w:t>指数证券投资基金（</w:t>
            </w:r>
            <w:r>
              <w:rPr>
                <w:color w:val="000000"/>
                <w:sz w:val="24"/>
              </w:rPr>
              <w:t>LOF</w:t>
            </w:r>
            <w:r>
              <w:rPr>
                <w:color w:val="000000"/>
                <w:sz w:val="24"/>
              </w:rPr>
              <w:t>）的基金经理、易方达原油证券投资基金（</w:t>
            </w:r>
            <w:r>
              <w:rPr>
                <w:color w:val="000000"/>
                <w:sz w:val="24"/>
              </w:rPr>
              <w:t>QDII</w:t>
            </w:r>
            <w:r>
              <w:rPr>
                <w:color w:val="000000"/>
                <w:sz w:val="24"/>
              </w:rPr>
              <w:t>）的基金经理、易方达恒生中国企业交易型开放式指数证券投资基金联接基金的基金经理、易方达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股国际通交易型开放式指数证券投资基金发起式联接基金的基金经理、易方达上证</w:t>
            </w:r>
            <w:r>
              <w:rPr>
                <w:color w:val="000000"/>
                <w:sz w:val="24"/>
              </w:rPr>
              <w:t>50</w:t>
            </w:r>
            <w:r>
              <w:rPr>
                <w:color w:val="000000"/>
                <w:sz w:val="24"/>
              </w:rPr>
              <w:t>交易型开放式指数证券投资基金的基金经理、易方达上证</w:t>
            </w:r>
            <w:r>
              <w:rPr>
                <w:color w:val="000000"/>
                <w:sz w:val="24"/>
              </w:rPr>
              <w:t>50</w:t>
            </w:r>
            <w:r>
              <w:rPr>
                <w:color w:val="000000"/>
                <w:sz w:val="24"/>
              </w:rPr>
              <w:t>交易型开放式指数证券投资基金发起式联接基金的基金经理、易方达中证香港证券投资主题交易型开放式指数证券投资基金的基金经理</w:t>
            </w:r>
          </w:p>
        </w:tc>
        <w:tc>
          <w:tcPr>
            <w:tcW w:w="0" w:type="auto"/>
            <w:vAlign w:val="center"/>
          </w:tcPr>
          <w:p w:rsidR="00317CD3" w:rsidRDefault="00761158">
            <w:pPr>
              <w:jc w:val="center"/>
            </w:pPr>
            <w:r>
              <w:rPr>
                <w:color w:val="000000"/>
                <w:sz w:val="24"/>
              </w:rPr>
              <w:t>2016-05-07</w:t>
            </w:r>
          </w:p>
        </w:tc>
        <w:tc>
          <w:tcPr>
            <w:tcW w:w="0" w:type="auto"/>
            <w:vAlign w:val="center"/>
          </w:tcPr>
          <w:p w:rsidR="00317CD3" w:rsidRDefault="00761158">
            <w:pPr>
              <w:jc w:val="center"/>
            </w:pPr>
            <w:r>
              <w:rPr>
                <w:color w:val="000000"/>
                <w:sz w:val="24"/>
              </w:rPr>
              <w:t>-</w:t>
            </w:r>
          </w:p>
        </w:tc>
        <w:tc>
          <w:tcPr>
            <w:tcW w:w="0" w:type="auto"/>
            <w:vAlign w:val="center"/>
          </w:tcPr>
          <w:p w:rsidR="00317CD3" w:rsidRDefault="00761158">
            <w:pPr>
              <w:jc w:val="center"/>
            </w:pPr>
            <w:r>
              <w:rPr>
                <w:color w:val="000000"/>
                <w:sz w:val="24"/>
              </w:rPr>
              <w:t>12</w:t>
            </w:r>
            <w:r>
              <w:rPr>
                <w:color w:val="000000"/>
                <w:sz w:val="24"/>
              </w:rPr>
              <w:t>年</w:t>
            </w:r>
          </w:p>
        </w:tc>
        <w:tc>
          <w:tcPr>
            <w:tcW w:w="0" w:type="auto"/>
            <w:vAlign w:val="center"/>
          </w:tcPr>
          <w:p w:rsidR="00317CD3" w:rsidRDefault="00761158">
            <w:r>
              <w:rPr>
                <w:color w:val="000000"/>
                <w:sz w:val="24"/>
              </w:rPr>
              <w:t>硕士研</w:t>
            </w:r>
            <w:r>
              <w:rPr>
                <w:color w:val="000000"/>
                <w:sz w:val="24"/>
              </w:rPr>
              <w:t>究生，具有基金从业资格。曾任华泰联合证券资产管理部研究员，易方达基金管理有限公司集中交易室交易员、指数与量化投资部指数基金运作专员、基金经理助理、易方达深证成指交易型开放式指数证券投资基金基金经理、易方达深证成指交易型开放式指数证券投资基金联接基金基金经理。</w:t>
            </w:r>
          </w:p>
        </w:tc>
      </w:tr>
      <w:tr w:rsidR="00317CD3">
        <w:tc>
          <w:tcPr>
            <w:tcW w:w="0" w:type="auto"/>
            <w:vAlign w:val="center"/>
          </w:tcPr>
          <w:p w:rsidR="00317CD3" w:rsidRDefault="00761158">
            <w:pPr>
              <w:jc w:val="center"/>
            </w:pPr>
            <w:r>
              <w:rPr>
                <w:color w:val="000000"/>
                <w:sz w:val="24"/>
              </w:rPr>
              <w:t>刘树荣</w:t>
            </w:r>
          </w:p>
        </w:tc>
        <w:tc>
          <w:tcPr>
            <w:tcW w:w="0" w:type="auto"/>
            <w:vAlign w:val="center"/>
          </w:tcPr>
          <w:p w:rsidR="00317CD3" w:rsidRDefault="00761158">
            <w:pPr>
              <w:jc w:val="left"/>
            </w:pPr>
            <w:r>
              <w:rPr>
                <w:color w:val="000000"/>
                <w:sz w:val="24"/>
              </w:rPr>
              <w:t>本基金的基金经理、易方达并购重组指数分级证券投资基金的基金经理、易方达银行指数分级证券投资基金的基金经理、易方达深证</w:t>
            </w:r>
            <w:r>
              <w:rPr>
                <w:color w:val="000000"/>
                <w:sz w:val="24"/>
              </w:rPr>
              <w:t>100</w:t>
            </w:r>
            <w:r>
              <w:rPr>
                <w:color w:val="000000"/>
                <w:sz w:val="24"/>
              </w:rPr>
              <w:t>交易型开放式指数证券投资基金联接基金的基金经理、易方达中小板指数证券投资基金（</w:t>
            </w:r>
            <w:r>
              <w:rPr>
                <w:color w:val="000000"/>
                <w:sz w:val="24"/>
              </w:rPr>
              <w:t>LOF</w:t>
            </w:r>
            <w:r>
              <w:rPr>
                <w:color w:val="000000"/>
                <w:sz w:val="24"/>
              </w:rPr>
              <w:t>）（原易方达中小板指数分级证券投资基金）的基金经理、易方达创业板交易型开放式指数证券投资基金的基金经理、易方达深证</w:t>
            </w:r>
            <w:r>
              <w:rPr>
                <w:color w:val="000000"/>
                <w:sz w:val="24"/>
              </w:rPr>
              <w:t>100</w:t>
            </w:r>
            <w:r>
              <w:rPr>
                <w:color w:val="000000"/>
                <w:sz w:val="24"/>
              </w:rPr>
              <w:t>交易型开放式指数基金的基金经理、易方达创业板交易型开放式指数证券投资基金联接基金的基金经理、易方达香港恒生综合小型股指数证券投资基金（</w:t>
            </w:r>
            <w:r>
              <w:rPr>
                <w:color w:val="000000"/>
                <w:sz w:val="24"/>
              </w:rPr>
              <w:t>LOF</w:t>
            </w:r>
            <w:r>
              <w:rPr>
                <w:color w:val="000000"/>
                <w:sz w:val="24"/>
              </w:rPr>
              <w:t>）的基金经理、易方达上证中盘交易型开放式指数证</w:t>
            </w:r>
            <w:r>
              <w:rPr>
                <w:color w:val="000000"/>
                <w:sz w:val="24"/>
              </w:rPr>
              <w:t>券投资基金联接基金的基金经理、易方达标普</w:t>
            </w:r>
            <w:r>
              <w:rPr>
                <w:color w:val="000000"/>
                <w:sz w:val="24"/>
              </w:rPr>
              <w:t>500</w:t>
            </w:r>
            <w:r>
              <w:rPr>
                <w:color w:val="000000"/>
                <w:sz w:val="24"/>
              </w:rPr>
              <w:t>指数证券投资基金（</w:t>
            </w:r>
            <w:r>
              <w:rPr>
                <w:color w:val="000000"/>
                <w:sz w:val="24"/>
              </w:rPr>
              <w:t>LOF</w:t>
            </w:r>
            <w:r>
              <w:rPr>
                <w:color w:val="000000"/>
                <w:sz w:val="24"/>
              </w:rPr>
              <w:t>）的基金经理、易方达标普医疗保健指数证券投资基金（</w:t>
            </w:r>
            <w:r>
              <w:rPr>
                <w:color w:val="000000"/>
                <w:sz w:val="24"/>
              </w:rPr>
              <w:t>LOF</w:t>
            </w:r>
            <w:r>
              <w:rPr>
                <w:color w:val="000000"/>
                <w:sz w:val="24"/>
              </w:rPr>
              <w:t>）的基金经理、易方达上证中盘交易型开放式指数证券投资基金的基金经理、易方达标普信息科技指数证券投资基金（</w:t>
            </w:r>
            <w:r>
              <w:rPr>
                <w:color w:val="000000"/>
                <w:sz w:val="24"/>
              </w:rPr>
              <w:t>LOF</w:t>
            </w:r>
            <w:r>
              <w:rPr>
                <w:color w:val="000000"/>
                <w:sz w:val="24"/>
              </w:rPr>
              <w:t>）的基金经理、易方达标普生物科技指数证券投资基金（</w:t>
            </w:r>
            <w:r>
              <w:rPr>
                <w:color w:val="000000"/>
                <w:sz w:val="24"/>
              </w:rPr>
              <w:t>LOF</w:t>
            </w:r>
            <w:r>
              <w:rPr>
                <w:color w:val="000000"/>
                <w:sz w:val="24"/>
              </w:rPr>
              <w:t>）的基金经理、易方达中证</w:t>
            </w:r>
            <w:r>
              <w:rPr>
                <w:color w:val="000000"/>
                <w:sz w:val="24"/>
              </w:rPr>
              <w:t>800</w:t>
            </w:r>
            <w:r>
              <w:rPr>
                <w:color w:val="000000"/>
                <w:sz w:val="24"/>
              </w:rPr>
              <w:t>交易型开放式指数证券投资基金的基金经理、易方达中证</w:t>
            </w:r>
            <w:r>
              <w:rPr>
                <w:color w:val="000000"/>
                <w:sz w:val="24"/>
              </w:rPr>
              <w:t>800</w:t>
            </w:r>
            <w:r>
              <w:rPr>
                <w:color w:val="000000"/>
                <w:sz w:val="24"/>
              </w:rPr>
              <w:t>交易型开放式指数证券投资基金发起式联接基金的基金经理、易方达中证国企一带一路交易型开放式指数证券投资基金的基金经理、易方达中证国企一带</w:t>
            </w:r>
            <w:r>
              <w:rPr>
                <w:color w:val="000000"/>
                <w:sz w:val="24"/>
              </w:rPr>
              <w:t>一路交易型开放式指数证券投资基金联接基金的基金经理</w:t>
            </w:r>
          </w:p>
        </w:tc>
        <w:tc>
          <w:tcPr>
            <w:tcW w:w="0" w:type="auto"/>
            <w:vAlign w:val="center"/>
          </w:tcPr>
          <w:p w:rsidR="00317CD3" w:rsidRDefault="00761158">
            <w:pPr>
              <w:jc w:val="center"/>
            </w:pPr>
            <w:r>
              <w:rPr>
                <w:color w:val="000000"/>
                <w:sz w:val="24"/>
              </w:rPr>
              <w:t>2017-07-18</w:t>
            </w:r>
          </w:p>
        </w:tc>
        <w:tc>
          <w:tcPr>
            <w:tcW w:w="0" w:type="auto"/>
            <w:vAlign w:val="center"/>
          </w:tcPr>
          <w:p w:rsidR="00317CD3" w:rsidRDefault="00761158">
            <w:pPr>
              <w:jc w:val="center"/>
            </w:pPr>
            <w:r>
              <w:rPr>
                <w:color w:val="000000"/>
                <w:sz w:val="24"/>
              </w:rPr>
              <w:t>-</w:t>
            </w:r>
          </w:p>
        </w:tc>
        <w:tc>
          <w:tcPr>
            <w:tcW w:w="0" w:type="auto"/>
            <w:vAlign w:val="center"/>
          </w:tcPr>
          <w:p w:rsidR="00317CD3" w:rsidRDefault="00761158">
            <w:pPr>
              <w:jc w:val="center"/>
            </w:pPr>
            <w:r>
              <w:rPr>
                <w:color w:val="000000"/>
                <w:sz w:val="24"/>
              </w:rPr>
              <w:t>13</w:t>
            </w:r>
            <w:r>
              <w:rPr>
                <w:color w:val="000000"/>
                <w:sz w:val="24"/>
              </w:rPr>
              <w:t>年</w:t>
            </w:r>
          </w:p>
        </w:tc>
        <w:tc>
          <w:tcPr>
            <w:tcW w:w="0" w:type="auto"/>
            <w:vAlign w:val="center"/>
          </w:tcPr>
          <w:p w:rsidR="00317CD3" w:rsidRDefault="00761158">
            <w:r>
              <w:rPr>
                <w:color w:val="000000"/>
                <w:sz w:val="24"/>
              </w:rPr>
              <w:t>硕士研究生，具有基金从业资格。曾任招商银行资产托管部基金会计，易方达基金管理有限公司核算部基金核算专员、指数与量化投资部运作支持专员、基金经理助理、易方达深证成指交易型开放式指数证券投资基金基金经理、易方达深证成指交易型开放式指数证券投资基金联接基金基金经理。</w:t>
            </w:r>
          </w:p>
        </w:tc>
      </w:tr>
    </w:tbl>
    <w:p w:rsidR="00317CD3" w:rsidRDefault="00761158">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w:t>
      </w:r>
      <w:r>
        <w:rPr>
          <w:color w:val="000000"/>
          <w:sz w:val="24"/>
        </w:rPr>
        <w:t>据公司决定确定的聘任日期和解聘日期。</w:t>
      </w:r>
    </w:p>
    <w:p w:rsidR="00CB041A" w:rsidRPr="00232B03" w:rsidRDefault="005C6DF3" w:rsidP="005C6DF3">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1C36D8" w:rsidRPr="00272E0C" w:rsidRDefault="001C36D8" w:rsidP="00CB041A">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4.2</w:t>
      </w:r>
      <w:r w:rsidRPr="00272E0C">
        <w:rPr>
          <w:rFonts w:ascii="宋体" w:hAnsi="宋体" w:hint="eastAsia"/>
          <w:b/>
          <w:bCs/>
          <w:color w:val="000000"/>
          <w:sz w:val="24"/>
        </w:rPr>
        <w:t>管理人对报告期内本基金运作遵规守信情况的说明</w:t>
      </w:r>
    </w:p>
    <w:p w:rsidR="001C36D8" w:rsidRPr="00E43B0B" w:rsidRDefault="001C36D8" w:rsidP="00E43B0B">
      <w:pPr>
        <w:spacing w:line="360" w:lineRule="auto"/>
        <w:ind w:firstLineChars="200" w:firstLine="480"/>
        <w:rPr>
          <w:color w:val="000000"/>
          <w:sz w:val="24"/>
        </w:rPr>
      </w:pPr>
      <w:r w:rsidRPr="003D22BD">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4.3 </w:t>
      </w:r>
      <w:r w:rsidRPr="00272E0C">
        <w:rPr>
          <w:rFonts w:ascii="宋体" w:hAnsi="宋体" w:cs="Arial" w:hint="eastAsia"/>
          <w:b/>
          <w:color w:val="000000"/>
          <w:kern w:val="0"/>
          <w:sz w:val="24"/>
        </w:rPr>
        <w:t>公平交易专项说明</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4.3.1</w:t>
        </w:r>
      </w:smartTag>
      <w:r w:rsidRPr="00272E0C">
        <w:rPr>
          <w:rFonts w:ascii="宋体" w:hAnsi="宋体" w:hint="eastAsia"/>
          <w:sz w:val="24"/>
        </w:rPr>
        <w:t>公平交易制度的执行情况</w:t>
      </w:r>
    </w:p>
    <w:p w:rsidR="001C36D8" w:rsidRPr="003D22BD" w:rsidRDefault="001C36D8" w:rsidP="0015779C">
      <w:pPr>
        <w:spacing w:line="360" w:lineRule="auto"/>
        <w:ind w:firstLineChars="200" w:firstLine="480"/>
        <w:rPr>
          <w:color w:val="000000"/>
          <w:sz w:val="24"/>
        </w:rPr>
      </w:pPr>
      <w:r w:rsidRPr="003D22BD">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3D22BD">
        <w:rPr>
          <w:color w:val="000000"/>
          <w:sz w:val="24"/>
        </w:rPr>
        <w:t>“</w:t>
      </w:r>
      <w:r w:rsidRPr="003D22BD">
        <w:rPr>
          <w:color w:val="000000"/>
          <w:sz w:val="24"/>
        </w:rPr>
        <w:t>时间优先、价格优先</w:t>
      </w:r>
      <w:r w:rsidRPr="003D22BD">
        <w:rPr>
          <w:color w:val="000000"/>
          <w:sz w:val="24"/>
        </w:rPr>
        <w:t>”</w:t>
      </w:r>
      <w:r w:rsidRPr="003D22BD">
        <w:rPr>
          <w:color w:val="000000"/>
          <w:sz w:val="24"/>
        </w:rPr>
        <w:t>作为执行指令的基本原则，通过投资交易系统中的公平交易模块，以尽可能确保公平对待各投资组合。本报告期内，公平交易制度总体执行情况良好。</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4.3.2</w:t>
        </w:r>
      </w:smartTag>
      <w:r w:rsidRPr="00272E0C">
        <w:rPr>
          <w:rFonts w:ascii="宋体" w:hAnsi="宋体" w:hint="eastAsia"/>
          <w:sz w:val="24"/>
        </w:rPr>
        <w:t>异常交易行为的专项说明</w:t>
      </w:r>
    </w:p>
    <w:p w:rsidR="00317CD3" w:rsidRDefault="00761158">
      <w:pPr>
        <w:spacing w:line="360" w:lineRule="auto"/>
        <w:ind w:firstLineChars="200" w:firstLine="480"/>
        <w:rPr>
          <w:color w:val="000000"/>
          <w:sz w:val="24"/>
        </w:rPr>
      </w:pPr>
      <w:r>
        <w:rPr>
          <w:color w:val="000000"/>
          <w:sz w:val="24"/>
        </w:rPr>
        <w:t>本报告期内，公司旗下所有投资组合参与的交易所公开</w:t>
      </w:r>
      <w:r>
        <w:rPr>
          <w:color w:val="000000"/>
          <w:sz w:val="24"/>
        </w:rPr>
        <w:t>竞价交易中，同日反向交易成交较少的单边交易量超过该证券当日成交量的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1C36D8" w:rsidRPr="00E43B0B" w:rsidRDefault="001C36D8" w:rsidP="00E43B0B">
      <w:pPr>
        <w:spacing w:line="360" w:lineRule="auto"/>
        <w:ind w:firstLineChars="200" w:firstLine="480"/>
        <w:rPr>
          <w:color w:val="000000"/>
          <w:sz w:val="24"/>
        </w:rPr>
      </w:pPr>
      <w:r w:rsidRPr="003D22BD">
        <w:rPr>
          <w:color w:val="000000"/>
          <w:sz w:val="24"/>
        </w:rPr>
        <w:t>本报告期内，未发现本基金有可能导致不公平交易和利益输送的异常交易。</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4.4 </w:t>
      </w:r>
      <w:r w:rsidRPr="00272E0C">
        <w:rPr>
          <w:rFonts w:ascii="宋体" w:hAnsi="宋体" w:cs="Arial" w:hint="eastAsia"/>
          <w:b/>
          <w:color w:val="000000"/>
          <w:kern w:val="0"/>
          <w:sz w:val="24"/>
        </w:rPr>
        <w:t>报告期内基金的投资策略和业绩表现说明</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4.4.1</w:t>
        </w:r>
      </w:smartTag>
      <w:r w:rsidRPr="00272E0C">
        <w:rPr>
          <w:rFonts w:ascii="宋体" w:hAnsi="宋体" w:hint="eastAsia"/>
          <w:sz w:val="24"/>
        </w:rPr>
        <w:t>报告期内基金投资策略和运作分析</w:t>
      </w:r>
    </w:p>
    <w:p w:rsidR="00317CD3" w:rsidRDefault="00761158">
      <w:pPr>
        <w:spacing w:line="360" w:lineRule="auto"/>
        <w:ind w:firstLineChars="200" w:firstLine="480"/>
        <w:rPr>
          <w:color w:val="000000"/>
          <w:sz w:val="24"/>
        </w:rPr>
      </w:pPr>
      <w:r>
        <w:rPr>
          <w:color w:val="000000"/>
          <w:sz w:val="24"/>
        </w:rPr>
        <w:t>本基金跟踪的标的指数为中证万得生物科技指数，中证万得生物科技指数选取与生物科技相关业务关系密切的最具代表性的上市企业组成，属于新兴行业的代表指数之一。报告期内，本基金主要采取完全复制法的投资策略，即完全按照</w:t>
      </w:r>
      <w:r>
        <w:rPr>
          <w:color w:val="000000"/>
          <w:sz w:val="24"/>
        </w:rPr>
        <w:t>标的指数的成份股组成及其权重构建基金股票投资组合，并根据标的指数成份股及其权重的变动而进行相应调整。</w:t>
      </w:r>
    </w:p>
    <w:p w:rsidR="00317CD3" w:rsidRDefault="00761158">
      <w:pPr>
        <w:spacing w:line="360" w:lineRule="auto"/>
        <w:ind w:firstLineChars="200" w:firstLine="480"/>
        <w:rPr>
          <w:color w:val="000000"/>
          <w:sz w:val="24"/>
        </w:rPr>
      </w:pPr>
      <w:r>
        <w:rPr>
          <w:color w:val="000000"/>
          <w:sz w:val="24"/>
        </w:rPr>
        <w:t>生物科技板块弹性较大，板块表现受医药、科技类政策及市场情绪影响较大。</w:t>
      </w:r>
      <w:r>
        <w:rPr>
          <w:color w:val="000000"/>
          <w:sz w:val="24"/>
        </w:rPr>
        <w:t>2020</w:t>
      </w:r>
      <w:r>
        <w:rPr>
          <w:color w:val="000000"/>
          <w:sz w:val="24"/>
        </w:rPr>
        <w:t>年</w:t>
      </w:r>
      <w:r>
        <w:rPr>
          <w:color w:val="000000"/>
          <w:sz w:val="24"/>
        </w:rPr>
        <w:t>1</w:t>
      </w:r>
      <w:r>
        <w:rPr>
          <w:color w:val="000000"/>
          <w:sz w:val="24"/>
        </w:rPr>
        <w:t>季度，大盘走势震荡向下，中证万得生物科技指数逆势上涨。受新冠疫情在国内外爆发的影响，股票市场大幅震荡。疫情一方面影响着人们的生活和经济的发展，但另一方面也凸显了生物科技行业的重要性，生物科技类上市公司受到了市场的认可。本报告期内，中证万得生物科技指数上涨</w:t>
      </w:r>
      <w:r>
        <w:rPr>
          <w:color w:val="000000"/>
          <w:sz w:val="24"/>
        </w:rPr>
        <w:t>14.1%</w:t>
      </w:r>
      <w:r>
        <w:rPr>
          <w:color w:val="000000"/>
          <w:sz w:val="24"/>
        </w:rPr>
        <w:t>，沪深</w:t>
      </w:r>
      <w:r>
        <w:rPr>
          <w:color w:val="000000"/>
          <w:sz w:val="24"/>
        </w:rPr>
        <w:t>300</w:t>
      </w:r>
      <w:r>
        <w:rPr>
          <w:color w:val="000000"/>
          <w:sz w:val="24"/>
        </w:rPr>
        <w:t>指数下跌</w:t>
      </w:r>
      <w:r>
        <w:rPr>
          <w:color w:val="000000"/>
          <w:sz w:val="24"/>
        </w:rPr>
        <w:t>10.02%</w:t>
      </w:r>
      <w:r>
        <w:rPr>
          <w:color w:val="000000"/>
          <w:sz w:val="24"/>
        </w:rPr>
        <w:t>。</w:t>
      </w:r>
    </w:p>
    <w:p w:rsidR="001C36D8" w:rsidRPr="003D22BD" w:rsidRDefault="001C36D8" w:rsidP="0015779C">
      <w:pPr>
        <w:spacing w:line="360" w:lineRule="auto"/>
        <w:ind w:firstLineChars="200" w:firstLine="480"/>
        <w:rPr>
          <w:color w:val="000000"/>
          <w:sz w:val="24"/>
        </w:rPr>
      </w:pPr>
      <w:r w:rsidRPr="003D22BD">
        <w:rPr>
          <w:color w:val="000000"/>
          <w:sz w:val="24"/>
        </w:rPr>
        <w:t>基金运作层面，报告期内，本基金严守基金合同认真对待投资者申购、赎回以及成分股调整事项，保障基金的正常运作，基金跟踪误差以及日均偏离度等指标控制在合同规定范围之内。</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4.4.2</w:t>
        </w:r>
      </w:smartTag>
      <w:r w:rsidRPr="00272E0C">
        <w:rPr>
          <w:rFonts w:ascii="宋体" w:hAnsi="宋体" w:hint="eastAsia"/>
          <w:sz w:val="24"/>
        </w:rPr>
        <w:t>报告期内基金的业绩表现</w:t>
      </w:r>
    </w:p>
    <w:p w:rsidR="001C36D8" w:rsidRPr="00E43B0B" w:rsidRDefault="001C36D8" w:rsidP="00E43B0B">
      <w:pPr>
        <w:spacing w:line="360" w:lineRule="auto"/>
        <w:ind w:firstLineChars="200" w:firstLine="480"/>
        <w:rPr>
          <w:color w:val="000000"/>
          <w:sz w:val="24"/>
        </w:rPr>
      </w:pPr>
      <w:r w:rsidRPr="003D22BD">
        <w:rPr>
          <w:color w:val="000000"/>
          <w:sz w:val="24"/>
        </w:rPr>
        <w:t>截至报告期末，本基金份额净值为</w:t>
      </w:r>
      <w:r w:rsidRPr="003D22BD">
        <w:rPr>
          <w:color w:val="000000"/>
          <w:sz w:val="24"/>
        </w:rPr>
        <w:t>1.3490</w:t>
      </w:r>
      <w:r w:rsidRPr="003D22BD">
        <w:rPr>
          <w:color w:val="000000"/>
          <w:sz w:val="24"/>
        </w:rPr>
        <w:t>元，本报告期份额净值增长率为</w:t>
      </w:r>
      <w:r w:rsidRPr="003D22BD">
        <w:rPr>
          <w:color w:val="000000"/>
          <w:sz w:val="24"/>
        </w:rPr>
        <w:t>13.34%</w:t>
      </w:r>
      <w:r w:rsidRPr="003D22BD">
        <w:rPr>
          <w:color w:val="000000"/>
          <w:sz w:val="24"/>
        </w:rPr>
        <w:t>，同期业绩比较基准收益率为</w:t>
      </w:r>
      <w:r w:rsidRPr="003D22BD">
        <w:rPr>
          <w:color w:val="000000"/>
          <w:sz w:val="24"/>
        </w:rPr>
        <w:t>13.42%</w:t>
      </w:r>
      <w:r w:rsidRPr="003D22BD">
        <w:rPr>
          <w:color w:val="000000"/>
          <w:sz w:val="24"/>
        </w:rPr>
        <w:t>，日跟踪偏离度的均值为</w:t>
      </w:r>
      <w:r w:rsidRPr="003D22BD">
        <w:rPr>
          <w:color w:val="000000"/>
          <w:sz w:val="24"/>
        </w:rPr>
        <w:t>0.01%</w:t>
      </w:r>
      <w:r w:rsidRPr="003D22BD">
        <w:rPr>
          <w:color w:val="000000"/>
          <w:sz w:val="24"/>
        </w:rPr>
        <w:t>，年化跟踪误差</w:t>
      </w:r>
      <w:r w:rsidRPr="003D22BD">
        <w:rPr>
          <w:color w:val="000000"/>
          <w:sz w:val="24"/>
        </w:rPr>
        <w:t>0.27%</w:t>
      </w:r>
      <w:r w:rsidRPr="003D22BD">
        <w:rPr>
          <w:color w:val="000000"/>
          <w:sz w:val="24"/>
        </w:rPr>
        <w:t>，在合同规定的目标控制范围之内。</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5  </w:t>
      </w:r>
      <w:r w:rsidRPr="00272E0C">
        <w:rPr>
          <w:rFonts w:ascii="宋体" w:hAnsi="宋体" w:cs="Arial" w:hint="eastAsia"/>
          <w:color w:val="000000"/>
          <w:kern w:val="0"/>
          <w:sz w:val="24"/>
          <w:szCs w:val="24"/>
        </w:rPr>
        <w:t>投资组合报告</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5.1 </w:t>
      </w:r>
      <w:r w:rsidRPr="00272E0C">
        <w:rPr>
          <w:rFonts w:ascii="宋体" w:hAnsi="宋体" w:cs="Arial" w:hint="eastAsia"/>
          <w:b/>
          <w:color w:val="000000"/>
          <w:kern w:val="0"/>
          <w:sz w:val="24"/>
        </w:rPr>
        <w:t>报告期末基金资产组合情况</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
        <w:gridCol w:w="3283"/>
        <w:gridCol w:w="2977"/>
        <w:gridCol w:w="1843"/>
      </w:tblGrid>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序号</w:t>
            </w:r>
          </w:p>
        </w:tc>
        <w:tc>
          <w:tcPr>
            <w:tcW w:w="328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项目</w:t>
            </w:r>
          </w:p>
        </w:tc>
        <w:tc>
          <w:tcPr>
            <w:tcW w:w="2977"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金额</w:t>
            </w:r>
            <w:r w:rsidR="0015779C" w:rsidRPr="005B1E0B">
              <w:rPr>
                <w:color w:val="000000"/>
                <w:sz w:val="24"/>
              </w:rPr>
              <w:t>（元）</w:t>
            </w:r>
          </w:p>
        </w:tc>
        <w:tc>
          <w:tcPr>
            <w:tcW w:w="1843"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占基金总资产的比例</w:t>
            </w:r>
            <w:r w:rsidR="0015779C" w:rsidRPr="005B1E0B">
              <w:rPr>
                <w:color w:val="000000"/>
                <w:sz w:val="24"/>
              </w:rPr>
              <w:t>（</w:t>
            </w:r>
            <w:r w:rsidR="0015779C" w:rsidRPr="005B1E0B">
              <w:rPr>
                <w:color w:val="000000"/>
                <w:sz w:val="24"/>
              </w:rPr>
              <w:t>%</w:t>
            </w:r>
            <w:r w:rsidR="0015779C"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1</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权益投资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164,250,354.32</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94.00</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其中：股票</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164,250,354.32</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94.00</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2</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固定收益投资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其中：债券</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autoSpaceDE w:val="0"/>
              <w:autoSpaceDN w:val="0"/>
              <w:adjustRightInd w:val="0"/>
              <w:spacing w:before="29" w:line="360" w:lineRule="auto"/>
              <w:ind w:left="17"/>
              <w:jc w:val="left"/>
              <w:rPr>
                <w:color w:val="000000"/>
                <w:sz w:val="24"/>
              </w:rPr>
            </w:pPr>
            <w:r w:rsidRPr="005B1E0B">
              <w:rPr>
                <w:color w:val="000000"/>
                <w:sz w:val="24"/>
              </w:rPr>
              <w:t>资产支持证券</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tcPr>
          <w:p w:rsidR="001C36D8" w:rsidRPr="005B1E0B" w:rsidRDefault="001C36D8" w:rsidP="001A09F9">
            <w:pPr>
              <w:spacing w:before="29" w:line="360" w:lineRule="auto"/>
              <w:ind w:left="17"/>
              <w:jc w:val="center"/>
              <w:rPr>
                <w:color w:val="000000"/>
                <w:sz w:val="24"/>
              </w:rPr>
            </w:pPr>
            <w:r w:rsidRPr="005B1E0B">
              <w:rPr>
                <w:color w:val="000000"/>
                <w:sz w:val="24"/>
              </w:rPr>
              <w:t>3</w:t>
            </w:r>
          </w:p>
        </w:tc>
        <w:tc>
          <w:tcPr>
            <w:tcW w:w="3283" w:type="dxa"/>
          </w:tcPr>
          <w:p w:rsidR="001C36D8" w:rsidRPr="005B1E0B" w:rsidRDefault="001C36D8" w:rsidP="0015779C">
            <w:pPr>
              <w:spacing w:before="29" w:line="360" w:lineRule="auto"/>
              <w:ind w:leftChars="50" w:left="105"/>
              <w:rPr>
                <w:color w:val="000000"/>
                <w:sz w:val="24"/>
              </w:rPr>
            </w:pPr>
            <w:r w:rsidRPr="005B1E0B">
              <w:rPr>
                <w:color w:val="000000"/>
                <w:sz w:val="24"/>
              </w:rPr>
              <w:t>贵金属投资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4</w:t>
            </w:r>
          </w:p>
        </w:tc>
        <w:tc>
          <w:tcPr>
            <w:tcW w:w="3283" w:type="dxa"/>
            <w:vAlign w:val="center"/>
          </w:tcPr>
          <w:p w:rsidR="001C36D8" w:rsidRPr="005B1E0B" w:rsidRDefault="001C36D8" w:rsidP="001A09F9">
            <w:pPr>
              <w:spacing w:before="29" w:line="360" w:lineRule="auto"/>
              <w:ind w:left="17"/>
              <w:jc w:val="left"/>
              <w:rPr>
                <w:color w:val="000000"/>
                <w:sz w:val="24"/>
              </w:rPr>
            </w:pPr>
            <w:r w:rsidRPr="005B1E0B">
              <w:rPr>
                <w:color w:val="000000"/>
                <w:sz w:val="24"/>
              </w:rPr>
              <w:t>金融衍生品投资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5</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买入返售金融资产</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其中：买断式回购的买入返售金融资产</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6</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银行存款和结算备付金合计</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10,188,442.60</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5.83</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7</w:t>
            </w:r>
          </w:p>
        </w:tc>
        <w:tc>
          <w:tcPr>
            <w:tcW w:w="3283" w:type="dxa"/>
            <w:vAlign w:val="center"/>
          </w:tcPr>
          <w:p w:rsidR="001C36D8" w:rsidRPr="005B1E0B" w:rsidRDefault="001C36D8" w:rsidP="001A09F9">
            <w:pPr>
              <w:jc w:val="left"/>
              <w:rPr>
                <w:sz w:val="24"/>
              </w:rPr>
            </w:pPr>
            <w:r w:rsidRPr="005B1E0B">
              <w:rPr>
                <w:color w:val="000000"/>
                <w:sz w:val="24"/>
              </w:rPr>
              <w:t>其他资产</w:t>
            </w:r>
          </w:p>
        </w:tc>
        <w:tc>
          <w:tcPr>
            <w:tcW w:w="2977" w:type="dxa"/>
            <w:vAlign w:val="center"/>
          </w:tcPr>
          <w:p w:rsidR="001C36D8" w:rsidRPr="005B1E0B" w:rsidRDefault="001C36D8" w:rsidP="001A09F9">
            <w:pPr>
              <w:jc w:val="right"/>
              <w:rPr>
                <w:color w:val="000000"/>
                <w:sz w:val="24"/>
              </w:rPr>
            </w:pPr>
            <w:r w:rsidRPr="005B1E0B">
              <w:rPr>
                <w:color w:val="000000"/>
                <w:sz w:val="24"/>
              </w:rPr>
              <w:t>304,307.53</w:t>
            </w:r>
          </w:p>
        </w:tc>
        <w:tc>
          <w:tcPr>
            <w:tcW w:w="1843" w:type="dxa"/>
            <w:vAlign w:val="center"/>
          </w:tcPr>
          <w:p w:rsidR="001C36D8" w:rsidRPr="005B1E0B" w:rsidRDefault="001C36D8" w:rsidP="001A09F9">
            <w:pPr>
              <w:jc w:val="right"/>
              <w:rPr>
                <w:color w:val="000000"/>
                <w:sz w:val="24"/>
              </w:rPr>
            </w:pPr>
            <w:r w:rsidRPr="005B1E0B">
              <w:rPr>
                <w:color w:val="000000"/>
                <w:sz w:val="24"/>
              </w:rPr>
              <w:t>0.17</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8</w:t>
            </w:r>
          </w:p>
        </w:tc>
        <w:tc>
          <w:tcPr>
            <w:tcW w:w="3283" w:type="dxa"/>
            <w:vAlign w:val="center"/>
          </w:tcPr>
          <w:p w:rsidR="001C36D8" w:rsidRPr="005B1E0B" w:rsidRDefault="001C36D8" w:rsidP="001A09F9">
            <w:pPr>
              <w:jc w:val="left"/>
              <w:rPr>
                <w:sz w:val="24"/>
              </w:rPr>
            </w:pPr>
            <w:r w:rsidRPr="005B1E0B">
              <w:rPr>
                <w:color w:val="000000"/>
                <w:sz w:val="24"/>
              </w:rPr>
              <w:t>合计</w:t>
            </w:r>
          </w:p>
        </w:tc>
        <w:tc>
          <w:tcPr>
            <w:tcW w:w="2977" w:type="dxa"/>
            <w:vAlign w:val="center"/>
          </w:tcPr>
          <w:p w:rsidR="001C36D8" w:rsidRPr="005B1E0B" w:rsidRDefault="001C36D8" w:rsidP="001A09F9">
            <w:pPr>
              <w:jc w:val="right"/>
              <w:rPr>
                <w:color w:val="000000"/>
                <w:sz w:val="24"/>
              </w:rPr>
            </w:pPr>
            <w:r w:rsidRPr="005B1E0B">
              <w:rPr>
                <w:color w:val="000000"/>
                <w:sz w:val="24"/>
              </w:rPr>
              <w:t>174,743,104.45</w:t>
            </w:r>
          </w:p>
        </w:tc>
        <w:tc>
          <w:tcPr>
            <w:tcW w:w="1843" w:type="dxa"/>
            <w:vAlign w:val="center"/>
          </w:tcPr>
          <w:p w:rsidR="001C36D8" w:rsidRPr="005B1E0B" w:rsidRDefault="001C36D8" w:rsidP="001A09F9">
            <w:pPr>
              <w:jc w:val="right"/>
              <w:rPr>
                <w:color w:val="000000"/>
                <w:sz w:val="24"/>
              </w:rPr>
            </w:pPr>
            <w:r w:rsidRPr="005B1E0B">
              <w:rPr>
                <w:color w:val="000000"/>
                <w:sz w:val="24"/>
              </w:rPr>
              <w:t>100.00</w:t>
            </w:r>
          </w:p>
        </w:tc>
      </w:tr>
    </w:tbl>
    <w:p w:rsidR="00737AB0" w:rsidRPr="00220C32" w:rsidRDefault="00737AB0" w:rsidP="00737AB0">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0C32">
        <w:rPr>
          <w:rFonts w:asciiTheme="minorEastAsia" w:eastAsiaTheme="minorEastAsia" w:hAnsiTheme="minorEastAsia"/>
          <w:b/>
          <w:bCs/>
          <w:color w:val="000000" w:themeColor="text1"/>
          <w:kern w:val="0"/>
          <w:sz w:val="24"/>
        </w:rPr>
        <w:t xml:space="preserve">5.2 </w:t>
      </w:r>
      <w:r w:rsidRPr="00220C32">
        <w:rPr>
          <w:rFonts w:asciiTheme="minorEastAsia" w:eastAsiaTheme="minorEastAsia" w:hAnsiTheme="minorEastAsia" w:hint="eastAsia"/>
          <w:b/>
          <w:bCs/>
          <w:color w:val="000000" w:themeColor="text1"/>
          <w:kern w:val="0"/>
          <w:sz w:val="24"/>
        </w:rPr>
        <w:t>报告期末按行业分类的股票投资组合</w:t>
      </w:r>
    </w:p>
    <w:p w:rsidR="00737AB0" w:rsidRPr="000D7474" w:rsidRDefault="00737AB0" w:rsidP="00737AB0">
      <w:pPr>
        <w:rPr>
          <w:rFonts w:asciiTheme="minorEastAsia" w:eastAsiaTheme="minorEastAsia" w:hAnsiTheme="minorEastAsia"/>
          <w:b/>
          <w:bCs/>
          <w:color w:val="000000" w:themeColor="text1"/>
          <w:kern w:val="0"/>
          <w:sz w:val="24"/>
        </w:rPr>
      </w:pPr>
      <w:r w:rsidRPr="000D7474">
        <w:rPr>
          <w:rFonts w:asciiTheme="minorEastAsia" w:eastAsiaTheme="minorEastAsia" w:hAnsiTheme="minorEastAsia" w:hint="eastAsia"/>
          <w:b/>
          <w:bCs/>
          <w:color w:val="000000" w:themeColor="text1"/>
          <w:kern w:val="0"/>
          <w:sz w:val="24"/>
        </w:rPr>
        <w:t>5.2.1报告期末按行业分类的境内股票投资组合</w:t>
      </w:r>
    </w:p>
    <w:tbl>
      <w:tblPr>
        <w:tblW w:w="89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5"/>
        <w:gridCol w:w="3691"/>
        <w:gridCol w:w="2852"/>
        <w:gridCol w:w="1648"/>
      </w:tblGrid>
      <w:tr w:rsidR="00737AB0" w:rsidRPr="008C2A4F" w:rsidTr="00737AB0">
        <w:trPr>
          <w:trHeight w:val="390"/>
        </w:trPr>
        <w:tc>
          <w:tcPr>
            <w:tcW w:w="785" w:type="dxa"/>
            <w:tcBorders>
              <w:top w:val="single" w:sz="4" w:space="0" w:color="000000"/>
              <w:left w:val="single" w:sz="4" w:space="0" w:color="000000"/>
              <w:bottom w:val="single" w:sz="4" w:space="0" w:color="000000"/>
              <w:right w:val="single" w:sz="4" w:space="0" w:color="000000"/>
            </w:tcBorders>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占基金资产净值比例（％）</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autoSpaceDE w:val="0"/>
              <w:autoSpaceDN w:val="0"/>
              <w:adjustRightInd w:val="0"/>
              <w:spacing w:before="29" w:line="360" w:lineRule="auto"/>
              <w:ind w:left="15"/>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utoSpaceDE w:val="0"/>
              <w:autoSpaceDN w:val="0"/>
              <w:adjustRightInd w:val="0"/>
              <w:spacing w:before="29" w:line="360" w:lineRule="auto"/>
              <w:ind w:left="15"/>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p w:rsidR="00737AB0" w:rsidRPr="008C2A4F" w:rsidRDefault="00737AB0" w:rsidP="00D94F96">
            <w:pPr>
              <w:jc w:val="right"/>
              <w:rPr>
                <w:rFonts w:eastAsiaTheme="minorEastAsia"/>
                <w:color w:val="000000" w:themeColor="text1"/>
                <w:kern w:val="0"/>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p w:rsidR="00737AB0" w:rsidRPr="008C2A4F" w:rsidRDefault="00737AB0" w:rsidP="00D94F96">
            <w:pPr>
              <w:jc w:val="right"/>
              <w:rPr>
                <w:rFonts w:eastAsiaTheme="minorEastAsia"/>
                <w:color w:val="000000" w:themeColor="text1"/>
                <w:kern w:val="0"/>
                <w:sz w:val="24"/>
              </w:rPr>
            </w:pP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127,117,157.63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73.07</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19,147.31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0.01</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22,294,634.38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12.82</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14,819,415.00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8.52</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164,250,354.32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94.42</w:t>
            </w:r>
          </w:p>
        </w:tc>
      </w:tr>
    </w:tbl>
    <w:p w:rsidR="000F2837" w:rsidRPr="000F2837" w:rsidRDefault="001C36D8" w:rsidP="000F2837">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5.3</w:t>
      </w:r>
      <w:r w:rsidR="00291A74" w:rsidRPr="00291A74">
        <w:rPr>
          <w:rFonts w:ascii="宋体" w:hAnsi="宋体" w:cs="Arial" w:hint="eastAsia"/>
          <w:b/>
          <w:color w:val="000000"/>
          <w:kern w:val="0"/>
          <w:sz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0F2837" w:rsidRPr="00264E55" w:rsidTr="002406DE">
        <w:tc>
          <w:tcPr>
            <w:tcW w:w="851"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序号</w:t>
            </w:r>
          </w:p>
        </w:tc>
        <w:tc>
          <w:tcPr>
            <w:tcW w:w="1276"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股票代码</w:t>
            </w:r>
          </w:p>
        </w:tc>
        <w:tc>
          <w:tcPr>
            <w:tcW w:w="1418"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股票名称</w:t>
            </w:r>
          </w:p>
        </w:tc>
        <w:tc>
          <w:tcPr>
            <w:tcW w:w="1701"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数量（股）</w:t>
            </w:r>
          </w:p>
        </w:tc>
        <w:tc>
          <w:tcPr>
            <w:tcW w:w="1984" w:type="dxa"/>
            <w:vAlign w:val="center"/>
          </w:tcPr>
          <w:p w:rsidR="000F2837" w:rsidRPr="00232B03" w:rsidRDefault="000F2837" w:rsidP="002406DE">
            <w:pPr>
              <w:autoSpaceDE w:val="0"/>
              <w:autoSpaceDN w:val="0"/>
              <w:adjustRightInd w:val="0"/>
              <w:spacing w:before="29" w:line="360" w:lineRule="auto"/>
              <w:ind w:left="17"/>
              <w:jc w:val="center"/>
              <w:rPr>
                <w:color w:val="000000"/>
                <w:kern w:val="0"/>
                <w:sz w:val="24"/>
              </w:rPr>
            </w:pPr>
            <w:r w:rsidRPr="00232B03">
              <w:rPr>
                <w:color w:val="000000"/>
                <w:kern w:val="0"/>
                <w:sz w:val="24"/>
              </w:rPr>
              <w:t>公允价值（元）</w:t>
            </w:r>
          </w:p>
        </w:tc>
        <w:tc>
          <w:tcPr>
            <w:tcW w:w="1559"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占基金资产净值比例（％）</w:t>
            </w:r>
          </w:p>
        </w:tc>
      </w:tr>
      <w:tr w:rsidR="00317CD3">
        <w:tc>
          <w:tcPr>
            <w:tcW w:w="0" w:type="auto"/>
            <w:vAlign w:val="center"/>
          </w:tcPr>
          <w:p w:rsidR="00317CD3" w:rsidRDefault="00761158">
            <w:pPr>
              <w:jc w:val="center"/>
            </w:pPr>
            <w:r>
              <w:rPr>
                <w:color w:val="000000"/>
                <w:kern w:val="0"/>
                <w:sz w:val="24"/>
              </w:rPr>
              <w:t>1</w:t>
            </w:r>
          </w:p>
        </w:tc>
        <w:tc>
          <w:tcPr>
            <w:tcW w:w="0" w:type="auto"/>
            <w:vAlign w:val="center"/>
          </w:tcPr>
          <w:p w:rsidR="00317CD3" w:rsidRDefault="00761158">
            <w:pPr>
              <w:jc w:val="center"/>
            </w:pPr>
            <w:r>
              <w:rPr>
                <w:color w:val="000000"/>
                <w:kern w:val="0"/>
                <w:sz w:val="24"/>
              </w:rPr>
              <w:t>000661</w:t>
            </w:r>
          </w:p>
        </w:tc>
        <w:tc>
          <w:tcPr>
            <w:tcW w:w="0" w:type="auto"/>
            <w:vAlign w:val="center"/>
          </w:tcPr>
          <w:p w:rsidR="00317CD3" w:rsidRDefault="00761158">
            <w:pPr>
              <w:jc w:val="center"/>
            </w:pPr>
            <w:r>
              <w:rPr>
                <w:color w:val="000000"/>
                <w:kern w:val="0"/>
                <w:sz w:val="24"/>
              </w:rPr>
              <w:t>长春高新</w:t>
            </w:r>
          </w:p>
        </w:tc>
        <w:tc>
          <w:tcPr>
            <w:tcW w:w="0" w:type="auto"/>
            <w:vAlign w:val="center"/>
          </w:tcPr>
          <w:p w:rsidR="00317CD3" w:rsidRDefault="00761158">
            <w:pPr>
              <w:jc w:val="right"/>
            </w:pPr>
            <w:r>
              <w:rPr>
                <w:color w:val="000000"/>
                <w:kern w:val="0"/>
                <w:sz w:val="24"/>
              </w:rPr>
              <w:t>33,506</w:t>
            </w:r>
          </w:p>
        </w:tc>
        <w:tc>
          <w:tcPr>
            <w:tcW w:w="0" w:type="auto"/>
            <w:vAlign w:val="center"/>
          </w:tcPr>
          <w:p w:rsidR="00317CD3" w:rsidRDefault="00761158">
            <w:pPr>
              <w:jc w:val="right"/>
            </w:pPr>
            <w:r>
              <w:rPr>
                <w:color w:val="000000"/>
                <w:kern w:val="0"/>
                <w:sz w:val="24"/>
              </w:rPr>
              <w:t>18,361,288.00</w:t>
            </w:r>
          </w:p>
        </w:tc>
        <w:tc>
          <w:tcPr>
            <w:tcW w:w="0" w:type="auto"/>
            <w:vAlign w:val="center"/>
          </w:tcPr>
          <w:p w:rsidR="00317CD3" w:rsidRDefault="00761158">
            <w:pPr>
              <w:jc w:val="right"/>
            </w:pPr>
            <w:r>
              <w:rPr>
                <w:color w:val="000000"/>
                <w:kern w:val="0"/>
                <w:sz w:val="24"/>
              </w:rPr>
              <w:t>10.56</w:t>
            </w:r>
          </w:p>
        </w:tc>
      </w:tr>
      <w:tr w:rsidR="00317CD3">
        <w:tc>
          <w:tcPr>
            <w:tcW w:w="0" w:type="auto"/>
            <w:vAlign w:val="center"/>
          </w:tcPr>
          <w:p w:rsidR="00317CD3" w:rsidRDefault="00761158">
            <w:pPr>
              <w:jc w:val="center"/>
            </w:pPr>
            <w:r>
              <w:rPr>
                <w:color w:val="000000"/>
                <w:kern w:val="0"/>
                <w:sz w:val="24"/>
              </w:rPr>
              <w:t>2</w:t>
            </w:r>
          </w:p>
        </w:tc>
        <w:tc>
          <w:tcPr>
            <w:tcW w:w="0" w:type="auto"/>
            <w:vAlign w:val="center"/>
          </w:tcPr>
          <w:p w:rsidR="00317CD3" w:rsidRDefault="00761158">
            <w:pPr>
              <w:jc w:val="center"/>
            </w:pPr>
            <w:r>
              <w:rPr>
                <w:color w:val="000000"/>
                <w:kern w:val="0"/>
                <w:sz w:val="24"/>
              </w:rPr>
              <w:t>603259</w:t>
            </w:r>
          </w:p>
        </w:tc>
        <w:tc>
          <w:tcPr>
            <w:tcW w:w="0" w:type="auto"/>
            <w:vAlign w:val="center"/>
          </w:tcPr>
          <w:p w:rsidR="00317CD3" w:rsidRDefault="00761158">
            <w:pPr>
              <w:jc w:val="center"/>
            </w:pPr>
            <w:r>
              <w:rPr>
                <w:color w:val="000000"/>
                <w:kern w:val="0"/>
                <w:sz w:val="24"/>
              </w:rPr>
              <w:t>药明康德</w:t>
            </w:r>
          </w:p>
        </w:tc>
        <w:tc>
          <w:tcPr>
            <w:tcW w:w="0" w:type="auto"/>
            <w:vAlign w:val="center"/>
          </w:tcPr>
          <w:p w:rsidR="00317CD3" w:rsidRDefault="00761158">
            <w:pPr>
              <w:jc w:val="right"/>
            </w:pPr>
            <w:r>
              <w:rPr>
                <w:color w:val="000000"/>
                <w:kern w:val="0"/>
                <w:sz w:val="24"/>
              </w:rPr>
              <w:t>152,760</w:t>
            </w:r>
          </w:p>
        </w:tc>
        <w:tc>
          <w:tcPr>
            <w:tcW w:w="0" w:type="auto"/>
            <w:vAlign w:val="center"/>
          </w:tcPr>
          <w:p w:rsidR="00317CD3" w:rsidRDefault="00761158">
            <w:pPr>
              <w:jc w:val="right"/>
            </w:pPr>
            <w:r>
              <w:rPr>
                <w:color w:val="000000"/>
                <w:kern w:val="0"/>
                <w:sz w:val="24"/>
              </w:rPr>
              <w:t>13,823,252.40</w:t>
            </w:r>
          </w:p>
        </w:tc>
        <w:tc>
          <w:tcPr>
            <w:tcW w:w="0" w:type="auto"/>
            <w:vAlign w:val="center"/>
          </w:tcPr>
          <w:p w:rsidR="00317CD3" w:rsidRDefault="00761158">
            <w:pPr>
              <w:jc w:val="right"/>
            </w:pPr>
            <w:r>
              <w:rPr>
                <w:color w:val="000000"/>
                <w:kern w:val="0"/>
                <w:sz w:val="24"/>
              </w:rPr>
              <w:t>7.95</w:t>
            </w:r>
          </w:p>
        </w:tc>
      </w:tr>
      <w:tr w:rsidR="00317CD3">
        <w:tc>
          <w:tcPr>
            <w:tcW w:w="0" w:type="auto"/>
            <w:vAlign w:val="center"/>
          </w:tcPr>
          <w:p w:rsidR="00317CD3" w:rsidRDefault="00761158">
            <w:pPr>
              <w:jc w:val="center"/>
            </w:pPr>
            <w:r>
              <w:rPr>
                <w:color w:val="000000"/>
                <w:kern w:val="0"/>
                <w:sz w:val="24"/>
              </w:rPr>
              <w:t>3</w:t>
            </w:r>
          </w:p>
        </w:tc>
        <w:tc>
          <w:tcPr>
            <w:tcW w:w="0" w:type="auto"/>
            <w:vAlign w:val="center"/>
          </w:tcPr>
          <w:p w:rsidR="00317CD3" w:rsidRDefault="00761158">
            <w:pPr>
              <w:jc w:val="center"/>
            </w:pPr>
            <w:r>
              <w:rPr>
                <w:color w:val="000000"/>
                <w:kern w:val="0"/>
                <w:sz w:val="24"/>
              </w:rPr>
              <w:t>002007</w:t>
            </w:r>
          </w:p>
        </w:tc>
        <w:tc>
          <w:tcPr>
            <w:tcW w:w="0" w:type="auto"/>
            <w:vAlign w:val="center"/>
          </w:tcPr>
          <w:p w:rsidR="00317CD3" w:rsidRDefault="00761158">
            <w:pPr>
              <w:jc w:val="center"/>
            </w:pPr>
            <w:r>
              <w:rPr>
                <w:color w:val="000000"/>
                <w:kern w:val="0"/>
                <w:sz w:val="24"/>
              </w:rPr>
              <w:t>华兰生物</w:t>
            </w:r>
          </w:p>
        </w:tc>
        <w:tc>
          <w:tcPr>
            <w:tcW w:w="0" w:type="auto"/>
            <w:vAlign w:val="center"/>
          </w:tcPr>
          <w:p w:rsidR="00317CD3" w:rsidRDefault="00761158">
            <w:pPr>
              <w:jc w:val="right"/>
            </w:pPr>
            <w:r>
              <w:rPr>
                <w:color w:val="000000"/>
                <w:kern w:val="0"/>
                <w:sz w:val="24"/>
              </w:rPr>
              <w:t>284,080</w:t>
            </w:r>
          </w:p>
        </w:tc>
        <w:tc>
          <w:tcPr>
            <w:tcW w:w="0" w:type="auto"/>
            <w:vAlign w:val="center"/>
          </w:tcPr>
          <w:p w:rsidR="00317CD3" w:rsidRDefault="00761158">
            <w:pPr>
              <w:jc w:val="right"/>
            </w:pPr>
            <w:r>
              <w:rPr>
                <w:color w:val="000000"/>
                <w:kern w:val="0"/>
                <w:sz w:val="24"/>
              </w:rPr>
              <w:t>13,613,113.60</w:t>
            </w:r>
          </w:p>
        </w:tc>
        <w:tc>
          <w:tcPr>
            <w:tcW w:w="0" w:type="auto"/>
            <w:vAlign w:val="center"/>
          </w:tcPr>
          <w:p w:rsidR="00317CD3" w:rsidRDefault="00761158">
            <w:pPr>
              <w:jc w:val="right"/>
            </w:pPr>
            <w:r>
              <w:rPr>
                <w:color w:val="000000"/>
                <w:kern w:val="0"/>
                <w:sz w:val="24"/>
              </w:rPr>
              <w:t>7.83</w:t>
            </w:r>
          </w:p>
        </w:tc>
      </w:tr>
      <w:tr w:rsidR="00317CD3">
        <w:tc>
          <w:tcPr>
            <w:tcW w:w="0" w:type="auto"/>
            <w:vAlign w:val="center"/>
          </w:tcPr>
          <w:p w:rsidR="00317CD3" w:rsidRDefault="00761158">
            <w:pPr>
              <w:jc w:val="center"/>
            </w:pPr>
            <w:r>
              <w:rPr>
                <w:color w:val="000000"/>
                <w:kern w:val="0"/>
                <w:sz w:val="24"/>
              </w:rPr>
              <w:t>4</w:t>
            </w:r>
          </w:p>
        </w:tc>
        <w:tc>
          <w:tcPr>
            <w:tcW w:w="0" w:type="auto"/>
            <w:vAlign w:val="center"/>
          </w:tcPr>
          <w:p w:rsidR="00317CD3" w:rsidRDefault="00761158">
            <w:pPr>
              <w:jc w:val="center"/>
            </w:pPr>
            <w:r>
              <w:rPr>
                <w:color w:val="000000"/>
                <w:kern w:val="0"/>
                <w:sz w:val="24"/>
              </w:rPr>
              <w:t>300142</w:t>
            </w:r>
          </w:p>
        </w:tc>
        <w:tc>
          <w:tcPr>
            <w:tcW w:w="0" w:type="auto"/>
            <w:vAlign w:val="center"/>
          </w:tcPr>
          <w:p w:rsidR="00317CD3" w:rsidRDefault="00761158">
            <w:pPr>
              <w:jc w:val="center"/>
            </w:pPr>
            <w:r>
              <w:rPr>
                <w:color w:val="000000"/>
                <w:kern w:val="0"/>
                <w:sz w:val="24"/>
              </w:rPr>
              <w:t>沃森生物</w:t>
            </w:r>
          </w:p>
        </w:tc>
        <w:tc>
          <w:tcPr>
            <w:tcW w:w="0" w:type="auto"/>
            <w:vAlign w:val="center"/>
          </w:tcPr>
          <w:p w:rsidR="00317CD3" w:rsidRDefault="00761158">
            <w:pPr>
              <w:jc w:val="right"/>
            </w:pPr>
            <w:r>
              <w:rPr>
                <w:color w:val="000000"/>
                <w:kern w:val="0"/>
                <w:sz w:val="24"/>
              </w:rPr>
              <w:t>414,967</w:t>
            </w:r>
          </w:p>
        </w:tc>
        <w:tc>
          <w:tcPr>
            <w:tcW w:w="0" w:type="auto"/>
            <w:vAlign w:val="center"/>
          </w:tcPr>
          <w:p w:rsidR="00317CD3" w:rsidRDefault="00761158">
            <w:pPr>
              <w:jc w:val="right"/>
            </w:pPr>
            <w:r>
              <w:rPr>
                <w:color w:val="000000"/>
                <w:kern w:val="0"/>
                <w:sz w:val="24"/>
              </w:rPr>
              <w:t>13,137,855.22</w:t>
            </w:r>
          </w:p>
        </w:tc>
        <w:tc>
          <w:tcPr>
            <w:tcW w:w="0" w:type="auto"/>
            <w:vAlign w:val="center"/>
          </w:tcPr>
          <w:p w:rsidR="00317CD3" w:rsidRDefault="00761158">
            <w:pPr>
              <w:jc w:val="right"/>
            </w:pPr>
            <w:r>
              <w:rPr>
                <w:color w:val="000000"/>
                <w:kern w:val="0"/>
                <w:sz w:val="24"/>
              </w:rPr>
              <w:t>7.55</w:t>
            </w:r>
          </w:p>
        </w:tc>
      </w:tr>
      <w:tr w:rsidR="00317CD3">
        <w:tc>
          <w:tcPr>
            <w:tcW w:w="0" w:type="auto"/>
            <w:vAlign w:val="center"/>
          </w:tcPr>
          <w:p w:rsidR="00317CD3" w:rsidRDefault="00761158">
            <w:pPr>
              <w:jc w:val="center"/>
            </w:pPr>
            <w:r>
              <w:rPr>
                <w:color w:val="000000"/>
                <w:kern w:val="0"/>
                <w:sz w:val="24"/>
              </w:rPr>
              <w:t>5</w:t>
            </w:r>
          </w:p>
        </w:tc>
        <w:tc>
          <w:tcPr>
            <w:tcW w:w="0" w:type="auto"/>
            <w:vAlign w:val="center"/>
          </w:tcPr>
          <w:p w:rsidR="00317CD3" w:rsidRDefault="00761158">
            <w:pPr>
              <w:jc w:val="center"/>
            </w:pPr>
            <w:r>
              <w:rPr>
                <w:color w:val="000000"/>
                <w:kern w:val="0"/>
                <w:sz w:val="24"/>
              </w:rPr>
              <w:t>300601</w:t>
            </w:r>
          </w:p>
        </w:tc>
        <w:tc>
          <w:tcPr>
            <w:tcW w:w="0" w:type="auto"/>
            <w:vAlign w:val="center"/>
          </w:tcPr>
          <w:p w:rsidR="00317CD3" w:rsidRDefault="00761158">
            <w:pPr>
              <w:jc w:val="center"/>
            </w:pPr>
            <w:r>
              <w:rPr>
                <w:color w:val="000000"/>
                <w:kern w:val="0"/>
                <w:sz w:val="24"/>
              </w:rPr>
              <w:t>康泰生物</w:t>
            </w:r>
          </w:p>
        </w:tc>
        <w:tc>
          <w:tcPr>
            <w:tcW w:w="0" w:type="auto"/>
            <w:vAlign w:val="center"/>
          </w:tcPr>
          <w:p w:rsidR="00317CD3" w:rsidRDefault="00761158">
            <w:pPr>
              <w:jc w:val="right"/>
            </w:pPr>
            <w:r>
              <w:rPr>
                <w:color w:val="000000"/>
                <w:kern w:val="0"/>
                <w:sz w:val="24"/>
              </w:rPr>
              <w:t>108,840</w:t>
            </w:r>
          </w:p>
        </w:tc>
        <w:tc>
          <w:tcPr>
            <w:tcW w:w="0" w:type="auto"/>
            <w:vAlign w:val="center"/>
          </w:tcPr>
          <w:p w:rsidR="00317CD3" w:rsidRDefault="00761158">
            <w:pPr>
              <w:jc w:val="right"/>
            </w:pPr>
            <w:r>
              <w:rPr>
                <w:color w:val="000000"/>
                <w:kern w:val="0"/>
                <w:sz w:val="24"/>
              </w:rPr>
              <w:t>12,473,064.00</w:t>
            </w:r>
          </w:p>
        </w:tc>
        <w:tc>
          <w:tcPr>
            <w:tcW w:w="0" w:type="auto"/>
            <w:vAlign w:val="center"/>
          </w:tcPr>
          <w:p w:rsidR="00317CD3" w:rsidRDefault="00761158">
            <w:pPr>
              <w:jc w:val="right"/>
            </w:pPr>
            <w:r>
              <w:rPr>
                <w:color w:val="000000"/>
                <w:kern w:val="0"/>
                <w:sz w:val="24"/>
              </w:rPr>
              <w:t>7.17</w:t>
            </w:r>
          </w:p>
        </w:tc>
      </w:tr>
      <w:tr w:rsidR="00317CD3">
        <w:tc>
          <w:tcPr>
            <w:tcW w:w="0" w:type="auto"/>
            <w:vAlign w:val="center"/>
          </w:tcPr>
          <w:p w:rsidR="00317CD3" w:rsidRDefault="00761158">
            <w:pPr>
              <w:jc w:val="center"/>
            </w:pPr>
            <w:r>
              <w:rPr>
                <w:color w:val="000000"/>
                <w:kern w:val="0"/>
                <w:sz w:val="24"/>
              </w:rPr>
              <w:t>6</w:t>
            </w:r>
          </w:p>
        </w:tc>
        <w:tc>
          <w:tcPr>
            <w:tcW w:w="0" w:type="auto"/>
            <w:vAlign w:val="center"/>
          </w:tcPr>
          <w:p w:rsidR="00317CD3" w:rsidRDefault="00761158">
            <w:pPr>
              <w:jc w:val="center"/>
            </w:pPr>
            <w:r>
              <w:rPr>
                <w:color w:val="000000"/>
                <w:kern w:val="0"/>
                <w:sz w:val="24"/>
              </w:rPr>
              <w:t>300347</w:t>
            </w:r>
          </w:p>
        </w:tc>
        <w:tc>
          <w:tcPr>
            <w:tcW w:w="0" w:type="auto"/>
            <w:vAlign w:val="center"/>
          </w:tcPr>
          <w:p w:rsidR="00317CD3" w:rsidRDefault="00761158">
            <w:pPr>
              <w:jc w:val="center"/>
            </w:pPr>
            <w:r>
              <w:rPr>
                <w:color w:val="000000"/>
                <w:kern w:val="0"/>
                <w:sz w:val="24"/>
              </w:rPr>
              <w:t>泰格医药</w:t>
            </w:r>
          </w:p>
        </w:tc>
        <w:tc>
          <w:tcPr>
            <w:tcW w:w="0" w:type="auto"/>
            <w:vAlign w:val="center"/>
          </w:tcPr>
          <w:p w:rsidR="00317CD3" w:rsidRDefault="00761158">
            <w:pPr>
              <w:jc w:val="right"/>
            </w:pPr>
            <w:r>
              <w:rPr>
                <w:color w:val="000000"/>
                <w:kern w:val="0"/>
                <w:sz w:val="24"/>
              </w:rPr>
              <w:t>177,060</w:t>
            </w:r>
          </w:p>
        </w:tc>
        <w:tc>
          <w:tcPr>
            <w:tcW w:w="0" w:type="auto"/>
            <w:vAlign w:val="center"/>
          </w:tcPr>
          <w:p w:rsidR="00317CD3" w:rsidRDefault="00761158">
            <w:pPr>
              <w:jc w:val="right"/>
            </w:pPr>
            <w:r>
              <w:rPr>
                <w:color w:val="000000"/>
                <w:kern w:val="0"/>
                <w:sz w:val="24"/>
              </w:rPr>
              <w:t>11,340,693.00</w:t>
            </w:r>
          </w:p>
        </w:tc>
        <w:tc>
          <w:tcPr>
            <w:tcW w:w="0" w:type="auto"/>
            <w:vAlign w:val="center"/>
          </w:tcPr>
          <w:p w:rsidR="00317CD3" w:rsidRDefault="00761158">
            <w:pPr>
              <w:jc w:val="right"/>
            </w:pPr>
            <w:r>
              <w:rPr>
                <w:color w:val="000000"/>
                <w:kern w:val="0"/>
                <w:sz w:val="24"/>
              </w:rPr>
              <w:t>6.52</w:t>
            </w:r>
          </w:p>
        </w:tc>
      </w:tr>
      <w:tr w:rsidR="00317CD3">
        <w:tc>
          <w:tcPr>
            <w:tcW w:w="0" w:type="auto"/>
            <w:vAlign w:val="center"/>
          </w:tcPr>
          <w:p w:rsidR="00317CD3" w:rsidRDefault="00761158">
            <w:pPr>
              <w:jc w:val="center"/>
            </w:pPr>
            <w:r>
              <w:rPr>
                <w:color w:val="000000"/>
                <w:kern w:val="0"/>
                <w:sz w:val="24"/>
              </w:rPr>
              <w:t>7</w:t>
            </w:r>
          </w:p>
        </w:tc>
        <w:tc>
          <w:tcPr>
            <w:tcW w:w="0" w:type="auto"/>
            <w:vAlign w:val="center"/>
          </w:tcPr>
          <w:p w:rsidR="00317CD3" w:rsidRDefault="00761158">
            <w:pPr>
              <w:jc w:val="center"/>
            </w:pPr>
            <w:r>
              <w:rPr>
                <w:color w:val="000000"/>
                <w:kern w:val="0"/>
                <w:sz w:val="24"/>
              </w:rPr>
              <w:t>300122</w:t>
            </w:r>
          </w:p>
        </w:tc>
        <w:tc>
          <w:tcPr>
            <w:tcW w:w="0" w:type="auto"/>
            <w:vAlign w:val="center"/>
          </w:tcPr>
          <w:p w:rsidR="00317CD3" w:rsidRDefault="00761158">
            <w:pPr>
              <w:jc w:val="center"/>
            </w:pPr>
            <w:r>
              <w:rPr>
                <w:color w:val="000000"/>
                <w:kern w:val="0"/>
                <w:sz w:val="24"/>
              </w:rPr>
              <w:t>智飞生物</w:t>
            </w:r>
          </w:p>
        </w:tc>
        <w:tc>
          <w:tcPr>
            <w:tcW w:w="0" w:type="auto"/>
            <w:vAlign w:val="center"/>
          </w:tcPr>
          <w:p w:rsidR="00317CD3" w:rsidRDefault="00761158">
            <w:pPr>
              <w:jc w:val="right"/>
            </w:pPr>
            <w:r>
              <w:rPr>
                <w:color w:val="000000"/>
                <w:kern w:val="0"/>
                <w:sz w:val="24"/>
              </w:rPr>
              <w:t>161,954</w:t>
            </w:r>
          </w:p>
        </w:tc>
        <w:tc>
          <w:tcPr>
            <w:tcW w:w="0" w:type="auto"/>
            <w:vAlign w:val="center"/>
          </w:tcPr>
          <w:p w:rsidR="00317CD3" w:rsidRDefault="00761158">
            <w:pPr>
              <w:jc w:val="right"/>
            </w:pPr>
            <w:r>
              <w:rPr>
                <w:color w:val="000000"/>
                <w:kern w:val="0"/>
                <w:sz w:val="24"/>
              </w:rPr>
              <w:t>10,914,080.06</w:t>
            </w:r>
          </w:p>
        </w:tc>
        <w:tc>
          <w:tcPr>
            <w:tcW w:w="0" w:type="auto"/>
            <w:vAlign w:val="center"/>
          </w:tcPr>
          <w:p w:rsidR="00317CD3" w:rsidRDefault="00761158">
            <w:pPr>
              <w:jc w:val="right"/>
            </w:pPr>
            <w:r>
              <w:rPr>
                <w:color w:val="000000"/>
                <w:kern w:val="0"/>
                <w:sz w:val="24"/>
              </w:rPr>
              <w:t>6.27</w:t>
            </w:r>
          </w:p>
        </w:tc>
      </w:tr>
      <w:tr w:rsidR="00317CD3">
        <w:tc>
          <w:tcPr>
            <w:tcW w:w="0" w:type="auto"/>
            <w:vAlign w:val="center"/>
          </w:tcPr>
          <w:p w:rsidR="00317CD3" w:rsidRDefault="00761158">
            <w:pPr>
              <w:jc w:val="center"/>
            </w:pPr>
            <w:r>
              <w:rPr>
                <w:color w:val="000000"/>
                <w:kern w:val="0"/>
                <w:sz w:val="24"/>
              </w:rPr>
              <w:t>8</w:t>
            </w:r>
          </w:p>
        </w:tc>
        <w:tc>
          <w:tcPr>
            <w:tcW w:w="0" w:type="auto"/>
            <w:vAlign w:val="center"/>
          </w:tcPr>
          <w:p w:rsidR="00317CD3" w:rsidRDefault="00761158">
            <w:pPr>
              <w:jc w:val="center"/>
            </w:pPr>
            <w:r>
              <w:rPr>
                <w:color w:val="000000"/>
                <w:kern w:val="0"/>
                <w:sz w:val="24"/>
              </w:rPr>
              <w:t>600161</w:t>
            </w:r>
          </w:p>
        </w:tc>
        <w:tc>
          <w:tcPr>
            <w:tcW w:w="0" w:type="auto"/>
            <w:vAlign w:val="center"/>
          </w:tcPr>
          <w:p w:rsidR="00317CD3" w:rsidRDefault="00761158">
            <w:pPr>
              <w:jc w:val="center"/>
            </w:pPr>
            <w:r>
              <w:rPr>
                <w:color w:val="000000"/>
                <w:kern w:val="0"/>
                <w:sz w:val="24"/>
              </w:rPr>
              <w:t>天坛生物</w:t>
            </w:r>
          </w:p>
        </w:tc>
        <w:tc>
          <w:tcPr>
            <w:tcW w:w="0" w:type="auto"/>
            <w:vAlign w:val="center"/>
          </w:tcPr>
          <w:p w:rsidR="00317CD3" w:rsidRDefault="00761158">
            <w:pPr>
              <w:jc w:val="right"/>
            </w:pPr>
            <w:r>
              <w:rPr>
                <w:color w:val="000000"/>
                <w:kern w:val="0"/>
                <w:sz w:val="24"/>
              </w:rPr>
              <w:t>176,390</w:t>
            </w:r>
          </w:p>
        </w:tc>
        <w:tc>
          <w:tcPr>
            <w:tcW w:w="0" w:type="auto"/>
            <w:vAlign w:val="center"/>
          </w:tcPr>
          <w:p w:rsidR="00317CD3" w:rsidRDefault="00761158">
            <w:pPr>
              <w:jc w:val="right"/>
            </w:pPr>
            <w:r>
              <w:rPr>
                <w:color w:val="000000"/>
                <w:kern w:val="0"/>
                <w:sz w:val="24"/>
              </w:rPr>
              <w:t>6,417,068.20</w:t>
            </w:r>
          </w:p>
        </w:tc>
        <w:tc>
          <w:tcPr>
            <w:tcW w:w="0" w:type="auto"/>
            <w:vAlign w:val="center"/>
          </w:tcPr>
          <w:p w:rsidR="00317CD3" w:rsidRDefault="00761158">
            <w:pPr>
              <w:jc w:val="right"/>
            </w:pPr>
            <w:r>
              <w:rPr>
                <w:color w:val="000000"/>
                <w:kern w:val="0"/>
                <w:sz w:val="24"/>
              </w:rPr>
              <w:t>3.69</w:t>
            </w:r>
          </w:p>
        </w:tc>
      </w:tr>
      <w:tr w:rsidR="00317CD3">
        <w:tc>
          <w:tcPr>
            <w:tcW w:w="0" w:type="auto"/>
            <w:vAlign w:val="center"/>
          </w:tcPr>
          <w:p w:rsidR="00317CD3" w:rsidRDefault="00761158">
            <w:pPr>
              <w:jc w:val="center"/>
            </w:pPr>
            <w:r>
              <w:rPr>
                <w:color w:val="000000"/>
                <w:kern w:val="0"/>
                <w:sz w:val="24"/>
              </w:rPr>
              <w:t>9</w:t>
            </w:r>
          </w:p>
        </w:tc>
        <w:tc>
          <w:tcPr>
            <w:tcW w:w="0" w:type="auto"/>
            <w:vAlign w:val="center"/>
          </w:tcPr>
          <w:p w:rsidR="00317CD3" w:rsidRDefault="00761158">
            <w:pPr>
              <w:jc w:val="center"/>
            </w:pPr>
            <w:r>
              <w:rPr>
                <w:color w:val="000000"/>
                <w:kern w:val="0"/>
                <w:sz w:val="24"/>
              </w:rPr>
              <w:t>600867</w:t>
            </w:r>
          </w:p>
        </w:tc>
        <w:tc>
          <w:tcPr>
            <w:tcW w:w="0" w:type="auto"/>
            <w:vAlign w:val="center"/>
          </w:tcPr>
          <w:p w:rsidR="00317CD3" w:rsidRDefault="00761158">
            <w:pPr>
              <w:jc w:val="center"/>
            </w:pPr>
            <w:r>
              <w:rPr>
                <w:color w:val="000000"/>
                <w:kern w:val="0"/>
                <w:sz w:val="24"/>
              </w:rPr>
              <w:t>通化东宝</w:t>
            </w:r>
          </w:p>
        </w:tc>
        <w:tc>
          <w:tcPr>
            <w:tcW w:w="0" w:type="auto"/>
            <w:vAlign w:val="center"/>
          </w:tcPr>
          <w:p w:rsidR="00317CD3" w:rsidRDefault="00761158">
            <w:pPr>
              <w:jc w:val="right"/>
            </w:pPr>
            <w:r>
              <w:rPr>
                <w:color w:val="000000"/>
                <w:kern w:val="0"/>
                <w:sz w:val="24"/>
              </w:rPr>
              <w:t>480,427</w:t>
            </w:r>
          </w:p>
        </w:tc>
        <w:tc>
          <w:tcPr>
            <w:tcW w:w="0" w:type="auto"/>
            <w:vAlign w:val="center"/>
          </w:tcPr>
          <w:p w:rsidR="00317CD3" w:rsidRDefault="00761158">
            <w:pPr>
              <w:jc w:val="right"/>
            </w:pPr>
            <w:r>
              <w:rPr>
                <w:color w:val="000000"/>
                <w:kern w:val="0"/>
                <w:sz w:val="24"/>
              </w:rPr>
              <w:t>5,097,330.47</w:t>
            </w:r>
          </w:p>
        </w:tc>
        <w:tc>
          <w:tcPr>
            <w:tcW w:w="0" w:type="auto"/>
            <w:vAlign w:val="center"/>
          </w:tcPr>
          <w:p w:rsidR="00317CD3" w:rsidRDefault="00761158">
            <w:pPr>
              <w:jc w:val="right"/>
            </w:pPr>
            <w:r>
              <w:rPr>
                <w:color w:val="000000"/>
                <w:kern w:val="0"/>
                <w:sz w:val="24"/>
              </w:rPr>
              <w:t>2.93</w:t>
            </w:r>
          </w:p>
        </w:tc>
      </w:tr>
      <w:tr w:rsidR="00317CD3">
        <w:tc>
          <w:tcPr>
            <w:tcW w:w="0" w:type="auto"/>
            <w:vAlign w:val="center"/>
          </w:tcPr>
          <w:p w:rsidR="00317CD3" w:rsidRDefault="00761158">
            <w:pPr>
              <w:jc w:val="center"/>
            </w:pPr>
            <w:r>
              <w:rPr>
                <w:color w:val="000000"/>
                <w:kern w:val="0"/>
                <w:sz w:val="24"/>
              </w:rPr>
              <w:t>10</w:t>
            </w:r>
          </w:p>
        </w:tc>
        <w:tc>
          <w:tcPr>
            <w:tcW w:w="0" w:type="auto"/>
            <w:vAlign w:val="center"/>
          </w:tcPr>
          <w:p w:rsidR="00317CD3" w:rsidRDefault="00761158">
            <w:pPr>
              <w:jc w:val="center"/>
            </w:pPr>
            <w:r>
              <w:rPr>
                <w:color w:val="000000"/>
                <w:kern w:val="0"/>
                <w:sz w:val="24"/>
              </w:rPr>
              <w:t>300676</w:t>
            </w:r>
          </w:p>
        </w:tc>
        <w:tc>
          <w:tcPr>
            <w:tcW w:w="0" w:type="auto"/>
            <w:vAlign w:val="center"/>
          </w:tcPr>
          <w:p w:rsidR="00317CD3" w:rsidRDefault="00761158">
            <w:pPr>
              <w:jc w:val="center"/>
            </w:pPr>
            <w:r>
              <w:rPr>
                <w:color w:val="000000"/>
                <w:kern w:val="0"/>
                <w:sz w:val="24"/>
              </w:rPr>
              <w:t>华大基因</w:t>
            </w:r>
          </w:p>
        </w:tc>
        <w:tc>
          <w:tcPr>
            <w:tcW w:w="0" w:type="auto"/>
            <w:vAlign w:val="center"/>
          </w:tcPr>
          <w:p w:rsidR="00317CD3" w:rsidRDefault="00761158">
            <w:pPr>
              <w:jc w:val="right"/>
            </w:pPr>
            <w:r>
              <w:rPr>
                <w:color w:val="000000"/>
                <w:kern w:val="0"/>
                <w:sz w:val="24"/>
              </w:rPr>
              <w:t>54,000</w:t>
            </w:r>
          </w:p>
        </w:tc>
        <w:tc>
          <w:tcPr>
            <w:tcW w:w="0" w:type="auto"/>
            <w:vAlign w:val="center"/>
          </w:tcPr>
          <w:p w:rsidR="00317CD3" w:rsidRDefault="00761158">
            <w:pPr>
              <w:jc w:val="right"/>
            </w:pPr>
            <w:r>
              <w:rPr>
                <w:color w:val="000000"/>
                <w:kern w:val="0"/>
                <w:sz w:val="24"/>
              </w:rPr>
              <w:t>4,573,800.00</w:t>
            </w:r>
          </w:p>
        </w:tc>
        <w:tc>
          <w:tcPr>
            <w:tcW w:w="0" w:type="auto"/>
            <w:vAlign w:val="center"/>
          </w:tcPr>
          <w:p w:rsidR="00317CD3" w:rsidRDefault="00761158">
            <w:pPr>
              <w:jc w:val="right"/>
            </w:pPr>
            <w:r>
              <w:rPr>
                <w:color w:val="000000"/>
                <w:kern w:val="0"/>
                <w:sz w:val="24"/>
              </w:rPr>
              <w:t>2.63</w:t>
            </w:r>
          </w:p>
        </w:tc>
      </w:tr>
    </w:tbl>
    <w:p w:rsidR="00653BAC" w:rsidRPr="00653BAC" w:rsidRDefault="001C36D8" w:rsidP="00653BAC">
      <w:pPr>
        <w:autoSpaceDE w:val="0"/>
        <w:autoSpaceDN w:val="0"/>
        <w:adjustRightInd w:val="0"/>
        <w:spacing w:line="360" w:lineRule="auto"/>
        <w:jc w:val="left"/>
        <w:rPr>
          <w:rFonts w:eastAsiaTheme="minorEastAsia"/>
          <w:b/>
          <w:color w:val="000000" w:themeColor="text1"/>
          <w:kern w:val="0"/>
          <w:sz w:val="24"/>
        </w:rPr>
      </w:pPr>
      <w:r w:rsidRPr="00272E0C">
        <w:rPr>
          <w:rFonts w:ascii="宋体" w:hAnsi="宋体" w:cs="Arial"/>
          <w:b/>
          <w:color w:val="000000"/>
          <w:kern w:val="0"/>
          <w:sz w:val="24"/>
        </w:rPr>
        <w:t xml:space="preserve">5.4 </w:t>
      </w:r>
      <w:r w:rsidRPr="00272E0C">
        <w:rPr>
          <w:rFonts w:ascii="宋体" w:hAnsi="宋体" w:cs="Arial" w:hint="eastAsia"/>
          <w:b/>
          <w:color w:val="000000"/>
          <w:kern w:val="0"/>
          <w:sz w:val="24"/>
        </w:rPr>
        <w:t>报告期末按债券品种分类的债券投资组合</w:t>
      </w:r>
    </w:p>
    <w:p w:rsidR="001C36D8" w:rsidRPr="00653BAC" w:rsidRDefault="00653BAC" w:rsidP="00653BAC">
      <w:pPr>
        <w:spacing w:line="360" w:lineRule="auto"/>
        <w:ind w:firstLineChars="200" w:firstLine="480"/>
        <w:rPr>
          <w:color w:val="000000"/>
          <w:sz w:val="24"/>
        </w:rPr>
      </w:pPr>
      <w:r w:rsidRPr="00653BAC">
        <w:rPr>
          <w:color w:val="000000"/>
          <w:sz w:val="24"/>
        </w:rPr>
        <w:t>本基金本报告期末未持有债券。</w:t>
      </w:r>
    </w:p>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5.5 </w:t>
      </w:r>
      <w:r w:rsidRPr="00272E0C">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272E0C">
        <w:rPr>
          <w:rFonts w:ascii="宋体" w:hAnsi="宋体" w:cs="Arial" w:hint="eastAsia"/>
          <w:b/>
          <w:color w:val="000000"/>
          <w:kern w:val="0"/>
          <w:sz w:val="24"/>
        </w:rPr>
        <w:t>的前五名债券投资明细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本基金本报告期末未持有债券。</w:t>
      </w:r>
    </w:p>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5.6</w:t>
      </w:r>
      <w:r w:rsidRPr="00272E0C">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272E0C">
        <w:rPr>
          <w:rFonts w:ascii="宋体" w:hAnsi="宋体" w:cs="Arial" w:hint="eastAsia"/>
          <w:b/>
          <w:color w:val="000000"/>
          <w:kern w:val="0"/>
          <w:sz w:val="24"/>
        </w:rPr>
        <w:t>的前十名资产支持证券投资明细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本基金本报告期末未持有资产支持证券。</w:t>
      </w:r>
    </w:p>
    <w:p w:rsidR="001C36D8" w:rsidRPr="001D63BB" w:rsidRDefault="001C36D8" w:rsidP="001C123E">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本基金本报告期末未持有贵金属。</w:t>
      </w:r>
    </w:p>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1B0A62">
        <w:rPr>
          <w:rFonts w:ascii="宋体"/>
          <w:b/>
          <w:bCs/>
          <w:color w:val="000000"/>
          <w:kern w:val="0"/>
          <w:sz w:val="24"/>
        </w:rPr>
        <w:t>5.8</w:t>
      </w:r>
      <w:r w:rsidRPr="00272E0C">
        <w:rPr>
          <w:rFonts w:ascii="宋体" w:hAnsi="宋体" w:hint="eastAsia"/>
          <w:b/>
          <w:bCs/>
          <w:color w:val="000000"/>
          <w:sz w:val="24"/>
        </w:rPr>
        <w:t>报告期末按公允价值占基金资产净值比例大小排</w:t>
      </w:r>
      <w:r>
        <w:rPr>
          <w:rFonts w:ascii="宋体" w:hAnsi="宋体" w:hint="eastAsia"/>
          <w:b/>
          <w:bCs/>
          <w:color w:val="000000"/>
          <w:sz w:val="24"/>
        </w:rPr>
        <w:t>序</w:t>
      </w:r>
      <w:r w:rsidRPr="00272E0C">
        <w:rPr>
          <w:rFonts w:ascii="宋体" w:hAnsi="宋体" w:hint="eastAsia"/>
          <w:b/>
          <w:bCs/>
          <w:color w:val="000000"/>
          <w:sz w:val="24"/>
        </w:rPr>
        <w:t>的前五名权证投资明细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本基金本报告期末未持有权证。</w:t>
      </w:r>
    </w:p>
    <w:p w:rsidR="001C36D8" w:rsidRPr="00E85E29" w:rsidRDefault="001C36D8" w:rsidP="00E57068">
      <w:pPr>
        <w:adjustRightInd w:val="0"/>
        <w:snapToGrid w:val="0"/>
        <w:spacing w:line="360" w:lineRule="auto"/>
        <w:rPr>
          <w:rFonts w:ascii="宋体"/>
          <w:b/>
          <w:sz w:val="24"/>
        </w:rPr>
      </w:pPr>
      <w:r w:rsidRPr="001B0A62">
        <w:rPr>
          <w:rFonts w:ascii="宋体"/>
          <w:b/>
          <w:bCs/>
          <w:color w:val="000000"/>
          <w:kern w:val="0"/>
          <w:sz w:val="24"/>
        </w:rPr>
        <w:t>5.9</w:t>
      </w:r>
      <w:r w:rsidRPr="00E85E29">
        <w:rPr>
          <w:rFonts w:ascii="宋体" w:hAnsi="宋体" w:hint="eastAsia"/>
          <w:b/>
          <w:sz w:val="24"/>
        </w:rPr>
        <w:t>报告期末本基金投资的股指期货交易情况说明</w:t>
      </w:r>
    </w:p>
    <w:p w:rsidR="003B3D0C" w:rsidRDefault="003B3D0C" w:rsidP="003B3D0C">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1C36D8" w:rsidRPr="00272E0C" w:rsidRDefault="001C36D8" w:rsidP="00576862">
      <w:pPr>
        <w:adjustRightInd w:val="0"/>
        <w:snapToGrid w:val="0"/>
        <w:spacing w:line="360" w:lineRule="auto"/>
        <w:rPr>
          <w:rFonts w:ascii="宋体"/>
          <w:b/>
          <w:sz w:val="24"/>
        </w:rPr>
      </w:pPr>
      <w:r>
        <w:rPr>
          <w:rFonts w:ascii="宋体" w:hAnsi="宋体"/>
          <w:b/>
          <w:sz w:val="24"/>
        </w:rPr>
        <w:t>5</w:t>
      </w:r>
      <w:r w:rsidRPr="00272E0C">
        <w:rPr>
          <w:rFonts w:ascii="宋体"/>
          <w:b/>
          <w:sz w:val="24"/>
        </w:rPr>
        <w:t>.</w:t>
      </w:r>
      <w:r>
        <w:rPr>
          <w:rFonts w:ascii="宋体" w:hAnsi="宋体"/>
          <w:b/>
          <w:sz w:val="24"/>
        </w:rPr>
        <w:t>10</w:t>
      </w:r>
      <w:r w:rsidRPr="00272E0C">
        <w:rPr>
          <w:rFonts w:ascii="宋体" w:hAnsi="宋体" w:hint="eastAsia"/>
          <w:b/>
          <w:sz w:val="24"/>
        </w:rPr>
        <w:t>报告期末本基金投资的国债期货交易情况说明</w:t>
      </w:r>
    </w:p>
    <w:p w:rsidR="000C44BD" w:rsidRDefault="000C44BD" w:rsidP="000C44BD">
      <w:pPr>
        <w:spacing w:line="360" w:lineRule="auto"/>
        <w:ind w:firstLineChars="200" w:firstLine="480"/>
      </w:pPr>
      <w:r>
        <w:rPr>
          <w:color w:val="000000"/>
          <w:sz w:val="24"/>
        </w:rPr>
        <w:t>本基金本报告期末未投资国债期货。</w:t>
      </w:r>
    </w:p>
    <w:p w:rsidR="001C36D8" w:rsidRPr="00272E0C" w:rsidRDefault="001C36D8" w:rsidP="00576862">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272E0C">
        <w:rPr>
          <w:rFonts w:ascii="宋体" w:cs="Arial"/>
          <w:b/>
          <w:color w:val="000000"/>
          <w:kern w:val="0"/>
          <w:sz w:val="24"/>
        </w:rPr>
        <w:t>.</w:t>
      </w:r>
      <w:r>
        <w:rPr>
          <w:rFonts w:ascii="宋体" w:hAnsi="宋体" w:cs="Arial"/>
          <w:b/>
          <w:color w:val="000000"/>
          <w:kern w:val="0"/>
          <w:sz w:val="24"/>
        </w:rPr>
        <w:t>11</w:t>
      </w:r>
      <w:r w:rsidRPr="00272E0C">
        <w:rPr>
          <w:rFonts w:ascii="宋体" w:hAnsi="宋体" w:cs="Arial" w:hint="eastAsia"/>
          <w:b/>
          <w:color w:val="000000"/>
          <w:kern w:val="0"/>
          <w:sz w:val="24"/>
        </w:rPr>
        <w:t>投资组合报告附注</w:t>
      </w:r>
    </w:p>
    <w:p w:rsidR="001C36D8" w:rsidRPr="005B1E0B" w:rsidRDefault="001C36D8" w:rsidP="00576862">
      <w:pPr>
        <w:spacing w:line="360" w:lineRule="auto"/>
        <w:rPr>
          <w:color w:val="000000"/>
          <w:kern w:val="0"/>
          <w:sz w:val="24"/>
        </w:rPr>
      </w:pPr>
      <w:r w:rsidRPr="001C123E">
        <w:rPr>
          <w:rFonts w:ascii="宋体" w:hAnsi="宋体"/>
          <w:bCs/>
          <w:color w:val="000000"/>
          <w:kern w:val="0"/>
          <w:sz w:val="24"/>
        </w:rPr>
        <w:t>5.11.1</w:t>
      </w:r>
      <w:r w:rsidR="00D8121C">
        <w:rPr>
          <w:rFonts w:ascii="宋体" w:hAnsi="宋体" w:hint="eastAsia"/>
          <w:bCs/>
          <w:color w:val="000000"/>
          <w:kern w:val="0"/>
          <w:sz w:val="24"/>
        </w:rPr>
        <w:t xml:space="preserve"> </w:t>
      </w:r>
      <w:r w:rsidRPr="005B1E0B">
        <w:rPr>
          <w:color w:val="000000"/>
          <w:kern w:val="0"/>
          <w:sz w:val="24"/>
        </w:rPr>
        <w:t>本基金投资的前十名证券的发行主体本期没有出现被监管部门立案调查，或在报告编制日前一年内受到公开谴责、处罚的情形。</w:t>
      </w:r>
    </w:p>
    <w:p w:rsidR="001C36D8" w:rsidRPr="005B1E0B" w:rsidRDefault="001C36D8" w:rsidP="00576862">
      <w:pPr>
        <w:spacing w:line="360" w:lineRule="auto"/>
        <w:rPr>
          <w:color w:val="000000"/>
          <w:kern w:val="0"/>
          <w:sz w:val="24"/>
        </w:rPr>
      </w:pPr>
      <w:r w:rsidRPr="001C123E">
        <w:rPr>
          <w:rFonts w:ascii="宋体" w:hAnsi="宋体"/>
          <w:bCs/>
          <w:color w:val="000000"/>
          <w:kern w:val="0"/>
          <w:sz w:val="24"/>
        </w:rPr>
        <w:t>5.11.2</w:t>
      </w:r>
      <w:r w:rsidR="00D8121C">
        <w:rPr>
          <w:rFonts w:ascii="宋体" w:hAnsi="宋体" w:hint="eastAsia"/>
          <w:bCs/>
          <w:color w:val="000000"/>
          <w:kern w:val="0"/>
          <w:sz w:val="24"/>
        </w:rPr>
        <w:t xml:space="preserve"> </w:t>
      </w:r>
      <w:r w:rsidRPr="005B1E0B">
        <w:rPr>
          <w:color w:val="000000"/>
          <w:kern w:val="0"/>
          <w:sz w:val="24"/>
        </w:rPr>
        <w:t>本基金投资的前十名股票没有超出基金合同规定的备选股票库。</w:t>
      </w:r>
    </w:p>
    <w:p w:rsidR="001C36D8" w:rsidRPr="00717C29" w:rsidRDefault="001C36D8" w:rsidP="00576862">
      <w:pPr>
        <w:autoSpaceDE w:val="0"/>
        <w:autoSpaceDN w:val="0"/>
        <w:adjustRightInd w:val="0"/>
        <w:spacing w:line="360" w:lineRule="auto"/>
        <w:jc w:val="left"/>
        <w:rPr>
          <w:rFonts w:ascii="宋体" w:cs="Arial"/>
          <w:color w:val="000000"/>
          <w:kern w:val="0"/>
          <w:sz w:val="24"/>
        </w:rPr>
      </w:pPr>
      <w:r w:rsidRPr="00717C29">
        <w:rPr>
          <w:rFonts w:ascii="宋体" w:hAnsi="宋体"/>
          <w:bCs/>
          <w:color w:val="000000"/>
          <w:kern w:val="0"/>
          <w:sz w:val="24"/>
        </w:rPr>
        <w:t>5.11.3</w:t>
      </w:r>
      <w:r w:rsidRPr="00717C29">
        <w:rPr>
          <w:rFonts w:ascii="宋体" w:hAnsi="宋体" w:cs="Arial" w:hint="eastAsia"/>
          <w:color w:val="000000"/>
          <w:kern w:val="0"/>
          <w:sz w:val="24"/>
        </w:rPr>
        <w:t>其他各项资产构成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761"/>
        <w:gridCol w:w="4808"/>
      </w:tblGrid>
      <w:tr w:rsidR="001C36D8" w:rsidRPr="00272E0C" w:rsidTr="001A09F9">
        <w:tc>
          <w:tcPr>
            <w:tcW w:w="959"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序号</w:t>
            </w:r>
          </w:p>
        </w:tc>
        <w:tc>
          <w:tcPr>
            <w:tcW w:w="2761"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名称</w:t>
            </w:r>
          </w:p>
        </w:tc>
        <w:tc>
          <w:tcPr>
            <w:tcW w:w="4808"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金额（元）</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kern w:val="0"/>
                <w:sz w:val="24"/>
              </w:rPr>
            </w:pPr>
            <w:r w:rsidRPr="005B1E0B">
              <w:rPr>
                <w:color w:val="000000"/>
                <w:sz w:val="24"/>
              </w:rPr>
              <w:t>1</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存出保证金</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14,596.28</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2</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应收证券清算款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3</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应收股利</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4</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应收利息</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2,058.63</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5</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应收申购款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287,652.62</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6</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其他应收款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7</w:t>
            </w:r>
          </w:p>
        </w:tc>
        <w:tc>
          <w:tcPr>
            <w:tcW w:w="2761" w:type="dxa"/>
          </w:tcPr>
          <w:p w:rsidR="001C36D8" w:rsidRPr="005B1E0B" w:rsidRDefault="001C36D8" w:rsidP="0015779C">
            <w:pPr>
              <w:autoSpaceDE w:val="0"/>
              <w:autoSpaceDN w:val="0"/>
              <w:adjustRightInd w:val="0"/>
              <w:spacing w:before="29" w:line="360" w:lineRule="auto"/>
              <w:ind w:leftChars="50" w:left="105"/>
              <w:rPr>
                <w:color w:val="000000"/>
                <w:sz w:val="24"/>
              </w:rPr>
            </w:pPr>
            <w:r w:rsidRPr="005B1E0B">
              <w:rPr>
                <w:color w:val="000000"/>
                <w:sz w:val="24"/>
              </w:rPr>
              <w:t>待摊费用</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sz w:val="24"/>
              </w:rPr>
            </w:pPr>
            <w:r w:rsidRPr="005B1E0B">
              <w:rPr>
                <w:color w:val="00000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8</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其他</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9</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合计</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304,307.53</w:t>
            </w:r>
          </w:p>
        </w:tc>
      </w:tr>
    </w:tbl>
    <w:p w:rsidR="001C36D8" w:rsidRPr="00717C29" w:rsidRDefault="001C36D8" w:rsidP="00576862">
      <w:pPr>
        <w:autoSpaceDE w:val="0"/>
        <w:autoSpaceDN w:val="0"/>
        <w:adjustRightInd w:val="0"/>
        <w:spacing w:line="360" w:lineRule="auto"/>
        <w:jc w:val="left"/>
        <w:rPr>
          <w:rFonts w:ascii="宋体" w:cs="Arial"/>
          <w:color w:val="000000"/>
          <w:kern w:val="0"/>
          <w:sz w:val="24"/>
        </w:rPr>
      </w:pPr>
      <w:r w:rsidRPr="00717C29">
        <w:rPr>
          <w:rFonts w:ascii="宋体" w:hAnsi="宋体"/>
          <w:bCs/>
          <w:color w:val="000000"/>
          <w:kern w:val="0"/>
          <w:sz w:val="24"/>
        </w:rPr>
        <w:t>5.11.4</w:t>
      </w:r>
      <w:r w:rsidRPr="00717C29">
        <w:rPr>
          <w:rFonts w:ascii="宋体" w:hAnsi="宋体" w:cs="Arial" w:hint="eastAsia"/>
          <w:color w:val="000000"/>
          <w:kern w:val="0"/>
          <w:sz w:val="24"/>
        </w:rPr>
        <w:t>报告期末持有的处于转股期的可转换债券明细</w:t>
      </w:r>
    </w:p>
    <w:p w:rsidR="001C36D8" w:rsidRPr="003D22BD" w:rsidRDefault="001C36D8" w:rsidP="003D22BD">
      <w:pPr>
        <w:spacing w:line="360" w:lineRule="auto"/>
        <w:ind w:firstLineChars="200" w:firstLine="480"/>
        <w:rPr>
          <w:color w:val="000000"/>
          <w:sz w:val="24"/>
        </w:rPr>
      </w:pPr>
      <w:r w:rsidRPr="003D22BD">
        <w:rPr>
          <w:color w:val="000000"/>
          <w:sz w:val="24"/>
        </w:rPr>
        <w:t>本基金本报告期末未持有处于转股期的可转换债券。</w:t>
      </w:r>
    </w:p>
    <w:p w:rsidR="00924A95" w:rsidRPr="001C7E00" w:rsidRDefault="00924A95" w:rsidP="00924A95">
      <w:pPr>
        <w:autoSpaceDE w:val="0"/>
        <w:autoSpaceDN w:val="0"/>
        <w:adjustRightInd w:val="0"/>
        <w:spacing w:line="360" w:lineRule="auto"/>
        <w:jc w:val="left"/>
        <w:rPr>
          <w:rFonts w:ascii="宋体"/>
          <w:bCs/>
          <w:color w:val="000000"/>
          <w:kern w:val="0"/>
          <w:sz w:val="24"/>
        </w:rPr>
      </w:pPr>
      <w:r w:rsidRPr="001C7E00">
        <w:rPr>
          <w:rFonts w:ascii="宋体" w:hAnsi="宋体"/>
          <w:bCs/>
          <w:color w:val="000000"/>
          <w:kern w:val="0"/>
          <w:sz w:val="24"/>
        </w:rPr>
        <w:t>5.11.5</w:t>
      </w:r>
      <w:r w:rsidRPr="001C7E00">
        <w:rPr>
          <w:rFonts w:ascii="宋体" w:hAnsi="宋体" w:hint="eastAsia"/>
          <w:bCs/>
          <w:color w:val="000000"/>
          <w:kern w:val="0"/>
          <w:sz w:val="24"/>
        </w:rPr>
        <w:t>报告期末前十名股票中存在流通受限情况的说明</w:t>
      </w:r>
    </w:p>
    <w:p w:rsidR="001C36D8" w:rsidRPr="005B1E0B" w:rsidRDefault="00924A95" w:rsidP="005B1E0B">
      <w:pPr>
        <w:spacing w:line="360" w:lineRule="auto"/>
        <w:ind w:firstLineChars="200" w:firstLine="480"/>
        <w:rPr>
          <w:color w:val="000000"/>
          <w:sz w:val="24"/>
        </w:rPr>
      </w:pPr>
      <w:r w:rsidRPr="006C56AA">
        <w:rPr>
          <w:color w:val="000000"/>
          <w:sz w:val="24"/>
        </w:rPr>
        <w:t>本基金本报告期末前十名股票中不存在流通受限情况。</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Pr>
          <w:rFonts w:ascii="宋体" w:hAnsi="宋体" w:cs="Arial"/>
          <w:color w:val="000000"/>
          <w:kern w:val="0"/>
          <w:sz w:val="24"/>
          <w:szCs w:val="24"/>
        </w:rPr>
        <w:t>6</w:t>
      </w:r>
      <w:r w:rsidR="005D2CC7" w:rsidRPr="00272E0C">
        <w:rPr>
          <w:rFonts w:ascii="宋体" w:hAnsi="宋体" w:cs="Arial"/>
          <w:color w:val="000000"/>
          <w:kern w:val="0"/>
          <w:sz w:val="24"/>
          <w:szCs w:val="24"/>
        </w:rPr>
        <w:t xml:space="preserve">  </w:t>
      </w:r>
      <w:r w:rsidRPr="00272E0C">
        <w:rPr>
          <w:rFonts w:ascii="宋体" w:hAnsi="宋体" w:cs="Arial" w:hint="eastAsia"/>
          <w:color w:val="000000"/>
          <w:kern w:val="0"/>
          <w:sz w:val="24"/>
          <w:szCs w:val="24"/>
        </w:rPr>
        <w:t>开放式基金份额变动</w:t>
      </w:r>
    </w:p>
    <w:p w:rsidR="001C36D8" w:rsidRPr="00272E0C" w:rsidRDefault="001C36D8" w:rsidP="0019563C">
      <w:pPr>
        <w:autoSpaceDE w:val="0"/>
        <w:autoSpaceDN w:val="0"/>
        <w:adjustRightInd w:val="0"/>
        <w:spacing w:before="29" w:line="360" w:lineRule="auto"/>
        <w:ind w:left="15"/>
        <w:jc w:val="right"/>
        <w:rPr>
          <w:rFonts w:ascii="宋体" w:cs="Arial"/>
          <w:color w:val="000000"/>
          <w:kern w:val="0"/>
          <w:sz w:val="24"/>
        </w:rPr>
      </w:pPr>
      <w:r w:rsidRPr="00272E0C">
        <w:rPr>
          <w:rFonts w:ascii="宋体" w:hAnsi="宋体" w:cs="Arial" w:hint="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5B14F0">
            <w:pPr>
              <w:autoSpaceDE w:val="0"/>
              <w:autoSpaceDN w:val="0"/>
              <w:adjustRightInd w:val="0"/>
              <w:spacing w:before="29" w:line="360" w:lineRule="auto"/>
              <w:ind w:left="17"/>
              <w:jc w:val="right"/>
              <w:rPr>
                <w:sz w:val="24"/>
              </w:rPr>
            </w:pPr>
            <w:r w:rsidRPr="005B1E0B">
              <w:rPr>
                <w:sz w:val="24"/>
              </w:rPr>
              <w:t>易方达生物分级</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sz w:val="24"/>
              </w:rPr>
              <w:t>易方达生物分级</w:t>
            </w:r>
            <w:r w:rsidRPr="005B1E0B">
              <w:rPr>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易方达生物分级</w:t>
            </w:r>
            <w:r w:rsidRPr="005B1E0B">
              <w:rPr>
                <w:sz w:val="24"/>
              </w:rPr>
              <w:t>B</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132,110,431.90</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5,402,463.00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5,402,463.00</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11,308,128.41</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减：报告期基金总赎回份额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25,271,166.45</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w:t>
            </w:r>
          </w:p>
        </w:tc>
      </w:tr>
      <w:tr w:rsidR="001C36D8" w:rsidRPr="00272E0C"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报告期基金拆分变动份额</w:t>
            </w:r>
            <w:r w:rsidR="005541BC" w:rsidRPr="00921BFA">
              <w:rPr>
                <w:rFonts w:hint="eastAsia"/>
                <w:color w:val="000000"/>
                <w:kern w:val="0"/>
                <w:sz w:val="24"/>
              </w:rPr>
              <w:t>（份额减少以“</w:t>
            </w:r>
            <w:r w:rsidR="005541BC" w:rsidRPr="00921BFA">
              <w:rPr>
                <w:rFonts w:hint="eastAsia"/>
                <w:color w:val="000000"/>
                <w:kern w:val="0"/>
                <w:sz w:val="24"/>
              </w:rPr>
              <w:t>-</w:t>
            </w:r>
            <w:r w:rsidR="005541BC" w:rsidRPr="00921BFA">
              <w:rPr>
                <w:rFonts w:hint="eastAsia"/>
                <w:color w:val="000000"/>
                <w:kern w:val="0"/>
                <w:sz w:val="24"/>
              </w:rPr>
              <w:t>”填列）</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1,433,322.00</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-716,661.00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-716,661.00</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119,580,715.86</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4,685,802.00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4,685,802.00</w:t>
            </w:r>
          </w:p>
        </w:tc>
      </w:tr>
    </w:tbl>
    <w:p w:rsidR="001C36D8" w:rsidRPr="003D22BD" w:rsidRDefault="001C36D8" w:rsidP="003D22BD">
      <w:pPr>
        <w:spacing w:line="360" w:lineRule="auto"/>
        <w:ind w:firstLineChars="200" w:firstLine="480"/>
        <w:rPr>
          <w:color w:val="000000"/>
          <w:sz w:val="24"/>
        </w:rPr>
      </w:pPr>
      <w:r w:rsidRPr="003D22BD">
        <w:rPr>
          <w:color w:val="000000"/>
          <w:sz w:val="24"/>
        </w:rPr>
        <w:t>注：拆分变动份额包括三类份额之间的配对转换份额。</w:t>
      </w:r>
    </w:p>
    <w:p w:rsidR="001C36D8" w:rsidRDefault="001C36D8" w:rsidP="005C6DF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1C36D8" w:rsidRDefault="001C36D8" w:rsidP="003D4E5A">
      <w:pPr>
        <w:spacing w:line="360" w:lineRule="auto"/>
        <w:jc w:val="left"/>
        <w:rPr>
          <w:sz w:val="24"/>
        </w:rPr>
      </w:pPr>
      <w:r>
        <w:rPr>
          <w:b/>
          <w:sz w:val="24"/>
        </w:rPr>
        <w:t xml:space="preserve">7.1 </w:t>
      </w:r>
      <w:r>
        <w:rPr>
          <w:rFonts w:hint="eastAsia"/>
          <w:b/>
          <w:sz w:val="24"/>
        </w:rPr>
        <w:t>基金管理人持有本基金份额变动情况</w:t>
      </w:r>
    </w:p>
    <w:p w:rsidR="001C36D8" w:rsidRPr="005B1E0B" w:rsidRDefault="00BF63AF" w:rsidP="005B1E0B">
      <w:pPr>
        <w:spacing w:line="360" w:lineRule="auto"/>
        <w:ind w:firstLineChars="200" w:firstLine="480"/>
        <w:rPr>
          <w:color w:val="000000"/>
          <w:sz w:val="24"/>
        </w:rPr>
      </w:pPr>
      <w:r w:rsidRPr="00510DAB">
        <w:rPr>
          <w:color w:val="000000"/>
          <w:sz w:val="24"/>
        </w:rPr>
        <w:t>本报告期内基金管理人未持有本基金份额。</w:t>
      </w:r>
    </w:p>
    <w:p w:rsidR="001C36D8" w:rsidRDefault="001C36D8" w:rsidP="003D4E5A">
      <w:pPr>
        <w:spacing w:line="360" w:lineRule="auto"/>
        <w:jc w:val="left"/>
        <w:rPr>
          <w:sz w:val="24"/>
        </w:rPr>
      </w:pPr>
      <w:r>
        <w:rPr>
          <w:b/>
          <w:sz w:val="24"/>
        </w:rPr>
        <w:t xml:space="preserve">7.2 </w:t>
      </w:r>
      <w:r>
        <w:rPr>
          <w:rFonts w:hint="eastAsia"/>
          <w:b/>
          <w:sz w:val="24"/>
        </w:rPr>
        <w:t>基金管理人运用固有资金投资本基金交易明细</w:t>
      </w:r>
    </w:p>
    <w:p w:rsidR="001C36D8" w:rsidRPr="003D22BD" w:rsidRDefault="001C36D8" w:rsidP="003D22BD">
      <w:pPr>
        <w:spacing w:line="360" w:lineRule="auto"/>
        <w:ind w:firstLineChars="200" w:firstLine="480"/>
        <w:rPr>
          <w:color w:val="000000"/>
          <w:sz w:val="24"/>
        </w:rPr>
      </w:pPr>
      <w:r w:rsidRPr="003D22BD">
        <w:rPr>
          <w:color w:val="000000"/>
          <w:sz w:val="24"/>
        </w:rPr>
        <w:t>本报告期内基金管理人未运用固有资金申购、赎回、买卖本基金份额。</w:t>
      </w:r>
    </w:p>
    <w:p w:rsidR="00A12EEF" w:rsidRPr="005D2CC7" w:rsidRDefault="00A12EEF" w:rsidP="00A12EEF">
      <w:pPr>
        <w:pStyle w:val="1"/>
        <w:spacing w:beforeLines="100" w:before="312" w:afterLines="100" w:after="312" w:line="360" w:lineRule="auto"/>
        <w:jc w:val="center"/>
        <w:rPr>
          <w:rFonts w:ascii="宋体" w:hAnsi="宋体" w:cs="Arial"/>
          <w:color w:val="000000"/>
          <w:kern w:val="0"/>
          <w:sz w:val="24"/>
          <w:szCs w:val="24"/>
        </w:rPr>
      </w:pPr>
      <w:r w:rsidRPr="005D2CC7">
        <w:rPr>
          <w:rFonts w:ascii="宋体" w:hAnsi="宋体" w:cs="Arial"/>
          <w:color w:val="000000"/>
          <w:kern w:val="0"/>
          <w:sz w:val="24"/>
          <w:szCs w:val="24"/>
        </w:rPr>
        <w:t>§8</w:t>
      </w:r>
      <w:r w:rsidR="005D2CC7" w:rsidRPr="00272E0C">
        <w:rPr>
          <w:rFonts w:ascii="宋体" w:hAnsi="宋体" w:cs="Arial"/>
          <w:color w:val="000000"/>
          <w:kern w:val="0"/>
          <w:sz w:val="24"/>
          <w:szCs w:val="24"/>
        </w:rPr>
        <w:t xml:space="preserve">  </w:t>
      </w:r>
      <w:r w:rsidRPr="005D2CC7">
        <w:rPr>
          <w:rFonts w:ascii="宋体" w:hAnsi="宋体" w:cs="Arial"/>
          <w:color w:val="000000"/>
          <w:kern w:val="0"/>
          <w:sz w:val="24"/>
          <w:szCs w:val="24"/>
        </w:rPr>
        <w:t>影响投资者决策的其他重要信息</w:t>
      </w:r>
    </w:p>
    <w:p w:rsidR="004B7CA0" w:rsidRPr="00654C5E" w:rsidRDefault="004B7CA0" w:rsidP="004B7CA0">
      <w:pPr>
        <w:autoSpaceDE w:val="0"/>
        <w:autoSpaceDN w:val="0"/>
        <w:adjustRightInd w:val="0"/>
        <w:spacing w:line="360" w:lineRule="auto"/>
        <w:jc w:val="left"/>
        <w:rPr>
          <w:rFonts w:ascii="宋体"/>
          <w:b/>
          <w:bCs/>
          <w:color w:val="000000"/>
          <w:kern w:val="0"/>
          <w:sz w:val="24"/>
        </w:rPr>
      </w:pPr>
      <w:r w:rsidRPr="00654C5E">
        <w:rPr>
          <w:rFonts w:ascii="宋体"/>
          <w:b/>
          <w:bCs/>
          <w:color w:val="000000"/>
          <w:kern w:val="0"/>
          <w:sz w:val="24"/>
        </w:rPr>
        <w:t>8.1 影响投资者决策的其他重要信息</w:t>
      </w:r>
    </w:p>
    <w:p w:rsidR="001C36D8" w:rsidRPr="003D22BD" w:rsidRDefault="004B7CA0" w:rsidP="004B7CA0">
      <w:pPr>
        <w:spacing w:line="360" w:lineRule="auto"/>
        <w:ind w:firstLineChars="200" w:firstLine="480"/>
        <w:rPr>
          <w:color w:val="000000"/>
          <w:sz w:val="24"/>
        </w:rPr>
      </w:pPr>
      <w:r w:rsidRPr="00FC0759">
        <w:rPr>
          <w:rFonts w:eastAsiaTheme="minorEastAsia"/>
          <w:color w:val="000000" w:themeColor="text1"/>
          <w:sz w:val="24"/>
        </w:rPr>
        <w:t>根据《关于规范金融机构资产管理业务的指导意见》（以下简称《资管新规》）要求，公募产品不得进行份额分级，应在《资管新规》规定的过渡期结束前（即</w:t>
      </w:r>
      <w:r w:rsidRPr="00FC0759">
        <w:rPr>
          <w:rFonts w:eastAsiaTheme="minorEastAsia"/>
          <w:color w:val="000000" w:themeColor="text1"/>
          <w:sz w:val="24"/>
        </w:rPr>
        <w:t>2020</w:t>
      </w:r>
      <w:r w:rsidRPr="00FC0759">
        <w:rPr>
          <w:rFonts w:eastAsiaTheme="minorEastAsia"/>
          <w:color w:val="000000" w:themeColor="text1"/>
          <w:sz w:val="24"/>
        </w:rPr>
        <w:t>年</w:t>
      </w:r>
      <w:r w:rsidRPr="00FC0759">
        <w:rPr>
          <w:rFonts w:eastAsiaTheme="minorEastAsia"/>
          <w:color w:val="000000" w:themeColor="text1"/>
          <w:sz w:val="24"/>
        </w:rPr>
        <w:t>12</w:t>
      </w:r>
      <w:r w:rsidRPr="00FC0759">
        <w:rPr>
          <w:rFonts w:eastAsiaTheme="minorEastAsia"/>
          <w:color w:val="000000" w:themeColor="text1"/>
          <w:sz w:val="24"/>
        </w:rPr>
        <w:t>月</w:t>
      </w:r>
      <w:r w:rsidRPr="00FC0759">
        <w:rPr>
          <w:rFonts w:eastAsiaTheme="minorEastAsia"/>
          <w:color w:val="000000" w:themeColor="text1"/>
          <w:sz w:val="24"/>
        </w:rPr>
        <w:t>31</w:t>
      </w:r>
      <w:r w:rsidRPr="00FC0759">
        <w:rPr>
          <w:rFonts w:eastAsiaTheme="minorEastAsia"/>
          <w:color w:val="000000" w:themeColor="text1"/>
          <w:sz w:val="24"/>
        </w:rPr>
        <w:t>日前）进行整改规范，请投资者关注相关风险以及基金管理人届时发布的相关公告。</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9</w:t>
      </w:r>
      <w:r w:rsidR="005D2CC7" w:rsidRPr="00272E0C">
        <w:rPr>
          <w:rFonts w:ascii="宋体" w:hAnsi="宋体" w:cs="Arial"/>
          <w:color w:val="000000"/>
          <w:kern w:val="0"/>
          <w:sz w:val="24"/>
          <w:szCs w:val="24"/>
        </w:rPr>
        <w:t xml:space="preserve">  </w:t>
      </w:r>
      <w:r w:rsidRPr="00272E0C">
        <w:rPr>
          <w:rFonts w:ascii="宋体" w:hAnsi="宋体" w:cs="Arial" w:hint="eastAsia"/>
          <w:color w:val="000000"/>
          <w:kern w:val="0"/>
          <w:sz w:val="24"/>
          <w:szCs w:val="24"/>
        </w:rPr>
        <w:t>备查文件目录</w:t>
      </w:r>
    </w:p>
    <w:p w:rsidR="001C36D8" w:rsidRPr="00CE2DE4" w:rsidRDefault="001C36D8" w:rsidP="001078B6">
      <w:pPr>
        <w:spacing w:line="360" w:lineRule="auto"/>
        <w:rPr>
          <w:rFonts w:ascii="宋体"/>
          <w:b/>
          <w:color w:val="000000"/>
          <w:kern w:val="0"/>
          <w:sz w:val="24"/>
        </w:rPr>
      </w:pPr>
      <w:r w:rsidRPr="00CE2DE4">
        <w:rPr>
          <w:rFonts w:ascii="宋体" w:hAnsi="宋体"/>
          <w:b/>
          <w:color w:val="000000"/>
          <w:sz w:val="24"/>
        </w:rPr>
        <w:t xml:space="preserve">9.1 </w:t>
      </w:r>
      <w:r w:rsidRPr="00CE2DE4">
        <w:rPr>
          <w:rFonts w:ascii="宋体" w:hAnsi="宋体" w:hint="eastAsia"/>
          <w:b/>
          <w:color w:val="000000"/>
          <w:sz w:val="24"/>
        </w:rPr>
        <w:t>备查文件目录</w:t>
      </w:r>
    </w:p>
    <w:p w:rsidR="00317CD3" w:rsidRDefault="00761158">
      <w:pPr>
        <w:spacing w:line="360" w:lineRule="auto"/>
        <w:ind w:firstLineChars="200" w:firstLine="480"/>
        <w:rPr>
          <w:color w:val="000000"/>
          <w:sz w:val="24"/>
        </w:rPr>
      </w:pPr>
      <w:r>
        <w:rPr>
          <w:color w:val="000000"/>
          <w:sz w:val="24"/>
        </w:rPr>
        <w:t>1.</w:t>
      </w:r>
      <w:r>
        <w:rPr>
          <w:color w:val="000000"/>
          <w:sz w:val="24"/>
        </w:rPr>
        <w:t>中国证监会准予易方达生物科技指数分级证券投资基金募集注册的文件；</w:t>
      </w:r>
    </w:p>
    <w:p w:rsidR="00317CD3" w:rsidRDefault="00761158">
      <w:pPr>
        <w:spacing w:line="360" w:lineRule="auto"/>
        <w:ind w:firstLineChars="200" w:firstLine="480"/>
        <w:rPr>
          <w:color w:val="000000"/>
          <w:sz w:val="24"/>
        </w:rPr>
      </w:pPr>
      <w:r>
        <w:rPr>
          <w:color w:val="000000"/>
          <w:sz w:val="24"/>
        </w:rPr>
        <w:t>2.</w:t>
      </w:r>
      <w:r>
        <w:rPr>
          <w:color w:val="000000"/>
          <w:sz w:val="24"/>
        </w:rPr>
        <w:t>《易方达生物科技指数分级证券投资基金基金合同》；</w:t>
      </w:r>
    </w:p>
    <w:p w:rsidR="00317CD3" w:rsidRDefault="00761158">
      <w:pPr>
        <w:spacing w:line="360" w:lineRule="auto"/>
        <w:ind w:firstLineChars="200" w:firstLine="480"/>
        <w:rPr>
          <w:color w:val="000000"/>
          <w:sz w:val="24"/>
        </w:rPr>
      </w:pPr>
      <w:r>
        <w:rPr>
          <w:color w:val="000000"/>
          <w:sz w:val="24"/>
        </w:rPr>
        <w:t>3.</w:t>
      </w:r>
      <w:r>
        <w:rPr>
          <w:color w:val="000000"/>
          <w:sz w:val="24"/>
        </w:rPr>
        <w:t>《易方达生物科技指数分级证券投资基金托管协议》；</w:t>
      </w:r>
    </w:p>
    <w:p w:rsidR="001C36D8" w:rsidRPr="00E43B0B" w:rsidRDefault="001C36D8" w:rsidP="00E43B0B">
      <w:pPr>
        <w:spacing w:line="360" w:lineRule="auto"/>
        <w:ind w:firstLineChars="200" w:firstLine="480"/>
        <w:rPr>
          <w:color w:val="000000"/>
          <w:sz w:val="24"/>
        </w:rPr>
      </w:pPr>
      <w:r w:rsidRPr="003D22BD">
        <w:rPr>
          <w:color w:val="000000"/>
          <w:sz w:val="24"/>
        </w:rPr>
        <w:t>4.</w:t>
      </w:r>
      <w:r w:rsidRPr="003D22BD">
        <w:rPr>
          <w:color w:val="000000"/>
          <w:sz w:val="24"/>
        </w:rPr>
        <w:t>基金管理人业务资格批件和营业执照。</w:t>
      </w:r>
    </w:p>
    <w:p w:rsidR="001C36D8" w:rsidRPr="00CE2DE4" w:rsidRDefault="001C36D8" w:rsidP="001078B6">
      <w:pPr>
        <w:spacing w:line="360" w:lineRule="auto"/>
        <w:rPr>
          <w:rFonts w:ascii="宋体"/>
          <w:b/>
          <w:color w:val="000000"/>
          <w:sz w:val="24"/>
        </w:rPr>
      </w:pPr>
      <w:r w:rsidRPr="00CE2DE4">
        <w:rPr>
          <w:rFonts w:ascii="宋体" w:hAnsi="宋体"/>
          <w:b/>
          <w:color w:val="000000"/>
          <w:sz w:val="24"/>
        </w:rPr>
        <w:t xml:space="preserve">9.2 </w:t>
      </w:r>
      <w:r w:rsidRPr="00CE2DE4">
        <w:rPr>
          <w:rFonts w:ascii="宋体" w:hAnsi="宋体" w:hint="eastAsia"/>
          <w:b/>
          <w:color w:val="000000"/>
          <w:sz w:val="24"/>
        </w:rPr>
        <w:t>存放地点</w:t>
      </w:r>
    </w:p>
    <w:p w:rsidR="001C36D8" w:rsidRPr="00E43B0B" w:rsidRDefault="001C36D8" w:rsidP="00E43B0B">
      <w:pPr>
        <w:spacing w:line="360" w:lineRule="auto"/>
        <w:ind w:firstLineChars="200" w:firstLine="480"/>
        <w:rPr>
          <w:color w:val="000000"/>
          <w:sz w:val="24"/>
        </w:rPr>
      </w:pPr>
      <w:r w:rsidRPr="003D22BD">
        <w:rPr>
          <w:color w:val="000000"/>
          <w:sz w:val="24"/>
        </w:rPr>
        <w:t>广州市天河区珠江新城珠江东路</w:t>
      </w:r>
      <w:r w:rsidRPr="003D22BD">
        <w:rPr>
          <w:color w:val="000000"/>
          <w:sz w:val="24"/>
        </w:rPr>
        <w:t>30</w:t>
      </w:r>
      <w:r w:rsidRPr="003D22BD">
        <w:rPr>
          <w:color w:val="000000"/>
          <w:sz w:val="24"/>
        </w:rPr>
        <w:t>号广州银行大厦</w:t>
      </w:r>
      <w:r w:rsidRPr="003D22BD">
        <w:rPr>
          <w:color w:val="000000"/>
          <w:sz w:val="24"/>
        </w:rPr>
        <w:t>40-43</w:t>
      </w:r>
      <w:r w:rsidRPr="003D22BD">
        <w:rPr>
          <w:color w:val="000000"/>
          <w:sz w:val="24"/>
        </w:rPr>
        <w:t>楼。</w:t>
      </w:r>
    </w:p>
    <w:p w:rsidR="001C36D8" w:rsidRPr="00CE2DE4" w:rsidRDefault="001C36D8" w:rsidP="001078B6">
      <w:pPr>
        <w:spacing w:line="360" w:lineRule="auto"/>
        <w:rPr>
          <w:rFonts w:ascii="宋体"/>
          <w:b/>
          <w:color w:val="000000"/>
          <w:sz w:val="24"/>
        </w:rPr>
      </w:pPr>
      <w:r w:rsidRPr="00CE2DE4">
        <w:rPr>
          <w:rFonts w:ascii="宋体" w:hAnsi="宋体"/>
          <w:b/>
          <w:color w:val="000000"/>
          <w:sz w:val="24"/>
        </w:rPr>
        <w:t xml:space="preserve">9.3 </w:t>
      </w:r>
      <w:r w:rsidRPr="00CE2DE4">
        <w:rPr>
          <w:rFonts w:ascii="宋体" w:hAnsi="宋体" w:hint="eastAsia"/>
          <w:b/>
          <w:color w:val="000000"/>
          <w:sz w:val="24"/>
        </w:rPr>
        <w:t>查阅方式</w:t>
      </w:r>
    </w:p>
    <w:p w:rsidR="001C36D8" w:rsidRPr="003D22BD" w:rsidRDefault="001C36D8" w:rsidP="0015779C">
      <w:pPr>
        <w:spacing w:line="360" w:lineRule="auto"/>
        <w:ind w:firstLineChars="200" w:firstLine="480"/>
        <w:rPr>
          <w:color w:val="000000"/>
          <w:sz w:val="24"/>
        </w:rPr>
      </w:pPr>
      <w:r w:rsidRPr="003D22BD">
        <w:rPr>
          <w:color w:val="000000"/>
          <w:sz w:val="24"/>
        </w:rPr>
        <w:t>投资者可在营业时间免费查阅，也可按工本费购买复印件。</w:t>
      </w:r>
    </w:p>
    <w:p w:rsidR="001C36D8" w:rsidRPr="00272E0C" w:rsidRDefault="001C36D8" w:rsidP="0019563C">
      <w:pPr>
        <w:spacing w:line="360" w:lineRule="auto"/>
        <w:ind w:left="840"/>
        <w:jc w:val="right"/>
        <w:rPr>
          <w:rFonts w:ascii="宋体"/>
          <w:color w:val="000000"/>
          <w:sz w:val="24"/>
        </w:rPr>
      </w:pPr>
      <w:r w:rsidRPr="00272E0C">
        <w:rPr>
          <w:rFonts w:ascii="宋体"/>
          <w:color w:val="000000"/>
          <w:sz w:val="24"/>
        </w:rPr>
        <w:tab/>
      </w:r>
    </w:p>
    <w:p w:rsidR="001C36D8" w:rsidRDefault="001C36D8" w:rsidP="0019563C">
      <w:pPr>
        <w:spacing w:line="360" w:lineRule="auto"/>
        <w:ind w:left="840"/>
        <w:jc w:val="right"/>
        <w:rPr>
          <w:rFonts w:ascii="宋体"/>
          <w:color w:val="000000"/>
          <w:sz w:val="24"/>
        </w:rPr>
      </w:pPr>
    </w:p>
    <w:p w:rsidR="001C36D8" w:rsidRDefault="001C36D8" w:rsidP="0019563C">
      <w:pPr>
        <w:spacing w:line="360" w:lineRule="auto"/>
        <w:ind w:left="840"/>
        <w:jc w:val="right"/>
        <w:rPr>
          <w:rFonts w:ascii="宋体"/>
          <w:color w:val="000000"/>
          <w:sz w:val="24"/>
        </w:rPr>
      </w:pPr>
    </w:p>
    <w:p w:rsidR="001C36D8" w:rsidRDefault="001C36D8" w:rsidP="0019563C">
      <w:pPr>
        <w:spacing w:line="360" w:lineRule="auto"/>
        <w:ind w:left="840"/>
        <w:jc w:val="right"/>
        <w:rPr>
          <w:rFonts w:ascii="宋体"/>
          <w:color w:val="000000"/>
          <w:sz w:val="24"/>
        </w:rPr>
      </w:pPr>
    </w:p>
    <w:p w:rsidR="001C36D8" w:rsidRPr="00272E0C" w:rsidRDefault="001C36D8" w:rsidP="0019563C">
      <w:pPr>
        <w:spacing w:line="360" w:lineRule="auto"/>
        <w:ind w:left="840"/>
        <w:jc w:val="right"/>
        <w:rPr>
          <w:rFonts w:ascii="宋体"/>
          <w:color w:val="000000"/>
          <w:sz w:val="24"/>
        </w:rPr>
      </w:pPr>
    </w:p>
    <w:p w:rsidR="001C36D8" w:rsidRPr="00272E0C" w:rsidRDefault="001C36D8" w:rsidP="0019563C">
      <w:pPr>
        <w:spacing w:line="360" w:lineRule="auto"/>
        <w:ind w:left="840"/>
        <w:jc w:val="right"/>
        <w:rPr>
          <w:rFonts w:ascii="宋体"/>
          <w:color w:val="000000"/>
          <w:sz w:val="24"/>
        </w:rPr>
      </w:pPr>
    </w:p>
    <w:p w:rsidR="001C36D8" w:rsidRPr="00272E0C" w:rsidRDefault="001C36D8" w:rsidP="001078B6">
      <w:pPr>
        <w:spacing w:line="360" w:lineRule="auto"/>
        <w:jc w:val="right"/>
        <w:rPr>
          <w:rFonts w:ascii="宋体" w:hAnsi="宋体"/>
          <w:b/>
          <w:bCs/>
          <w:sz w:val="24"/>
        </w:rPr>
      </w:pPr>
      <w:r w:rsidRPr="00272E0C">
        <w:rPr>
          <w:rFonts w:ascii="宋体" w:hAnsi="宋体"/>
          <w:b/>
          <w:bCs/>
          <w:sz w:val="24"/>
        </w:rPr>
        <w:t>易方达基金管理有限公司</w:t>
      </w:r>
    </w:p>
    <w:p w:rsidR="001C36D8" w:rsidRPr="008C2A97" w:rsidRDefault="001C36D8" w:rsidP="008C2A97">
      <w:pPr>
        <w:spacing w:line="360" w:lineRule="auto"/>
        <w:jc w:val="right"/>
        <w:rPr>
          <w:rFonts w:ascii="宋体" w:hAnsi="宋体"/>
          <w:b/>
          <w:bCs/>
          <w:sz w:val="24"/>
        </w:rPr>
      </w:pPr>
      <w:r w:rsidRPr="00272E0C">
        <w:rPr>
          <w:rFonts w:ascii="宋体" w:hAnsi="宋体"/>
          <w:b/>
          <w:bCs/>
          <w:sz w:val="24"/>
        </w:rPr>
        <w:t>二〇二〇年四月二十一日</w:t>
      </w:r>
    </w:p>
    <w:sectPr w:rsidR="001C36D8" w:rsidRPr="008C2A97"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08C" w:rsidRDefault="0097008C">
      <w:r>
        <w:separator/>
      </w:r>
    </w:p>
  </w:endnote>
  <w:endnote w:type="continuationSeparator" w:id="0">
    <w:p w:rsidR="0097008C" w:rsidRDefault="0097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Pr="001D0DB0" w:rsidRDefault="00E43B0B" w:rsidP="00230A66">
    <w:pPr>
      <w:pStyle w:val="a6"/>
      <w:jc w:val="center"/>
    </w:pPr>
    <w:r>
      <w:rPr>
        <w:rFonts w:hint="eastAsia"/>
        <w:kern w:val="0"/>
        <w:szCs w:val="21"/>
      </w:rPr>
      <w:t>第</w:t>
    </w:r>
    <w:r w:rsidR="0015021E">
      <w:rPr>
        <w:kern w:val="0"/>
        <w:szCs w:val="21"/>
      </w:rPr>
      <w:fldChar w:fldCharType="begin"/>
    </w:r>
    <w:r>
      <w:rPr>
        <w:kern w:val="0"/>
        <w:szCs w:val="21"/>
      </w:rPr>
      <w:instrText xml:space="preserve"> PAGE </w:instrText>
    </w:r>
    <w:r w:rsidR="0015021E">
      <w:rPr>
        <w:kern w:val="0"/>
        <w:szCs w:val="21"/>
      </w:rPr>
      <w:fldChar w:fldCharType="separate"/>
    </w:r>
    <w:r w:rsidR="00761158">
      <w:rPr>
        <w:noProof/>
        <w:kern w:val="0"/>
        <w:szCs w:val="21"/>
      </w:rPr>
      <w:t>1</w:t>
    </w:r>
    <w:r w:rsidR="0015021E">
      <w:rPr>
        <w:kern w:val="0"/>
        <w:szCs w:val="21"/>
      </w:rPr>
      <w:fldChar w:fldCharType="end"/>
    </w:r>
    <w:r>
      <w:rPr>
        <w:rFonts w:hint="eastAsia"/>
        <w:kern w:val="0"/>
        <w:szCs w:val="21"/>
      </w:rPr>
      <w:t>页共</w:t>
    </w:r>
    <w:r w:rsidR="0015021E">
      <w:rPr>
        <w:kern w:val="0"/>
        <w:szCs w:val="21"/>
      </w:rPr>
      <w:fldChar w:fldCharType="begin"/>
    </w:r>
    <w:r>
      <w:rPr>
        <w:kern w:val="0"/>
        <w:szCs w:val="21"/>
      </w:rPr>
      <w:instrText xml:space="preserve"> NUMPAGES </w:instrText>
    </w:r>
    <w:r w:rsidR="0015021E">
      <w:rPr>
        <w:kern w:val="0"/>
        <w:szCs w:val="21"/>
      </w:rPr>
      <w:fldChar w:fldCharType="separate"/>
    </w:r>
    <w:r w:rsidR="00761158">
      <w:rPr>
        <w:noProof/>
        <w:kern w:val="0"/>
        <w:szCs w:val="21"/>
      </w:rPr>
      <w:t>1</w:t>
    </w:r>
    <w:r w:rsidR="0015021E">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Default="0015021E">
    <w:pPr>
      <w:pStyle w:val="a6"/>
      <w:framePr w:wrap="around" w:vAnchor="text" w:hAnchor="margin" w:xAlign="center" w:y="1"/>
      <w:rPr>
        <w:rStyle w:val="a7"/>
      </w:rPr>
    </w:pPr>
    <w:r>
      <w:rPr>
        <w:rStyle w:val="a7"/>
      </w:rPr>
      <w:fldChar w:fldCharType="begin"/>
    </w:r>
    <w:r w:rsidR="00E43B0B">
      <w:rPr>
        <w:rStyle w:val="a7"/>
      </w:rPr>
      <w:instrText xml:space="preserve">PAGE  </w:instrText>
    </w:r>
    <w:r>
      <w:rPr>
        <w:rStyle w:val="a7"/>
      </w:rPr>
      <w:fldChar w:fldCharType="end"/>
    </w:r>
  </w:p>
  <w:p w:rsidR="00E43B0B" w:rsidRDefault="00E43B0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Default="0015021E">
    <w:pPr>
      <w:pStyle w:val="a6"/>
      <w:framePr w:wrap="around" w:vAnchor="text" w:hAnchor="margin" w:xAlign="center" w:y="1"/>
      <w:rPr>
        <w:rStyle w:val="a7"/>
      </w:rPr>
    </w:pPr>
    <w:r>
      <w:rPr>
        <w:rStyle w:val="a7"/>
      </w:rPr>
      <w:fldChar w:fldCharType="begin"/>
    </w:r>
    <w:r w:rsidR="00E43B0B">
      <w:rPr>
        <w:rStyle w:val="a7"/>
      </w:rPr>
      <w:instrText xml:space="preserve">PAGE  </w:instrText>
    </w:r>
    <w:r>
      <w:rPr>
        <w:rStyle w:val="a7"/>
      </w:rPr>
      <w:fldChar w:fldCharType="separate"/>
    </w:r>
    <w:r w:rsidR="00761158">
      <w:rPr>
        <w:rStyle w:val="a7"/>
        <w:noProof/>
      </w:rPr>
      <w:t>2</w:t>
    </w:r>
    <w:r>
      <w:rPr>
        <w:rStyle w:val="a7"/>
      </w:rPr>
      <w:fldChar w:fldCharType="end"/>
    </w:r>
  </w:p>
  <w:p w:rsidR="00E43B0B" w:rsidRDefault="00E43B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08C" w:rsidRDefault="0097008C">
      <w:r>
        <w:separator/>
      </w:r>
    </w:p>
  </w:footnote>
  <w:footnote w:type="continuationSeparator" w:id="0">
    <w:p w:rsidR="0097008C" w:rsidRDefault="00970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Pr="00717C29" w:rsidRDefault="00E43B0B" w:rsidP="00FB572A">
    <w:pPr>
      <w:pStyle w:val="a9"/>
      <w:pBdr>
        <w:bottom w:val="single" w:sz="6" w:space="0" w:color="auto"/>
      </w:pBdr>
      <w:jc w:val="right"/>
      <w:rPr>
        <w:sz w:val="15"/>
      </w:rPr>
    </w:pPr>
    <w:r w:rsidRPr="00717C29">
      <w:rPr>
        <w:szCs w:val="21"/>
      </w:rPr>
      <w:t>易方达生物科技指数分级证券投资基金</w:t>
    </w:r>
    <w:r w:rsidRPr="00717C29">
      <w:rPr>
        <w:szCs w:val="21"/>
      </w:rPr>
      <w:t>2020</w:t>
    </w:r>
    <w:r w:rsidRPr="00717C29">
      <w:rPr>
        <w:szCs w:val="21"/>
      </w:rPr>
      <w:t>年第</w:t>
    </w:r>
    <w:r w:rsidRPr="00717C29">
      <w:rPr>
        <w:szCs w:val="21"/>
      </w:rPr>
      <w:t>1</w:t>
    </w:r>
    <w:r w:rsidRPr="00717C29">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116E"/>
    <w:rsid w:val="0000403B"/>
    <w:rsid w:val="00005911"/>
    <w:rsid w:val="0000595B"/>
    <w:rsid w:val="00010A83"/>
    <w:rsid w:val="00010A8E"/>
    <w:rsid w:val="00010AC3"/>
    <w:rsid w:val="000118A9"/>
    <w:rsid w:val="00011EB5"/>
    <w:rsid w:val="0001280C"/>
    <w:rsid w:val="00013023"/>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5190"/>
    <w:rsid w:val="00055AF1"/>
    <w:rsid w:val="00056A75"/>
    <w:rsid w:val="00057DD3"/>
    <w:rsid w:val="000625A6"/>
    <w:rsid w:val="000627CD"/>
    <w:rsid w:val="00062BCE"/>
    <w:rsid w:val="00064AE3"/>
    <w:rsid w:val="00066524"/>
    <w:rsid w:val="00070CD1"/>
    <w:rsid w:val="0007171B"/>
    <w:rsid w:val="00074E9F"/>
    <w:rsid w:val="00081D05"/>
    <w:rsid w:val="0008378B"/>
    <w:rsid w:val="00085449"/>
    <w:rsid w:val="00087CF7"/>
    <w:rsid w:val="00090B0F"/>
    <w:rsid w:val="00090D91"/>
    <w:rsid w:val="00091214"/>
    <w:rsid w:val="00094876"/>
    <w:rsid w:val="00095912"/>
    <w:rsid w:val="00095CE0"/>
    <w:rsid w:val="00096933"/>
    <w:rsid w:val="00097230"/>
    <w:rsid w:val="0009778D"/>
    <w:rsid w:val="000A457E"/>
    <w:rsid w:val="000A53FD"/>
    <w:rsid w:val="000A549A"/>
    <w:rsid w:val="000A72F2"/>
    <w:rsid w:val="000B0C56"/>
    <w:rsid w:val="000B3E43"/>
    <w:rsid w:val="000B5974"/>
    <w:rsid w:val="000B5CC0"/>
    <w:rsid w:val="000C1038"/>
    <w:rsid w:val="000C1723"/>
    <w:rsid w:val="000C1B20"/>
    <w:rsid w:val="000C4107"/>
    <w:rsid w:val="000C44BD"/>
    <w:rsid w:val="000C45E7"/>
    <w:rsid w:val="000C57A8"/>
    <w:rsid w:val="000D0149"/>
    <w:rsid w:val="000D01F4"/>
    <w:rsid w:val="000D0D4E"/>
    <w:rsid w:val="000D1519"/>
    <w:rsid w:val="000E1618"/>
    <w:rsid w:val="000E4456"/>
    <w:rsid w:val="000F175F"/>
    <w:rsid w:val="000F17D1"/>
    <w:rsid w:val="000F2837"/>
    <w:rsid w:val="000F399F"/>
    <w:rsid w:val="000F60FF"/>
    <w:rsid w:val="000F635F"/>
    <w:rsid w:val="000F6C61"/>
    <w:rsid w:val="001008A1"/>
    <w:rsid w:val="00100C12"/>
    <w:rsid w:val="00102E56"/>
    <w:rsid w:val="001049B6"/>
    <w:rsid w:val="001051C6"/>
    <w:rsid w:val="001078B6"/>
    <w:rsid w:val="0011177A"/>
    <w:rsid w:val="00111D44"/>
    <w:rsid w:val="00116E31"/>
    <w:rsid w:val="00120BED"/>
    <w:rsid w:val="0012304E"/>
    <w:rsid w:val="001248EF"/>
    <w:rsid w:val="001257C7"/>
    <w:rsid w:val="00126DDF"/>
    <w:rsid w:val="001270BF"/>
    <w:rsid w:val="00127BAC"/>
    <w:rsid w:val="00134868"/>
    <w:rsid w:val="001366D4"/>
    <w:rsid w:val="00140FF8"/>
    <w:rsid w:val="00142A56"/>
    <w:rsid w:val="00144DF5"/>
    <w:rsid w:val="00145A97"/>
    <w:rsid w:val="00146485"/>
    <w:rsid w:val="00147338"/>
    <w:rsid w:val="0015021E"/>
    <w:rsid w:val="001506B4"/>
    <w:rsid w:val="00150A6E"/>
    <w:rsid w:val="00150AD6"/>
    <w:rsid w:val="00153B40"/>
    <w:rsid w:val="00154ADA"/>
    <w:rsid w:val="0015531A"/>
    <w:rsid w:val="00155953"/>
    <w:rsid w:val="0015779C"/>
    <w:rsid w:val="001600E8"/>
    <w:rsid w:val="00163B27"/>
    <w:rsid w:val="00165317"/>
    <w:rsid w:val="00170F80"/>
    <w:rsid w:val="00171BAD"/>
    <w:rsid w:val="001744B4"/>
    <w:rsid w:val="001756A1"/>
    <w:rsid w:val="001761EE"/>
    <w:rsid w:val="0017638D"/>
    <w:rsid w:val="00176EAA"/>
    <w:rsid w:val="0017725A"/>
    <w:rsid w:val="00177C4B"/>
    <w:rsid w:val="0018325A"/>
    <w:rsid w:val="00183C9E"/>
    <w:rsid w:val="00184556"/>
    <w:rsid w:val="00185D2B"/>
    <w:rsid w:val="00186199"/>
    <w:rsid w:val="001878B0"/>
    <w:rsid w:val="001928F7"/>
    <w:rsid w:val="00193F07"/>
    <w:rsid w:val="00194537"/>
    <w:rsid w:val="0019563C"/>
    <w:rsid w:val="001A09F9"/>
    <w:rsid w:val="001A14DB"/>
    <w:rsid w:val="001A21A9"/>
    <w:rsid w:val="001A363B"/>
    <w:rsid w:val="001A59D8"/>
    <w:rsid w:val="001A5FA6"/>
    <w:rsid w:val="001B0A62"/>
    <w:rsid w:val="001B2F0C"/>
    <w:rsid w:val="001B64E7"/>
    <w:rsid w:val="001C123E"/>
    <w:rsid w:val="001C36D8"/>
    <w:rsid w:val="001C37F6"/>
    <w:rsid w:val="001C4BEC"/>
    <w:rsid w:val="001C6288"/>
    <w:rsid w:val="001C7DE9"/>
    <w:rsid w:val="001D0DB0"/>
    <w:rsid w:val="001D0F6A"/>
    <w:rsid w:val="001D21BC"/>
    <w:rsid w:val="001D2FA5"/>
    <w:rsid w:val="001D35E0"/>
    <w:rsid w:val="001D5045"/>
    <w:rsid w:val="001D5387"/>
    <w:rsid w:val="001D5A44"/>
    <w:rsid w:val="001D63BB"/>
    <w:rsid w:val="001D724B"/>
    <w:rsid w:val="001E11D3"/>
    <w:rsid w:val="001E2A6A"/>
    <w:rsid w:val="001E3DC2"/>
    <w:rsid w:val="001E56FF"/>
    <w:rsid w:val="001E5C6B"/>
    <w:rsid w:val="001E6E4D"/>
    <w:rsid w:val="001F03E1"/>
    <w:rsid w:val="001F0DE2"/>
    <w:rsid w:val="001F218E"/>
    <w:rsid w:val="001F3CC6"/>
    <w:rsid w:val="001F40BA"/>
    <w:rsid w:val="001F4530"/>
    <w:rsid w:val="002010DE"/>
    <w:rsid w:val="00202968"/>
    <w:rsid w:val="00202A66"/>
    <w:rsid w:val="00202C32"/>
    <w:rsid w:val="00203AEF"/>
    <w:rsid w:val="00210344"/>
    <w:rsid w:val="00211A26"/>
    <w:rsid w:val="002125F7"/>
    <w:rsid w:val="00213171"/>
    <w:rsid w:val="00213917"/>
    <w:rsid w:val="00214463"/>
    <w:rsid w:val="00214756"/>
    <w:rsid w:val="00215CF2"/>
    <w:rsid w:val="00215E33"/>
    <w:rsid w:val="00216232"/>
    <w:rsid w:val="00220542"/>
    <w:rsid w:val="00220684"/>
    <w:rsid w:val="00221174"/>
    <w:rsid w:val="00225ADC"/>
    <w:rsid w:val="00230732"/>
    <w:rsid w:val="00230A66"/>
    <w:rsid w:val="00230EC2"/>
    <w:rsid w:val="002359EB"/>
    <w:rsid w:val="002363AB"/>
    <w:rsid w:val="00237FA3"/>
    <w:rsid w:val="0024172D"/>
    <w:rsid w:val="00241B12"/>
    <w:rsid w:val="0024260D"/>
    <w:rsid w:val="00243E40"/>
    <w:rsid w:val="00245012"/>
    <w:rsid w:val="0024504E"/>
    <w:rsid w:val="0024651F"/>
    <w:rsid w:val="002470BA"/>
    <w:rsid w:val="00250BE3"/>
    <w:rsid w:val="00251290"/>
    <w:rsid w:val="0025158D"/>
    <w:rsid w:val="00251D17"/>
    <w:rsid w:val="00251F3A"/>
    <w:rsid w:val="0025281A"/>
    <w:rsid w:val="00253D3C"/>
    <w:rsid w:val="0025435F"/>
    <w:rsid w:val="00255292"/>
    <w:rsid w:val="00260200"/>
    <w:rsid w:val="00263563"/>
    <w:rsid w:val="002648D8"/>
    <w:rsid w:val="00264E55"/>
    <w:rsid w:val="00270548"/>
    <w:rsid w:val="00272E0C"/>
    <w:rsid w:val="00273F86"/>
    <w:rsid w:val="002752B0"/>
    <w:rsid w:val="002774F0"/>
    <w:rsid w:val="0028459B"/>
    <w:rsid w:val="00284C5F"/>
    <w:rsid w:val="002873F0"/>
    <w:rsid w:val="00291A74"/>
    <w:rsid w:val="00292198"/>
    <w:rsid w:val="002964F9"/>
    <w:rsid w:val="00297EF3"/>
    <w:rsid w:val="002A1F14"/>
    <w:rsid w:val="002A2678"/>
    <w:rsid w:val="002A2E01"/>
    <w:rsid w:val="002A398F"/>
    <w:rsid w:val="002A44F9"/>
    <w:rsid w:val="002A5C6B"/>
    <w:rsid w:val="002A5D31"/>
    <w:rsid w:val="002A714F"/>
    <w:rsid w:val="002A74FB"/>
    <w:rsid w:val="002B1851"/>
    <w:rsid w:val="002B27FF"/>
    <w:rsid w:val="002B4429"/>
    <w:rsid w:val="002B6793"/>
    <w:rsid w:val="002C1726"/>
    <w:rsid w:val="002C1DF3"/>
    <w:rsid w:val="002C21A6"/>
    <w:rsid w:val="002C26D5"/>
    <w:rsid w:val="002C2DE0"/>
    <w:rsid w:val="002C5777"/>
    <w:rsid w:val="002C7FC3"/>
    <w:rsid w:val="002D1791"/>
    <w:rsid w:val="002D32E3"/>
    <w:rsid w:val="002D55E7"/>
    <w:rsid w:val="002E0FEB"/>
    <w:rsid w:val="002E1EBA"/>
    <w:rsid w:val="002F0F79"/>
    <w:rsid w:val="002F280E"/>
    <w:rsid w:val="002F3709"/>
    <w:rsid w:val="002F3A6C"/>
    <w:rsid w:val="002F3E9C"/>
    <w:rsid w:val="002F4296"/>
    <w:rsid w:val="00300951"/>
    <w:rsid w:val="003023C9"/>
    <w:rsid w:val="00302CA8"/>
    <w:rsid w:val="00302DE9"/>
    <w:rsid w:val="003041B1"/>
    <w:rsid w:val="00305084"/>
    <w:rsid w:val="003168E2"/>
    <w:rsid w:val="00317CD3"/>
    <w:rsid w:val="003204E9"/>
    <w:rsid w:val="00320DDA"/>
    <w:rsid w:val="00321E8C"/>
    <w:rsid w:val="00322A65"/>
    <w:rsid w:val="00322A86"/>
    <w:rsid w:val="00323AE8"/>
    <w:rsid w:val="00324548"/>
    <w:rsid w:val="003251F4"/>
    <w:rsid w:val="003303E3"/>
    <w:rsid w:val="00331FA4"/>
    <w:rsid w:val="003329EA"/>
    <w:rsid w:val="00332FDE"/>
    <w:rsid w:val="003407A5"/>
    <w:rsid w:val="00341188"/>
    <w:rsid w:val="0034147B"/>
    <w:rsid w:val="0034432A"/>
    <w:rsid w:val="00350238"/>
    <w:rsid w:val="0035109C"/>
    <w:rsid w:val="00351F0A"/>
    <w:rsid w:val="0035432B"/>
    <w:rsid w:val="00357EB5"/>
    <w:rsid w:val="00361E7E"/>
    <w:rsid w:val="003669EF"/>
    <w:rsid w:val="00370AA4"/>
    <w:rsid w:val="00371FF4"/>
    <w:rsid w:val="00373015"/>
    <w:rsid w:val="00375D24"/>
    <w:rsid w:val="00377520"/>
    <w:rsid w:val="00380D36"/>
    <w:rsid w:val="003822D3"/>
    <w:rsid w:val="0038409E"/>
    <w:rsid w:val="00384BC3"/>
    <w:rsid w:val="00386630"/>
    <w:rsid w:val="00390522"/>
    <w:rsid w:val="00390B25"/>
    <w:rsid w:val="00390C86"/>
    <w:rsid w:val="00397156"/>
    <w:rsid w:val="00397960"/>
    <w:rsid w:val="003A20AA"/>
    <w:rsid w:val="003A3BC4"/>
    <w:rsid w:val="003A458A"/>
    <w:rsid w:val="003A4DA3"/>
    <w:rsid w:val="003A768B"/>
    <w:rsid w:val="003B07C8"/>
    <w:rsid w:val="003B2082"/>
    <w:rsid w:val="003B2F13"/>
    <w:rsid w:val="003B3D0C"/>
    <w:rsid w:val="003B405E"/>
    <w:rsid w:val="003B57D3"/>
    <w:rsid w:val="003C1F58"/>
    <w:rsid w:val="003C792F"/>
    <w:rsid w:val="003D124B"/>
    <w:rsid w:val="003D18F3"/>
    <w:rsid w:val="003D22BD"/>
    <w:rsid w:val="003D4E5A"/>
    <w:rsid w:val="003D5951"/>
    <w:rsid w:val="003D74F2"/>
    <w:rsid w:val="003D78B5"/>
    <w:rsid w:val="003E1062"/>
    <w:rsid w:val="003E244F"/>
    <w:rsid w:val="003E3AE8"/>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6C10"/>
    <w:rsid w:val="004217C8"/>
    <w:rsid w:val="0042180E"/>
    <w:rsid w:val="004222C8"/>
    <w:rsid w:val="0042253F"/>
    <w:rsid w:val="00424726"/>
    <w:rsid w:val="00424EF3"/>
    <w:rsid w:val="004268BB"/>
    <w:rsid w:val="00431047"/>
    <w:rsid w:val="004318F0"/>
    <w:rsid w:val="00431B86"/>
    <w:rsid w:val="00431BC5"/>
    <w:rsid w:val="004344A5"/>
    <w:rsid w:val="004408EC"/>
    <w:rsid w:val="00441B38"/>
    <w:rsid w:val="00441D14"/>
    <w:rsid w:val="00441E6A"/>
    <w:rsid w:val="004432B9"/>
    <w:rsid w:val="00443C8F"/>
    <w:rsid w:val="00452481"/>
    <w:rsid w:val="00453E40"/>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68F"/>
    <w:rsid w:val="00491ABD"/>
    <w:rsid w:val="0049297D"/>
    <w:rsid w:val="004929F2"/>
    <w:rsid w:val="00495A03"/>
    <w:rsid w:val="00497079"/>
    <w:rsid w:val="004A1BBA"/>
    <w:rsid w:val="004A1E8A"/>
    <w:rsid w:val="004A3E3C"/>
    <w:rsid w:val="004A3F71"/>
    <w:rsid w:val="004B0E6D"/>
    <w:rsid w:val="004B16E8"/>
    <w:rsid w:val="004B2326"/>
    <w:rsid w:val="004B4D2D"/>
    <w:rsid w:val="004B6250"/>
    <w:rsid w:val="004B76B1"/>
    <w:rsid w:val="004B7CA0"/>
    <w:rsid w:val="004C0057"/>
    <w:rsid w:val="004C04AE"/>
    <w:rsid w:val="004C0541"/>
    <w:rsid w:val="004C2C46"/>
    <w:rsid w:val="004C6E88"/>
    <w:rsid w:val="004C7235"/>
    <w:rsid w:val="004C7955"/>
    <w:rsid w:val="004D047F"/>
    <w:rsid w:val="004D3D96"/>
    <w:rsid w:val="004D650F"/>
    <w:rsid w:val="004D67E0"/>
    <w:rsid w:val="004E12E1"/>
    <w:rsid w:val="004E2133"/>
    <w:rsid w:val="004E32E2"/>
    <w:rsid w:val="004E5AB9"/>
    <w:rsid w:val="004E60FB"/>
    <w:rsid w:val="004F779C"/>
    <w:rsid w:val="004F7846"/>
    <w:rsid w:val="005000D4"/>
    <w:rsid w:val="005015FA"/>
    <w:rsid w:val="00505411"/>
    <w:rsid w:val="00510CAF"/>
    <w:rsid w:val="00510DAB"/>
    <w:rsid w:val="005128C5"/>
    <w:rsid w:val="00514754"/>
    <w:rsid w:val="0051478B"/>
    <w:rsid w:val="0051566A"/>
    <w:rsid w:val="00515D7B"/>
    <w:rsid w:val="005166E9"/>
    <w:rsid w:val="0052009E"/>
    <w:rsid w:val="0052302C"/>
    <w:rsid w:val="00525E59"/>
    <w:rsid w:val="00530D61"/>
    <w:rsid w:val="005318CC"/>
    <w:rsid w:val="00531D1B"/>
    <w:rsid w:val="005349B1"/>
    <w:rsid w:val="005374BC"/>
    <w:rsid w:val="00537A4E"/>
    <w:rsid w:val="00543188"/>
    <w:rsid w:val="00543367"/>
    <w:rsid w:val="00543BFA"/>
    <w:rsid w:val="00547D9C"/>
    <w:rsid w:val="00547DA1"/>
    <w:rsid w:val="005505E1"/>
    <w:rsid w:val="005541BC"/>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61D7"/>
    <w:rsid w:val="00597057"/>
    <w:rsid w:val="00597D8B"/>
    <w:rsid w:val="005A1C30"/>
    <w:rsid w:val="005A229D"/>
    <w:rsid w:val="005A3295"/>
    <w:rsid w:val="005A46FF"/>
    <w:rsid w:val="005A5AE2"/>
    <w:rsid w:val="005B011E"/>
    <w:rsid w:val="005B14F0"/>
    <w:rsid w:val="005B1E0B"/>
    <w:rsid w:val="005B2E84"/>
    <w:rsid w:val="005B70C6"/>
    <w:rsid w:val="005B7B0E"/>
    <w:rsid w:val="005C526E"/>
    <w:rsid w:val="005C5409"/>
    <w:rsid w:val="005C69AC"/>
    <w:rsid w:val="005C6DCF"/>
    <w:rsid w:val="005C6DF3"/>
    <w:rsid w:val="005C722E"/>
    <w:rsid w:val="005D01A4"/>
    <w:rsid w:val="005D14DE"/>
    <w:rsid w:val="005D2CC7"/>
    <w:rsid w:val="005D44E4"/>
    <w:rsid w:val="005D45B3"/>
    <w:rsid w:val="005D4CEB"/>
    <w:rsid w:val="005D5F80"/>
    <w:rsid w:val="005E0C14"/>
    <w:rsid w:val="005E1D51"/>
    <w:rsid w:val="005F04E6"/>
    <w:rsid w:val="005F43B9"/>
    <w:rsid w:val="005F68CB"/>
    <w:rsid w:val="005F6A4A"/>
    <w:rsid w:val="006033E3"/>
    <w:rsid w:val="00603663"/>
    <w:rsid w:val="0061321C"/>
    <w:rsid w:val="006159E5"/>
    <w:rsid w:val="00620DB0"/>
    <w:rsid w:val="0062386E"/>
    <w:rsid w:val="00623D9A"/>
    <w:rsid w:val="00623F01"/>
    <w:rsid w:val="006242FB"/>
    <w:rsid w:val="00626E2D"/>
    <w:rsid w:val="00627D94"/>
    <w:rsid w:val="00630B42"/>
    <w:rsid w:val="00631DB3"/>
    <w:rsid w:val="00634900"/>
    <w:rsid w:val="00637BA7"/>
    <w:rsid w:val="00642072"/>
    <w:rsid w:val="006440ED"/>
    <w:rsid w:val="00645293"/>
    <w:rsid w:val="00651B78"/>
    <w:rsid w:val="00652263"/>
    <w:rsid w:val="00652881"/>
    <w:rsid w:val="00653BAC"/>
    <w:rsid w:val="00657CAF"/>
    <w:rsid w:val="00661974"/>
    <w:rsid w:val="00662F58"/>
    <w:rsid w:val="00664551"/>
    <w:rsid w:val="0066704D"/>
    <w:rsid w:val="006676A0"/>
    <w:rsid w:val="006706B6"/>
    <w:rsid w:val="00670857"/>
    <w:rsid w:val="00671124"/>
    <w:rsid w:val="006727B0"/>
    <w:rsid w:val="0067307E"/>
    <w:rsid w:val="006848C1"/>
    <w:rsid w:val="006868CD"/>
    <w:rsid w:val="00686EEA"/>
    <w:rsid w:val="00687AD5"/>
    <w:rsid w:val="00690EC4"/>
    <w:rsid w:val="00691D14"/>
    <w:rsid w:val="00695251"/>
    <w:rsid w:val="00695296"/>
    <w:rsid w:val="00695ADE"/>
    <w:rsid w:val="00695C0D"/>
    <w:rsid w:val="00696356"/>
    <w:rsid w:val="00696DDE"/>
    <w:rsid w:val="006A72C6"/>
    <w:rsid w:val="006B02DA"/>
    <w:rsid w:val="006B0806"/>
    <w:rsid w:val="006B10DA"/>
    <w:rsid w:val="006B2065"/>
    <w:rsid w:val="006B3940"/>
    <w:rsid w:val="006B5B3E"/>
    <w:rsid w:val="006C168D"/>
    <w:rsid w:val="006C4465"/>
    <w:rsid w:val="006C642C"/>
    <w:rsid w:val="006C6FC6"/>
    <w:rsid w:val="006D0E4F"/>
    <w:rsid w:val="006D676F"/>
    <w:rsid w:val="006D7693"/>
    <w:rsid w:val="006E231B"/>
    <w:rsid w:val="006E346E"/>
    <w:rsid w:val="006E34B7"/>
    <w:rsid w:val="006F103E"/>
    <w:rsid w:val="006F4C30"/>
    <w:rsid w:val="006F4CD8"/>
    <w:rsid w:val="006F53D9"/>
    <w:rsid w:val="007004DC"/>
    <w:rsid w:val="00701347"/>
    <w:rsid w:val="007027B6"/>
    <w:rsid w:val="00703E8A"/>
    <w:rsid w:val="00707FB8"/>
    <w:rsid w:val="0071006D"/>
    <w:rsid w:val="00711522"/>
    <w:rsid w:val="007124FE"/>
    <w:rsid w:val="007125A9"/>
    <w:rsid w:val="00713186"/>
    <w:rsid w:val="00713757"/>
    <w:rsid w:val="00716F79"/>
    <w:rsid w:val="00717772"/>
    <w:rsid w:val="00717C29"/>
    <w:rsid w:val="00721AF1"/>
    <w:rsid w:val="0072280F"/>
    <w:rsid w:val="00722B5E"/>
    <w:rsid w:val="0072708F"/>
    <w:rsid w:val="00727C6C"/>
    <w:rsid w:val="0073150B"/>
    <w:rsid w:val="00732D1D"/>
    <w:rsid w:val="00736034"/>
    <w:rsid w:val="0073681C"/>
    <w:rsid w:val="00737AB0"/>
    <w:rsid w:val="00740619"/>
    <w:rsid w:val="007411F1"/>
    <w:rsid w:val="00741EBE"/>
    <w:rsid w:val="00742ADF"/>
    <w:rsid w:val="00745829"/>
    <w:rsid w:val="00746130"/>
    <w:rsid w:val="00746A40"/>
    <w:rsid w:val="007479DC"/>
    <w:rsid w:val="00747ABE"/>
    <w:rsid w:val="00750358"/>
    <w:rsid w:val="00755CDF"/>
    <w:rsid w:val="00757A4C"/>
    <w:rsid w:val="00761158"/>
    <w:rsid w:val="007622F6"/>
    <w:rsid w:val="00764A94"/>
    <w:rsid w:val="007651E5"/>
    <w:rsid w:val="007665BF"/>
    <w:rsid w:val="007670DC"/>
    <w:rsid w:val="00767239"/>
    <w:rsid w:val="0077111A"/>
    <w:rsid w:val="00772272"/>
    <w:rsid w:val="007756ED"/>
    <w:rsid w:val="007870FC"/>
    <w:rsid w:val="0078729B"/>
    <w:rsid w:val="00787CD0"/>
    <w:rsid w:val="00791053"/>
    <w:rsid w:val="00791A3A"/>
    <w:rsid w:val="00794196"/>
    <w:rsid w:val="007941EA"/>
    <w:rsid w:val="007951F3"/>
    <w:rsid w:val="0079671E"/>
    <w:rsid w:val="00797637"/>
    <w:rsid w:val="007A0A57"/>
    <w:rsid w:val="007A3680"/>
    <w:rsid w:val="007A59B8"/>
    <w:rsid w:val="007A6BEA"/>
    <w:rsid w:val="007B2191"/>
    <w:rsid w:val="007B2862"/>
    <w:rsid w:val="007B3C32"/>
    <w:rsid w:val="007B505A"/>
    <w:rsid w:val="007B662A"/>
    <w:rsid w:val="007C2BCC"/>
    <w:rsid w:val="007C7E22"/>
    <w:rsid w:val="007D1C16"/>
    <w:rsid w:val="007D28C9"/>
    <w:rsid w:val="007D3CC8"/>
    <w:rsid w:val="007D62F9"/>
    <w:rsid w:val="007D63A4"/>
    <w:rsid w:val="007E008D"/>
    <w:rsid w:val="007E0F0C"/>
    <w:rsid w:val="007E1AA2"/>
    <w:rsid w:val="007E1AD0"/>
    <w:rsid w:val="007E4C1F"/>
    <w:rsid w:val="007E5EDC"/>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1C19"/>
    <w:rsid w:val="008174D4"/>
    <w:rsid w:val="00820FE6"/>
    <w:rsid w:val="00821985"/>
    <w:rsid w:val="00821A66"/>
    <w:rsid w:val="00822476"/>
    <w:rsid w:val="00822882"/>
    <w:rsid w:val="00823E6D"/>
    <w:rsid w:val="00824200"/>
    <w:rsid w:val="00825D22"/>
    <w:rsid w:val="00825F68"/>
    <w:rsid w:val="00827CB9"/>
    <w:rsid w:val="008305BF"/>
    <w:rsid w:val="00832748"/>
    <w:rsid w:val="00835408"/>
    <w:rsid w:val="008359DA"/>
    <w:rsid w:val="00836D2A"/>
    <w:rsid w:val="00837CEF"/>
    <w:rsid w:val="00840035"/>
    <w:rsid w:val="00840220"/>
    <w:rsid w:val="00840677"/>
    <w:rsid w:val="00840C20"/>
    <w:rsid w:val="008428A9"/>
    <w:rsid w:val="00844112"/>
    <w:rsid w:val="00844CBE"/>
    <w:rsid w:val="008456C9"/>
    <w:rsid w:val="0084611D"/>
    <w:rsid w:val="00850C62"/>
    <w:rsid w:val="00854463"/>
    <w:rsid w:val="00857643"/>
    <w:rsid w:val="00863011"/>
    <w:rsid w:val="0086312D"/>
    <w:rsid w:val="00863392"/>
    <w:rsid w:val="00865075"/>
    <w:rsid w:val="0086734C"/>
    <w:rsid w:val="0086748F"/>
    <w:rsid w:val="00872CE4"/>
    <w:rsid w:val="00874F4B"/>
    <w:rsid w:val="0087539B"/>
    <w:rsid w:val="00877B62"/>
    <w:rsid w:val="00880016"/>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2A97"/>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1C17"/>
    <w:rsid w:val="008F2477"/>
    <w:rsid w:val="00900DD1"/>
    <w:rsid w:val="009010F0"/>
    <w:rsid w:val="00901162"/>
    <w:rsid w:val="0090223A"/>
    <w:rsid w:val="009028E2"/>
    <w:rsid w:val="00904082"/>
    <w:rsid w:val="009055EC"/>
    <w:rsid w:val="009100C0"/>
    <w:rsid w:val="0091247B"/>
    <w:rsid w:val="0091320A"/>
    <w:rsid w:val="00914EAB"/>
    <w:rsid w:val="009150A1"/>
    <w:rsid w:val="00916808"/>
    <w:rsid w:val="00922D49"/>
    <w:rsid w:val="0092482C"/>
    <w:rsid w:val="00924A95"/>
    <w:rsid w:val="009259CF"/>
    <w:rsid w:val="00925E37"/>
    <w:rsid w:val="00925EDD"/>
    <w:rsid w:val="00927D0E"/>
    <w:rsid w:val="009309DA"/>
    <w:rsid w:val="00935771"/>
    <w:rsid w:val="00936688"/>
    <w:rsid w:val="00937CFA"/>
    <w:rsid w:val="009406B3"/>
    <w:rsid w:val="00945CF5"/>
    <w:rsid w:val="00946D66"/>
    <w:rsid w:val="009500A1"/>
    <w:rsid w:val="0095037E"/>
    <w:rsid w:val="00952AAD"/>
    <w:rsid w:val="00952F4F"/>
    <w:rsid w:val="00954567"/>
    <w:rsid w:val="009547A9"/>
    <w:rsid w:val="00957466"/>
    <w:rsid w:val="0096260B"/>
    <w:rsid w:val="00963F05"/>
    <w:rsid w:val="00965469"/>
    <w:rsid w:val="009664D5"/>
    <w:rsid w:val="0097008C"/>
    <w:rsid w:val="00970C69"/>
    <w:rsid w:val="009716AF"/>
    <w:rsid w:val="00971F1C"/>
    <w:rsid w:val="0097211D"/>
    <w:rsid w:val="00972E10"/>
    <w:rsid w:val="0097328D"/>
    <w:rsid w:val="009746CA"/>
    <w:rsid w:val="0097608D"/>
    <w:rsid w:val="0097659D"/>
    <w:rsid w:val="0097692D"/>
    <w:rsid w:val="00980242"/>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2B7"/>
    <w:rsid w:val="009D0628"/>
    <w:rsid w:val="009D1EA4"/>
    <w:rsid w:val="009D27AA"/>
    <w:rsid w:val="009D2D8B"/>
    <w:rsid w:val="009D38BA"/>
    <w:rsid w:val="009D4991"/>
    <w:rsid w:val="009D5BB5"/>
    <w:rsid w:val="009D696D"/>
    <w:rsid w:val="009D6ED2"/>
    <w:rsid w:val="009E0D5D"/>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2EEF"/>
    <w:rsid w:val="00A14AE3"/>
    <w:rsid w:val="00A16675"/>
    <w:rsid w:val="00A22CD6"/>
    <w:rsid w:val="00A234EC"/>
    <w:rsid w:val="00A2417A"/>
    <w:rsid w:val="00A26668"/>
    <w:rsid w:val="00A27804"/>
    <w:rsid w:val="00A36822"/>
    <w:rsid w:val="00A36AB5"/>
    <w:rsid w:val="00A37A23"/>
    <w:rsid w:val="00A411D1"/>
    <w:rsid w:val="00A43389"/>
    <w:rsid w:val="00A43E71"/>
    <w:rsid w:val="00A45753"/>
    <w:rsid w:val="00A47B15"/>
    <w:rsid w:val="00A52F84"/>
    <w:rsid w:val="00A5533F"/>
    <w:rsid w:val="00A554CA"/>
    <w:rsid w:val="00A56B05"/>
    <w:rsid w:val="00A57678"/>
    <w:rsid w:val="00A60E2F"/>
    <w:rsid w:val="00A63284"/>
    <w:rsid w:val="00A64CB8"/>
    <w:rsid w:val="00A67018"/>
    <w:rsid w:val="00A672F3"/>
    <w:rsid w:val="00A673DC"/>
    <w:rsid w:val="00A67D40"/>
    <w:rsid w:val="00A7076E"/>
    <w:rsid w:val="00A709BE"/>
    <w:rsid w:val="00A7162E"/>
    <w:rsid w:val="00A7195A"/>
    <w:rsid w:val="00A72D71"/>
    <w:rsid w:val="00A7519C"/>
    <w:rsid w:val="00A75705"/>
    <w:rsid w:val="00A77C69"/>
    <w:rsid w:val="00A83953"/>
    <w:rsid w:val="00A83A77"/>
    <w:rsid w:val="00A85AF5"/>
    <w:rsid w:val="00A900E7"/>
    <w:rsid w:val="00A903B6"/>
    <w:rsid w:val="00A90F4F"/>
    <w:rsid w:val="00A92E44"/>
    <w:rsid w:val="00A9418A"/>
    <w:rsid w:val="00A947AA"/>
    <w:rsid w:val="00A9769C"/>
    <w:rsid w:val="00AA1B53"/>
    <w:rsid w:val="00AA3556"/>
    <w:rsid w:val="00AA35FD"/>
    <w:rsid w:val="00AA3DB7"/>
    <w:rsid w:val="00AB0340"/>
    <w:rsid w:val="00AB3012"/>
    <w:rsid w:val="00AB321C"/>
    <w:rsid w:val="00AB5B99"/>
    <w:rsid w:val="00AB688F"/>
    <w:rsid w:val="00AB75EA"/>
    <w:rsid w:val="00AB7AA2"/>
    <w:rsid w:val="00AB7BE2"/>
    <w:rsid w:val="00AC4BC1"/>
    <w:rsid w:val="00AD04BD"/>
    <w:rsid w:val="00AD1C72"/>
    <w:rsid w:val="00AD25F6"/>
    <w:rsid w:val="00AD46E6"/>
    <w:rsid w:val="00AD7214"/>
    <w:rsid w:val="00AE1066"/>
    <w:rsid w:val="00AE2AD2"/>
    <w:rsid w:val="00AE4518"/>
    <w:rsid w:val="00AE5D7F"/>
    <w:rsid w:val="00AE79F0"/>
    <w:rsid w:val="00AF2089"/>
    <w:rsid w:val="00AF3350"/>
    <w:rsid w:val="00AF4305"/>
    <w:rsid w:val="00AF5585"/>
    <w:rsid w:val="00AF561C"/>
    <w:rsid w:val="00AF6EC1"/>
    <w:rsid w:val="00B00331"/>
    <w:rsid w:val="00B01A80"/>
    <w:rsid w:val="00B02675"/>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2B4A"/>
    <w:rsid w:val="00B54370"/>
    <w:rsid w:val="00B55185"/>
    <w:rsid w:val="00B55281"/>
    <w:rsid w:val="00B60FD1"/>
    <w:rsid w:val="00B61923"/>
    <w:rsid w:val="00B621D6"/>
    <w:rsid w:val="00B63EF5"/>
    <w:rsid w:val="00B65D6F"/>
    <w:rsid w:val="00B67C23"/>
    <w:rsid w:val="00B70DC7"/>
    <w:rsid w:val="00B715FD"/>
    <w:rsid w:val="00B73042"/>
    <w:rsid w:val="00B74BB9"/>
    <w:rsid w:val="00B75283"/>
    <w:rsid w:val="00B75735"/>
    <w:rsid w:val="00B77142"/>
    <w:rsid w:val="00B807F5"/>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2FA"/>
    <w:rsid w:val="00BD3EB4"/>
    <w:rsid w:val="00BD5C65"/>
    <w:rsid w:val="00BD71EE"/>
    <w:rsid w:val="00BE6018"/>
    <w:rsid w:val="00BF1F57"/>
    <w:rsid w:val="00BF4086"/>
    <w:rsid w:val="00BF426C"/>
    <w:rsid w:val="00BF58D0"/>
    <w:rsid w:val="00BF63AF"/>
    <w:rsid w:val="00BF7D6A"/>
    <w:rsid w:val="00C013E1"/>
    <w:rsid w:val="00C01611"/>
    <w:rsid w:val="00C02D59"/>
    <w:rsid w:val="00C030B6"/>
    <w:rsid w:val="00C03284"/>
    <w:rsid w:val="00C050D7"/>
    <w:rsid w:val="00C05B5F"/>
    <w:rsid w:val="00C06911"/>
    <w:rsid w:val="00C104CC"/>
    <w:rsid w:val="00C12898"/>
    <w:rsid w:val="00C152FE"/>
    <w:rsid w:val="00C16739"/>
    <w:rsid w:val="00C22C7D"/>
    <w:rsid w:val="00C22CCE"/>
    <w:rsid w:val="00C231D6"/>
    <w:rsid w:val="00C23BA2"/>
    <w:rsid w:val="00C272C4"/>
    <w:rsid w:val="00C31C12"/>
    <w:rsid w:val="00C32AF2"/>
    <w:rsid w:val="00C33204"/>
    <w:rsid w:val="00C338EB"/>
    <w:rsid w:val="00C3465D"/>
    <w:rsid w:val="00C35643"/>
    <w:rsid w:val="00C379E9"/>
    <w:rsid w:val="00C439FB"/>
    <w:rsid w:val="00C43F23"/>
    <w:rsid w:val="00C50011"/>
    <w:rsid w:val="00C52CA1"/>
    <w:rsid w:val="00C5755E"/>
    <w:rsid w:val="00C6379C"/>
    <w:rsid w:val="00C645E6"/>
    <w:rsid w:val="00C64D82"/>
    <w:rsid w:val="00C64FBC"/>
    <w:rsid w:val="00C65A83"/>
    <w:rsid w:val="00C724F2"/>
    <w:rsid w:val="00C72C6F"/>
    <w:rsid w:val="00C75057"/>
    <w:rsid w:val="00C77034"/>
    <w:rsid w:val="00C80F23"/>
    <w:rsid w:val="00C81151"/>
    <w:rsid w:val="00C81EFA"/>
    <w:rsid w:val="00C82CC6"/>
    <w:rsid w:val="00C850A3"/>
    <w:rsid w:val="00C85C32"/>
    <w:rsid w:val="00C87568"/>
    <w:rsid w:val="00C90DB6"/>
    <w:rsid w:val="00C913B6"/>
    <w:rsid w:val="00C9394F"/>
    <w:rsid w:val="00C93B1A"/>
    <w:rsid w:val="00C96F5F"/>
    <w:rsid w:val="00CA4126"/>
    <w:rsid w:val="00CA4574"/>
    <w:rsid w:val="00CA5927"/>
    <w:rsid w:val="00CA79EC"/>
    <w:rsid w:val="00CB041A"/>
    <w:rsid w:val="00CB39C2"/>
    <w:rsid w:val="00CB4664"/>
    <w:rsid w:val="00CB4C8C"/>
    <w:rsid w:val="00CB6782"/>
    <w:rsid w:val="00CC080A"/>
    <w:rsid w:val="00CC0994"/>
    <w:rsid w:val="00CC0C03"/>
    <w:rsid w:val="00CD0AAD"/>
    <w:rsid w:val="00CD6177"/>
    <w:rsid w:val="00CE182E"/>
    <w:rsid w:val="00CE2DAB"/>
    <w:rsid w:val="00CE2DE4"/>
    <w:rsid w:val="00CE2E79"/>
    <w:rsid w:val="00CE5277"/>
    <w:rsid w:val="00CE5A79"/>
    <w:rsid w:val="00CE6358"/>
    <w:rsid w:val="00CF2D54"/>
    <w:rsid w:val="00CF592C"/>
    <w:rsid w:val="00CF6992"/>
    <w:rsid w:val="00CF6AD7"/>
    <w:rsid w:val="00CF7B8C"/>
    <w:rsid w:val="00D03538"/>
    <w:rsid w:val="00D049B8"/>
    <w:rsid w:val="00D0516C"/>
    <w:rsid w:val="00D05EE7"/>
    <w:rsid w:val="00D068D0"/>
    <w:rsid w:val="00D078D1"/>
    <w:rsid w:val="00D129A8"/>
    <w:rsid w:val="00D12FB9"/>
    <w:rsid w:val="00D13FE2"/>
    <w:rsid w:val="00D200BD"/>
    <w:rsid w:val="00D22399"/>
    <w:rsid w:val="00D24B11"/>
    <w:rsid w:val="00D310BA"/>
    <w:rsid w:val="00D32C0A"/>
    <w:rsid w:val="00D33751"/>
    <w:rsid w:val="00D3382F"/>
    <w:rsid w:val="00D33924"/>
    <w:rsid w:val="00D34559"/>
    <w:rsid w:val="00D36F6E"/>
    <w:rsid w:val="00D3705B"/>
    <w:rsid w:val="00D37343"/>
    <w:rsid w:val="00D4205E"/>
    <w:rsid w:val="00D45DB6"/>
    <w:rsid w:val="00D5574C"/>
    <w:rsid w:val="00D604CE"/>
    <w:rsid w:val="00D61982"/>
    <w:rsid w:val="00D6267A"/>
    <w:rsid w:val="00D67D12"/>
    <w:rsid w:val="00D7585A"/>
    <w:rsid w:val="00D77B06"/>
    <w:rsid w:val="00D80618"/>
    <w:rsid w:val="00D8121C"/>
    <w:rsid w:val="00D82494"/>
    <w:rsid w:val="00D84A4B"/>
    <w:rsid w:val="00D92168"/>
    <w:rsid w:val="00D940B5"/>
    <w:rsid w:val="00D95CB0"/>
    <w:rsid w:val="00D977C0"/>
    <w:rsid w:val="00DA00A3"/>
    <w:rsid w:val="00DA13F3"/>
    <w:rsid w:val="00DA23C3"/>
    <w:rsid w:val="00DA2DE3"/>
    <w:rsid w:val="00DA475D"/>
    <w:rsid w:val="00DA7146"/>
    <w:rsid w:val="00DA716A"/>
    <w:rsid w:val="00DB1F4F"/>
    <w:rsid w:val="00DB37EE"/>
    <w:rsid w:val="00DB4450"/>
    <w:rsid w:val="00DB7B69"/>
    <w:rsid w:val="00DC234A"/>
    <w:rsid w:val="00DC27AD"/>
    <w:rsid w:val="00DC41E4"/>
    <w:rsid w:val="00DC5116"/>
    <w:rsid w:val="00DC7C77"/>
    <w:rsid w:val="00DD074A"/>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6313"/>
    <w:rsid w:val="00E1738C"/>
    <w:rsid w:val="00E207A1"/>
    <w:rsid w:val="00E22D28"/>
    <w:rsid w:val="00E230E3"/>
    <w:rsid w:val="00E27A14"/>
    <w:rsid w:val="00E30EDF"/>
    <w:rsid w:val="00E30F3C"/>
    <w:rsid w:val="00E31EC2"/>
    <w:rsid w:val="00E31FBA"/>
    <w:rsid w:val="00E32CB6"/>
    <w:rsid w:val="00E34042"/>
    <w:rsid w:val="00E34CDF"/>
    <w:rsid w:val="00E36AAE"/>
    <w:rsid w:val="00E41773"/>
    <w:rsid w:val="00E428DD"/>
    <w:rsid w:val="00E43B0B"/>
    <w:rsid w:val="00E44A50"/>
    <w:rsid w:val="00E477F6"/>
    <w:rsid w:val="00E50841"/>
    <w:rsid w:val="00E513F6"/>
    <w:rsid w:val="00E52F3B"/>
    <w:rsid w:val="00E53A45"/>
    <w:rsid w:val="00E53D94"/>
    <w:rsid w:val="00E53DEA"/>
    <w:rsid w:val="00E548E9"/>
    <w:rsid w:val="00E553CC"/>
    <w:rsid w:val="00E55667"/>
    <w:rsid w:val="00E57068"/>
    <w:rsid w:val="00E57630"/>
    <w:rsid w:val="00E616DB"/>
    <w:rsid w:val="00E627A4"/>
    <w:rsid w:val="00E630ED"/>
    <w:rsid w:val="00E74EC5"/>
    <w:rsid w:val="00E75FDC"/>
    <w:rsid w:val="00E76B86"/>
    <w:rsid w:val="00E8342F"/>
    <w:rsid w:val="00E847A7"/>
    <w:rsid w:val="00E85E29"/>
    <w:rsid w:val="00E85F25"/>
    <w:rsid w:val="00E86E79"/>
    <w:rsid w:val="00E87313"/>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4874"/>
    <w:rsid w:val="00EE79A6"/>
    <w:rsid w:val="00EF6111"/>
    <w:rsid w:val="00EF6232"/>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0868"/>
    <w:rsid w:val="00F423BD"/>
    <w:rsid w:val="00F4255D"/>
    <w:rsid w:val="00F432FF"/>
    <w:rsid w:val="00F46DF9"/>
    <w:rsid w:val="00F4715C"/>
    <w:rsid w:val="00F54869"/>
    <w:rsid w:val="00F556B2"/>
    <w:rsid w:val="00F57252"/>
    <w:rsid w:val="00F5754B"/>
    <w:rsid w:val="00F576DE"/>
    <w:rsid w:val="00F63BF7"/>
    <w:rsid w:val="00F64563"/>
    <w:rsid w:val="00F65617"/>
    <w:rsid w:val="00F65D71"/>
    <w:rsid w:val="00F70112"/>
    <w:rsid w:val="00F710BE"/>
    <w:rsid w:val="00F723B1"/>
    <w:rsid w:val="00F736D2"/>
    <w:rsid w:val="00F7564C"/>
    <w:rsid w:val="00F76220"/>
    <w:rsid w:val="00F769BE"/>
    <w:rsid w:val="00F81C33"/>
    <w:rsid w:val="00F82A1D"/>
    <w:rsid w:val="00F82E6B"/>
    <w:rsid w:val="00F91F6D"/>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C1CA5"/>
    <w:rsid w:val="00FC2098"/>
    <w:rsid w:val="00FC219C"/>
    <w:rsid w:val="00FC2979"/>
    <w:rsid w:val="00FD1C3C"/>
    <w:rsid w:val="00FD1E02"/>
    <w:rsid w:val="00FD38A8"/>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DCFD547-032A-4431-AB57-12E48FC4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FD1E02"/>
    <w:rPr>
      <w:rFonts w:cs="Times New Roman"/>
      <w:b/>
      <w:bCs/>
      <w:kern w:val="44"/>
      <w:sz w:val="44"/>
      <w:szCs w:val="44"/>
    </w:rPr>
  </w:style>
  <w:style w:type="character" w:customStyle="1" w:styleId="2Char">
    <w:name w:val="标题 2 Char"/>
    <w:link w:val="2"/>
    <w:uiPriority w:val="99"/>
    <w:semiHidden/>
    <w:locked/>
    <w:rsid w:val="00140FF8"/>
    <w:rPr>
      <w:rFonts w:ascii="Cambria" w:eastAsia="宋体" w:hAnsi="Cambria" w:cs="Times New Roman"/>
      <w:b/>
      <w:bCs/>
      <w:sz w:val="32"/>
      <w:szCs w:val="32"/>
    </w:rPr>
  </w:style>
  <w:style w:type="paragraph" w:styleId="a0">
    <w:name w:val="Normal Indent"/>
    <w:basedOn w:val="a"/>
    <w:uiPriority w:val="99"/>
    <w:rsid w:val="00C12898"/>
    <w:pPr>
      <w:ind w:firstLineChars="200" w:firstLine="420"/>
    </w:pPr>
  </w:style>
  <w:style w:type="paragraph" w:styleId="a4">
    <w:name w:val="Body Text Indent"/>
    <w:basedOn w:val="a"/>
    <w:link w:val="Char"/>
    <w:uiPriority w:val="99"/>
    <w:rsid w:val="00C12898"/>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
    <w:name w:val="正文文本缩进 Char"/>
    <w:link w:val="a4"/>
    <w:uiPriority w:val="99"/>
    <w:semiHidden/>
    <w:locked/>
    <w:rsid w:val="00140FF8"/>
    <w:rPr>
      <w:rFonts w:cs="Times New Roman"/>
      <w:sz w:val="24"/>
      <w:szCs w:val="24"/>
    </w:rPr>
  </w:style>
  <w:style w:type="paragraph" w:styleId="a5">
    <w:name w:val="Plain Text"/>
    <w:basedOn w:val="a"/>
    <w:link w:val="Char0"/>
    <w:uiPriority w:val="99"/>
    <w:rsid w:val="00C12898"/>
    <w:rPr>
      <w:rFonts w:ascii="宋体" w:hAnsi="Courier New"/>
      <w:szCs w:val="21"/>
    </w:rPr>
  </w:style>
  <w:style w:type="character" w:customStyle="1" w:styleId="Char0">
    <w:name w:val="纯文本 Char"/>
    <w:link w:val="a5"/>
    <w:uiPriority w:val="99"/>
    <w:locked/>
    <w:rsid w:val="0042253F"/>
    <w:rPr>
      <w:rFonts w:ascii="宋体" w:hAnsi="Courier New" w:cs="Times New Roman"/>
      <w:kern w:val="2"/>
      <w:sz w:val="21"/>
    </w:rPr>
  </w:style>
  <w:style w:type="paragraph" w:styleId="20">
    <w:name w:val="Body Text Indent 2"/>
    <w:basedOn w:val="a"/>
    <w:link w:val="2Char0"/>
    <w:uiPriority w:val="99"/>
    <w:rsid w:val="00C12898"/>
    <w:pPr>
      <w:spacing w:line="560" w:lineRule="exact"/>
      <w:ind w:firstLineChars="200" w:firstLine="480"/>
    </w:pPr>
    <w:rPr>
      <w:rFonts w:ascii="宋体" w:hAnsi="宋体"/>
      <w:color w:val="FF0000"/>
      <w:sz w:val="24"/>
    </w:rPr>
  </w:style>
  <w:style w:type="character" w:customStyle="1" w:styleId="2Char0">
    <w:name w:val="正文文本缩进 2 Char"/>
    <w:link w:val="20"/>
    <w:uiPriority w:val="99"/>
    <w:semiHidden/>
    <w:locked/>
    <w:rsid w:val="00140FF8"/>
    <w:rPr>
      <w:rFonts w:cs="Times New Roman"/>
      <w:sz w:val="24"/>
      <w:szCs w:val="24"/>
    </w:rPr>
  </w:style>
  <w:style w:type="paragraph" w:styleId="a6">
    <w:name w:val="footer"/>
    <w:basedOn w:val="a"/>
    <w:link w:val="Char1"/>
    <w:uiPriority w:val="99"/>
    <w:rsid w:val="00C12898"/>
    <w:pPr>
      <w:tabs>
        <w:tab w:val="center" w:pos="4153"/>
        <w:tab w:val="right" w:pos="8306"/>
      </w:tabs>
      <w:snapToGrid w:val="0"/>
      <w:jc w:val="left"/>
    </w:pPr>
    <w:rPr>
      <w:sz w:val="18"/>
      <w:szCs w:val="18"/>
    </w:rPr>
  </w:style>
  <w:style w:type="character" w:customStyle="1" w:styleId="Char1">
    <w:name w:val="页脚 Char"/>
    <w:link w:val="a6"/>
    <w:uiPriority w:val="99"/>
    <w:semiHidden/>
    <w:locked/>
    <w:rsid w:val="00140FF8"/>
    <w:rPr>
      <w:rFonts w:cs="Times New Roman"/>
      <w:sz w:val="18"/>
      <w:szCs w:val="18"/>
    </w:rPr>
  </w:style>
  <w:style w:type="character" w:styleId="a7">
    <w:name w:val="page number"/>
    <w:uiPriority w:val="99"/>
    <w:rsid w:val="00C12898"/>
    <w:rPr>
      <w:rFonts w:cs="Times New Roman"/>
    </w:rPr>
  </w:style>
  <w:style w:type="character" w:styleId="a8">
    <w:name w:val="Hyperlink"/>
    <w:uiPriority w:val="99"/>
    <w:rsid w:val="00C12898"/>
    <w:rPr>
      <w:rFonts w:cs="Times New Roman"/>
      <w:color w:val="0000FF"/>
      <w:u w:val="single"/>
    </w:rPr>
  </w:style>
  <w:style w:type="paragraph" w:styleId="3">
    <w:name w:val="Body Text Indent 3"/>
    <w:basedOn w:val="a"/>
    <w:link w:val="3Char"/>
    <w:uiPriority w:val="99"/>
    <w:rsid w:val="00C12898"/>
    <w:pPr>
      <w:spacing w:line="560" w:lineRule="exact"/>
      <w:ind w:firstLineChars="200" w:firstLine="420"/>
    </w:pPr>
    <w:rPr>
      <w:rFonts w:ascii="Arial" w:hAnsi="Arial" w:cs="Arial"/>
      <w:color w:val="FF0000"/>
    </w:rPr>
  </w:style>
  <w:style w:type="character" w:customStyle="1" w:styleId="3Char">
    <w:name w:val="正文文本缩进 3 Char"/>
    <w:link w:val="3"/>
    <w:uiPriority w:val="99"/>
    <w:semiHidden/>
    <w:locked/>
    <w:rsid w:val="00140FF8"/>
    <w:rPr>
      <w:rFonts w:cs="Times New Roman"/>
      <w:sz w:val="16"/>
      <w:szCs w:val="16"/>
    </w:rPr>
  </w:style>
  <w:style w:type="paragraph" w:styleId="a9">
    <w:name w:val="header"/>
    <w:basedOn w:val="a"/>
    <w:link w:val="Char2"/>
    <w:uiPriority w:val="99"/>
    <w:rsid w:val="00C1289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FB572A"/>
    <w:rPr>
      <w:rFonts w:cs="Times New Roman"/>
      <w:kern w:val="2"/>
      <w:sz w:val="18"/>
      <w:szCs w:val="18"/>
    </w:rPr>
  </w:style>
  <w:style w:type="character" w:styleId="aa">
    <w:name w:val="FollowedHyperlink"/>
    <w:uiPriority w:val="99"/>
    <w:rsid w:val="00C12898"/>
    <w:rPr>
      <w:rFonts w:cs="Times New Roman"/>
      <w:color w:val="800080"/>
      <w:u w:val="single"/>
    </w:rPr>
  </w:style>
  <w:style w:type="paragraph" w:styleId="ab">
    <w:name w:val="List"/>
    <w:basedOn w:val="ac"/>
    <w:uiPriority w:val="99"/>
    <w:rsid w:val="00C12898"/>
    <w:pPr>
      <w:spacing w:after="220" w:line="220" w:lineRule="atLeast"/>
      <w:ind w:left="1440" w:hanging="360"/>
    </w:pPr>
    <w:rPr>
      <w:szCs w:val="20"/>
    </w:rPr>
  </w:style>
  <w:style w:type="paragraph" w:styleId="ac">
    <w:name w:val="Body Text"/>
    <w:basedOn w:val="a"/>
    <w:link w:val="Char3"/>
    <w:uiPriority w:val="99"/>
    <w:rsid w:val="00C12898"/>
    <w:pPr>
      <w:spacing w:after="120"/>
    </w:pPr>
  </w:style>
  <w:style w:type="character" w:customStyle="1" w:styleId="Char3">
    <w:name w:val="正文文本 Char"/>
    <w:link w:val="ac"/>
    <w:uiPriority w:val="99"/>
    <w:semiHidden/>
    <w:locked/>
    <w:rsid w:val="00140FF8"/>
    <w:rPr>
      <w:rFonts w:cs="Times New Roman"/>
      <w:sz w:val="24"/>
      <w:szCs w:val="24"/>
    </w:rPr>
  </w:style>
  <w:style w:type="paragraph" w:styleId="ad">
    <w:name w:val="Date"/>
    <w:basedOn w:val="a"/>
    <w:next w:val="a"/>
    <w:link w:val="Char4"/>
    <w:uiPriority w:val="99"/>
    <w:rsid w:val="00C12898"/>
    <w:rPr>
      <w:sz w:val="24"/>
      <w:szCs w:val="20"/>
    </w:rPr>
  </w:style>
  <w:style w:type="character" w:customStyle="1" w:styleId="Char4">
    <w:name w:val="日期 Char"/>
    <w:link w:val="ad"/>
    <w:uiPriority w:val="99"/>
    <w:locked/>
    <w:rsid w:val="00F27C38"/>
    <w:rPr>
      <w:rFonts w:cs="Times New Roman"/>
      <w:kern w:val="2"/>
      <w:sz w:val="24"/>
    </w:rPr>
  </w:style>
  <w:style w:type="character" w:customStyle="1" w:styleId="c1">
    <w:name w:val="c1"/>
    <w:uiPriority w:val="99"/>
    <w:rsid w:val="00C12898"/>
    <w:rPr>
      <w:rFonts w:cs="Times New Roman"/>
      <w:color w:val="000000"/>
      <w:sz w:val="18"/>
      <w:szCs w:val="18"/>
    </w:rPr>
  </w:style>
  <w:style w:type="paragraph" w:styleId="10">
    <w:name w:val="index 1"/>
    <w:basedOn w:val="a"/>
    <w:next w:val="a"/>
    <w:autoRedefine/>
    <w:uiPriority w:val="99"/>
    <w:semiHidden/>
    <w:rsid w:val="00C12898"/>
    <w:pPr>
      <w:jc w:val="right"/>
    </w:pPr>
    <w:rPr>
      <w:color w:val="008000"/>
    </w:rPr>
  </w:style>
  <w:style w:type="paragraph" w:customStyle="1" w:styleId="font5">
    <w:name w:val="font5"/>
    <w:basedOn w:val="a"/>
    <w:uiPriority w:val="99"/>
    <w:rsid w:val="00C1289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C12898"/>
    <w:rPr>
      <w:sz w:val="18"/>
      <w:szCs w:val="18"/>
    </w:rPr>
  </w:style>
  <w:style w:type="character" w:customStyle="1" w:styleId="Char5">
    <w:name w:val="批注框文本 Char"/>
    <w:link w:val="ae"/>
    <w:uiPriority w:val="99"/>
    <w:semiHidden/>
    <w:locked/>
    <w:rsid w:val="00140FF8"/>
    <w:rPr>
      <w:rFonts w:cs="Times New Roman"/>
      <w:sz w:val="2"/>
    </w:rPr>
  </w:style>
  <w:style w:type="character" w:styleId="af">
    <w:name w:val="annotation reference"/>
    <w:uiPriority w:val="99"/>
    <w:semiHidden/>
    <w:rsid w:val="00C12898"/>
    <w:rPr>
      <w:rFonts w:cs="Times New Roman"/>
      <w:sz w:val="21"/>
      <w:szCs w:val="21"/>
    </w:rPr>
  </w:style>
  <w:style w:type="paragraph" w:styleId="af0">
    <w:name w:val="annotation text"/>
    <w:basedOn w:val="a"/>
    <w:link w:val="Char6"/>
    <w:uiPriority w:val="99"/>
    <w:semiHidden/>
    <w:rsid w:val="00C12898"/>
    <w:pPr>
      <w:jc w:val="left"/>
    </w:pPr>
  </w:style>
  <w:style w:type="character" w:customStyle="1" w:styleId="Char6">
    <w:name w:val="批注文字 Char"/>
    <w:link w:val="af0"/>
    <w:uiPriority w:val="99"/>
    <w:semiHidden/>
    <w:locked/>
    <w:rsid w:val="00140FF8"/>
    <w:rPr>
      <w:rFonts w:cs="Times New Roman"/>
      <w:sz w:val="24"/>
      <w:szCs w:val="24"/>
    </w:rPr>
  </w:style>
  <w:style w:type="paragraph" w:styleId="af1">
    <w:name w:val="annotation subject"/>
    <w:basedOn w:val="af0"/>
    <w:next w:val="af0"/>
    <w:link w:val="Char7"/>
    <w:uiPriority w:val="99"/>
    <w:semiHidden/>
    <w:rsid w:val="00C12898"/>
    <w:rPr>
      <w:b/>
      <w:bCs/>
    </w:rPr>
  </w:style>
  <w:style w:type="character" w:customStyle="1" w:styleId="Char7">
    <w:name w:val="批注主题 Char"/>
    <w:link w:val="af1"/>
    <w:uiPriority w:val="99"/>
    <w:semiHidden/>
    <w:locked/>
    <w:rsid w:val="00140FF8"/>
    <w:rPr>
      <w:rFonts w:cs="Times New Roman"/>
      <w:b/>
      <w:bCs/>
      <w:sz w:val="24"/>
      <w:szCs w:val="24"/>
    </w:rPr>
  </w:style>
  <w:style w:type="paragraph" w:customStyle="1" w:styleId="Char8">
    <w:name w:val="Char"/>
    <w:basedOn w:val="a"/>
    <w:uiPriority w:val="99"/>
    <w:rsid w:val="00C12898"/>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140FF8"/>
    <w:rPr>
      <w:rFonts w:cs="Times New Roman"/>
      <w:sz w:val="2"/>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140FF8"/>
    <w:rPr>
      <w:rFonts w:cs="Times New Roman"/>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695296"/>
    <w:pPr>
      <w:widowControl w:val="0"/>
      <w:autoSpaceDE w:val="0"/>
      <w:autoSpaceDN w:val="0"/>
      <w:adjustRightInd w:val="0"/>
    </w:pPr>
    <w:rPr>
      <w:rFonts w:ascii="FangSong" w:hAnsi="FangSong" w:cs="FangSong"/>
      <w:color w:val="000000"/>
      <w:sz w:val="24"/>
      <w:szCs w:val="24"/>
    </w:rPr>
  </w:style>
  <w:style w:type="paragraph" w:styleId="HTML">
    <w:name w:val="HTML Preformatted"/>
    <w:basedOn w:val="a"/>
    <w:link w:val="HTMLChar"/>
    <w:uiPriority w:val="99"/>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locked/>
    <w:rsid w:val="00634900"/>
    <w:rPr>
      <w:rFonts w:ascii="宋体" w:eastAsia="宋体" w:cs="宋体"/>
      <w:sz w:val="24"/>
      <w:szCs w:val="24"/>
    </w:rPr>
  </w:style>
  <w:style w:type="character" w:styleId="af8">
    <w:name w:val="Strong"/>
    <w:basedOn w:val="a1"/>
    <w:uiPriority w:val="22"/>
    <w:qFormat/>
    <w:locked/>
    <w:rsid w:val="00193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13930">
      <w:bodyDiv w:val="1"/>
      <w:marLeft w:val="0"/>
      <w:marRight w:val="0"/>
      <w:marTop w:val="0"/>
      <w:marBottom w:val="0"/>
      <w:divBdr>
        <w:top w:val="none" w:sz="0" w:space="0" w:color="auto"/>
        <w:left w:val="none" w:sz="0" w:space="0" w:color="auto"/>
        <w:bottom w:val="none" w:sz="0" w:space="0" w:color="auto"/>
        <w:right w:val="none" w:sz="0" w:space="0" w:color="auto"/>
      </w:divBdr>
    </w:div>
    <w:div w:id="1077090524">
      <w:bodyDiv w:val="1"/>
      <w:marLeft w:val="0"/>
      <w:marRight w:val="0"/>
      <w:marTop w:val="0"/>
      <w:marBottom w:val="0"/>
      <w:divBdr>
        <w:top w:val="none" w:sz="0" w:space="0" w:color="auto"/>
        <w:left w:val="none" w:sz="0" w:space="0" w:color="auto"/>
        <w:bottom w:val="none" w:sz="0" w:space="0" w:color="auto"/>
        <w:right w:val="none" w:sz="0" w:space="0" w:color="auto"/>
      </w:divBdr>
    </w:div>
    <w:div w:id="1682857254">
      <w:marLeft w:val="0"/>
      <w:marRight w:val="0"/>
      <w:marTop w:val="0"/>
      <w:marBottom w:val="0"/>
      <w:divBdr>
        <w:top w:val="none" w:sz="0" w:space="0" w:color="auto"/>
        <w:left w:val="none" w:sz="0" w:space="0" w:color="auto"/>
        <w:bottom w:val="none" w:sz="0" w:space="0" w:color="auto"/>
        <w:right w:val="none" w:sz="0" w:space="0" w:color="auto"/>
      </w:divBdr>
    </w:div>
    <w:div w:id="1682857255">
      <w:marLeft w:val="0"/>
      <w:marRight w:val="0"/>
      <w:marTop w:val="0"/>
      <w:marBottom w:val="0"/>
      <w:divBdr>
        <w:top w:val="none" w:sz="0" w:space="0" w:color="auto"/>
        <w:left w:val="none" w:sz="0" w:space="0" w:color="auto"/>
        <w:bottom w:val="none" w:sz="0" w:space="0" w:color="auto"/>
        <w:right w:val="none" w:sz="0" w:space="0" w:color="auto"/>
      </w:divBdr>
    </w:div>
    <w:div w:id="1682857256">
      <w:marLeft w:val="0"/>
      <w:marRight w:val="0"/>
      <w:marTop w:val="0"/>
      <w:marBottom w:val="0"/>
      <w:divBdr>
        <w:top w:val="none" w:sz="0" w:space="0" w:color="auto"/>
        <w:left w:val="none" w:sz="0" w:space="0" w:color="auto"/>
        <w:bottom w:val="none" w:sz="0" w:space="0" w:color="auto"/>
        <w:right w:val="none" w:sz="0" w:space="0" w:color="auto"/>
      </w:divBdr>
    </w:div>
    <w:div w:id="1682857257">
      <w:marLeft w:val="0"/>
      <w:marRight w:val="0"/>
      <w:marTop w:val="0"/>
      <w:marBottom w:val="0"/>
      <w:divBdr>
        <w:top w:val="none" w:sz="0" w:space="0" w:color="auto"/>
        <w:left w:val="none" w:sz="0" w:space="0" w:color="auto"/>
        <w:bottom w:val="none" w:sz="0" w:space="0" w:color="auto"/>
        <w:right w:val="none" w:sz="0" w:space="0" w:color="auto"/>
      </w:divBdr>
    </w:div>
    <w:div w:id="1682857258">
      <w:marLeft w:val="0"/>
      <w:marRight w:val="0"/>
      <w:marTop w:val="0"/>
      <w:marBottom w:val="0"/>
      <w:divBdr>
        <w:top w:val="none" w:sz="0" w:space="0" w:color="auto"/>
        <w:left w:val="none" w:sz="0" w:space="0" w:color="auto"/>
        <w:bottom w:val="none" w:sz="0" w:space="0" w:color="auto"/>
        <w:right w:val="none" w:sz="0" w:space="0" w:color="auto"/>
      </w:divBdr>
    </w:div>
    <w:div w:id="1682857259">
      <w:marLeft w:val="0"/>
      <w:marRight w:val="0"/>
      <w:marTop w:val="0"/>
      <w:marBottom w:val="0"/>
      <w:divBdr>
        <w:top w:val="none" w:sz="0" w:space="0" w:color="auto"/>
        <w:left w:val="none" w:sz="0" w:space="0" w:color="auto"/>
        <w:bottom w:val="none" w:sz="0" w:space="0" w:color="auto"/>
        <w:right w:val="none" w:sz="0" w:space="0" w:color="auto"/>
      </w:divBdr>
    </w:div>
    <w:div w:id="1682857260">
      <w:marLeft w:val="0"/>
      <w:marRight w:val="0"/>
      <w:marTop w:val="0"/>
      <w:marBottom w:val="0"/>
      <w:divBdr>
        <w:top w:val="none" w:sz="0" w:space="0" w:color="auto"/>
        <w:left w:val="none" w:sz="0" w:space="0" w:color="auto"/>
        <w:bottom w:val="none" w:sz="0" w:space="0" w:color="auto"/>
        <w:right w:val="none" w:sz="0" w:space="0" w:color="auto"/>
      </w:divBdr>
    </w:div>
    <w:div w:id="1682857261">
      <w:marLeft w:val="0"/>
      <w:marRight w:val="0"/>
      <w:marTop w:val="0"/>
      <w:marBottom w:val="0"/>
      <w:divBdr>
        <w:top w:val="none" w:sz="0" w:space="0" w:color="auto"/>
        <w:left w:val="none" w:sz="0" w:space="0" w:color="auto"/>
        <w:bottom w:val="none" w:sz="0" w:space="0" w:color="auto"/>
        <w:right w:val="none" w:sz="0" w:space="0" w:color="auto"/>
      </w:divBdr>
    </w:div>
    <w:div w:id="1682857262">
      <w:marLeft w:val="0"/>
      <w:marRight w:val="0"/>
      <w:marTop w:val="0"/>
      <w:marBottom w:val="0"/>
      <w:divBdr>
        <w:top w:val="none" w:sz="0" w:space="0" w:color="auto"/>
        <w:left w:val="none" w:sz="0" w:space="0" w:color="auto"/>
        <w:bottom w:val="none" w:sz="0" w:space="0" w:color="auto"/>
        <w:right w:val="none" w:sz="0" w:space="0" w:color="auto"/>
      </w:divBdr>
    </w:div>
    <w:div w:id="1682857263">
      <w:marLeft w:val="0"/>
      <w:marRight w:val="0"/>
      <w:marTop w:val="0"/>
      <w:marBottom w:val="0"/>
      <w:divBdr>
        <w:top w:val="none" w:sz="0" w:space="0" w:color="auto"/>
        <w:left w:val="none" w:sz="0" w:space="0" w:color="auto"/>
        <w:bottom w:val="none" w:sz="0" w:space="0" w:color="auto"/>
        <w:right w:val="none" w:sz="0" w:space="0" w:color="auto"/>
      </w:divBdr>
    </w:div>
    <w:div w:id="1682857264">
      <w:marLeft w:val="0"/>
      <w:marRight w:val="0"/>
      <w:marTop w:val="0"/>
      <w:marBottom w:val="0"/>
      <w:divBdr>
        <w:top w:val="none" w:sz="0" w:space="0" w:color="auto"/>
        <w:left w:val="none" w:sz="0" w:space="0" w:color="auto"/>
        <w:bottom w:val="none" w:sz="0" w:space="0" w:color="auto"/>
        <w:right w:val="none" w:sz="0" w:space="0" w:color="auto"/>
      </w:divBdr>
    </w:div>
    <w:div w:id="1682857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6232</Characters>
  <Application>Microsoft Office Word</Application>
  <DocSecurity>4</DocSecurity>
  <Lines>51</Lines>
  <Paragraphs>14</Paragraphs>
  <ScaleCrop>false</ScaleCrop>
  <Company>TRT. Ltd. Co.</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cp:lastPrinted>2007-07-19T00:46:00Z</cp:lastPrinted>
  <dcterms:created xsi:type="dcterms:W3CDTF">2020-04-14T01:37:00Z</dcterms:created>
  <dcterms:modified xsi:type="dcterms:W3CDTF">2020-04-14T01:37:00Z</dcterms:modified>
</cp:coreProperties>
</file>