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易方达永旭添利定期开放债券型证券投资基金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809F5" w:rsidRDefault="002E2CEC">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809F5" w:rsidRDefault="002E2CEC">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809F5" w:rsidRDefault="002E2CEC">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809F5" w:rsidRDefault="002E2CEC">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809F5" w:rsidRDefault="002E2CEC">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易方达永旭定期开放债券</w:t>
            </w:r>
          </w:p>
        </w:tc>
      </w:tr>
      <w:tr w:rsidR="00815999" w:rsidRPr="00264E55" w:rsidTr="003328D9">
        <w:tc>
          <w:tcPr>
            <w:tcW w:w="2835"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场内简称</w:t>
            </w:r>
          </w:p>
        </w:tc>
        <w:tc>
          <w:tcPr>
            <w:tcW w:w="5479"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易基永旭</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161117</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161117</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契约型开放式，本基金合同生效后，每封闭运作两年，集中开放一次申购和赎回</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2012</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19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1,249,121,371.59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本基金力争为基金持有人提供持续稳定的高于业绩比较基准的收益，实现基金资产的长期增值。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C809F5" w:rsidRDefault="002E2CEC">
            <w:pPr>
              <w:adjustRightInd w:val="0"/>
              <w:spacing w:before="29" w:line="360" w:lineRule="auto"/>
              <w:ind w:left="17"/>
              <w:jc w:val="left"/>
              <w:rPr>
                <w:color w:val="000000"/>
                <w:sz w:val="24"/>
                <w:szCs w:val="24"/>
              </w:rPr>
            </w:pPr>
            <w:r>
              <w:rPr>
                <w:color w:val="000000"/>
                <w:kern w:val="0"/>
                <w:sz w:val="24"/>
                <w:szCs w:val="24"/>
              </w:rPr>
              <w:t>本基金在封闭期与开放期将采取不同的投资策略，力争为基金持有人提供持续稳定的高于业绩比较基准的收益，实现基金资产的长期增值。</w:t>
            </w:r>
          </w:p>
          <w:p w:rsidR="00C809F5" w:rsidRDefault="002E2CEC">
            <w:pPr>
              <w:adjustRightInd w:val="0"/>
              <w:spacing w:before="29" w:line="360" w:lineRule="auto"/>
              <w:ind w:left="17"/>
              <w:jc w:val="left"/>
              <w:rPr>
                <w:color w:val="000000"/>
                <w:sz w:val="24"/>
                <w:szCs w:val="24"/>
              </w:rPr>
            </w:pPr>
            <w:r>
              <w:rPr>
                <w:color w:val="000000"/>
                <w:kern w:val="0"/>
                <w:sz w:val="24"/>
                <w:szCs w:val="24"/>
              </w:rPr>
              <w:lastRenderedPageBreak/>
              <w:t>封闭期内，在遵循债券组合久期与封闭期适当匹配的基础上，本基金通过对宏观经济变量和宏观经济政策的分析，预测未来的市场利率、信用利差水平、利率期限结构的变化，并据此对债券组合进行调整，力争提高债券组合</w:t>
            </w:r>
            <w:r>
              <w:rPr>
                <w:color w:val="000000"/>
                <w:kern w:val="0"/>
                <w:sz w:val="24"/>
                <w:szCs w:val="24"/>
              </w:rPr>
              <w:t>的总投资收益。</w:t>
            </w:r>
          </w:p>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开放期内，本基金为保持较高的组合流动性，方便投资人安排投资，在遵守本基金有关投资限制与投资比例的前提下，将主要投资于高流动性的投资品种，减小基金净值的波动。</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两年期银行定期存款收益率（税前）</w:t>
            </w:r>
            <w:r w:rsidRPr="00232B03">
              <w:rPr>
                <w:color w:val="000000"/>
                <w:kern w:val="0"/>
                <w:sz w:val="24"/>
                <w:szCs w:val="24"/>
              </w:rPr>
              <w:t>+0.5%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本基金为债券型基金，属证券投资基金中的较低风险品种，理论上其长期平均风险和预期收益率低于混合型基金、股票型基金，高于货币市场基金。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15,114,507.99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31,274,543.13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0.0250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1,359,627,504.14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1.088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C809F5" w:rsidRDefault="002E2CEC">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809F5">
        <w:tc>
          <w:tcPr>
            <w:tcW w:w="0" w:type="auto"/>
            <w:vAlign w:val="center"/>
          </w:tcPr>
          <w:p w:rsidR="00C809F5" w:rsidRDefault="002E2CEC">
            <w:pPr>
              <w:jc w:val="left"/>
            </w:pPr>
            <w:r>
              <w:rPr>
                <w:color w:val="000000"/>
                <w:kern w:val="0"/>
                <w:sz w:val="24"/>
                <w:szCs w:val="24"/>
              </w:rPr>
              <w:t>过去三个月</w:t>
            </w:r>
          </w:p>
        </w:tc>
        <w:tc>
          <w:tcPr>
            <w:tcW w:w="0" w:type="auto"/>
            <w:vAlign w:val="center"/>
          </w:tcPr>
          <w:p w:rsidR="00C809F5" w:rsidRDefault="002E2CEC">
            <w:pPr>
              <w:jc w:val="center"/>
            </w:pPr>
            <w:r>
              <w:rPr>
                <w:color w:val="000000"/>
                <w:kern w:val="0"/>
                <w:sz w:val="24"/>
                <w:szCs w:val="24"/>
              </w:rPr>
              <w:t>2.35%</w:t>
            </w:r>
          </w:p>
        </w:tc>
        <w:tc>
          <w:tcPr>
            <w:tcW w:w="0" w:type="auto"/>
            <w:vAlign w:val="center"/>
          </w:tcPr>
          <w:p w:rsidR="00C809F5" w:rsidRDefault="002E2CEC">
            <w:pPr>
              <w:jc w:val="center"/>
            </w:pPr>
            <w:r>
              <w:rPr>
                <w:color w:val="000000"/>
                <w:kern w:val="0"/>
                <w:sz w:val="24"/>
                <w:szCs w:val="24"/>
              </w:rPr>
              <w:t>0.08%</w:t>
            </w:r>
          </w:p>
        </w:tc>
        <w:tc>
          <w:tcPr>
            <w:tcW w:w="0" w:type="auto"/>
            <w:vAlign w:val="center"/>
          </w:tcPr>
          <w:p w:rsidR="00C809F5" w:rsidRDefault="002E2CEC">
            <w:pPr>
              <w:jc w:val="center"/>
            </w:pPr>
            <w:r>
              <w:rPr>
                <w:color w:val="000000"/>
                <w:kern w:val="0"/>
                <w:sz w:val="24"/>
                <w:szCs w:val="24"/>
              </w:rPr>
              <w:t>0.65%</w:t>
            </w:r>
          </w:p>
        </w:tc>
        <w:tc>
          <w:tcPr>
            <w:tcW w:w="0" w:type="auto"/>
            <w:vAlign w:val="center"/>
          </w:tcPr>
          <w:p w:rsidR="00C809F5" w:rsidRDefault="002E2CEC">
            <w:pPr>
              <w:jc w:val="center"/>
            </w:pPr>
            <w:r>
              <w:rPr>
                <w:color w:val="000000"/>
                <w:kern w:val="0"/>
                <w:sz w:val="24"/>
                <w:szCs w:val="24"/>
              </w:rPr>
              <w:t>0.01%</w:t>
            </w:r>
          </w:p>
        </w:tc>
        <w:tc>
          <w:tcPr>
            <w:tcW w:w="0" w:type="auto"/>
            <w:vAlign w:val="center"/>
          </w:tcPr>
          <w:p w:rsidR="00C809F5" w:rsidRDefault="002E2CEC">
            <w:pPr>
              <w:jc w:val="center"/>
            </w:pPr>
            <w:r>
              <w:rPr>
                <w:color w:val="000000"/>
                <w:kern w:val="0"/>
                <w:sz w:val="24"/>
                <w:szCs w:val="24"/>
              </w:rPr>
              <w:t>1.70%</w:t>
            </w:r>
          </w:p>
        </w:tc>
        <w:tc>
          <w:tcPr>
            <w:tcW w:w="0" w:type="auto"/>
            <w:vAlign w:val="center"/>
          </w:tcPr>
          <w:p w:rsidR="00C809F5" w:rsidRDefault="002E2CEC">
            <w:pPr>
              <w:jc w:val="center"/>
            </w:pPr>
            <w:r>
              <w:rPr>
                <w:color w:val="000000"/>
                <w:kern w:val="0"/>
                <w:sz w:val="24"/>
                <w:szCs w:val="24"/>
              </w:rPr>
              <w:t>0.07%</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易方达永旭添利定期开放债券型证券投资基金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2012</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19</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2E2CEC"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67.88%</w:t>
      </w:r>
      <w:r w:rsidRPr="006C56AA">
        <w:rPr>
          <w:color w:val="000000"/>
          <w:sz w:val="24"/>
          <w:szCs w:val="24"/>
        </w:rPr>
        <w:t>，同期业绩比较基准收益率为</w:t>
      </w:r>
      <w:r w:rsidRPr="006C56AA">
        <w:rPr>
          <w:color w:val="000000"/>
          <w:sz w:val="24"/>
          <w:szCs w:val="24"/>
        </w:rPr>
        <w:t>27.81%</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809F5">
        <w:tc>
          <w:tcPr>
            <w:tcW w:w="0" w:type="auto"/>
            <w:vAlign w:val="center"/>
          </w:tcPr>
          <w:p w:rsidR="00C809F5" w:rsidRDefault="002E2CEC">
            <w:pPr>
              <w:jc w:val="center"/>
            </w:pPr>
            <w:r>
              <w:rPr>
                <w:color w:val="000000"/>
                <w:sz w:val="24"/>
              </w:rPr>
              <w:t>李一硕</w:t>
            </w:r>
          </w:p>
        </w:tc>
        <w:tc>
          <w:tcPr>
            <w:tcW w:w="0" w:type="auto"/>
            <w:vAlign w:val="center"/>
          </w:tcPr>
          <w:p w:rsidR="00C809F5" w:rsidRDefault="002E2CEC">
            <w:pPr>
              <w:jc w:val="left"/>
            </w:pPr>
            <w:r>
              <w:rPr>
                <w:color w:val="000000"/>
                <w:sz w:val="24"/>
              </w:rPr>
              <w:t>本基金的基金经理、易方达纯债</w:t>
            </w:r>
            <w:r>
              <w:rPr>
                <w:color w:val="000000"/>
                <w:sz w:val="24"/>
              </w:rPr>
              <w:t>1</w:t>
            </w:r>
            <w:r>
              <w:rPr>
                <w:color w:val="000000"/>
                <w:sz w:val="24"/>
              </w:rPr>
              <w:t>年定期开放债券型证券投资基金的基金经理、易方达裕如灵活配置混合型证券投资基金的基金经理、易方达恒信定期开放债券型发起式证券投资基金的基金经理、易方达恒惠定期开放债券型发起式证券投资基金的基金经理、易方达安源中短债债券型证券投资基金的基金经理、易方达年年恒夏纯债一年定期开放债券型发起式证券投资基金的基金经理、易方达恒益定期开放债券型发起式证券投资基金的基金经理、易方达年年恒秋纯债一年定期开放债券型发起式证券投资基金的基金经理、易方达稳健收益债券型证券投资基金的基金经理助理、易方达</w:t>
            </w:r>
            <w:r>
              <w:rPr>
                <w:color w:val="000000"/>
                <w:sz w:val="24"/>
              </w:rPr>
              <w:t>裕惠回报定期开放式混合型发起式证券投资基金的基金经理助理、易方达信用债债券型证券投资基金的基金经理助理、易方达中债新综合债券指数发起式证券投资基金（</w:t>
            </w:r>
            <w:r>
              <w:rPr>
                <w:color w:val="000000"/>
                <w:sz w:val="24"/>
              </w:rPr>
              <w:t>LOF</w:t>
            </w:r>
            <w:r>
              <w:rPr>
                <w:color w:val="000000"/>
                <w:sz w:val="24"/>
              </w:rPr>
              <w:t>）的基金经理助理、易方达瑞富灵活配置混合型证券投资基金的基金经理助理、易方达丰惠混合型证券投资基金的基金经理助理、易方达恒兴</w:t>
            </w:r>
            <w:r>
              <w:rPr>
                <w:color w:val="000000"/>
                <w:sz w:val="24"/>
              </w:rPr>
              <w:t>3</w:t>
            </w:r>
            <w:r>
              <w:rPr>
                <w:color w:val="000000"/>
                <w:sz w:val="24"/>
              </w:rPr>
              <w:t>个月定期开放债券型发起式证券投资基金的基金经理助理、易方达富惠纯债债券型证券投资基金的基金经理助理</w:t>
            </w:r>
          </w:p>
        </w:tc>
        <w:tc>
          <w:tcPr>
            <w:tcW w:w="0" w:type="auto"/>
            <w:vAlign w:val="center"/>
          </w:tcPr>
          <w:p w:rsidR="00C809F5" w:rsidRDefault="002E2CEC">
            <w:pPr>
              <w:jc w:val="center"/>
            </w:pPr>
            <w:r>
              <w:rPr>
                <w:color w:val="000000"/>
                <w:sz w:val="24"/>
              </w:rPr>
              <w:t>2014-07-12</w:t>
            </w:r>
          </w:p>
        </w:tc>
        <w:tc>
          <w:tcPr>
            <w:tcW w:w="0" w:type="auto"/>
            <w:vAlign w:val="center"/>
          </w:tcPr>
          <w:p w:rsidR="00C809F5" w:rsidRDefault="002E2CEC">
            <w:pPr>
              <w:jc w:val="center"/>
            </w:pPr>
            <w:r>
              <w:rPr>
                <w:color w:val="000000"/>
                <w:sz w:val="24"/>
              </w:rPr>
              <w:t>-</w:t>
            </w:r>
          </w:p>
        </w:tc>
        <w:tc>
          <w:tcPr>
            <w:tcW w:w="0" w:type="auto"/>
            <w:vAlign w:val="center"/>
          </w:tcPr>
          <w:p w:rsidR="00C809F5" w:rsidRDefault="002E2CEC">
            <w:pPr>
              <w:jc w:val="center"/>
            </w:pPr>
            <w:r>
              <w:rPr>
                <w:color w:val="000000"/>
                <w:sz w:val="24"/>
              </w:rPr>
              <w:t>12</w:t>
            </w:r>
            <w:r>
              <w:rPr>
                <w:color w:val="000000"/>
                <w:sz w:val="24"/>
              </w:rPr>
              <w:t>年</w:t>
            </w:r>
          </w:p>
        </w:tc>
        <w:tc>
          <w:tcPr>
            <w:tcW w:w="0" w:type="auto"/>
            <w:vAlign w:val="center"/>
          </w:tcPr>
          <w:p w:rsidR="00C809F5" w:rsidRDefault="002E2CEC">
            <w:r>
              <w:rPr>
                <w:color w:val="000000"/>
                <w:sz w:val="24"/>
              </w:rPr>
              <w:t>硕士研究生，具有基金从业资格。曾任瑞银证券有限公司研究员，中国国际金融有限公司研究员，易方达基金管理有限公司固定收益研究员、易方达瑞景灵活配置混合型证券投资基金基金经理、易方达新利灵活配置混合型证券投资基金基金经理、易方达新享灵活配置混合型证券投资基金基金经理、易方达富惠纯债债券型证券投资基金基金经理、易方达聚盈分级债券型发起式证券投资基金基金经理、易方达新利灵活配置混合型证券投资基金基金经理助理、易方达新享灵活配置混合型证券投资基金基金经理助理、易方达裕如灵活配置混合型证券投资基金基金经理助理、易方达瑞祥</w:t>
            </w:r>
            <w:r>
              <w:rPr>
                <w:color w:val="000000"/>
                <w:sz w:val="24"/>
              </w:rPr>
              <w:t>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w:t>
            </w:r>
          </w:p>
        </w:tc>
      </w:tr>
    </w:tbl>
    <w:p w:rsidR="00C809F5" w:rsidRDefault="002E2CEC">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809F5" w:rsidRDefault="002E2CEC">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809F5" w:rsidRDefault="002E2CEC">
      <w:pPr>
        <w:spacing w:line="360" w:lineRule="auto"/>
        <w:ind w:firstLineChars="200" w:firstLine="480"/>
        <w:rPr>
          <w:color w:val="000000"/>
          <w:sz w:val="24"/>
          <w:szCs w:val="24"/>
        </w:rPr>
      </w:pPr>
      <w:r>
        <w:rPr>
          <w:color w:val="000000"/>
          <w:sz w:val="24"/>
          <w:szCs w:val="24"/>
        </w:rPr>
        <w:t>2020</w:t>
      </w:r>
      <w:r>
        <w:rPr>
          <w:color w:val="000000"/>
          <w:sz w:val="24"/>
          <w:szCs w:val="24"/>
        </w:rPr>
        <w:t>年一季度国内外宏观经济受到了疫情的显著冲击。从目前公布的经济数据来看，</w:t>
      </w:r>
      <w:r>
        <w:rPr>
          <w:color w:val="000000"/>
          <w:sz w:val="24"/>
          <w:szCs w:val="24"/>
        </w:rPr>
        <w:t>1-2</w:t>
      </w:r>
      <w:r>
        <w:rPr>
          <w:color w:val="000000"/>
          <w:sz w:val="24"/>
          <w:szCs w:val="24"/>
        </w:rPr>
        <w:t>月工业增加值同比下降</w:t>
      </w:r>
      <w:r>
        <w:rPr>
          <w:color w:val="000000"/>
          <w:sz w:val="24"/>
          <w:szCs w:val="24"/>
        </w:rPr>
        <w:t>13.5%</w:t>
      </w:r>
      <w:r>
        <w:rPr>
          <w:color w:val="000000"/>
          <w:sz w:val="24"/>
          <w:szCs w:val="24"/>
        </w:rPr>
        <w:t>，投资降幅较生产更大，同期固定资产投资同比增速大幅降低至</w:t>
      </w:r>
      <w:r>
        <w:rPr>
          <w:color w:val="000000"/>
          <w:sz w:val="24"/>
          <w:szCs w:val="24"/>
        </w:rPr>
        <w:t>-24.5%</w:t>
      </w:r>
      <w:r>
        <w:rPr>
          <w:color w:val="000000"/>
          <w:sz w:val="24"/>
          <w:szCs w:val="24"/>
        </w:rPr>
        <w:t>。此外，</w:t>
      </w:r>
      <w:r>
        <w:rPr>
          <w:color w:val="000000"/>
          <w:sz w:val="24"/>
          <w:szCs w:val="24"/>
        </w:rPr>
        <w:t>1-2</w:t>
      </w:r>
      <w:r>
        <w:rPr>
          <w:color w:val="000000"/>
          <w:sz w:val="24"/>
          <w:szCs w:val="24"/>
        </w:rPr>
        <w:t>月社会消费品零售总额同比下降</w:t>
      </w:r>
      <w:r>
        <w:rPr>
          <w:color w:val="000000"/>
          <w:sz w:val="24"/>
          <w:szCs w:val="24"/>
        </w:rPr>
        <w:t>20.5%</w:t>
      </w:r>
      <w:r>
        <w:rPr>
          <w:color w:val="000000"/>
          <w:sz w:val="24"/>
          <w:szCs w:val="24"/>
        </w:rPr>
        <w:t>。最后，</w:t>
      </w:r>
      <w:r>
        <w:rPr>
          <w:color w:val="000000"/>
          <w:sz w:val="24"/>
          <w:szCs w:val="24"/>
        </w:rPr>
        <w:t>3</w:t>
      </w:r>
      <w:r>
        <w:rPr>
          <w:color w:val="000000"/>
          <w:sz w:val="24"/>
          <w:szCs w:val="24"/>
        </w:rPr>
        <w:t>月底公布的制造业</w:t>
      </w:r>
      <w:r>
        <w:rPr>
          <w:color w:val="000000"/>
          <w:sz w:val="24"/>
          <w:szCs w:val="24"/>
        </w:rPr>
        <w:t>PMI</w:t>
      </w:r>
      <w:r>
        <w:rPr>
          <w:color w:val="000000"/>
          <w:sz w:val="24"/>
          <w:szCs w:val="24"/>
        </w:rPr>
        <w:t>虽然相较于</w:t>
      </w:r>
      <w:r>
        <w:rPr>
          <w:color w:val="000000"/>
          <w:sz w:val="24"/>
          <w:szCs w:val="24"/>
        </w:rPr>
        <w:t>2</w:t>
      </w:r>
      <w:r>
        <w:rPr>
          <w:color w:val="000000"/>
          <w:sz w:val="24"/>
          <w:szCs w:val="24"/>
        </w:rPr>
        <w:t>月份明显反弹，但仍然反映出经济活动尚未恢复到正常水平。</w:t>
      </w:r>
    </w:p>
    <w:p w:rsidR="00C809F5" w:rsidRDefault="002E2CEC">
      <w:pPr>
        <w:spacing w:line="360" w:lineRule="auto"/>
        <w:ind w:firstLineChars="200" w:firstLine="480"/>
        <w:rPr>
          <w:color w:val="000000"/>
          <w:sz w:val="24"/>
          <w:szCs w:val="24"/>
        </w:rPr>
      </w:pPr>
      <w:r>
        <w:rPr>
          <w:color w:val="000000"/>
          <w:sz w:val="24"/>
          <w:szCs w:val="24"/>
        </w:rPr>
        <w:t>随着全球经济增速预期的下滑，货币政策开启了新一轮的宽松周期。央行逐步下调公开市场逆回购利率以及实施定向降准政策使得银行间流动性保持充裕，短端利率持续下行。但在全球美元流动性收紧的</w:t>
      </w:r>
      <w:r>
        <w:rPr>
          <w:color w:val="000000"/>
          <w:sz w:val="24"/>
          <w:szCs w:val="24"/>
        </w:rPr>
        <w:t>背景下，</w:t>
      </w:r>
      <w:r>
        <w:rPr>
          <w:color w:val="000000"/>
          <w:sz w:val="24"/>
          <w:szCs w:val="24"/>
        </w:rPr>
        <w:t>3</w:t>
      </w:r>
      <w:r>
        <w:rPr>
          <w:color w:val="000000"/>
          <w:sz w:val="24"/>
          <w:szCs w:val="24"/>
        </w:rPr>
        <w:t>月份以来债券市场收益率波动加大，目前收益率曲线的形态仍较为陡峭。信用债方面，由于供给释放较为集中，信用利差</w:t>
      </w:r>
      <w:r>
        <w:rPr>
          <w:color w:val="000000"/>
          <w:sz w:val="24"/>
          <w:szCs w:val="24"/>
        </w:rPr>
        <w:t>3</w:t>
      </w:r>
      <w:r>
        <w:rPr>
          <w:color w:val="000000"/>
          <w:sz w:val="24"/>
          <w:szCs w:val="24"/>
        </w:rPr>
        <w:t>月份以来有所回升，月末保持在中性水平。</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操作上，组合保持了偏高的杠杆水平。未来我们在维持久期匹配的整体策略下，将根据市场情况灵活调整组合的配置结构。</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1.088</w:t>
      </w:r>
      <w:r w:rsidRPr="006C56AA">
        <w:rPr>
          <w:color w:val="000000"/>
          <w:sz w:val="24"/>
          <w:szCs w:val="24"/>
        </w:rPr>
        <w:t>元，本报告期份额净值增长率为</w:t>
      </w:r>
      <w:r w:rsidRPr="006C56AA">
        <w:rPr>
          <w:color w:val="000000"/>
          <w:sz w:val="24"/>
          <w:szCs w:val="24"/>
        </w:rPr>
        <w:t>2.35%</w:t>
      </w:r>
      <w:r w:rsidRPr="006C56AA">
        <w:rPr>
          <w:color w:val="000000"/>
          <w:sz w:val="24"/>
          <w:szCs w:val="24"/>
        </w:rPr>
        <w:t>，同期业绩比较基准收益率为</w:t>
      </w:r>
      <w:r w:rsidRPr="006C56AA">
        <w:rPr>
          <w:color w:val="000000"/>
          <w:sz w:val="24"/>
          <w:szCs w:val="24"/>
        </w:rPr>
        <w:t>0.65%</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2,175,565,002.70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95.90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2,115,258,002.70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93.24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60,307,000.00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2.66</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59,450,031.75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33,589,516.68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1.48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2,268,604,551.13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p w:rsidR="008C2A4F" w:rsidRPr="00403A06" w:rsidRDefault="008C2A4F" w:rsidP="00403A06">
      <w:pPr>
        <w:spacing w:line="360" w:lineRule="auto"/>
        <w:ind w:firstLineChars="200" w:firstLine="480"/>
        <w:rPr>
          <w:color w:val="000000"/>
          <w:sz w:val="24"/>
          <w:szCs w:val="24"/>
        </w:rPr>
      </w:pPr>
      <w:r w:rsidRPr="00403A06">
        <w:rPr>
          <w:color w:val="000000"/>
          <w:sz w:val="24"/>
          <w:szCs w:val="24"/>
        </w:rPr>
        <w:t>本基金本报告期末未持有境内股票。</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本基金本报告期末未持有股票。</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1,156,909,002.70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85.09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200,796,000.00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14.77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757,553,000.00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55.72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2,115,258,002.70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155.58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809F5">
        <w:tc>
          <w:tcPr>
            <w:tcW w:w="0" w:type="auto"/>
            <w:vAlign w:val="center"/>
          </w:tcPr>
          <w:p w:rsidR="00C809F5" w:rsidRDefault="002E2CEC">
            <w:pPr>
              <w:jc w:val="center"/>
            </w:pPr>
            <w:r>
              <w:rPr>
                <w:color w:val="000000"/>
                <w:kern w:val="0"/>
                <w:sz w:val="24"/>
                <w:szCs w:val="24"/>
              </w:rPr>
              <w:t>1</w:t>
            </w:r>
          </w:p>
        </w:tc>
        <w:tc>
          <w:tcPr>
            <w:tcW w:w="0" w:type="auto"/>
            <w:vAlign w:val="center"/>
          </w:tcPr>
          <w:p w:rsidR="00C809F5" w:rsidRDefault="002E2CEC">
            <w:pPr>
              <w:jc w:val="center"/>
            </w:pPr>
            <w:r>
              <w:rPr>
                <w:color w:val="000000"/>
                <w:kern w:val="0"/>
                <w:sz w:val="24"/>
                <w:szCs w:val="24"/>
              </w:rPr>
              <w:t>155252</w:t>
            </w:r>
          </w:p>
        </w:tc>
        <w:tc>
          <w:tcPr>
            <w:tcW w:w="0" w:type="auto"/>
            <w:vAlign w:val="center"/>
          </w:tcPr>
          <w:p w:rsidR="00C809F5" w:rsidRDefault="002E2CEC">
            <w:pPr>
              <w:jc w:val="center"/>
            </w:pPr>
            <w:r>
              <w:rPr>
                <w:color w:val="000000"/>
                <w:kern w:val="0"/>
                <w:sz w:val="24"/>
                <w:szCs w:val="24"/>
              </w:rPr>
              <w:t>19</w:t>
            </w:r>
            <w:r>
              <w:rPr>
                <w:color w:val="000000"/>
                <w:kern w:val="0"/>
                <w:sz w:val="24"/>
                <w:szCs w:val="24"/>
              </w:rPr>
              <w:t>中铁</w:t>
            </w:r>
            <w:r>
              <w:rPr>
                <w:color w:val="000000"/>
                <w:kern w:val="0"/>
                <w:sz w:val="24"/>
                <w:szCs w:val="24"/>
              </w:rPr>
              <w:t>04</w:t>
            </w:r>
          </w:p>
        </w:tc>
        <w:tc>
          <w:tcPr>
            <w:tcW w:w="0" w:type="auto"/>
            <w:vAlign w:val="center"/>
          </w:tcPr>
          <w:p w:rsidR="00C809F5" w:rsidRDefault="002E2CEC">
            <w:pPr>
              <w:jc w:val="right"/>
            </w:pPr>
            <w:r>
              <w:rPr>
                <w:color w:val="000000"/>
                <w:kern w:val="0"/>
                <w:sz w:val="24"/>
                <w:szCs w:val="24"/>
              </w:rPr>
              <w:t>600,000</w:t>
            </w:r>
          </w:p>
        </w:tc>
        <w:tc>
          <w:tcPr>
            <w:tcW w:w="0" w:type="auto"/>
            <w:vAlign w:val="center"/>
          </w:tcPr>
          <w:p w:rsidR="00C809F5" w:rsidRDefault="002E2CEC">
            <w:pPr>
              <w:jc w:val="right"/>
            </w:pPr>
            <w:r>
              <w:rPr>
                <w:color w:val="000000"/>
                <w:kern w:val="0"/>
                <w:sz w:val="24"/>
                <w:szCs w:val="24"/>
              </w:rPr>
              <w:t>61,446,000.00</w:t>
            </w:r>
          </w:p>
        </w:tc>
        <w:tc>
          <w:tcPr>
            <w:tcW w:w="0" w:type="auto"/>
            <w:vAlign w:val="center"/>
          </w:tcPr>
          <w:p w:rsidR="00C809F5" w:rsidRDefault="002E2CEC">
            <w:pPr>
              <w:jc w:val="right"/>
            </w:pPr>
            <w:r>
              <w:rPr>
                <w:color w:val="000000"/>
                <w:kern w:val="0"/>
                <w:sz w:val="24"/>
                <w:szCs w:val="24"/>
              </w:rPr>
              <w:t>4.52</w:t>
            </w:r>
          </w:p>
        </w:tc>
      </w:tr>
      <w:tr w:rsidR="00C809F5">
        <w:tc>
          <w:tcPr>
            <w:tcW w:w="0" w:type="auto"/>
            <w:vAlign w:val="center"/>
          </w:tcPr>
          <w:p w:rsidR="00C809F5" w:rsidRDefault="002E2CEC">
            <w:pPr>
              <w:jc w:val="center"/>
            </w:pPr>
            <w:r>
              <w:rPr>
                <w:color w:val="000000"/>
                <w:kern w:val="0"/>
                <w:sz w:val="24"/>
                <w:szCs w:val="24"/>
              </w:rPr>
              <w:t>2</w:t>
            </w:r>
          </w:p>
        </w:tc>
        <w:tc>
          <w:tcPr>
            <w:tcW w:w="0" w:type="auto"/>
            <w:vAlign w:val="center"/>
          </w:tcPr>
          <w:p w:rsidR="00C809F5" w:rsidRDefault="002E2CEC">
            <w:pPr>
              <w:jc w:val="center"/>
            </w:pPr>
            <w:r>
              <w:rPr>
                <w:color w:val="000000"/>
                <w:kern w:val="0"/>
                <w:sz w:val="24"/>
                <w:szCs w:val="24"/>
              </w:rPr>
              <w:t>101800966</w:t>
            </w:r>
          </w:p>
        </w:tc>
        <w:tc>
          <w:tcPr>
            <w:tcW w:w="0" w:type="auto"/>
            <w:vAlign w:val="center"/>
          </w:tcPr>
          <w:p w:rsidR="00C809F5" w:rsidRDefault="002E2CEC">
            <w:pPr>
              <w:jc w:val="center"/>
            </w:pPr>
            <w:r>
              <w:rPr>
                <w:color w:val="000000"/>
                <w:kern w:val="0"/>
                <w:sz w:val="24"/>
                <w:szCs w:val="24"/>
              </w:rPr>
              <w:t>18</w:t>
            </w:r>
            <w:r>
              <w:rPr>
                <w:color w:val="000000"/>
                <w:kern w:val="0"/>
                <w:sz w:val="24"/>
                <w:szCs w:val="24"/>
              </w:rPr>
              <w:t>晋焦煤</w:t>
            </w:r>
            <w:r>
              <w:rPr>
                <w:color w:val="000000"/>
                <w:kern w:val="0"/>
                <w:sz w:val="24"/>
                <w:szCs w:val="24"/>
              </w:rPr>
              <w:t>MTN005</w:t>
            </w:r>
          </w:p>
        </w:tc>
        <w:tc>
          <w:tcPr>
            <w:tcW w:w="0" w:type="auto"/>
            <w:vAlign w:val="center"/>
          </w:tcPr>
          <w:p w:rsidR="00C809F5" w:rsidRDefault="002E2CEC">
            <w:pPr>
              <w:jc w:val="right"/>
            </w:pPr>
            <w:r>
              <w:rPr>
                <w:color w:val="000000"/>
                <w:kern w:val="0"/>
                <w:sz w:val="24"/>
                <w:szCs w:val="24"/>
              </w:rPr>
              <w:t>500,000</w:t>
            </w:r>
          </w:p>
        </w:tc>
        <w:tc>
          <w:tcPr>
            <w:tcW w:w="0" w:type="auto"/>
            <w:vAlign w:val="center"/>
          </w:tcPr>
          <w:p w:rsidR="00C809F5" w:rsidRDefault="002E2CEC">
            <w:pPr>
              <w:jc w:val="right"/>
            </w:pPr>
            <w:r>
              <w:rPr>
                <w:color w:val="000000"/>
                <w:kern w:val="0"/>
                <w:sz w:val="24"/>
                <w:szCs w:val="24"/>
              </w:rPr>
              <w:t>53,500,000.00</w:t>
            </w:r>
          </w:p>
        </w:tc>
        <w:tc>
          <w:tcPr>
            <w:tcW w:w="0" w:type="auto"/>
            <w:vAlign w:val="center"/>
          </w:tcPr>
          <w:p w:rsidR="00C809F5" w:rsidRDefault="002E2CEC">
            <w:pPr>
              <w:jc w:val="right"/>
            </w:pPr>
            <w:r>
              <w:rPr>
                <w:color w:val="000000"/>
                <w:kern w:val="0"/>
                <w:sz w:val="24"/>
                <w:szCs w:val="24"/>
              </w:rPr>
              <w:t>3.93</w:t>
            </w:r>
          </w:p>
        </w:tc>
      </w:tr>
      <w:tr w:rsidR="00C809F5">
        <w:tc>
          <w:tcPr>
            <w:tcW w:w="0" w:type="auto"/>
            <w:vAlign w:val="center"/>
          </w:tcPr>
          <w:p w:rsidR="00C809F5" w:rsidRDefault="002E2CEC">
            <w:pPr>
              <w:jc w:val="center"/>
            </w:pPr>
            <w:r>
              <w:rPr>
                <w:color w:val="000000"/>
                <w:kern w:val="0"/>
                <w:sz w:val="24"/>
                <w:szCs w:val="24"/>
              </w:rPr>
              <w:t>3</w:t>
            </w:r>
          </w:p>
        </w:tc>
        <w:tc>
          <w:tcPr>
            <w:tcW w:w="0" w:type="auto"/>
            <w:vAlign w:val="center"/>
          </w:tcPr>
          <w:p w:rsidR="00C809F5" w:rsidRDefault="002E2CEC">
            <w:pPr>
              <w:jc w:val="center"/>
            </w:pPr>
            <w:r>
              <w:rPr>
                <w:color w:val="000000"/>
                <w:kern w:val="0"/>
                <w:sz w:val="24"/>
                <w:szCs w:val="24"/>
              </w:rPr>
              <w:t>101801079</w:t>
            </w:r>
          </w:p>
        </w:tc>
        <w:tc>
          <w:tcPr>
            <w:tcW w:w="0" w:type="auto"/>
            <w:vAlign w:val="center"/>
          </w:tcPr>
          <w:p w:rsidR="00C809F5" w:rsidRDefault="002E2CEC">
            <w:pPr>
              <w:jc w:val="center"/>
            </w:pPr>
            <w:r>
              <w:rPr>
                <w:color w:val="000000"/>
                <w:kern w:val="0"/>
                <w:sz w:val="24"/>
                <w:szCs w:val="24"/>
              </w:rPr>
              <w:t>18</w:t>
            </w:r>
            <w:r>
              <w:rPr>
                <w:color w:val="000000"/>
                <w:kern w:val="0"/>
                <w:sz w:val="24"/>
                <w:szCs w:val="24"/>
              </w:rPr>
              <w:t>闽高速</w:t>
            </w:r>
            <w:r>
              <w:rPr>
                <w:color w:val="000000"/>
                <w:kern w:val="0"/>
                <w:sz w:val="24"/>
                <w:szCs w:val="24"/>
              </w:rPr>
              <w:t>MTN001</w:t>
            </w:r>
          </w:p>
        </w:tc>
        <w:tc>
          <w:tcPr>
            <w:tcW w:w="0" w:type="auto"/>
            <w:vAlign w:val="center"/>
          </w:tcPr>
          <w:p w:rsidR="00C809F5" w:rsidRDefault="002E2CEC">
            <w:pPr>
              <w:jc w:val="right"/>
            </w:pPr>
            <w:r>
              <w:rPr>
                <w:color w:val="000000"/>
                <w:kern w:val="0"/>
                <w:sz w:val="24"/>
                <w:szCs w:val="24"/>
              </w:rPr>
              <w:t>500,000</w:t>
            </w:r>
          </w:p>
        </w:tc>
        <w:tc>
          <w:tcPr>
            <w:tcW w:w="0" w:type="auto"/>
            <w:vAlign w:val="center"/>
          </w:tcPr>
          <w:p w:rsidR="00C809F5" w:rsidRDefault="002E2CEC">
            <w:pPr>
              <w:jc w:val="right"/>
            </w:pPr>
            <w:r>
              <w:rPr>
                <w:color w:val="000000"/>
                <w:kern w:val="0"/>
                <w:sz w:val="24"/>
                <w:szCs w:val="24"/>
              </w:rPr>
              <w:t>53,185,000.00</w:t>
            </w:r>
          </w:p>
        </w:tc>
        <w:tc>
          <w:tcPr>
            <w:tcW w:w="0" w:type="auto"/>
            <w:vAlign w:val="center"/>
          </w:tcPr>
          <w:p w:rsidR="00C809F5" w:rsidRDefault="002E2CEC">
            <w:pPr>
              <w:jc w:val="right"/>
            </w:pPr>
            <w:r>
              <w:rPr>
                <w:color w:val="000000"/>
                <w:kern w:val="0"/>
                <w:sz w:val="24"/>
                <w:szCs w:val="24"/>
              </w:rPr>
              <w:t>3.91</w:t>
            </w:r>
          </w:p>
        </w:tc>
      </w:tr>
      <w:tr w:rsidR="00C809F5">
        <w:tc>
          <w:tcPr>
            <w:tcW w:w="0" w:type="auto"/>
            <w:vAlign w:val="center"/>
          </w:tcPr>
          <w:p w:rsidR="00C809F5" w:rsidRDefault="002E2CEC">
            <w:pPr>
              <w:jc w:val="center"/>
            </w:pPr>
            <w:r>
              <w:rPr>
                <w:color w:val="000000"/>
                <w:kern w:val="0"/>
                <w:sz w:val="24"/>
                <w:szCs w:val="24"/>
              </w:rPr>
              <w:t>4</w:t>
            </w:r>
          </w:p>
        </w:tc>
        <w:tc>
          <w:tcPr>
            <w:tcW w:w="0" w:type="auto"/>
            <w:vAlign w:val="center"/>
          </w:tcPr>
          <w:p w:rsidR="00C809F5" w:rsidRDefault="002E2CEC">
            <w:pPr>
              <w:jc w:val="center"/>
            </w:pPr>
            <w:r>
              <w:rPr>
                <w:color w:val="000000"/>
                <w:kern w:val="0"/>
                <w:sz w:val="24"/>
                <w:szCs w:val="24"/>
              </w:rPr>
              <w:t>101801187</w:t>
            </w:r>
          </w:p>
        </w:tc>
        <w:tc>
          <w:tcPr>
            <w:tcW w:w="0" w:type="auto"/>
            <w:vAlign w:val="center"/>
          </w:tcPr>
          <w:p w:rsidR="00C809F5" w:rsidRDefault="002E2CEC">
            <w:pPr>
              <w:jc w:val="center"/>
            </w:pPr>
            <w:r>
              <w:rPr>
                <w:color w:val="000000"/>
                <w:kern w:val="0"/>
                <w:sz w:val="24"/>
                <w:szCs w:val="24"/>
              </w:rPr>
              <w:t>18</w:t>
            </w:r>
            <w:r>
              <w:rPr>
                <w:color w:val="000000"/>
                <w:kern w:val="0"/>
                <w:sz w:val="24"/>
                <w:szCs w:val="24"/>
              </w:rPr>
              <w:t>陕煤化</w:t>
            </w:r>
            <w:r>
              <w:rPr>
                <w:color w:val="000000"/>
                <w:kern w:val="0"/>
                <w:sz w:val="24"/>
                <w:szCs w:val="24"/>
              </w:rPr>
              <w:t>MTN004</w:t>
            </w:r>
          </w:p>
        </w:tc>
        <w:tc>
          <w:tcPr>
            <w:tcW w:w="0" w:type="auto"/>
            <w:vAlign w:val="center"/>
          </w:tcPr>
          <w:p w:rsidR="00C809F5" w:rsidRDefault="002E2CEC">
            <w:pPr>
              <w:jc w:val="right"/>
            </w:pPr>
            <w:r>
              <w:rPr>
                <w:color w:val="000000"/>
                <w:kern w:val="0"/>
                <w:sz w:val="24"/>
                <w:szCs w:val="24"/>
              </w:rPr>
              <w:t>500,000</w:t>
            </w:r>
          </w:p>
        </w:tc>
        <w:tc>
          <w:tcPr>
            <w:tcW w:w="0" w:type="auto"/>
            <w:vAlign w:val="center"/>
          </w:tcPr>
          <w:p w:rsidR="00C809F5" w:rsidRDefault="002E2CEC">
            <w:pPr>
              <w:jc w:val="right"/>
            </w:pPr>
            <w:r>
              <w:rPr>
                <w:color w:val="000000"/>
                <w:kern w:val="0"/>
                <w:sz w:val="24"/>
                <w:szCs w:val="24"/>
              </w:rPr>
              <w:t>52,785,000.00</w:t>
            </w:r>
          </w:p>
        </w:tc>
        <w:tc>
          <w:tcPr>
            <w:tcW w:w="0" w:type="auto"/>
            <w:vAlign w:val="center"/>
          </w:tcPr>
          <w:p w:rsidR="00C809F5" w:rsidRDefault="002E2CEC">
            <w:pPr>
              <w:jc w:val="right"/>
            </w:pPr>
            <w:r>
              <w:rPr>
                <w:color w:val="000000"/>
                <w:kern w:val="0"/>
                <w:sz w:val="24"/>
                <w:szCs w:val="24"/>
              </w:rPr>
              <w:t>3.88</w:t>
            </w:r>
          </w:p>
        </w:tc>
      </w:tr>
      <w:tr w:rsidR="00C809F5">
        <w:tc>
          <w:tcPr>
            <w:tcW w:w="0" w:type="auto"/>
            <w:vAlign w:val="center"/>
          </w:tcPr>
          <w:p w:rsidR="00C809F5" w:rsidRDefault="002E2CEC">
            <w:pPr>
              <w:jc w:val="center"/>
            </w:pPr>
            <w:r>
              <w:rPr>
                <w:color w:val="000000"/>
                <w:kern w:val="0"/>
                <w:sz w:val="24"/>
                <w:szCs w:val="24"/>
              </w:rPr>
              <w:t>5</w:t>
            </w:r>
          </w:p>
        </w:tc>
        <w:tc>
          <w:tcPr>
            <w:tcW w:w="0" w:type="auto"/>
            <w:vAlign w:val="center"/>
          </w:tcPr>
          <w:p w:rsidR="00C809F5" w:rsidRDefault="002E2CEC">
            <w:pPr>
              <w:jc w:val="center"/>
            </w:pPr>
            <w:r>
              <w:rPr>
                <w:color w:val="000000"/>
                <w:kern w:val="0"/>
                <w:sz w:val="24"/>
                <w:szCs w:val="24"/>
              </w:rPr>
              <w:t>011902490</w:t>
            </w:r>
          </w:p>
        </w:tc>
        <w:tc>
          <w:tcPr>
            <w:tcW w:w="0" w:type="auto"/>
            <w:vAlign w:val="center"/>
          </w:tcPr>
          <w:p w:rsidR="00C809F5" w:rsidRDefault="002E2CEC">
            <w:pPr>
              <w:jc w:val="center"/>
            </w:pPr>
            <w:r>
              <w:rPr>
                <w:color w:val="000000"/>
                <w:kern w:val="0"/>
                <w:sz w:val="24"/>
                <w:szCs w:val="24"/>
              </w:rPr>
              <w:t>19</w:t>
            </w:r>
            <w:r>
              <w:rPr>
                <w:color w:val="000000"/>
                <w:kern w:val="0"/>
                <w:sz w:val="24"/>
                <w:szCs w:val="24"/>
              </w:rPr>
              <w:t>京昊华</w:t>
            </w:r>
            <w:r>
              <w:rPr>
                <w:color w:val="000000"/>
                <w:kern w:val="0"/>
                <w:sz w:val="24"/>
                <w:szCs w:val="24"/>
              </w:rPr>
              <w:t>SCP001</w:t>
            </w:r>
          </w:p>
        </w:tc>
        <w:tc>
          <w:tcPr>
            <w:tcW w:w="0" w:type="auto"/>
            <w:vAlign w:val="center"/>
          </w:tcPr>
          <w:p w:rsidR="00C809F5" w:rsidRDefault="002E2CEC">
            <w:pPr>
              <w:jc w:val="right"/>
            </w:pPr>
            <w:r>
              <w:rPr>
                <w:color w:val="000000"/>
                <w:kern w:val="0"/>
                <w:sz w:val="24"/>
                <w:szCs w:val="24"/>
              </w:rPr>
              <w:t>500,000</w:t>
            </w:r>
          </w:p>
        </w:tc>
        <w:tc>
          <w:tcPr>
            <w:tcW w:w="0" w:type="auto"/>
            <w:vAlign w:val="center"/>
          </w:tcPr>
          <w:p w:rsidR="00C809F5" w:rsidRDefault="002E2CEC">
            <w:pPr>
              <w:jc w:val="right"/>
            </w:pPr>
            <w:r>
              <w:rPr>
                <w:color w:val="000000"/>
                <w:kern w:val="0"/>
                <w:sz w:val="24"/>
                <w:szCs w:val="24"/>
              </w:rPr>
              <w:t>50,255,000.00</w:t>
            </w:r>
          </w:p>
        </w:tc>
        <w:tc>
          <w:tcPr>
            <w:tcW w:w="0" w:type="auto"/>
            <w:vAlign w:val="center"/>
          </w:tcPr>
          <w:p w:rsidR="00C809F5" w:rsidRDefault="002E2CEC">
            <w:pPr>
              <w:jc w:val="right"/>
            </w:pPr>
            <w:r>
              <w:rPr>
                <w:color w:val="000000"/>
                <w:kern w:val="0"/>
                <w:sz w:val="24"/>
                <w:szCs w:val="24"/>
              </w:rPr>
              <w:t>3.70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802"/>
        <w:gridCol w:w="1742"/>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证券名称</w:t>
            </w:r>
          </w:p>
        </w:tc>
        <w:tc>
          <w:tcPr>
            <w:tcW w:w="180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w="174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809F5">
        <w:tc>
          <w:tcPr>
            <w:tcW w:w="0" w:type="auto"/>
            <w:vAlign w:val="center"/>
          </w:tcPr>
          <w:p w:rsidR="00C809F5" w:rsidRDefault="002E2CEC">
            <w:pPr>
              <w:jc w:val="center"/>
            </w:pPr>
            <w:r>
              <w:rPr>
                <w:color w:val="000000"/>
                <w:kern w:val="0"/>
                <w:sz w:val="24"/>
                <w:szCs w:val="24"/>
              </w:rPr>
              <w:t>1</w:t>
            </w:r>
          </w:p>
        </w:tc>
        <w:tc>
          <w:tcPr>
            <w:tcW w:w="0" w:type="auto"/>
            <w:vAlign w:val="center"/>
          </w:tcPr>
          <w:p w:rsidR="00C809F5" w:rsidRDefault="002E2CEC">
            <w:pPr>
              <w:jc w:val="center"/>
            </w:pPr>
            <w:r>
              <w:rPr>
                <w:color w:val="000000"/>
                <w:kern w:val="0"/>
                <w:sz w:val="24"/>
                <w:szCs w:val="24"/>
              </w:rPr>
              <w:t>165272</w:t>
            </w:r>
          </w:p>
        </w:tc>
        <w:tc>
          <w:tcPr>
            <w:tcW w:w="0" w:type="auto"/>
            <w:vAlign w:val="center"/>
          </w:tcPr>
          <w:p w:rsidR="00C809F5" w:rsidRDefault="002E2CEC">
            <w:pPr>
              <w:jc w:val="center"/>
            </w:pPr>
            <w:r>
              <w:rPr>
                <w:color w:val="000000"/>
                <w:kern w:val="0"/>
                <w:sz w:val="24"/>
                <w:szCs w:val="24"/>
              </w:rPr>
              <w:t>天信</w:t>
            </w:r>
            <w:r>
              <w:rPr>
                <w:color w:val="000000"/>
                <w:kern w:val="0"/>
                <w:sz w:val="24"/>
                <w:szCs w:val="24"/>
              </w:rPr>
              <w:t>2A</w:t>
            </w:r>
          </w:p>
        </w:tc>
        <w:tc>
          <w:tcPr>
            <w:tcW w:w="0" w:type="auto"/>
            <w:vAlign w:val="center"/>
          </w:tcPr>
          <w:p w:rsidR="00C809F5" w:rsidRDefault="002E2CEC">
            <w:pPr>
              <w:jc w:val="right"/>
            </w:pPr>
            <w:r>
              <w:rPr>
                <w:color w:val="000000"/>
                <w:kern w:val="0"/>
                <w:sz w:val="24"/>
                <w:szCs w:val="24"/>
              </w:rPr>
              <w:t>200,000</w:t>
            </w:r>
          </w:p>
        </w:tc>
        <w:tc>
          <w:tcPr>
            <w:tcW w:w="0" w:type="auto"/>
            <w:vAlign w:val="center"/>
          </w:tcPr>
          <w:p w:rsidR="00C809F5" w:rsidRDefault="002E2CEC">
            <w:pPr>
              <w:jc w:val="right"/>
            </w:pPr>
            <w:r>
              <w:rPr>
                <w:color w:val="000000"/>
                <w:kern w:val="0"/>
                <w:sz w:val="24"/>
                <w:szCs w:val="24"/>
              </w:rPr>
              <w:t>20,116,000.00</w:t>
            </w:r>
          </w:p>
        </w:tc>
        <w:tc>
          <w:tcPr>
            <w:tcW w:w="0" w:type="auto"/>
            <w:vAlign w:val="center"/>
          </w:tcPr>
          <w:p w:rsidR="00C809F5" w:rsidRDefault="002E2CEC">
            <w:pPr>
              <w:jc w:val="right"/>
            </w:pPr>
            <w:r>
              <w:rPr>
                <w:color w:val="000000"/>
                <w:kern w:val="0"/>
                <w:sz w:val="24"/>
                <w:szCs w:val="24"/>
              </w:rPr>
              <w:t>1.48</w:t>
            </w:r>
          </w:p>
        </w:tc>
      </w:tr>
      <w:tr w:rsidR="00C809F5">
        <w:tc>
          <w:tcPr>
            <w:tcW w:w="0" w:type="auto"/>
            <w:vAlign w:val="center"/>
          </w:tcPr>
          <w:p w:rsidR="00C809F5" w:rsidRDefault="002E2CEC">
            <w:pPr>
              <w:jc w:val="center"/>
            </w:pPr>
            <w:r>
              <w:rPr>
                <w:color w:val="000000"/>
                <w:kern w:val="0"/>
                <w:sz w:val="24"/>
                <w:szCs w:val="24"/>
              </w:rPr>
              <w:t>2</w:t>
            </w:r>
          </w:p>
        </w:tc>
        <w:tc>
          <w:tcPr>
            <w:tcW w:w="0" w:type="auto"/>
            <w:vAlign w:val="center"/>
          </w:tcPr>
          <w:p w:rsidR="00C809F5" w:rsidRDefault="002E2CEC">
            <w:pPr>
              <w:jc w:val="center"/>
            </w:pPr>
            <w:r>
              <w:rPr>
                <w:color w:val="000000"/>
                <w:kern w:val="0"/>
                <w:sz w:val="24"/>
                <w:szCs w:val="24"/>
              </w:rPr>
              <w:t>165519</w:t>
            </w:r>
          </w:p>
        </w:tc>
        <w:tc>
          <w:tcPr>
            <w:tcW w:w="0" w:type="auto"/>
            <w:vAlign w:val="center"/>
          </w:tcPr>
          <w:p w:rsidR="00C809F5" w:rsidRDefault="002E2CEC">
            <w:pPr>
              <w:jc w:val="center"/>
            </w:pPr>
            <w:r>
              <w:rPr>
                <w:color w:val="000000"/>
                <w:kern w:val="0"/>
                <w:sz w:val="24"/>
                <w:szCs w:val="24"/>
              </w:rPr>
              <w:t>天信</w:t>
            </w:r>
            <w:r>
              <w:rPr>
                <w:color w:val="000000"/>
                <w:kern w:val="0"/>
                <w:sz w:val="24"/>
                <w:szCs w:val="24"/>
              </w:rPr>
              <w:t>4A</w:t>
            </w:r>
          </w:p>
        </w:tc>
        <w:tc>
          <w:tcPr>
            <w:tcW w:w="0" w:type="auto"/>
            <w:vAlign w:val="center"/>
          </w:tcPr>
          <w:p w:rsidR="00C809F5" w:rsidRDefault="002E2CEC">
            <w:pPr>
              <w:jc w:val="right"/>
            </w:pPr>
            <w:r>
              <w:rPr>
                <w:color w:val="000000"/>
                <w:kern w:val="0"/>
                <w:sz w:val="24"/>
                <w:szCs w:val="24"/>
              </w:rPr>
              <w:t>200,000</w:t>
            </w:r>
          </w:p>
        </w:tc>
        <w:tc>
          <w:tcPr>
            <w:tcW w:w="0" w:type="auto"/>
            <w:vAlign w:val="center"/>
          </w:tcPr>
          <w:p w:rsidR="00C809F5" w:rsidRDefault="002E2CEC">
            <w:pPr>
              <w:jc w:val="right"/>
            </w:pPr>
            <w:r>
              <w:rPr>
                <w:color w:val="000000"/>
                <w:kern w:val="0"/>
                <w:sz w:val="24"/>
                <w:szCs w:val="24"/>
              </w:rPr>
              <w:t>20,114,000.00</w:t>
            </w:r>
          </w:p>
        </w:tc>
        <w:tc>
          <w:tcPr>
            <w:tcW w:w="0" w:type="auto"/>
            <w:vAlign w:val="center"/>
          </w:tcPr>
          <w:p w:rsidR="00C809F5" w:rsidRDefault="002E2CEC">
            <w:pPr>
              <w:jc w:val="right"/>
            </w:pPr>
            <w:r>
              <w:rPr>
                <w:color w:val="000000"/>
                <w:kern w:val="0"/>
                <w:sz w:val="24"/>
                <w:szCs w:val="24"/>
              </w:rPr>
              <w:t>1.48</w:t>
            </w:r>
          </w:p>
        </w:tc>
      </w:tr>
      <w:tr w:rsidR="00C809F5">
        <w:tc>
          <w:tcPr>
            <w:tcW w:w="0" w:type="auto"/>
            <w:vAlign w:val="center"/>
          </w:tcPr>
          <w:p w:rsidR="00C809F5" w:rsidRDefault="002E2CEC">
            <w:pPr>
              <w:jc w:val="center"/>
            </w:pPr>
            <w:r>
              <w:rPr>
                <w:color w:val="000000"/>
                <w:kern w:val="0"/>
                <w:sz w:val="24"/>
                <w:szCs w:val="24"/>
              </w:rPr>
              <w:t>3</w:t>
            </w:r>
          </w:p>
        </w:tc>
        <w:tc>
          <w:tcPr>
            <w:tcW w:w="0" w:type="auto"/>
            <w:vAlign w:val="center"/>
          </w:tcPr>
          <w:p w:rsidR="00C809F5" w:rsidRDefault="002E2CEC">
            <w:pPr>
              <w:jc w:val="center"/>
            </w:pPr>
            <w:r>
              <w:rPr>
                <w:color w:val="000000"/>
                <w:kern w:val="0"/>
                <w:sz w:val="24"/>
                <w:szCs w:val="24"/>
              </w:rPr>
              <w:t>138221</w:t>
            </w:r>
          </w:p>
        </w:tc>
        <w:tc>
          <w:tcPr>
            <w:tcW w:w="0" w:type="auto"/>
            <w:vAlign w:val="center"/>
          </w:tcPr>
          <w:p w:rsidR="00C809F5" w:rsidRDefault="002E2CEC">
            <w:pPr>
              <w:jc w:val="center"/>
            </w:pPr>
            <w:r>
              <w:rPr>
                <w:color w:val="000000"/>
                <w:kern w:val="0"/>
                <w:sz w:val="24"/>
                <w:szCs w:val="24"/>
              </w:rPr>
              <w:t>绿金</w:t>
            </w:r>
            <w:r>
              <w:rPr>
                <w:color w:val="000000"/>
                <w:kern w:val="0"/>
                <w:sz w:val="24"/>
                <w:szCs w:val="24"/>
              </w:rPr>
              <w:t>6A1</w:t>
            </w:r>
          </w:p>
        </w:tc>
        <w:tc>
          <w:tcPr>
            <w:tcW w:w="0" w:type="auto"/>
            <w:vAlign w:val="center"/>
          </w:tcPr>
          <w:p w:rsidR="00C809F5" w:rsidRDefault="002E2CEC">
            <w:pPr>
              <w:jc w:val="right"/>
            </w:pPr>
            <w:r>
              <w:rPr>
                <w:color w:val="000000"/>
                <w:kern w:val="0"/>
                <w:sz w:val="24"/>
                <w:szCs w:val="24"/>
              </w:rPr>
              <w:t>100,000</w:t>
            </w:r>
          </w:p>
        </w:tc>
        <w:tc>
          <w:tcPr>
            <w:tcW w:w="0" w:type="auto"/>
            <w:vAlign w:val="center"/>
          </w:tcPr>
          <w:p w:rsidR="00C809F5" w:rsidRDefault="002E2CEC">
            <w:pPr>
              <w:jc w:val="right"/>
            </w:pPr>
            <w:r>
              <w:rPr>
                <w:color w:val="000000"/>
                <w:kern w:val="0"/>
                <w:sz w:val="24"/>
                <w:szCs w:val="24"/>
              </w:rPr>
              <w:t>10,077,000.00</w:t>
            </w:r>
          </w:p>
        </w:tc>
        <w:tc>
          <w:tcPr>
            <w:tcW w:w="0" w:type="auto"/>
            <w:vAlign w:val="center"/>
          </w:tcPr>
          <w:p w:rsidR="00C809F5" w:rsidRDefault="002E2CEC">
            <w:pPr>
              <w:jc w:val="right"/>
            </w:pPr>
            <w:r>
              <w:rPr>
                <w:color w:val="000000"/>
                <w:kern w:val="0"/>
                <w:sz w:val="24"/>
                <w:szCs w:val="24"/>
              </w:rPr>
              <w:t>0.74</w:t>
            </w:r>
          </w:p>
        </w:tc>
      </w:tr>
      <w:tr w:rsidR="00C809F5">
        <w:tc>
          <w:tcPr>
            <w:tcW w:w="0" w:type="auto"/>
            <w:vAlign w:val="center"/>
          </w:tcPr>
          <w:p w:rsidR="00C809F5" w:rsidRDefault="002E2CEC">
            <w:pPr>
              <w:jc w:val="center"/>
            </w:pPr>
            <w:r>
              <w:rPr>
                <w:color w:val="000000"/>
                <w:kern w:val="0"/>
                <w:sz w:val="24"/>
                <w:szCs w:val="24"/>
              </w:rPr>
              <w:t>4</w:t>
            </w:r>
          </w:p>
        </w:tc>
        <w:tc>
          <w:tcPr>
            <w:tcW w:w="0" w:type="auto"/>
            <w:vAlign w:val="center"/>
          </w:tcPr>
          <w:p w:rsidR="00C809F5" w:rsidRDefault="002E2CEC">
            <w:pPr>
              <w:jc w:val="center"/>
            </w:pPr>
            <w:r>
              <w:rPr>
                <w:color w:val="000000"/>
                <w:kern w:val="0"/>
                <w:sz w:val="24"/>
                <w:szCs w:val="24"/>
              </w:rPr>
              <w:t>168047</w:t>
            </w:r>
          </w:p>
        </w:tc>
        <w:tc>
          <w:tcPr>
            <w:tcW w:w="0" w:type="auto"/>
            <w:vAlign w:val="center"/>
          </w:tcPr>
          <w:p w:rsidR="00C809F5" w:rsidRDefault="002E2CEC">
            <w:pPr>
              <w:jc w:val="center"/>
            </w:pPr>
            <w:r>
              <w:rPr>
                <w:color w:val="000000"/>
                <w:kern w:val="0"/>
                <w:sz w:val="24"/>
                <w:szCs w:val="24"/>
              </w:rPr>
              <w:t>远海租</w:t>
            </w:r>
            <w:r>
              <w:rPr>
                <w:color w:val="000000"/>
                <w:kern w:val="0"/>
                <w:sz w:val="24"/>
                <w:szCs w:val="24"/>
              </w:rPr>
              <w:t>42</w:t>
            </w:r>
          </w:p>
        </w:tc>
        <w:tc>
          <w:tcPr>
            <w:tcW w:w="0" w:type="auto"/>
            <w:vAlign w:val="center"/>
          </w:tcPr>
          <w:p w:rsidR="00C809F5" w:rsidRDefault="002E2CEC">
            <w:pPr>
              <w:jc w:val="right"/>
            </w:pPr>
            <w:r>
              <w:rPr>
                <w:color w:val="000000"/>
                <w:kern w:val="0"/>
                <w:sz w:val="24"/>
                <w:szCs w:val="24"/>
              </w:rPr>
              <w:t>100,000</w:t>
            </w:r>
          </w:p>
        </w:tc>
        <w:tc>
          <w:tcPr>
            <w:tcW w:w="0" w:type="auto"/>
            <w:vAlign w:val="center"/>
          </w:tcPr>
          <w:p w:rsidR="00C809F5" w:rsidRDefault="002E2CEC">
            <w:pPr>
              <w:jc w:val="right"/>
            </w:pPr>
            <w:r>
              <w:rPr>
                <w:color w:val="000000"/>
                <w:kern w:val="0"/>
                <w:sz w:val="24"/>
                <w:szCs w:val="24"/>
              </w:rPr>
              <w:t>10,000,000.00</w:t>
            </w:r>
          </w:p>
        </w:tc>
        <w:tc>
          <w:tcPr>
            <w:tcW w:w="0" w:type="auto"/>
            <w:vAlign w:val="center"/>
          </w:tcPr>
          <w:p w:rsidR="00C809F5" w:rsidRDefault="002E2CEC">
            <w:pPr>
              <w:jc w:val="right"/>
            </w:pPr>
            <w:r>
              <w:rPr>
                <w:color w:val="000000"/>
                <w:kern w:val="0"/>
                <w:sz w:val="24"/>
                <w:szCs w:val="24"/>
              </w:rPr>
              <w:t>0.74</w:t>
            </w:r>
          </w:p>
        </w:tc>
      </w:tr>
    </w:tbl>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本基金本报告期没有投资股票，因此不存在投资的前十名股票超出基金合同规定的备选股票库情况。</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1,766.98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33,550,249.70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37,500.00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33,589,516.68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本基金本报告期末未持有股票。</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1,249,121,371.59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1,249,121,371.59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809F5" w:rsidRDefault="002E2CEC">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中国证监会核准易方达永旭添利定期开放债券型证券投资基金募集的文件；</w:t>
      </w:r>
    </w:p>
    <w:p w:rsidR="00C809F5" w:rsidRDefault="002E2CEC">
      <w:pPr>
        <w:spacing w:line="360" w:lineRule="auto"/>
        <w:ind w:firstLineChars="200" w:firstLine="480"/>
        <w:rPr>
          <w:color w:val="000000"/>
          <w:sz w:val="24"/>
          <w:szCs w:val="24"/>
        </w:rPr>
      </w:pPr>
      <w:r>
        <w:rPr>
          <w:color w:val="000000"/>
          <w:sz w:val="24"/>
          <w:szCs w:val="24"/>
        </w:rPr>
        <w:t>2.</w:t>
      </w:r>
      <w:r>
        <w:rPr>
          <w:color w:val="000000"/>
          <w:sz w:val="24"/>
          <w:szCs w:val="24"/>
        </w:rPr>
        <w:t>《易方达永旭添利定期开放债券型证券投资基金基金合同》；</w:t>
      </w:r>
    </w:p>
    <w:p w:rsidR="00C809F5" w:rsidRDefault="002E2CEC">
      <w:pPr>
        <w:spacing w:line="360" w:lineRule="auto"/>
        <w:ind w:firstLineChars="200" w:firstLine="480"/>
        <w:rPr>
          <w:color w:val="000000"/>
          <w:sz w:val="24"/>
          <w:szCs w:val="24"/>
        </w:rPr>
      </w:pPr>
      <w:r>
        <w:rPr>
          <w:color w:val="000000"/>
          <w:sz w:val="24"/>
          <w:szCs w:val="24"/>
        </w:rPr>
        <w:t>3.</w:t>
      </w:r>
      <w:r>
        <w:rPr>
          <w:color w:val="000000"/>
          <w:sz w:val="24"/>
          <w:szCs w:val="24"/>
        </w:rPr>
        <w:t>《易方达永旭添利定期开放债券型证券投资基金托管协议》；</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4.</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E2CEC">
      <w:rPr>
        <w:rStyle w:val="a7"/>
        <w:noProof/>
      </w:rPr>
      <w:t>1</w:t>
    </w:r>
    <w:r>
      <w:rPr>
        <w:rStyle w:val="a7"/>
      </w:rPr>
      <w:fldChar w:fldCharType="end"/>
    </w:r>
    <w:r>
      <w:rPr>
        <w:rStyle w:val="a7"/>
        <w:rFonts w:hint="eastAsia"/>
      </w:rPr>
      <w:t>页共</w:t>
    </w:r>
    <w:fldSimple w:instr=" NUMPAGES  \* Arabic  \* MERGEFORMAT ">
      <w:r w:rsidR="002E2CEC" w:rsidRPr="002E2CEC">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E2CEC">
      <w:rPr>
        <w:rStyle w:val="a7"/>
        <w:noProof/>
      </w:rPr>
      <w:t>2</w:t>
    </w:r>
    <w:r>
      <w:rPr>
        <w:rStyle w:val="a7"/>
      </w:rPr>
      <w:fldChar w:fldCharType="end"/>
    </w:r>
    <w:r>
      <w:rPr>
        <w:rStyle w:val="a7"/>
        <w:rFonts w:hint="eastAsia"/>
      </w:rPr>
      <w:t>页共</w:t>
    </w:r>
    <w:r w:rsidR="002E2CEC">
      <w:fldChar w:fldCharType="begin"/>
    </w:r>
    <w:r w:rsidR="002E2CEC">
      <w:instrText xml:space="preserve"> NUMPAGES  \* Arabic  \* MERGEFORMAT </w:instrText>
    </w:r>
    <w:r w:rsidR="002E2CEC">
      <w:fldChar w:fldCharType="separate"/>
    </w:r>
    <w:r w:rsidR="002E2CEC" w:rsidRPr="002E2CEC">
      <w:rPr>
        <w:rStyle w:val="a7"/>
        <w:noProof/>
      </w:rPr>
      <w:t>2</w:t>
    </w:r>
    <w:r w:rsidR="002E2CEC">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易方达永旭添利定期开放债券型证券投资基金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2CEC"/>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09F5"/>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4A0C019-E304-4653-803A-54A47FB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7CBB-46A2-4E07-B335-97A17B74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5256</Characters>
  <Application>Microsoft Office Word</Application>
  <DocSecurity>4</DocSecurity>
  <Lines>43</Lines>
  <Paragraphs>12</Paragraphs>
  <ScaleCrop>false</ScaleCrop>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