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6DD" w:rsidRPr="0078105B" w:rsidRDefault="00F016DD" w:rsidP="009A2283">
      <w:pPr>
        <w:autoSpaceDE w:val="0"/>
        <w:autoSpaceDN w:val="0"/>
        <w:adjustRightInd w:val="0"/>
        <w:spacing w:line="360" w:lineRule="auto"/>
        <w:jc w:val="left"/>
        <w:rPr>
          <w:rFonts w:ascii="宋体" w:cs="Arial"/>
          <w:color w:val="000000"/>
          <w:kern w:val="0"/>
          <w:sz w:val="24"/>
        </w:rPr>
      </w:pPr>
      <w:bookmarkStart w:id="0" w:name="_GoBack"/>
      <w:bookmarkEnd w:id="0"/>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易方达中债新综合债券指数发起式证券投资基金（LOF）</w:t>
      </w: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2020年第1季度报告</w:t>
      </w:r>
    </w:p>
    <w:p w:rsidR="00F016DD" w:rsidRPr="00DA451D" w:rsidRDefault="00F016DD" w:rsidP="00FC13C8">
      <w:pPr>
        <w:spacing w:line="360" w:lineRule="auto"/>
        <w:jc w:val="center"/>
        <w:rPr>
          <w:rFonts w:ascii="宋体" w:hAnsi="宋体"/>
          <w:b/>
          <w:sz w:val="24"/>
        </w:rPr>
      </w:pPr>
      <w:r w:rsidRPr="00DA451D">
        <w:rPr>
          <w:rFonts w:ascii="宋体" w:hAnsi="宋体"/>
          <w:b/>
          <w:sz w:val="24"/>
        </w:rPr>
        <w:t>2020年3月31日</w:t>
      </w: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rPr>
          <w:rFonts w:ascii="宋体"/>
          <w:b/>
          <w:color w:val="000000"/>
          <w:sz w:val="24"/>
        </w:rPr>
      </w:pP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基金管理人：</w:t>
      </w:r>
      <w:r w:rsidRPr="0078105B">
        <w:rPr>
          <w:rFonts w:ascii="宋体" w:hAnsi="宋体"/>
          <w:b/>
          <w:color w:val="000000"/>
          <w:sz w:val="24"/>
        </w:rPr>
        <w:t>易方达基金管理有限公司</w:t>
      </w: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基金托管人：</w:t>
      </w:r>
      <w:r w:rsidRPr="0078105B">
        <w:rPr>
          <w:rFonts w:ascii="宋体" w:hAnsi="宋体"/>
          <w:b/>
          <w:color w:val="000000"/>
          <w:sz w:val="24"/>
        </w:rPr>
        <w:t>中国农业银行股份有限公司</w:t>
      </w:r>
    </w:p>
    <w:p w:rsidR="00F016DD" w:rsidRPr="0078105B" w:rsidRDefault="00F016DD" w:rsidP="00174038">
      <w:pPr>
        <w:spacing w:line="360" w:lineRule="auto"/>
        <w:ind w:firstLineChars="900" w:firstLine="2168"/>
        <w:rPr>
          <w:rFonts w:ascii="宋体"/>
          <w:sz w:val="24"/>
        </w:rPr>
        <w:sectPr w:rsidR="00F016DD" w:rsidRPr="0078105B" w:rsidSect="00F7094A">
          <w:headerReference w:type="default" r:id="rId7"/>
          <w:footerReference w:type="default" r:id="rId8"/>
          <w:pgSz w:w="11926" w:h="15840"/>
          <w:pgMar w:top="1418" w:right="1418" w:bottom="851" w:left="1418" w:header="851" w:footer="992" w:gutter="0"/>
          <w:cols w:space="720"/>
          <w:noEndnote/>
        </w:sectPr>
      </w:pPr>
      <w:r w:rsidRPr="0078105B">
        <w:rPr>
          <w:rFonts w:ascii="宋体" w:hAnsi="宋体" w:hint="eastAsia"/>
          <w:b/>
          <w:color w:val="000000"/>
          <w:sz w:val="24"/>
        </w:rPr>
        <w:t>报告送出日期：</w:t>
      </w:r>
      <w:r w:rsidRPr="0078105B">
        <w:rPr>
          <w:rFonts w:ascii="宋体" w:hAnsi="宋体"/>
          <w:b/>
          <w:color w:val="000000"/>
          <w:sz w:val="24"/>
        </w:rPr>
        <w:t>二〇二〇年四月二十一日</w:t>
      </w:r>
    </w:p>
    <w:p w:rsidR="00F016DD" w:rsidRPr="0078105B" w:rsidRDefault="00F016DD" w:rsidP="00B54884">
      <w:pPr>
        <w:pStyle w:val="1"/>
        <w:spacing w:beforeLines="100" w:before="312" w:afterLines="100" w:after="312" w:line="360" w:lineRule="auto"/>
        <w:jc w:val="center"/>
        <w:rPr>
          <w:rFonts w:ascii="宋体" w:cs="Arial"/>
          <w:b w:val="0"/>
          <w:color w:val="000000"/>
          <w:kern w:val="0"/>
          <w:sz w:val="24"/>
          <w:szCs w:val="24"/>
        </w:rPr>
      </w:pPr>
      <w:r w:rsidRPr="0078105B">
        <w:rPr>
          <w:rFonts w:ascii="宋体" w:hAnsi="宋体" w:cs="Arial" w:hint="eastAsia"/>
          <w:color w:val="000000"/>
          <w:kern w:val="0"/>
          <w:sz w:val="24"/>
          <w:szCs w:val="24"/>
        </w:rPr>
        <w:lastRenderedPageBreak/>
        <w:t>§</w:t>
      </w:r>
      <w:r w:rsidRPr="0078105B">
        <w:rPr>
          <w:rFonts w:ascii="宋体" w:hAnsi="宋体" w:cs="Arial"/>
          <w:color w:val="000000"/>
          <w:kern w:val="0"/>
          <w:sz w:val="24"/>
          <w:szCs w:val="24"/>
        </w:rPr>
        <w:t xml:space="preserve">1  </w:t>
      </w:r>
      <w:r w:rsidRPr="0078105B">
        <w:rPr>
          <w:rFonts w:ascii="宋体" w:hAnsi="宋体" w:cs="Arial" w:hint="eastAsia"/>
          <w:color w:val="000000"/>
          <w:kern w:val="0"/>
          <w:sz w:val="24"/>
          <w:szCs w:val="24"/>
        </w:rPr>
        <w:t>重要提示</w:t>
      </w:r>
    </w:p>
    <w:p w:rsidR="00C37626" w:rsidRDefault="000978DF">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C37626" w:rsidRDefault="000978DF">
      <w:pPr>
        <w:spacing w:line="360"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C37626" w:rsidRDefault="000978DF">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37626" w:rsidRDefault="000978DF">
      <w:pPr>
        <w:spacing w:line="360" w:lineRule="auto"/>
        <w:ind w:firstLineChars="200" w:firstLine="480"/>
        <w:rPr>
          <w:color w:val="000000"/>
          <w:sz w:val="24"/>
        </w:rPr>
      </w:pPr>
      <w:r>
        <w:rPr>
          <w:color w:val="000000"/>
          <w:sz w:val="24"/>
        </w:rPr>
        <w:t>基</w:t>
      </w:r>
      <w:r>
        <w:rPr>
          <w:color w:val="000000"/>
          <w:sz w:val="24"/>
        </w:rPr>
        <w:t>金的过往业绩并不代表其未来表现。投资有风险，投资者在作出投资决策前应仔细阅读本基金的招募说明书。</w:t>
      </w:r>
      <w:r>
        <w:rPr>
          <w:color w:val="000000"/>
          <w:sz w:val="24"/>
        </w:rPr>
        <w:t xml:space="preserve"> </w:t>
      </w:r>
    </w:p>
    <w:p w:rsidR="00C37626" w:rsidRDefault="000978DF">
      <w:pPr>
        <w:spacing w:line="360" w:lineRule="auto"/>
        <w:ind w:firstLineChars="200" w:firstLine="480"/>
        <w:rPr>
          <w:color w:val="000000"/>
          <w:sz w:val="24"/>
        </w:rPr>
      </w:pPr>
      <w:r>
        <w:rPr>
          <w:color w:val="000000"/>
          <w:sz w:val="24"/>
        </w:rPr>
        <w:t>本报告中财务资料未经审计。</w:t>
      </w:r>
    </w:p>
    <w:p w:rsidR="00F016DD" w:rsidRPr="00C30CFF" w:rsidRDefault="00F016DD" w:rsidP="00C30CFF">
      <w:pPr>
        <w:spacing w:line="360" w:lineRule="auto"/>
        <w:ind w:firstLineChars="200" w:firstLine="480"/>
        <w:rPr>
          <w:color w:val="000000"/>
          <w:sz w:val="24"/>
        </w:rPr>
      </w:pPr>
      <w:r w:rsidRPr="00C30CFF">
        <w:rPr>
          <w:color w:val="000000"/>
          <w:sz w:val="24"/>
        </w:rPr>
        <w:t>本报告期自</w:t>
      </w:r>
      <w:r w:rsidRPr="00C30CFF">
        <w:rPr>
          <w:color w:val="000000"/>
          <w:sz w:val="24"/>
        </w:rPr>
        <w:t>2020</w:t>
      </w:r>
      <w:r w:rsidRPr="00C30CFF">
        <w:rPr>
          <w:color w:val="000000"/>
          <w:sz w:val="24"/>
        </w:rPr>
        <w:t>年</w:t>
      </w:r>
      <w:r w:rsidRPr="00C30CFF">
        <w:rPr>
          <w:color w:val="000000"/>
          <w:sz w:val="24"/>
        </w:rPr>
        <w:t>1</w:t>
      </w:r>
      <w:r w:rsidRPr="00C30CFF">
        <w:rPr>
          <w:color w:val="000000"/>
          <w:sz w:val="24"/>
        </w:rPr>
        <w:t>月</w:t>
      </w:r>
      <w:r w:rsidRPr="00C30CFF">
        <w:rPr>
          <w:color w:val="000000"/>
          <w:sz w:val="24"/>
        </w:rPr>
        <w:t>1</w:t>
      </w:r>
      <w:r w:rsidRPr="00C30CFF">
        <w:rPr>
          <w:color w:val="000000"/>
          <w:sz w:val="24"/>
        </w:rPr>
        <w:t>日起至</w:t>
      </w:r>
      <w:r w:rsidRPr="00C30CFF">
        <w:rPr>
          <w:color w:val="000000"/>
          <w:sz w:val="24"/>
        </w:rPr>
        <w:t>3</w:t>
      </w:r>
      <w:r w:rsidRPr="00C30CFF">
        <w:rPr>
          <w:color w:val="000000"/>
          <w:sz w:val="24"/>
        </w:rPr>
        <w:t>月</w:t>
      </w:r>
      <w:r w:rsidRPr="00C30CFF">
        <w:rPr>
          <w:color w:val="000000"/>
          <w:sz w:val="24"/>
        </w:rPr>
        <w:t>31</w:t>
      </w:r>
      <w:r w:rsidRPr="00C30CFF">
        <w:rPr>
          <w:color w:val="000000"/>
          <w:sz w:val="24"/>
        </w:rPr>
        <w:t>日止。</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2  </w:t>
      </w:r>
      <w:r w:rsidRPr="0078105B">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90"/>
      </w:tblGrid>
      <w:tr w:rsidR="00F016DD" w:rsidRPr="0078105B" w:rsidTr="00414367">
        <w:tc>
          <w:tcPr>
            <w:tcW w:w="2835"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基金简称</w:t>
            </w:r>
          </w:p>
        </w:tc>
        <w:tc>
          <w:tcPr>
            <w:tcW w:w="5529" w:type="dxa"/>
            <w:gridSpan w:val="2"/>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易方达中债新综指发起式（</w:t>
            </w:r>
            <w:r w:rsidRPr="00C30CFF">
              <w:rPr>
                <w:color w:val="000000"/>
                <w:kern w:val="0"/>
                <w:sz w:val="24"/>
              </w:rPr>
              <w:t>LOF</w:t>
            </w:r>
            <w:r w:rsidRPr="00C30CFF">
              <w:rPr>
                <w:color w:val="000000"/>
                <w:kern w:val="0"/>
                <w:sz w:val="24"/>
              </w:rPr>
              <w:t>）</w:t>
            </w:r>
          </w:p>
        </w:tc>
      </w:tr>
      <w:tr w:rsidR="00D36169" w:rsidRPr="0078105B" w:rsidTr="00414367">
        <w:tc>
          <w:tcPr>
            <w:tcW w:w="2835" w:type="dxa"/>
            <w:vAlign w:val="center"/>
          </w:tcPr>
          <w:p w:rsidR="00D36169" w:rsidRPr="00C30CFF" w:rsidRDefault="00D36169" w:rsidP="00611CB2">
            <w:pPr>
              <w:adjustRightInd w:val="0"/>
              <w:spacing w:before="29" w:line="360" w:lineRule="auto"/>
              <w:ind w:left="17"/>
              <w:jc w:val="left"/>
              <w:rPr>
                <w:kern w:val="0"/>
                <w:sz w:val="24"/>
              </w:rPr>
            </w:pPr>
            <w:r w:rsidRPr="00C30CFF">
              <w:rPr>
                <w:kern w:val="0"/>
                <w:sz w:val="24"/>
              </w:rPr>
              <w:t>场内简称</w:t>
            </w:r>
          </w:p>
        </w:tc>
        <w:tc>
          <w:tcPr>
            <w:tcW w:w="5529" w:type="dxa"/>
            <w:gridSpan w:val="2"/>
            <w:vAlign w:val="center"/>
          </w:tcPr>
          <w:p w:rsidR="00D36169" w:rsidRPr="00C30CFF" w:rsidRDefault="00D36169" w:rsidP="00611CB2">
            <w:pPr>
              <w:adjustRightInd w:val="0"/>
              <w:spacing w:before="29" w:line="360" w:lineRule="auto"/>
              <w:ind w:left="17"/>
              <w:jc w:val="left"/>
              <w:rPr>
                <w:kern w:val="0"/>
                <w:sz w:val="24"/>
              </w:rPr>
            </w:pPr>
            <w:r w:rsidRPr="00C30CFF">
              <w:rPr>
                <w:kern w:val="0"/>
                <w:sz w:val="24"/>
              </w:rPr>
              <w:t>易基综债</w:t>
            </w:r>
          </w:p>
        </w:tc>
      </w:tr>
      <w:tr w:rsidR="00F016DD" w:rsidRPr="0078105B" w:rsidTr="00414367">
        <w:tc>
          <w:tcPr>
            <w:tcW w:w="2835"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基金主代码</w:t>
            </w:r>
          </w:p>
        </w:tc>
        <w:tc>
          <w:tcPr>
            <w:tcW w:w="5529" w:type="dxa"/>
            <w:gridSpan w:val="2"/>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161119</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基金运作方式</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契约型、上市开放式（</w:t>
            </w:r>
            <w:r w:rsidRPr="00C30CFF">
              <w:rPr>
                <w:color w:val="000000"/>
                <w:kern w:val="0"/>
                <w:sz w:val="24"/>
              </w:rPr>
              <w:t>LOF</w:t>
            </w:r>
            <w:r w:rsidRPr="00C30CFF">
              <w:rPr>
                <w:color w:val="000000"/>
                <w:kern w:val="0"/>
                <w:sz w:val="24"/>
              </w:rPr>
              <w:t>）、发起式</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基金合同生效日</w:t>
            </w:r>
          </w:p>
        </w:tc>
        <w:tc>
          <w:tcPr>
            <w:tcW w:w="5529" w:type="dxa"/>
            <w:gridSpan w:val="2"/>
          </w:tcPr>
          <w:p w:rsidR="00F016DD" w:rsidRPr="00C30CFF" w:rsidRDefault="00F016DD" w:rsidP="00121533">
            <w:pPr>
              <w:adjustRightInd w:val="0"/>
              <w:spacing w:before="29" w:line="360" w:lineRule="auto"/>
              <w:ind w:left="17"/>
              <w:jc w:val="left"/>
              <w:rPr>
                <w:color w:val="000000"/>
                <w:kern w:val="0"/>
                <w:sz w:val="24"/>
              </w:rPr>
            </w:pPr>
            <w:r w:rsidRPr="00C30CFF">
              <w:rPr>
                <w:color w:val="000000"/>
                <w:kern w:val="0"/>
                <w:sz w:val="24"/>
              </w:rPr>
              <w:t>2012</w:t>
            </w:r>
            <w:r w:rsidRPr="00C30CFF">
              <w:rPr>
                <w:color w:val="000000"/>
                <w:kern w:val="0"/>
                <w:sz w:val="24"/>
              </w:rPr>
              <w:t>年</w:t>
            </w:r>
            <w:r w:rsidRPr="00C30CFF">
              <w:rPr>
                <w:color w:val="000000"/>
                <w:kern w:val="0"/>
                <w:sz w:val="24"/>
              </w:rPr>
              <w:t>11</w:t>
            </w:r>
            <w:r w:rsidRPr="00C30CFF">
              <w:rPr>
                <w:color w:val="000000"/>
                <w:kern w:val="0"/>
                <w:sz w:val="24"/>
              </w:rPr>
              <w:t>月</w:t>
            </w:r>
            <w:r w:rsidRPr="00C30CFF">
              <w:rPr>
                <w:color w:val="000000"/>
                <w:kern w:val="0"/>
                <w:sz w:val="24"/>
              </w:rPr>
              <w:t>8</w:t>
            </w:r>
            <w:r w:rsidRPr="00C30CFF">
              <w:rPr>
                <w:color w:val="000000"/>
                <w:kern w:val="0"/>
                <w:sz w:val="24"/>
              </w:rPr>
              <w:t>日</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报告期末基金份额总额</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307,545,028.53</w:t>
            </w:r>
            <w:r w:rsidRPr="00C30CFF">
              <w:rPr>
                <w:color w:val="000000"/>
                <w:kern w:val="0"/>
                <w:sz w:val="24"/>
              </w:rPr>
              <w:t>份</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投资目标</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本基金通过指数化投资，争取在扣除各项费用之前获得与标的指数相似的总回报，追求跟踪偏离度及跟踪误差的最小化。</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投资策略</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本基金为被动管理的指数基金，主要采用分层抽样复制和动态最优化的方法，构造与标的指数风险收益特征相似的资产组合，以实现对标的指数的有效跟踪。</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lastRenderedPageBreak/>
              <w:t>业绩比较基准</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中债</w:t>
            </w:r>
            <w:r w:rsidRPr="00C30CFF">
              <w:rPr>
                <w:color w:val="000000"/>
                <w:kern w:val="0"/>
                <w:sz w:val="24"/>
              </w:rPr>
              <w:t>-</w:t>
            </w:r>
            <w:r w:rsidRPr="00C30CFF">
              <w:rPr>
                <w:color w:val="000000"/>
                <w:kern w:val="0"/>
                <w:sz w:val="24"/>
              </w:rPr>
              <w:t>新综合指数</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风险收益特征</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本基金为债券型指数基金，其预期风险和预期收益低于股票基金、混合基金，高于货币市场基金。</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基金管理人</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易方达基金管理有限公司</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基金托管人</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中国农业银行股份有限公司</w:t>
            </w:r>
          </w:p>
        </w:tc>
      </w:tr>
      <w:tr w:rsidR="00F016DD" w:rsidRPr="0078105B" w:rsidTr="00414367">
        <w:tc>
          <w:tcPr>
            <w:tcW w:w="2835" w:type="dxa"/>
          </w:tcPr>
          <w:p w:rsidR="00F016DD" w:rsidRPr="00C30CFF" w:rsidRDefault="00F016DD" w:rsidP="003F13CD">
            <w:pPr>
              <w:adjustRightInd w:val="0"/>
              <w:spacing w:before="29" w:line="360" w:lineRule="auto"/>
              <w:ind w:left="17"/>
              <w:jc w:val="left"/>
              <w:rPr>
                <w:kern w:val="0"/>
                <w:sz w:val="24"/>
              </w:rPr>
            </w:pPr>
            <w:r w:rsidRPr="00C30CFF">
              <w:rPr>
                <w:color w:val="000000"/>
                <w:sz w:val="24"/>
              </w:rPr>
              <w:t>下属</w:t>
            </w:r>
            <w:r w:rsidR="003F13CD" w:rsidRPr="00C30CFF">
              <w:rPr>
                <w:color w:val="000000"/>
                <w:sz w:val="24"/>
              </w:rPr>
              <w:t>分</w:t>
            </w:r>
            <w:r w:rsidRPr="00C30CFF">
              <w:rPr>
                <w:color w:val="000000"/>
                <w:sz w:val="24"/>
              </w:rPr>
              <w:t>级基金的基金简称</w:t>
            </w:r>
          </w:p>
        </w:tc>
        <w:tc>
          <w:tcPr>
            <w:tcW w:w="2739" w:type="dxa"/>
            <w:vAlign w:val="center"/>
          </w:tcPr>
          <w:p w:rsidR="00F016DD" w:rsidRPr="00C30CFF" w:rsidRDefault="00F016DD" w:rsidP="00950413">
            <w:pPr>
              <w:jc w:val="left"/>
              <w:rPr>
                <w:sz w:val="24"/>
              </w:rPr>
            </w:pPr>
            <w:r w:rsidRPr="00C30CFF">
              <w:rPr>
                <w:sz w:val="24"/>
              </w:rPr>
              <w:t>易方达中债新综指发起式（</w:t>
            </w:r>
            <w:r w:rsidRPr="00C30CFF">
              <w:rPr>
                <w:sz w:val="24"/>
              </w:rPr>
              <w:t>LOF</w:t>
            </w:r>
            <w:r w:rsidRPr="00C30CFF">
              <w:rPr>
                <w:sz w:val="24"/>
              </w:rPr>
              <w:t>）</w:t>
            </w:r>
            <w:r w:rsidRPr="00C30CFF">
              <w:rPr>
                <w:sz w:val="24"/>
              </w:rPr>
              <w:t>A</w:t>
            </w:r>
          </w:p>
        </w:tc>
        <w:tc>
          <w:tcPr>
            <w:tcW w:w="2790" w:type="dxa"/>
            <w:vAlign w:val="center"/>
          </w:tcPr>
          <w:p w:rsidR="00F016DD" w:rsidRPr="00C30CFF" w:rsidRDefault="00F016DD" w:rsidP="00950413">
            <w:pPr>
              <w:jc w:val="left"/>
              <w:rPr>
                <w:sz w:val="24"/>
              </w:rPr>
            </w:pPr>
            <w:r w:rsidRPr="00C30CFF">
              <w:rPr>
                <w:sz w:val="24"/>
              </w:rPr>
              <w:t>易方达中债新综指发起式（</w:t>
            </w:r>
            <w:r w:rsidRPr="00C30CFF">
              <w:rPr>
                <w:sz w:val="24"/>
              </w:rPr>
              <w:t>LOF</w:t>
            </w:r>
            <w:r w:rsidRPr="00C30CFF">
              <w:rPr>
                <w:sz w:val="24"/>
              </w:rPr>
              <w:t>）</w:t>
            </w:r>
            <w:r w:rsidRPr="00C30CFF">
              <w:rPr>
                <w:sz w:val="24"/>
              </w:rPr>
              <w:t>C</w:t>
            </w:r>
          </w:p>
        </w:tc>
      </w:tr>
      <w:tr w:rsidR="00F016DD" w:rsidRPr="004D29A9" w:rsidTr="00414367">
        <w:tc>
          <w:tcPr>
            <w:tcW w:w="2835" w:type="dxa"/>
          </w:tcPr>
          <w:p w:rsidR="00F016DD" w:rsidRPr="00C30CFF" w:rsidRDefault="00F016DD" w:rsidP="003F13CD">
            <w:pPr>
              <w:adjustRightInd w:val="0"/>
              <w:spacing w:before="29" w:line="360" w:lineRule="auto"/>
              <w:ind w:left="17"/>
              <w:jc w:val="left"/>
              <w:rPr>
                <w:color w:val="000000"/>
                <w:sz w:val="24"/>
              </w:rPr>
            </w:pPr>
            <w:r w:rsidRPr="00C30CFF">
              <w:rPr>
                <w:color w:val="000000"/>
                <w:sz w:val="24"/>
              </w:rPr>
              <w:t>下属</w:t>
            </w:r>
            <w:r w:rsidR="003F13CD" w:rsidRPr="00C30CFF">
              <w:rPr>
                <w:color w:val="000000"/>
                <w:sz w:val="24"/>
              </w:rPr>
              <w:t>分</w:t>
            </w:r>
            <w:r w:rsidRPr="00C30CFF">
              <w:rPr>
                <w:color w:val="000000"/>
                <w:sz w:val="24"/>
              </w:rPr>
              <w:t>级基金的交易代码</w:t>
            </w:r>
          </w:p>
        </w:tc>
        <w:tc>
          <w:tcPr>
            <w:tcW w:w="2739" w:type="dxa"/>
            <w:vAlign w:val="center"/>
          </w:tcPr>
          <w:p w:rsidR="00F016DD" w:rsidRPr="00C30CFF" w:rsidRDefault="00F016DD" w:rsidP="00950413">
            <w:pPr>
              <w:jc w:val="left"/>
              <w:rPr>
                <w:color w:val="000000"/>
                <w:sz w:val="24"/>
              </w:rPr>
            </w:pPr>
            <w:r w:rsidRPr="00C30CFF">
              <w:rPr>
                <w:color w:val="000000"/>
                <w:sz w:val="24"/>
              </w:rPr>
              <w:t>161119</w:t>
            </w:r>
          </w:p>
        </w:tc>
        <w:tc>
          <w:tcPr>
            <w:tcW w:w="2790" w:type="dxa"/>
            <w:vAlign w:val="center"/>
          </w:tcPr>
          <w:p w:rsidR="00F016DD" w:rsidRPr="00C30CFF" w:rsidRDefault="00F016DD" w:rsidP="00950413">
            <w:pPr>
              <w:jc w:val="left"/>
              <w:rPr>
                <w:color w:val="000000"/>
                <w:sz w:val="24"/>
              </w:rPr>
            </w:pPr>
            <w:r w:rsidRPr="00C30CFF">
              <w:rPr>
                <w:color w:val="000000"/>
                <w:sz w:val="24"/>
              </w:rPr>
              <w:t>161120</w:t>
            </w:r>
          </w:p>
        </w:tc>
      </w:tr>
      <w:tr w:rsidR="00F016DD" w:rsidRPr="0078105B" w:rsidTr="00414367">
        <w:tc>
          <w:tcPr>
            <w:tcW w:w="2835" w:type="dxa"/>
          </w:tcPr>
          <w:p w:rsidR="00F016DD" w:rsidRPr="00C30CFF" w:rsidRDefault="00F016DD" w:rsidP="00162D92">
            <w:pPr>
              <w:adjustRightInd w:val="0"/>
              <w:spacing w:before="29" w:line="360" w:lineRule="auto"/>
              <w:ind w:left="17"/>
              <w:jc w:val="left"/>
              <w:rPr>
                <w:color w:val="000000"/>
                <w:sz w:val="24"/>
              </w:rPr>
            </w:pPr>
            <w:r w:rsidRPr="00C30CFF">
              <w:rPr>
                <w:color w:val="000000"/>
                <w:sz w:val="24"/>
              </w:rPr>
              <w:t>报告期末下属</w:t>
            </w:r>
            <w:r w:rsidR="00162D92" w:rsidRPr="00C30CFF">
              <w:rPr>
                <w:color w:val="000000"/>
                <w:sz w:val="24"/>
              </w:rPr>
              <w:t>分</w:t>
            </w:r>
            <w:r w:rsidRPr="00C30CFF">
              <w:rPr>
                <w:color w:val="000000"/>
                <w:sz w:val="24"/>
              </w:rPr>
              <w:t>级基金的份额总额</w:t>
            </w:r>
          </w:p>
        </w:tc>
        <w:tc>
          <w:tcPr>
            <w:tcW w:w="2739" w:type="dxa"/>
            <w:vAlign w:val="center"/>
          </w:tcPr>
          <w:p w:rsidR="00F016DD" w:rsidRPr="00C30CFF" w:rsidRDefault="00F016DD" w:rsidP="00950413">
            <w:pPr>
              <w:jc w:val="left"/>
              <w:rPr>
                <w:sz w:val="24"/>
              </w:rPr>
            </w:pPr>
            <w:r w:rsidRPr="00C30CFF">
              <w:rPr>
                <w:sz w:val="24"/>
              </w:rPr>
              <w:t>264,337,075.62</w:t>
            </w:r>
            <w:r w:rsidRPr="00C30CFF">
              <w:rPr>
                <w:color w:val="000000"/>
                <w:kern w:val="0"/>
                <w:sz w:val="24"/>
              </w:rPr>
              <w:t>份</w:t>
            </w:r>
          </w:p>
        </w:tc>
        <w:tc>
          <w:tcPr>
            <w:tcW w:w="2790" w:type="dxa"/>
            <w:vAlign w:val="center"/>
          </w:tcPr>
          <w:p w:rsidR="00F016DD" w:rsidRPr="00C30CFF" w:rsidRDefault="00F016DD" w:rsidP="00950413">
            <w:pPr>
              <w:jc w:val="left"/>
              <w:rPr>
                <w:sz w:val="24"/>
              </w:rPr>
            </w:pPr>
            <w:r w:rsidRPr="00C30CFF">
              <w:rPr>
                <w:sz w:val="24"/>
              </w:rPr>
              <w:t>43,207,952.91</w:t>
            </w:r>
            <w:r w:rsidRPr="00C30CFF">
              <w:rPr>
                <w:color w:val="000000"/>
                <w:kern w:val="0"/>
                <w:sz w:val="24"/>
              </w:rPr>
              <w:t>份</w:t>
            </w:r>
          </w:p>
        </w:tc>
      </w:tr>
    </w:tbl>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3  </w:t>
      </w:r>
      <w:r w:rsidRPr="0078105B">
        <w:rPr>
          <w:rFonts w:ascii="宋体" w:hAnsi="宋体" w:cs="Arial" w:hint="eastAsia"/>
          <w:color w:val="000000"/>
          <w:kern w:val="0"/>
          <w:sz w:val="24"/>
          <w:szCs w:val="24"/>
        </w:rPr>
        <w:t>主要财务指标和基金净值表现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3.1 </w:t>
      </w:r>
      <w:r w:rsidRPr="0078105B">
        <w:rPr>
          <w:rFonts w:ascii="宋体" w:hAnsi="宋体" w:cs="Arial" w:hint="eastAsia"/>
          <w:b/>
          <w:color w:val="000000"/>
          <w:kern w:val="0"/>
          <w:sz w:val="24"/>
        </w:rPr>
        <w:t>主要财务指标</w:t>
      </w:r>
    </w:p>
    <w:p w:rsidR="00F016DD" w:rsidRPr="00FA472B" w:rsidRDefault="00F016DD" w:rsidP="00E27360">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F016DD" w:rsidRPr="00FA472B" w:rsidTr="008B5312">
        <w:tc>
          <w:tcPr>
            <w:tcW w:w="3402" w:type="dxa"/>
            <w:vMerge w:val="restart"/>
            <w:vAlign w:val="center"/>
          </w:tcPr>
          <w:p w:rsidR="00F016DD" w:rsidRPr="00FA472B" w:rsidRDefault="00F016DD" w:rsidP="00E205AA">
            <w:pPr>
              <w:adjustRightInd w:val="0"/>
              <w:spacing w:before="29" w:line="360" w:lineRule="auto"/>
              <w:ind w:left="17"/>
              <w:jc w:val="center"/>
              <w:rPr>
                <w:kern w:val="0"/>
                <w:sz w:val="24"/>
              </w:rPr>
            </w:pPr>
            <w:r w:rsidRPr="00FA472B">
              <w:rPr>
                <w:kern w:val="0"/>
                <w:sz w:val="24"/>
              </w:rPr>
              <w:t>主要财务指标</w:t>
            </w:r>
          </w:p>
        </w:tc>
        <w:tc>
          <w:tcPr>
            <w:tcW w:w="4962" w:type="dxa"/>
            <w:gridSpan w:val="2"/>
            <w:vAlign w:val="center"/>
          </w:tcPr>
          <w:p w:rsidR="00F016DD" w:rsidRPr="00FA472B" w:rsidRDefault="00F016DD" w:rsidP="00E205AA">
            <w:pPr>
              <w:adjustRightInd w:val="0"/>
              <w:spacing w:before="29" w:line="360" w:lineRule="auto"/>
              <w:ind w:left="17"/>
              <w:jc w:val="center"/>
              <w:rPr>
                <w:color w:val="000000"/>
                <w:sz w:val="24"/>
              </w:rPr>
            </w:pPr>
            <w:r w:rsidRPr="00FA472B">
              <w:rPr>
                <w:color w:val="000000"/>
                <w:sz w:val="24"/>
              </w:rPr>
              <w:t>报告期</w:t>
            </w:r>
          </w:p>
          <w:p w:rsidR="00F016DD" w:rsidRPr="00FA472B" w:rsidRDefault="00F016DD" w:rsidP="00E205AA">
            <w:pPr>
              <w:adjustRightInd w:val="0"/>
              <w:spacing w:before="29" w:line="360" w:lineRule="auto"/>
              <w:ind w:left="17"/>
              <w:jc w:val="center"/>
              <w:rPr>
                <w:color w:val="000000"/>
                <w:sz w:val="24"/>
              </w:rPr>
            </w:pPr>
            <w:r w:rsidRPr="00FA472B">
              <w:rPr>
                <w:color w:val="000000"/>
                <w:sz w:val="24"/>
              </w:rPr>
              <w:t>(2020</w:t>
            </w:r>
            <w:r w:rsidRPr="00FA472B">
              <w:rPr>
                <w:color w:val="000000"/>
                <w:sz w:val="24"/>
              </w:rPr>
              <w:t>年</w:t>
            </w:r>
            <w:r w:rsidRPr="00FA472B">
              <w:rPr>
                <w:color w:val="000000"/>
                <w:sz w:val="24"/>
              </w:rPr>
              <w:t>1</w:t>
            </w:r>
            <w:r w:rsidRPr="00FA472B">
              <w:rPr>
                <w:color w:val="000000"/>
                <w:sz w:val="24"/>
              </w:rPr>
              <w:t>月</w:t>
            </w:r>
            <w:r w:rsidRPr="00FA472B">
              <w:rPr>
                <w:color w:val="000000"/>
                <w:sz w:val="24"/>
              </w:rPr>
              <w:t>1</w:t>
            </w:r>
            <w:r w:rsidRPr="00FA472B">
              <w:rPr>
                <w:color w:val="000000"/>
                <w:sz w:val="24"/>
              </w:rPr>
              <w:t>日</w:t>
            </w:r>
            <w:r w:rsidRPr="00FA472B">
              <w:rPr>
                <w:color w:val="000000"/>
                <w:sz w:val="24"/>
              </w:rPr>
              <w:t>-2020</w:t>
            </w:r>
            <w:r w:rsidRPr="00FA472B">
              <w:rPr>
                <w:color w:val="000000"/>
                <w:sz w:val="24"/>
              </w:rPr>
              <w:t>年</w:t>
            </w:r>
            <w:r w:rsidRPr="00FA472B">
              <w:rPr>
                <w:color w:val="000000"/>
                <w:sz w:val="24"/>
              </w:rPr>
              <w:t>3</w:t>
            </w:r>
            <w:r w:rsidRPr="00FA472B">
              <w:rPr>
                <w:color w:val="000000"/>
                <w:sz w:val="24"/>
              </w:rPr>
              <w:t>月</w:t>
            </w:r>
            <w:r w:rsidRPr="00FA472B">
              <w:rPr>
                <w:color w:val="000000"/>
                <w:sz w:val="24"/>
              </w:rPr>
              <w:t>31</w:t>
            </w:r>
            <w:r w:rsidRPr="00FA472B">
              <w:rPr>
                <w:color w:val="000000"/>
                <w:sz w:val="24"/>
              </w:rPr>
              <w:t>日</w:t>
            </w:r>
            <w:r w:rsidRPr="00FA472B">
              <w:rPr>
                <w:color w:val="000000"/>
                <w:sz w:val="24"/>
              </w:rPr>
              <w:t>)</w:t>
            </w:r>
          </w:p>
        </w:tc>
      </w:tr>
      <w:tr w:rsidR="00F016DD" w:rsidRPr="00FA472B" w:rsidTr="008B5312">
        <w:tc>
          <w:tcPr>
            <w:tcW w:w="3402" w:type="dxa"/>
            <w:vMerge/>
            <w:vAlign w:val="center"/>
          </w:tcPr>
          <w:p w:rsidR="00F016DD" w:rsidRPr="00FA472B" w:rsidRDefault="00F016DD" w:rsidP="00E205AA">
            <w:pPr>
              <w:adjustRightInd w:val="0"/>
              <w:spacing w:before="29" w:line="360" w:lineRule="auto"/>
              <w:ind w:left="17"/>
              <w:jc w:val="center"/>
              <w:rPr>
                <w:kern w:val="0"/>
                <w:sz w:val="24"/>
              </w:rPr>
            </w:pPr>
          </w:p>
        </w:tc>
        <w:tc>
          <w:tcPr>
            <w:tcW w:w="2481" w:type="dxa"/>
            <w:vAlign w:val="center"/>
          </w:tcPr>
          <w:p w:rsidR="00F016DD" w:rsidRPr="00FA472B" w:rsidRDefault="00F016DD" w:rsidP="00E205AA">
            <w:pPr>
              <w:adjustRightInd w:val="0"/>
              <w:spacing w:before="29" w:line="360" w:lineRule="auto"/>
              <w:ind w:left="17"/>
              <w:jc w:val="center"/>
              <w:rPr>
                <w:color w:val="000000"/>
                <w:sz w:val="24"/>
              </w:rPr>
            </w:pPr>
            <w:r w:rsidRPr="00FA472B">
              <w:rPr>
                <w:sz w:val="24"/>
              </w:rPr>
              <w:t>易方达中债新综指发起式（</w:t>
            </w:r>
            <w:r w:rsidRPr="00FA472B">
              <w:rPr>
                <w:sz w:val="24"/>
              </w:rPr>
              <w:t>LOF</w:t>
            </w:r>
            <w:r w:rsidRPr="00FA472B">
              <w:rPr>
                <w:sz w:val="24"/>
              </w:rPr>
              <w:t>）</w:t>
            </w:r>
            <w:r w:rsidRPr="00FA472B">
              <w:rPr>
                <w:sz w:val="24"/>
              </w:rPr>
              <w:t>A</w:t>
            </w:r>
          </w:p>
        </w:tc>
        <w:tc>
          <w:tcPr>
            <w:tcW w:w="2481" w:type="dxa"/>
            <w:vAlign w:val="center"/>
          </w:tcPr>
          <w:p w:rsidR="00F016DD" w:rsidRPr="00FA472B" w:rsidRDefault="00F016DD" w:rsidP="00E205AA">
            <w:pPr>
              <w:adjustRightInd w:val="0"/>
              <w:spacing w:before="29" w:line="360" w:lineRule="auto"/>
              <w:ind w:left="17"/>
              <w:jc w:val="center"/>
              <w:rPr>
                <w:color w:val="000000"/>
                <w:sz w:val="24"/>
              </w:rPr>
            </w:pPr>
            <w:r w:rsidRPr="00FA472B">
              <w:rPr>
                <w:sz w:val="24"/>
              </w:rPr>
              <w:t>易方达中债新综指发起式（</w:t>
            </w:r>
            <w:r w:rsidRPr="00FA472B">
              <w:rPr>
                <w:sz w:val="24"/>
              </w:rPr>
              <w:t>LOF</w:t>
            </w:r>
            <w:r w:rsidRPr="00FA472B">
              <w:rPr>
                <w:sz w:val="24"/>
              </w:rPr>
              <w:t>）</w:t>
            </w:r>
            <w:r w:rsidRPr="00FA472B">
              <w:rPr>
                <w:sz w:val="24"/>
              </w:rPr>
              <w:t>C</w:t>
            </w:r>
          </w:p>
        </w:tc>
      </w:tr>
      <w:tr w:rsidR="00F016DD" w:rsidRPr="00FA472B" w:rsidTr="00973B57">
        <w:tc>
          <w:tcPr>
            <w:tcW w:w="3402" w:type="dxa"/>
          </w:tcPr>
          <w:p w:rsidR="00F016DD" w:rsidRPr="00FA472B" w:rsidRDefault="00F016DD" w:rsidP="00973B57">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w="2481" w:type="dxa"/>
            <w:vAlign w:val="bottom"/>
          </w:tcPr>
          <w:p w:rsidR="00F016DD" w:rsidRPr="00FA472B" w:rsidRDefault="00F016DD" w:rsidP="00973B57">
            <w:pPr>
              <w:adjustRightInd w:val="0"/>
              <w:spacing w:before="29" w:line="360" w:lineRule="auto"/>
              <w:ind w:left="17"/>
              <w:jc w:val="right"/>
              <w:rPr>
                <w:color w:val="000000"/>
                <w:sz w:val="24"/>
              </w:rPr>
            </w:pPr>
            <w:r w:rsidRPr="00FA472B">
              <w:rPr>
                <w:color w:val="000000"/>
                <w:sz w:val="24"/>
              </w:rPr>
              <w:t>2,698,632.07</w:t>
            </w:r>
          </w:p>
        </w:tc>
        <w:tc>
          <w:tcPr>
            <w:tcW w:w="2481" w:type="dxa"/>
            <w:vAlign w:val="bottom"/>
          </w:tcPr>
          <w:p w:rsidR="00F016DD" w:rsidRPr="00FA472B" w:rsidRDefault="00F016DD" w:rsidP="0037768B">
            <w:pPr>
              <w:adjustRightInd w:val="0"/>
              <w:spacing w:before="29" w:line="360" w:lineRule="auto"/>
              <w:ind w:left="17"/>
              <w:jc w:val="right"/>
              <w:rPr>
                <w:color w:val="000000"/>
                <w:sz w:val="24"/>
              </w:rPr>
            </w:pPr>
            <w:r w:rsidRPr="00FA472B">
              <w:rPr>
                <w:color w:val="000000"/>
                <w:sz w:val="24"/>
              </w:rPr>
              <w:t>335,003.71</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2.</w:t>
            </w:r>
            <w:r w:rsidRPr="00FA472B">
              <w:rPr>
                <w:kern w:val="0"/>
                <w:sz w:val="24"/>
              </w:rPr>
              <w:t>本期利润</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7,874,016.35</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1,008,529.96</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0.0350</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0.0317</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379,901,551.13</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60,883,663.26</w:t>
            </w:r>
          </w:p>
        </w:tc>
      </w:tr>
      <w:tr w:rsidR="00F016DD" w:rsidRPr="00FA472B" w:rsidTr="009A5C1D">
        <w:trPr>
          <w:trHeight w:val="158"/>
        </w:trPr>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5.</w:t>
            </w:r>
            <w:r w:rsidRPr="00FA472B">
              <w:rPr>
                <w:kern w:val="0"/>
                <w:sz w:val="24"/>
              </w:rPr>
              <w:t>期末基金份额净值</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1.4372</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1.4091</w:t>
            </w:r>
          </w:p>
        </w:tc>
      </w:tr>
    </w:tbl>
    <w:p w:rsidR="00C37626" w:rsidRDefault="000978DF">
      <w:pPr>
        <w:spacing w:line="360" w:lineRule="auto"/>
        <w:ind w:firstLineChars="200" w:firstLine="480"/>
        <w:rPr>
          <w:color w:val="000000"/>
          <w:sz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F016DD" w:rsidRPr="00C30CFF" w:rsidRDefault="00F016DD" w:rsidP="00C30CFF">
      <w:pPr>
        <w:spacing w:line="360" w:lineRule="auto"/>
        <w:ind w:firstLineChars="200" w:firstLine="480"/>
        <w:rPr>
          <w:color w:val="000000"/>
          <w:sz w:val="24"/>
        </w:rPr>
      </w:pPr>
      <w:r w:rsidRPr="00C30CFF">
        <w:rPr>
          <w:color w:val="000000"/>
          <w:sz w:val="24"/>
        </w:rPr>
        <w:t>2.</w:t>
      </w:r>
      <w:r w:rsidRPr="00C30CFF">
        <w:rPr>
          <w:color w:val="000000"/>
          <w:sz w:val="24"/>
        </w:rPr>
        <w:t>本期已实现收益指基金本期利息收入、投资收益、其他收入（不含公允价值变动收益）扣除相关费用后的余额，本期利润为本期已实现收益加上本期公允价值变动收益。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3.2 </w:t>
      </w:r>
      <w:r w:rsidRPr="0078105B">
        <w:rPr>
          <w:rFonts w:ascii="宋体" w:hAnsi="宋体" w:cs="Arial" w:hint="eastAsia"/>
          <w:b/>
          <w:color w:val="000000"/>
          <w:kern w:val="0"/>
          <w:sz w:val="24"/>
        </w:rPr>
        <w:t>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3.2.1</w:t>
      </w:r>
      <w:r w:rsidRPr="0078105B">
        <w:rPr>
          <w:rFonts w:ascii="宋体" w:hAnsi="宋体" w:cs="Arial" w:hint="eastAsia"/>
          <w:b/>
          <w:color w:val="000000"/>
          <w:kern w:val="0"/>
          <w:sz w:val="24"/>
        </w:rPr>
        <w:t>本报告期基金份额净值增长率及其与同期业绩比较基准收益率的比较</w:t>
      </w:r>
    </w:p>
    <w:p w:rsidR="00F016DD" w:rsidRPr="0078105B" w:rsidRDefault="00F016DD" w:rsidP="00174038">
      <w:pPr>
        <w:spacing w:line="360" w:lineRule="auto"/>
        <w:ind w:firstLineChars="150" w:firstLine="361"/>
        <w:rPr>
          <w:rFonts w:ascii="宋体"/>
          <w:b/>
          <w:sz w:val="24"/>
        </w:rPr>
      </w:pPr>
      <w:r w:rsidRPr="0078105B">
        <w:rPr>
          <w:rFonts w:ascii="宋体" w:hAnsi="宋体" w:cs="Arial"/>
          <w:b/>
          <w:color w:val="000000"/>
          <w:kern w:val="0"/>
          <w:sz w:val="24"/>
        </w:rPr>
        <w:t>易方达中债新综指发起式（LOF）A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414367">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C37626">
        <w:tc>
          <w:tcPr>
            <w:tcW w:w="0" w:type="auto"/>
            <w:vAlign w:val="center"/>
          </w:tcPr>
          <w:p w:rsidR="00C37626" w:rsidRDefault="000978DF">
            <w:pPr>
              <w:jc w:val="left"/>
            </w:pPr>
            <w:r>
              <w:rPr>
                <w:color w:val="000000"/>
                <w:sz w:val="24"/>
              </w:rPr>
              <w:t>过去三个月</w:t>
            </w:r>
          </w:p>
        </w:tc>
        <w:tc>
          <w:tcPr>
            <w:tcW w:w="0" w:type="auto"/>
            <w:vAlign w:val="center"/>
          </w:tcPr>
          <w:p w:rsidR="00C37626" w:rsidRDefault="000978DF">
            <w:pPr>
              <w:jc w:val="center"/>
            </w:pPr>
            <w:r>
              <w:rPr>
                <w:color w:val="000000"/>
                <w:sz w:val="24"/>
              </w:rPr>
              <w:t>2.58%</w:t>
            </w:r>
          </w:p>
        </w:tc>
        <w:tc>
          <w:tcPr>
            <w:tcW w:w="0" w:type="auto"/>
            <w:vAlign w:val="center"/>
          </w:tcPr>
          <w:p w:rsidR="00C37626" w:rsidRDefault="000978DF">
            <w:pPr>
              <w:jc w:val="center"/>
            </w:pPr>
            <w:r>
              <w:rPr>
                <w:color w:val="000000"/>
                <w:sz w:val="24"/>
              </w:rPr>
              <w:t>0.11%</w:t>
            </w:r>
          </w:p>
        </w:tc>
        <w:tc>
          <w:tcPr>
            <w:tcW w:w="0" w:type="auto"/>
            <w:vAlign w:val="center"/>
          </w:tcPr>
          <w:p w:rsidR="00C37626" w:rsidRDefault="000978DF">
            <w:pPr>
              <w:jc w:val="center"/>
            </w:pPr>
            <w:r>
              <w:rPr>
                <w:color w:val="000000"/>
                <w:sz w:val="24"/>
              </w:rPr>
              <w:t>2.57%</w:t>
            </w:r>
          </w:p>
        </w:tc>
        <w:tc>
          <w:tcPr>
            <w:tcW w:w="0" w:type="auto"/>
            <w:vAlign w:val="center"/>
          </w:tcPr>
          <w:p w:rsidR="00C37626" w:rsidRDefault="000978DF">
            <w:pPr>
              <w:jc w:val="center"/>
            </w:pPr>
            <w:r>
              <w:rPr>
                <w:color w:val="000000"/>
                <w:sz w:val="24"/>
              </w:rPr>
              <w:t>0.11%</w:t>
            </w:r>
          </w:p>
        </w:tc>
        <w:tc>
          <w:tcPr>
            <w:tcW w:w="0" w:type="auto"/>
            <w:vAlign w:val="center"/>
          </w:tcPr>
          <w:p w:rsidR="00C37626" w:rsidRDefault="000978DF">
            <w:pPr>
              <w:jc w:val="center"/>
            </w:pPr>
            <w:r>
              <w:rPr>
                <w:color w:val="000000"/>
                <w:sz w:val="24"/>
              </w:rPr>
              <w:t>0.01%</w:t>
            </w:r>
          </w:p>
        </w:tc>
        <w:tc>
          <w:tcPr>
            <w:tcW w:w="0" w:type="auto"/>
            <w:vAlign w:val="center"/>
          </w:tcPr>
          <w:p w:rsidR="00C37626" w:rsidRDefault="000978DF">
            <w:pPr>
              <w:jc w:val="center"/>
            </w:pPr>
            <w:r>
              <w:rPr>
                <w:color w:val="000000"/>
                <w:sz w:val="24"/>
              </w:rPr>
              <w:t>0.00%</w:t>
            </w:r>
          </w:p>
        </w:tc>
      </w:tr>
    </w:tbl>
    <w:p w:rsidR="00F016DD" w:rsidRPr="0078105B" w:rsidRDefault="00F016DD" w:rsidP="00174038">
      <w:pPr>
        <w:adjustRightInd w:val="0"/>
        <w:spacing w:line="360" w:lineRule="auto"/>
        <w:ind w:firstLineChars="150" w:firstLine="361"/>
        <w:rPr>
          <w:rFonts w:ascii="宋体" w:cs="Arial"/>
          <w:b/>
          <w:color w:val="000000"/>
          <w:kern w:val="0"/>
          <w:sz w:val="24"/>
        </w:rPr>
      </w:pPr>
      <w:r w:rsidRPr="0078105B">
        <w:rPr>
          <w:rFonts w:ascii="宋体" w:hAnsi="宋体" w:cs="Arial"/>
          <w:b/>
          <w:color w:val="000000"/>
          <w:kern w:val="0"/>
          <w:sz w:val="24"/>
        </w:rPr>
        <w:t>易方达中债新综指发起式（LOF）C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F4518C">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C37626">
        <w:tc>
          <w:tcPr>
            <w:tcW w:w="0" w:type="auto"/>
            <w:vAlign w:val="center"/>
          </w:tcPr>
          <w:p w:rsidR="00C37626" w:rsidRDefault="000978DF">
            <w:pPr>
              <w:jc w:val="left"/>
            </w:pPr>
            <w:r>
              <w:rPr>
                <w:color w:val="000000"/>
                <w:sz w:val="24"/>
              </w:rPr>
              <w:t>过去三个月</w:t>
            </w:r>
          </w:p>
        </w:tc>
        <w:tc>
          <w:tcPr>
            <w:tcW w:w="0" w:type="auto"/>
            <w:vAlign w:val="center"/>
          </w:tcPr>
          <w:p w:rsidR="00C37626" w:rsidRDefault="000978DF">
            <w:pPr>
              <w:jc w:val="center"/>
            </w:pPr>
            <w:r>
              <w:rPr>
                <w:color w:val="000000"/>
                <w:sz w:val="24"/>
              </w:rPr>
              <w:t>2.50%</w:t>
            </w:r>
          </w:p>
        </w:tc>
        <w:tc>
          <w:tcPr>
            <w:tcW w:w="0" w:type="auto"/>
            <w:vAlign w:val="center"/>
          </w:tcPr>
          <w:p w:rsidR="00C37626" w:rsidRDefault="000978DF">
            <w:pPr>
              <w:jc w:val="center"/>
            </w:pPr>
            <w:r>
              <w:rPr>
                <w:color w:val="000000"/>
                <w:sz w:val="24"/>
              </w:rPr>
              <w:t>0.11%</w:t>
            </w:r>
          </w:p>
        </w:tc>
        <w:tc>
          <w:tcPr>
            <w:tcW w:w="0" w:type="auto"/>
            <w:vAlign w:val="center"/>
          </w:tcPr>
          <w:p w:rsidR="00C37626" w:rsidRDefault="000978DF">
            <w:pPr>
              <w:jc w:val="center"/>
            </w:pPr>
            <w:r>
              <w:rPr>
                <w:color w:val="000000"/>
                <w:sz w:val="24"/>
              </w:rPr>
              <w:t>2.57%</w:t>
            </w:r>
          </w:p>
        </w:tc>
        <w:tc>
          <w:tcPr>
            <w:tcW w:w="0" w:type="auto"/>
            <w:vAlign w:val="center"/>
          </w:tcPr>
          <w:p w:rsidR="00C37626" w:rsidRDefault="000978DF">
            <w:pPr>
              <w:jc w:val="center"/>
            </w:pPr>
            <w:r>
              <w:rPr>
                <w:color w:val="000000"/>
                <w:sz w:val="24"/>
              </w:rPr>
              <w:t>0.11%</w:t>
            </w:r>
          </w:p>
        </w:tc>
        <w:tc>
          <w:tcPr>
            <w:tcW w:w="0" w:type="auto"/>
            <w:vAlign w:val="center"/>
          </w:tcPr>
          <w:p w:rsidR="00C37626" w:rsidRDefault="000978DF">
            <w:pPr>
              <w:jc w:val="center"/>
            </w:pPr>
            <w:r>
              <w:rPr>
                <w:color w:val="000000"/>
                <w:sz w:val="24"/>
              </w:rPr>
              <w:t>-0.07%</w:t>
            </w:r>
          </w:p>
        </w:tc>
        <w:tc>
          <w:tcPr>
            <w:tcW w:w="0" w:type="auto"/>
            <w:vAlign w:val="center"/>
          </w:tcPr>
          <w:p w:rsidR="00C37626" w:rsidRDefault="000978DF">
            <w:pPr>
              <w:jc w:val="center"/>
            </w:pPr>
            <w:r>
              <w:rPr>
                <w:color w:val="000000"/>
                <w:sz w:val="24"/>
              </w:rPr>
              <w:t>0.00%</w:t>
            </w:r>
          </w:p>
        </w:tc>
      </w:tr>
    </w:tbl>
    <w:p w:rsidR="00F016DD" w:rsidRPr="0078105B" w:rsidRDefault="00F016DD" w:rsidP="00FC13C8">
      <w:pPr>
        <w:spacing w:line="360" w:lineRule="auto"/>
        <w:rPr>
          <w:rFonts w:ascii="宋体" w:cs="Arial"/>
          <w:b/>
          <w:color w:val="000000"/>
          <w:kern w:val="0"/>
          <w:sz w:val="24"/>
        </w:rPr>
      </w:pPr>
      <w:r w:rsidRPr="0078105B">
        <w:rPr>
          <w:rFonts w:ascii="宋体" w:hAnsi="宋体" w:cs="Arial"/>
          <w:b/>
          <w:color w:val="000000"/>
          <w:kern w:val="0"/>
          <w:sz w:val="24"/>
        </w:rPr>
        <w:t>3.2.2</w:t>
      </w:r>
      <w:r w:rsidRPr="0078105B">
        <w:rPr>
          <w:rFonts w:ascii="宋体" w:hAnsi="宋体" w:cs="Arial" w:hint="eastAsia"/>
          <w:b/>
          <w:color w:val="000000"/>
          <w:kern w:val="0"/>
          <w:sz w:val="24"/>
        </w:rPr>
        <w:t xml:space="preserve">　</w:t>
      </w:r>
      <w:r w:rsidR="00AE2480" w:rsidRPr="00370BEA">
        <w:rPr>
          <w:rStyle w:val="af6"/>
          <w:rFonts w:hint="eastAsia"/>
          <w:color w:val="000000"/>
          <w:sz w:val="24"/>
          <w:shd w:val="clear" w:color="auto" w:fill="FFFFFF"/>
        </w:rPr>
        <w:t>自基金合同生效以来</w:t>
      </w:r>
      <w:r w:rsidRPr="0078105B">
        <w:rPr>
          <w:rFonts w:ascii="宋体" w:hAnsi="宋体" w:hint="eastAsia"/>
          <w:b/>
          <w:color w:val="000000"/>
          <w:sz w:val="24"/>
        </w:rPr>
        <w:t>基金累计净值增长率变动及其与同期业绩比较基准收益率变动的比较</w:t>
      </w:r>
    </w:p>
    <w:p w:rsidR="00F016DD" w:rsidRPr="00FA472B" w:rsidRDefault="00F016DD" w:rsidP="00FC13C8">
      <w:pPr>
        <w:spacing w:line="360" w:lineRule="auto"/>
        <w:jc w:val="center"/>
        <w:rPr>
          <w:color w:val="000000"/>
          <w:sz w:val="24"/>
        </w:rPr>
      </w:pPr>
      <w:r w:rsidRPr="00FA472B">
        <w:rPr>
          <w:color w:val="000000"/>
          <w:sz w:val="24"/>
        </w:rPr>
        <w:t>易方达中债新综合债券指数发起式证券投资基金（</w:t>
      </w:r>
      <w:r w:rsidRPr="00FA472B">
        <w:rPr>
          <w:color w:val="000000"/>
          <w:sz w:val="24"/>
        </w:rPr>
        <w:t>LOF</w:t>
      </w:r>
      <w:r w:rsidRPr="00FA472B">
        <w:rPr>
          <w:color w:val="000000"/>
          <w:sz w:val="24"/>
        </w:rPr>
        <w:t>）</w:t>
      </w:r>
    </w:p>
    <w:p w:rsidR="00526282" w:rsidRDefault="00F016DD" w:rsidP="00526282">
      <w:pPr>
        <w:pStyle w:val="a5"/>
        <w:snapToGrid w:val="0"/>
        <w:spacing w:line="360" w:lineRule="auto"/>
        <w:jc w:val="center"/>
        <w:rPr>
          <w:rFonts w:ascii="Times New Roman" w:eastAsiaTheme="minorEastAsia" w:hAnsi="Times New Roman"/>
          <w:color w:val="000000" w:themeColor="text1"/>
          <w:sz w:val="24"/>
          <w:szCs w:val="24"/>
        </w:rPr>
      </w:pPr>
      <w:r w:rsidRPr="00FA472B">
        <w:rPr>
          <w:rFonts w:ascii="Times New Roman" w:hAnsi="Times New Roman"/>
          <w:color w:val="000000"/>
          <w:sz w:val="24"/>
          <w:szCs w:val="24"/>
        </w:rPr>
        <w:t>累计净值增长率与业绩比较基准收益率的历史走势对比图</w:t>
      </w:r>
    </w:p>
    <w:p w:rsidR="00F016DD" w:rsidRPr="00FA472B" w:rsidRDefault="00526282" w:rsidP="00D477DB">
      <w:pPr>
        <w:pStyle w:val="a5"/>
        <w:snapToGrid w:val="0"/>
        <w:spacing w:line="360" w:lineRule="auto"/>
        <w:jc w:val="center"/>
        <w:rPr>
          <w:rFonts w:ascii="Times New Roman" w:hAnsi="Times New Roman"/>
          <w:sz w:val="24"/>
          <w:szCs w:val="24"/>
        </w:rPr>
      </w:pPr>
      <w:r w:rsidRPr="00526282">
        <w:rPr>
          <w:rFonts w:ascii="Times New Roman" w:hAnsi="Times New Roman"/>
          <w:sz w:val="24"/>
          <w:szCs w:val="24"/>
        </w:rPr>
        <w:t>（</w:t>
      </w:r>
      <w:r w:rsidRPr="00526282">
        <w:rPr>
          <w:rFonts w:ascii="Times New Roman" w:hAnsi="Times New Roman"/>
          <w:sz w:val="24"/>
          <w:szCs w:val="24"/>
        </w:rPr>
        <w:t>2012</w:t>
      </w:r>
      <w:r w:rsidRPr="00526282">
        <w:rPr>
          <w:rFonts w:ascii="Times New Roman" w:hAnsi="Times New Roman"/>
          <w:sz w:val="24"/>
          <w:szCs w:val="24"/>
        </w:rPr>
        <w:t>年</w:t>
      </w:r>
      <w:r w:rsidRPr="00526282">
        <w:rPr>
          <w:rFonts w:ascii="Times New Roman" w:hAnsi="Times New Roman"/>
          <w:sz w:val="24"/>
          <w:szCs w:val="24"/>
        </w:rPr>
        <w:t>11</w:t>
      </w:r>
      <w:r w:rsidRPr="00526282">
        <w:rPr>
          <w:rFonts w:ascii="Times New Roman" w:hAnsi="Times New Roman"/>
          <w:sz w:val="24"/>
          <w:szCs w:val="24"/>
        </w:rPr>
        <w:t>月</w:t>
      </w:r>
      <w:r w:rsidRPr="00526282">
        <w:rPr>
          <w:rFonts w:ascii="Times New Roman" w:hAnsi="Times New Roman"/>
          <w:sz w:val="24"/>
          <w:szCs w:val="24"/>
        </w:rPr>
        <w:t>8</w:t>
      </w:r>
      <w:r w:rsidRPr="00526282">
        <w:rPr>
          <w:rFonts w:ascii="Times New Roman" w:hAnsi="Times New Roman"/>
          <w:sz w:val="24"/>
          <w:szCs w:val="24"/>
        </w:rPr>
        <w:t>日至</w:t>
      </w:r>
      <w:r w:rsidRPr="00526282">
        <w:rPr>
          <w:rFonts w:ascii="Times New Roman" w:hAnsi="Times New Roman"/>
          <w:sz w:val="24"/>
          <w:szCs w:val="24"/>
        </w:rPr>
        <w:t>2020</w:t>
      </w:r>
      <w:r w:rsidRPr="00526282">
        <w:rPr>
          <w:rFonts w:ascii="Times New Roman" w:hAnsi="Times New Roman"/>
          <w:sz w:val="24"/>
          <w:szCs w:val="24"/>
        </w:rPr>
        <w:t>年</w:t>
      </w:r>
      <w:r w:rsidRPr="00526282">
        <w:rPr>
          <w:rFonts w:ascii="Times New Roman" w:hAnsi="Times New Roman"/>
          <w:sz w:val="24"/>
          <w:szCs w:val="24"/>
        </w:rPr>
        <w:t>3</w:t>
      </w:r>
      <w:r w:rsidRPr="00526282">
        <w:rPr>
          <w:rFonts w:ascii="Times New Roman" w:hAnsi="Times New Roman"/>
          <w:sz w:val="24"/>
          <w:szCs w:val="24"/>
        </w:rPr>
        <w:t>月</w:t>
      </w:r>
      <w:r w:rsidRPr="00526282">
        <w:rPr>
          <w:rFonts w:ascii="Times New Roman" w:hAnsi="Times New Roman"/>
          <w:sz w:val="24"/>
          <w:szCs w:val="24"/>
        </w:rPr>
        <w:t>31</w:t>
      </w:r>
      <w:r w:rsidRPr="00526282">
        <w:rPr>
          <w:rFonts w:ascii="Times New Roman" w:hAnsi="Times New Roman"/>
          <w:sz w:val="24"/>
          <w:szCs w:val="24"/>
        </w:rPr>
        <w:t>日）</w:t>
      </w:r>
    </w:p>
    <w:p w:rsidR="00526282" w:rsidRDefault="00F016DD" w:rsidP="00526282">
      <w:pPr>
        <w:snapToGrid w:val="0"/>
        <w:spacing w:line="360" w:lineRule="auto"/>
        <w:rPr>
          <w:rFonts w:eastAsiaTheme="minorEastAsia" w:hAnsiTheme="minorEastAsia"/>
          <w:color w:val="000000" w:themeColor="text1"/>
          <w:sz w:val="24"/>
        </w:rPr>
      </w:pPr>
      <w:r w:rsidRPr="00611CB2">
        <w:rPr>
          <w:color w:val="000000"/>
          <w:sz w:val="24"/>
        </w:rPr>
        <w:t>易方达中债新综指发起式（</w:t>
      </w:r>
      <w:r w:rsidRPr="00611CB2">
        <w:rPr>
          <w:color w:val="000000"/>
          <w:sz w:val="24"/>
        </w:rPr>
        <w:t>LOF</w:t>
      </w:r>
      <w:r w:rsidRPr="00611CB2">
        <w:rPr>
          <w:color w:val="000000"/>
          <w:sz w:val="24"/>
        </w:rPr>
        <w:t>）</w:t>
      </w:r>
      <w:r w:rsidRPr="00611CB2">
        <w:rPr>
          <w:color w:val="000000"/>
          <w:sz w:val="24"/>
        </w:rPr>
        <w:t>A</w:t>
      </w:r>
    </w:p>
    <w:p w:rsidR="00F016DD" w:rsidRPr="0078105B" w:rsidRDefault="000978DF" w:rsidP="00FC7F43">
      <w:pPr>
        <w:pStyle w:val="20"/>
        <w:spacing w:line="288" w:lineRule="auto"/>
        <w:ind w:firstLineChars="0" w:firstLine="0"/>
        <w:jc w:val="center"/>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35.75pt;height:258pt;visibility:visible">
            <v:imagedata r:id="rId9" o:title=""/>
          </v:shape>
        </w:pict>
      </w:r>
    </w:p>
    <w:p w:rsidR="00526282" w:rsidRDefault="00F016DD" w:rsidP="00526282">
      <w:pPr>
        <w:snapToGrid w:val="0"/>
        <w:spacing w:beforeLines="100" w:before="312" w:line="360" w:lineRule="auto"/>
        <w:rPr>
          <w:rFonts w:eastAsiaTheme="minorEastAsia" w:hAnsiTheme="minorEastAsia"/>
          <w:color w:val="000000" w:themeColor="text1"/>
          <w:sz w:val="24"/>
        </w:rPr>
      </w:pPr>
      <w:r w:rsidRPr="00611CB2">
        <w:rPr>
          <w:color w:val="000000"/>
          <w:sz w:val="24"/>
        </w:rPr>
        <w:t>易方达中债新综指发起式（</w:t>
      </w:r>
      <w:r w:rsidRPr="00611CB2">
        <w:rPr>
          <w:color w:val="000000"/>
          <w:sz w:val="24"/>
        </w:rPr>
        <w:t>LOF</w:t>
      </w:r>
      <w:r w:rsidRPr="00611CB2">
        <w:rPr>
          <w:color w:val="000000"/>
          <w:sz w:val="24"/>
        </w:rPr>
        <w:t>）</w:t>
      </w:r>
      <w:r w:rsidRPr="00611CB2">
        <w:rPr>
          <w:color w:val="000000"/>
          <w:sz w:val="24"/>
        </w:rPr>
        <w:t>C</w:t>
      </w:r>
    </w:p>
    <w:p w:rsidR="00F016DD" w:rsidRPr="0078105B" w:rsidRDefault="000978DF" w:rsidP="00FC7F43">
      <w:pPr>
        <w:pStyle w:val="20"/>
        <w:spacing w:line="288" w:lineRule="auto"/>
        <w:ind w:firstLineChars="0" w:firstLine="0"/>
        <w:jc w:val="center"/>
        <w:rPr>
          <w:color w:val="000000"/>
        </w:rPr>
      </w:pPr>
      <w:r>
        <w:rPr>
          <w:noProof/>
          <w:color w:val="000000"/>
        </w:rPr>
        <w:pict>
          <v:shape id="图片 3" o:spid="_x0000_i1026" type="#_x0000_t75" style="width:435.75pt;height:258pt;visibility:visible">
            <v:imagedata r:id="rId10" o:title=""/>
          </v:shape>
        </w:pict>
      </w:r>
    </w:p>
    <w:p w:rsidR="00F016DD" w:rsidRPr="00DF18FE" w:rsidRDefault="00F016DD" w:rsidP="00DF18FE">
      <w:pPr>
        <w:spacing w:line="360" w:lineRule="auto"/>
        <w:ind w:firstLineChars="200" w:firstLine="480"/>
        <w:rPr>
          <w:color w:val="000000"/>
          <w:sz w:val="24"/>
        </w:rPr>
      </w:pPr>
      <w:r w:rsidRPr="00DF18FE">
        <w:rPr>
          <w:color w:val="000000"/>
          <w:sz w:val="24"/>
        </w:rPr>
        <w:t>注：自基金合同生效至报告期末，</w:t>
      </w:r>
      <w:r w:rsidRPr="00DF18FE">
        <w:rPr>
          <w:color w:val="000000"/>
          <w:sz w:val="24"/>
        </w:rPr>
        <w:t>A</w:t>
      </w:r>
      <w:r w:rsidRPr="00DF18FE">
        <w:rPr>
          <w:color w:val="000000"/>
          <w:sz w:val="24"/>
        </w:rPr>
        <w:t>类基金份额净值增长率为</w:t>
      </w:r>
      <w:r w:rsidRPr="00DF18FE">
        <w:rPr>
          <w:color w:val="000000"/>
          <w:sz w:val="24"/>
        </w:rPr>
        <w:t>43.72%</w:t>
      </w:r>
      <w:r w:rsidRPr="00DF18FE">
        <w:rPr>
          <w:color w:val="000000"/>
          <w:sz w:val="24"/>
        </w:rPr>
        <w:t>，</w:t>
      </w:r>
      <w:r w:rsidRPr="00DF18FE">
        <w:rPr>
          <w:color w:val="000000"/>
          <w:sz w:val="24"/>
        </w:rPr>
        <w:t>C</w:t>
      </w:r>
      <w:r w:rsidRPr="00DF18FE">
        <w:rPr>
          <w:color w:val="000000"/>
          <w:sz w:val="24"/>
        </w:rPr>
        <w:t>类基金份额净值增长率为</w:t>
      </w:r>
      <w:r w:rsidRPr="00DF18FE">
        <w:rPr>
          <w:color w:val="000000"/>
          <w:sz w:val="24"/>
        </w:rPr>
        <w:t>40.91%</w:t>
      </w:r>
      <w:r w:rsidRPr="00DF18FE">
        <w:rPr>
          <w:color w:val="000000"/>
          <w:sz w:val="24"/>
        </w:rPr>
        <w:t>，同期业绩比较基准收益率为</w:t>
      </w:r>
      <w:r w:rsidRPr="00DF18FE">
        <w:rPr>
          <w:color w:val="000000"/>
          <w:sz w:val="24"/>
        </w:rPr>
        <w:t>41.74%</w:t>
      </w:r>
      <w:r w:rsidRPr="00DF18FE">
        <w:rPr>
          <w:color w:val="000000"/>
          <w:sz w:val="24"/>
        </w:rPr>
        <w:t>。</w:t>
      </w:r>
    </w:p>
    <w:p w:rsidR="00F016DD" w:rsidRPr="00FA472B" w:rsidRDefault="00F016DD" w:rsidP="006C5BC9">
      <w:pPr>
        <w:tabs>
          <w:tab w:val="left" w:pos="1800"/>
        </w:tabs>
        <w:spacing w:line="288" w:lineRule="auto"/>
        <w:rPr>
          <w:color w:val="000000"/>
          <w:sz w:val="24"/>
        </w:rPr>
      </w:pP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4  </w:t>
      </w:r>
      <w:r w:rsidRPr="0078105B">
        <w:rPr>
          <w:rFonts w:ascii="宋体" w:hAnsi="宋体" w:cs="Arial" w:hint="eastAsia"/>
          <w:color w:val="000000"/>
          <w:kern w:val="0"/>
          <w:sz w:val="24"/>
          <w:szCs w:val="24"/>
        </w:rPr>
        <w:t>管理人报告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4.1 </w:t>
      </w:r>
      <w:r w:rsidRPr="0078105B">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F016DD" w:rsidRPr="0078105B" w:rsidTr="00B54884">
        <w:trPr>
          <w:cantSplit/>
        </w:trPr>
        <w:tc>
          <w:tcPr>
            <w:tcW w:w="56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F016DD" w:rsidRPr="0078105B" w:rsidTr="00B54884">
        <w:trPr>
          <w:cantSplit/>
        </w:trPr>
        <w:tc>
          <w:tcPr>
            <w:tcW w:w="56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835" w:type="dxa"/>
            <w:vMerge/>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851"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97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r>
      <w:tr w:rsidR="00C37626">
        <w:tc>
          <w:tcPr>
            <w:tcW w:w="0" w:type="auto"/>
            <w:vAlign w:val="center"/>
          </w:tcPr>
          <w:p w:rsidR="00C37626" w:rsidRDefault="000978DF">
            <w:pPr>
              <w:jc w:val="center"/>
            </w:pPr>
            <w:r>
              <w:rPr>
                <w:color w:val="000000"/>
                <w:sz w:val="24"/>
              </w:rPr>
              <w:t>王晓晨</w:t>
            </w:r>
          </w:p>
        </w:tc>
        <w:tc>
          <w:tcPr>
            <w:tcW w:w="0" w:type="auto"/>
            <w:vAlign w:val="center"/>
          </w:tcPr>
          <w:p w:rsidR="00C37626" w:rsidRDefault="000978DF">
            <w:pPr>
              <w:jc w:val="left"/>
            </w:pPr>
            <w:r>
              <w:rPr>
                <w:color w:val="000000"/>
                <w:sz w:val="24"/>
              </w:rPr>
              <w:t>本基金的基金经理、易方达增强回报债券型证券投资基金的基金经理、易方达投资级信用债债券型证券投资基金的基金经理、易方达双债增强债券型证券投资基金的基金经理、易方达恒安定期开放债券型发起式证券投资基金的基金经理、易方达富财纯债债券型证券投资基金的基金经理、易方达安瑞短债债券型证券投资基金的基金经理、易方达中债</w:t>
            </w:r>
            <w:r>
              <w:rPr>
                <w:color w:val="000000"/>
                <w:sz w:val="24"/>
              </w:rPr>
              <w:t>1-3</w:t>
            </w:r>
            <w:r>
              <w:rPr>
                <w:color w:val="000000"/>
                <w:sz w:val="24"/>
              </w:rPr>
              <w:t>年国开行债券指数证券投资基金的基金经理、易方达中债</w:t>
            </w:r>
            <w:r>
              <w:rPr>
                <w:color w:val="000000"/>
                <w:sz w:val="24"/>
              </w:rPr>
              <w:t>3-5</w:t>
            </w:r>
            <w:r>
              <w:rPr>
                <w:color w:val="000000"/>
                <w:sz w:val="24"/>
              </w:rPr>
              <w:t>年国开行债券指数证券投资基金的基金经理、易方达恒兴</w:t>
            </w:r>
            <w:r>
              <w:rPr>
                <w:color w:val="000000"/>
                <w:sz w:val="24"/>
              </w:rPr>
              <w:t>3</w:t>
            </w:r>
            <w:r>
              <w:rPr>
                <w:color w:val="000000"/>
                <w:sz w:val="24"/>
              </w:rPr>
              <w:t>个月定期开放债券型发起式证券投资基金的基金经理、易方达中债</w:t>
            </w:r>
            <w:r>
              <w:rPr>
                <w:color w:val="000000"/>
                <w:sz w:val="24"/>
              </w:rPr>
              <w:t>1-3</w:t>
            </w:r>
            <w:r>
              <w:rPr>
                <w:color w:val="000000"/>
                <w:sz w:val="24"/>
              </w:rPr>
              <w:t>年政策性金融债指数证券投资基</w:t>
            </w:r>
            <w:r>
              <w:rPr>
                <w:color w:val="000000"/>
                <w:sz w:val="24"/>
              </w:rPr>
              <w:t>金的基金经理、易方达中债</w:t>
            </w:r>
            <w:r>
              <w:rPr>
                <w:color w:val="000000"/>
                <w:sz w:val="24"/>
              </w:rPr>
              <w:t>3-5</w:t>
            </w:r>
            <w:r>
              <w:rPr>
                <w:color w:val="000000"/>
                <w:sz w:val="24"/>
              </w:rPr>
              <w:t>年政策性金融债指数证券投资基金的基金经理、固定收益投资部副总经理、易方达资产管理（香港）有限公司基金经理、就证券提供意见负责人员（</w:t>
            </w:r>
            <w:r>
              <w:rPr>
                <w:color w:val="000000"/>
                <w:sz w:val="24"/>
              </w:rPr>
              <w:t>RO</w:t>
            </w:r>
            <w:r>
              <w:rPr>
                <w:color w:val="000000"/>
                <w:sz w:val="24"/>
              </w:rPr>
              <w:t>）、提供资产管理负责人员（</w:t>
            </w:r>
            <w:r>
              <w:rPr>
                <w:color w:val="000000"/>
                <w:sz w:val="24"/>
              </w:rPr>
              <w:t>RO</w:t>
            </w:r>
            <w:r>
              <w:rPr>
                <w:color w:val="000000"/>
                <w:sz w:val="24"/>
              </w:rPr>
              <w:t>）、易方达资产管理（香港）有限公司固定收益投资决策委员会委员</w:t>
            </w:r>
          </w:p>
        </w:tc>
        <w:tc>
          <w:tcPr>
            <w:tcW w:w="0" w:type="auto"/>
            <w:vAlign w:val="center"/>
          </w:tcPr>
          <w:p w:rsidR="00C37626" w:rsidRDefault="000978DF">
            <w:pPr>
              <w:jc w:val="center"/>
            </w:pPr>
            <w:r>
              <w:rPr>
                <w:color w:val="000000"/>
                <w:sz w:val="24"/>
              </w:rPr>
              <w:t>2014-07-05</w:t>
            </w:r>
          </w:p>
        </w:tc>
        <w:tc>
          <w:tcPr>
            <w:tcW w:w="0" w:type="auto"/>
            <w:vAlign w:val="center"/>
          </w:tcPr>
          <w:p w:rsidR="00C37626" w:rsidRDefault="000978DF">
            <w:pPr>
              <w:jc w:val="center"/>
            </w:pPr>
            <w:r>
              <w:rPr>
                <w:color w:val="000000"/>
                <w:sz w:val="24"/>
              </w:rPr>
              <w:t>-</w:t>
            </w:r>
          </w:p>
        </w:tc>
        <w:tc>
          <w:tcPr>
            <w:tcW w:w="0" w:type="auto"/>
            <w:vAlign w:val="center"/>
          </w:tcPr>
          <w:p w:rsidR="00C37626" w:rsidRDefault="000978DF">
            <w:pPr>
              <w:jc w:val="center"/>
            </w:pPr>
            <w:r>
              <w:rPr>
                <w:color w:val="000000"/>
                <w:sz w:val="24"/>
              </w:rPr>
              <w:t>17</w:t>
            </w:r>
            <w:r>
              <w:rPr>
                <w:color w:val="000000"/>
                <w:sz w:val="24"/>
              </w:rPr>
              <w:t>年</w:t>
            </w:r>
          </w:p>
        </w:tc>
        <w:tc>
          <w:tcPr>
            <w:tcW w:w="0" w:type="auto"/>
            <w:vAlign w:val="center"/>
          </w:tcPr>
          <w:p w:rsidR="00C37626" w:rsidRDefault="000978DF">
            <w:r>
              <w:rPr>
                <w:color w:val="000000"/>
                <w:sz w:val="24"/>
              </w:rPr>
              <w:t>硕士研究生，具有基金从业资格。曾任易方达基金管理有限公司集中交易室债券交易员、债券交易主管、固定收益总部总经理助理、固定收益基金投资部副总经理、易方达货币市场基金基金经理、易方达保证金收益货币市场基金基金经理、易方达保本一</w:t>
            </w:r>
            <w:r>
              <w:rPr>
                <w:color w:val="000000"/>
                <w:sz w:val="24"/>
              </w:rPr>
              <w:t>号混合型证券投资基金基金经理、易方达新鑫灵活配置混合型证券投资基金基金经理、易方达纯债债券型证券投资基金基金经理、易方达恒益定期开放债券型发起式证券投资基金基金经理、易方达中债</w:t>
            </w:r>
            <w:r>
              <w:rPr>
                <w:color w:val="000000"/>
                <w:sz w:val="24"/>
              </w:rPr>
              <w:t>3-5</w:t>
            </w:r>
            <w:r>
              <w:rPr>
                <w:color w:val="000000"/>
                <w:sz w:val="24"/>
              </w:rPr>
              <w:t>年期国债指数证券投资基金基金经理、易方达中债</w:t>
            </w:r>
            <w:r>
              <w:rPr>
                <w:color w:val="000000"/>
                <w:sz w:val="24"/>
              </w:rPr>
              <w:t>7-10</w:t>
            </w:r>
            <w:r>
              <w:rPr>
                <w:color w:val="000000"/>
                <w:sz w:val="24"/>
              </w:rPr>
              <w:t>年期国开行债券指数证券投资基金基金经理。</w:t>
            </w:r>
          </w:p>
        </w:tc>
      </w:tr>
    </w:tbl>
    <w:p w:rsidR="00C37626" w:rsidRDefault="000978DF">
      <w:pPr>
        <w:spacing w:line="360" w:lineRule="auto"/>
        <w:ind w:firstLineChars="200" w:firstLine="480"/>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C37626" w:rsidRDefault="000978DF">
      <w:pPr>
        <w:spacing w:line="360" w:lineRule="auto"/>
        <w:ind w:firstLineChars="200" w:firstLine="480"/>
        <w:rPr>
          <w:color w:val="000000"/>
          <w:sz w:val="24"/>
        </w:rPr>
      </w:pPr>
      <w:r>
        <w:rPr>
          <w:color w:val="000000"/>
          <w:sz w:val="24"/>
        </w:rPr>
        <w:t>2.</w:t>
      </w:r>
      <w:r>
        <w:rPr>
          <w:color w:val="000000"/>
          <w:sz w:val="24"/>
        </w:rPr>
        <w:t>证券从业的含义遵从《证券业从业人员资格管理办法》的相关规定。</w:t>
      </w:r>
    </w:p>
    <w:p w:rsidR="00F016DD" w:rsidRPr="00EA6415" w:rsidRDefault="00F016DD" w:rsidP="00DF18FE">
      <w:pPr>
        <w:spacing w:line="360" w:lineRule="auto"/>
        <w:ind w:firstLineChars="200" w:firstLine="480"/>
        <w:rPr>
          <w:color w:val="000000"/>
          <w:sz w:val="24"/>
        </w:rPr>
      </w:pPr>
      <w:r w:rsidRPr="00DF18FE">
        <w:rPr>
          <w:color w:val="000000"/>
          <w:sz w:val="24"/>
        </w:rPr>
        <w:t>3.</w:t>
      </w:r>
      <w:r w:rsidRPr="00DF18FE">
        <w:rPr>
          <w:color w:val="000000"/>
          <w:sz w:val="24"/>
        </w:rPr>
        <w:t>本基金基金经理王晓晨因休产假超过</w:t>
      </w:r>
      <w:r w:rsidRPr="00DF18FE">
        <w:rPr>
          <w:color w:val="000000"/>
          <w:sz w:val="24"/>
        </w:rPr>
        <w:t>30</w:t>
      </w:r>
      <w:r w:rsidRPr="00DF18FE">
        <w:rPr>
          <w:color w:val="000000"/>
          <w:sz w:val="24"/>
        </w:rPr>
        <w:t>日，在其休假期间，本基金暂由我公司基金经理纪玲云代为履行基金经理职责。该事项已于</w:t>
      </w:r>
      <w:r w:rsidRPr="00DF18FE">
        <w:rPr>
          <w:color w:val="000000"/>
          <w:sz w:val="24"/>
        </w:rPr>
        <w:t>2019</w:t>
      </w:r>
      <w:r w:rsidRPr="00DF18FE">
        <w:rPr>
          <w:color w:val="000000"/>
          <w:sz w:val="24"/>
        </w:rPr>
        <w:t>年</w:t>
      </w:r>
      <w:r w:rsidRPr="00DF18FE">
        <w:rPr>
          <w:color w:val="000000"/>
          <w:sz w:val="24"/>
        </w:rPr>
        <w:t>11</w:t>
      </w:r>
      <w:r w:rsidRPr="00DF18FE">
        <w:rPr>
          <w:color w:val="000000"/>
          <w:sz w:val="24"/>
        </w:rPr>
        <w:t>月</w:t>
      </w:r>
      <w:r w:rsidRPr="00DF18FE">
        <w:rPr>
          <w:color w:val="000000"/>
          <w:sz w:val="24"/>
        </w:rPr>
        <w:t>22</w:t>
      </w:r>
      <w:r w:rsidRPr="00DF18FE">
        <w:rPr>
          <w:color w:val="000000"/>
          <w:sz w:val="24"/>
        </w:rPr>
        <w:t>日在《上海证券报》、易方达基金管理有限公司网站（</w:t>
      </w:r>
      <w:r w:rsidRPr="00DF18FE">
        <w:rPr>
          <w:color w:val="000000"/>
          <w:sz w:val="24"/>
        </w:rPr>
        <w:t>http://www.efunds.com.cn</w:t>
      </w:r>
      <w:r w:rsidRPr="00DF18FE">
        <w:rPr>
          <w:color w:val="000000"/>
          <w:sz w:val="24"/>
        </w:rPr>
        <w:t>）和中国证监会基金电子披露网站（</w:t>
      </w:r>
      <w:r w:rsidRPr="00DF18FE">
        <w:rPr>
          <w:color w:val="000000"/>
          <w:sz w:val="24"/>
        </w:rPr>
        <w:t>http://eid.csrc.gov.cn/fund</w:t>
      </w:r>
      <w:r w:rsidRPr="00DF18FE">
        <w:rPr>
          <w:color w:val="000000"/>
          <w:sz w:val="24"/>
        </w:rPr>
        <w:t>）上进行了披露。</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4.2</w:t>
      </w:r>
      <w:r>
        <w:rPr>
          <w:rFonts w:cs="Arial" w:hint="eastAsia"/>
          <w:b/>
          <w:color w:val="000000"/>
          <w:kern w:val="0"/>
          <w:sz w:val="24"/>
        </w:rPr>
        <w:t>管理人对</w:t>
      </w:r>
      <w:r w:rsidRPr="00BB04BF">
        <w:rPr>
          <w:rFonts w:cs="Arial" w:hint="eastAsia"/>
          <w:b/>
          <w:color w:val="000000"/>
          <w:kern w:val="0"/>
          <w:sz w:val="24"/>
        </w:rPr>
        <w:t>报告期内本基金运作遵规守信情况</w:t>
      </w:r>
      <w:r>
        <w:rPr>
          <w:rFonts w:cs="Arial" w:hint="eastAsia"/>
          <w:b/>
          <w:color w:val="000000"/>
          <w:kern w:val="0"/>
          <w:sz w:val="24"/>
        </w:rPr>
        <w:t>的</w:t>
      </w:r>
      <w:r w:rsidRPr="00BB04BF">
        <w:rPr>
          <w:rFonts w:cs="Arial" w:hint="eastAsia"/>
          <w:b/>
          <w:color w:val="000000"/>
          <w:kern w:val="0"/>
          <w:sz w:val="24"/>
        </w:rPr>
        <w:t>说明</w:t>
      </w:r>
    </w:p>
    <w:p w:rsidR="00F016DD" w:rsidRPr="00DF18FE" w:rsidRDefault="00F016DD" w:rsidP="00DF18FE">
      <w:pPr>
        <w:spacing w:line="360" w:lineRule="auto"/>
        <w:ind w:firstLineChars="200" w:firstLine="480"/>
        <w:rPr>
          <w:color w:val="000000"/>
          <w:sz w:val="24"/>
        </w:rPr>
      </w:pPr>
      <w:r w:rsidRPr="00DF18FE">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4.3 </w:t>
      </w:r>
      <w:r w:rsidRPr="0078105B">
        <w:rPr>
          <w:rFonts w:ascii="宋体" w:hAnsi="宋体" w:cs="Arial" w:hint="eastAsia"/>
          <w:b/>
          <w:color w:val="000000"/>
          <w:kern w:val="0"/>
          <w:sz w:val="24"/>
        </w:rPr>
        <w:t>公平交易专项说明</w:t>
      </w:r>
    </w:p>
    <w:p w:rsidR="00F016DD" w:rsidRPr="00FA472B" w:rsidRDefault="00F016DD" w:rsidP="00FC13C8">
      <w:pPr>
        <w:spacing w:line="360" w:lineRule="auto"/>
        <w:rPr>
          <w:rFonts w:ascii="宋体" w:hAnsi="宋体"/>
          <w:sz w:val="24"/>
        </w:rPr>
      </w:pPr>
      <w:r w:rsidRPr="00FA472B">
        <w:rPr>
          <w:rFonts w:ascii="宋体" w:hAnsi="宋体"/>
          <w:sz w:val="24"/>
        </w:rPr>
        <w:t xml:space="preserve">4.3.1 </w:t>
      </w:r>
      <w:r w:rsidRPr="00FA472B">
        <w:rPr>
          <w:rFonts w:ascii="宋体" w:hAnsi="宋体" w:hint="eastAsia"/>
          <w:sz w:val="24"/>
        </w:rPr>
        <w:t>公平交易制度的执行情况</w:t>
      </w:r>
    </w:p>
    <w:p w:rsidR="00F016DD" w:rsidRPr="00EA6415" w:rsidRDefault="00F016DD" w:rsidP="00DF18FE">
      <w:pPr>
        <w:spacing w:line="360" w:lineRule="auto"/>
        <w:ind w:firstLineChars="200" w:firstLine="480"/>
        <w:rPr>
          <w:color w:val="000000"/>
          <w:sz w:val="24"/>
        </w:rPr>
      </w:pPr>
      <w:r w:rsidRPr="00DF18FE">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DF18FE">
        <w:rPr>
          <w:color w:val="000000"/>
          <w:sz w:val="24"/>
        </w:rPr>
        <w:t>“</w:t>
      </w:r>
      <w:r w:rsidRPr="00DF18FE">
        <w:rPr>
          <w:color w:val="000000"/>
          <w:sz w:val="24"/>
        </w:rPr>
        <w:t>时间优先、价格优先</w:t>
      </w:r>
      <w:r w:rsidRPr="00DF18FE">
        <w:rPr>
          <w:color w:val="000000"/>
          <w:sz w:val="24"/>
        </w:rPr>
        <w:t>”</w:t>
      </w:r>
      <w:r w:rsidRPr="00DF18FE">
        <w:rPr>
          <w:color w:val="000000"/>
          <w:sz w:val="24"/>
        </w:rPr>
        <w:t>作为执行指令的基本原则，通过投资交易系统中的公平交易模块，以尽可能确保公平对待各投资组合。本报告期内，公平交易制度总体执行情况良好。</w:t>
      </w:r>
    </w:p>
    <w:p w:rsidR="00F016DD" w:rsidRPr="00FA472B" w:rsidRDefault="00F016DD" w:rsidP="00FC13C8">
      <w:pPr>
        <w:spacing w:line="360" w:lineRule="auto"/>
        <w:rPr>
          <w:rFonts w:ascii="宋体" w:hAnsi="宋体"/>
          <w:sz w:val="24"/>
        </w:rPr>
      </w:pPr>
      <w:r w:rsidRPr="00FA472B">
        <w:rPr>
          <w:rFonts w:ascii="宋体" w:hAnsi="宋体"/>
          <w:sz w:val="24"/>
        </w:rPr>
        <w:t xml:space="preserve">4.3.2 </w:t>
      </w:r>
      <w:r w:rsidRPr="00FA472B">
        <w:rPr>
          <w:rFonts w:ascii="宋体" w:hAnsi="宋体" w:hint="eastAsia"/>
          <w:sz w:val="24"/>
        </w:rPr>
        <w:t>异常交易行为的专项说明</w:t>
      </w:r>
    </w:p>
    <w:p w:rsidR="00C37626" w:rsidRDefault="000978DF">
      <w:pPr>
        <w:spacing w:line="360" w:lineRule="auto"/>
        <w:ind w:firstLineChars="200" w:firstLine="480"/>
        <w:rPr>
          <w:color w:val="000000"/>
          <w:sz w:val="24"/>
        </w:rPr>
      </w:pPr>
      <w:r>
        <w:rPr>
          <w:color w:val="000000"/>
          <w:sz w:val="24"/>
        </w:rPr>
        <w:t>本报告期内，公司旗下所有投资组合参与的交易所公开竞价交易中，同日反向交易成交较少的单边交易量超过该证券当日成交量的</w:t>
      </w:r>
      <w:r>
        <w:rPr>
          <w:color w:val="000000"/>
          <w:sz w:val="24"/>
        </w:rPr>
        <w:t>5%</w:t>
      </w:r>
      <w:r>
        <w:rPr>
          <w:color w:val="000000"/>
          <w:sz w:val="24"/>
        </w:rPr>
        <w:t>的交易共</w:t>
      </w:r>
      <w:r>
        <w:rPr>
          <w:color w:val="000000"/>
          <w:sz w:val="24"/>
        </w:rPr>
        <w:t>17</w:t>
      </w:r>
      <w:r>
        <w:rPr>
          <w:color w:val="000000"/>
          <w:sz w:val="24"/>
        </w:rPr>
        <w:t>次，全部为指数量化投资组合因投资策略需要和其他组合发生的反向交易。</w:t>
      </w:r>
    </w:p>
    <w:p w:rsidR="00F016DD" w:rsidRPr="00DF18FE" w:rsidRDefault="00F016DD" w:rsidP="00DF18FE">
      <w:pPr>
        <w:spacing w:line="360" w:lineRule="auto"/>
        <w:ind w:firstLineChars="200" w:firstLine="480"/>
        <w:rPr>
          <w:color w:val="000000"/>
          <w:sz w:val="24"/>
        </w:rPr>
      </w:pPr>
      <w:r w:rsidRPr="00DF18FE">
        <w:rPr>
          <w:color w:val="000000"/>
          <w:sz w:val="24"/>
        </w:rPr>
        <w:t>本报告期内，未发现本基金有可能导致不公平交易和利益输送的异常交易。</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4.4 </w:t>
      </w:r>
      <w:r w:rsidRPr="0078105B">
        <w:rPr>
          <w:rFonts w:ascii="宋体" w:hAnsi="宋体" w:cs="Arial" w:hint="eastAsia"/>
          <w:b/>
          <w:color w:val="000000"/>
          <w:kern w:val="0"/>
          <w:sz w:val="24"/>
        </w:rPr>
        <w:t>报告期内基金的投资策略和业绩表现说明</w:t>
      </w:r>
    </w:p>
    <w:p w:rsidR="00F016DD" w:rsidRPr="0078105B" w:rsidRDefault="00F016DD" w:rsidP="00FC13C8">
      <w:pPr>
        <w:spacing w:line="360" w:lineRule="auto"/>
        <w:rPr>
          <w:rFonts w:ascii="宋体"/>
          <w:sz w:val="24"/>
        </w:rPr>
      </w:pPr>
      <w:r w:rsidRPr="0078105B">
        <w:rPr>
          <w:rFonts w:ascii="宋体" w:hAnsi="宋体"/>
          <w:sz w:val="24"/>
        </w:rPr>
        <w:t>4.4.1</w:t>
      </w:r>
      <w:r w:rsidRPr="0078105B">
        <w:rPr>
          <w:rFonts w:ascii="宋体" w:hAnsi="宋体" w:hint="eastAsia"/>
          <w:sz w:val="24"/>
        </w:rPr>
        <w:t>报告期内基金投资策略和运作分析</w:t>
      </w:r>
    </w:p>
    <w:p w:rsidR="00C37626" w:rsidRDefault="000978DF">
      <w:pPr>
        <w:spacing w:line="360" w:lineRule="auto"/>
        <w:ind w:firstLineChars="200" w:firstLine="480"/>
        <w:rPr>
          <w:color w:val="000000"/>
          <w:sz w:val="24"/>
        </w:rPr>
      </w:pPr>
      <w:r>
        <w:rPr>
          <w:color w:val="000000"/>
          <w:sz w:val="24"/>
        </w:rPr>
        <w:t>2020</w:t>
      </w:r>
      <w:r>
        <w:rPr>
          <w:color w:val="000000"/>
          <w:sz w:val="24"/>
        </w:rPr>
        <w:t>年一季度国内外宏观经济受到了疫情的显著冲击。从目前公布的经济数据来看，</w:t>
      </w:r>
      <w:r>
        <w:rPr>
          <w:color w:val="000000"/>
          <w:sz w:val="24"/>
        </w:rPr>
        <w:t>1-2</w:t>
      </w:r>
      <w:r>
        <w:rPr>
          <w:color w:val="000000"/>
          <w:sz w:val="24"/>
        </w:rPr>
        <w:t>月工业增加值同比下降</w:t>
      </w:r>
      <w:r>
        <w:rPr>
          <w:color w:val="000000"/>
          <w:sz w:val="24"/>
        </w:rPr>
        <w:t>13.5%</w:t>
      </w:r>
      <w:r>
        <w:rPr>
          <w:color w:val="000000"/>
          <w:sz w:val="24"/>
        </w:rPr>
        <w:t>，而投资降幅比生产更大，同期固定资产投资同比增速大幅降低至</w:t>
      </w:r>
      <w:r>
        <w:rPr>
          <w:color w:val="000000"/>
          <w:sz w:val="24"/>
        </w:rPr>
        <w:t>-24.5%</w:t>
      </w:r>
      <w:r>
        <w:rPr>
          <w:color w:val="000000"/>
          <w:sz w:val="24"/>
        </w:rPr>
        <w:t>。此外，</w:t>
      </w:r>
      <w:r>
        <w:rPr>
          <w:color w:val="000000"/>
          <w:sz w:val="24"/>
        </w:rPr>
        <w:t>1-2</w:t>
      </w:r>
      <w:r>
        <w:rPr>
          <w:color w:val="000000"/>
          <w:sz w:val="24"/>
        </w:rPr>
        <w:t>月社会消费品零售总额同比下降</w:t>
      </w:r>
      <w:r>
        <w:rPr>
          <w:color w:val="000000"/>
          <w:sz w:val="24"/>
        </w:rPr>
        <w:t>20.5%</w:t>
      </w:r>
      <w:r>
        <w:rPr>
          <w:color w:val="000000"/>
          <w:sz w:val="24"/>
        </w:rPr>
        <w:t>。最后，</w:t>
      </w:r>
      <w:r>
        <w:rPr>
          <w:color w:val="000000"/>
          <w:sz w:val="24"/>
        </w:rPr>
        <w:t>3</w:t>
      </w:r>
      <w:r>
        <w:rPr>
          <w:color w:val="000000"/>
          <w:sz w:val="24"/>
        </w:rPr>
        <w:t>月底公布的制造业</w:t>
      </w:r>
      <w:r>
        <w:rPr>
          <w:color w:val="000000"/>
          <w:sz w:val="24"/>
        </w:rPr>
        <w:t>PMI</w:t>
      </w:r>
      <w:r>
        <w:rPr>
          <w:color w:val="000000"/>
          <w:sz w:val="24"/>
        </w:rPr>
        <w:t>虽然相较于</w:t>
      </w:r>
      <w:r>
        <w:rPr>
          <w:color w:val="000000"/>
          <w:sz w:val="24"/>
        </w:rPr>
        <w:t>2</w:t>
      </w:r>
      <w:r>
        <w:rPr>
          <w:color w:val="000000"/>
          <w:sz w:val="24"/>
        </w:rPr>
        <w:t>月份明显反弹，但仍然反映出经济活动尚未恢复到正常水平。</w:t>
      </w:r>
    </w:p>
    <w:p w:rsidR="00C37626" w:rsidRDefault="000978DF">
      <w:pPr>
        <w:spacing w:line="360" w:lineRule="auto"/>
        <w:ind w:firstLineChars="200" w:firstLine="480"/>
        <w:rPr>
          <w:color w:val="000000"/>
          <w:sz w:val="24"/>
        </w:rPr>
      </w:pPr>
      <w:r>
        <w:rPr>
          <w:color w:val="000000"/>
          <w:sz w:val="24"/>
        </w:rPr>
        <w:t>随着全球经济增速预期的下滑，货币政策开启了新一轮的宽松周期。央行逐步下调公开市场逆回购利率以及实施定向降准政策使得银行间流动性保持充裕，短端利率持续下行。但在全球美元流动性收紧的背景下，</w:t>
      </w:r>
      <w:r>
        <w:rPr>
          <w:color w:val="000000"/>
          <w:sz w:val="24"/>
        </w:rPr>
        <w:t>3</w:t>
      </w:r>
      <w:r>
        <w:rPr>
          <w:color w:val="000000"/>
          <w:sz w:val="24"/>
        </w:rPr>
        <w:t>月份以来债券市场收益率波动加大，目前收益率曲线的形态仍较为陡峭。信用债方面，由于供给释放较为集中，信用利差</w:t>
      </w:r>
      <w:r>
        <w:rPr>
          <w:color w:val="000000"/>
          <w:sz w:val="24"/>
        </w:rPr>
        <w:t>3</w:t>
      </w:r>
      <w:r>
        <w:rPr>
          <w:color w:val="000000"/>
          <w:sz w:val="24"/>
        </w:rPr>
        <w:t>月份以来有所回升，月末保持在中性水平。</w:t>
      </w:r>
    </w:p>
    <w:p w:rsidR="00F016DD" w:rsidRPr="00DF18FE" w:rsidRDefault="00F016DD" w:rsidP="00DF18FE">
      <w:pPr>
        <w:spacing w:line="360" w:lineRule="auto"/>
        <w:ind w:firstLineChars="200" w:firstLine="480"/>
        <w:rPr>
          <w:color w:val="000000"/>
          <w:sz w:val="24"/>
        </w:rPr>
      </w:pPr>
      <w:r w:rsidRPr="00DF18FE">
        <w:rPr>
          <w:color w:val="000000"/>
          <w:sz w:val="24"/>
        </w:rPr>
        <w:t>操作上，基金总体上按照指数的结构和久期进行配置。但是由于基金规模较小，分类债券资产的权重与指数中该资产的权重仍存在一定偏差，基金在一定程度上采取了较为灵活的配置策略。</w:t>
      </w:r>
    </w:p>
    <w:p w:rsidR="00F016DD" w:rsidRPr="0078105B" w:rsidRDefault="00F016DD" w:rsidP="00FC13C8">
      <w:pPr>
        <w:spacing w:line="360" w:lineRule="auto"/>
        <w:rPr>
          <w:rFonts w:ascii="宋体"/>
          <w:sz w:val="24"/>
        </w:rPr>
      </w:pPr>
      <w:r w:rsidRPr="0078105B">
        <w:rPr>
          <w:rFonts w:ascii="宋体" w:hAnsi="宋体"/>
          <w:sz w:val="24"/>
        </w:rPr>
        <w:t>4.4.2</w:t>
      </w:r>
      <w:r w:rsidRPr="0078105B">
        <w:rPr>
          <w:rFonts w:ascii="宋体" w:hAnsi="宋体" w:hint="eastAsia"/>
          <w:sz w:val="24"/>
        </w:rPr>
        <w:t>报告期内基金的业绩表现</w:t>
      </w:r>
    </w:p>
    <w:p w:rsidR="00F016DD" w:rsidRPr="00DF18FE" w:rsidRDefault="00F016DD" w:rsidP="00DF18FE">
      <w:pPr>
        <w:spacing w:line="360" w:lineRule="auto"/>
        <w:ind w:firstLineChars="200" w:firstLine="480"/>
        <w:rPr>
          <w:color w:val="000000"/>
          <w:sz w:val="24"/>
        </w:rPr>
      </w:pPr>
      <w:r w:rsidRPr="00DF18FE">
        <w:rPr>
          <w:color w:val="000000"/>
          <w:sz w:val="24"/>
        </w:rPr>
        <w:t>截至报告期末，本基金</w:t>
      </w:r>
      <w:r w:rsidRPr="00DF18FE">
        <w:rPr>
          <w:color w:val="000000"/>
          <w:sz w:val="24"/>
        </w:rPr>
        <w:t>A</w:t>
      </w:r>
      <w:r w:rsidRPr="00DF18FE">
        <w:rPr>
          <w:color w:val="000000"/>
          <w:sz w:val="24"/>
        </w:rPr>
        <w:t>类基金份额净值为</w:t>
      </w:r>
      <w:r w:rsidRPr="00DF18FE">
        <w:rPr>
          <w:color w:val="000000"/>
          <w:sz w:val="24"/>
        </w:rPr>
        <w:t>1.4372</w:t>
      </w:r>
      <w:r w:rsidRPr="00DF18FE">
        <w:rPr>
          <w:color w:val="000000"/>
          <w:sz w:val="24"/>
        </w:rPr>
        <w:t>元，本报告期份额净值增长率为</w:t>
      </w:r>
      <w:r w:rsidRPr="00DF18FE">
        <w:rPr>
          <w:color w:val="000000"/>
          <w:sz w:val="24"/>
        </w:rPr>
        <w:t>2.58%</w:t>
      </w:r>
      <w:r w:rsidRPr="00DF18FE">
        <w:rPr>
          <w:color w:val="000000"/>
          <w:sz w:val="24"/>
        </w:rPr>
        <w:t>；</w:t>
      </w:r>
      <w:r w:rsidRPr="00DF18FE">
        <w:rPr>
          <w:color w:val="000000"/>
          <w:sz w:val="24"/>
        </w:rPr>
        <w:t>C</w:t>
      </w:r>
      <w:r w:rsidRPr="00DF18FE">
        <w:rPr>
          <w:color w:val="000000"/>
          <w:sz w:val="24"/>
        </w:rPr>
        <w:t>类基金份额净值为</w:t>
      </w:r>
      <w:r w:rsidRPr="00DF18FE">
        <w:rPr>
          <w:color w:val="000000"/>
          <w:sz w:val="24"/>
        </w:rPr>
        <w:t>1.4091</w:t>
      </w:r>
      <w:r w:rsidRPr="00DF18FE">
        <w:rPr>
          <w:color w:val="000000"/>
          <w:sz w:val="24"/>
        </w:rPr>
        <w:t>元，本报告期份额净值增长率为</w:t>
      </w:r>
      <w:r w:rsidRPr="00DF18FE">
        <w:rPr>
          <w:color w:val="000000"/>
          <w:sz w:val="24"/>
        </w:rPr>
        <w:t>2.50%</w:t>
      </w:r>
      <w:r w:rsidRPr="00DF18FE">
        <w:rPr>
          <w:color w:val="000000"/>
          <w:sz w:val="24"/>
        </w:rPr>
        <w:t>；同期业绩比较基准收益率为</w:t>
      </w:r>
      <w:r w:rsidRPr="00DF18FE">
        <w:rPr>
          <w:color w:val="000000"/>
          <w:sz w:val="24"/>
        </w:rPr>
        <w:t>2.57%</w:t>
      </w:r>
      <w:r w:rsidRPr="00DF18FE">
        <w:rPr>
          <w:color w:val="000000"/>
          <w:sz w:val="24"/>
        </w:rPr>
        <w:t>。</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5  </w:t>
      </w:r>
      <w:r w:rsidRPr="0078105B">
        <w:rPr>
          <w:rFonts w:ascii="宋体" w:hAnsi="宋体" w:cs="Arial" w:hint="eastAsia"/>
          <w:color w:val="000000"/>
          <w:kern w:val="0"/>
          <w:sz w:val="24"/>
          <w:szCs w:val="24"/>
        </w:rPr>
        <w:t>投资组合报告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5.1 </w:t>
      </w:r>
      <w:r w:rsidRPr="0078105B">
        <w:rPr>
          <w:rFonts w:ascii="宋体" w:hAnsi="宋体" w:cs="Arial" w:hint="eastAsia"/>
          <w:b/>
          <w:color w:val="000000"/>
          <w:kern w:val="0"/>
          <w:sz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序号</w:t>
            </w:r>
          </w:p>
        </w:tc>
        <w:tc>
          <w:tcPr>
            <w:tcW w:w="335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项目</w:t>
            </w:r>
          </w:p>
        </w:tc>
        <w:tc>
          <w:tcPr>
            <w:tcW w:w="297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金额</w:t>
            </w:r>
            <w:r w:rsidRPr="00FA472B">
              <w:rPr>
                <w:color w:val="000000"/>
                <w:sz w:val="24"/>
              </w:rPr>
              <w:t>(</w:t>
            </w:r>
            <w:r w:rsidRPr="00FA472B">
              <w:rPr>
                <w:color w:val="000000"/>
                <w:sz w:val="24"/>
              </w:rPr>
              <w:t>元</w:t>
            </w:r>
            <w:r w:rsidRPr="00FA472B">
              <w:rPr>
                <w:color w:val="000000"/>
                <w:sz w:val="24"/>
              </w:rPr>
              <w:t>)</w:t>
            </w:r>
          </w:p>
        </w:tc>
        <w:tc>
          <w:tcPr>
            <w:tcW w:w="1843"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占基金总资产的比例</w:t>
            </w: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1</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权益投资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其中：股票</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2</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固定收益投资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539,093,500.00</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97.48</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其中：债券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539,093,500.00</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97.48</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autoSpaceDE w:val="0"/>
              <w:autoSpaceDN w:val="0"/>
              <w:adjustRightInd w:val="0"/>
              <w:spacing w:before="29" w:line="360" w:lineRule="auto"/>
              <w:ind w:left="17"/>
              <w:jc w:val="left"/>
              <w:rPr>
                <w:color w:val="000000"/>
                <w:sz w:val="24"/>
              </w:rPr>
            </w:pPr>
            <w:r w:rsidRPr="00FA472B">
              <w:rPr>
                <w:color w:val="000000"/>
                <w:sz w:val="24"/>
              </w:rPr>
              <w:t>资产支持证券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tcPr>
          <w:p w:rsidR="00F016DD" w:rsidRPr="00FA472B" w:rsidRDefault="00F016DD" w:rsidP="00F4518C">
            <w:pPr>
              <w:spacing w:before="29" w:line="360" w:lineRule="auto"/>
              <w:ind w:left="17"/>
              <w:jc w:val="center"/>
              <w:rPr>
                <w:color w:val="000000"/>
                <w:sz w:val="24"/>
              </w:rPr>
            </w:pPr>
            <w:r w:rsidRPr="00FA472B">
              <w:rPr>
                <w:color w:val="000000"/>
                <w:sz w:val="24"/>
              </w:rPr>
              <w:t>3</w:t>
            </w:r>
          </w:p>
        </w:tc>
        <w:tc>
          <w:tcPr>
            <w:tcW w:w="3357" w:type="dxa"/>
          </w:tcPr>
          <w:p w:rsidR="00F016DD" w:rsidRPr="00FA472B" w:rsidRDefault="00F016DD" w:rsidP="00174038">
            <w:pPr>
              <w:spacing w:before="29" w:line="360" w:lineRule="auto"/>
              <w:ind w:leftChars="50" w:left="105"/>
              <w:rPr>
                <w:color w:val="000000"/>
                <w:sz w:val="24"/>
              </w:rPr>
            </w:pPr>
            <w:r w:rsidRPr="00FA472B">
              <w:rPr>
                <w:color w:val="000000"/>
                <w:sz w:val="24"/>
              </w:rPr>
              <w:t>贵金属投资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4</w:t>
            </w:r>
          </w:p>
        </w:tc>
        <w:tc>
          <w:tcPr>
            <w:tcW w:w="3357" w:type="dxa"/>
            <w:vAlign w:val="center"/>
          </w:tcPr>
          <w:p w:rsidR="00F016DD" w:rsidRPr="00FA472B" w:rsidRDefault="00F016DD" w:rsidP="00F4518C">
            <w:pPr>
              <w:spacing w:before="29" w:line="360" w:lineRule="auto"/>
              <w:ind w:left="17"/>
              <w:jc w:val="left"/>
              <w:rPr>
                <w:color w:val="000000"/>
                <w:sz w:val="24"/>
              </w:rPr>
            </w:pPr>
            <w:r w:rsidRPr="00FA472B">
              <w:rPr>
                <w:color w:val="000000"/>
                <w:sz w:val="24"/>
              </w:rPr>
              <w:t>金融衍生品投资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5</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其中：买断式回购的买入返售金融资产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6</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银行存款和结算备付金合计</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3,364,150.52</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0.61</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7</w:t>
            </w:r>
          </w:p>
        </w:tc>
        <w:tc>
          <w:tcPr>
            <w:tcW w:w="3357" w:type="dxa"/>
            <w:vAlign w:val="center"/>
          </w:tcPr>
          <w:p w:rsidR="00F016DD" w:rsidRPr="00FA472B" w:rsidRDefault="00F016DD" w:rsidP="00F4518C">
            <w:pPr>
              <w:jc w:val="left"/>
              <w:rPr>
                <w:sz w:val="24"/>
              </w:rPr>
            </w:pPr>
            <w:r w:rsidRPr="00FA472B">
              <w:rPr>
                <w:color w:val="000000"/>
                <w:sz w:val="24"/>
              </w:rPr>
              <w:t>其他资产</w:t>
            </w:r>
          </w:p>
        </w:tc>
        <w:tc>
          <w:tcPr>
            <w:tcW w:w="2977" w:type="dxa"/>
            <w:vAlign w:val="center"/>
          </w:tcPr>
          <w:p w:rsidR="00F016DD" w:rsidRPr="00FA472B" w:rsidRDefault="00F016DD" w:rsidP="00F4518C">
            <w:pPr>
              <w:jc w:val="right"/>
              <w:rPr>
                <w:color w:val="000000"/>
                <w:sz w:val="24"/>
              </w:rPr>
            </w:pPr>
            <w:r w:rsidRPr="00FA472B">
              <w:rPr>
                <w:color w:val="000000"/>
                <w:sz w:val="24"/>
              </w:rPr>
              <w:t>10,585,352.44</w:t>
            </w:r>
          </w:p>
        </w:tc>
        <w:tc>
          <w:tcPr>
            <w:tcW w:w="1843" w:type="dxa"/>
            <w:vAlign w:val="center"/>
          </w:tcPr>
          <w:p w:rsidR="00F016DD" w:rsidRPr="00FA472B" w:rsidRDefault="00F016DD" w:rsidP="00F4518C">
            <w:pPr>
              <w:jc w:val="right"/>
              <w:rPr>
                <w:color w:val="000000"/>
                <w:sz w:val="24"/>
              </w:rPr>
            </w:pPr>
            <w:r w:rsidRPr="00FA472B">
              <w:rPr>
                <w:color w:val="000000"/>
                <w:sz w:val="24"/>
              </w:rPr>
              <w:t>1.91</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8</w:t>
            </w:r>
          </w:p>
        </w:tc>
        <w:tc>
          <w:tcPr>
            <w:tcW w:w="3357" w:type="dxa"/>
            <w:vAlign w:val="center"/>
          </w:tcPr>
          <w:p w:rsidR="00F016DD" w:rsidRPr="00FA472B" w:rsidRDefault="00F016DD" w:rsidP="00F4518C">
            <w:pPr>
              <w:jc w:val="left"/>
              <w:rPr>
                <w:sz w:val="24"/>
              </w:rPr>
            </w:pPr>
            <w:r w:rsidRPr="00FA472B">
              <w:rPr>
                <w:color w:val="000000"/>
                <w:sz w:val="24"/>
              </w:rPr>
              <w:t>合计</w:t>
            </w:r>
          </w:p>
        </w:tc>
        <w:tc>
          <w:tcPr>
            <w:tcW w:w="2977" w:type="dxa"/>
            <w:vAlign w:val="center"/>
          </w:tcPr>
          <w:p w:rsidR="00F016DD" w:rsidRPr="00FA472B" w:rsidRDefault="00F016DD" w:rsidP="00F4518C">
            <w:pPr>
              <w:jc w:val="right"/>
              <w:rPr>
                <w:color w:val="000000"/>
                <w:sz w:val="24"/>
              </w:rPr>
            </w:pPr>
            <w:r w:rsidRPr="00FA472B">
              <w:rPr>
                <w:color w:val="000000"/>
                <w:sz w:val="24"/>
              </w:rPr>
              <w:t>553,043,002.96</w:t>
            </w:r>
          </w:p>
        </w:tc>
        <w:tc>
          <w:tcPr>
            <w:tcW w:w="1843" w:type="dxa"/>
            <w:vAlign w:val="center"/>
          </w:tcPr>
          <w:p w:rsidR="00F016DD" w:rsidRPr="00FA472B" w:rsidRDefault="00F016DD" w:rsidP="00F4518C">
            <w:pPr>
              <w:jc w:val="right"/>
              <w:rPr>
                <w:color w:val="000000"/>
                <w:sz w:val="24"/>
              </w:rPr>
            </w:pPr>
            <w:r w:rsidRPr="00FA472B">
              <w:rPr>
                <w:color w:val="000000"/>
                <w:sz w:val="24"/>
              </w:rPr>
              <w:t>100.00</w:t>
            </w:r>
          </w:p>
        </w:tc>
      </w:tr>
    </w:tbl>
    <w:p w:rsidR="00874AA3" w:rsidRPr="00C70969" w:rsidRDefault="00874AA3" w:rsidP="00B54884">
      <w:pPr>
        <w:autoSpaceDE w:val="0"/>
        <w:autoSpaceDN w:val="0"/>
        <w:adjustRightInd w:val="0"/>
        <w:spacing w:beforeLines="100" w:before="312" w:line="360" w:lineRule="auto"/>
        <w:jc w:val="left"/>
        <w:rPr>
          <w:rFonts w:eastAsiaTheme="minorEastAsia"/>
          <w:b/>
          <w:color w:val="000000" w:themeColor="text1"/>
          <w:kern w:val="0"/>
          <w:sz w:val="24"/>
        </w:rPr>
      </w:pPr>
      <w:r w:rsidRPr="00C70969">
        <w:rPr>
          <w:rFonts w:eastAsiaTheme="minorEastAsia"/>
          <w:b/>
          <w:color w:val="000000" w:themeColor="text1"/>
          <w:kern w:val="0"/>
          <w:sz w:val="24"/>
        </w:rPr>
        <w:t xml:space="preserve">5.2 </w:t>
      </w:r>
      <w:r w:rsidRPr="00C70969">
        <w:rPr>
          <w:rFonts w:eastAsiaTheme="minorEastAsia"/>
          <w:b/>
          <w:color w:val="000000" w:themeColor="text1"/>
          <w:kern w:val="0"/>
          <w:sz w:val="24"/>
        </w:rPr>
        <w:t>报告期末按行业分类的股票投资组合</w:t>
      </w:r>
    </w:p>
    <w:p w:rsidR="00874AA3" w:rsidRPr="00C70969" w:rsidRDefault="00874AA3" w:rsidP="00874AA3">
      <w:pPr>
        <w:rPr>
          <w:b/>
          <w:sz w:val="24"/>
        </w:rPr>
      </w:pPr>
      <w:r w:rsidRPr="00C70969">
        <w:rPr>
          <w:b/>
          <w:sz w:val="24"/>
        </w:rPr>
        <w:t xml:space="preserve"> </w:t>
      </w:r>
      <w:r w:rsidRPr="00C70969">
        <w:rPr>
          <w:rFonts w:eastAsiaTheme="minorEastAsia"/>
          <w:b/>
          <w:color w:val="000000" w:themeColor="text1"/>
          <w:kern w:val="0"/>
          <w:sz w:val="24"/>
        </w:rPr>
        <w:t>5.2.1</w:t>
      </w:r>
      <w:r w:rsidRPr="00C70969">
        <w:rPr>
          <w:rFonts w:eastAsiaTheme="minorEastAsia"/>
          <w:b/>
          <w:color w:val="000000" w:themeColor="text1"/>
          <w:kern w:val="0"/>
          <w:sz w:val="24"/>
        </w:rPr>
        <w:t>报告期末按行业分类的境内股票投资组合</w:t>
      </w:r>
    </w:p>
    <w:p w:rsidR="00874AA3" w:rsidRPr="00EA6415" w:rsidRDefault="00874AA3" w:rsidP="00EA6415">
      <w:pPr>
        <w:spacing w:line="360" w:lineRule="auto"/>
        <w:ind w:firstLineChars="200" w:firstLine="480"/>
        <w:rPr>
          <w:color w:val="000000"/>
          <w:sz w:val="24"/>
        </w:rPr>
      </w:pPr>
      <w:r w:rsidRPr="00EA6415">
        <w:rPr>
          <w:color w:val="000000"/>
          <w:sz w:val="24"/>
        </w:rPr>
        <w:t>本基金本报告期末未持有境内股票。</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5.3 </w:t>
      </w:r>
      <w:r w:rsidRPr="0078105B">
        <w:rPr>
          <w:rFonts w:ascii="宋体" w:hAnsi="宋体" w:cs="Arial" w:hint="eastAsia"/>
          <w:b/>
          <w:color w:val="000000"/>
          <w:kern w:val="0"/>
          <w:sz w:val="24"/>
        </w:rPr>
        <w:t>报告期末按公允价值占基金资产净值比例大小排序的前十名股票投资明细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本基金本报告期末未持有股票。</w:t>
      </w:r>
    </w:p>
    <w:p w:rsidR="006A1153" w:rsidRPr="006A1153" w:rsidRDefault="00F016DD" w:rsidP="00B54884">
      <w:pPr>
        <w:autoSpaceDE w:val="0"/>
        <w:autoSpaceDN w:val="0"/>
        <w:adjustRightInd w:val="0"/>
        <w:spacing w:beforeLines="100" w:before="312" w:line="360" w:lineRule="auto"/>
        <w:jc w:val="left"/>
        <w:rPr>
          <w:rFonts w:eastAsiaTheme="minorEastAsia"/>
          <w:b/>
          <w:color w:val="000000" w:themeColor="text1"/>
          <w:kern w:val="0"/>
          <w:sz w:val="24"/>
        </w:rPr>
      </w:pPr>
      <w:r w:rsidRPr="0078105B">
        <w:rPr>
          <w:rFonts w:ascii="宋体" w:hAnsi="宋体" w:cs="Arial"/>
          <w:b/>
          <w:color w:val="000000"/>
          <w:kern w:val="0"/>
          <w:sz w:val="24"/>
        </w:rPr>
        <w:t xml:space="preserve">5.4 </w:t>
      </w:r>
      <w:r w:rsidRPr="0078105B">
        <w:rPr>
          <w:rFonts w:ascii="宋体" w:hAnsi="宋体" w:cs="Arial" w:hint="eastAsia"/>
          <w:b/>
          <w:color w:val="000000"/>
          <w:kern w:val="0"/>
          <w:sz w:val="24"/>
        </w:rPr>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序号</w:t>
            </w:r>
          </w:p>
        </w:tc>
        <w:tc>
          <w:tcPr>
            <w:tcW w:w="3260"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债券品种</w:t>
            </w:r>
          </w:p>
        </w:tc>
        <w:tc>
          <w:tcPr>
            <w:tcW w:w="2835"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公允价值</w:t>
            </w:r>
            <w:r w:rsidRPr="006A1153">
              <w:rPr>
                <w:rFonts w:eastAsiaTheme="minorEastAsia"/>
                <w:color w:val="000000" w:themeColor="text1"/>
                <w:sz w:val="24"/>
              </w:rPr>
              <w:t>(</w:t>
            </w:r>
            <w:r w:rsidRPr="006A1153">
              <w:rPr>
                <w:rFonts w:eastAsiaTheme="minorEastAsia"/>
                <w:color w:val="000000" w:themeColor="text1"/>
                <w:sz w:val="24"/>
              </w:rPr>
              <w:t>元</w:t>
            </w: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占基金资产净值比例</w:t>
            </w:r>
            <w:r w:rsidRPr="006A1153">
              <w:rPr>
                <w:rFonts w:eastAsiaTheme="minorEastAsia"/>
                <w:color w:val="000000" w:themeColor="text1"/>
                <w:sz w:val="24"/>
              </w:rPr>
              <w:t>(</w:t>
            </w:r>
            <w:r w:rsidRPr="006A1153">
              <w:rPr>
                <w:rFonts w:eastAsiaTheme="minorEastAsia"/>
                <w:color w:val="000000" w:themeColor="text1"/>
                <w:sz w:val="24"/>
              </w:rPr>
              <w:t>％</w:t>
            </w: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国家债券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10,345,000.00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2.35</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2</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央行票据</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3</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金融债券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177,039,000.00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40.16</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其中：政策性金融债</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177,039,000.00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40.16</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4</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96,407,500.00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21.87</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5</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企业短期融资券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20,035,000.00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4.55</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6</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中期票据</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235,267,000.00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53.37</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7</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可转债</w:t>
            </w:r>
            <w:r w:rsidR="00524368" w:rsidRPr="00524368">
              <w:rPr>
                <w:rFonts w:eastAsiaTheme="minorEastAsia" w:hint="eastAsia"/>
                <w:color w:val="000000" w:themeColor="text1"/>
                <w:sz w:val="24"/>
              </w:rPr>
              <w:t>（可交换债）</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8</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同业存单</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9</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其他</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10</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合计</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539,093,500.00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122.30</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5.5 </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的前五名债券投资明细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
        <w:gridCol w:w="1559"/>
        <w:gridCol w:w="1985"/>
        <w:gridCol w:w="1559"/>
        <w:gridCol w:w="2126"/>
        <w:gridCol w:w="990"/>
      </w:tblGrid>
      <w:tr w:rsidR="00F016DD" w:rsidRPr="0078105B" w:rsidTr="00CA7FF7">
        <w:tc>
          <w:tcPr>
            <w:tcW w:w="802"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债券代码</w:t>
            </w:r>
          </w:p>
        </w:tc>
        <w:tc>
          <w:tcPr>
            <w:tcW w:w="1985"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债券名称</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数量（张）</w:t>
            </w:r>
          </w:p>
        </w:tc>
        <w:tc>
          <w:tcPr>
            <w:tcW w:w="2126"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w="990"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p>
        </w:tc>
      </w:tr>
      <w:tr w:rsidR="00C37626">
        <w:tc>
          <w:tcPr>
            <w:tcW w:w="0" w:type="auto"/>
            <w:vAlign w:val="center"/>
          </w:tcPr>
          <w:p w:rsidR="00C37626" w:rsidRDefault="000978DF">
            <w:pPr>
              <w:jc w:val="center"/>
            </w:pPr>
            <w:r>
              <w:rPr>
                <w:color w:val="000000"/>
                <w:sz w:val="24"/>
              </w:rPr>
              <w:t>1</w:t>
            </w:r>
          </w:p>
        </w:tc>
        <w:tc>
          <w:tcPr>
            <w:tcW w:w="0" w:type="auto"/>
            <w:vAlign w:val="center"/>
          </w:tcPr>
          <w:p w:rsidR="00C37626" w:rsidRDefault="000978DF">
            <w:pPr>
              <w:jc w:val="center"/>
            </w:pPr>
            <w:r>
              <w:rPr>
                <w:color w:val="000000"/>
                <w:sz w:val="24"/>
              </w:rPr>
              <w:t>160210</w:t>
            </w:r>
          </w:p>
        </w:tc>
        <w:tc>
          <w:tcPr>
            <w:tcW w:w="0" w:type="auto"/>
            <w:vAlign w:val="center"/>
          </w:tcPr>
          <w:p w:rsidR="00C37626" w:rsidRDefault="000978DF">
            <w:pPr>
              <w:jc w:val="center"/>
            </w:pPr>
            <w:r>
              <w:rPr>
                <w:color w:val="000000"/>
                <w:sz w:val="24"/>
              </w:rPr>
              <w:t>16</w:t>
            </w:r>
            <w:r>
              <w:rPr>
                <w:color w:val="000000"/>
                <w:sz w:val="24"/>
              </w:rPr>
              <w:t>国开</w:t>
            </w:r>
            <w:r>
              <w:rPr>
                <w:color w:val="000000"/>
                <w:sz w:val="24"/>
              </w:rPr>
              <w:t>10</w:t>
            </w:r>
          </w:p>
        </w:tc>
        <w:tc>
          <w:tcPr>
            <w:tcW w:w="0" w:type="auto"/>
            <w:vAlign w:val="center"/>
          </w:tcPr>
          <w:p w:rsidR="00C37626" w:rsidRDefault="000978DF">
            <w:pPr>
              <w:jc w:val="right"/>
            </w:pPr>
            <w:r>
              <w:rPr>
                <w:color w:val="000000"/>
                <w:sz w:val="24"/>
              </w:rPr>
              <w:t>300,000</w:t>
            </w:r>
          </w:p>
        </w:tc>
        <w:tc>
          <w:tcPr>
            <w:tcW w:w="0" w:type="auto"/>
            <w:vAlign w:val="center"/>
          </w:tcPr>
          <w:p w:rsidR="00C37626" w:rsidRDefault="000978DF">
            <w:pPr>
              <w:jc w:val="right"/>
            </w:pPr>
            <w:r>
              <w:rPr>
                <w:color w:val="000000"/>
                <w:sz w:val="24"/>
              </w:rPr>
              <w:t>30,363,000.00</w:t>
            </w:r>
          </w:p>
        </w:tc>
        <w:tc>
          <w:tcPr>
            <w:tcW w:w="0" w:type="auto"/>
            <w:vAlign w:val="center"/>
          </w:tcPr>
          <w:p w:rsidR="00C37626" w:rsidRDefault="000978DF">
            <w:pPr>
              <w:jc w:val="right"/>
            </w:pPr>
            <w:r>
              <w:rPr>
                <w:color w:val="000000"/>
                <w:sz w:val="24"/>
              </w:rPr>
              <w:t>6.89</w:t>
            </w:r>
          </w:p>
        </w:tc>
      </w:tr>
      <w:tr w:rsidR="00C37626">
        <w:tc>
          <w:tcPr>
            <w:tcW w:w="0" w:type="auto"/>
            <w:vAlign w:val="center"/>
          </w:tcPr>
          <w:p w:rsidR="00C37626" w:rsidRDefault="000978DF">
            <w:pPr>
              <w:jc w:val="center"/>
            </w:pPr>
            <w:r>
              <w:rPr>
                <w:color w:val="000000"/>
                <w:sz w:val="24"/>
              </w:rPr>
              <w:t>2</w:t>
            </w:r>
          </w:p>
        </w:tc>
        <w:tc>
          <w:tcPr>
            <w:tcW w:w="0" w:type="auto"/>
            <w:vAlign w:val="center"/>
          </w:tcPr>
          <w:p w:rsidR="00C37626" w:rsidRDefault="000978DF">
            <w:pPr>
              <w:jc w:val="center"/>
            </w:pPr>
            <w:r>
              <w:rPr>
                <w:color w:val="000000"/>
                <w:sz w:val="24"/>
              </w:rPr>
              <w:t>180205</w:t>
            </w:r>
          </w:p>
        </w:tc>
        <w:tc>
          <w:tcPr>
            <w:tcW w:w="0" w:type="auto"/>
            <w:vAlign w:val="center"/>
          </w:tcPr>
          <w:p w:rsidR="00C37626" w:rsidRDefault="000978DF">
            <w:pPr>
              <w:jc w:val="center"/>
            </w:pPr>
            <w:r>
              <w:rPr>
                <w:color w:val="000000"/>
                <w:sz w:val="24"/>
              </w:rPr>
              <w:t>18</w:t>
            </w:r>
            <w:r>
              <w:rPr>
                <w:color w:val="000000"/>
                <w:sz w:val="24"/>
              </w:rPr>
              <w:t>国开</w:t>
            </w:r>
            <w:r>
              <w:rPr>
                <w:color w:val="000000"/>
                <w:sz w:val="24"/>
              </w:rPr>
              <w:t>05</w:t>
            </w:r>
          </w:p>
        </w:tc>
        <w:tc>
          <w:tcPr>
            <w:tcW w:w="0" w:type="auto"/>
            <w:vAlign w:val="center"/>
          </w:tcPr>
          <w:p w:rsidR="00C37626" w:rsidRDefault="000978DF">
            <w:pPr>
              <w:jc w:val="right"/>
            </w:pPr>
            <w:r>
              <w:rPr>
                <w:color w:val="000000"/>
                <w:sz w:val="24"/>
              </w:rPr>
              <w:t>200,000</w:t>
            </w:r>
          </w:p>
        </w:tc>
        <w:tc>
          <w:tcPr>
            <w:tcW w:w="0" w:type="auto"/>
            <w:vAlign w:val="center"/>
          </w:tcPr>
          <w:p w:rsidR="00C37626" w:rsidRDefault="000978DF">
            <w:pPr>
              <w:jc w:val="right"/>
            </w:pPr>
            <w:r>
              <w:rPr>
                <w:color w:val="000000"/>
                <w:sz w:val="24"/>
              </w:rPr>
              <w:t>22,374,000.00</w:t>
            </w:r>
          </w:p>
        </w:tc>
        <w:tc>
          <w:tcPr>
            <w:tcW w:w="0" w:type="auto"/>
            <w:vAlign w:val="center"/>
          </w:tcPr>
          <w:p w:rsidR="00C37626" w:rsidRDefault="000978DF">
            <w:pPr>
              <w:jc w:val="right"/>
            </w:pPr>
            <w:r>
              <w:rPr>
                <w:color w:val="000000"/>
                <w:sz w:val="24"/>
              </w:rPr>
              <w:t>5.08</w:t>
            </w:r>
          </w:p>
        </w:tc>
      </w:tr>
      <w:tr w:rsidR="00C37626">
        <w:tc>
          <w:tcPr>
            <w:tcW w:w="0" w:type="auto"/>
            <w:vAlign w:val="center"/>
          </w:tcPr>
          <w:p w:rsidR="00C37626" w:rsidRDefault="000978DF">
            <w:pPr>
              <w:jc w:val="center"/>
            </w:pPr>
            <w:r>
              <w:rPr>
                <w:color w:val="000000"/>
                <w:sz w:val="24"/>
              </w:rPr>
              <w:t>3</w:t>
            </w:r>
          </w:p>
        </w:tc>
        <w:tc>
          <w:tcPr>
            <w:tcW w:w="0" w:type="auto"/>
            <w:vAlign w:val="center"/>
          </w:tcPr>
          <w:p w:rsidR="00C37626" w:rsidRDefault="000978DF">
            <w:pPr>
              <w:jc w:val="center"/>
            </w:pPr>
            <w:r>
              <w:rPr>
                <w:color w:val="000000"/>
                <w:sz w:val="24"/>
              </w:rPr>
              <w:t>170215</w:t>
            </w:r>
          </w:p>
        </w:tc>
        <w:tc>
          <w:tcPr>
            <w:tcW w:w="0" w:type="auto"/>
            <w:vAlign w:val="center"/>
          </w:tcPr>
          <w:p w:rsidR="00C37626" w:rsidRDefault="000978DF">
            <w:pPr>
              <w:jc w:val="center"/>
            </w:pPr>
            <w:r>
              <w:rPr>
                <w:color w:val="000000"/>
                <w:sz w:val="24"/>
              </w:rPr>
              <w:t>17</w:t>
            </w:r>
            <w:r>
              <w:rPr>
                <w:color w:val="000000"/>
                <w:sz w:val="24"/>
              </w:rPr>
              <w:t>国开</w:t>
            </w:r>
            <w:r>
              <w:rPr>
                <w:color w:val="000000"/>
                <w:sz w:val="24"/>
              </w:rPr>
              <w:t>15</w:t>
            </w:r>
          </w:p>
        </w:tc>
        <w:tc>
          <w:tcPr>
            <w:tcW w:w="0" w:type="auto"/>
            <w:vAlign w:val="center"/>
          </w:tcPr>
          <w:p w:rsidR="00C37626" w:rsidRDefault="000978DF">
            <w:pPr>
              <w:jc w:val="right"/>
            </w:pPr>
            <w:r>
              <w:rPr>
                <w:color w:val="000000"/>
                <w:sz w:val="24"/>
              </w:rPr>
              <w:t>200,000</w:t>
            </w:r>
          </w:p>
        </w:tc>
        <w:tc>
          <w:tcPr>
            <w:tcW w:w="0" w:type="auto"/>
            <w:vAlign w:val="center"/>
          </w:tcPr>
          <w:p w:rsidR="00C37626" w:rsidRDefault="000978DF">
            <w:pPr>
              <w:jc w:val="right"/>
            </w:pPr>
            <w:r>
              <w:rPr>
                <w:color w:val="000000"/>
                <w:sz w:val="24"/>
              </w:rPr>
              <w:t>21,456,000.00</w:t>
            </w:r>
          </w:p>
        </w:tc>
        <w:tc>
          <w:tcPr>
            <w:tcW w:w="0" w:type="auto"/>
            <w:vAlign w:val="center"/>
          </w:tcPr>
          <w:p w:rsidR="00C37626" w:rsidRDefault="000978DF">
            <w:pPr>
              <w:jc w:val="right"/>
            </w:pPr>
            <w:r>
              <w:rPr>
                <w:color w:val="000000"/>
                <w:sz w:val="24"/>
              </w:rPr>
              <w:t>4.87</w:t>
            </w:r>
          </w:p>
        </w:tc>
      </w:tr>
      <w:tr w:rsidR="00C37626">
        <w:tc>
          <w:tcPr>
            <w:tcW w:w="0" w:type="auto"/>
            <w:vAlign w:val="center"/>
          </w:tcPr>
          <w:p w:rsidR="00C37626" w:rsidRDefault="000978DF">
            <w:pPr>
              <w:jc w:val="center"/>
            </w:pPr>
            <w:r>
              <w:rPr>
                <w:color w:val="000000"/>
                <w:sz w:val="24"/>
              </w:rPr>
              <w:t>4</w:t>
            </w:r>
          </w:p>
        </w:tc>
        <w:tc>
          <w:tcPr>
            <w:tcW w:w="0" w:type="auto"/>
            <w:vAlign w:val="center"/>
          </w:tcPr>
          <w:p w:rsidR="00C37626" w:rsidRDefault="000978DF">
            <w:pPr>
              <w:jc w:val="center"/>
            </w:pPr>
            <w:r>
              <w:rPr>
                <w:color w:val="000000"/>
                <w:sz w:val="24"/>
              </w:rPr>
              <w:t>190210</w:t>
            </w:r>
          </w:p>
        </w:tc>
        <w:tc>
          <w:tcPr>
            <w:tcW w:w="0" w:type="auto"/>
            <w:vAlign w:val="center"/>
          </w:tcPr>
          <w:p w:rsidR="00C37626" w:rsidRDefault="000978DF">
            <w:pPr>
              <w:jc w:val="center"/>
            </w:pPr>
            <w:r>
              <w:rPr>
                <w:color w:val="000000"/>
                <w:sz w:val="24"/>
              </w:rPr>
              <w:t>19</w:t>
            </w:r>
            <w:r>
              <w:rPr>
                <w:color w:val="000000"/>
                <w:sz w:val="24"/>
              </w:rPr>
              <w:t>国开</w:t>
            </w:r>
            <w:r>
              <w:rPr>
                <w:color w:val="000000"/>
                <w:sz w:val="24"/>
              </w:rPr>
              <w:t>10</w:t>
            </w:r>
          </w:p>
        </w:tc>
        <w:tc>
          <w:tcPr>
            <w:tcW w:w="0" w:type="auto"/>
            <w:vAlign w:val="center"/>
          </w:tcPr>
          <w:p w:rsidR="00C37626" w:rsidRDefault="000978DF">
            <w:pPr>
              <w:jc w:val="right"/>
            </w:pPr>
            <w:r>
              <w:rPr>
                <w:color w:val="000000"/>
                <w:sz w:val="24"/>
              </w:rPr>
              <w:t>200,000</w:t>
            </w:r>
          </w:p>
        </w:tc>
        <w:tc>
          <w:tcPr>
            <w:tcW w:w="0" w:type="auto"/>
            <w:vAlign w:val="center"/>
          </w:tcPr>
          <w:p w:rsidR="00C37626" w:rsidRDefault="000978DF">
            <w:pPr>
              <w:jc w:val="right"/>
            </w:pPr>
            <w:r>
              <w:rPr>
                <w:color w:val="000000"/>
                <w:sz w:val="24"/>
              </w:rPr>
              <w:t>20,854,000.00</w:t>
            </w:r>
          </w:p>
        </w:tc>
        <w:tc>
          <w:tcPr>
            <w:tcW w:w="0" w:type="auto"/>
            <w:vAlign w:val="center"/>
          </w:tcPr>
          <w:p w:rsidR="00C37626" w:rsidRDefault="000978DF">
            <w:pPr>
              <w:jc w:val="right"/>
            </w:pPr>
            <w:r>
              <w:rPr>
                <w:color w:val="000000"/>
                <w:sz w:val="24"/>
              </w:rPr>
              <w:t>4.73</w:t>
            </w:r>
          </w:p>
        </w:tc>
      </w:tr>
      <w:tr w:rsidR="00C37626">
        <w:tc>
          <w:tcPr>
            <w:tcW w:w="0" w:type="auto"/>
            <w:vAlign w:val="center"/>
          </w:tcPr>
          <w:p w:rsidR="00C37626" w:rsidRDefault="000978DF">
            <w:pPr>
              <w:jc w:val="center"/>
            </w:pPr>
            <w:r>
              <w:rPr>
                <w:color w:val="000000"/>
                <w:sz w:val="24"/>
              </w:rPr>
              <w:t>5</w:t>
            </w:r>
          </w:p>
        </w:tc>
        <w:tc>
          <w:tcPr>
            <w:tcW w:w="0" w:type="auto"/>
            <w:vAlign w:val="center"/>
          </w:tcPr>
          <w:p w:rsidR="00C37626" w:rsidRDefault="000978DF">
            <w:pPr>
              <w:jc w:val="center"/>
            </w:pPr>
            <w:r>
              <w:rPr>
                <w:color w:val="000000"/>
                <w:sz w:val="24"/>
              </w:rPr>
              <w:t>190208</w:t>
            </w:r>
          </w:p>
        </w:tc>
        <w:tc>
          <w:tcPr>
            <w:tcW w:w="0" w:type="auto"/>
            <w:vAlign w:val="center"/>
          </w:tcPr>
          <w:p w:rsidR="00C37626" w:rsidRDefault="000978DF">
            <w:pPr>
              <w:jc w:val="center"/>
            </w:pPr>
            <w:r>
              <w:rPr>
                <w:color w:val="000000"/>
                <w:sz w:val="24"/>
              </w:rPr>
              <w:t>19</w:t>
            </w:r>
            <w:r>
              <w:rPr>
                <w:color w:val="000000"/>
                <w:sz w:val="24"/>
              </w:rPr>
              <w:t>国开</w:t>
            </w:r>
            <w:r>
              <w:rPr>
                <w:color w:val="000000"/>
                <w:sz w:val="24"/>
              </w:rPr>
              <w:t>08</w:t>
            </w:r>
          </w:p>
        </w:tc>
        <w:tc>
          <w:tcPr>
            <w:tcW w:w="0" w:type="auto"/>
            <w:vAlign w:val="center"/>
          </w:tcPr>
          <w:p w:rsidR="00C37626" w:rsidRDefault="000978DF">
            <w:pPr>
              <w:jc w:val="right"/>
            </w:pPr>
            <w:r>
              <w:rPr>
                <w:color w:val="000000"/>
                <w:sz w:val="24"/>
              </w:rPr>
              <w:t>200,000</w:t>
            </w:r>
          </w:p>
        </w:tc>
        <w:tc>
          <w:tcPr>
            <w:tcW w:w="0" w:type="auto"/>
            <w:vAlign w:val="center"/>
          </w:tcPr>
          <w:p w:rsidR="00C37626" w:rsidRDefault="000978DF">
            <w:pPr>
              <w:jc w:val="right"/>
            </w:pPr>
            <w:r>
              <w:rPr>
                <w:color w:val="000000"/>
                <w:sz w:val="24"/>
              </w:rPr>
              <w:t>20,668,000.00</w:t>
            </w:r>
          </w:p>
        </w:tc>
        <w:tc>
          <w:tcPr>
            <w:tcW w:w="0" w:type="auto"/>
            <w:vAlign w:val="center"/>
          </w:tcPr>
          <w:p w:rsidR="00C37626" w:rsidRDefault="000978DF">
            <w:pPr>
              <w:jc w:val="right"/>
            </w:pPr>
            <w:r>
              <w:rPr>
                <w:color w:val="000000"/>
                <w:sz w:val="24"/>
              </w:rPr>
              <w:t>4.69</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5.6</w:t>
      </w:r>
      <w:r w:rsidRPr="0078105B">
        <w:rPr>
          <w:rFonts w:ascii="宋体" w:hAnsi="宋体" w:cs="Arial" w:hint="eastAsia"/>
          <w:b/>
          <w:color w:val="000000"/>
          <w:kern w:val="0"/>
          <w:sz w:val="24"/>
        </w:rPr>
        <w:t xml:space="preserve">　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的前十名资产支持证券投资明细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本基金本报告期末未持有资产支持证券。</w:t>
      </w:r>
    </w:p>
    <w:p w:rsidR="00F016DD" w:rsidRPr="001D63BB" w:rsidRDefault="00F016DD" w:rsidP="006D462B">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本基金本报告期末未持有贵金属。</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Pr>
          <w:rFonts w:ascii="宋体" w:hAnsi="宋体" w:cs="Arial"/>
          <w:b/>
          <w:color w:val="000000"/>
          <w:kern w:val="0"/>
          <w:sz w:val="24"/>
        </w:rPr>
        <w:t>5</w:t>
      </w:r>
      <w:r w:rsidRPr="0078105B">
        <w:rPr>
          <w:rFonts w:ascii="宋体" w:cs="Arial"/>
          <w:b/>
          <w:color w:val="000000"/>
          <w:kern w:val="0"/>
          <w:sz w:val="24"/>
        </w:rPr>
        <w:t>.</w:t>
      </w:r>
      <w:r>
        <w:rPr>
          <w:rFonts w:ascii="宋体" w:hAnsi="宋体" w:cs="Arial"/>
          <w:b/>
          <w:color w:val="000000"/>
          <w:kern w:val="0"/>
          <w:sz w:val="24"/>
        </w:rPr>
        <w:t>8</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的前五名权证投资明细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本基金本报告期末未持有权证。</w:t>
      </w:r>
    </w:p>
    <w:p w:rsidR="00F016DD" w:rsidRPr="00E85E29" w:rsidRDefault="00F016DD" w:rsidP="001D5CD0">
      <w:pPr>
        <w:adjustRightInd w:val="0"/>
        <w:snapToGrid w:val="0"/>
        <w:spacing w:line="360" w:lineRule="auto"/>
        <w:rPr>
          <w:rFonts w:ascii="宋体"/>
          <w:b/>
          <w:sz w:val="24"/>
        </w:rPr>
      </w:pPr>
      <w:r>
        <w:rPr>
          <w:rFonts w:ascii="宋体" w:hAnsi="宋体"/>
          <w:b/>
          <w:sz w:val="24"/>
        </w:rPr>
        <w:t>5.</w:t>
      </w:r>
      <w:r w:rsidRPr="00E85E29">
        <w:rPr>
          <w:rFonts w:ascii="宋体"/>
          <w:b/>
          <w:sz w:val="24"/>
        </w:rPr>
        <w:t>9</w:t>
      </w:r>
      <w:r w:rsidRPr="00E85E29">
        <w:rPr>
          <w:rFonts w:ascii="宋体" w:hAnsi="宋体" w:hint="eastAsia"/>
          <w:b/>
          <w:sz w:val="24"/>
        </w:rPr>
        <w:t>报告期末本基金投资的股指期货交易情况说明</w:t>
      </w:r>
    </w:p>
    <w:p w:rsidR="001F60E9" w:rsidRDefault="001F60E9" w:rsidP="001F60E9">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F016DD" w:rsidRPr="00E85E29" w:rsidRDefault="00F016DD" w:rsidP="001D5CD0">
      <w:pPr>
        <w:adjustRightInd w:val="0"/>
        <w:snapToGrid w:val="0"/>
        <w:spacing w:line="360" w:lineRule="auto"/>
        <w:rPr>
          <w:rFonts w:ascii="宋体"/>
          <w:b/>
          <w:sz w:val="24"/>
        </w:rPr>
      </w:pPr>
      <w:r w:rsidRPr="00E85E29">
        <w:rPr>
          <w:rFonts w:ascii="宋体" w:hAnsi="宋体"/>
          <w:b/>
          <w:sz w:val="24"/>
        </w:rPr>
        <w:t>5.10</w:t>
      </w:r>
      <w:r w:rsidRPr="00E85E29">
        <w:rPr>
          <w:rFonts w:ascii="宋体" w:hAnsi="宋体" w:hint="eastAsia"/>
          <w:b/>
          <w:sz w:val="24"/>
        </w:rPr>
        <w:t>报告期末本基金投资的国债期货交易情况说明</w:t>
      </w:r>
    </w:p>
    <w:p w:rsidR="00B249C0" w:rsidRDefault="00B249C0" w:rsidP="00B249C0">
      <w:pPr>
        <w:spacing w:line="360" w:lineRule="auto"/>
        <w:ind w:firstLineChars="200" w:firstLine="480"/>
      </w:pPr>
      <w:r>
        <w:rPr>
          <w:color w:val="000000"/>
          <w:sz w:val="24"/>
        </w:rPr>
        <w:t>本基金本报告期末未投资国债期货。</w:t>
      </w:r>
    </w:p>
    <w:p w:rsidR="00F016DD" w:rsidRPr="00E85E29" w:rsidRDefault="00F016DD" w:rsidP="001D5CD0">
      <w:pPr>
        <w:autoSpaceDE w:val="0"/>
        <w:autoSpaceDN w:val="0"/>
        <w:adjustRightInd w:val="0"/>
        <w:spacing w:line="360" w:lineRule="auto"/>
        <w:jc w:val="left"/>
        <w:rPr>
          <w:rFonts w:ascii="宋体" w:cs="Arial"/>
          <w:b/>
          <w:kern w:val="0"/>
          <w:sz w:val="24"/>
        </w:rPr>
      </w:pPr>
      <w:r w:rsidRPr="00E85E29">
        <w:rPr>
          <w:rFonts w:ascii="宋体" w:hAnsi="宋体" w:cs="Arial"/>
          <w:b/>
          <w:kern w:val="0"/>
          <w:sz w:val="24"/>
        </w:rPr>
        <w:t>5.11</w:t>
      </w:r>
      <w:r w:rsidRPr="00E85E29">
        <w:rPr>
          <w:rFonts w:ascii="宋体" w:hAnsi="宋体" w:cs="Arial" w:hint="eastAsia"/>
          <w:b/>
          <w:kern w:val="0"/>
          <w:sz w:val="24"/>
        </w:rPr>
        <w:t>投资组合报告附注</w:t>
      </w:r>
    </w:p>
    <w:p w:rsidR="00F016DD" w:rsidRPr="00414367" w:rsidRDefault="00F016DD" w:rsidP="006456D3">
      <w:pPr>
        <w:widowControl/>
        <w:spacing w:line="360" w:lineRule="auto"/>
        <w:rPr>
          <w:color w:val="000000"/>
          <w:sz w:val="24"/>
        </w:rPr>
      </w:pPr>
      <w:r w:rsidRPr="00414367">
        <w:rPr>
          <w:color w:val="000000"/>
          <w:sz w:val="24"/>
        </w:rPr>
        <w:t>5.11.1</w:t>
      </w:r>
      <w:r w:rsidR="00293065">
        <w:rPr>
          <w:rFonts w:hint="eastAsia"/>
          <w:color w:val="000000"/>
          <w:sz w:val="24"/>
        </w:rPr>
        <w:t xml:space="preserve"> </w:t>
      </w:r>
      <w:r w:rsidRPr="00414367">
        <w:rPr>
          <w:color w:val="000000"/>
          <w:sz w:val="24"/>
        </w:rPr>
        <w:t>本基金投资的前十名证券的发行主体本期没有出现被监管部门立案调查，或在报告编制日前一年内受到公开谴责、处罚的情形。</w:t>
      </w:r>
    </w:p>
    <w:p w:rsidR="00F016DD" w:rsidRPr="00414367" w:rsidRDefault="00F016DD" w:rsidP="006456D3">
      <w:pPr>
        <w:widowControl/>
        <w:spacing w:line="360" w:lineRule="auto"/>
        <w:rPr>
          <w:color w:val="000000"/>
          <w:sz w:val="24"/>
        </w:rPr>
      </w:pPr>
      <w:r w:rsidRPr="00414367">
        <w:rPr>
          <w:color w:val="000000"/>
          <w:sz w:val="24"/>
        </w:rPr>
        <w:t>5.11.2</w:t>
      </w:r>
      <w:r w:rsidR="00293065">
        <w:rPr>
          <w:rFonts w:hint="eastAsia"/>
          <w:color w:val="000000"/>
          <w:sz w:val="24"/>
        </w:rPr>
        <w:t xml:space="preserve"> </w:t>
      </w:r>
      <w:r w:rsidRPr="00414367">
        <w:rPr>
          <w:color w:val="000000"/>
          <w:sz w:val="24"/>
        </w:rPr>
        <w:t>本基金本报告期没有投资股票，因此不存在投资的前十名股票超出基金合同规定的备选股票库情况。</w:t>
      </w:r>
    </w:p>
    <w:p w:rsidR="00F016DD" w:rsidRPr="00414367" w:rsidRDefault="00F016DD" w:rsidP="001D5CD0">
      <w:pPr>
        <w:autoSpaceDE w:val="0"/>
        <w:autoSpaceDN w:val="0"/>
        <w:adjustRightInd w:val="0"/>
        <w:spacing w:line="360" w:lineRule="auto"/>
        <w:rPr>
          <w:kern w:val="0"/>
          <w:sz w:val="24"/>
        </w:rPr>
      </w:pPr>
      <w:r w:rsidRPr="00414367">
        <w:rPr>
          <w:kern w:val="0"/>
          <w:sz w:val="24"/>
        </w:rPr>
        <w:t>5.11.3</w:t>
      </w:r>
      <w:r w:rsidRPr="00414367">
        <w:rPr>
          <w:kern w:val="0"/>
          <w:sz w:val="24"/>
        </w:rPr>
        <w:t>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761"/>
        <w:gridCol w:w="4808"/>
      </w:tblGrid>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序号</w:t>
            </w:r>
          </w:p>
        </w:tc>
        <w:tc>
          <w:tcPr>
            <w:tcW w:w="2761"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名称</w:t>
            </w:r>
          </w:p>
        </w:tc>
        <w:tc>
          <w:tcPr>
            <w:tcW w:w="4808"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金额</w:t>
            </w:r>
            <w:r w:rsidRPr="00FA472B">
              <w:rPr>
                <w:color w:val="000000"/>
                <w:kern w:val="0"/>
                <w:sz w:val="24"/>
              </w:rPr>
              <w:t>(</w:t>
            </w:r>
            <w:r w:rsidRPr="00FA472B">
              <w:rPr>
                <w:color w:val="000000"/>
                <w:kern w:val="0"/>
                <w:sz w:val="24"/>
              </w:rPr>
              <w:t>元</w:t>
            </w: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kern w:val="0"/>
                <w:sz w:val="24"/>
              </w:rPr>
            </w:pPr>
            <w:r w:rsidRPr="00FA472B">
              <w:rPr>
                <w:color w:val="000000"/>
                <w:sz w:val="24"/>
              </w:rPr>
              <w:t>1</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存出保证金</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724.12</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2</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应收证券清算款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3</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应收股利</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4</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应收利息</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8,097,508.01</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5</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应收申购款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2,487,120.31</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6</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其他应收款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7</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sz w:val="24"/>
              </w:rPr>
            </w:pPr>
            <w:r w:rsidRPr="00FA472B">
              <w:rPr>
                <w:color w:val="000000"/>
                <w:sz w:val="24"/>
              </w:rPr>
              <w:t>待摊费用</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sz w:val="24"/>
              </w:rPr>
            </w:pPr>
            <w:r w:rsidRPr="00FA472B">
              <w:rPr>
                <w:color w:val="00000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8</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9</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合计</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10,585,352.44</w:t>
            </w:r>
          </w:p>
        </w:tc>
      </w:tr>
    </w:tbl>
    <w:p w:rsidR="00F016DD" w:rsidRPr="00E7356F" w:rsidRDefault="00F016DD" w:rsidP="001D5CD0">
      <w:pPr>
        <w:autoSpaceDE w:val="0"/>
        <w:autoSpaceDN w:val="0"/>
        <w:adjustRightInd w:val="0"/>
        <w:spacing w:line="360" w:lineRule="auto"/>
        <w:jc w:val="left"/>
        <w:rPr>
          <w:rFonts w:ascii="宋体" w:cs="Arial"/>
          <w:kern w:val="0"/>
          <w:sz w:val="24"/>
        </w:rPr>
      </w:pPr>
      <w:r w:rsidRPr="00E7356F">
        <w:rPr>
          <w:rFonts w:ascii="宋体" w:hAnsi="宋体" w:cs="Arial"/>
          <w:kern w:val="0"/>
          <w:sz w:val="24"/>
        </w:rPr>
        <w:t>5.11.4</w:t>
      </w:r>
      <w:r w:rsidRPr="00E7356F">
        <w:rPr>
          <w:rFonts w:ascii="宋体" w:hAnsi="宋体" w:cs="Arial" w:hint="eastAsia"/>
          <w:kern w:val="0"/>
          <w:sz w:val="24"/>
        </w:rPr>
        <w:t>报告期末持有的处于转股期的可转换债券明细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本基金本报告期末未持有处于转股期的可转换债券。</w:t>
      </w:r>
    </w:p>
    <w:p w:rsidR="00F016DD" w:rsidRPr="00E7356F" w:rsidRDefault="00F016DD" w:rsidP="001D5CD0">
      <w:pPr>
        <w:autoSpaceDE w:val="0"/>
        <w:autoSpaceDN w:val="0"/>
        <w:adjustRightInd w:val="0"/>
        <w:spacing w:line="360" w:lineRule="auto"/>
        <w:jc w:val="left"/>
        <w:rPr>
          <w:rFonts w:ascii="宋体"/>
          <w:bCs/>
          <w:sz w:val="24"/>
        </w:rPr>
      </w:pPr>
      <w:r w:rsidRPr="00E7356F">
        <w:rPr>
          <w:rFonts w:ascii="宋体" w:hAnsi="宋体" w:cs="Arial"/>
          <w:kern w:val="0"/>
          <w:sz w:val="24"/>
        </w:rPr>
        <w:t>5.11.5</w:t>
      </w:r>
      <w:r w:rsidRPr="00E7356F">
        <w:rPr>
          <w:rFonts w:ascii="宋体" w:hAnsi="宋体" w:hint="eastAsia"/>
          <w:bCs/>
          <w:sz w:val="24"/>
        </w:rPr>
        <w:t>报告期末前十名股票中存在流通受限情况的说明</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本基金本报告期末未持有股票。</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6  </w:t>
      </w:r>
      <w:r w:rsidRPr="0078105B">
        <w:rPr>
          <w:rFonts w:ascii="宋体" w:hAnsi="宋体" w:cs="Arial" w:hint="eastAsia"/>
          <w:color w:val="000000"/>
          <w:kern w:val="0"/>
          <w:sz w:val="24"/>
          <w:szCs w:val="24"/>
        </w:rPr>
        <w:t>开放式基金份额变动</w:t>
      </w:r>
    </w:p>
    <w:p w:rsidR="00F016DD" w:rsidRPr="00FA472B" w:rsidRDefault="00F016DD" w:rsidP="00302187">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单位：份</w:t>
      </w:r>
    </w:p>
    <w:tbl>
      <w:tblPr>
        <w:tblW w:w="0" w:type="auto"/>
        <w:tblInd w:w="-106" w:type="dxa"/>
        <w:tblLayout w:type="fixed"/>
        <w:tblLook w:val="0000" w:firstRow="0" w:lastRow="0" w:firstColumn="0" w:lastColumn="0" w:noHBand="0" w:noVBand="0"/>
      </w:tblPr>
      <w:tblGrid>
        <w:gridCol w:w="3900"/>
        <w:gridCol w:w="2367"/>
        <w:gridCol w:w="2367"/>
      </w:tblGrid>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B84643">
            <w:pPr>
              <w:autoSpaceDE w:val="0"/>
              <w:autoSpaceDN w:val="0"/>
              <w:adjustRightInd w:val="0"/>
              <w:spacing w:before="29" w:line="360" w:lineRule="auto"/>
              <w:ind w:left="17"/>
              <w:jc w:val="center"/>
              <w:rPr>
                <w:color w:val="000000"/>
                <w:kern w:val="0"/>
                <w:sz w:val="24"/>
              </w:rPr>
            </w:pPr>
            <w:r w:rsidRPr="00FA472B">
              <w:rPr>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sz w:val="24"/>
              </w:rPr>
              <w:t>易方达中债新综指发起式（</w:t>
            </w:r>
            <w:r w:rsidRPr="00FA472B">
              <w:rPr>
                <w:sz w:val="24"/>
              </w:rPr>
              <w:t>LOF</w:t>
            </w:r>
            <w:r w:rsidRPr="00FA472B">
              <w:rPr>
                <w:sz w:val="24"/>
              </w:rPr>
              <w:t>）</w:t>
            </w:r>
            <w:r w:rsidRPr="00FA472B">
              <w:rPr>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sz w:val="24"/>
              </w:rPr>
              <w:t>易方达中债新综指发起式（</w:t>
            </w:r>
            <w:r w:rsidRPr="00FA472B">
              <w:rPr>
                <w:sz w:val="24"/>
              </w:rPr>
              <w:t>LOF</w:t>
            </w:r>
            <w:r w:rsidRPr="00FA472B">
              <w:rPr>
                <w:sz w:val="24"/>
              </w:rPr>
              <w:t>）</w:t>
            </w:r>
            <w:r w:rsidRPr="00FA472B">
              <w:rPr>
                <w:sz w:val="24"/>
              </w:rPr>
              <w:t>C</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183,626,804.01</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26,233,980.55</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130,423,144.72</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36,455,967.63</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49,712,873.11</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19,481,995.27</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报告期基金拆分变动份额</w:t>
            </w:r>
            <w:r w:rsidR="009533AD" w:rsidRPr="009533AD">
              <w:rPr>
                <w:rFonts w:hint="eastAsia"/>
                <w:color w:val="000000"/>
                <w:kern w:val="0"/>
                <w:sz w:val="24"/>
              </w:rPr>
              <w:t>（份额减少以“</w:t>
            </w:r>
            <w:r w:rsidR="009533AD" w:rsidRPr="009533AD">
              <w:rPr>
                <w:rFonts w:hint="eastAsia"/>
                <w:color w:val="000000"/>
                <w:kern w:val="0"/>
                <w:sz w:val="24"/>
              </w:rPr>
              <w:t>-</w:t>
            </w:r>
            <w:r w:rsidR="009533AD" w:rsidRPr="009533AD">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B57BCF">
            <w:pPr>
              <w:autoSpaceDE w:val="0"/>
              <w:autoSpaceDN w:val="0"/>
              <w:adjustRightInd w:val="0"/>
              <w:spacing w:before="29" w:line="360" w:lineRule="auto"/>
              <w:ind w:left="17"/>
              <w:jc w:val="right"/>
              <w:rPr>
                <w:color w:val="000000"/>
                <w:sz w:val="24"/>
              </w:rPr>
            </w:pPr>
            <w:r w:rsidRPr="00FA472B">
              <w:rPr>
                <w:color w:val="000000"/>
                <w:sz w:val="24"/>
              </w:rPr>
              <w:t>264,337,075.62</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43,207,952.91</w:t>
            </w:r>
          </w:p>
        </w:tc>
      </w:tr>
    </w:tbl>
    <w:p w:rsidR="00F016DD" w:rsidRDefault="00F016DD" w:rsidP="00B54884">
      <w:pPr>
        <w:pStyle w:val="1"/>
        <w:tabs>
          <w:tab w:val="center" w:pos="4156"/>
          <w:tab w:val="right" w:pos="8312"/>
        </w:tabs>
        <w:spacing w:beforeLines="100" w:before="312" w:afterLines="100" w:after="312" w:line="360" w:lineRule="auto"/>
        <w:jc w:val="center"/>
        <w:rPr>
          <w:rFonts w:ascii="方正仿宋简体"/>
          <w:sz w:val="24"/>
          <w:szCs w:val="24"/>
        </w:rPr>
      </w:pPr>
      <w:r w:rsidRPr="00AB67DE">
        <w:rPr>
          <w:rFonts w:ascii="宋体" w:hAnsi="宋体" w:cs="Arial" w:hint="eastAsia"/>
          <w:color w:val="000000"/>
          <w:kern w:val="0"/>
          <w:sz w:val="24"/>
          <w:szCs w:val="24"/>
        </w:rPr>
        <w:t>§</w:t>
      </w:r>
      <w:r w:rsidRPr="00AB67DE">
        <w:rPr>
          <w:rFonts w:ascii="宋体" w:cs="Arial"/>
          <w:color w:val="000000"/>
          <w:kern w:val="0"/>
          <w:sz w:val="24"/>
          <w:szCs w:val="24"/>
        </w:rPr>
        <w:t>7</w:t>
      </w:r>
      <w:r w:rsidR="0066098B" w:rsidRPr="0078105B">
        <w:rPr>
          <w:rFonts w:ascii="宋体" w:hAnsi="宋体" w:cs="Arial"/>
          <w:color w:val="000000"/>
          <w:kern w:val="0"/>
          <w:sz w:val="24"/>
          <w:szCs w:val="24"/>
        </w:rPr>
        <w:t xml:space="preserve">  </w:t>
      </w:r>
      <w:r w:rsidRPr="0016464C">
        <w:rPr>
          <w:rFonts w:ascii="方正仿宋简体" w:hint="eastAsia"/>
          <w:sz w:val="24"/>
          <w:szCs w:val="24"/>
        </w:rPr>
        <w:t>基金管理人运用固有资金投资本基金情况</w:t>
      </w:r>
    </w:p>
    <w:p w:rsidR="00F016DD" w:rsidRPr="00B76BBB" w:rsidRDefault="00F016DD" w:rsidP="00935FB1">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CC78C7" w:rsidRPr="00266D4B" w:rsidRDefault="00CC78C7" w:rsidP="00CC78C7">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67"/>
        <w:gridCol w:w="2616"/>
        <w:gridCol w:w="2631"/>
      </w:tblGrid>
      <w:tr w:rsidR="00CC78C7" w:rsidRPr="00E90B39" w:rsidTr="00964538">
        <w:trPr>
          <w:trHeight w:val="248"/>
        </w:trPr>
        <w:tc>
          <w:tcPr>
            <w:tcW w:w="3167" w:type="dxa"/>
            <w:vAlign w:val="center"/>
          </w:tcPr>
          <w:p w:rsidR="00CC78C7" w:rsidRPr="00FA472B" w:rsidRDefault="00CC78C7" w:rsidP="00964538">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rsidR="00CC78C7" w:rsidRPr="00FA472B" w:rsidRDefault="00CC78C7" w:rsidP="00964538">
            <w:pPr>
              <w:jc w:val="center"/>
              <w:rPr>
                <w:sz w:val="24"/>
              </w:rPr>
            </w:pPr>
            <w:r w:rsidRPr="00FA472B">
              <w:rPr>
                <w:sz w:val="24"/>
              </w:rPr>
              <w:t>易方达中债新综指发起式（</w:t>
            </w:r>
            <w:r w:rsidRPr="00FA472B">
              <w:rPr>
                <w:sz w:val="24"/>
              </w:rPr>
              <w:t>LOF</w:t>
            </w:r>
            <w:r w:rsidRPr="00FA472B">
              <w:rPr>
                <w:sz w:val="24"/>
              </w:rPr>
              <w:t>）</w:t>
            </w:r>
            <w:r w:rsidRPr="00FA472B">
              <w:rPr>
                <w:sz w:val="24"/>
              </w:rPr>
              <w:t>A</w:t>
            </w:r>
          </w:p>
        </w:tc>
        <w:tc>
          <w:tcPr>
            <w:tcW w:w="2631" w:type="dxa"/>
            <w:vAlign w:val="bottom"/>
          </w:tcPr>
          <w:p w:rsidR="00CC78C7" w:rsidRPr="00FA472B" w:rsidRDefault="00CC78C7" w:rsidP="00964538">
            <w:pPr>
              <w:jc w:val="center"/>
              <w:rPr>
                <w:sz w:val="24"/>
              </w:rPr>
            </w:pPr>
            <w:r w:rsidRPr="00FA472B">
              <w:rPr>
                <w:sz w:val="24"/>
              </w:rPr>
              <w:t>易方达中债新综指发起式（</w:t>
            </w:r>
            <w:r w:rsidRPr="00FA472B">
              <w:rPr>
                <w:sz w:val="24"/>
              </w:rPr>
              <w:t>LOF</w:t>
            </w:r>
            <w:r w:rsidRPr="00FA472B">
              <w:rPr>
                <w:sz w:val="24"/>
              </w:rPr>
              <w:t>）</w:t>
            </w:r>
            <w:r w:rsidRPr="00FA472B">
              <w:rPr>
                <w:sz w:val="24"/>
              </w:rPr>
              <w:t>C</w:t>
            </w:r>
          </w:p>
        </w:tc>
      </w:tr>
      <w:tr w:rsidR="00CC78C7" w:rsidRPr="00E90B39" w:rsidTr="00964538">
        <w:trPr>
          <w:trHeight w:val="247"/>
        </w:trPr>
        <w:tc>
          <w:tcPr>
            <w:tcW w:w="3167" w:type="dxa"/>
            <w:vAlign w:val="center"/>
          </w:tcPr>
          <w:p w:rsidR="00CC78C7" w:rsidRPr="00FA472B" w:rsidRDefault="00CC78C7" w:rsidP="00964538">
            <w:pPr>
              <w:pStyle w:val="ac"/>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rsidR="00CC78C7" w:rsidRPr="00FA472B" w:rsidRDefault="00CC78C7" w:rsidP="00964538">
            <w:pPr>
              <w:jc w:val="right"/>
              <w:rPr>
                <w:sz w:val="24"/>
              </w:rPr>
            </w:pPr>
            <w:r w:rsidRPr="00FA472B">
              <w:rPr>
                <w:color w:val="000000"/>
                <w:sz w:val="24"/>
              </w:rPr>
              <w:t>29,709,723.72</w:t>
            </w:r>
          </w:p>
        </w:tc>
        <w:tc>
          <w:tcPr>
            <w:tcW w:w="2631" w:type="dxa"/>
            <w:vAlign w:val="center"/>
          </w:tcPr>
          <w:p w:rsidR="00CC78C7" w:rsidRPr="00FA472B" w:rsidRDefault="00CC78C7" w:rsidP="00964538">
            <w:pPr>
              <w:jc w:val="right"/>
              <w:rPr>
                <w:sz w:val="24"/>
              </w:rPr>
            </w:pPr>
            <w:r w:rsidRPr="00FA472B">
              <w:rPr>
                <w:color w:val="000000"/>
                <w:sz w:val="24"/>
              </w:rPr>
              <w:t>-</w:t>
            </w:r>
          </w:p>
        </w:tc>
      </w:tr>
      <w:tr w:rsidR="00CC78C7" w:rsidRPr="00E90B39" w:rsidTr="00964538">
        <w:tc>
          <w:tcPr>
            <w:tcW w:w="3167" w:type="dxa"/>
            <w:vAlign w:val="center"/>
          </w:tcPr>
          <w:p w:rsidR="00CC78C7" w:rsidRPr="00FA472B" w:rsidRDefault="00CC78C7" w:rsidP="00964538">
            <w:pPr>
              <w:adjustRightInd w:val="0"/>
              <w:snapToGrid w:val="0"/>
              <w:spacing w:line="360" w:lineRule="exact"/>
              <w:rPr>
                <w:color w:val="000000"/>
                <w:sz w:val="24"/>
              </w:rPr>
            </w:pPr>
            <w:r w:rsidRPr="003B42FF">
              <w:rPr>
                <w:rFonts w:eastAsiaTheme="minorEastAsia"/>
                <w:color w:val="000000" w:themeColor="text1"/>
                <w:kern w:val="0"/>
                <w:sz w:val="24"/>
              </w:rPr>
              <w:t>报告期</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rsidR="00CC78C7" w:rsidRPr="00FA472B" w:rsidRDefault="00CC78C7" w:rsidP="00964538">
            <w:pPr>
              <w:jc w:val="right"/>
              <w:rPr>
                <w:color w:val="000000"/>
                <w:kern w:val="0"/>
                <w:sz w:val="24"/>
              </w:rPr>
            </w:pPr>
            <w:r w:rsidRPr="00FA472B">
              <w:rPr>
                <w:color w:val="000000"/>
                <w:sz w:val="24"/>
              </w:rPr>
              <w:t>-</w:t>
            </w:r>
          </w:p>
        </w:tc>
        <w:tc>
          <w:tcPr>
            <w:tcW w:w="2631" w:type="dxa"/>
            <w:vAlign w:val="center"/>
          </w:tcPr>
          <w:p w:rsidR="00CC78C7" w:rsidRPr="00FA472B" w:rsidRDefault="00CC78C7" w:rsidP="00964538">
            <w:pPr>
              <w:jc w:val="right"/>
              <w:rPr>
                <w:color w:val="000000"/>
                <w:kern w:val="0"/>
                <w:sz w:val="24"/>
              </w:rPr>
            </w:pPr>
            <w:r w:rsidRPr="00FA472B">
              <w:rPr>
                <w:color w:val="000000"/>
                <w:sz w:val="24"/>
              </w:rPr>
              <w:t>-</w:t>
            </w:r>
          </w:p>
        </w:tc>
      </w:tr>
      <w:tr w:rsidR="00CC78C7" w:rsidRPr="00E90B39" w:rsidTr="00964538">
        <w:tc>
          <w:tcPr>
            <w:tcW w:w="3167" w:type="dxa"/>
            <w:vAlign w:val="center"/>
          </w:tcPr>
          <w:p w:rsidR="00CC78C7" w:rsidRPr="00FA472B" w:rsidRDefault="00CC78C7" w:rsidP="00964538">
            <w:pPr>
              <w:adjustRightInd w:val="0"/>
              <w:snapToGrid w:val="0"/>
              <w:spacing w:line="360" w:lineRule="exact"/>
              <w:rPr>
                <w:color w:val="000000"/>
                <w:sz w:val="24"/>
              </w:rPr>
            </w:pPr>
            <w:r w:rsidRPr="003B42FF">
              <w:rPr>
                <w:rFonts w:eastAsiaTheme="minorEastAsia"/>
                <w:color w:val="000000" w:themeColor="text1"/>
                <w:kern w:val="0"/>
                <w:sz w:val="24"/>
              </w:rPr>
              <w:t>报告期</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rsidR="00CC78C7" w:rsidRPr="00FA472B" w:rsidRDefault="00CC78C7" w:rsidP="00964538">
            <w:pPr>
              <w:jc w:val="right"/>
              <w:rPr>
                <w:color w:val="000000"/>
                <w:kern w:val="0"/>
                <w:sz w:val="24"/>
              </w:rPr>
            </w:pPr>
            <w:r w:rsidRPr="00FA472B">
              <w:rPr>
                <w:color w:val="000000"/>
                <w:sz w:val="24"/>
              </w:rPr>
              <w:t>-</w:t>
            </w:r>
          </w:p>
        </w:tc>
        <w:tc>
          <w:tcPr>
            <w:tcW w:w="2631" w:type="dxa"/>
            <w:vAlign w:val="center"/>
          </w:tcPr>
          <w:p w:rsidR="00CC78C7" w:rsidRPr="00FA472B" w:rsidRDefault="00CC78C7" w:rsidP="00964538">
            <w:pPr>
              <w:jc w:val="right"/>
              <w:rPr>
                <w:color w:val="000000"/>
                <w:kern w:val="0"/>
                <w:sz w:val="24"/>
              </w:rPr>
            </w:pPr>
            <w:r w:rsidRPr="00FA472B">
              <w:rPr>
                <w:color w:val="000000"/>
                <w:sz w:val="24"/>
              </w:rPr>
              <w:t>-</w:t>
            </w:r>
          </w:p>
        </w:tc>
      </w:tr>
      <w:tr w:rsidR="00CC78C7" w:rsidRPr="00E90B39" w:rsidTr="00964538">
        <w:tc>
          <w:tcPr>
            <w:tcW w:w="3167" w:type="dxa"/>
            <w:vAlign w:val="center"/>
          </w:tcPr>
          <w:p w:rsidR="00CC78C7" w:rsidRPr="00FA472B" w:rsidRDefault="00CC78C7" w:rsidP="00964538">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rsidR="00CC78C7" w:rsidRPr="00FA472B" w:rsidRDefault="00CC78C7" w:rsidP="00964538">
            <w:pPr>
              <w:jc w:val="right"/>
              <w:rPr>
                <w:sz w:val="24"/>
              </w:rPr>
            </w:pPr>
            <w:r w:rsidRPr="00FA472B">
              <w:rPr>
                <w:color w:val="000000"/>
                <w:sz w:val="24"/>
              </w:rPr>
              <w:t>29,709,723.72</w:t>
            </w:r>
          </w:p>
        </w:tc>
        <w:tc>
          <w:tcPr>
            <w:tcW w:w="2631" w:type="dxa"/>
            <w:vAlign w:val="center"/>
          </w:tcPr>
          <w:p w:rsidR="00CC78C7" w:rsidRPr="00FA472B" w:rsidRDefault="00CC78C7" w:rsidP="00964538">
            <w:pPr>
              <w:jc w:val="right"/>
              <w:rPr>
                <w:sz w:val="24"/>
              </w:rPr>
            </w:pPr>
            <w:r w:rsidRPr="00FA472B">
              <w:rPr>
                <w:color w:val="000000"/>
                <w:sz w:val="24"/>
              </w:rPr>
              <w:t>-</w:t>
            </w:r>
          </w:p>
        </w:tc>
      </w:tr>
      <w:tr w:rsidR="00CC78C7" w:rsidRPr="00E90B39" w:rsidTr="00964538">
        <w:tc>
          <w:tcPr>
            <w:tcW w:w="3167" w:type="dxa"/>
            <w:vAlign w:val="center"/>
          </w:tcPr>
          <w:p w:rsidR="00CC78C7" w:rsidRPr="00FA472B" w:rsidRDefault="00CC78C7" w:rsidP="00964538">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2616" w:type="dxa"/>
            <w:vAlign w:val="center"/>
          </w:tcPr>
          <w:p w:rsidR="00CC78C7" w:rsidRPr="00FA472B" w:rsidRDefault="00CC78C7" w:rsidP="00964538">
            <w:pPr>
              <w:jc w:val="right"/>
              <w:rPr>
                <w:color w:val="000000"/>
                <w:kern w:val="0"/>
                <w:sz w:val="24"/>
              </w:rPr>
            </w:pPr>
            <w:r w:rsidRPr="00FA472B">
              <w:rPr>
                <w:color w:val="000000"/>
                <w:sz w:val="24"/>
              </w:rPr>
              <w:t>11.2393</w:t>
            </w:r>
          </w:p>
        </w:tc>
        <w:tc>
          <w:tcPr>
            <w:tcW w:w="2631" w:type="dxa"/>
            <w:vAlign w:val="center"/>
          </w:tcPr>
          <w:p w:rsidR="00CC78C7" w:rsidRPr="00FA472B" w:rsidRDefault="00CC78C7" w:rsidP="00964538">
            <w:pPr>
              <w:jc w:val="right"/>
              <w:rPr>
                <w:color w:val="000000"/>
                <w:kern w:val="0"/>
                <w:sz w:val="24"/>
              </w:rPr>
            </w:pPr>
            <w:r w:rsidRPr="00FA472B">
              <w:rPr>
                <w:color w:val="000000"/>
                <w:sz w:val="24"/>
              </w:rPr>
              <w:t>-</w:t>
            </w:r>
          </w:p>
        </w:tc>
      </w:tr>
    </w:tbl>
    <w:p w:rsidR="00F016DD" w:rsidRPr="00B76BBB" w:rsidRDefault="00F016DD" w:rsidP="00935FB1">
      <w:pPr>
        <w:spacing w:line="360" w:lineRule="auto"/>
        <w:jc w:val="left"/>
        <w:rPr>
          <w:sz w:val="24"/>
        </w:rPr>
      </w:pPr>
      <w:r>
        <w:rPr>
          <w:b/>
          <w:sz w:val="24"/>
        </w:rPr>
        <w:t xml:space="preserve">7.2 </w:t>
      </w:r>
      <w:r>
        <w:rPr>
          <w:rFonts w:hint="eastAsia"/>
          <w:b/>
          <w:sz w:val="24"/>
        </w:rPr>
        <w:t>基</w:t>
      </w:r>
      <w:r w:rsidRPr="00B404F1">
        <w:rPr>
          <w:rFonts w:hint="eastAsia"/>
          <w:b/>
          <w:sz w:val="24"/>
        </w:rPr>
        <w:t>金管理人运用固有资金投资本基金交易明细</w:t>
      </w:r>
    </w:p>
    <w:p w:rsidR="00F016DD" w:rsidRPr="00DF18FE" w:rsidRDefault="00F016DD" w:rsidP="00DF18FE">
      <w:pPr>
        <w:spacing w:line="360" w:lineRule="auto"/>
        <w:ind w:firstLineChars="200" w:firstLine="480"/>
        <w:rPr>
          <w:color w:val="000000"/>
          <w:sz w:val="24"/>
        </w:rPr>
      </w:pPr>
      <w:r w:rsidRPr="00DF18FE">
        <w:rPr>
          <w:color w:val="000000"/>
          <w:sz w:val="24"/>
        </w:rPr>
        <w:t>本报告期内基金管理人未运用固有资金申购、赎回、买卖本基金份额。</w:t>
      </w:r>
    </w:p>
    <w:p w:rsidR="00F016DD" w:rsidRPr="0078105B" w:rsidRDefault="00F016DD" w:rsidP="00B54884">
      <w:pPr>
        <w:pStyle w:val="1"/>
        <w:spacing w:beforeLines="100" w:before="312" w:afterLines="100" w:after="312" w:line="360" w:lineRule="auto"/>
        <w:jc w:val="center"/>
        <w:rPr>
          <w:rFonts w:ascii="宋体"/>
          <w:b w:val="0"/>
          <w:color w:val="000000"/>
          <w:sz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8  </w:t>
      </w:r>
      <w:r>
        <w:rPr>
          <w:rFonts w:ascii="宋体" w:hAnsi="宋体" w:cs="Arial" w:hint="eastAsia"/>
          <w:color w:val="000000"/>
          <w:kern w:val="0"/>
          <w:sz w:val="24"/>
          <w:szCs w:val="24"/>
        </w:rPr>
        <w:t>报告期末</w:t>
      </w:r>
      <w:r w:rsidRPr="0078105B">
        <w:rPr>
          <w:rFonts w:ascii="宋体" w:hAnsi="宋体" w:cs="Arial" w:hint="eastAsia"/>
          <w:color w:val="000000"/>
          <w:kern w:val="0"/>
          <w:sz w:val="24"/>
          <w:szCs w:val="24"/>
        </w:rPr>
        <w:t>发起式基金发起资金持有份额情况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8"/>
        <w:gridCol w:w="1984"/>
        <w:gridCol w:w="1276"/>
        <w:gridCol w:w="1843"/>
        <w:gridCol w:w="1276"/>
        <w:gridCol w:w="1053"/>
      </w:tblGrid>
      <w:tr w:rsidR="00F016DD" w:rsidRPr="0078105B" w:rsidTr="009D0312">
        <w:trPr>
          <w:trHeight w:val="543"/>
          <w:jc w:val="center"/>
        </w:trPr>
        <w:tc>
          <w:tcPr>
            <w:tcW w:w="1448" w:type="dxa"/>
            <w:vAlign w:val="center"/>
          </w:tcPr>
          <w:p w:rsidR="00F016DD" w:rsidRPr="00FA472B" w:rsidRDefault="00F016DD" w:rsidP="00973B57">
            <w:pPr>
              <w:widowControl/>
              <w:jc w:val="left"/>
              <w:rPr>
                <w:color w:val="000000"/>
                <w:sz w:val="24"/>
              </w:rPr>
            </w:pPr>
            <w:r w:rsidRPr="00FA472B">
              <w:rPr>
                <w:color w:val="000000"/>
                <w:sz w:val="24"/>
              </w:rPr>
              <w:t>项目</w:t>
            </w:r>
          </w:p>
        </w:tc>
        <w:tc>
          <w:tcPr>
            <w:tcW w:w="1984" w:type="dxa"/>
          </w:tcPr>
          <w:p w:rsidR="00F016DD" w:rsidRPr="00FA472B" w:rsidRDefault="00F016DD" w:rsidP="00973B57">
            <w:pPr>
              <w:adjustRightInd w:val="0"/>
              <w:snapToGrid w:val="0"/>
              <w:spacing w:line="360" w:lineRule="exact"/>
              <w:rPr>
                <w:color w:val="000000"/>
                <w:sz w:val="24"/>
              </w:rPr>
            </w:pPr>
            <w:r w:rsidRPr="00FA472B">
              <w:rPr>
                <w:color w:val="000000"/>
                <w:sz w:val="24"/>
              </w:rPr>
              <w:t>持有份额总数</w:t>
            </w:r>
          </w:p>
        </w:tc>
        <w:tc>
          <w:tcPr>
            <w:tcW w:w="1276" w:type="dxa"/>
          </w:tcPr>
          <w:p w:rsidR="00F016DD" w:rsidRPr="00FA472B" w:rsidRDefault="00F016DD" w:rsidP="00973B57">
            <w:pPr>
              <w:adjustRightInd w:val="0"/>
              <w:snapToGrid w:val="0"/>
              <w:spacing w:line="360" w:lineRule="exact"/>
              <w:rPr>
                <w:color w:val="000000"/>
                <w:sz w:val="24"/>
              </w:rPr>
            </w:pPr>
            <w:r w:rsidRPr="00FA472B">
              <w:rPr>
                <w:color w:val="000000"/>
                <w:sz w:val="24"/>
              </w:rPr>
              <w:t>持有份额占基金总份额比例</w:t>
            </w:r>
          </w:p>
        </w:tc>
        <w:tc>
          <w:tcPr>
            <w:tcW w:w="1843" w:type="dxa"/>
          </w:tcPr>
          <w:p w:rsidR="00F016DD" w:rsidRPr="00FA472B" w:rsidRDefault="00F016DD" w:rsidP="00973B57">
            <w:pPr>
              <w:adjustRightInd w:val="0"/>
              <w:snapToGrid w:val="0"/>
              <w:spacing w:line="360" w:lineRule="exact"/>
              <w:rPr>
                <w:color w:val="000000"/>
                <w:sz w:val="24"/>
              </w:rPr>
            </w:pPr>
            <w:r w:rsidRPr="00FA472B">
              <w:rPr>
                <w:color w:val="000000"/>
                <w:sz w:val="24"/>
              </w:rPr>
              <w:t>发起份额总数</w:t>
            </w:r>
          </w:p>
        </w:tc>
        <w:tc>
          <w:tcPr>
            <w:tcW w:w="1276" w:type="dxa"/>
          </w:tcPr>
          <w:p w:rsidR="00F016DD" w:rsidRPr="00FA472B" w:rsidRDefault="00F016DD" w:rsidP="00973B57">
            <w:pPr>
              <w:adjustRightInd w:val="0"/>
              <w:snapToGrid w:val="0"/>
              <w:spacing w:line="360" w:lineRule="exact"/>
              <w:rPr>
                <w:color w:val="000000"/>
                <w:sz w:val="24"/>
              </w:rPr>
            </w:pPr>
            <w:r w:rsidRPr="00FA472B">
              <w:rPr>
                <w:color w:val="000000"/>
                <w:sz w:val="24"/>
              </w:rPr>
              <w:t>发起份额占基金总份额比例</w:t>
            </w:r>
          </w:p>
        </w:tc>
        <w:tc>
          <w:tcPr>
            <w:tcW w:w="1053" w:type="dxa"/>
          </w:tcPr>
          <w:p w:rsidR="00F016DD" w:rsidRPr="00FA472B" w:rsidRDefault="00F016DD" w:rsidP="00973B57">
            <w:pPr>
              <w:widowControl/>
              <w:jc w:val="left"/>
              <w:rPr>
                <w:color w:val="000000"/>
                <w:sz w:val="24"/>
              </w:rPr>
            </w:pPr>
            <w:r w:rsidRPr="00FA472B">
              <w:rPr>
                <w:color w:val="000000"/>
                <w:sz w:val="24"/>
              </w:rPr>
              <w:t>发起份额承诺持有期限</w:t>
            </w:r>
          </w:p>
        </w:tc>
      </w:tr>
      <w:tr w:rsidR="00F016DD" w:rsidRPr="0078105B" w:rsidTr="009D0312">
        <w:trPr>
          <w:jc w:val="center"/>
        </w:trPr>
        <w:tc>
          <w:tcPr>
            <w:tcW w:w="1448" w:type="dxa"/>
          </w:tcPr>
          <w:p w:rsidR="00F016DD" w:rsidRPr="00FA472B" w:rsidRDefault="00F016DD" w:rsidP="00973B57">
            <w:pPr>
              <w:adjustRightInd w:val="0"/>
              <w:snapToGrid w:val="0"/>
              <w:spacing w:line="360" w:lineRule="exact"/>
              <w:rPr>
                <w:color w:val="000000"/>
                <w:sz w:val="24"/>
              </w:rPr>
            </w:pPr>
            <w:r w:rsidRPr="00FA472B">
              <w:rPr>
                <w:color w:val="000000"/>
                <w:sz w:val="24"/>
              </w:rPr>
              <w:t>基金管理人固有资金</w:t>
            </w:r>
          </w:p>
        </w:tc>
        <w:tc>
          <w:tcPr>
            <w:tcW w:w="1984" w:type="dxa"/>
          </w:tcPr>
          <w:p w:rsidR="00F016DD" w:rsidRPr="00FA472B" w:rsidRDefault="00F016DD" w:rsidP="00973B57">
            <w:pPr>
              <w:adjustRightInd w:val="0"/>
              <w:snapToGrid w:val="0"/>
              <w:spacing w:line="360" w:lineRule="exact"/>
              <w:jc w:val="right"/>
              <w:rPr>
                <w:kern w:val="0"/>
                <w:sz w:val="24"/>
              </w:rPr>
            </w:pPr>
            <w:r w:rsidRPr="00FA472B">
              <w:rPr>
                <w:kern w:val="0"/>
                <w:sz w:val="24"/>
              </w:rPr>
              <w:t>29,709,723.72</w:t>
            </w:r>
          </w:p>
        </w:tc>
        <w:tc>
          <w:tcPr>
            <w:tcW w:w="1276" w:type="dxa"/>
          </w:tcPr>
          <w:p w:rsidR="00F016DD" w:rsidRPr="00FA472B" w:rsidRDefault="00F016DD" w:rsidP="00973B57">
            <w:pPr>
              <w:adjustRightInd w:val="0"/>
              <w:snapToGrid w:val="0"/>
              <w:spacing w:line="360" w:lineRule="exact"/>
              <w:jc w:val="right"/>
              <w:rPr>
                <w:kern w:val="0"/>
                <w:sz w:val="24"/>
              </w:rPr>
            </w:pPr>
            <w:r w:rsidRPr="00FA472B">
              <w:rPr>
                <w:kern w:val="0"/>
                <w:sz w:val="24"/>
              </w:rPr>
              <w:t>9.6603%</w:t>
            </w:r>
          </w:p>
        </w:tc>
        <w:tc>
          <w:tcPr>
            <w:tcW w:w="1843" w:type="dxa"/>
          </w:tcPr>
          <w:p w:rsidR="00F016DD" w:rsidRPr="00FA472B" w:rsidRDefault="00F016DD" w:rsidP="00973B57">
            <w:pPr>
              <w:adjustRightInd w:val="0"/>
              <w:snapToGrid w:val="0"/>
              <w:spacing w:line="360" w:lineRule="exact"/>
              <w:jc w:val="right"/>
              <w:rPr>
                <w:kern w:val="0"/>
                <w:sz w:val="24"/>
              </w:rPr>
            </w:pPr>
            <w:r w:rsidRPr="00FA472B">
              <w:rPr>
                <w:kern w:val="0"/>
                <w:sz w:val="24"/>
              </w:rPr>
              <w:t>10,000,450.04</w:t>
            </w:r>
          </w:p>
        </w:tc>
        <w:tc>
          <w:tcPr>
            <w:tcW w:w="1276" w:type="dxa"/>
          </w:tcPr>
          <w:p w:rsidR="00F016DD" w:rsidRPr="00FA472B" w:rsidRDefault="00F016DD" w:rsidP="00973B57">
            <w:pPr>
              <w:adjustRightInd w:val="0"/>
              <w:snapToGrid w:val="0"/>
              <w:spacing w:line="360" w:lineRule="exact"/>
              <w:jc w:val="right"/>
              <w:rPr>
                <w:kern w:val="0"/>
                <w:sz w:val="24"/>
              </w:rPr>
            </w:pPr>
            <w:r w:rsidRPr="00FA472B">
              <w:rPr>
                <w:kern w:val="0"/>
                <w:sz w:val="24"/>
              </w:rPr>
              <w:t>3.2517%</w:t>
            </w:r>
          </w:p>
        </w:tc>
        <w:tc>
          <w:tcPr>
            <w:tcW w:w="1053" w:type="dxa"/>
          </w:tcPr>
          <w:p w:rsidR="00F016DD" w:rsidRPr="00FA472B" w:rsidRDefault="00F016DD" w:rsidP="00973B57">
            <w:pPr>
              <w:adjustRightInd w:val="0"/>
              <w:snapToGrid w:val="0"/>
              <w:spacing w:line="360" w:lineRule="exact"/>
              <w:jc w:val="right"/>
              <w:rPr>
                <w:kern w:val="0"/>
                <w:sz w:val="24"/>
              </w:rPr>
            </w:pPr>
            <w:r w:rsidRPr="00FA472B">
              <w:rPr>
                <w:kern w:val="0"/>
                <w:sz w:val="24"/>
              </w:rPr>
              <w:t>3</w:t>
            </w:r>
            <w:r w:rsidRPr="00FA472B">
              <w:rPr>
                <w:kern w:val="0"/>
                <w:sz w:val="24"/>
              </w:rPr>
              <w:t>年</w:t>
            </w:r>
          </w:p>
        </w:tc>
      </w:tr>
      <w:tr w:rsidR="00F016DD" w:rsidRPr="0078105B" w:rsidTr="009D0312">
        <w:trPr>
          <w:trHeight w:val="790"/>
          <w:jc w:val="center"/>
        </w:trPr>
        <w:tc>
          <w:tcPr>
            <w:tcW w:w="1448" w:type="dxa"/>
          </w:tcPr>
          <w:p w:rsidR="00F016DD" w:rsidRPr="00FA472B" w:rsidRDefault="00F016DD" w:rsidP="00973B57">
            <w:pPr>
              <w:adjustRightInd w:val="0"/>
              <w:snapToGrid w:val="0"/>
              <w:spacing w:line="360" w:lineRule="exact"/>
              <w:rPr>
                <w:color w:val="000000"/>
                <w:sz w:val="24"/>
              </w:rPr>
            </w:pPr>
            <w:r w:rsidRPr="00FA472B">
              <w:rPr>
                <w:color w:val="000000"/>
                <w:sz w:val="24"/>
              </w:rPr>
              <w:t>基金管理人高级管理人员</w:t>
            </w:r>
          </w:p>
        </w:tc>
        <w:tc>
          <w:tcPr>
            <w:tcW w:w="1984"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276"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843"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276"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053"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r>
      <w:tr w:rsidR="00F016DD" w:rsidRPr="0078105B" w:rsidTr="009D0312">
        <w:trPr>
          <w:jc w:val="center"/>
        </w:trPr>
        <w:tc>
          <w:tcPr>
            <w:tcW w:w="1448" w:type="dxa"/>
          </w:tcPr>
          <w:p w:rsidR="00F016DD" w:rsidRPr="00FA472B" w:rsidRDefault="00F016DD" w:rsidP="00973B57">
            <w:pPr>
              <w:adjustRightInd w:val="0"/>
              <w:snapToGrid w:val="0"/>
              <w:spacing w:line="360" w:lineRule="exact"/>
              <w:jc w:val="left"/>
              <w:rPr>
                <w:color w:val="000000"/>
                <w:sz w:val="24"/>
              </w:rPr>
            </w:pPr>
            <w:r w:rsidRPr="00FA472B">
              <w:rPr>
                <w:color w:val="000000"/>
                <w:sz w:val="24"/>
              </w:rPr>
              <w:t>基金经理等人员</w:t>
            </w:r>
          </w:p>
        </w:tc>
        <w:tc>
          <w:tcPr>
            <w:tcW w:w="1984"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276"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843"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276"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053"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r>
      <w:tr w:rsidR="00F016DD" w:rsidRPr="0078105B" w:rsidTr="009D0312">
        <w:trPr>
          <w:jc w:val="center"/>
        </w:trPr>
        <w:tc>
          <w:tcPr>
            <w:tcW w:w="1448" w:type="dxa"/>
          </w:tcPr>
          <w:p w:rsidR="00F016DD" w:rsidRPr="00FA472B" w:rsidRDefault="00F016DD" w:rsidP="00973B57">
            <w:pPr>
              <w:adjustRightInd w:val="0"/>
              <w:snapToGrid w:val="0"/>
              <w:spacing w:line="360" w:lineRule="exact"/>
              <w:jc w:val="left"/>
              <w:rPr>
                <w:color w:val="000000"/>
                <w:sz w:val="24"/>
              </w:rPr>
            </w:pPr>
            <w:r w:rsidRPr="00FA472B">
              <w:rPr>
                <w:color w:val="000000"/>
                <w:sz w:val="24"/>
              </w:rPr>
              <w:t>基金管理人股东</w:t>
            </w:r>
          </w:p>
        </w:tc>
        <w:tc>
          <w:tcPr>
            <w:tcW w:w="1984"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276"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843"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276"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053"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r>
      <w:tr w:rsidR="00F016DD" w:rsidRPr="0078105B" w:rsidTr="009D0312">
        <w:trPr>
          <w:jc w:val="center"/>
        </w:trPr>
        <w:tc>
          <w:tcPr>
            <w:tcW w:w="1448" w:type="dxa"/>
          </w:tcPr>
          <w:p w:rsidR="00F016DD" w:rsidRPr="00FA472B" w:rsidRDefault="00F016DD" w:rsidP="00973B57">
            <w:pPr>
              <w:adjustRightInd w:val="0"/>
              <w:snapToGrid w:val="0"/>
              <w:spacing w:line="360" w:lineRule="exact"/>
              <w:jc w:val="left"/>
              <w:rPr>
                <w:color w:val="000000"/>
                <w:sz w:val="24"/>
              </w:rPr>
            </w:pPr>
            <w:r w:rsidRPr="00FA472B">
              <w:rPr>
                <w:color w:val="000000"/>
                <w:sz w:val="24"/>
              </w:rPr>
              <w:t>其他</w:t>
            </w:r>
          </w:p>
        </w:tc>
        <w:tc>
          <w:tcPr>
            <w:tcW w:w="1984"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276"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843"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276"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053"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r>
      <w:tr w:rsidR="00F016DD" w:rsidRPr="0078105B" w:rsidTr="009D0312">
        <w:trPr>
          <w:jc w:val="center"/>
        </w:trPr>
        <w:tc>
          <w:tcPr>
            <w:tcW w:w="1448" w:type="dxa"/>
          </w:tcPr>
          <w:p w:rsidR="00F016DD" w:rsidRPr="00FA472B" w:rsidRDefault="00F016DD" w:rsidP="00973B57">
            <w:pPr>
              <w:adjustRightInd w:val="0"/>
              <w:snapToGrid w:val="0"/>
              <w:spacing w:line="360" w:lineRule="exact"/>
              <w:jc w:val="left"/>
              <w:rPr>
                <w:color w:val="000000"/>
                <w:sz w:val="24"/>
              </w:rPr>
            </w:pPr>
            <w:r w:rsidRPr="00FA472B">
              <w:rPr>
                <w:color w:val="000000"/>
                <w:sz w:val="24"/>
              </w:rPr>
              <w:t>合计</w:t>
            </w:r>
          </w:p>
        </w:tc>
        <w:tc>
          <w:tcPr>
            <w:tcW w:w="1984" w:type="dxa"/>
          </w:tcPr>
          <w:p w:rsidR="00F016DD" w:rsidRPr="00FA472B" w:rsidRDefault="00F016DD" w:rsidP="00973B57">
            <w:pPr>
              <w:adjustRightInd w:val="0"/>
              <w:snapToGrid w:val="0"/>
              <w:spacing w:line="360" w:lineRule="exact"/>
              <w:jc w:val="right"/>
              <w:rPr>
                <w:kern w:val="0"/>
                <w:sz w:val="24"/>
              </w:rPr>
            </w:pPr>
            <w:r w:rsidRPr="00FA472B">
              <w:rPr>
                <w:kern w:val="0"/>
                <w:sz w:val="24"/>
              </w:rPr>
              <w:t>29,709,723.72</w:t>
            </w:r>
          </w:p>
        </w:tc>
        <w:tc>
          <w:tcPr>
            <w:tcW w:w="1276" w:type="dxa"/>
          </w:tcPr>
          <w:p w:rsidR="00F016DD" w:rsidRPr="00FA472B" w:rsidRDefault="00F016DD" w:rsidP="00973B57">
            <w:pPr>
              <w:adjustRightInd w:val="0"/>
              <w:snapToGrid w:val="0"/>
              <w:spacing w:line="360" w:lineRule="exact"/>
              <w:jc w:val="right"/>
              <w:rPr>
                <w:kern w:val="0"/>
                <w:sz w:val="24"/>
              </w:rPr>
            </w:pPr>
            <w:r w:rsidRPr="00FA472B">
              <w:rPr>
                <w:kern w:val="0"/>
                <w:sz w:val="24"/>
              </w:rPr>
              <w:t>9.6603%</w:t>
            </w:r>
          </w:p>
        </w:tc>
        <w:tc>
          <w:tcPr>
            <w:tcW w:w="1843" w:type="dxa"/>
          </w:tcPr>
          <w:p w:rsidR="00F016DD" w:rsidRPr="00FA472B" w:rsidRDefault="00F016DD" w:rsidP="00973B57">
            <w:pPr>
              <w:adjustRightInd w:val="0"/>
              <w:snapToGrid w:val="0"/>
              <w:spacing w:line="360" w:lineRule="exact"/>
              <w:jc w:val="right"/>
              <w:rPr>
                <w:kern w:val="0"/>
                <w:sz w:val="24"/>
              </w:rPr>
            </w:pPr>
            <w:r w:rsidRPr="00FA472B">
              <w:rPr>
                <w:kern w:val="0"/>
                <w:sz w:val="24"/>
              </w:rPr>
              <w:t>10,000,450.04</w:t>
            </w:r>
          </w:p>
        </w:tc>
        <w:tc>
          <w:tcPr>
            <w:tcW w:w="1276" w:type="dxa"/>
          </w:tcPr>
          <w:p w:rsidR="00F016DD" w:rsidRPr="00FA472B" w:rsidRDefault="00F016DD" w:rsidP="00973B57">
            <w:pPr>
              <w:adjustRightInd w:val="0"/>
              <w:snapToGrid w:val="0"/>
              <w:spacing w:line="360" w:lineRule="exact"/>
              <w:jc w:val="right"/>
              <w:rPr>
                <w:kern w:val="0"/>
                <w:sz w:val="24"/>
              </w:rPr>
            </w:pPr>
            <w:r w:rsidRPr="00FA472B">
              <w:rPr>
                <w:kern w:val="0"/>
                <w:sz w:val="24"/>
              </w:rPr>
              <w:t>3.2517%</w:t>
            </w:r>
          </w:p>
        </w:tc>
        <w:tc>
          <w:tcPr>
            <w:tcW w:w="1053"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r>
    </w:tbl>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9</w:t>
      </w:r>
      <w:r w:rsidR="0066098B" w:rsidRPr="0078105B">
        <w:rPr>
          <w:rFonts w:ascii="宋体" w:hAnsi="宋体" w:cs="Arial"/>
          <w:color w:val="000000"/>
          <w:kern w:val="0"/>
          <w:sz w:val="24"/>
          <w:szCs w:val="24"/>
        </w:rPr>
        <w:t xml:space="preserve">  </w:t>
      </w:r>
      <w:r w:rsidRPr="0078105B">
        <w:rPr>
          <w:rFonts w:ascii="宋体" w:hAnsi="宋体" w:cs="Arial" w:hint="eastAsia"/>
          <w:color w:val="000000"/>
          <w:kern w:val="0"/>
          <w:sz w:val="24"/>
          <w:szCs w:val="24"/>
        </w:rPr>
        <w:t>备查文件目录</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9.1</w:t>
      </w:r>
      <w:r w:rsidRPr="00E8153C">
        <w:rPr>
          <w:color w:val="000000"/>
          <w:kern w:val="0"/>
          <w:sz w:val="24"/>
        </w:rPr>
        <w:t>备查文件目录</w:t>
      </w:r>
    </w:p>
    <w:p w:rsidR="00C37626" w:rsidRDefault="000978DF">
      <w:pPr>
        <w:spacing w:line="360" w:lineRule="auto"/>
        <w:ind w:firstLineChars="200" w:firstLine="480"/>
        <w:rPr>
          <w:color w:val="000000"/>
          <w:sz w:val="24"/>
        </w:rPr>
      </w:pPr>
      <w:r>
        <w:rPr>
          <w:color w:val="000000"/>
          <w:sz w:val="24"/>
        </w:rPr>
        <w:t>1.</w:t>
      </w:r>
      <w:r>
        <w:rPr>
          <w:color w:val="000000"/>
          <w:sz w:val="24"/>
        </w:rPr>
        <w:t>中国证监会核准易方达中债新综合债券指数发起式证券投资基金（</w:t>
      </w:r>
      <w:r>
        <w:rPr>
          <w:color w:val="000000"/>
          <w:sz w:val="24"/>
        </w:rPr>
        <w:t>LOF</w:t>
      </w:r>
      <w:r>
        <w:rPr>
          <w:color w:val="000000"/>
          <w:sz w:val="24"/>
        </w:rPr>
        <w:t>）募集的文件；</w:t>
      </w:r>
    </w:p>
    <w:p w:rsidR="00C37626" w:rsidRDefault="000978DF">
      <w:pPr>
        <w:spacing w:line="360" w:lineRule="auto"/>
        <w:ind w:firstLineChars="200" w:firstLine="480"/>
        <w:rPr>
          <w:color w:val="000000"/>
          <w:sz w:val="24"/>
        </w:rPr>
      </w:pPr>
      <w:r>
        <w:rPr>
          <w:color w:val="000000"/>
          <w:sz w:val="24"/>
        </w:rPr>
        <w:t>2.</w:t>
      </w:r>
      <w:r>
        <w:rPr>
          <w:color w:val="000000"/>
          <w:sz w:val="24"/>
        </w:rPr>
        <w:t>《易方达中债新综合债券指数发起式证券投资基金（</w:t>
      </w:r>
      <w:r>
        <w:rPr>
          <w:color w:val="000000"/>
          <w:sz w:val="24"/>
        </w:rPr>
        <w:t>LOF</w:t>
      </w:r>
      <w:r>
        <w:rPr>
          <w:color w:val="000000"/>
          <w:sz w:val="24"/>
        </w:rPr>
        <w:t>）基金合同》；</w:t>
      </w:r>
    </w:p>
    <w:p w:rsidR="00C37626" w:rsidRDefault="000978DF">
      <w:pPr>
        <w:spacing w:line="360" w:lineRule="auto"/>
        <w:ind w:firstLineChars="200" w:firstLine="480"/>
        <w:rPr>
          <w:color w:val="000000"/>
          <w:sz w:val="24"/>
        </w:rPr>
      </w:pPr>
      <w:r>
        <w:rPr>
          <w:color w:val="000000"/>
          <w:sz w:val="24"/>
        </w:rPr>
        <w:t>3.</w:t>
      </w:r>
      <w:r>
        <w:rPr>
          <w:color w:val="000000"/>
          <w:sz w:val="24"/>
        </w:rPr>
        <w:t>《易方达中债新综合债券指数发起式证券投资基金（</w:t>
      </w:r>
      <w:r>
        <w:rPr>
          <w:color w:val="000000"/>
          <w:sz w:val="24"/>
        </w:rPr>
        <w:t>LOF</w:t>
      </w:r>
      <w:r>
        <w:rPr>
          <w:color w:val="000000"/>
          <w:sz w:val="24"/>
        </w:rPr>
        <w:t>）托管协议》；</w:t>
      </w:r>
    </w:p>
    <w:p w:rsidR="00F016DD" w:rsidRPr="00E8153C" w:rsidRDefault="00F016DD" w:rsidP="00DF18FE">
      <w:pPr>
        <w:spacing w:line="360" w:lineRule="auto"/>
        <w:ind w:firstLineChars="200" w:firstLine="480"/>
        <w:rPr>
          <w:color w:val="000000"/>
          <w:sz w:val="24"/>
        </w:rPr>
      </w:pPr>
      <w:r w:rsidRPr="00E8153C">
        <w:rPr>
          <w:color w:val="000000"/>
          <w:sz w:val="24"/>
        </w:rPr>
        <w:t>4.</w:t>
      </w:r>
      <w:r w:rsidRPr="00E8153C">
        <w:rPr>
          <w:color w:val="000000"/>
          <w:sz w:val="24"/>
        </w:rPr>
        <w:t>基金管理人业务资格批件、营业执照。</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9.2</w:t>
      </w:r>
      <w:r w:rsidRPr="00E8153C">
        <w:rPr>
          <w:color w:val="000000"/>
          <w:kern w:val="0"/>
          <w:sz w:val="24"/>
        </w:rPr>
        <w:t>存放地点</w:t>
      </w:r>
    </w:p>
    <w:p w:rsidR="00F016DD" w:rsidRPr="00E8153C" w:rsidRDefault="00F016DD" w:rsidP="00DF18FE">
      <w:pPr>
        <w:spacing w:line="360" w:lineRule="auto"/>
        <w:ind w:firstLineChars="200" w:firstLine="480"/>
        <w:rPr>
          <w:color w:val="000000"/>
          <w:sz w:val="24"/>
        </w:rPr>
      </w:pPr>
      <w:r w:rsidRPr="00E8153C">
        <w:rPr>
          <w:color w:val="000000"/>
          <w:sz w:val="24"/>
        </w:rPr>
        <w:t>广州市天河区珠江新城珠江东路</w:t>
      </w:r>
      <w:r w:rsidRPr="00E8153C">
        <w:rPr>
          <w:color w:val="000000"/>
          <w:sz w:val="24"/>
        </w:rPr>
        <w:t>30</w:t>
      </w:r>
      <w:r w:rsidRPr="00E8153C">
        <w:rPr>
          <w:color w:val="000000"/>
          <w:sz w:val="24"/>
        </w:rPr>
        <w:t>号广州银行大厦</w:t>
      </w:r>
      <w:r w:rsidRPr="00E8153C">
        <w:rPr>
          <w:color w:val="000000"/>
          <w:sz w:val="24"/>
        </w:rPr>
        <w:t>40-43</w:t>
      </w:r>
      <w:r w:rsidRPr="00E8153C">
        <w:rPr>
          <w:color w:val="000000"/>
          <w:sz w:val="24"/>
        </w:rPr>
        <w:t>楼。</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9.3</w:t>
      </w:r>
      <w:r w:rsidRPr="00E8153C">
        <w:rPr>
          <w:color w:val="000000"/>
          <w:kern w:val="0"/>
          <w:sz w:val="24"/>
        </w:rPr>
        <w:t>查阅方式</w:t>
      </w:r>
    </w:p>
    <w:p w:rsidR="00F016DD" w:rsidRPr="00E8153C" w:rsidRDefault="00F016DD" w:rsidP="00DF18FE">
      <w:pPr>
        <w:spacing w:line="360" w:lineRule="auto"/>
        <w:ind w:firstLineChars="200" w:firstLine="480"/>
        <w:rPr>
          <w:color w:val="000000"/>
          <w:sz w:val="24"/>
        </w:rPr>
      </w:pPr>
      <w:r w:rsidRPr="00E8153C">
        <w:rPr>
          <w:color w:val="000000"/>
          <w:sz w:val="24"/>
        </w:rPr>
        <w:t>投资者可在营业时间免费查阅，也可按工本费购买复印件。</w:t>
      </w:r>
    </w:p>
    <w:p w:rsidR="00F016DD" w:rsidRPr="0078105B" w:rsidRDefault="00F016DD" w:rsidP="00FB3C94">
      <w:pPr>
        <w:spacing w:line="360" w:lineRule="auto"/>
        <w:ind w:left="840"/>
        <w:jc w:val="right"/>
        <w:rPr>
          <w:rFonts w:ascii="宋体"/>
          <w:color w:val="000000"/>
          <w:sz w:val="24"/>
        </w:rPr>
      </w:pPr>
    </w:p>
    <w:p w:rsidR="00F016DD" w:rsidRPr="0078105B" w:rsidRDefault="00F016DD" w:rsidP="00053FFD">
      <w:pPr>
        <w:spacing w:line="360" w:lineRule="auto"/>
        <w:ind w:left="840"/>
        <w:jc w:val="center"/>
        <w:rPr>
          <w:rFonts w:ascii="宋体"/>
          <w:b/>
          <w:color w:val="000000"/>
          <w:sz w:val="24"/>
        </w:rPr>
      </w:pP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易方达基金管理有限公司</w:t>
      </w: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二〇二〇年四月二十一日</w:t>
      </w:r>
    </w:p>
    <w:sectPr w:rsidR="00F016DD" w:rsidRPr="0078105B" w:rsidSect="00A8324F">
      <w:footerReference w:type="even" r:id="rId11"/>
      <w:footerReference w:type="default" r:id="rId12"/>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146" w:rsidRDefault="00835146">
      <w:r>
        <w:separator/>
      </w:r>
    </w:p>
  </w:endnote>
  <w:endnote w:type="continuationSeparator" w:id="0">
    <w:p w:rsidR="00835146" w:rsidRDefault="0083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方正仿宋简体">
    <w:altName w:val="微软雅黑"/>
    <w:charset w:val="86"/>
    <w:family w:val="auto"/>
    <w:pitch w:val="default"/>
    <w:sig w:usb0="00000000"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Pr="001D0DB0" w:rsidRDefault="00611CB2" w:rsidP="00F7094A">
    <w:pPr>
      <w:pStyle w:val="a6"/>
      <w:jc w:val="center"/>
    </w:pPr>
    <w:r>
      <w:rPr>
        <w:rFonts w:hint="eastAsia"/>
        <w:szCs w:val="21"/>
      </w:rPr>
      <w:t>第</w:t>
    </w:r>
    <w:r w:rsidR="00F85FCB">
      <w:rPr>
        <w:szCs w:val="21"/>
      </w:rPr>
      <w:fldChar w:fldCharType="begin"/>
    </w:r>
    <w:r>
      <w:rPr>
        <w:szCs w:val="21"/>
      </w:rPr>
      <w:instrText xml:space="preserve"> PAGE </w:instrText>
    </w:r>
    <w:r w:rsidR="00F85FCB">
      <w:rPr>
        <w:szCs w:val="21"/>
      </w:rPr>
      <w:fldChar w:fldCharType="separate"/>
    </w:r>
    <w:r w:rsidR="000978DF">
      <w:rPr>
        <w:noProof/>
        <w:szCs w:val="21"/>
      </w:rPr>
      <w:t>1</w:t>
    </w:r>
    <w:r w:rsidR="00F85FCB">
      <w:rPr>
        <w:szCs w:val="21"/>
      </w:rPr>
      <w:fldChar w:fldCharType="end"/>
    </w:r>
    <w:r>
      <w:rPr>
        <w:rFonts w:hint="eastAsia"/>
        <w:szCs w:val="21"/>
      </w:rPr>
      <w:t>页共</w:t>
    </w:r>
    <w:r w:rsidR="00F85FCB">
      <w:rPr>
        <w:szCs w:val="21"/>
      </w:rPr>
      <w:fldChar w:fldCharType="begin"/>
    </w:r>
    <w:r>
      <w:rPr>
        <w:szCs w:val="21"/>
      </w:rPr>
      <w:instrText xml:space="preserve"> NUMPAGES </w:instrText>
    </w:r>
    <w:r w:rsidR="00F85FCB">
      <w:rPr>
        <w:szCs w:val="21"/>
      </w:rPr>
      <w:fldChar w:fldCharType="separate"/>
    </w:r>
    <w:r w:rsidR="000978DF">
      <w:rPr>
        <w:noProof/>
        <w:szCs w:val="21"/>
      </w:rPr>
      <w:t>1</w:t>
    </w:r>
    <w:r w:rsidR="00F85FCB">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Default="00F85FCB">
    <w:pPr>
      <w:pStyle w:val="a6"/>
      <w:framePr w:wrap="around" w:vAnchor="text" w:hAnchor="margin" w:xAlign="center" w:y="1"/>
      <w:rPr>
        <w:rStyle w:val="a7"/>
      </w:rPr>
    </w:pPr>
    <w:r>
      <w:rPr>
        <w:rStyle w:val="a7"/>
      </w:rPr>
      <w:fldChar w:fldCharType="begin"/>
    </w:r>
    <w:r w:rsidR="00611CB2">
      <w:rPr>
        <w:rStyle w:val="a7"/>
      </w:rPr>
      <w:instrText xml:space="preserve">PAGE  </w:instrText>
    </w:r>
    <w:r>
      <w:rPr>
        <w:rStyle w:val="a7"/>
      </w:rPr>
      <w:fldChar w:fldCharType="end"/>
    </w:r>
  </w:p>
  <w:p w:rsidR="00611CB2" w:rsidRDefault="00611CB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Default="00F85FCB">
    <w:pPr>
      <w:pStyle w:val="a6"/>
      <w:framePr w:wrap="around" w:vAnchor="text" w:hAnchor="margin" w:xAlign="center" w:y="1"/>
      <w:rPr>
        <w:rStyle w:val="a7"/>
      </w:rPr>
    </w:pPr>
    <w:r>
      <w:rPr>
        <w:rStyle w:val="a7"/>
      </w:rPr>
      <w:fldChar w:fldCharType="begin"/>
    </w:r>
    <w:r w:rsidR="00611CB2">
      <w:rPr>
        <w:rStyle w:val="a7"/>
      </w:rPr>
      <w:instrText xml:space="preserve">PAGE  </w:instrText>
    </w:r>
    <w:r>
      <w:rPr>
        <w:rStyle w:val="a7"/>
      </w:rPr>
      <w:fldChar w:fldCharType="separate"/>
    </w:r>
    <w:r w:rsidR="000978DF">
      <w:rPr>
        <w:rStyle w:val="a7"/>
        <w:noProof/>
      </w:rPr>
      <w:t>2</w:t>
    </w:r>
    <w:r>
      <w:rPr>
        <w:rStyle w:val="a7"/>
      </w:rPr>
      <w:fldChar w:fldCharType="end"/>
    </w:r>
  </w:p>
  <w:p w:rsidR="00611CB2" w:rsidRDefault="00611C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146" w:rsidRDefault="00835146">
      <w:r>
        <w:separator/>
      </w:r>
    </w:p>
  </w:footnote>
  <w:footnote w:type="continuationSeparator" w:id="0">
    <w:p w:rsidR="00835146" w:rsidRDefault="00835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Pr="00DA451D" w:rsidRDefault="00611CB2" w:rsidP="001207F2">
    <w:pPr>
      <w:pStyle w:val="a9"/>
      <w:pBdr>
        <w:bottom w:val="single" w:sz="6" w:space="0" w:color="auto"/>
      </w:pBdr>
      <w:jc w:val="right"/>
    </w:pPr>
    <w:r w:rsidRPr="00DA451D">
      <w:t>易方达中债新综合债券指数发起式证券投资基金（</w:t>
    </w:r>
    <w:r w:rsidRPr="00DA451D">
      <w:t>LOF</w:t>
    </w:r>
    <w:r w:rsidRPr="00DA451D">
      <w:t>）</w:t>
    </w:r>
    <w:r w:rsidRPr="00DA451D">
      <w:t>2020</w:t>
    </w:r>
    <w:r w:rsidRPr="00DA451D">
      <w:t>年第</w:t>
    </w:r>
    <w:r w:rsidRPr="00DA451D">
      <w:t>1</w:t>
    </w:r>
    <w:r w:rsidRPr="00DA451D">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lvlOverride w:ilvl="2">
      <w:lvl w:ilvl="2">
        <w:start w:val="1"/>
        <w:numFmt w:val="decimal"/>
        <w:lvlText w:val="%1.%2.%3"/>
        <w:lvlJc w:val="left"/>
        <w:pPr>
          <w:tabs>
            <w:tab w:val="num" w:pos="1418"/>
          </w:tabs>
          <w:ind w:left="1418" w:hanging="567"/>
        </w:pPr>
        <w:rPr>
          <w:rFonts w:cs="Times New Roman"/>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2187"/>
    <w:rsid w:val="0000059C"/>
    <w:rsid w:val="000008B1"/>
    <w:rsid w:val="0000403B"/>
    <w:rsid w:val="00007441"/>
    <w:rsid w:val="00007F1F"/>
    <w:rsid w:val="000108A5"/>
    <w:rsid w:val="00010A83"/>
    <w:rsid w:val="000137C1"/>
    <w:rsid w:val="0001579C"/>
    <w:rsid w:val="00016551"/>
    <w:rsid w:val="00020737"/>
    <w:rsid w:val="00020C27"/>
    <w:rsid w:val="000219D5"/>
    <w:rsid w:val="00022396"/>
    <w:rsid w:val="00023073"/>
    <w:rsid w:val="00023B86"/>
    <w:rsid w:val="00023B97"/>
    <w:rsid w:val="00024836"/>
    <w:rsid w:val="000252D8"/>
    <w:rsid w:val="0003338D"/>
    <w:rsid w:val="0003564A"/>
    <w:rsid w:val="00037B55"/>
    <w:rsid w:val="00037C73"/>
    <w:rsid w:val="00041CC8"/>
    <w:rsid w:val="00042065"/>
    <w:rsid w:val="00043FD2"/>
    <w:rsid w:val="00045558"/>
    <w:rsid w:val="00045BA9"/>
    <w:rsid w:val="00047D87"/>
    <w:rsid w:val="000510AB"/>
    <w:rsid w:val="00053FFD"/>
    <w:rsid w:val="00056D5C"/>
    <w:rsid w:val="00061B0B"/>
    <w:rsid w:val="00061E09"/>
    <w:rsid w:val="00062C69"/>
    <w:rsid w:val="00062E1F"/>
    <w:rsid w:val="00064601"/>
    <w:rsid w:val="00064AE3"/>
    <w:rsid w:val="00064F4B"/>
    <w:rsid w:val="00065ABE"/>
    <w:rsid w:val="0006750A"/>
    <w:rsid w:val="000776C0"/>
    <w:rsid w:val="00077849"/>
    <w:rsid w:val="000803AD"/>
    <w:rsid w:val="000813D6"/>
    <w:rsid w:val="00081D05"/>
    <w:rsid w:val="000827CC"/>
    <w:rsid w:val="000871DB"/>
    <w:rsid w:val="000922C5"/>
    <w:rsid w:val="0009314F"/>
    <w:rsid w:val="00093A23"/>
    <w:rsid w:val="00097169"/>
    <w:rsid w:val="000978DF"/>
    <w:rsid w:val="000A08FC"/>
    <w:rsid w:val="000A15F1"/>
    <w:rsid w:val="000A1617"/>
    <w:rsid w:val="000A40A5"/>
    <w:rsid w:val="000A457E"/>
    <w:rsid w:val="000A549A"/>
    <w:rsid w:val="000A5A81"/>
    <w:rsid w:val="000A6D8C"/>
    <w:rsid w:val="000A72F2"/>
    <w:rsid w:val="000A7BFD"/>
    <w:rsid w:val="000B000E"/>
    <w:rsid w:val="000B1CB9"/>
    <w:rsid w:val="000B24AF"/>
    <w:rsid w:val="000B251E"/>
    <w:rsid w:val="000B3E43"/>
    <w:rsid w:val="000B4E99"/>
    <w:rsid w:val="000B5B16"/>
    <w:rsid w:val="000B648A"/>
    <w:rsid w:val="000C45E7"/>
    <w:rsid w:val="000C5956"/>
    <w:rsid w:val="000C757F"/>
    <w:rsid w:val="000C7DD4"/>
    <w:rsid w:val="000D1164"/>
    <w:rsid w:val="000D1BBE"/>
    <w:rsid w:val="000D3773"/>
    <w:rsid w:val="000D4DE9"/>
    <w:rsid w:val="000D58E0"/>
    <w:rsid w:val="000D6660"/>
    <w:rsid w:val="000D6BA0"/>
    <w:rsid w:val="000D7ECA"/>
    <w:rsid w:val="000E2F81"/>
    <w:rsid w:val="000E3726"/>
    <w:rsid w:val="000E39DB"/>
    <w:rsid w:val="000F0558"/>
    <w:rsid w:val="000F0AC3"/>
    <w:rsid w:val="000F1611"/>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58C"/>
    <w:rsid w:val="001257C7"/>
    <w:rsid w:val="00125E66"/>
    <w:rsid w:val="001262F4"/>
    <w:rsid w:val="001263E1"/>
    <w:rsid w:val="00126AC0"/>
    <w:rsid w:val="00126C2B"/>
    <w:rsid w:val="00127A01"/>
    <w:rsid w:val="00130D77"/>
    <w:rsid w:val="00131EF6"/>
    <w:rsid w:val="0013251D"/>
    <w:rsid w:val="00134734"/>
    <w:rsid w:val="00134CBE"/>
    <w:rsid w:val="00140C30"/>
    <w:rsid w:val="001427AE"/>
    <w:rsid w:val="00142C74"/>
    <w:rsid w:val="001453EF"/>
    <w:rsid w:val="00145E5B"/>
    <w:rsid w:val="00147319"/>
    <w:rsid w:val="00147551"/>
    <w:rsid w:val="0015012F"/>
    <w:rsid w:val="00150C2E"/>
    <w:rsid w:val="0015170D"/>
    <w:rsid w:val="001517AE"/>
    <w:rsid w:val="00154FA5"/>
    <w:rsid w:val="0015531A"/>
    <w:rsid w:val="00156F9D"/>
    <w:rsid w:val="001602E3"/>
    <w:rsid w:val="00160539"/>
    <w:rsid w:val="00161548"/>
    <w:rsid w:val="00162D92"/>
    <w:rsid w:val="0016464C"/>
    <w:rsid w:val="0017176A"/>
    <w:rsid w:val="00172B54"/>
    <w:rsid w:val="00174038"/>
    <w:rsid w:val="00174D16"/>
    <w:rsid w:val="00176874"/>
    <w:rsid w:val="0017725A"/>
    <w:rsid w:val="0018052A"/>
    <w:rsid w:val="00180952"/>
    <w:rsid w:val="0018191A"/>
    <w:rsid w:val="00185B68"/>
    <w:rsid w:val="00186199"/>
    <w:rsid w:val="001874E3"/>
    <w:rsid w:val="001878B0"/>
    <w:rsid w:val="00194155"/>
    <w:rsid w:val="001A0417"/>
    <w:rsid w:val="001A0B71"/>
    <w:rsid w:val="001A1389"/>
    <w:rsid w:val="001A3016"/>
    <w:rsid w:val="001A3914"/>
    <w:rsid w:val="001A5FA6"/>
    <w:rsid w:val="001B053A"/>
    <w:rsid w:val="001B08B3"/>
    <w:rsid w:val="001B0A62"/>
    <w:rsid w:val="001B0C78"/>
    <w:rsid w:val="001B151C"/>
    <w:rsid w:val="001B1A13"/>
    <w:rsid w:val="001B22BA"/>
    <w:rsid w:val="001B3C1C"/>
    <w:rsid w:val="001B4983"/>
    <w:rsid w:val="001C2045"/>
    <w:rsid w:val="001C5040"/>
    <w:rsid w:val="001C715A"/>
    <w:rsid w:val="001D0DB0"/>
    <w:rsid w:val="001D0F6A"/>
    <w:rsid w:val="001D2FA5"/>
    <w:rsid w:val="001D3394"/>
    <w:rsid w:val="001D3D57"/>
    <w:rsid w:val="001D4980"/>
    <w:rsid w:val="001D5045"/>
    <w:rsid w:val="001D5A44"/>
    <w:rsid w:val="001D5CD0"/>
    <w:rsid w:val="001D63BB"/>
    <w:rsid w:val="001D724B"/>
    <w:rsid w:val="001E023C"/>
    <w:rsid w:val="001E0BA5"/>
    <w:rsid w:val="001F03E1"/>
    <w:rsid w:val="001F1F19"/>
    <w:rsid w:val="001F2BD1"/>
    <w:rsid w:val="001F3080"/>
    <w:rsid w:val="001F3CC6"/>
    <w:rsid w:val="001F5F5F"/>
    <w:rsid w:val="001F60E9"/>
    <w:rsid w:val="002035B9"/>
    <w:rsid w:val="00205064"/>
    <w:rsid w:val="0020548A"/>
    <w:rsid w:val="002079FA"/>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59EB"/>
    <w:rsid w:val="0023649E"/>
    <w:rsid w:val="00236926"/>
    <w:rsid w:val="00241740"/>
    <w:rsid w:val="002424E4"/>
    <w:rsid w:val="00243122"/>
    <w:rsid w:val="002437F5"/>
    <w:rsid w:val="00244DB1"/>
    <w:rsid w:val="00244FDA"/>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4E55"/>
    <w:rsid w:val="00266645"/>
    <w:rsid w:val="00267386"/>
    <w:rsid w:val="00267C2E"/>
    <w:rsid w:val="00267DA9"/>
    <w:rsid w:val="00273E5C"/>
    <w:rsid w:val="0027576B"/>
    <w:rsid w:val="00275FD0"/>
    <w:rsid w:val="00280514"/>
    <w:rsid w:val="002810D8"/>
    <w:rsid w:val="002819E7"/>
    <w:rsid w:val="00282FF2"/>
    <w:rsid w:val="00283483"/>
    <w:rsid w:val="002844B5"/>
    <w:rsid w:val="0028459B"/>
    <w:rsid w:val="00285618"/>
    <w:rsid w:val="002872F8"/>
    <w:rsid w:val="00293065"/>
    <w:rsid w:val="002953E8"/>
    <w:rsid w:val="00296E4A"/>
    <w:rsid w:val="00297260"/>
    <w:rsid w:val="002976E5"/>
    <w:rsid w:val="002A1F14"/>
    <w:rsid w:val="002A2678"/>
    <w:rsid w:val="002A3369"/>
    <w:rsid w:val="002A3965"/>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2BEF"/>
    <w:rsid w:val="002E356A"/>
    <w:rsid w:val="002E4C01"/>
    <w:rsid w:val="002F0516"/>
    <w:rsid w:val="002F22D2"/>
    <w:rsid w:val="002F778A"/>
    <w:rsid w:val="00302187"/>
    <w:rsid w:val="003028D8"/>
    <w:rsid w:val="0030290F"/>
    <w:rsid w:val="00302DE9"/>
    <w:rsid w:val="00302FAB"/>
    <w:rsid w:val="00303869"/>
    <w:rsid w:val="00303F1D"/>
    <w:rsid w:val="00305084"/>
    <w:rsid w:val="00305153"/>
    <w:rsid w:val="00311ABF"/>
    <w:rsid w:val="00314A81"/>
    <w:rsid w:val="00314DD2"/>
    <w:rsid w:val="00315A7C"/>
    <w:rsid w:val="00317705"/>
    <w:rsid w:val="00320453"/>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1704"/>
    <w:rsid w:val="003570C8"/>
    <w:rsid w:val="00367770"/>
    <w:rsid w:val="00371424"/>
    <w:rsid w:val="00371FF4"/>
    <w:rsid w:val="00372209"/>
    <w:rsid w:val="003771ED"/>
    <w:rsid w:val="0037768B"/>
    <w:rsid w:val="00381791"/>
    <w:rsid w:val="00382E6F"/>
    <w:rsid w:val="00387C00"/>
    <w:rsid w:val="00397960"/>
    <w:rsid w:val="00397F75"/>
    <w:rsid w:val="003A2008"/>
    <w:rsid w:val="003A3BC4"/>
    <w:rsid w:val="003A4AA3"/>
    <w:rsid w:val="003B405E"/>
    <w:rsid w:val="003B4843"/>
    <w:rsid w:val="003B494E"/>
    <w:rsid w:val="003C6E9E"/>
    <w:rsid w:val="003C792F"/>
    <w:rsid w:val="003D117A"/>
    <w:rsid w:val="003D36B2"/>
    <w:rsid w:val="003D42D5"/>
    <w:rsid w:val="003D656E"/>
    <w:rsid w:val="003D7783"/>
    <w:rsid w:val="003D78B5"/>
    <w:rsid w:val="003E0BD4"/>
    <w:rsid w:val="003E45B9"/>
    <w:rsid w:val="003E654C"/>
    <w:rsid w:val="003F0DE5"/>
    <w:rsid w:val="003F0E22"/>
    <w:rsid w:val="003F1058"/>
    <w:rsid w:val="003F13CD"/>
    <w:rsid w:val="003F46FC"/>
    <w:rsid w:val="003F4AA5"/>
    <w:rsid w:val="003F697D"/>
    <w:rsid w:val="003F7C45"/>
    <w:rsid w:val="00400500"/>
    <w:rsid w:val="0040132C"/>
    <w:rsid w:val="00404257"/>
    <w:rsid w:val="00407F66"/>
    <w:rsid w:val="004113B4"/>
    <w:rsid w:val="0041220A"/>
    <w:rsid w:val="00413B96"/>
    <w:rsid w:val="00413C2C"/>
    <w:rsid w:val="00414367"/>
    <w:rsid w:val="00415168"/>
    <w:rsid w:val="00415A8A"/>
    <w:rsid w:val="00415B04"/>
    <w:rsid w:val="00416A6B"/>
    <w:rsid w:val="0042044C"/>
    <w:rsid w:val="00421624"/>
    <w:rsid w:val="00424151"/>
    <w:rsid w:val="00425208"/>
    <w:rsid w:val="00425A5A"/>
    <w:rsid w:val="00425FB6"/>
    <w:rsid w:val="004268BB"/>
    <w:rsid w:val="0042785F"/>
    <w:rsid w:val="004314FF"/>
    <w:rsid w:val="004408EC"/>
    <w:rsid w:val="00440F74"/>
    <w:rsid w:val="00441816"/>
    <w:rsid w:val="00441FEC"/>
    <w:rsid w:val="004425E8"/>
    <w:rsid w:val="00443C8F"/>
    <w:rsid w:val="00447BC6"/>
    <w:rsid w:val="004501CE"/>
    <w:rsid w:val="00452481"/>
    <w:rsid w:val="00454A0F"/>
    <w:rsid w:val="0046335D"/>
    <w:rsid w:val="00463C2C"/>
    <w:rsid w:val="00471D81"/>
    <w:rsid w:val="004733AC"/>
    <w:rsid w:val="00483271"/>
    <w:rsid w:val="00490F85"/>
    <w:rsid w:val="0049210E"/>
    <w:rsid w:val="0049297D"/>
    <w:rsid w:val="0049327D"/>
    <w:rsid w:val="0049405D"/>
    <w:rsid w:val="0049455C"/>
    <w:rsid w:val="00495A03"/>
    <w:rsid w:val="004A135B"/>
    <w:rsid w:val="004A1BE1"/>
    <w:rsid w:val="004A3251"/>
    <w:rsid w:val="004A4980"/>
    <w:rsid w:val="004A4F68"/>
    <w:rsid w:val="004A63CB"/>
    <w:rsid w:val="004A67B0"/>
    <w:rsid w:val="004A6FB2"/>
    <w:rsid w:val="004B0847"/>
    <w:rsid w:val="004B0E6D"/>
    <w:rsid w:val="004B16E8"/>
    <w:rsid w:val="004B67DB"/>
    <w:rsid w:val="004C0541"/>
    <w:rsid w:val="004C3A16"/>
    <w:rsid w:val="004C634A"/>
    <w:rsid w:val="004C660B"/>
    <w:rsid w:val="004D050C"/>
    <w:rsid w:val="004D23D9"/>
    <w:rsid w:val="004D29A9"/>
    <w:rsid w:val="004D3537"/>
    <w:rsid w:val="004D4D4E"/>
    <w:rsid w:val="004D614E"/>
    <w:rsid w:val="004D650F"/>
    <w:rsid w:val="004E2133"/>
    <w:rsid w:val="004E4E04"/>
    <w:rsid w:val="004E6CBA"/>
    <w:rsid w:val="004F521C"/>
    <w:rsid w:val="00502CD8"/>
    <w:rsid w:val="0050361C"/>
    <w:rsid w:val="00503BF4"/>
    <w:rsid w:val="00506A40"/>
    <w:rsid w:val="0051064F"/>
    <w:rsid w:val="00513461"/>
    <w:rsid w:val="00513A0E"/>
    <w:rsid w:val="00515D7B"/>
    <w:rsid w:val="00515F29"/>
    <w:rsid w:val="0052009E"/>
    <w:rsid w:val="00523F04"/>
    <w:rsid w:val="00524368"/>
    <w:rsid w:val="0052438C"/>
    <w:rsid w:val="00526282"/>
    <w:rsid w:val="00530161"/>
    <w:rsid w:val="00532DB7"/>
    <w:rsid w:val="00536F71"/>
    <w:rsid w:val="00544342"/>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35"/>
    <w:rsid w:val="0057154B"/>
    <w:rsid w:val="0057278A"/>
    <w:rsid w:val="005742DB"/>
    <w:rsid w:val="00575C75"/>
    <w:rsid w:val="00577209"/>
    <w:rsid w:val="005800A9"/>
    <w:rsid w:val="00581139"/>
    <w:rsid w:val="00581645"/>
    <w:rsid w:val="0058694E"/>
    <w:rsid w:val="005875F9"/>
    <w:rsid w:val="00593A35"/>
    <w:rsid w:val="00593C74"/>
    <w:rsid w:val="00594934"/>
    <w:rsid w:val="005954CF"/>
    <w:rsid w:val="00597D8B"/>
    <w:rsid w:val="005A46FF"/>
    <w:rsid w:val="005A557E"/>
    <w:rsid w:val="005A63FD"/>
    <w:rsid w:val="005B462A"/>
    <w:rsid w:val="005B5137"/>
    <w:rsid w:val="005B6047"/>
    <w:rsid w:val="005C0ED7"/>
    <w:rsid w:val="005C5409"/>
    <w:rsid w:val="005C62A5"/>
    <w:rsid w:val="005C6FF7"/>
    <w:rsid w:val="005C7D00"/>
    <w:rsid w:val="005D01A4"/>
    <w:rsid w:val="005D0BAB"/>
    <w:rsid w:val="005D1893"/>
    <w:rsid w:val="005D26E9"/>
    <w:rsid w:val="005D2CAA"/>
    <w:rsid w:val="005D4B66"/>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1CB2"/>
    <w:rsid w:val="0061321C"/>
    <w:rsid w:val="00613F44"/>
    <w:rsid w:val="006160BD"/>
    <w:rsid w:val="00620EDB"/>
    <w:rsid w:val="0062386E"/>
    <w:rsid w:val="00624C10"/>
    <w:rsid w:val="006253EF"/>
    <w:rsid w:val="00626075"/>
    <w:rsid w:val="0062680E"/>
    <w:rsid w:val="00630C47"/>
    <w:rsid w:val="00631158"/>
    <w:rsid w:val="00632923"/>
    <w:rsid w:val="006341E6"/>
    <w:rsid w:val="00634439"/>
    <w:rsid w:val="006366C6"/>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548FA"/>
    <w:rsid w:val="0066098B"/>
    <w:rsid w:val="00661244"/>
    <w:rsid w:val="006640DF"/>
    <w:rsid w:val="00666A3C"/>
    <w:rsid w:val="00667519"/>
    <w:rsid w:val="006676A0"/>
    <w:rsid w:val="00670857"/>
    <w:rsid w:val="00670868"/>
    <w:rsid w:val="00673D69"/>
    <w:rsid w:val="00676431"/>
    <w:rsid w:val="00677A9C"/>
    <w:rsid w:val="0068050D"/>
    <w:rsid w:val="00684C6B"/>
    <w:rsid w:val="00685FFC"/>
    <w:rsid w:val="00686943"/>
    <w:rsid w:val="00686EDE"/>
    <w:rsid w:val="00687AD5"/>
    <w:rsid w:val="00690A31"/>
    <w:rsid w:val="006911CE"/>
    <w:rsid w:val="00692002"/>
    <w:rsid w:val="00695251"/>
    <w:rsid w:val="00695B58"/>
    <w:rsid w:val="006A1153"/>
    <w:rsid w:val="006A4828"/>
    <w:rsid w:val="006A7C09"/>
    <w:rsid w:val="006B046C"/>
    <w:rsid w:val="006B252F"/>
    <w:rsid w:val="006B3940"/>
    <w:rsid w:val="006B4B1E"/>
    <w:rsid w:val="006B7FA5"/>
    <w:rsid w:val="006C168D"/>
    <w:rsid w:val="006C21E6"/>
    <w:rsid w:val="006C4033"/>
    <w:rsid w:val="006C5BC9"/>
    <w:rsid w:val="006C642C"/>
    <w:rsid w:val="006C7247"/>
    <w:rsid w:val="006D462B"/>
    <w:rsid w:val="006D7386"/>
    <w:rsid w:val="006E0DAD"/>
    <w:rsid w:val="006E313F"/>
    <w:rsid w:val="006E6CA2"/>
    <w:rsid w:val="006F1F1A"/>
    <w:rsid w:val="006F5AC2"/>
    <w:rsid w:val="006F6C28"/>
    <w:rsid w:val="007007EB"/>
    <w:rsid w:val="00701109"/>
    <w:rsid w:val="00701F57"/>
    <w:rsid w:val="00701FD8"/>
    <w:rsid w:val="00703E8A"/>
    <w:rsid w:val="00706046"/>
    <w:rsid w:val="007112F0"/>
    <w:rsid w:val="00711343"/>
    <w:rsid w:val="00714309"/>
    <w:rsid w:val="0071450F"/>
    <w:rsid w:val="00717772"/>
    <w:rsid w:val="00720B42"/>
    <w:rsid w:val="00721DBE"/>
    <w:rsid w:val="007226EC"/>
    <w:rsid w:val="00722B5E"/>
    <w:rsid w:val="00724F6D"/>
    <w:rsid w:val="0072678C"/>
    <w:rsid w:val="00732D1D"/>
    <w:rsid w:val="00734119"/>
    <w:rsid w:val="007350D4"/>
    <w:rsid w:val="00736034"/>
    <w:rsid w:val="00736D15"/>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36C2"/>
    <w:rsid w:val="00784FE0"/>
    <w:rsid w:val="007858B1"/>
    <w:rsid w:val="0078648E"/>
    <w:rsid w:val="00790803"/>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D7C43"/>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5146"/>
    <w:rsid w:val="0083623B"/>
    <w:rsid w:val="00836C5A"/>
    <w:rsid w:val="00837E59"/>
    <w:rsid w:val="00840AC0"/>
    <w:rsid w:val="00842100"/>
    <w:rsid w:val="008428A9"/>
    <w:rsid w:val="0084308F"/>
    <w:rsid w:val="00846C2B"/>
    <w:rsid w:val="0085139A"/>
    <w:rsid w:val="008524F6"/>
    <w:rsid w:val="008532F3"/>
    <w:rsid w:val="00854B3F"/>
    <w:rsid w:val="00861C2C"/>
    <w:rsid w:val="00863744"/>
    <w:rsid w:val="00865CFA"/>
    <w:rsid w:val="008668B8"/>
    <w:rsid w:val="0086748F"/>
    <w:rsid w:val="00867B4D"/>
    <w:rsid w:val="00867CF3"/>
    <w:rsid w:val="00874AA3"/>
    <w:rsid w:val="00874AB5"/>
    <w:rsid w:val="00877671"/>
    <w:rsid w:val="00877A13"/>
    <w:rsid w:val="008811F8"/>
    <w:rsid w:val="008869BC"/>
    <w:rsid w:val="00887DDD"/>
    <w:rsid w:val="00887DE6"/>
    <w:rsid w:val="00887E9F"/>
    <w:rsid w:val="008908AA"/>
    <w:rsid w:val="00890E08"/>
    <w:rsid w:val="008927F0"/>
    <w:rsid w:val="00894DCA"/>
    <w:rsid w:val="00896602"/>
    <w:rsid w:val="00897D88"/>
    <w:rsid w:val="008A00BE"/>
    <w:rsid w:val="008A1539"/>
    <w:rsid w:val="008A2C5D"/>
    <w:rsid w:val="008A3BE2"/>
    <w:rsid w:val="008A6957"/>
    <w:rsid w:val="008A6B30"/>
    <w:rsid w:val="008B05E7"/>
    <w:rsid w:val="008B0758"/>
    <w:rsid w:val="008B1875"/>
    <w:rsid w:val="008B4146"/>
    <w:rsid w:val="008B5312"/>
    <w:rsid w:val="008B59CE"/>
    <w:rsid w:val="008B6078"/>
    <w:rsid w:val="008B6085"/>
    <w:rsid w:val="008B7110"/>
    <w:rsid w:val="008B7F4A"/>
    <w:rsid w:val="008C04E1"/>
    <w:rsid w:val="008C04FE"/>
    <w:rsid w:val="008C2F50"/>
    <w:rsid w:val="008C3109"/>
    <w:rsid w:val="008C32F7"/>
    <w:rsid w:val="008C383A"/>
    <w:rsid w:val="008C5312"/>
    <w:rsid w:val="008C5DBD"/>
    <w:rsid w:val="008C61D6"/>
    <w:rsid w:val="008C7498"/>
    <w:rsid w:val="008D49AF"/>
    <w:rsid w:val="008D4A2B"/>
    <w:rsid w:val="008D4A9F"/>
    <w:rsid w:val="008D6294"/>
    <w:rsid w:val="008E1FE0"/>
    <w:rsid w:val="008E3939"/>
    <w:rsid w:val="008E3DDD"/>
    <w:rsid w:val="008F23F4"/>
    <w:rsid w:val="008F61C4"/>
    <w:rsid w:val="008F7763"/>
    <w:rsid w:val="009007CB"/>
    <w:rsid w:val="009010F0"/>
    <w:rsid w:val="00901162"/>
    <w:rsid w:val="00901C2E"/>
    <w:rsid w:val="00901D46"/>
    <w:rsid w:val="009028E2"/>
    <w:rsid w:val="00903692"/>
    <w:rsid w:val="00904E07"/>
    <w:rsid w:val="00906059"/>
    <w:rsid w:val="00912BAF"/>
    <w:rsid w:val="0091311E"/>
    <w:rsid w:val="00914EAB"/>
    <w:rsid w:val="0091541F"/>
    <w:rsid w:val="00920D98"/>
    <w:rsid w:val="0092108C"/>
    <w:rsid w:val="00922D49"/>
    <w:rsid w:val="009238DB"/>
    <w:rsid w:val="00925E37"/>
    <w:rsid w:val="00925EDD"/>
    <w:rsid w:val="0092665C"/>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33AD"/>
    <w:rsid w:val="009542B3"/>
    <w:rsid w:val="009550A8"/>
    <w:rsid w:val="00955FF2"/>
    <w:rsid w:val="0095693D"/>
    <w:rsid w:val="00956B0D"/>
    <w:rsid w:val="0096224F"/>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97454"/>
    <w:rsid w:val="009A045B"/>
    <w:rsid w:val="009A0513"/>
    <w:rsid w:val="009A1119"/>
    <w:rsid w:val="009A2283"/>
    <w:rsid w:val="009A31AF"/>
    <w:rsid w:val="009A3507"/>
    <w:rsid w:val="009A529F"/>
    <w:rsid w:val="009A5C1D"/>
    <w:rsid w:val="009A6018"/>
    <w:rsid w:val="009A7C28"/>
    <w:rsid w:val="009B0273"/>
    <w:rsid w:val="009B4286"/>
    <w:rsid w:val="009B5BF9"/>
    <w:rsid w:val="009B5DAF"/>
    <w:rsid w:val="009B5F83"/>
    <w:rsid w:val="009B61C5"/>
    <w:rsid w:val="009B769E"/>
    <w:rsid w:val="009C03E5"/>
    <w:rsid w:val="009C3F17"/>
    <w:rsid w:val="009C4D19"/>
    <w:rsid w:val="009C5FDB"/>
    <w:rsid w:val="009C65AF"/>
    <w:rsid w:val="009C70CB"/>
    <w:rsid w:val="009C74DD"/>
    <w:rsid w:val="009D0312"/>
    <w:rsid w:val="009D27AA"/>
    <w:rsid w:val="009D2AD9"/>
    <w:rsid w:val="009D514E"/>
    <w:rsid w:val="009D5A40"/>
    <w:rsid w:val="009D5C39"/>
    <w:rsid w:val="009D6FED"/>
    <w:rsid w:val="009E0A95"/>
    <w:rsid w:val="009E0D47"/>
    <w:rsid w:val="009E549D"/>
    <w:rsid w:val="009E54AF"/>
    <w:rsid w:val="009E5C59"/>
    <w:rsid w:val="009E6BB8"/>
    <w:rsid w:val="009F0FB1"/>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17E5B"/>
    <w:rsid w:val="00A20263"/>
    <w:rsid w:val="00A2168F"/>
    <w:rsid w:val="00A248B1"/>
    <w:rsid w:val="00A26437"/>
    <w:rsid w:val="00A30E4D"/>
    <w:rsid w:val="00A32410"/>
    <w:rsid w:val="00A32B48"/>
    <w:rsid w:val="00A35D6F"/>
    <w:rsid w:val="00A36D00"/>
    <w:rsid w:val="00A42462"/>
    <w:rsid w:val="00A43389"/>
    <w:rsid w:val="00A4642E"/>
    <w:rsid w:val="00A47AF8"/>
    <w:rsid w:val="00A52D75"/>
    <w:rsid w:val="00A53013"/>
    <w:rsid w:val="00A54BD6"/>
    <w:rsid w:val="00A5643A"/>
    <w:rsid w:val="00A57678"/>
    <w:rsid w:val="00A6090C"/>
    <w:rsid w:val="00A6200E"/>
    <w:rsid w:val="00A62D1E"/>
    <w:rsid w:val="00A65C6D"/>
    <w:rsid w:val="00A670C7"/>
    <w:rsid w:val="00A716B9"/>
    <w:rsid w:val="00A720D8"/>
    <w:rsid w:val="00A72216"/>
    <w:rsid w:val="00A733F2"/>
    <w:rsid w:val="00A75705"/>
    <w:rsid w:val="00A75BE1"/>
    <w:rsid w:val="00A8187C"/>
    <w:rsid w:val="00A82C9E"/>
    <w:rsid w:val="00A8324F"/>
    <w:rsid w:val="00A84193"/>
    <w:rsid w:val="00A85142"/>
    <w:rsid w:val="00A875B4"/>
    <w:rsid w:val="00A95B37"/>
    <w:rsid w:val="00A96B6F"/>
    <w:rsid w:val="00AA0CE8"/>
    <w:rsid w:val="00AA35FD"/>
    <w:rsid w:val="00AA3DB7"/>
    <w:rsid w:val="00AA5EF2"/>
    <w:rsid w:val="00AA5F63"/>
    <w:rsid w:val="00AA7EBD"/>
    <w:rsid w:val="00AB0590"/>
    <w:rsid w:val="00AB1112"/>
    <w:rsid w:val="00AB67DE"/>
    <w:rsid w:val="00AB69EF"/>
    <w:rsid w:val="00AC11DC"/>
    <w:rsid w:val="00AC23B0"/>
    <w:rsid w:val="00AC3E87"/>
    <w:rsid w:val="00AC469F"/>
    <w:rsid w:val="00AD0611"/>
    <w:rsid w:val="00AD0E4F"/>
    <w:rsid w:val="00AD26D7"/>
    <w:rsid w:val="00AD3905"/>
    <w:rsid w:val="00AD4555"/>
    <w:rsid w:val="00AD4A31"/>
    <w:rsid w:val="00AD5638"/>
    <w:rsid w:val="00AD7214"/>
    <w:rsid w:val="00AE1066"/>
    <w:rsid w:val="00AE12A4"/>
    <w:rsid w:val="00AE2480"/>
    <w:rsid w:val="00AE2E1B"/>
    <w:rsid w:val="00AE5129"/>
    <w:rsid w:val="00AE5645"/>
    <w:rsid w:val="00AE68BC"/>
    <w:rsid w:val="00AF1D6B"/>
    <w:rsid w:val="00AF24AA"/>
    <w:rsid w:val="00AF3AF9"/>
    <w:rsid w:val="00AF3E5F"/>
    <w:rsid w:val="00AF44C1"/>
    <w:rsid w:val="00AF4F09"/>
    <w:rsid w:val="00AF643E"/>
    <w:rsid w:val="00AF79C8"/>
    <w:rsid w:val="00B00FA8"/>
    <w:rsid w:val="00B011B0"/>
    <w:rsid w:val="00B0391C"/>
    <w:rsid w:val="00B047F6"/>
    <w:rsid w:val="00B06019"/>
    <w:rsid w:val="00B06246"/>
    <w:rsid w:val="00B0700F"/>
    <w:rsid w:val="00B1493B"/>
    <w:rsid w:val="00B15119"/>
    <w:rsid w:val="00B17169"/>
    <w:rsid w:val="00B23996"/>
    <w:rsid w:val="00B23CB2"/>
    <w:rsid w:val="00B249C0"/>
    <w:rsid w:val="00B24A18"/>
    <w:rsid w:val="00B255C5"/>
    <w:rsid w:val="00B25807"/>
    <w:rsid w:val="00B268DD"/>
    <w:rsid w:val="00B32AE1"/>
    <w:rsid w:val="00B35FEC"/>
    <w:rsid w:val="00B37780"/>
    <w:rsid w:val="00B37813"/>
    <w:rsid w:val="00B37EEF"/>
    <w:rsid w:val="00B404F1"/>
    <w:rsid w:val="00B41C1D"/>
    <w:rsid w:val="00B43917"/>
    <w:rsid w:val="00B4515C"/>
    <w:rsid w:val="00B46220"/>
    <w:rsid w:val="00B464EA"/>
    <w:rsid w:val="00B47574"/>
    <w:rsid w:val="00B5430C"/>
    <w:rsid w:val="00B54884"/>
    <w:rsid w:val="00B56A90"/>
    <w:rsid w:val="00B5711C"/>
    <w:rsid w:val="00B57BCF"/>
    <w:rsid w:val="00B57E36"/>
    <w:rsid w:val="00B60209"/>
    <w:rsid w:val="00B606A3"/>
    <w:rsid w:val="00B625CB"/>
    <w:rsid w:val="00B63F2B"/>
    <w:rsid w:val="00B64D3A"/>
    <w:rsid w:val="00B65D6F"/>
    <w:rsid w:val="00B673F3"/>
    <w:rsid w:val="00B67A25"/>
    <w:rsid w:val="00B7354A"/>
    <w:rsid w:val="00B7435B"/>
    <w:rsid w:val="00B74446"/>
    <w:rsid w:val="00B74B59"/>
    <w:rsid w:val="00B75F09"/>
    <w:rsid w:val="00B76BBB"/>
    <w:rsid w:val="00B77142"/>
    <w:rsid w:val="00B8024E"/>
    <w:rsid w:val="00B80C3A"/>
    <w:rsid w:val="00B84643"/>
    <w:rsid w:val="00B90452"/>
    <w:rsid w:val="00B90780"/>
    <w:rsid w:val="00B916D6"/>
    <w:rsid w:val="00B91AD8"/>
    <w:rsid w:val="00B9209B"/>
    <w:rsid w:val="00B9240D"/>
    <w:rsid w:val="00B95753"/>
    <w:rsid w:val="00B97E42"/>
    <w:rsid w:val="00BA0425"/>
    <w:rsid w:val="00BA0C05"/>
    <w:rsid w:val="00BA54D0"/>
    <w:rsid w:val="00BA7E30"/>
    <w:rsid w:val="00BB04BF"/>
    <w:rsid w:val="00BB1013"/>
    <w:rsid w:val="00BB4515"/>
    <w:rsid w:val="00BB7B89"/>
    <w:rsid w:val="00BC1A9B"/>
    <w:rsid w:val="00BC2A22"/>
    <w:rsid w:val="00BC4986"/>
    <w:rsid w:val="00BC5E2E"/>
    <w:rsid w:val="00BC6379"/>
    <w:rsid w:val="00BC6C3E"/>
    <w:rsid w:val="00BC7EEF"/>
    <w:rsid w:val="00BD2308"/>
    <w:rsid w:val="00BD43BB"/>
    <w:rsid w:val="00BD72C1"/>
    <w:rsid w:val="00BD7ADE"/>
    <w:rsid w:val="00BE1A85"/>
    <w:rsid w:val="00BE46ED"/>
    <w:rsid w:val="00BE4FD1"/>
    <w:rsid w:val="00BE642D"/>
    <w:rsid w:val="00BE6D7A"/>
    <w:rsid w:val="00BF07C4"/>
    <w:rsid w:val="00BF2511"/>
    <w:rsid w:val="00BF377F"/>
    <w:rsid w:val="00BF3F88"/>
    <w:rsid w:val="00BF416F"/>
    <w:rsid w:val="00BF57BE"/>
    <w:rsid w:val="00C0042B"/>
    <w:rsid w:val="00C02E58"/>
    <w:rsid w:val="00C030B6"/>
    <w:rsid w:val="00C04B38"/>
    <w:rsid w:val="00C067B7"/>
    <w:rsid w:val="00C10A09"/>
    <w:rsid w:val="00C121BC"/>
    <w:rsid w:val="00C12FA4"/>
    <w:rsid w:val="00C14D92"/>
    <w:rsid w:val="00C16739"/>
    <w:rsid w:val="00C17F3F"/>
    <w:rsid w:val="00C23BA2"/>
    <w:rsid w:val="00C260A2"/>
    <w:rsid w:val="00C30CFF"/>
    <w:rsid w:val="00C30DEC"/>
    <w:rsid w:val="00C31142"/>
    <w:rsid w:val="00C31DEF"/>
    <w:rsid w:val="00C338EB"/>
    <w:rsid w:val="00C35BB7"/>
    <w:rsid w:val="00C36B35"/>
    <w:rsid w:val="00C37626"/>
    <w:rsid w:val="00C400CD"/>
    <w:rsid w:val="00C41617"/>
    <w:rsid w:val="00C4309A"/>
    <w:rsid w:val="00C43F23"/>
    <w:rsid w:val="00C43FF1"/>
    <w:rsid w:val="00C45494"/>
    <w:rsid w:val="00C52D18"/>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167A"/>
    <w:rsid w:val="00C92451"/>
    <w:rsid w:val="00C9272C"/>
    <w:rsid w:val="00C97764"/>
    <w:rsid w:val="00C97C9B"/>
    <w:rsid w:val="00CA2211"/>
    <w:rsid w:val="00CA28FE"/>
    <w:rsid w:val="00CA344C"/>
    <w:rsid w:val="00CA7FF7"/>
    <w:rsid w:val="00CB142D"/>
    <w:rsid w:val="00CB29F6"/>
    <w:rsid w:val="00CB2BBF"/>
    <w:rsid w:val="00CB481C"/>
    <w:rsid w:val="00CB4C8C"/>
    <w:rsid w:val="00CB62E1"/>
    <w:rsid w:val="00CB6EFE"/>
    <w:rsid w:val="00CC16F9"/>
    <w:rsid w:val="00CC28A9"/>
    <w:rsid w:val="00CC4183"/>
    <w:rsid w:val="00CC70A4"/>
    <w:rsid w:val="00CC78C7"/>
    <w:rsid w:val="00CD4A0C"/>
    <w:rsid w:val="00CD5CEF"/>
    <w:rsid w:val="00CE06EC"/>
    <w:rsid w:val="00CE592E"/>
    <w:rsid w:val="00CE5BB5"/>
    <w:rsid w:val="00CE5BC5"/>
    <w:rsid w:val="00CF16A4"/>
    <w:rsid w:val="00CF299F"/>
    <w:rsid w:val="00CF3357"/>
    <w:rsid w:val="00CF58DF"/>
    <w:rsid w:val="00D00BC3"/>
    <w:rsid w:val="00D03538"/>
    <w:rsid w:val="00D04410"/>
    <w:rsid w:val="00D05EE7"/>
    <w:rsid w:val="00D06394"/>
    <w:rsid w:val="00D06A9D"/>
    <w:rsid w:val="00D07C15"/>
    <w:rsid w:val="00D11D4F"/>
    <w:rsid w:val="00D13A01"/>
    <w:rsid w:val="00D15733"/>
    <w:rsid w:val="00D20364"/>
    <w:rsid w:val="00D207B2"/>
    <w:rsid w:val="00D2130C"/>
    <w:rsid w:val="00D26746"/>
    <w:rsid w:val="00D26DDD"/>
    <w:rsid w:val="00D27BDC"/>
    <w:rsid w:val="00D3194F"/>
    <w:rsid w:val="00D33751"/>
    <w:rsid w:val="00D36169"/>
    <w:rsid w:val="00D37343"/>
    <w:rsid w:val="00D37495"/>
    <w:rsid w:val="00D41727"/>
    <w:rsid w:val="00D427E4"/>
    <w:rsid w:val="00D45F1B"/>
    <w:rsid w:val="00D477DB"/>
    <w:rsid w:val="00D47A9E"/>
    <w:rsid w:val="00D52289"/>
    <w:rsid w:val="00D55A37"/>
    <w:rsid w:val="00D55B7E"/>
    <w:rsid w:val="00D564C7"/>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DE3"/>
    <w:rsid w:val="00DA451D"/>
    <w:rsid w:val="00DA64AF"/>
    <w:rsid w:val="00DB1F4F"/>
    <w:rsid w:val="00DB2AC7"/>
    <w:rsid w:val="00DB704C"/>
    <w:rsid w:val="00DC693B"/>
    <w:rsid w:val="00DC7C77"/>
    <w:rsid w:val="00DD0F5D"/>
    <w:rsid w:val="00DD426D"/>
    <w:rsid w:val="00DD74FC"/>
    <w:rsid w:val="00DE117F"/>
    <w:rsid w:val="00DE1769"/>
    <w:rsid w:val="00DE1A17"/>
    <w:rsid w:val="00DE44C8"/>
    <w:rsid w:val="00DE64CC"/>
    <w:rsid w:val="00DE6AA9"/>
    <w:rsid w:val="00DE7B30"/>
    <w:rsid w:val="00DF0C0B"/>
    <w:rsid w:val="00DF18FE"/>
    <w:rsid w:val="00DF20C7"/>
    <w:rsid w:val="00DF4D0C"/>
    <w:rsid w:val="00DF5C20"/>
    <w:rsid w:val="00DF7D81"/>
    <w:rsid w:val="00E02DEB"/>
    <w:rsid w:val="00E042A1"/>
    <w:rsid w:val="00E0476C"/>
    <w:rsid w:val="00E0576B"/>
    <w:rsid w:val="00E067EA"/>
    <w:rsid w:val="00E06D18"/>
    <w:rsid w:val="00E104FA"/>
    <w:rsid w:val="00E12F1F"/>
    <w:rsid w:val="00E1320D"/>
    <w:rsid w:val="00E139F8"/>
    <w:rsid w:val="00E16022"/>
    <w:rsid w:val="00E1738C"/>
    <w:rsid w:val="00E174FF"/>
    <w:rsid w:val="00E205AA"/>
    <w:rsid w:val="00E22296"/>
    <w:rsid w:val="00E270C6"/>
    <w:rsid w:val="00E27360"/>
    <w:rsid w:val="00E27C04"/>
    <w:rsid w:val="00E27C82"/>
    <w:rsid w:val="00E30713"/>
    <w:rsid w:val="00E30EDF"/>
    <w:rsid w:val="00E312D7"/>
    <w:rsid w:val="00E316AF"/>
    <w:rsid w:val="00E31FBA"/>
    <w:rsid w:val="00E328E2"/>
    <w:rsid w:val="00E336BB"/>
    <w:rsid w:val="00E3384E"/>
    <w:rsid w:val="00E34B63"/>
    <w:rsid w:val="00E374C8"/>
    <w:rsid w:val="00E40156"/>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356F"/>
    <w:rsid w:val="00E75116"/>
    <w:rsid w:val="00E763EB"/>
    <w:rsid w:val="00E80A5B"/>
    <w:rsid w:val="00E8153C"/>
    <w:rsid w:val="00E8342F"/>
    <w:rsid w:val="00E84632"/>
    <w:rsid w:val="00E847EE"/>
    <w:rsid w:val="00E85E29"/>
    <w:rsid w:val="00E876F9"/>
    <w:rsid w:val="00E90508"/>
    <w:rsid w:val="00E90B39"/>
    <w:rsid w:val="00E94FFB"/>
    <w:rsid w:val="00E96A72"/>
    <w:rsid w:val="00E96B52"/>
    <w:rsid w:val="00EA01F7"/>
    <w:rsid w:val="00EA083F"/>
    <w:rsid w:val="00EA1D33"/>
    <w:rsid w:val="00EA1F5A"/>
    <w:rsid w:val="00EA375F"/>
    <w:rsid w:val="00EA6415"/>
    <w:rsid w:val="00EA7104"/>
    <w:rsid w:val="00EA7533"/>
    <w:rsid w:val="00EB067F"/>
    <w:rsid w:val="00EB2419"/>
    <w:rsid w:val="00EB45F5"/>
    <w:rsid w:val="00EB58F5"/>
    <w:rsid w:val="00EB6E6B"/>
    <w:rsid w:val="00EC010F"/>
    <w:rsid w:val="00EC224D"/>
    <w:rsid w:val="00EC2E3A"/>
    <w:rsid w:val="00EC3CCB"/>
    <w:rsid w:val="00EC54CD"/>
    <w:rsid w:val="00EC5A74"/>
    <w:rsid w:val="00EC737D"/>
    <w:rsid w:val="00ED2154"/>
    <w:rsid w:val="00ED4277"/>
    <w:rsid w:val="00ED576D"/>
    <w:rsid w:val="00ED7C8C"/>
    <w:rsid w:val="00ED7DDB"/>
    <w:rsid w:val="00ED7FDD"/>
    <w:rsid w:val="00EE0DEA"/>
    <w:rsid w:val="00EE431B"/>
    <w:rsid w:val="00EE4874"/>
    <w:rsid w:val="00EE53E5"/>
    <w:rsid w:val="00EE6654"/>
    <w:rsid w:val="00EE73FB"/>
    <w:rsid w:val="00EE7BF0"/>
    <w:rsid w:val="00EF2674"/>
    <w:rsid w:val="00EF556F"/>
    <w:rsid w:val="00EF7BE0"/>
    <w:rsid w:val="00EF7D07"/>
    <w:rsid w:val="00F016DD"/>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3991"/>
    <w:rsid w:val="00F3477D"/>
    <w:rsid w:val="00F347FE"/>
    <w:rsid w:val="00F34859"/>
    <w:rsid w:val="00F356F7"/>
    <w:rsid w:val="00F40055"/>
    <w:rsid w:val="00F40868"/>
    <w:rsid w:val="00F44FDE"/>
    <w:rsid w:val="00F4518C"/>
    <w:rsid w:val="00F46467"/>
    <w:rsid w:val="00F4715C"/>
    <w:rsid w:val="00F47FF8"/>
    <w:rsid w:val="00F50707"/>
    <w:rsid w:val="00F529B5"/>
    <w:rsid w:val="00F52AA4"/>
    <w:rsid w:val="00F56162"/>
    <w:rsid w:val="00F56B7E"/>
    <w:rsid w:val="00F6052F"/>
    <w:rsid w:val="00F60F44"/>
    <w:rsid w:val="00F62FDE"/>
    <w:rsid w:val="00F645D2"/>
    <w:rsid w:val="00F654E6"/>
    <w:rsid w:val="00F662CD"/>
    <w:rsid w:val="00F67E39"/>
    <w:rsid w:val="00F703A8"/>
    <w:rsid w:val="00F707F1"/>
    <w:rsid w:val="00F7094A"/>
    <w:rsid w:val="00F710BE"/>
    <w:rsid w:val="00F72579"/>
    <w:rsid w:val="00F804B9"/>
    <w:rsid w:val="00F80AE2"/>
    <w:rsid w:val="00F8265F"/>
    <w:rsid w:val="00F83FF9"/>
    <w:rsid w:val="00F85FCB"/>
    <w:rsid w:val="00F870C3"/>
    <w:rsid w:val="00F91B52"/>
    <w:rsid w:val="00F97478"/>
    <w:rsid w:val="00F97B71"/>
    <w:rsid w:val="00F97B9E"/>
    <w:rsid w:val="00FA0527"/>
    <w:rsid w:val="00FA085E"/>
    <w:rsid w:val="00FA0947"/>
    <w:rsid w:val="00FA2D49"/>
    <w:rsid w:val="00FA472B"/>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1E47"/>
    <w:rsid w:val="00FE275D"/>
    <w:rsid w:val="00FE4F1A"/>
    <w:rsid w:val="00FE65AC"/>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0CEC8FC-0758-468D-BEE2-4A71A742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6A4828"/>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180952"/>
    <w:rPr>
      <w:b/>
      <w:kern w:val="44"/>
      <w:sz w:val="44"/>
    </w:rPr>
  </w:style>
  <w:style w:type="character" w:customStyle="1" w:styleId="2Char">
    <w:name w:val="标题 2 Char"/>
    <w:link w:val="2"/>
    <w:uiPriority w:val="99"/>
    <w:semiHidden/>
    <w:locked/>
    <w:rsid w:val="00AB1112"/>
    <w:rPr>
      <w:rFonts w:ascii="Cambria" w:eastAsia="宋体" w:hAnsi="Cambria"/>
      <w:b/>
      <w:sz w:val="32"/>
    </w:rPr>
  </w:style>
  <w:style w:type="paragraph" w:styleId="a0">
    <w:name w:val="Normal Indent"/>
    <w:basedOn w:val="a"/>
    <w:uiPriority w:val="99"/>
    <w:rsid w:val="006A4828"/>
    <w:pPr>
      <w:ind w:firstLineChars="200" w:firstLine="420"/>
    </w:pPr>
  </w:style>
  <w:style w:type="paragraph" w:styleId="a4">
    <w:name w:val="Body Text Indent"/>
    <w:basedOn w:val="a"/>
    <w:link w:val="Char"/>
    <w:uiPriority w:val="99"/>
    <w:rsid w:val="006A4828"/>
    <w:pPr>
      <w:widowControl/>
      <w:spacing w:before="100" w:beforeAutospacing="1" w:after="100" w:afterAutospacing="1"/>
      <w:jc w:val="left"/>
    </w:pPr>
    <w:rPr>
      <w:kern w:val="0"/>
      <w:sz w:val="24"/>
    </w:rPr>
  </w:style>
  <w:style w:type="character" w:customStyle="1" w:styleId="Char">
    <w:name w:val="正文文本缩进 Char"/>
    <w:link w:val="a4"/>
    <w:uiPriority w:val="99"/>
    <w:semiHidden/>
    <w:locked/>
    <w:rsid w:val="00AB1112"/>
    <w:rPr>
      <w:sz w:val="24"/>
    </w:rPr>
  </w:style>
  <w:style w:type="paragraph" w:styleId="a5">
    <w:name w:val="Plain Text"/>
    <w:basedOn w:val="a"/>
    <w:link w:val="Char0"/>
    <w:uiPriority w:val="99"/>
    <w:rsid w:val="006A4828"/>
    <w:rPr>
      <w:rFonts w:ascii="宋体" w:hAnsi="Courier New"/>
      <w:szCs w:val="21"/>
    </w:rPr>
  </w:style>
  <w:style w:type="character" w:customStyle="1" w:styleId="Char0">
    <w:name w:val="纯文本 Char"/>
    <w:link w:val="a5"/>
    <w:uiPriority w:val="99"/>
    <w:locked/>
    <w:rsid w:val="009A045B"/>
    <w:rPr>
      <w:rFonts w:ascii="宋体" w:hAnsi="Courier New"/>
      <w:kern w:val="2"/>
      <w:sz w:val="21"/>
    </w:rPr>
  </w:style>
  <w:style w:type="paragraph" w:styleId="20">
    <w:name w:val="Body Text Indent 2"/>
    <w:basedOn w:val="a"/>
    <w:link w:val="2Char0"/>
    <w:uiPriority w:val="99"/>
    <w:rsid w:val="006A4828"/>
    <w:pPr>
      <w:spacing w:line="560" w:lineRule="exact"/>
      <w:ind w:firstLineChars="200" w:firstLine="480"/>
    </w:pPr>
    <w:rPr>
      <w:kern w:val="0"/>
      <w:sz w:val="24"/>
    </w:rPr>
  </w:style>
  <w:style w:type="character" w:customStyle="1" w:styleId="2Char0">
    <w:name w:val="正文文本缩进 2 Char"/>
    <w:link w:val="20"/>
    <w:uiPriority w:val="99"/>
    <w:semiHidden/>
    <w:locked/>
    <w:rsid w:val="00AB1112"/>
    <w:rPr>
      <w:sz w:val="24"/>
    </w:rPr>
  </w:style>
  <w:style w:type="paragraph" w:styleId="a6">
    <w:name w:val="footer"/>
    <w:basedOn w:val="a"/>
    <w:link w:val="Char1"/>
    <w:uiPriority w:val="99"/>
    <w:rsid w:val="006A4828"/>
    <w:pPr>
      <w:tabs>
        <w:tab w:val="center" w:pos="4153"/>
        <w:tab w:val="right" w:pos="8306"/>
      </w:tabs>
      <w:snapToGrid w:val="0"/>
      <w:jc w:val="left"/>
    </w:pPr>
    <w:rPr>
      <w:kern w:val="0"/>
      <w:sz w:val="18"/>
      <w:szCs w:val="18"/>
    </w:rPr>
  </w:style>
  <w:style w:type="character" w:customStyle="1" w:styleId="Char1">
    <w:name w:val="页脚 Char"/>
    <w:link w:val="a6"/>
    <w:uiPriority w:val="99"/>
    <w:semiHidden/>
    <w:locked/>
    <w:rsid w:val="00AB1112"/>
    <w:rPr>
      <w:sz w:val="18"/>
    </w:rPr>
  </w:style>
  <w:style w:type="character" w:styleId="a7">
    <w:name w:val="page number"/>
    <w:uiPriority w:val="99"/>
    <w:rsid w:val="006A4828"/>
    <w:rPr>
      <w:rFonts w:cs="Times New Roman"/>
    </w:rPr>
  </w:style>
  <w:style w:type="character" w:styleId="a8">
    <w:name w:val="Hyperlink"/>
    <w:uiPriority w:val="99"/>
    <w:rsid w:val="006A4828"/>
    <w:rPr>
      <w:rFonts w:cs="Times New Roman"/>
      <w:color w:val="0000FF"/>
      <w:u w:val="single"/>
    </w:rPr>
  </w:style>
  <w:style w:type="paragraph" w:styleId="3">
    <w:name w:val="Body Text Indent 3"/>
    <w:basedOn w:val="a"/>
    <w:link w:val="3Char"/>
    <w:uiPriority w:val="99"/>
    <w:rsid w:val="006A4828"/>
    <w:pPr>
      <w:spacing w:line="560" w:lineRule="exact"/>
      <w:ind w:firstLineChars="200" w:firstLine="420"/>
    </w:pPr>
    <w:rPr>
      <w:kern w:val="0"/>
      <w:sz w:val="16"/>
      <w:szCs w:val="16"/>
    </w:rPr>
  </w:style>
  <w:style w:type="character" w:customStyle="1" w:styleId="3Char">
    <w:name w:val="正文文本缩进 3 Char"/>
    <w:link w:val="3"/>
    <w:uiPriority w:val="99"/>
    <w:semiHidden/>
    <w:locked/>
    <w:rsid w:val="00AB1112"/>
    <w:rPr>
      <w:sz w:val="16"/>
    </w:rPr>
  </w:style>
  <w:style w:type="paragraph" w:styleId="a9">
    <w:name w:val="header"/>
    <w:basedOn w:val="a"/>
    <w:link w:val="Char2"/>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1207F2"/>
    <w:rPr>
      <w:kern w:val="2"/>
      <w:sz w:val="18"/>
    </w:rPr>
  </w:style>
  <w:style w:type="character" w:customStyle="1" w:styleId="10">
    <w:name w:val="已访问的超链接1"/>
    <w:uiPriority w:val="99"/>
    <w:rsid w:val="006A4828"/>
    <w:rPr>
      <w:color w:val="800080"/>
      <w:u w:val="single"/>
    </w:rPr>
  </w:style>
  <w:style w:type="paragraph" w:styleId="aa">
    <w:name w:val="List"/>
    <w:basedOn w:val="ab"/>
    <w:uiPriority w:val="99"/>
    <w:rsid w:val="006A4828"/>
    <w:pPr>
      <w:spacing w:after="220" w:line="220" w:lineRule="atLeast"/>
      <w:ind w:left="1440" w:hanging="360"/>
    </w:pPr>
    <w:rPr>
      <w:szCs w:val="20"/>
    </w:rPr>
  </w:style>
  <w:style w:type="paragraph" w:styleId="ab">
    <w:name w:val="Body Text"/>
    <w:basedOn w:val="a"/>
    <w:link w:val="Char3"/>
    <w:uiPriority w:val="99"/>
    <w:rsid w:val="006A4828"/>
    <w:pPr>
      <w:spacing w:after="120"/>
    </w:pPr>
    <w:rPr>
      <w:kern w:val="0"/>
      <w:sz w:val="24"/>
    </w:rPr>
  </w:style>
  <w:style w:type="character" w:customStyle="1" w:styleId="Char3">
    <w:name w:val="正文文本 Char"/>
    <w:link w:val="ab"/>
    <w:uiPriority w:val="99"/>
    <w:semiHidden/>
    <w:locked/>
    <w:rsid w:val="00AB1112"/>
    <w:rPr>
      <w:sz w:val="24"/>
    </w:rPr>
  </w:style>
  <w:style w:type="paragraph" w:styleId="ac">
    <w:name w:val="Date"/>
    <w:basedOn w:val="a"/>
    <w:next w:val="a"/>
    <w:link w:val="Char4"/>
    <w:uiPriority w:val="99"/>
    <w:rsid w:val="006A4828"/>
    <w:rPr>
      <w:sz w:val="24"/>
      <w:szCs w:val="20"/>
    </w:rPr>
  </w:style>
  <w:style w:type="character" w:customStyle="1" w:styleId="Char4">
    <w:name w:val="日期 Char"/>
    <w:link w:val="ac"/>
    <w:uiPriority w:val="99"/>
    <w:locked/>
    <w:rsid w:val="00D66685"/>
    <w:rPr>
      <w:kern w:val="2"/>
      <w:sz w:val="24"/>
    </w:rPr>
  </w:style>
  <w:style w:type="character" w:customStyle="1" w:styleId="c1">
    <w:name w:val="c1"/>
    <w:uiPriority w:val="99"/>
    <w:rsid w:val="006A4828"/>
    <w:rPr>
      <w:color w:val="000000"/>
      <w:sz w:val="18"/>
    </w:rPr>
  </w:style>
  <w:style w:type="paragraph" w:styleId="11">
    <w:name w:val="index 1"/>
    <w:basedOn w:val="a"/>
    <w:next w:val="a"/>
    <w:autoRedefine/>
    <w:uiPriority w:val="99"/>
    <w:semiHidden/>
    <w:rsid w:val="006A4828"/>
    <w:pPr>
      <w:jc w:val="right"/>
    </w:pPr>
    <w:rPr>
      <w:color w:val="008000"/>
    </w:rPr>
  </w:style>
  <w:style w:type="paragraph" w:customStyle="1" w:styleId="font5">
    <w:name w:val="font5"/>
    <w:basedOn w:val="a"/>
    <w:uiPriority w:val="99"/>
    <w:rsid w:val="006A4828"/>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link w:val="Char5"/>
    <w:uiPriority w:val="99"/>
    <w:semiHidden/>
    <w:rsid w:val="006A4828"/>
    <w:rPr>
      <w:kern w:val="0"/>
      <w:sz w:val="2"/>
      <w:szCs w:val="20"/>
    </w:rPr>
  </w:style>
  <w:style w:type="character" w:customStyle="1" w:styleId="Char5">
    <w:name w:val="批注框文本 Char"/>
    <w:link w:val="ad"/>
    <w:uiPriority w:val="99"/>
    <w:semiHidden/>
    <w:locked/>
    <w:rsid w:val="00AB1112"/>
    <w:rPr>
      <w:sz w:val="2"/>
    </w:rPr>
  </w:style>
  <w:style w:type="character" w:styleId="ae">
    <w:name w:val="annotation reference"/>
    <w:semiHidden/>
    <w:rsid w:val="006A4828"/>
    <w:rPr>
      <w:rFonts w:cs="Times New Roman"/>
      <w:sz w:val="21"/>
    </w:rPr>
  </w:style>
  <w:style w:type="paragraph" w:styleId="af">
    <w:name w:val="annotation text"/>
    <w:basedOn w:val="a"/>
    <w:link w:val="Char6"/>
    <w:semiHidden/>
    <w:rsid w:val="006A4828"/>
    <w:pPr>
      <w:jc w:val="left"/>
    </w:pPr>
    <w:rPr>
      <w:kern w:val="0"/>
      <w:sz w:val="24"/>
    </w:rPr>
  </w:style>
  <w:style w:type="character" w:customStyle="1" w:styleId="Char6">
    <w:name w:val="批注文字 Char"/>
    <w:link w:val="af"/>
    <w:uiPriority w:val="99"/>
    <w:semiHidden/>
    <w:locked/>
    <w:rsid w:val="00AB1112"/>
    <w:rPr>
      <w:sz w:val="24"/>
    </w:rPr>
  </w:style>
  <w:style w:type="paragraph" w:styleId="af0">
    <w:name w:val="annotation subject"/>
    <w:basedOn w:val="af"/>
    <w:next w:val="af"/>
    <w:link w:val="Char7"/>
    <w:uiPriority w:val="99"/>
    <w:semiHidden/>
    <w:rsid w:val="006A4828"/>
    <w:rPr>
      <w:b/>
      <w:bCs/>
    </w:rPr>
  </w:style>
  <w:style w:type="character" w:customStyle="1" w:styleId="Char7">
    <w:name w:val="批注主题 Char"/>
    <w:link w:val="af0"/>
    <w:uiPriority w:val="99"/>
    <w:semiHidden/>
    <w:locked/>
    <w:rsid w:val="00AB1112"/>
    <w:rPr>
      <w:b/>
      <w:sz w:val="24"/>
    </w:rPr>
  </w:style>
  <w:style w:type="paragraph" w:customStyle="1" w:styleId="Char8">
    <w:name w:val="Char"/>
    <w:basedOn w:val="a"/>
    <w:uiPriority w:val="99"/>
    <w:rsid w:val="006A4828"/>
  </w:style>
  <w:style w:type="paragraph" w:styleId="af1">
    <w:name w:val="Document Map"/>
    <w:basedOn w:val="a"/>
    <w:link w:val="Char9"/>
    <w:uiPriority w:val="99"/>
    <w:semiHidden/>
    <w:rsid w:val="000A549A"/>
    <w:pPr>
      <w:shd w:val="clear" w:color="auto" w:fill="000080"/>
    </w:pPr>
    <w:rPr>
      <w:kern w:val="0"/>
      <w:sz w:val="2"/>
      <w:szCs w:val="20"/>
    </w:rPr>
  </w:style>
  <w:style w:type="character" w:customStyle="1" w:styleId="Char9">
    <w:name w:val="文档结构图 Char"/>
    <w:link w:val="af1"/>
    <w:uiPriority w:val="99"/>
    <w:semiHidden/>
    <w:locked/>
    <w:rsid w:val="00AB1112"/>
    <w:rPr>
      <w:sz w:val="2"/>
    </w:r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a"/>
    <w:uiPriority w:val="99"/>
    <w:rsid w:val="000B251E"/>
    <w:pPr>
      <w:snapToGrid w:val="0"/>
      <w:jc w:val="left"/>
    </w:pPr>
    <w:rPr>
      <w:sz w:val="18"/>
      <w:szCs w:val="18"/>
    </w:rPr>
  </w:style>
  <w:style w:type="character" w:customStyle="1" w:styleId="Chara">
    <w:name w:val="脚注文本 Char"/>
    <w:link w:val="af3"/>
    <w:uiPriority w:val="99"/>
    <w:locked/>
    <w:rsid w:val="00CB481C"/>
    <w:rPr>
      <w:kern w:val="2"/>
      <w:sz w:val="18"/>
    </w:rPr>
  </w:style>
  <w:style w:type="character" w:styleId="af4">
    <w:name w:val="footnote reference"/>
    <w:uiPriority w:val="99"/>
    <w:rsid w:val="000B251E"/>
    <w:rPr>
      <w:rFonts w:cs="Times New Roman"/>
      <w:vertAlign w:val="superscript"/>
    </w:rPr>
  </w:style>
  <w:style w:type="paragraph" w:styleId="af5">
    <w:name w:val="Normal (Web)"/>
    <w:basedOn w:val="a"/>
    <w:uiPriority w:val="99"/>
    <w:rsid w:val="00B25807"/>
    <w:pPr>
      <w:widowControl/>
      <w:spacing w:before="100" w:beforeAutospacing="1" w:after="100" w:afterAutospacing="1"/>
      <w:jc w:val="left"/>
    </w:pPr>
    <w:rPr>
      <w:rFonts w:ascii="宋体" w:hAnsi="宋体"/>
      <w:kern w:val="0"/>
      <w:sz w:val="24"/>
    </w:rPr>
  </w:style>
  <w:style w:type="paragraph" w:customStyle="1" w:styleId="Char10">
    <w:name w:val="Char1"/>
    <w:basedOn w:val="a"/>
    <w:uiPriority w:val="99"/>
    <w:rsid w:val="00D97213"/>
  </w:style>
  <w:style w:type="character" w:customStyle="1" w:styleId="t1">
    <w:name w:val="t1"/>
    <w:uiPriority w:val="99"/>
    <w:rsid w:val="002D2A00"/>
    <w:rPr>
      <w:color w:val="990000"/>
    </w:rPr>
  </w:style>
  <w:style w:type="paragraph" w:customStyle="1" w:styleId="Default">
    <w:name w:val="Default"/>
    <w:uiPriority w:val="99"/>
    <w:rsid w:val="00CB481C"/>
    <w:pPr>
      <w:widowControl w:val="0"/>
      <w:autoSpaceDE w:val="0"/>
      <w:autoSpaceDN w:val="0"/>
      <w:adjustRightInd w:val="0"/>
    </w:pPr>
    <w:rPr>
      <w:rFonts w:ascii="FangSong" w:hAnsi="FangSong" w:cs="FangSong"/>
      <w:color w:val="000000"/>
      <w:sz w:val="24"/>
      <w:szCs w:val="24"/>
    </w:rPr>
  </w:style>
  <w:style w:type="numbering" w:customStyle="1" w:styleId="5">
    <w:name w:val="样式5"/>
    <w:rsid w:val="00C00FED"/>
    <w:pPr>
      <w:numPr>
        <w:numId w:val="8"/>
      </w:numPr>
    </w:pPr>
  </w:style>
  <w:style w:type="character" w:styleId="af6">
    <w:name w:val="Strong"/>
    <w:uiPriority w:val="22"/>
    <w:qFormat/>
    <w:locked/>
    <w:rsid w:val="00AE2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21212">
      <w:bodyDiv w:val="1"/>
      <w:marLeft w:val="0"/>
      <w:marRight w:val="0"/>
      <w:marTop w:val="0"/>
      <w:marBottom w:val="0"/>
      <w:divBdr>
        <w:top w:val="none" w:sz="0" w:space="0" w:color="auto"/>
        <w:left w:val="none" w:sz="0" w:space="0" w:color="auto"/>
        <w:bottom w:val="none" w:sz="0" w:space="0" w:color="auto"/>
        <w:right w:val="none" w:sz="0" w:space="0" w:color="auto"/>
      </w:divBdr>
    </w:div>
    <w:div w:id="888423083">
      <w:marLeft w:val="0"/>
      <w:marRight w:val="0"/>
      <w:marTop w:val="0"/>
      <w:marBottom w:val="0"/>
      <w:divBdr>
        <w:top w:val="none" w:sz="0" w:space="0" w:color="auto"/>
        <w:left w:val="none" w:sz="0" w:space="0" w:color="auto"/>
        <w:bottom w:val="none" w:sz="0" w:space="0" w:color="auto"/>
        <w:right w:val="none" w:sz="0" w:space="0" w:color="auto"/>
      </w:divBdr>
    </w:div>
    <w:div w:id="888423084">
      <w:marLeft w:val="0"/>
      <w:marRight w:val="0"/>
      <w:marTop w:val="0"/>
      <w:marBottom w:val="0"/>
      <w:divBdr>
        <w:top w:val="none" w:sz="0" w:space="0" w:color="auto"/>
        <w:left w:val="none" w:sz="0" w:space="0" w:color="auto"/>
        <w:bottom w:val="none" w:sz="0" w:space="0" w:color="auto"/>
        <w:right w:val="none" w:sz="0" w:space="0" w:color="auto"/>
      </w:divBdr>
    </w:div>
    <w:div w:id="888423085">
      <w:marLeft w:val="0"/>
      <w:marRight w:val="0"/>
      <w:marTop w:val="0"/>
      <w:marBottom w:val="0"/>
      <w:divBdr>
        <w:top w:val="none" w:sz="0" w:space="0" w:color="auto"/>
        <w:left w:val="none" w:sz="0" w:space="0" w:color="auto"/>
        <w:bottom w:val="none" w:sz="0" w:space="0" w:color="auto"/>
        <w:right w:val="none" w:sz="0" w:space="0" w:color="auto"/>
      </w:divBdr>
    </w:div>
    <w:div w:id="888423086">
      <w:marLeft w:val="0"/>
      <w:marRight w:val="0"/>
      <w:marTop w:val="0"/>
      <w:marBottom w:val="0"/>
      <w:divBdr>
        <w:top w:val="none" w:sz="0" w:space="0" w:color="auto"/>
        <w:left w:val="none" w:sz="0" w:space="0" w:color="auto"/>
        <w:bottom w:val="none" w:sz="0" w:space="0" w:color="auto"/>
        <w:right w:val="none" w:sz="0" w:space="0" w:color="auto"/>
      </w:divBdr>
    </w:div>
    <w:div w:id="888423087">
      <w:marLeft w:val="0"/>
      <w:marRight w:val="0"/>
      <w:marTop w:val="0"/>
      <w:marBottom w:val="0"/>
      <w:divBdr>
        <w:top w:val="none" w:sz="0" w:space="0" w:color="auto"/>
        <w:left w:val="none" w:sz="0" w:space="0" w:color="auto"/>
        <w:bottom w:val="none" w:sz="0" w:space="0" w:color="auto"/>
        <w:right w:val="none" w:sz="0" w:space="0" w:color="auto"/>
      </w:divBdr>
    </w:div>
    <w:div w:id="888423088">
      <w:marLeft w:val="0"/>
      <w:marRight w:val="0"/>
      <w:marTop w:val="0"/>
      <w:marBottom w:val="0"/>
      <w:divBdr>
        <w:top w:val="none" w:sz="0" w:space="0" w:color="auto"/>
        <w:left w:val="none" w:sz="0" w:space="0" w:color="auto"/>
        <w:bottom w:val="none" w:sz="0" w:space="0" w:color="auto"/>
        <w:right w:val="none" w:sz="0" w:space="0" w:color="auto"/>
      </w:divBdr>
    </w:div>
    <w:div w:id="888423089">
      <w:marLeft w:val="0"/>
      <w:marRight w:val="0"/>
      <w:marTop w:val="0"/>
      <w:marBottom w:val="0"/>
      <w:divBdr>
        <w:top w:val="none" w:sz="0" w:space="0" w:color="auto"/>
        <w:left w:val="none" w:sz="0" w:space="0" w:color="auto"/>
        <w:bottom w:val="none" w:sz="0" w:space="0" w:color="auto"/>
        <w:right w:val="none" w:sz="0" w:space="0" w:color="auto"/>
      </w:divBdr>
    </w:div>
    <w:div w:id="888423090">
      <w:marLeft w:val="0"/>
      <w:marRight w:val="0"/>
      <w:marTop w:val="0"/>
      <w:marBottom w:val="0"/>
      <w:divBdr>
        <w:top w:val="none" w:sz="0" w:space="0" w:color="auto"/>
        <w:left w:val="none" w:sz="0" w:space="0" w:color="auto"/>
        <w:bottom w:val="none" w:sz="0" w:space="0" w:color="auto"/>
        <w:right w:val="none" w:sz="0" w:space="0" w:color="auto"/>
      </w:divBdr>
    </w:div>
    <w:div w:id="888423091">
      <w:marLeft w:val="0"/>
      <w:marRight w:val="0"/>
      <w:marTop w:val="0"/>
      <w:marBottom w:val="0"/>
      <w:divBdr>
        <w:top w:val="none" w:sz="0" w:space="0" w:color="auto"/>
        <w:left w:val="none" w:sz="0" w:space="0" w:color="auto"/>
        <w:bottom w:val="none" w:sz="0" w:space="0" w:color="auto"/>
        <w:right w:val="none" w:sz="0" w:space="0" w:color="auto"/>
      </w:divBdr>
    </w:div>
    <w:div w:id="888423092">
      <w:marLeft w:val="0"/>
      <w:marRight w:val="0"/>
      <w:marTop w:val="0"/>
      <w:marBottom w:val="0"/>
      <w:divBdr>
        <w:top w:val="none" w:sz="0" w:space="0" w:color="auto"/>
        <w:left w:val="none" w:sz="0" w:space="0" w:color="auto"/>
        <w:bottom w:val="none" w:sz="0" w:space="0" w:color="auto"/>
        <w:right w:val="none" w:sz="0" w:space="0" w:color="auto"/>
      </w:divBdr>
    </w:div>
    <w:div w:id="888423093">
      <w:marLeft w:val="0"/>
      <w:marRight w:val="0"/>
      <w:marTop w:val="0"/>
      <w:marBottom w:val="0"/>
      <w:divBdr>
        <w:top w:val="none" w:sz="0" w:space="0" w:color="auto"/>
        <w:left w:val="none" w:sz="0" w:space="0" w:color="auto"/>
        <w:bottom w:val="none" w:sz="0" w:space="0" w:color="auto"/>
        <w:right w:val="none" w:sz="0" w:space="0" w:color="auto"/>
      </w:divBdr>
    </w:div>
    <w:div w:id="888423095">
      <w:marLeft w:val="0"/>
      <w:marRight w:val="0"/>
      <w:marTop w:val="0"/>
      <w:marBottom w:val="0"/>
      <w:divBdr>
        <w:top w:val="none" w:sz="0" w:space="0" w:color="auto"/>
        <w:left w:val="none" w:sz="0" w:space="0" w:color="auto"/>
        <w:bottom w:val="none" w:sz="0" w:space="0" w:color="auto"/>
        <w:right w:val="none" w:sz="0" w:space="0" w:color="auto"/>
      </w:divBdr>
    </w:div>
    <w:div w:id="888423096">
      <w:marLeft w:val="0"/>
      <w:marRight w:val="0"/>
      <w:marTop w:val="0"/>
      <w:marBottom w:val="0"/>
      <w:divBdr>
        <w:top w:val="none" w:sz="0" w:space="0" w:color="auto"/>
        <w:left w:val="none" w:sz="0" w:space="0" w:color="auto"/>
        <w:bottom w:val="none" w:sz="0" w:space="0" w:color="auto"/>
        <w:right w:val="none" w:sz="0" w:space="0" w:color="auto"/>
      </w:divBdr>
    </w:div>
    <w:div w:id="888423097">
      <w:marLeft w:val="0"/>
      <w:marRight w:val="0"/>
      <w:marTop w:val="0"/>
      <w:marBottom w:val="0"/>
      <w:divBdr>
        <w:top w:val="none" w:sz="0" w:space="0" w:color="auto"/>
        <w:left w:val="none" w:sz="0" w:space="0" w:color="auto"/>
        <w:bottom w:val="none" w:sz="0" w:space="0" w:color="auto"/>
        <w:right w:val="none" w:sz="0" w:space="0" w:color="auto"/>
      </w:divBdr>
    </w:div>
    <w:div w:id="888423098">
      <w:marLeft w:val="0"/>
      <w:marRight w:val="0"/>
      <w:marTop w:val="0"/>
      <w:marBottom w:val="0"/>
      <w:divBdr>
        <w:top w:val="none" w:sz="0" w:space="0" w:color="auto"/>
        <w:left w:val="none" w:sz="0" w:space="0" w:color="auto"/>
        <w:bottom w:val="none" w:sz="0" w:space="0" w:color="auto"/>
        <w:right w:val="none" w:sz="0" w:space="0" w:color="auto"/>
      </w:divBdr>
    </w:div>
    <w:div w:id="888423099">
      <w:marLeft w:val="0"/>
      <w:marRight w:val="0"/>
      <w:marTop w:val="0"/>
      <w:marBottom w:val="0"/>
      <w:divBdr>
        <w:top w:val="none" w:sz="0" w:space="0" w:color="auto"/>
        <w:left w:val="none" w:sz="0" w:space="0" w:color="auto"/>
        <w:bottom w:val="none" w:sz="0" w:space="0" w:color="auto"/>
        <w:right w:val="none" w:sz="0" w:space="0" w:color="auto"/>
      </w:divBdr>
    </w:div>
    <w:div w:id="888423100">
      <w:marLeft w:val="150"/>
      <w:marRight w:val="150"/>
      <w:marTop w:val="150"/>
      <w:marBottom w:val="150"/>
      <w:divBdr>
        <w:top w:val="none" w:sz="0" w:space="0" w:color="auto"/>
        <w:left w:val="none" w:sz="0" w:space="0" w:color="auto"/>
        <w:bottom w:val="none" w:sz="0" w:space="0" w:color="auto"/>
        <w:right w:val="none" w:sz="0" w:space="0" w:color="auto"/>
      </w:divBdr>
      <w:divsChild>
        <w:div w:id="888423094">
          <w:marLeft w:val="0"/>
          <w:marRight w:val="0"/>
          <w:marTop w:val="0"/>
          <w:marBottom w:val="0"/>
          <w:divBdr>
            <w:top w:val="none" w:sz="0" w:space="0" w:color="auto"/>
            <w:left w:val="none" w:sz="0" w:space="0" w:color="auto"/>
            <w:bottom w:val="none" w:sz="0" w:space="0" w:color="auto"/>
            <w:right w:val="none" w:sz="0" w:space="0" w:color="auto"/>
          </w:divBdr>
        </w:div>
      </w:divsChild>
    </w:div>
    <w:div w:id="1691950885">
      <w:bodyDiv w:val="1"/>
      <w:marLeft w:val="0"/>
      <w:marRight w:val="0"/>
      <w:marTop w:val="0"/>
      <w:marBottom w:val="0"/>
      <w:divBdr>
        <w:top w:val="none" w:sz="0" w:space="0" w:color="auto"/>
        <w:left w:val="none" w:sz="0" w:space="0" w:color="auto"/>
        <w:bottom w:val="none" w:sz="0" w:space="0" w:color="auto"/>
        <w:right w:val="none" w:sz="0" w:space="0" w:color="auto"/>
      </w:divBdr>
    </w:div>
    <w:div w:id="1704014345">
      <w:bodyDiv w:val="1"/>
      <w:marLeft w:val="0"/>
      <w:marRight w:val="0"/>
      <w:marTop w:val="0"/>
      <w:marBottom w:val="0"/>
      <w:divBdr>
        <w:top w:val="none" w:sz="0" w:space="0" w:color="auto"/>
        <w:left w:val="none" w:sz="0" w:space="0" w:color="auto"/>
        <w:bottom w:val="none" w:sz="0" w:space="0" w:color="auto"/>
        <w:right w:val="none" w:sz="0" w:space="0" w:color="auto"/>
      </w:divBdr>
    </w:div>
    <w:div w:id="1712071077">
      <w:bodyDiv w:val="1"/>
      <w:marLeft w:val="0"/>
      <w:marRight w:val="0"/>
      <w:marTop w:val="0"/>
      <w:marBottom w:val="0"/>
      <w:divBdr>
        <w:top w:val="none" w:sz="0" w:space="0" w:color="auto"/>
        <w:left w:val="none" w:sz="0" w:space="0" w:color="auto"/>
        <w:bottom w:val="none" w:sz="0" w:space="0" w:color="auto"/>
        <w:right w:val="none" w:sz="0" w:space="0" w:color="auto"/>
      </w:divBdr>
    </w:div>
    <w:div w:id="17940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abc季报</Template>
  <TotalTime>0</TotalTime>
  <Pages>5</Pages>
  <Words>1007</Words>
  <Characters>5743</Characters>
  <Application>Microsoft Office Word</Application>
  <DocSecurity>4</DocSecurity>
  <Lines>47</Lines>
  <Paragraphs>13</Paragraphs>
  <ScaleCrop>false</ScaleCrop>
  <Company>TRT. Ltd. Co.</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2020-04-14T01:36:00Z</dcterms:created>
  <dcterms:modified xsi:type="dcterms:W3CDTF">2020-04-14T01:36:00Z</dcterms:modified>
</cp:coreProperties>
</file>