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易方达策略成长二号混合型证券投资基金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F62357" w:rsidRDefault="006C6925">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62357" w:rsidRDefault="006C6925">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62357" w:rsidRDefault="006C6925">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62357" w:rsidRDefault="006C6925">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62357" w:rsidRDefault="006C6925">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易方达策略成长二号混合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112002</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112002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2006</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16</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1,017,618,466.70</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本基金通过投资兼具较高内在价值和良好成长性的股票，积极把握股票市场波动所带来的获利机会，努力为基金份额持有人追求较高的中长期资本增值。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本基金投资的总体原则是在价值区域内把握波动，在波动中实现研究的</w:t>
            </w:r>
            <w:r w:rsidRPr="00232B03">
              <w:rPr>
                <w:color w:val="000000"/>
                <w:kern w:val="0"/>
                <w:sz w:val="24"/>
                <w:szCs w:val="24"/>
              </w:rPr>
              <w:t>“</w:t>
            </w:r>
            <w:r w:rsidRPr="00232B03">
              <w:rPr>
                <w:color w:val="000000"/>
                <w:kern w:val="0"/>
                <w:sz w:val="24"/>
                <w:szCs w:val="24"/>
              </w:rPr>
              <w:t>溢价</w:t>
            </w:r>
            <w:r w:rsidRPr="00232B03">
              <w:rPr>
                <w:color w:val="000000"/>
                <w:kern w:val="0"/>
                <w:sz w:val="24"/>
                <w:szCs w:val="24"/>
              </w:rPr>
              <w:t>”</w:t>
            </w:r>
            <w:r w:rsidRPr="00232B03">
              <w:rPr>
                <w:color w:val="000000"/>
                <w:kern w:val="0"/>
                <w:sz w:val="24"/>
                <w:szCs w:val="24"/>
              </w:rPr>
              <w:t>。基金采取相对稳定的资产配置策略，避免因过于主动的仓位调整带来额</w:t>
            </w:r>
            <w:r w:rsidRPr="00232B03">
              <w:rPr>
                <w:color w:val="000000"/>
                <w:kern w:val="0"/>
                <w:sz w:val="24"/>
                <w:szCs w:val="24"/>
              </w:rPr>
              <w:lastRenderedPageBreak/>
              <w:t>外的风险。同时，以雄厚的研究力量为依托，通过以价值成长比率（</w:t>
            </w:r>
            <w:r w:rsidRPr="00232B03">
              <w:rPr>
                <w:color w:val="000000"/>
                <w:kern w:val="0"/>
                <w:sz w:val="24"/>
                <w:szCs w:val="24"/>
              </w:rPr>
              <w:t>PEG</w:t>
            </w:r>
            <w:r w:rsidRPr="00232B03">
              <w:rPr>
                <w:color w:val="000000"/>
                <w:kern w:val="0"/>
                <w:sz w:val="24"/>
                <w:szCs w:val="24"/>
              </w:rPr>
              <w:t>）为核心的系统方法筛选出兼具较高内在价值及良好成长性的股票，并通过对相关行业和上市公司成长率变化的动态预测，积极把握行业</w:t>
            </w:r>
            <w:r w:rsidRPr="00232B03">
              <w:rPr>
                <w:color w:val="000000"/>
                <w:kern w:val="0"/>
                <w:sz w:val="24"/>
                <w:szCs w:val="24"/>
              </w:rPr>
              <w:t>/</w:t>
            </w:r>
            <w:r w:rsidRPr="00232B03">
              <w:rPr>
                <w:color w:val="000000"/>
                <w:kern w:val="0"/>
                <w:sz w:val="24"/>
                <w:szCs w:val="24"/>
              </w:rPr>
              <w:t>板块、个股的市场波动所带来的获利机会，为基金持有人追求较高的当期收益及长期资本增值。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上证</w:t>
            </w:r>
            <w:r w:rsidRPr="00232B03">
              <w:rPr>
                <w:color w:val="000000"/>
                <w:kern w:val="0"/>
                <w:sz w:val="24"/>
                <w:szCs w:val="24"/>
              </w:rPr>
              <w:t>A</w:t>
            </w:r>
            <w:r w:rsidRPr="00232B03">
              <w:rPr>
                <w:color w:val="000000"/>
                <w:kern w:val="0"/>
                <w:sz w:val="24"/>
                <w:szCs w:val="24"/>
              </w:rPr>
              <w:t>指收益率</w:t>
            </w:r>
            <w:r w:rsidRPr="00232B03">
              <w:rPr>
                <w:color w:val="000000"/>
                <w:kern w:val="0"/>
                <w:sz w:val="24"/>
                <w:szCs w:val="24"/>
              </w:rPr>
              <w:t>×75</w:t>
            </w:r>
            <w:r w:rsidRPr="00232B03">
              <w:rPr>
                <w:color w:val="000000"/>
                <w:kern w:val="0"/>
                <w:sz w:val="24"/>
                <w:szCs w:val="24"/>
              </w:rPr>
              <w:t>％</w:t>
            </w:r>
            <w:r w:rsidRPr="00232B03">
              <w:rPr>
                <w:color w:val="000000"/>
                <w:kern w:val="0"/>
                <w:sz w:val="24"/>
                <w:szCs w:val="24"/>
              </w:rPr>
              <w:t>+</w:t>
            </w:r>
            <w:r w:rsidRPr="00232B03">
              <w:rPr>
                <w:color w:val="000000"/>
                <w:kern w:val="0"/>
                <w:sz w:val="24"/>
                <w:szCs w:val="24"/>
              </w:rPr>
              <w:t>上证国债指数收益率</w:t>
            </w:r>
            <w:r w:rsidRPr="00232B03">
              <w:rPr>
                <w:color w:val="000000"/>
                <w:kern w:val="0"/>
                <w:sz w:val="24"/>
                <w:szCs w:val="24"/>
              </w:rPr>
              <w:t>×25</w:t>
            </w:r>
            <w:r w:rsidRPr="00232B03">
              <w:rPr>
                <w:color w:val="000000"/>
                <w:kern w:val="0"/>
                <w:sz w:val="24"/>
                <w:szCs w:val="24"/>
              </w:rPr>
              <w:t>％</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本基金为混合型基金，理论上其风险收益水平低于股票型基金，高于债券型基金及货币市场基金。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107,273,359.67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-22,866,065.76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-0.0220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1,001,427,047.09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0.984</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F62357" w:rsidRDefault="006C6925">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F62357">
        <w:tc>
          <w:tcPr>
            <w:tcW w:w="0" w:type="auto"/>
            <w:vAlign w:val="center"/>
          </w:tcPr>
          <w:p w:rsidR="00F62357" w:rsidRDefault="006C6925">
            <w:pPr>
              <w:jc w:val="left"/>
            </w:pPr>
            <w:r>
              <w:rPr>
                <w:color w:val="000000"/>
                <w:kern w:val="0"/>
                <w:sz w:val="24"/>
                <w:szCs w:val="24"/>
              </w:rPr>
              <w:t>过去三个月</w:t>
            </w:r>
          </w:p>
        </w:tc>
        <w:tc>
          <w:tcPr>
            <w:tcW w:w="0" w:type="auto"/>
            <w:vAlign w:val="center"/>
          </w:tcPr>
          <w:p w:rsidR="00F62357" w:rsidRDefault="006C6925">
            <w:pPr>
              <w:jc w:val="center"/>
            </w:pPr>
            <w:r>
              <w:rPr>
                <w:color w:val="000000"/>
                <w:kern w:val="0"/>
                <w:sz w:val="24"/>
                <w:szCs w:val="24"/>
              </w:rPr>
              <w:t>-2.43%</w:t>
            </w:r>
          </w:p>
        </w:tc>
        <w:tc>
          <w:tcPr>
            <w:tcW w:w="0" w:type="auto"/>
            <w:vAlign w:val="center"/>
          </w:tcPr>
          <w:p w:rsidR="00F62357" w:rsidRDefault="006C6925">
            <w:pPr>
              <w:jc w:val="center"/>
            </w:pPr>
            <w:r>
              <w:rPr>
                <w:color w:val="000000"/>
                <w:kern w:val="0"/>
                <w:sz w:val="24"/>
                <w:szCs w:val="24"/>
              </w:rPr>
              <w:t>2.14%</w:t>
            </w:r>
          </w:p>
        </w:tc>
        <w:tc>
          <w:tcPr>
            <w:tcW w:w="0" w:type="auto"/>
            <w:vAlign w:val="center"/>
          </w:tcPr>
          <w:p w:rsidR="00F62357" w:rsidRDefault="006C6925">
            <w:pPr>
              <w:jc w:val="center"/>
            </w:pPr>
            <w:r>
              <w:rPr>
                <w:color w:val="000000"/>
                <w:kern w:val="0"/>
                <w:sz w:val="24"/>
                <w:szCs w:val="24"/>
              </w:rPr>
              <w:t>-6.79%</w:t>
            </w:r>
          </w:p>
        </w:tc>
        <w:tc>
          <w:tcPr>
            <w:tcW w:w="0" w:type="auto"/>
            <w:vAlign w:val="center"/>
          </w:tcPr>
          <w:p w:rsidR="00F62357" w:rsidRDefault="006C6925">
            <w:pPr>
              <w:jc w:val="center"/>
            </w:pPr>
            <w:r>
              <w:rPr>
                <w:color w:val="000000"/>
                <w:kern w:val="0"/>
                <w:sz w:val="24"/>
                <w:szCs w:val="24"/>
              </w:rPr>
              <w:t>1.32%</w:t>
            </w:r>
          </w:p>
        </w:tc>
        <w:tc>
          <w:tcPr>
            <w:tcW w:w="0" w:type="auto"/>
            <w:vAlign w:val="center"/>
          </w:tcPr>
          <w:p w:rsidR="00F62357" w:rsidRDefault="006C6925">
            <w:pPr>
              <w:jc w:val="center"/>
            </w:pPr>
            <w:r>
              <w:rPr>
                <w:color w:val="000000"/>
                <w:kern w:val="0"/>
                <w:sz w:val="24"/>
                <w:szCs w:val="24"/>
              </w:rPr>
              <w:t>4.36%</w:t>
            </w:r>
          </w:p>
        </w:tc>
        <w:tc>
          <w:tcPr>
            <w:tcW w:w="0" w:type="auto"/>
            <w:vAlign w:val="center"/>
          </w:tcPr>
          <w:p w:rsidR="00F62357" w:rsidRDefault="006C6925">
            <w:pPr>
              <w:jc w:val="center"/>
            </w:pPr>
            <w:r>
              <w:rPr>
                <w:color w:val="000000"/>
                <w:kern w:val="0"/>
                <w:sz w:val="24"/>
                <w:szCs w:val="24"/>
              </w:rPr>
              <w:t>0.82%</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易方达策略成长二号混合型证券投资基金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2006</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16</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6C6925"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210.67%</w:t>
      </w:r>
      <w:r w:rsidRPr="006C56AA">
        <w:rPr>
          <w:color w:val="000000"/>
          <w:sz w:val="24"/>
          <w:szCs w:val="24"/>
        </w:rPr>
        <w:t>，同期业绩比较基准收益率为</w:t>
      </w:r>
      <w:r w:rsidRPr="006C56AA">
        <w:rPr>
          <w:color w:val="000000"/>
          <w:sz w:val="24"/>
          <w:szCs w:val="24"/>
        </w:rPr>
        <w:t>70.12%</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F62357">
        <w:tc>
          <w:tcPr>
            <w:tcW w:w="0" w:type="auto"/>
            <w:vAlign w:val="center"/>
          </w:tcPr>
          <w:p w:rsidR="00F62357" w:rsidRDefault="006C6925">
            <w:pPr>
              <w:jc w:val="center"/>
            </w:pPr>
            <w:r>
              <w:rPr>
                <w:color w:val="000000"/>
                <w:sz w:val="24"/>
              </w:rPr>
              <w:t>梁裕宁</w:t>
            </w:r>
          </w:p>
        </w:tc>
        <w:tc>
          <w:tcPr>
            <w:tcW w:w="0" w:type="auto"/>
            <w:vAlign w:val="center"/>
          </w:tcPr>
          <w:p w:rsidR="00F62357" w:rsidRDefault="006C6925">
            <w:pPr>
              <w:jc w:val="left"/>
            </w:pPr>
            <w:r>
              <w:rPr>
                <w:color w:val="000000"/>
                <w:sz w:val="24"/>
              </w:rPr>
              <w:t>本基金的基金经理、易方达策略成长证券投资基金的基金经理</w:t>
            </w:r>
          </w:p>
        </w:tc>
        <w:tc>
          <w:tcPr>
            <w:tcW w:w="0" w:type="auto"/>
            <w:vAlign w:val="center"/>
          </w:tcPr>
          <w:p w:rsidR="00F62357" w:rsidRDefault="006C6925">
            <w:pPr>
              <w:jc w:val="center"/>
            </w:pPr>
            <w:r>
              <w:rPr>
                <w:color w:val="000000"/>
                <w:sz w:val="24"/>
              </w:rPr>
              <w:t>2017-02-17</w:t>
            </w:r>
          </w:p>
        </w:tc>
        <w:tc>
          <w:tcPr>
            <w:tcW w:w="0" w:type="auto"/>
            <w:vAlign w:val="center"/>
          </w:tcPr>
          <w:p w:rsidR="00F62357" w:rsidRDefault="006C6925">
            <w:pPr>
              <w:jc w:val="center"/>
            </w:pPr>
            <w:r>
              <w:rPr>
                <w:color w:val="000000"/>
                <w:sz w:val="24"/>
              </w:rPr>
              <w:t>-</w:t>
            </w:r>
          </w:p>
        </w:tc>
        <w:tc>
          <w:tcPr>
            <w:tcW w:w="0" w:type="auto"/>
            <w:vAlign w:val="center"/>
          </w:tcPr>
          <w:p w:rsidR="00F62357" w:rsidRDefault="006C6925">
            <w:pPr>
              <w:jc w:val="center"/>
            </w:pPr>
            <w:r>
              <w:rPr>
                <w:color w:val="000000"/>
                <w:sz w:val="24"/>
              </w:rPr>
              <w:t>10</w:t>
            </w:r>
            <w:r>
              <w:rPr>
                <w:color w:val="000000"/>
                <w:sz w:val="24"/>
              </w:rPr>
              <w:t>年</w:t>
            </w:r>
          </w:p>
        </w:tc>
        <w:tc>
          <w:tcPr>
            <w:tcW w:w="0" w:type="auto"/>
            <w:vAlign w:val="center"/>
          </w:tcPr>
          <w:p w:rsidR="00F62357" w:rsidRDefault="006C6925">
            <w:r>
              <w:rPr>
                <w:color w:val="000000"/>
                <w:sz w:val="24"/>
              </w:rPr>
              <w:t>硕士研究生，具有基金从业资格。曾任普华永道会计师事务所高级审计师，中山华通五金制品有限公司总裁助理，</w:t>
            </w:r>
            <w:r>
              <w:rPr>
                <w:color w:val="000000"/>
                <w:sz w:val="24"/>
              </w:rPr>
              <w:t xml:space="preserve">QQ Distinction Pty </w:t>
            </w:r>
            <w:r>
              <w:rPr>
                <w:color w:val="000000"/>
                <w:sz w:val="24"/>
              </w:rPr>
              <w:t>Ltd</w:t>
            </w:r>
            <w:r>
              <w:rPr>
                <w:color w:val="000000"/>
                <w:sz w:val="24"/>
              </w:rPr>
              <w:t>董事、财务负责人，易方达基金管理有限公司行业研究员、投资经理、易方达瑞享灵活配置混合型证券投资基金基金经理。</w:t>
            </w:r>
          </w:p>
        </w:tc>
      </w:tr>
    </w:tbl>
    <w:p w:rsidR="00F62357" w:rsidRDefault="006C6925">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F62357" w:rsidRDefault="006C6925">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F62357" w:rsidRDefault="006C6925">
      <w:pPr>
        <w:spacing w:line="360" w:lineRule="auto"/>
        <w:ind w:firstLineChars="200" w:firstLine="480"/>
        <w:rPr>
          <w:color w:val="000000"/>
          <w:sz w:val="24"/>
          <w:szCs w:val="24"/>
        </w:rPr>
      </w:pPr>
      <w:r>
        <w:rPr>
          <w:color w:val="000000"/>
          <w:sz w:val="24"/>
          <w:szCs w:val="24"/>
        </w:rPr>
        <w:t>2020</w:t>
      </w:r>
      <w:r>
        <w:rPr>
          <w:color w:val="000000"/>
          <w:sz w:val="24"/>
          <w:szCs w:val="24"/>
        </w:rPr>
        <w:t>年一季度，上证综指下跌</w:t>
      </w:r>
      <w:r>
        <w:rPr>
          <w:color w:val="000000"/>
          <w:sz w:val="24"/>
          <w:szCs w:val="24"/>
        </w:rPr>
        <w:t>9.83%</w:t>
      </w:r>
      <w:r>
        <w:rPr>
          <w:color w:val="000000"/>
          <w:sz w:val="24"/>
          <w:szCs w:val="24"/>
        </w:rPr>
        <w:t>，创业板指数上涨</w:t>
      </w:r>
      <w:r>
        <w:rPr>
          <w:color w:val="000000"/>
          <w:sz w:val="24"/>
          <w:szCs w:val="24"/>
        </w:rPr>
        <w:t>4.10%</w:t>
      </w:r>
      <w:r>
        <w:rPr>
          <w:color w:val="000000"/>
          <w:sz w:val="24"/>
          <w:szCs w:val="24"/>
        </w:rPr>
        <w:t>，</w:t>
      </w:r>
      <w:r>
        <w:rPr>
          <w:color w:val="000000"/>
          <w:sz w:val="24"/>
          <w:szCs w:val="24"/>
        </w:rPr>
        <w:t>A</w:t>
      </w:r>
      <w:r>
        <w:rPr>
          <w:color w:val="000000"/>
          <w:sz w:val="24"/>
          <w:szCs w:val="24"/>
        </w:rPr>
        <w:t>股市场呈现一定分化，且受病毒肆虐影响，波动幅度明显。由于疫情所导致的经济停顿和失速，</w:t>
      </w:r>
      <w:r>
        <w:rPr>
          <w:color w:val="000000"/>
          <w:sz w:val="24"/>
          <w:szCs w:val="24"/>
        </w:rPr>
        <w:t>A</w:t>
      </w:r>
      <w:r>
        <w:rPr>
          <w:color w:val="000000"/>
          <w:sz w:val="24"/>
          <w:szCs w:val="24"/>
        </w:rPr>
        <w:t>股大部分行业上半年盈利预期面临严重的下修。全年预期下修幅度尚未明确，随着疫情在全球蔓延，未来一段时间存在继续下修可能。为了应对经济及就业大幅恶化风险，全球政府均对货币政策进一步宽松，国内十年期国债收益率降到</w:t>
      </w:r>
      <w:r>
        <w:rPr>
          <w:color w:val="000000"/>
          <w:sz w:val="24"/>
          <w:szCs w:val="24"/>
        </w:rPr>
        <w:t>2.55%</w:t>
      </w:r>
      <w:r>
        <w:rPr>
          <w:color w:val="000000"/>
          <w:sz w:val="24"/>
          <w:szCs w:val="24"/>
        </w:rPr>
        <w:t>新低，此外，财政政策也将加大投入力度。基于以上宏观情况，可以判断国内经济正处于</w:t>
      </w:r>
      <w:r>
        <w:rPr>
          <w:color w:val="000000"/>
          <w:sz w:val="24"/>
          <w:szCs w:val="24"/>
        </w:rPr>
        <w:t>“</w:t>
      </w:r>
      <w:r>
        <w:rPr>
          <w:color w:val="000000"/>
          <w:sz w:val="24"/>
          <w:szCs w:val="24"/>
        </w:rPr>
        <w:t>流动性松，经济恶化</w:t>
      </w:r>
      <w:r>
        <w:rPr>
          <w:color w:val="000000"/>
          <w:sz w:val="24"/>
          <w:szCs w:val="24"/>
        </w:rPr>
        <w:t>”</w:t>
      </w:r>
      <w:r>
        <w:rPr>
          <w:color w:val="000000"/>
          <w:sz w:val="24"/>
          <w:szCs w:val="24"/>
        </w:rPr>
        <w:t>的投资区间，并有可能在后面进入</w:t>
      </w:r>
      <w:r>
        <w:rPr>
          <w:color w:val="000000"/>
          <w:sz w:val="24"/>
          <w:szCs w:val="24"/>
        </w:rPr>
        <w:t>“</w:t>
      </w:r>
      <w:r>
        <w:rPr>
          <w:color w:val="000000"/>
          <w:sz w:val="24"/>
          <w:szCs w:val="24"/>
        </w:rPr>
        <w:t>流动性松</w:t>
      </w:r>
      <w:r>
        <w:rPr>
          <w:color w:val="000000"/>
          <w:sz w:val="24"/>
          <w:szCs w:val="24"/>
        </w:rPr>
        <w:t>，经济好转</w:t>
      </w:r>
      <w:r>
        <w:rPr>
          <w:color w:val="000000"/>
          <w:sz w:val="24"/>
          <w:szCs w:val="24"/>
        </w:rPr>
        <w:t>”</w:t>
      </w:r>
      <w:r>
        <w:rPr>
          <w:color w:val="000000"/>
          <w:sz w:val="24"/>
          <w:szCs w:val="24"/>
        </w:rPr>
        <w:t>的区间。面对普遍预期下修的基本面，对流动性更敏感的行业相对受益。</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基于</w:t>
      </w:r>
      <w:r w:rsidRPr="006C56AA">
        <w:rPr>
          <w:color w:val="000000"/>
          <w:sz w:val="24"/>
          <w:szCs w:val="24"/>
        </w:rPr>
        <w:t>“</w:t>
      </w:r>
      <w:r w:rsidRPr="006C56AA">
        <w:rPr>
          <w:color w:val="000000"/>
          <w:sz w:val="24"/>
          <w:szCs w:val="24"/>
        </w:rPr>
        <w:t>流动性松，经济恶化</w:t>
      </w:r>
      <w:r w:rsidRPr="006C56AA">
        <w:rPr>
          <w:color w:val="000000"/>
          <w:sz w:val="24"/>
          <w:szCs w:val="24"/>
        </w:rPr>
        <w:t>”</w:t>
      </w:r>
      <w:r w:rsidRPr="006C56AA">
        <w:rPr>
          <w:color w:val="000000"/>
          <w:sz w:val="24"/>
          <w:szCs w:val="24"/>
        </w:rPr>
        <w:t>的判断，本基金在一季度维持较高仓位，配置上倾向于对流动性敏感、受疫情冲击相对较小的</w:t>
      </w:r>
      <w:r w:rsidRPr="006C56AA">
        <w:rPr>
          <w:color w:val="000000"/>
          <w:sz w:val="24"/>
          <w:szCs w:val="24"/>
        </w:rPr>
        <w:t>TMT</w:t>
      </w:r>
      <w:r w:rsidRPr="006C56AA">
        <w:rPr>
          <w:color w:val="000000"/>
          <w:sz w:val="24"/>
          <w:szCs w:val="24"/>
        </w:rPr>
        <w:t>行业。同时由于国内疫情正逐步消退，经济预期有可能在二、三季度反弹，本基金也增加了对流动性和经济预期同样敏感的周期行业配置，而降低了基本面回落、估值较高的消费行业配置。</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0.984</w:t>
      </w:r>
      <w:r w:rsidRPr="006C56AA">
        <w:rPr>
          <w:color w:val="000000"/>
          <w:sz w:val="24"/>
          <w:szCs w:val="24"/>
        </w:rPr>
        <w:t>元，本报告期份额净值增长率为</w:t>
      </w:r>
      <w:r w:rsidRPr="006C56AA">
        <w:rPr>
          <w:color w:val="000000"/>
          <w:sz w:val="24"/>
          <w:szCs w:val="24"/>
        </w:rPr>
        <w:t>-2.43%</w:t>
      </w:r>
      <w:r w:rsidRPr="006C56AA">
        <w:rPr>
          <w:color w:val="000000"/>
          <w:sz w:val="24"/>
          <w:szCs w:val="24"/>
        </w:rPr>
        <w:t>，同期业绩比较基准收益率为</w:t>
      </w:r>
      <w:r w:rsidRPr="006C56AA">
        <w:rPr>
          <w:color w:val="000000"/>
          <w:sz w:val="24"/>
          <w:szCs w:val="24"/>
        </w:rPr>
        <w:t>-6.79%</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930,055,973.52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90.14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930,055,973.52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90.14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1,237,125.00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0.12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1,237,125.00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0.12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99,821,770.39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9.67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683,836.57</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0.07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1,031,798,705.48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32,892,220.50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3.28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554,808,971.79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55.40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9,453,570.00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0.94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5,977,867.31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0.60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23,523,732.32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183,884,069.62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18.36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10,354,711.00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67,529,390.00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6.74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22,828,964.98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18,802,476.00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930,055,973.52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92.87</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62357">
        <w:tc>
          <w:tcPr>
            <w:tcW w:w="0" w:type="auto"/>
            <w:vAlign w:val="center"/>
          </w:tcPr>
          <w:p w:rsidR="00F62357" w:rsidRDefault="006C6925">
            <w:pPr>
              <w:jc w:val="center"/>
            </w:pPr>
            <w:r>
              <w:rPr>
                <w:color w:val="000000"/>
                <w:kern w:val="0"/>
                <w:sz w:val="24"/>
                <w:szCs w:val="24"/>
              </w:rPr>
              <w:t>1</w:t>
            </w:r>
          </w:p>
        </w:tc>
        <w:tc>
          <w:tcPr>
            <w:tcW w:w="0" w:type="auto"/>
            <w:vAlign w:val="center"/>
          </w:tcPr>
          <w:p w:rsidR="00F62357" w:rsidRDefault="006C6925">
            <w:pPr>
              <w:jc w:val="center"/>
            </w:pPr>
            <w:r>
              <w:rPr>
                <w:color w:val="000000"/>
                <w:kern w:val="0"/>
                <w:sz w:val="24"/>
                <w:szCs w:val="24"/>
              </w:rPr>
              <w:t>600066</w:t>
            </w:r>
          </w:p>
        </w:tc>
        <w:tc>
          <w:tcPr>
            <w:tcW w:w="0" w:type="auto"/>
            <w:vAlign w:val="center"/>
          </w:tcPr>
          <w:p w:rsidR="00F62357" w:rsidRDefault="006C6925">
            <w:pPr>
              <w:jc w:val="center"/>
            </w:pPr>
            <w:r>
              <w:rPr>
                <w:color w:val="000000"/>
                <w:kern w:val="0"/>
                <w:sz w:val="24"/>
                <w:szCs w:val="24"/>
              </w:rPr>
              <w:t>宇通客车</w:t>
            </w:r>
          </w:p>
        </w:tc>
        <w:tc>
          <w:tcPr>
            <w:tcW w:w="0" w:type="auto"/>
            <w:vAlign w:val="center"/>
          </w:tcPr>
          <w:p w:rsidR="00F62357" w:rsidRDefault="006C6925">
            <w:pPr>
              <w:jc w:val="right"/>
            </w:pPr>
            <w:r>
              <w:rPr>
                <w:color w:val="000000"/>
                <w:kern w:val="0"/>
                <w:sz w:val="24"/>
                <w:szCs w:val="24"/>
              </w:rPr>
              <w:t>3,045,200</w:t>
            </w:r>
          </w:p>
        </w:tc>
        <w:tc>
          <w:tcPr>
            <w:tcW w:w="0" w:type="auto"/>
            <w:vAlign w:val="center"/>
          </w:tcPr>
          <w:p w:rsidR="00F62357" w:rsidRDefault="006C6925">
            <w:pPr>
              <w:jc w:val="right"/>
            </w:pPr>
            <w:r>
              <w:rPr>
                <w:color w:val="000000"/>
                <w:kern w:val="0"/>
                <w:sz w:val="24"/>
                <w:szCs w:val="24"/>
              </w:rPr>
              <w:t>41,688,788.00</w:t>
            </w:r>
          </w:p>
        </w:tc>
        <w:tc>
          <w:tcPr>
            <w:tcW w:w="0" w:type="auto"/>
            <w:vAlign w:val="center"/>
          </w:tcPr>
          <w:p w:rsidR="00F62357" w:rsidRDefault="006C6925">
            <w:pPr>
              <w:jc w:val="right"/>
            </w:pPr>
            <w:r>
              <w:rPr>
                <w:color w:val="000000"/>
                <w:kern w:val="0"/>
                <w:sz w:val="24"/>
                <w:szCs w:val="24"/>
              </w:rPr>
              <w:t>4.16</w:t>
            </w:r>
          </w:p>
        </w:tc>
      </w:tr>
      <w:tr w:rsidR="00F62357">
        <w:tc>
          <w:tcPr>
            <w:tcW w:w="0" w:type="auto"/>
            <w:vAlign w:val="center"/>
          </w:tcPr>
          <w:p w:rsidR="00F62357" w:rsidRDefault="006C6925">
            <w:pPr>
              <w:jc w:val="center"/>
            </w:pPr>
            <w:r>
              <w:rPr>
                <w:color w:val="000000"/>
                <w:kern w:val="0"/>
                <w:sz w:val="24"/>
                <w:szCs w:val="24"/>
              </w:rPr>
              <w:t>2</w:t>
            </w:r>
          </w:p>
        </w:tc>
        <w:tc>
          <w:tcPr>
            <w:tcW w:w="0" w:type="auto"/>
            <w:vAlign w:val="center"/>
          </w:tcPr>
          <w:p w:rsidR="00F62357" w:rsidRDefault="006C6925">
            <w:pPr>
              <w:jc w:val="center"/>
            </w:pPr>
            <w:r>
              <w:rPr>
                <w:color w:val="000000"/>
                <w:kern w:val="0"/>
                <w:sz w:val="24"/>
                <w:szCs w:val="24"/>
              </w:rPr>
              <w:t>300498</w:t>
            </w:r>
          </w:p>
        </w:tc>
        <w:tc>
          <w:tcPr>
            <w:tcW w:w="0" w:type="auto"/>
            <w:vAlign w:val="center"/>
          </w:tcPr>
          <w:p w:rsidR="00F62357" w:rsidRDefault="006C6925">
            <w:pPr>
              <w:jc w:val="center"/>
            </w:pPr>
            <w:r>
              <w:rPr>
                <w:color w:val="000000"/>
                <w:kern w:val="0"/>
                <w:sz w:val="24"/>
                <w:szCs w:val="24"/>
              </w:rPr>
              <w:t>温氏股份</w:t>
            </w:r>
          </w:p>
        </w:tc>
        <w:tc>
          <w:tcPr>
            <w:tcW w:w="0" w:type="auto"/>
            <w:vAlign w:val="center"/>
          </w:tcPr>
          <w:p w:rsidR="00F62357" w:rsidRDefault="006C6925">
            <w:pPr>
              <w:jc w:val="right"/>
            </w:pPr>
            <w:r>
              <w:rPr>
                <w:color w:val="000000"/>
                <w:kern w:val="0"/>
                <w:sz w:val="24"/>
                <w:szCs w:val="24"/>
              </w:rPr>
              <w:t>1,018,335</w:t>
            </w:r>
          </w:p>
        </w:tc>
        <w:tc>
          <w:tcPr>
            <w:tcW w:w="0" w:type="auto"/>
            <w:vAlign w:val="center"/>
          </w:tcPr>
          <w:p w:rsidR="00F62357" w:rsidRDefault="006C6925">
            <w:pPr>
              <w:jc w:val="right"/>
            </w:pPr>
            <w:r>
              <w:rPr>
                <w:color w:val="000000"/>
                <w:kern w:val="0"/>
                <w:sz w:val="24"/>
                <w:szCs w:val="24"/>
              </w:rPr>
              <w:t>32,892,220.50</w:t>
            </w:r>
          </w:p>
        </w:tc>
        <w:tc>
          <w:tcPr>
            <w:tcW w:w="0" w:type="auto"/>
            <w:vAlign w:val="center"/>
          </w:tcPr>
          <w:p w:rsidR="00F62357" w:rsidRDefault="006C6925">
            <w:pPr>
              <w:jc w:val="right"/>
            </w:pPr>
            <w:r>
              <w:rPr>
                <w:color w:val="000000"/>
                <w:kern w:val="0"/>
                <w:sz w:val="24"/>
                <w:szCs w:val="24"/>
              </w:rPr>
              <w:t>3.28</w:t>
            </w:r>
          </w:p>
        </w:tc>
      </w:tr>
      <w:tr w:rsidR="00F62357">
        <w:tc>
          <w:tcPr>
            <w:tcW w:w="0" w:type="auto"/>
            <w:vAlign w:val="center"/>
          </w:tcPr>
          <w:p w:rsidR="00F62357" w:rsidRDefault="006C6925">
            <w:pPr>
              <w:jc w:val="center"/>
            </w:pPr>
            <w:r>
              <w:rPr>
                <w:color w:val="000000"/>
                <w:kern w:val="0"/>
                <w:sz w:val="24"/>
                <w:szCs w:val="24"/>
              </w:rPr>
              <w:t>3</w:t>
            </w:r>
          </w:p>
        </w:tc>
        <w:tc>
          <w:tcPr>
            <w:tcW w:w="0" w:type="auto"/>
            <w:vAlign w:val="center"/>
          </w:tcPr>
          <w:p w:rsidR="00F62357" w:rsidRDefault="006C6925">
            <w:pPr>
              <w:jc w:val="center"/>
            </w:pPr>
            <w:r>
              <w:rPr>
                <w:color w:val="000000"/>
                <w:kern w:val="0"/>
                <w:sz w:val="24"/>
                <w:szCs w:val="24"/>
              </w:rPr>
              <w:t>600183</w:t>
            </w:r>
          </w:p>
        </w:tc>
        <w:tc>
          <w:tcPr>
            <w:tcW w:w="0" w:type="auto"/>
            <w:vAlign w:val="center"/>
          </w:tcPr>
          <w:p w:rsidR="00F62357" w:rsidRDefault="006C6925">
            <w:pPr>
              <w:jc w:val="center"/>
            </w:pPr>
            <w:r>
              <w:rPr>
                <w:color w:val="000000"/>
                <w:kern w:val="0"/>
                <w:sz w:val="24"/>
                <w:szCs w:val="24"/>
              </w:rPr>
              <w:t>生益科技</w:t>
            </w:r>
          </w:p>
        </w:tc>
        <w:tc>
          <w:tcPr>
            <w:tcW w:w="0" w:type="auto"/>
            <w:vAlign w:val="center"/>
          </w:tcPr>
          <w:p w:rsidR="00F62357" w:rsidRDefault="006C6925">
            <w:pPr>
              <w:jc w:val="right"/>
            </w:pPr>
            <w:r>
              <w:rPr>
                <w:color w:val="000000"/>
                <w:kern w:val="0"/>
                <w:sz w:val="24"/>
                <w:szCs w:val="24"/>
              </w:rPr>
              <w:t>1,202,272</w:t>
            </w:r>
          </w:p>
        </w:tc>
        <w:tc>
          <w:tcPr>
            <w:tcW w:w="0" w:type="auto"/>
            <w:vAlign w:val="center"/>
          </w:tcPr>
          <w:p w:rsidR="00F62357" w:rsidRDefault="006C6925">
            <w:pPr>
              <w:jc w:val="right"/>
            </w:pPr>
            <w:r>
              <w:rPr>
                <w:color w:val="000000"/>
                <w:kern w:val="0"/>
                <w:sz w:val="24"/>
                <w:szCs w:val="24"/>
              </w:rPr>
              <w:t>31,824,139.84</w:t>
            </w:r>
          </w:p>
        </w:tc>
        <w:tc>
          <w:tcPr>
            <w:tcW w:w="0" w:type="auto"/>
            <w:vAlign w:val="center"/>
          </w:tcPr>
          <w:p w:rsidR="00F62357" w:rsidRDefault="006C6925">
            <w:pPr>
              <w:jc w:val="right"/>
            </w:pPr>
            <w:r>
              <w:rPr>
                <w:color w:val="000000"/>
                <w:kern w:val="0"/>
                <w:sz w:val="24"/>
                <w:szCs w:val="24"/>
              </w:rPr>
              <w:t>3.18</w:t>
            </w:r>
          </w:p>
        </w:tc>
      </w:tr>
      <w:tr w:rsidR="00F62357">
        <w:tc>
          <w:tcPr>
            <w:tcW w:w="0" w:type="auto"/>
            <w:vAlign w:val="center"/>
          </w:tcPr>
          <w:p w:rsidR="00F62357" w:rsidRDefault="006C6925">
            <w:pPr>
              <w:jc w:val="center"/>
            </w:pPr>
            <w:r>
              <w:rPr>
                <w:color w:val="000000"/>
                <w:kern w:val="0"/>
                <w:sz w:val="24"/>
                <w:szCs w:val="24"/>
              </w:rPr>
              <w:t>4</w:t>
            </w:r>
          </w:p>
        </w:tc>
        <w:tc>
          <w:tcPr>
            <w:tcW w:w="0" w:type="auto"/>
            <w:vAlign w:val="center"/>
          </w:tcPr>
          <w:p w:rsidR="00F62357" w:rsidRDefault="006C6925">
            <w:pPr>
              <w:jc w:val="center"/>
            </w:pPr>
            <w:r>
              <w:rPr>
                <w:color w:val="000000"/>
                <w:kern w:val="0"/>
                <w:sz w:val="24"/>
                <w:szCs w:val="24"/>
              </w:rPr>
              <w:t>002624</w:t>
            </w:r>
          </w:p>
        </w:tc>
        <w:tc>
          <w:tcPr>
            <w:tcW w:w="0" w:type="auto"/>
            <w:vAlign w:val="center"/>
          </w:tcPr>
          <w:p w:rsidR="00F62357" w:rsidRDefault="006C6925">
            <w:pPr>
              <w:jc w:val="center"/>
            </w:pPr>
            <w:r>
              <w:rPr>
                <w:color w:val="000000"/>
                <w:kern w:val="0"/>
                <w:sz w:val="24"/>
                <w:szCs w:val="24"/>
              </w:rPr>
              <w:t>完美世界</w:t>
            </w:r>
          </w:p>
        </w:tc>
        <w:tc>
          <w:tcPr>
            <w:tcW w:w="0" w:type="auto"/>
            <w:vAlign w:val="center"/>
          </w:tcPr>
          <w:p w:rsidR="00F62357" w:rsidRDefault="006C6925">
            <w:pPr>
              <w:jc w:val="right"/>
            </w:pPr>
            <w:r>
              <w:rPr>
                <w:color w:val="000000"/>
                <w:kern w:val="0"/>
                <w:sz w:val="24"/>
                <w:szCs w:val="24"/>
              </w:rPr>
              <w:t>664,893</w:t>
            </w:r>
          </w:p>
        </w:tc>
        <w:tc>
          <w:tcPr>
            <w:tcW w:w="0" w:type="auto"/>
            <w:vAlign w:val="center"/>
          </w:tcPr>
          <w:p w:rsidR="00F62357" w:rsidRDefault="006C6925">
            <w:pPr>
              <w:jc w:val="right"/>
            </w:pPr>
            <w:r>
              <w:rPr>
                <w:color w:val="000000"/>
                <w:kern w:val="0"/>
                <w:sz w:val="24"/>
                <w:szCs w:val="24"/>
              </w:rPr>
              <w:t>31,615,662.15</w:t>
            </w:r>
          </w:p>
        </w:tc>
        <w:tc>
          <w:tcPr>
            <w:tcW w:w="0" w:type="auto"/>
            <w:vAlign w:val="center"/>
          </w:tcPr>
          <w:p w:rsidR="00F62357" w:rsidRDefault="006C6925">
            <w:pPr>
              <w:jc w:val="right"/>
            </w:pPr>
            <w:r>
              <w:rPr>
                <w:color w:val="000000"/>
                <w:kern w:val="0"/>
                <w:sz w:val="24"/>
                <w:szCs w:val="24"/>
              </w:rPr>
              <w:t>3.16</w:t>
            </w:r>
          </w:p>
        </w:tc>
      </w:tr>
      <w:tr w:rsidR="00F62357">
        <w:tc>
          <w:tcPr>
            <w:tcW w:w="0" w:type="auto"/>
            <w:vAlign w:val="center"/>
          </w:tcPr>
          <w:p w:rsidR="00F62357" w:rsidRDefault="006C6925">
            <w:pPr>
              <w:jc w:val="center"/>
            </w:pPr>
            <w:r>
              <w:rPr>
                <w:color w:val="000000"/>
                <w:kern w:val="0"/>
                <w:sz w:val="24"/>
                <w:szCs w:val="24"/>
              </w:rPr>
              <w:t>5</w:t>
            </w:r>
          </w:p>
        </w:tc>
        <w:tc>
          <w:tcPr>
            <w:tcW w:w="0" w:type="auto"/>
            <w:vAlign w:val="center"/>
          </w:tcPr>
          <w:p w:rsidR="00F62357" w:rsidRDefault="006C6925">
            <w:pPr>
              <w:jc w:val="center"/>
            </w:pPr>
            <w:r>
              <w:rPr>
                <w:color w:val="000000"/>
                <w:kern w:val="0"/>
                <w:sz w:val="24"/>
                <w:szCs w:val="24"/>
              </w:rPr>
              <w:t>002146</w:t>
            </w:r>
          </w:p>
        </w:tc>
        <w:tc>
          <w:tcPr>
            <w:tcW w:w="0" w:type="auto"/>
            <w:vAlign w:val="center"/>
          </w:tcPr>
          <w:p w:rsidR="00F62357" w:rsidRDefault="006C6925">
            <w:pPr>
              <w:jc w:val="center"/>
            </w:pPr>
            <w:r>
              <w:rPr>
                <w:color w:val="000000"/>
                <w:kern w:val="0"/>
                <w:sz w:val="24"/>
                <w:szCs w:val="24"/>
              </w:rPr>
              <w:t>荣盛发展</w:t>
            </w:r>
          </w:p>
        </w:tc>
        <w:tc>
          <w:tcPr>
            <w:tcW w:w="0" w:type="auto"/>
            <w:vAlign w:val="center"/>
          </w:tcPr>
          <w:p w:rsidR="00F62357" w:rsidRDefault="006C6925">
            <w:pPr>
              <w:jc w:val="right"/>
            </w:pPr>
            <w:r>
              <w:rPr>
                <w:color w:val="000000"/>
                <w:kern w:val="0"/>
                <w:sz w:val="24"/>
                <w:szCs w:val="24"/>
              </w:rPr>
              <w:t>3,983,600</w:t>
            </w:r>
          </w:p>
        </w:tc>
        <w:tc>
          <w:tcPr>
            <w:tcW w:w="0" w:type="auto"/>
            <w:vAlign w:val="center"/>
          </w:tcPr>
          <w:p w:rsidR="00F62357" w:rsidRDefault="006C6925">
            <w:pPr>
              <w:jc w:val="right"/>
            </w:pPr>
            <w:r>
              <w:rPr>
                <w:color w:val="000000"/>
                <w:kern w:val="0"/>
                <w:sz w:val="24"/>
                <w:szCs w:val="24"/>
              </w:rPr>
              <w:t>30,872,900.00</w:t>
            </w:r>
          </w:p>
        </w:tc>
        <w:tc>
          <w:tcPr>
            <w:tcW w:w="0" w:type="auto"/>
            <w:vAlign w:val="center"/>
          </w:tcPr>
          <w:p w:rsidR="00F62357" w:rsidRDefault="006C6925">
            <w:pPr>
              <w:jc w:val="right"/>
            </w:pPr>
            <w:r>
              <w:rPr>
                <w:color w:val="000000"/>
                <w:kern w:val="0"/>
                <w:sz w:val="24"/>
                <w:szCs w:val="24"/>
              </w:rPr>
              <w:t>3.08</w:t>
            </w:r>
          </w:p>
        </w:tc>
      </w:tr>
      <w:tr w:rsidR="00F62357">
        <w:tc>
          <w:tcPr>
            <w:tcW w:w="0" w:type="auto"/>
            <w:vAlign w:val="center"/>
          </w:tcPr>
          <w:p w:rsidR="00F62357" w:rsidRDefault="006C6925">
            <w:pPr>
              <w:jc w:val="center"/>
            </w:pPr>
            <w:r>
              <w:rPr>
                <w:color w:val="000000"/>
                <w:kern w:val="0"/>
                <w:sz w:val="24"/>
                <w:szCs w:val="24"/>
              </w:rPr>
              <w:t>6</w:t>
            </w:r>
          </w:p>
        </w:tc>
        <w:tc>
          <w:tcPr>
            <w:tcW w:w="0" w:type="auto"/>
            <w:vAlign w:val="center"/>
          </w:tcPr>
          <w:p w:rsidR="00F62357" w:rsidRDefault="006C6925">
            <w:pPr>
              <w:jc w:val="center"/>
            </w:pPr>
            <w:r>
              <w:rPr>
                <w:color w:val="000000"/>
                <w:kern w:val="0"/>
                <w:sz w:val="24"/>
                <w:szCs w:val="24"/>
              </w:rPr>
              <w:t>603520</w:t>
            </w:r>
          </w:p>
        </w:tc>
        <w:tc>
          <w:tcPr>
            <w:tcW w:w="0" w:type="auto"/>
            <w:vAlign w:val="center"/>
          </w:tcPr>
          <w:p w:rsidR="00F62357" w:rsidRDefault="006C6925">
            <w:pPr>
              <w:jc w:val="center"/>
            </w:pPr>
            <w:r>
              <w:rPr>
                <w:color w:val="000000"/>
                <w:kern w:val="0"/>
                <w:sz w:val="24"/>
                <w:szCs w:val="24"/>
              </w:rPr>
              <w:t>司太立</w:t>
            </w:r>
          </w:p>
        </w:tc>
        <w:tc>
          <w:tcPr>
            <w:tcW w:w="0" w:type="auto"/>
            <w:vAlign w:val="center"/>
          </w:tcPr>
          <w:p w:rsidR="00F62357" w:rsidRDefault="006C6925">
            <w:pPr>
              <w:jc w:val="right"/>
            </w:pPr>
            <w:r>
              <w:rPr>
                <w:color w:val="000000"/>
                <w:kern w:val="0"/>
                <w:sz w:val="24"/>
                <w:szCs w:val="24"/>
              </w:rPr>
              <w:t>512,620</w:t>
            </w:r>
          </w:p>
        </w:tc>
        <w:tc>
          <w:tcPr>
            <w:tcW w:w="0" w:type="auto"/>
            <w:vAlign w:val="center"/>
          </w:tcPr>
          <w:p w:rsidR="00F62357" w:rsidRDefault="006C6925">
            <w:pPr>
              <w:jc w:val="right"/>
            </w:pPr>
            <w:r>
              <w:rPr>
                <w:color w:val="000000"/>
                <w:kern w:val="0"/>
                <w:sz w:val="24"/>
                <w:szCs w:val="24"/>
              </w:rPr>
              <w:t>30,234,327.60</w:t>
            </w:r>
          </w:p>
        </w:tc>
        <w:tc>
          <w:tcPr>
            <w:tcW w:w="0" w:type="auto"/>
            <w:vAlign w:val="center"/>
          </w:tcPr>
          <w:p w:rsidR="00F62357" w:rsidRDefault="006C6925">
            <w:pPr>
              <w:jc w:val="right"/>
            </w:pPr>
            <w:r>
              <w:rPr>
                <w:color w:val="000000"/>
                <w:kern w:val="0"/>
                <w:sz w:val="24"/>
                <w:szCs w:val="24"/>
              </w:rPr>
              <w:t>3.02</w:t>
            </w:r>
          </w:p>
        </w:tc>
      </w:tr>
      <w:tr w:rsidR="00F62357">
        <w:tc>
          <w:tcPr>
            <w:tcW w:w="0" w:type="auto"/>
            <w:vAlign w:val="center"/>
          </w:tcPr>
          <w:p w:rsidR="00F62357" w:rsidRDefault="006C6925">
            <w:pPr>
              <w:jc w:val="center"/>
            </w:pPr>
            <w:r>
              <w:rPr>
                <w:color w:val="000000"/>
                <w:kern w:val="0"/>
                <w:sz w:val="24"/>
                <w:szCs w:val="24"/>
              </w:rPr>
              <w:t>7</w:t>
            </w:r>
          </w:p>
        </w:tc>
        <w:tc>
          <w:tcPr>
            <w:tcW w:w="0" w:type="auto"/>
            <w:vAlign w:val="center"/>
          </w:tcPr>
          <w:p w:rsidR="00F62357" w:rsidRDefault="006C6925">
            <w:pPr>
              <w:jc w:val="center"/>
            </w:pPr>
            <w:r>
              <w:rPr>
                <w:color w:val="000000"/>
                <w:kern w:val="0"/>
                <w:sz w:val="24"/>
                <w:szCs w:val="24"/>
              </w:rPr>
              <w:t>000002</w:t>
            </w:r>
          </w:p>
        </w:tc>
        <w:tc>
          <w:tcPr>
            <w:tcW w:w="0" w:type="auto"/>
            <w:vAlign w:val="center"/>
          </w:tcPr>
          <w:p w:rsidR="00F62357" w:rsidRDefault="006C6925">
            <w:pPr>
              <w:jc w:val="center"/>
            </w:pPr>
            <w:r>
              <w:rPr>
                <w:color w:val="000000"/>
                <w:kern w:val="0"/>
                <w:sz w:val="24"/>
                <w:szCs w:val="24"/>
              </w:rPr>
              <w:t>万科</w:t>
            </w:r>
            <w:r>
              <w:rPr>
                <w:color w:val="000000"/>
                <w:kern w:val="0"/>
                <w:sz w:val="24"/>
                <w:szCs w:val="24"/>
              </w:rPr>
              <w:t>A</w:t>
            </w:r>
          </w:p>
        </w:tc>
        <w:tc>
          <w:tcPr>
            <w:tcW w:w="0" w:type="auto"/>
            <w:vAlign w:val="center"/>
          </w:tcPr>
          <w:p w:rsidR="00F62357" w:rsidRDefault="006C6925">
            <w:pPr>
              <w:jc w:val="right"/>
            </w:pPr>
            <w:r>
              <w:rPr>
                <w:color w:val="000000"/>
                <w:kern w:val="0"/>
                <w:sz w:val="24"/>
                <w:szCs w:val="24"/>
              </w:rPr>
              <w:t>1,173,800</w:t>
            </w:r>
          </w:p>
        </w:tc>
        <w:tc>
          <w:tcPr>
            <w:tcW w:w="0" w:type="auto"/>
            <w:vAlign w:val="center"/>
          </w:tcPr>
          <w:p w:rsidR="00F62357" w:rsidRDefault="006C6925">
            <w:pPr>
              <w:jc w:val="right"/>
            </w:pPr>
            <w:r>
              <w:rPr>
                <w:color w:val="000000"/>
                <w:kern w:val="0"/>
                <w:sz w:val="24"/>
                <w:szCs w:val="24"/>
              </w:rPr>
              <w:t>30,107,970.00</w:t>
            </w:r>
          </w:p>
        </w:tc>
        <w:tc>
          <w:tcPr>
            <w:tcW w:w="0" w:type="auto"/>
            <w:vAlign w:val="center"/>
          </w:tcPr>
          <w:p w:rsidR="00F62357" w:rsidRDefault="006C6925">
            <w:pPr>
              <w:jc w:val="right"/>
            </w:pPr>
            <w:r>
              <w:rPr>
                <w:color w:val="000000"/>
                <w:kern w:val="0"/>
                <w:sz w:val="24"/>
                <w:szCs w:val="24"/>
              </w:rPr>
              <w:t>3.01</w:t>
            </w:r>
          </w:p>
        </w:tc>
      </w:tr>
      <w:tr w:rsidR="00F62357">
        <w:tc>
          <w:tcPr>
            <w:tcW w:w="0" w:type="auto"/>
            <w:vAlign w:val="center"/>
          </w:tcPr>
          <w:p w:rsidR="00F62357" w:rsidRDefault="006C6925">
            <w:pPr>
              <w:jc w:val="center"/>
            </w:pPr>
            <w:r>
              <w:rPr>
                <w:color w:val="000000"/>
                <w:kern w:val="0"/>
                <w:sz w:val="24"/>
                <w:szCs w:val="24"/>
              </w:rPr>
              <w:t>8</w:t>
            </w:r>
          </w:p>
        </w:tc>
        <w:tc>
          <w:tcPr>
            <w:tcW w:w="0" w:type="auto"/>
            <w:vAlign w:val="center"/>
          </w:tcPr>
          <w:p w:rsidR="00F62357" w:rsidRDefault="006C6925">
            <w:pPr>
              <w:jc w:val="center"/>
            </w:pPr>
            <w:r>
              <w:rPr>
                <w:color w:val="000000"/>
                <w:kern w:val="0"/>
                <w:sz w:val="24"/>
                <w:szCs w:val="24"/>
              </w:rPr>
              <w:t>300226</w:t>
            </w:r>
          </w:p>
        </w:tc>
        <w:tc>
          <w:tcPr>
            <w:tcW w:w="0" w:type="auto"/>
            <w:vAlign w:val="center"/>
          </w:tcPr>
          <w:p w:rsidR="00F62357" w:rsidRDefault="006C6925">
            <w:pPr>
              <w:jc w:val="center"/>
            </w:pPr>
            <w:r>
              <w:rPr>
                <w:color w:val="000000"/>
                <w:kern w:val="0"/>
                <w:sz w:val="24"/>
                <w:szCs w:val="24"/>
              </w:rPr>
              <w:t>上海钢联</w:t>
            </w:r>
          </w:p>
        </w:tc>
        <w:tc>
          <w:tcPr>
            <w:tcW w:w="0" w:type="auto"/>
            <w:vAlign w:val="center"/>
          </w:tcPr>
          <w:p w:rsidR="00F62357" w:rsidRDefault="006C6925">
            <w:pPr>
              <w:jc w:val="right"/>
            </w:pPr>
            <w:r>
              <w:rPr>
                <w:color w:val="000000"/>
                <w:kern w:val="0"/>
                <w:sz w:val="24"/>
                <w:szCs w:val="24"/>
              </w:rPr>
              <w:t>410,000</w:t>
            </w:r>
          </w:p>
        </w:tc>
        <w:tc>
          <w:tcPr>
            <w:tcW w:w="0" w:type="auto"/>
            <w:vAlign w:val="center"/>
          </w:tcPr>
          <w:p w:rsidR="00F62357" w:rsidRDefault="006C6925">
            <w:pPr>
              <w:jc w:val="right"/>
            </w:pPr>
            <w:r>
              <w:rPr>
                <w:color w:val="000000"/>
                <w:kern w:val="0"/>
                <w:sz w:val="24"/>
                <w:szCs w:val="24"/>
              </w:rPr>
              <w:t>27,921,000.00</w:t>
            </w:r>
          </w:p>
        </w:tc>
        <w:tc>
          <w:tcPr>
            <w:tcW w:w="0" w:type="auto"/>
            <w:vAlign w:val="center"/>
          </w:tcPr>
          <w:p w:rsidR="00F62357" w:rsidRDefault="006C6925">
            <w:pPr>
              <w:jc w:val="right"/>
            </w:pPr>
            <w:r>
              <w:rPr>
                <w:color w:val="000000"/>
                <w:kern w:val="0"/>
                <w:sz w:val="24"/>
                <w:szCs w:val="24"/>
              </w:rPr>
              <w:t>2.79</w:t>
            </w:r>
          </w:p>
        </w:tc>
      </w:tr>
      <w:tr w:rsidR="00F62357">
        <w:tc>
          <w:tcPr>
            <w:tcW w:w="0" w:type="auto"/>
            <w:vAlign w:val="center"/>
          </w:tcPr>
          <w:p w:rsidR="00F62357" w:rsidRDefault="006C6925">
            <w:pPr>
              <w:jc w:val="center"/>
            </w:pPr>
            <w:r>
              <w:rPr>
                <w:color w:val="000000"/>
                <w:kern w:val="0"/>
                <w:sz w:val="24"/>
                <w:szCs w:val="24"/>
              </w:rPr>
              <w:t>9</w:t>
            </w:r>
          </w:p>
        </w:tc>
        <w:tc>
          <w:tcPr>
            <w:tcW w:w="0" w:type="auto"/>
            <w:vAlign w:val="center"/>
          </w:tcPr>
          <w:p w:rsidR="00F62357" w:rsidRDefault="006C6925">
            <w:pPr>
              <w:jc w:val="center"/>
            </w:pPr>
            <w:r>
              <w:rPr>
                <w:color w:val="000000"/>
                <w:kern w:val="0"/>
                <w:sz w:val="24"/>
                <w:szCs w:val="24"/>
              </w:rPr>
              <w:t>600380</w:t>
            </w:r>
          </w:p>
        </w:tc>
        <w:tc>
          <w:tcPr>
            <w:tcW w:w="0" w:type="auto"/>
            <w:vAlign w:val="center"/>
          </w:tcPr>
          <w:p w:rsidR="00F62357" w:rsidRDefault="006C6925">
            <w:pPr>
              <w:jc w:val="center"/>
            </w:pPr>
            <w:r>
              <w:rPr>
                <w:color w:val="000000"/>
                <w:kern w:val="0"/>
                <w:sz w:val="24"/>
                <w:szCs w:val="24"/>
              </w:rPr>
              <w:t>健康元</w:t>
            </w:r>
          </w:p>
        </w:tc>
        <w:tc>
          <w:tcPr>
            <w:tcW w:w="0" w:type="auto"/>
            <w:vAlign w:val="center"/>
          </w:tcPr>
          <w:p w:rsidR="00F62357" w:rsidRDefault="006C6925">
            <w:pPr>
              <w:jc w:val="right"/>
            </w:pPr>
            <w:r>
              <w:rPr>
                <w:color w:val="000000"/>
                <w:kern w:val="0"/>
                <w:sz w:val="24"/>
                <w:szCs w:val="24"/>
              </w:rPr>
              <w:t>2,430,000</w:t>
            </w:r>
          </w:p>
        </w:tc>
        <w:tc>
          <w:tcPr>
            <w:tcW w:w="0" w:type="auto"/>
            <w:vAlign w:val="center"/>
          </w:tcPr>
          <w:p w:rsidR="00F62357" w:rsidRDefault="006C6925">
            <w:pPr>
              <w:jc w:val="right"/>
            </w:pPr>
            <w:r>
              <w:rPr>
                <w:color w:val="000000"/>
                <w:kern w:val="0"/>
                <w:sz w:val="24"/>
                <w:szCs w:val="24"/>
              </w:rPr>
              <w:t>27,847,800.00</w:t>
            </w:r>
          </w:p>
        </w:tc>
        <w:tc>
          <w:tcPr>
            <w:tcW w:w="0" w:type="auto"/>
            <w:vAlign w:val="center"/>
          </w:tcPr>
          <w:p w:rsidR="00F62357" w:rsidRDefault="006C6925">
            <w:pPr>
              <w:jc w:val="right"/>
            </w:pPr>
            <w:r>
              <w:rPr>
                <w:color w:val="000000"/>
                <w:kern w:val="0"/>
                <w:sz w:val="24"/>
                <w:szCs w:val="24"/>
              </w:rPr>
              <w:t>2.78</w:t>
            </w:r>
          </w:p>
        </w:tc>
      </w:tr>
      <w:tr w:rsidR="00F62357">
        <w:tc>
          <w:tcPr>
            <w:tcW w:w="0" w:type="auto"/>
            <w:vAlign w:val="center"/>
          </w:tcPr>
          <w:p w:rsidR="00F62357" w:rsidRDefault="006C6925">
            <w:pPr>
              <w:jc w:val="center"/>
            </w:pPr>
            <w:r>
              <w:rPr>
                <w:color w:val="000000"/>
                <w:kern w:val="0"/>
                <w:sz w:val="24"/>
                <w:szCs w:val="24"/>
              </w:rPr>
              <w:t>10</w:t>
            </w:r>
          </w:p>
        </w:tc>
        <w:tc>
          <w:tcPr>
            <w:tcW w:w="0" w:type="auto"/>
            <w:vAlign w:val="center"/>
          </w:tcPr>
          <w:p w:rsidR="00F62357" w:rsidRDefault="006C6925">
            <w:pPr>
              <w:jc w:val="center"/>
            </w:pPr>
            <w:r>
              <w:rPr>
                <w:color w:val="000000"/>
                <w:kern w:val="0"/>
                <w:sz w:val="24"/>
                <w:szCs w:val="24"/>
              </w:rPr>
              <w:t>002777</w:t>
            </w:r>
          </w:p>
        </w:tc>
        <w:tc>
          <w:tcPr>
            <w:tcW w:w="0" w:type="auto"/>
            <w:vAlign w:val="center"/>
          </w:tcPr>
          <w:p w:rsidR="00F62357" w:rsidRDefault="006C6925">
            <w:pPr>
              <w:jc w:val="center"/>
            </w:pPr>
            <w:r>
              <w:rPr>
                <w:color w:val="000000"/>
                <w:kern w:val="0"/>
                <w:sz w:val="24"/>
                <w:szCs w:val="24"/>
              </w:rPr>
              <w:t>久远银海</w:t>
            </w:r>
          </w:p>
        </w:tc>
        <w:tc>
          <w:tcPr>
            <w:tcW w:w="0" w:type="auto"/>
            <w:vAlign w:val="center"/>
          </w:tcPr>
          <w:p w:rsidR="00F62357" w:rsidRDefault="006C6925">
            <w:pPr>
              <w:jc w:val="right"/>
            </w:pPr>
            <w:r>
              <w:rPr>
                <w:color w:val="000000"/>
                <w:kern w:val="0"/>
                <w:sz w:val="24"/>
                <w:szCs w:val="24"/>
              </w:rPr>
              <w:t>675,320</w:t>
            </w:r>
          </w:p>
        </w:tc>
        <w:tc>
          <w:tcPr>
            <w:tcW w:w="0" w:type="auto"/>
            <w:vAlign w:val="center"/>
          </w:tcPr>
          <w:p w:rsidR="00F62357" w:rsidRDefault="006C6925">
            <w:pPr>
              <w:jc w:val="right"/>
            </w:pPr>
            <w:r>
              <w:rPr>
                <w:color w:val="000000"/>
                <w:kern w:val="0"/>
                <w:sz w:val="24"/>
                <w:szCs w:val="24"/>
              </w:rPr>
              <w:t>26,303,714.00</w:t>
            </w:r>
          </w:p>
        </w:tc>
        <w:tc>
          <w:tcPr>
            <w:tcW w:w="0" w:type="auto"/>
            <w:vAlign w:val="center"/>
          </w:tcPr>
          <w:p w:rsidR="00F62357" w:rsidRDefault="006C6925">
            <w:pPr>
              <w:jc w:val="right"/>
            </w:pPr>
            <w:r>
              <w:rPr>
                <w:color w:val="000000"/>
                <w:kern w:val="0"/>
                <w:sz w:val="24"/>
                <w:szCs w:val="24"/>
              </w:rPr>
              <w:t>2.63</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1,237,125.00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1,237,125.00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62357">
        <w:tc>
          <w:tcPr>
            <w:tcW w:w="0" w:type="auto"/>
            <w:vAlign w:val="center"/>
          </w:tcPr>
          <w:p w:rsidR="00F62357" w:rsidRDefault="006C6925">
            <w:pPr>
              <w:jc w:val="center"/>
            </w:pPr>
            <w:r>
              <w:rPr>
                <w:color w:val="000000"/>
                <w:kern w:val="0"/>
                <w:sz w:val="24"/>
                <w:szCs w:val="24"/>
              </w:rPr>
              <w:t>1</w:t>
            </w:r>
          </w:p>
        </w:tc>
        <w:tc>
          <w:tcPr>
            <w:tcW w:w="0" w:type="auto"/>
            <w:vAlign w:val="center"/>
          </w:tcPr>
          <w:p w:rsidR="00F62357" w:rsidRDefault="006C6925">
            <w:pPr>
              <w:jc w:val="center"/>
            </w:pPr>
            <w:r>
              <w:rPr>
                <w:color w:val="000000"/>
                <w:kern w:val="0"/>
                <w:sz w:val="24"/>
                <w:szCs w:val="24"/>
              </w:rPr>
              <w:t>113553</w:t>
            </w:r>
          </w:p>
        </w:tc>
        <w:tc>
          <w:tcPr>
            <w:tcW w:w="0" w:type="auto"/>
            <w:vAlign w:val="center"/>
          </w:tcPr>
          <w:p w:rsidR="00F62357" w:rsidRDefault="006C6925">
            <w:pPr>
              <w:jc w:val="center"/>
            </w:pPr>
            <w:r>
              <w:rPr>
                <w:color w:val="000000"/>
                <w:kern w:val="0"/>
                <w:sz w:val="24"/>
                <w:szCs w:val="24"/>
              </w:rPr>
              <w:t>金牌转债</w:t>
            </w:r>
          </w:p>
        </w:tc>
        <w:tc>
          <w:tcPr>
            <w:tcW w:w="0" w:type="auto"/>
            <w:vAlign w:val="center"/>
          </w:tcPr>
          <w:p w:rsidR="00F62357" w:rsidRDefault="006C6925">
            <w:pPr>
              <w:jc w:val="right"/>
            </w:pPr>
            <w:r>
              <w:rPr>
                <w:color w:val="000000"/>
                <w:kern w:val="0"/>
                <w:sz w:val="24"/>
                <w:szCs w:val="24"/>
              </w:rPr>
              <w:t>4,200</w:t>
            </w:r>
          </w:p>
        </w:tc>
        <w:tc>
          <w:tcPr>
            <w:tcW w:w="0" w:type="auto"/>
            <w:vAlign w:val="center"/>
          </w:tcPr>
          <w:p w:rsidR="00F62357" w:rsidRDefault="006C6925">
            <w:pPr>
              <w:jc w:val="right"/>
            </w:pPr>
            <w:r>
              <w:rPr>
                <w:color w:val="000000"/>
                <w:kern w:val="0"/>
                <w:sz w:val="24"/>
                <w:szCs w:val="24"/>
              </w:rPr>
              <w:t>495,810.00</w:t>
            </w:r>
          </w:p>
        </w:tc>
        <w:tc>
          <w:tcPr>
            <w:tcW w:w="0" w:type="auto"/>
            <w:vAlign w:val="center"/>
          </w:tcPr>
          <w:p w:rsidR="00F62357" w:rsidRDefault="006C6925">
            <w:pPr>
              <w:jc w:val="right"/>
            </w:pPr>
            <w:r>
              <w:rPr>
                <w:color w:val="000000"/>
                <w:kern w:val="0"/>
                <w:sz w:val="24"/>
                <w:szCs w:val="24"/>
              </w:rPr>
              <w:t>0.05</w:t>
            </w:r>
          </w:p>
        </w:tc>
      </w:tr>
      <w:tr w:rsidR="00F62357">
        <w:tc>
          <w:tcPr>
            <w:tcW w:w="0" w:type="auto"/>
            <w:vAlign w:val="center"/>
          </w:tcPr>
          <w:p w:rsidR="00F62357" w:rsidRDefault="006C6925">
            <w:pPr>
              <w:jc w:val="center"/>
            </w:pPr>
            <w:r>
              <w:rPr>
                <w:color w:val="000000"/>
                <w:kern w:val="0"/>
                <w:sz w:val="24"/>
                <w:szCs w:val="24"/>
              </w:rPr>
              <w:t>2</w:t>
            </w:r>
          </w:p>
        </w:tc>
        <w:tc>
          <w:tcPr>
            <w:tcW w:w="0" w:type="auto"/>
            <w:vAlign w:val="center"/>
          </w:tcPr>
          <w:p w:rsidR="00F62357" w:rsidRDefault="006C6925">
            <w:pPr>
              <w:jc w:val="center"/>
            </w:pPr>
            <w:r>
              <w:rPr>
                <w:color w:val="000000"/>
                <w:kern w:val="0"/>
                <w:sz w:val="24"/>
                <w:szCs w:val="24"/>
              </w:rPr>
              <w:t>113552</w:t>
            </w:r>
          </w:p>
        </w:tc>
        <w:tc>
          <w:tcPr>
            <w:tcW w:w="0" w:type="auto"/>
            <w:vAlign w:val="center"/>
          </w:tcPr>
          <w:p w:rsidR="00F62357" w:rsidRDefault="006C6925">
            <w:pPr>
              <w:jc w:val="center"/>
            </w:pPr>
            <w:r>
              <w:rPr>
                <w:color w:val="000000"/>
                <w:kern w:val="0"/>
                <w:sz w:val="24"/>
                <w:szCs w:val="24"/>
              </w:rPr>
              <w:t>克来转债</w:t>
            </w:r>
          </w:p>
        </w:tc>
        <w:tc>
          <w:tcPr>
            <w:tcW w:w="0" w:type="auto"/>
            <w:vAlign w:val="center"/>
          </w:tcPr>
          <w:p w:rsidR="00F62357" w:rsidRDefault="006C6925">
            <w:pPr>
              <w:jc w:val="right"/>
            </w:pPr>
            <w:r>
              <w:rPr>
                <w:color w:val="000000"/>
                <w:kern w:val="0"/>
                <w:sz w:val="24"/>
                <w:szCs w:val="24"/>
              </w:rPr>
              <w:t>3,730</w:t>
            </w:r>
          </w:p>
        </w:tc>
        <w:tc>
          <w:tcPr>
            <w:tcW w:w="0" w:type="auto"/>
            <w:vAlign w:val="center"/>
          </w:tcPr>
          <w:p w:rsidR="00F62357" w:rsidRDefault="006C6925">
            <w:pPr>
              <w:jc w:val="right"/>
            </w:pPr>
            <w:r>
              <w:rPr>
                <w:color w:val="000000"/>
                <w:kern w:val="0"/>
                <w:sz w:val="24"/>
                <w:szCs w:val="24"/>
              </w:rPr>
              <w:t>459,163.00</w:t>
            </w:r>
          </w:p>
        </w:tc>
        <w:tc>
          <w:tcPr>
            <w:tcW w:w="0" w:type="auto"/>
            <w:vAlign w:val="center"/>
          </w:tcPr>
          <w:p w:rsidR="00F62357" w:rsidRDefault="006C6925">
            <w:pPr>
              <w:jc w:val="right"/>
            </w:pPr>
            <w:r>
              <w:rPr>
                <w:color w:val="000000"/>
                <w:kern w:val="0"/>
                <w:sz w:val="24"/>
                <w:szCs w:val="24"/>
              </w:rPr>
              <w:t>0.05</w:t>
            </w:r>
          </w:p>
        </w:tc>
      </w:tr>
      <w:tr w:rsidR="00F62357">
        <w:tc>
          <w:tcPr>
            <w:tcW w:w="0" w:type="auto"/>
            <w:vAlign w:val="center"/>
          </w:tcPr>
          <w:p w:rsidR="00F62357" w:rsidRDefault="006C6925">
            <w:pPr>
              <w:jc w:val="center"/>
            </w:pPr>
            <w:r>
              <w:rPr>
                <w:color w:val="000000"/>
                <w:kern w:val="0"/>
                <w:sz w:val="24"/>
                <w:szCs w:val="24"/>
              </w:rPr>
              <w:t>3</w:t>
            </w:r>
          </w:p>
        </w:tc>
        <w:tc>
          <w:tcPr>
            <w:tcW w:w="0" w:type="auto"/>
            <w:vAlign w:val="center"/>
          </w:tcPr>
          <w:p w:rsidR="00F62357" w:rsidRDefault="006C6925">
            <w:pPr>
              <w:jc w:val="center"/>
            </w:pPr>
            <w:r>
              <w:rPr>
                <w:color w:val="000000"/>
                <w:kern w:val="0"/>
                <w:sz w:val="24"/>
                <w:szCs w:val="24"/>
              </w:rPr>
              <w:t>110062</w:t>
            </w:r>
          </w:p>
        </w:tc>
        <w:tc>
          <w:tcPr>
            <w:tcW w:w="0" w:type="auto"/>
            <w:vAlign w:val="center"/>
          </w:tcPr>
          <w:p w:rsidR="00F62357" w:rsidRDefault="006C6925">
            <w:pPr>
              <w:jc w:val="center"/>
            </w:pPr>
            <w:r>
              <w:rPr>
                <w:color w:val="000000"/>
                <w:kern w:val="0"/>
                <w:sz w:val="24"/>
                <w:szCs w:val="24"/>
              </w:rPr>
              <w:t>烽火转债</w:t>
            </w:r>
          </w:p>
        </w:tc>
        <w:tc>
          <w:tcPr>
            <w:tcW w:w="0" w:type="auto"/>
            <w:vAlign w:val="center"/>
          </w:tcPr>
          <w:p w:rsidR="00F62357" w:rsidRDefault="006C6925">
            <w:pPr>
              <w:jc w:val="right"/>
            </w:pPr>
            <w:r>
              <w:rPr>
                <w:color w:val="000000"/>
                <w:kern w:val="0"/>
                <w:sz w:val="24"/>
                <w:szCs w:val="24"/>
              </w:rPr>
              <w:t>2,080</w:t>
            </w:r>
          </w:p>
        </w:tc>
        <w:tc>
          <w:tcPr>
            <w:tcW w:w="0" w:type="auto"/>
            <w:vAlign w:val="center"/>
          </w:tcPr>
          <w:p w:rsidR="00F62357" w:rsidRDefault="006C6925">
            <w:pPr>
              <w:jc w:val="right"/>
            </w:pPr>
            <w:r>
              <w:rPr>
                <w:color w:val="000000"/>
                <w:kern w:val="0"/>
                <w:sz w:val="24"/>
                <w:szCs w:val="24"/>
              </w:rPr>
              <w:t>282,152.00</w:t>
            </w:r>
          </w:p>
        </w:tc>
        <w:tc>
          <w:tcPr>
            <w:tcW w:w="0" w:type="auto"/>
            <w:vAlign w:val="center"/>
          </w:tcPr>
          <w:p w:rsidR="00F62357" w:rsidRDefault="006C6925">
            <w:pPr>
              <w:jc w:val="right"/>
            </w:pPr>
            <w:r>
              <w:rPr>
                <w:color w:val="000000"/>
                <w:kern w:val="0"/>
                <w:sz w:val="24"/>
                <w:szCs w:val="24"/>
              </w:rPr>
              <w:t>0.03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万科A（代码：000002）为易方达策略成长二号混合型证券投资基金的前十大重仓证券之一。2019年6月26日，国家外汇管理局深圳市分局对万科企业股份有限公司违反外汇登记管理规定的行为，作出警告并罚款5万元的处罚决定。</w:t>
      </w:r>
    </w:p>
    <w:p w:rsidR="00F62357" w:rsidRDefault="006C6925">
      <w:pPr>
        <w:spacing w:line="360" w:lineRule="auto"/>
        <w:rPr>
          <w:rFonts w:ascii="宋体" w:hAnsi="宋体"/>
          <w:color w:val="000000"/>
          <w:sz w:val="24"/>
          <w:szCs w:val="24"/>
        </w:rPr>
      </w:pPr>
      <w:r>
        <w:rPr>
          <w:rFonts w:ascii="宋体" w:hAnsi="宋体"/>
          <w:color w:val="000000"/>
          <w:sz w:val="24"/>
          <w:szCs w:val="24"/>
        </w:rPr>
        <w:t>本基金投资万科</w:t>
      </w:r>
      <w:r>
        <w:rPr>
          <w:rFonts w:ascii="宋体" w:hAnsi="宋体"/>
          <w:color w:val="000000"/>
          <w:sz w:val="24"/>
          <w:szCs w:val="24"/>
        </w:rPr>
        <w:t>A</w:t>
      </w:r>
      <w:r>
        <w:rPr>
          <w:rFonts w:ascii="宋体" w:hAnsi="宋体"/>
          <w:color w:val="000000"/>
          <w:sz w:val="24"/>
          <w:szCs w:val="24"/>
        </w:rPr>
        <w:t>的投资决策程序符合公司投资制度的规定。</w:t>
      </w:r>
    </w:p>
    <w:p w:rsidR="00F62357" w:rsidRDefault="006C6925">
      <w:pPr>
        <w:spacing w:line="360" w:lineRule="auto"/>
        <w:rPr>
          <w:rFonts w:ascii="宋体" w:hAnsi="宋体"/>
          <w:color w:val="000000"/>
          <w:sz w:val="24"/>
          <w:szCs w:val="24"/>
        </w:rPr>
      </w:pPr>
      <w:r>
        <w:rPr>
          <w:rFonts w:ascii="宋体" w:hAnsi="宋体"/>
          <w:color w:val="000000"/>
          <w:sz w:val="24"/>
          <w:szCs w:val="24"/>
        </w:rPr>
        <w:t>除万科</w:t>
      </w:r>
      <w:r>
        <w:rPr>
          <w:rFonts w:ascii="宋体" w:hAnsi="宋体"/>
          <w:color w:val="000000"/>
          <w:sz w:val="24"/>
          <w:szCs w:val="24"/>
        </w:rPr>
        <w:t>A</w:t>
      </w:r>
      <w:r>
        <w:rPr>
          <w:rFonts w:ascii="宋体" w:hAnsi="宋体"/>
          <w:color w:val="000000"/>
          <w:sz w:val="24"/>
          <w:szCs w:val="24"/>
        </w:rPr>
        <w:t>外，本基金投资的前十名证券的发行主体本期没有出现被监管部门立案调查，或在报告编制日前一年内受到公开谴责、处罚的情形。</w:t>
      </w:r>
      <w:r>
        <w:rPr>
          <w:rFonts w:ascii="宋体" w:hAnsi="宋体"/>
          <w:color w:val="000000"/>
          <w:sz w:val="24"/>
          <w:szCs w:val="24"/>
        </w:rPr>
        <w:t xml:space="preserve"> </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274,856.07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15,492.96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393,487.54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683,836.57</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1,072,107,888.05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40,673,980.71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95,163,402.06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1,017,618,466.70</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F62357" w:rsidRDefault="006C6925">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中国证监会核准易方达策略成长二号混合型证券投资基金募集的文件；</w:t>
      </w:r>
    </w:p>
    <w:p w:rsidR="00F62357" w:rsidRDefault="006C6925">
      <w:pPr>
        <w:spacing w:line="360" w:lineRule="auto"/>
        <w:ind w:firstLineChars="200" w:firstLine="480"/>
        <w:rPr>
          <w:color w:val="000000"/>
          <w:sz w:val="24"/>
          <w:szCs w:val="24"/>
        </w:rPr>
      </w:pPr>
      <w:r>
        <w:rPr>
          <w:color w:val="000000"/>
          <w:sz w:val="24"/>
          <w:szCs w:val="24"/>
        </w:rPr>
        <w:t>2.</w:t>
      </w:r>
      <w:r>
        <w:rPr>
          <w:color w:val="000000"/>
          <w:sz w:val="24"/>
          <w:szCs w:val="24"/>
        </w:rPr>
        <w:t>《易方达策略成长二号混合型证券投资基金基金合同》；</w:t>
      </w:r>
    </w:p>
    <w:p w:rsidR="00F62357" w:rsidRDefault="006C6925">
      <w:pPr>
        <w:spacing w:line="360" w:lineRule="auto"/>
        <w:ind w:firstLineChars="200" w:firstLine="480"/>
        <w:rPr>
          <w:color w:val="000000"/>
          <w:sz w:val="24"/>
          <w:szCs w:val="24"/>
        </w:rPr>
      </w:pPr>
      <w:r>
        <w:rPr>
          <w:color w:val="000000"/>
          <w:sz w:val="24"/>
          <w:szCs w:val="24"/>
        </w:rPr>
        <w:t>3.</w:t>
      </w:r>
      <w:r>
        <w:rPr>
          <w:color w:val="000000"/>
          <w:sz w:val="24"/>
          <w:szCs w:val="24"/>
        </w:rPr>
        <w:t>《易方达策略成长二号混合型证券投资基金托管协议》；</w:t>
      </w:r>
    </w:p>
    <w:p w:rsidR="00F62357" w:rsidRDefault="006C6925">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6C6925">
      <w:rPr>
        <w:rStyle w:val="a7"/>
        <w:noProof/>
      </w:rPr>
      <w:t>1</w:t>
    </w:r>
    <w:r>
      <w:rPr>
        <w:rStyle w:val="a7"/>
      </w:rPr>
      <w:fldChar w:fldCharType="end"/>
    </w:r>
    <w:r>
      <w:rPr>
        <w:rStyle w:val="a7"/>
        <w:rFonts w:hint="eastAsia"/>
      </w:rPr>
      <w:t>页共</w:t>
    </w:r>
    <w:fldSimple w:instr=" NUMPAGES  \* Arabic  \* MERGEFORMAT ">
      <w:r w:rsidR="006C6925" w:rsidRPr="006C6925">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6C6925">
      <w:rPr>
        <w:rStyle w:val="a7"/>
        <w:noProof/>
      </w:rPr>
      <w:t>2</w:t>
    </w:r>
    <w:r>
      <w:rPr>
        <w:rStyle w:val="a7"/>
      </w:rPr>
      <w:fldChar w:fldCharType="end"/>
    </w:r>
    <w:r>
      <w:rPr>
        <w:rStyle w:val="a7"/>
        <w:rFonts w:hint="eastAsia"/>
      </w:rPr>
      <w:t>页共</w:t>
    </w:r>
    <w:r w:rsidR="006C6925">
      <w:fldChar w:fldCharType="begin"/>
    </w:r>
    <w:r w:rsidR="006C6925">
      <w:instrText xml:space="preserve"> NUMPAGES  \* Arabic  \* MERGEFORMAT </w:instrText>
    </w:r>
    <w:r w:rsidR="006C6925">
      <w:fldChar w:fldCharType="separate"/>
    </w:r>
    <w:r w:rsidR="006C6925" w:rsidRPr="006C6925">
      <w:rPr>
        <w:rStyle w:val="a7"/>
        <w:noProof/>
      </w:rPr>
      <w:t>2</w:t>
    </w:r>
    <w:r w:rsidR="006C6925">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易方达策略成长二号混合型证券投资基金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6925"/>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2357"/>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EB79F76E-1D70-4DB7-83DC-D0802A10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7E6F-77BC-42BC-AC5C-6309F645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5296</Characters>
  <Application>Microsoft Office Word</Application>
  <DocSecurity>4</DocSecurity>
  <Lines>44</Lines>
  <Paragraphs>12</Paragraphs>
  <ScaleCrop>false</ScaleCrop>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2020-04-14T01:36:00Z</dcterms:created>
  <dcterms:modified xsi:type="dcterms:W3CDTF">2020-04-14T01:36:00Z</dcterms:modified>
</cp:coreProperties>
</file>