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易方达科讯混合型证券投资基金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交通银行股份有限公司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80291C" w:rsidRDefault="006B64EE">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0291C" w:rsidRDefault="006B64EE">
      <w:pPr>
        <w:spacing w:line="360" w:lineRule="auto"/>
        <w:ind w:firstLineChars="200" w:firstLine="480"/>
        <w:rPr>
          <w:color w:val="000000"/>
          <w:sz w:val="24"/>
          <w:szCs w:val="24"/>
        </w:rPr>
      </w:pPr>
      <w:r>
        <w:rPr>
          <w:color w:val="000000"/>
          <w:sz w:val="24"/>
          <w:szCs w:val="24"/>
        </w:rPr>
        <w:t>基金托管人交通银行股份有限公司根据本基金合同规定，于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0291C" w:rsidRDefault="006B64EE">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0291C" w:rsidRDefault="006B64EE">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0291C" w:rsidRDefault="006B64EE">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易方达科讯混合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110029</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110029</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2007</w:t>
            </w:r>
            <w:r w:rsidRPr="00232B03">
              <w:rPr>
                <w:color w:val="000000"/>
                <w:kern w:val="0"/>
                <w:sz w:val="24"/>
                <w:szCs w:val="24"/>
              </w:rPr>
              <w:t>年</w:t>
            </w:r>
            <w:r w:rsidRPr="00232B03">
              <w:rPr>
                <w:color w:val="000000"/>
                <w:kern w:val="0"/>
                <w:sz w:val="24"/>
                <w:szCs w:val="24"/>
              </w:rPr>
              <w:t>12</w:t>
            </w:r>
            <w:r w:rsidRPr="00232B03">
              <w:rPr>
                <w:color w:val="000000"/>
                <w:kern w:val="0"/>
                <w:sz w:val="24"/>
                <w:szCs w:val="24"/>
              </w:rPr>
              <w:t>月</w:t>
            </w:r>
            <w:r w:rsidRPr="00232B03">
              <w:rPr>
                <w:color w:val="000000"/>
                <w:kern w:val="0"/>
                <w:sz w:val="24"/>
                <w:szCs w:val="24"/>
              </w:rPr>
              <w:t>18</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3,479,784,635.64</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根据市场环境变化，综合运用多种投资策略，追求基金资产的长期稳健增值。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本基金综合运用多种投资策略，把握多种投资机会。股票投资策略方面，一般情况下以优势企业策略和成长策略为主，辅以行业周期策略、绝对价值策略、突发事件</w:t>
            </w:r>
            <w:r w:rsidRPr="00232B03">
              <w:rPr>
                <w:color w:val="000000"/>
                <w:kern w:val="0"/>
                <w:sz w:val="24"/>
                <w:szCs w:val="24"/>
              </w:rPr>
              <w:t>/</w:t>
            </w:r>
            <w:r w:rsidRPr="00232B03">
              <w:rPr>
                <w:color w:val="000000"/>
                <w:kern w:val="0"/>
                <w:sz w:val="24"/>
                <w:szCs w:val="24"/>
              </w:rPr>
              <w:t>收购兼并策略以及新兴技术策略。在特定的市场情况下，后四种策略中一种或多种的</w:t>
            </w:r>
            <w:r w:rsidRPr="00232B03">
              <w:rPr>
                <w:color w:val="000000"/>
                <w:kern w:val="0"/>
                <w:sz w:val="24"/>
                <w:szCs w:val="24"/>
              </w:rPr>
              <w:lastRenderedPageBreak/>
              <w:t>资金容量较大、不确定性较小、收益预期较高时，也可成为主策略。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×80%+</w:t>
            </w:r>
            <w:r w:rsidRPr="00232B03">
              <w:rPr>
                <w:color w:val="000000"/>
                <w:kern w:val="0"/>
                <w:sz w:val="24"/>
                <w:szCs w:val="24"/>
              </w:rPr>
              <w:t>中债总指数收益率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本基金是混合基金，理论上其风险收益水平高于债券基金和货币市场基金，低于股票基金。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交通银行股份有限公司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607,753,295.13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127,767,253.05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0.0352</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4,220,065,906.97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1.2127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80291C" w:rsidRDefault="006B64EE">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所述基金业绩指标不包括持有人交易基金的各项费用，计入费用后实际收益水平要低于所列数字。</w:t>
      </w:r>
    </w:p>
    <w:p w:rsidR="0080291C" w:rsidRDefault="006B64EE">
      <w:pPr>
        <w:spacing w:line="360" w:lineRule="auto"/>
        <w:ind w:firstLineChars="200" w:firstLine="480"/>
        <w:rPr>
          <w:color w:val="000000"/>
          <w:sz w:val="24"/>
          <w:szCs w:val="24"/>
        </w:rPr>
      </w:pPr>
      <w:r>
        <w:rPr>
          <w:color w:val="000000"/>
          <w:sz w:val="24"/>
        </w:rPr>
        <w:t>2.</w:t>
      </w:r>
      <w:r>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32B03" w:rsidRDefault="00392044" w:rsidP="00232B03">
      <w:pPr>
        <w:spacing w:line="360" w:lineRule="auto"/>
        <w:ind w:firstLineChars="200" w:firstLine="480"/>
        <w:rPr>
          <w:color w:val="000000"/>
          <w:sz w:val="24"/>
          <w:szCs w:val="24"/>
        </w:rPr>
      </w:pPr>
      <w:r w:rsidRPr="006506EF">
        <w:rPr>
          <w:color w:val="000000"/>
          <w:sz w:val="24"/>
        </w:rPr>
        <w:t>3.</w:t>
      </w:r>
      <w:r w:rsidRPr="006506EF">
        <w:rPr>
          <w:color w:val="000000"/>
          <w:sz w:val="24"/>
        </w:rPr>
        <w:t>本基金已于</w:t>
      </w:r>
      <w:r w:rsidRPr="006506EF">
        <w:rPr>
          <w:color w:val="000000"/>
          <w:sz w:val="24"/>
        </w:rPr>
        <w:t>2008</w:t>
      </w:r>
      <w:r w:rsidRPr="006506EF">
        <w:rPr>
          <w:color w:val="000000"/>
          <w:sz w:val="24"/>
        </w:rPr>
        <w:t>年</w:t>
      </w:r>
      <w:r w:rsidRPr="006506EF">
        <w:rPr>
          <w:color w:val="000000"/>
          <w:sz w:val="24"/>
        </w:rPr>
        <w:t>1</w:t>
      </w:r>
      <w:r w:rsidRPr="006506EF">
        <w:rPr>
          <w:color w:val="000000"/>
          <w:sz w:val="24"/>
        </w:rPr>
        <w:t>月</w:t>
      </w:r>
      <w:r w:rsidRPr="006506EF">
        <w:rPr>
          <w:color w:val="000000"/>
          <w:sz w:val="24"/>
        </w:rPr>
        <w:t>4</w:t>
      </w:r>
      <w:r w:rsidRPr="006506EF">
        <w:rPr>
          <w:color w:val="000000"/>
          <w:sz w:val="24"/>
        </w:rPr>
        <w:t>日对原基金科讯退市时的基金份额进行了拆分，基金拆分比例为</w:t>
      </w:r>
      <w:r w:rsidRPr="006506EF">
        <w:rPr>
          <w:color w:val="000000"/>
          <w:sz w:val="24"/>
        </w:rPr>
        <w:t>1</w:t>
      </w:r>
      <w:r w:rsidRPr="006506EF">
        <w:rPr>
          <w:color w:val="000000"/>
          <w:sz w:val="24"/>
        </w:rPr>
        <w:t>：</w:t>
      </w:r>
      <w:r w:rsidRPr="006506EF">
        <w:rPr>
          <w:color w:val="000000"/>
          <w:sz w:val="24"/>
        </w:rPr>
        <w:t>2.825206742</w:t>
      </w:r>
      <w:r w:rsidRPr="006506EF">
        <w:rPr>
          <w:color w:val="000000"/>
          <w:sz w:val="24"/>
        </w:rPr>
        <w:t>。</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80291C">
        <w:tc>
          <w:tcPr>
            <w:tcW w:w="0" w:type="auto"/>
            <w:vAlign w:val="center"/>
          </w:tcPr>
          <w:p w:rsidR="0080291C" w:rsidRDefault="006B64EE">
            <w:pPr>
              <w:jc w:val="left"/>
            </w:pPr>
            <w:r>
              <w:rPr>
                <w:color w:val="000000"/>
                <w:kern w:val="0"/>
                <w:sz w:val="24"/>
                <w:szCs w:val="24"/>
              </w:rPr>
              <w:t>过去三个月</w:t>
            </w:r>
          </w:p>
        </w:tc>
        <w:tc>
          <w:tcPr>
            <w:tcW w:w="0" w:type="auto"/>
            <w:vAlign w:val="center"/>
          </w:tcPr>
          <w:p w:rsidR="0080291C" w:rsidRDefault="006B64EE">
            <w:pPr>
              <w:jc w:val="center"/>
            </w:pPr>
            <w:r>
              <w:rPr>
                <w:color w:val="000000"/>
                <w:kern w:val="0"/>
                <w:sz w:val="24"/>
                <w:szCs w:val="24"/>
              </w:rPr>
              <w:t>2.38%</w:t>
            </w:r>
          </w:p>
        </w:tc>
        <w:tc>
          <w:tcPr>
            <w:tcW w:w="0" w:type="auto"/>
            <w:vAlign w:val="center"/>
          </w:tcPr>
          <w:p w:rsidR="0080291C" w:rsidRDefault="006B64EE">
            <w:pPr>
              <w:jc w:val="center"/>
            </w:pPr>
            <w:r>
              <w:rPr>
                <w:color w:val="000000"/>
                <w:kern w:val="0"/>
                <w:sz w:val="24"/>
                <w:szCs w:val="24"/>
              </w:rPr>
              <w:t>2.14%</w:t>
            </w:r>
          </w:p>
        </w:tc>
        <w:tc>
          <w:tcPr>
            <w:tcW w:w="0" w:type="auto"/>
            <w:vAlign w:val="center"/>
          </w:tcPr>
          <w:p w:rsidR="0080291C" w:rsidRDefault="006B64EE">
            <w:pPr>
              <w:jc w:val="center"/>
            </w:pPr>
            <w:r>
              <w:rPr>
                <w:color w:val="000000"/>
                <w:kern w:val="0"/>
                <w:sz w:val="24"/>
                <w:szCs w:val="24"/>
              </w:rPr>
              <w:t>-7.50%</w:t>
            </w:r>
          </w:p>
        </w:tc>
        <w:tc>
          <w:tcPr>
            <w:tcW w:w="0" w:type="auto"/>
            <w:vAlign w:val="center"/>
          </w:tcPr>
          <w:p w:rsidR="0080291C" w:rsidRDefault="006B64EE">
            <w:pPr>
              <w:jc w:val="center"/>
            </w:pPr>
            <w:r>
              <w:rPr>
                <w:color w:val="000000"/>
                <w:kern w:val="0"/>
                <w:sz w:val="24"/>
                <w:szCs w:val="24"/>
              </w:rPr>
              <w:t>1.55%</w:t>
            </w:r>
          </w:p>
        </w:tc>
        <w:tc>
          <w:tcPr>
            <w:tcW w:w="0" w:type="auto"/>
            <w:vAlign w:val="center"/>
          </w:tcPr>
          <w:p w:rsidR="0080291C" w:rsidRDefault="006B64EE">
            <w:pPr>
              <w:jc w:val="center"/>
            </w:pPr>
            <w:r>
              <w:rPr>
                <w:color w:val="000000"/>
                <w:kern w:val="0"/>
                <w:sz w:val="24"/>
                <w:szCs w:val="24"/>
              </w:rPr>
              <w:t>9.88%</w:t>
            </w:r>
          </w:p>
        </w:tc>
        <w:tc>
          <w:tcPr>
            <w:tcW w:w="0" w:type="auto"/>
            <w:vAlign w:val="center"/>
          </w:tcPr>
          <w:p w:rsidR="0080291C" w:rsidRDefault="006B64EE">
            <w:pPr>
              <w:jc w:val="center"/>
            </w:pPr>
            <w:r>
              <w:rPr>
                <w:color w:val="000000"/>
                <w:kern w:val="0"/>
                <w:sz w:val="24"/>
                <w:szCs w:val="24"/>
              </w:rPr>
              <w:t>0.59%</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易方达科讯混合型证券投资基金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2007</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18</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6B64EE"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80291C" w:rsidRDefault="006B64EE">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本基金由原基金科讯于</w:t>
      </w:r>
      <w:r>
        <w:rPr>
          <w:color w:val="000000"/>
          <w:sz w:val="24"/>
          <w:szCs w:val="24"/>
        </w:rPr>
        <w:t>2007</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日转型而来。</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2.</w:t>
      </w:r>
      <w:r w:rsidRPr="006C56AA">
        <w:rPr>
          <w:color w:val="000000"/>
          <w:sz w:val="24"/>
          <w:szCs w:val="24"/>
        </w:rPr>
        <w:t>自基金转型至报告期末，基金份额净值增长率为</w:t>
      </w:r>
      <w:r w:rsidRPr="006C56AA">
        <w:rPr>
          <w:color w:val="000000"/>
          <w:sz w:val="24"/>
          <w:szCs w:val="24"/>
        </w:rPr>
        <w:t>64.35%</w:t>
      </w:r>
      <w:r w:rsidRPr="006C56AA">
        <w:rPr>
          <w:color w:val="000000"/>
          <w:sz w:val="24"/>
          <w:szCs w:val="24"/>
        </w:rPr>
        <w:t>，同期业绩比较基准收益率为</w:t>
      </w:r>
      <w:r w:rsidRPr="006C56AA">
        <w:rPr>
          <w:color w:val="000000"/>
          <w:sz w:val="24"/>
          <w:szCs w:val="24"/>
        </w:rPr>
        <w:t>-15.66%</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80291C">
        <w:tc>
          <w:tcPr>
            <w:tcW w:w="0" w:type="auto"/>
            <w:vAlign w:val="center"/>
          </w:tcPr>
          <w:p w:rsidR="0080291C" w:rsidRDefault="006B64EE">
            <w:pPr>
              <w:jc w:val="center"/>
            </w:pPr>
            <w:r>
              <w:rPr>
                <w:color w:val="000000"/>
                <w:sz w:val="24"/>
              </w:rPr>
              <w:t>陈皓</w:t>
            </w:r>
          </w:p>
        </w:tc>
        <w:tc>
          <w:tcPr>
            <w:tcW w:w="0" w:type="auto"/>
            <w:vAlign w:val="center"/>
          </w:tcPr>
          <w:p w:rsidR="0080291C" w:rsidRDefault="006B64EE">
            <w:pPr>
              <w:jc w:val="left"/>
            </w:pPr>
            <w:r>
              <w:rPr>
                <w:color w:val="000000"/>
                <w:sz w:val="24"/>
              </w:rPr>
              <w:t>本基金的基金经理、易方达平稳增长证券投资基金的基金经理、易方达科翔混合型证券投资基金的基金经理、易方达新经济灵活配置混合型证券投资基金的基金经理、易方达国防军工混合型证券投资基金的基金经理、易方达科融混合型证券投资基金的基金经理、投资一部总经理</w:t>
            </w:r>
          </w:p>
        </w:tc>
        <w:tc>
          <w:tcPr>
            <w:tcW w:w="0" w:type="auto"/>
            <w:vAlign w:val="center"/>
          </w:tcPr>
          <w:p w:rsidR="0080291C" w:rsidRDefault="006B64EE">
            <w:pPr>
              <w:jc w:val="center"/>
            </w:pPr>
            <w:r>
              <w:rPr>
                <w:color w:val="000000"/>
                <w:sz w:val="24"/>
              </w:rPr>
              <w:t>2018-12-11</w:t>
            </w:r>
          </w:p>
        </w:tc>
        <w:tc>
          <w:tcPr>
            <w:tcW w:w="0" w:type="auto"/>
            <w:vAlign w:val="center"/>
          </w:tcPr>
          <w:p w:rsidR="0080291C" w:rsidRDefault="006B64EE">
            <w:pPr>
              <w:jc w:val="center"/>
            </w:pPr>
            <w:r>
              <w:rPr>
                <w:color w:val="000000"/>
                <w:sz w:val="24"/>
              </w:rPr>
              <w:t>-</w:t>
            </w:r>
          </w:p>
        </w:tc>
        <w:tc>
          <w:tcPr>
            <w:tcW w:w="0" w:type="auto"/>
            <w:vAlign w:val="center"/>
          </w:tcPr>
          <w:p w:rsidR="0080291C" w:rsidRDefault="006B64EE">
            <w:pPr>
              <w:jc w:val="center"/>
            </w:pPr>
            <w:r>
              <w:rPr>
                <w:color w:val="000000"/>
                <w:sz w:val="24"/>
              </w:rPr>
              <w:t>13</w:t>
            </w:r>
            <w:r>
              <w:rPr>
                <w:color w:val="000000"/>
                <w:sz w:val="24"/>
              </w:rPr>
              <w:t>年</w:t>
            </w:r>
          </w:p>
        </w:tc>
        <w:tc>
          <w:tcPr>
            <w:tcW w:w="0" w:type="auto"/>
            <w:vAlign w:val="center"/>
          </w:tcPr>
          <w:p w:rsidR="0080291C" w:rsidRDefault="006B64EE">
            <w:r>
              <w:rPr>
                <w:color w:val="000000"/>
                <w:sz w:val="24"/>
              </w:rPr>
              <w:t>硕士研究生，具有基金从业资格。曾任易方达基金管理有限公司行业研究员、基金经理助理、基金投资部基金经理助理、投资一部总经理助理、投资一部副总经理、投资经理、易方达价值精选混合型证券投资基金基金经理、易方达供给改革灵活配置混合型证券投资基金基金经理。</w:t>
            </w:r>
          </w:p>
        </w:tc>
      </w:tr>
      <w:tr w:rsidR="0080291C">
        <w:tc>
          <w:tcPr>
            <w:tcW w:w="0" w:type="auto"/>
            <w:vAlign w:val="center"/>
          </w:tcPr>
          <w:p w:rsidR="0080291C" w:rsidRDefault="006B64EE">
            <w:pPr>
              <w:jc w:val="center"/>
            </w:pPr>
            <w:r>
              <w:rPr>
                <w:color w:val="000000"/>
                <w:sz w:val="24"/>
              </w:rPr>
              <w:t>刘健维</w:t>
            </w:r>
          </w:p>
        </w:tc>
        <w:tc>
          <w:tcPr>
            <w:tcW w:w="0" w:type="auto"/>
            <w:vAlign w:val="center"/>
          </w:tcPr>
          <w:p w:rsidR="0080291C" w:rsidRDefault="006B64EE">
            <w:pPr>
              <w:jc w:val="left"/>
            </w:pPr>
            <w:r>
              <w:rPr>
                <w:color w:val="000000"/>
                <w:sz w:val="24"/>
              </w:rPr>
              <w:t>本基金的基金经理</w:t>
            </w:r>
          </w:p>
        </w:tc>
        <w:tc>
          <w:tcPr>
            <w:tcW w:w="0" w:type="auto"/>
            <w:vAlign w:val="center"/>
          </w:tcPr>
          <w:p w:rsidR="0080291C" w:rsidRDefault="006B64EE">
            <w:pPr>
              <w:jc w:val="center"/>
            </w:pPr>
            <w:r>
              <w:rPr>
                <w:color w:val="000000"/>
                <w:sz w:val="24"/>
              </w:rPr>
              <w:t>2019-07-12</w:t>
            </w:r>
          </w:p>
        </w:tc>
        <w:tc>
          <w:tcPr>
            <w:tcW w:w="0" w:type="auto"/>
            <w:vAlign w:val="center"/>
          </w:tcPr>
          <w:p w:rsidR="0080291C" w:rsidRDefault="006B64EE">
            <w:pPr>
              <w:jc w:val="center"/>
            </w:pPr>
            <w:r>
              <w:rPr>
                <w:color w:val="000000"/>
                <w:sz w:val="24"/>
              </w:rPr>
              <w:t>-</w:t>
            </w:r>
          </w:p>
        </w:tc>
        <w:tc>
          <w:tcPr>
            <w:tcW w:w="0" w:type="auto"/>
            <w:vAlign w:val="center"/>
          </w:tcPr>
          <w:p w:rsidR="0080291C" w:rsidRDefault="006B64EE">
            <w:pPr>
              <w:jc w:val="center"/>
            </w:pPr>
            <w:r>
              <w:rPr>
                <w:color w:val="000000"/>
                <w:sz w:val="24"/>
              </w:rPr>
              <w:t>6</w:t>
            </w:r>
            <w:r>
              <w:rPr>
                <w:color w:val="000000"/>
                <w:sz w:val="24"/>
              </w:rPr>
              <w:t>年</w:t>
            </w:r>
          </w:p>
        </w:tc>
        <w:tc>
          <w:tcPr>
            <w:tcW w:w="0" w:type="auto"/>
            <w:vAlign w:val="center"/>
          </w:tcPr>
          <w:p w:rsidR="0080291C" w:rsidRDefault="006B64EE">
            <w:r>
              <w:rPr>
                <w:color w:val="000000"/>
                <w:sz w:val="24"/>
              </w:rPr>
              <w:t>硕士研究生，具有基金从业资格。曾任广发基金管理有限公司研究部研究员，国泰基金管理有限公司研究部研究员，易方达基金管理有限公司行业研究员、易方达科讯混合型证券投资基金基金经理助理。</w:t>
            </w:r>
          </w:p>
        </w:tc>
      </w:tr>
    </w:tbl>
    <w:p w:rsidR="0080291C" w:rsidRDefault="006B64EE">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80291C" w:rsidRDefault="006B64EE">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80291C" w:rsidRDefault="006B64EE">
      <w:pPr>
        <w:spacing w:line="360" w:lineRule="auto"/>
        <w:ind w:firstLineChars="200" w:firstLine="480"/>
        <w:rPr>
          <w:color w:val="000000"/>
          <w:sz w:val="24"/>
          <w:szCs w:val="24"/>
        </w:rPr>
      </w:pPr>
      <w:r>
        <w:rPr>
          <w:color w:val="000000"/>
          <w:sz w:val="24"/>
          <w:szCs w:val="24"/>
        </w:rPr>
        <w:t>2020</w:t>
      </w:r>
      <w:r>
        <w:rPr>
          <w:color w:val="000000"/>
          <w:sz w:val="24"/>
          <w:szCs w:val="24"/>
        </w:rPr>
        <w:t>年一季度上证综指下跌</w:t>
      </w:r>
      <w:r>
        <w:rPr>
          <w:color w:val="000000"/>
          <w:sz w:val="24"/>
          <w:szCs w:val="24"/>
        </w:rPr>
        <w:t>9.83%</w:t>
      </w:r>
      <w:r>
        <w:rPr>
          <w:color w:val="000000"/>
          <w:sz w:val="24"/>
          <w:szCs w:val="24"/>
        </w:rPr>
        <w:t>，中证</w:t>
      </w:r>
      <w:r>
        <w:rPr>
          <w:color w:val="000000"/>
          <w:sz w:val="24"/>
          <w:szCs w:val="24"/>
        </w:rPr>
        <w:t>500</w:t>
      </w:r>
      <w:r>
        <w:rPr>
          <w:color w:val="000000"/>
          <w:sz w:val="24"/>
          <w:szCs w:val="24"/>
        </w:rPr>
        <w:t>指数下跌</w:t>
      </w:r>
      <w:r>
        <w:rPr>
          <w:color w:val="000000"/>
          <w:sz w:val="24"/>
          <w:szCs w:val="24"/>
        </w:rPr>
        <w:t>4.29%</w:t>
      </w:r>
      <w:r>
        <w:rPr>
          <w:color w:val="000000"/>
          <w:sz w:val="24"/>
          <w:szCs w:val="24"/>
        </w:rPr>
        <w:t>，创业板指数上涨</w:t>
      </w:r>
      <w:r>
        <w:rPr>
          <w:color w:val="000000"/>
          <w:sz w:val="24"/>
          <w:szCs w:val="24"/>
        </w:rPr>
        <w:t>4.10%</w:t>
      </w:r>
      <w:r>
        <w:rPr>
          <w:color w:val="000000"/>
          <w:sz w:val="24"/>
          <w:szCs w:val="24"/>
        </w:rPr>
        <w:t>，大盘蓝筹板块整体走势相对较弱，新兴成长板块表现整体强于大盘蓝筹板块。一季度市场整体波动幅度较大，特别是成长板块，我们认为主要有几点因素：一方面板块受益于</w:t>
      </w:r>
      <w:r>
        <w:rPr>
          <w:color w:val="000000"/>
          <w:sz w:val="24"/>
          <w:szCs w:val="24"/>
        </w:rPr>
        <w:t>5G</w:t>
      </w:r>
      <w:r>
        <w:rPr>
          <w:color w:val="000000"/>
          <w:sz w:val="24"/>
          <w:szCs w:val="24"/>
        </w:rPr>
        <w:t>的发展以及各细分领域信息化的深化，中长期景气趋势明确；另一方面板块经过一年的大幅度上涨，整体估值较高，高估值状态下波动幅度较大；此外，一季度疫情的发展也加剧了板块的波动幅度。</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本基金一季度采取了相对积极的投资策略，在组合仓位和板块配置上进行了主动调整，在成长板块大幅上涨投资性价比下降时降低了组合的配置比例，适当增配了部分医药消费个股，取得了一定超额收益。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1.2127</w:t>
      </w:r>
      <w:r w:rsidRPr="006C56AA">
        <w:rPr>
          <w:color w:val="000000"/>
          <w:sz w:val="24"/>
          <w:szCs w:val="24"/>
        </w:rPr>
        <w:t>元，本报告期份额净值增长率为</w:t>
      </w:r>
      <w:r w:rsidRPr="006C56AA">
        <w:rPr>
          <w:color w:val="000000"/>
          <w:sz w:val="24"/>
          <w:szCs w:val="24"/>
        </w:rPr>
        <w:t>2.38%</w:t>
      </w:r>
      <w:r w:rsidRPr="006C56AA">
        <w:rPr>
          <w:color w:val="000000"/>
          <w:sz w:val="24"/>
          <w:szCs w:val="24"/>
        </w:rPr>
        <w:t>，同期业绩比较基准收益率为</w:t>
      </w:r>
      <w:r w:rsidRPr="006C56AA">
        <w:rPr>
          <w:color w:val="000000"/>
          <w:sz w:val="24"/>
          <w:szCs w:val="24"/>
        </w:rPr>
        <w:t>-7.50%</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3,491,517,864.09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75.02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3,491,517,864.09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75.02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2,531,685.68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2,531,685.68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400,000,000.00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8.59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755,163,015.98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16.23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5,063,392.68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0.11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4,654,275,958.43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7,613,683.00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0.18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2,188,864,765.46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51.87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15,899,770.60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0.38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22,156,179.20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0.53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57,125,844.59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132,389,475.80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497,595,950.35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11.79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84,647,802.77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321,249,884.70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7.61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69,404,621.20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49,026,978.58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45,542,907.84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3,491,517,864.09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82.74</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80291C">
        <w:tc>
          <w:tcPr>
            <w:tcW w:w="0" w:type="auto"/>
            <w:vAlign w:val="center"/>
          </w:tcPr>
          <w:p w:rsidR="0080291C" w:rsidRDefault="006B64EE">
            <w:pPr>
              <w:jc w:val="center"/>
            </w:pPr>
            <w:r>
              <w:rPr>
                <w:color w:val="000000"/>
                <w:kern w:val="0"/>
                <w:sz w:val="24"/>
                <w:szCs w:val="24"/>
              </w:rPr>
              <w:t>1</w:t>
            </w:r>
          </w:p>
        </w:tc>
        <w:tc>
          <w:tcPr>
            <w:tcW w:w="0" w:type="auto"/>
            <w:vAlign w:val="center"/>
          </w:tcPr>
          <w:p w:rsidR="0080291C" w:rsidRDefault="006B64EE">
            <w:pPr>
              <w:jc w:val="center"/>
            </w:pPr>
            <w:r>
              <w:rPr>
                <w:color w:val="000000"/>
                <w:kern w:val="0"/>
                <w:sz w:val="24"/>
                <w:szCs w:val="24"/>
              </w:rPr>
              <w:t>300476</w:t>
            </w:r>
          </w:p>
        </w:tc>
        <w:tc>
          <w:tcPr>
            <w:tcW w:w="0" w:type="auto"/>
            <w:vAlign w:val="center"/>
          </w:tcPr>
          <w:p w:rsidR="0080291C" w:rsidRDefault="006B64EE">
            <w:pPr>
              <w:jc w:val="center"/>
            </w:pPr>
            <w:r>
              <w:rPr>
                <w:color w:val="000000"/>
                <w:kern w:val="0"/>
                <w:sz w:val="24"/>
                <w:szCs w:val="24"/>
              </w:rPr>
              <w:t>胜宏科技</w:t>
            </w:r>
          </w:p>
        </w:tc>
        <w:tc>
          <w:tcPr>
            <w:tcW w:w="0" w:type="auto"/>
            <w:vAlign w:val="center"/>
          </w:tcPr>
          <w:p w:rsidR="0080291C" w:rsidRDefault="006B64EE">
            <w:pPr>
              <w:jc w:val="right"/>
            </w:pPr>
            <w:r>
              <w:rPr>
                <w:color w:val="000000"/>
                <w:kern w:val="0"/>
                <w:sz w:val="24"/>
                <w:szCs w:val="24"/>
              </w:rPr>
              <w:t>17,900,000</w:t>
            </w:r>
          </w:p>
        </w:tc>
        <w:tc>
          <w:tcPr>
            <w:tcW w:w="0" w:type="auto"/>
            <w:vAlign w:val="center"/>
          </w:tcPr>
          <w:p w:rsidR="0080291C" w:rsidRDefault="006B64EE">
            <w:pPr>
              <w:jc w:val="right"/>
            </w:pPr>
            <w:r>
              <w:rPr>
                <w:color w:val="000000"/>
                <w:kern w:val="0"/>
                <w:sz w:val="24"/>
                <w:szCs w:val="24"/>
              </w:rPr>
              <w:t>318,956,000.00</w:t>
            </w:r>
          </w:p>
        </w:tc>
        <w:tc>
          <w:tcPr>
            <w:tcW w:w="0" w:type="auto"/>
            <w:vAlign w:val="center"/>
          </w:tcPr>
          <w:p w:rsidR="0080291C" w:rsidRDefault="006B64EE">
            <w:pPr>
              <w:jc w:val="right"/>
            </w:pPr>
            <w:r>
              <w:rPr>
                <w:color w:val="000000"/>
                <w:kern w:val="0"/>
                <w:sz w:val="24"/>
                <w:szCs w:val="24"/>
              </w:rPr>
              <w:t>7.56</w:t>
            </w:r>
          </w:p>
        </w:tc>
      </w:tr>
      <w:tr w:rsidR="0080291C">
        <w:tc>
          <w:tcPr>
            <w:tcW w:w="0" w:type="auto"/>
            <w:vAlign w:val="center"/>
          </w:tcPr>
          <w:p w:rsidR="0080291C" w:rsidRDefault="006B64EE">
            <w:pPr>
              <w:jc w:val="center"/>
            </w:pPr>
            <w:r>
              <w:rPr>
                <w:color w:val="000000"/>
                <w:kern w:val="0"/>
                <w:sz w:val="24"/>
                <w:szCs w:val="24"/>
              </w:rPr>
              <w:t>2</w:t>
            </w:r>
          </w:p>
        </w:tc>
        <w:tc>
          <w:tcPr>
            <w:tcW w:w="0" w:type="auto"/>
            <w:vAlign w:val="center"/>
          </w:tcPr>
          <w:p w:rsidR="0080291C" w:rsidRDefault="006B64EE">
            <w:pPr>
              <w:jc w:val="center"/>
            </w:pPr>
            <w:r>
              <w:rPr>
                <w:color w:val="000000"/>
                <w:kern w:val="0"/>
                <w:sz w:val="24"/>
                <w:szCs w:val="24"/>
              </w:rPr>
              <w:t>000002</w:t>
            </w:r>
          </w:p>
        </w:tc>
        <w:tc>
          <w:tcPr>
            <w:tcW w:w="0" w:type="auto"/>
            <w:vAlign w:val="center"/>
          </w:tcPr>
          <w:p w:rsidR="0080291C" w:rsidRDefault="006B64EE">
            <w:pPr>
              <w:jc w:val="center"/>
            </w:pPr>
            <w:r>
              <w:rPr>
                <w:color w:val="000000"/>
                <w:kern w:val="0"/>
                <w:sz w:val="24"/>
                <w:szCs w:val="24"/>
              </w:rPr>
              <w:t>万科</w:t>
            </w:r>
            <w:r>
              <w:rPr>
                <w:color w:val="000000"/>
                <w:kern w:val="0"/>
                <w:sz w:val="24"/>
                <w:szCs w:val="24"/>
              </w:rPr>
              <w:t>A</w:t>
            </w:r>
          </w:p>
        </w:tc>
        <w:tc>
          <w:tcPr>
            <w:tcW w:w="0" w:type="auto"/>
            <w:vAlign w:val="center"/>
          </w:tcPr>
          <w:p w:rsidR="0080291C" w:rsidRDefault="006B64EE">
            <w:pPr>
              <w:jc w:val="right"/>
            </w:pPr>
            <w:r>
              <w:rPr>
                <w:color w:val="000000"/>
                <w:kern w:val="0"/>
                <w:sz w:val="24"/>
                <w:szCs w:val="24"/>
              </w:rPr>
              <w:t>7,579,400</w:t>
            </w:r>
          </w:p>
        </w:tc>
        <w:tc>
          <w:tcPr>
            <w:tcW w:w="0" w:type="auto"/>
            <w:vAlign w:val="center"/>
          </w:tcPr>
          <w:p w:rsidR="0080291C" w:rsidRDefault="006B64EE">
            <w:pPr>
              <w:jc w:val="right"/>
            </w:pPr>
            <w:r>
              <w:rPr>
                <w:color w:val="000000"/>
                <w:kern w:val="0"/>
                <w:sz w:val="24"/>
                <w:szCs w:val="24"/>
              </w:rPr>
              <w:t>194,411,610.00</w:t>
            </w:r>
          </w:p>
        </w:tc>
        <w:tc>
          <w:tcPr>
            <w:tcW w:w="0" w:type="auto"/>
            <w:vAlign w:val="center"/>
          </w:tcPr>
          <w:p w:rsidR="0080291C" w:rsidRDefault="006B64EE">
            <w:pPr>
              <w:jc w:val="right"/>
            </w:pPr>
            <w:r>
              <w:rPr>
                <w:color w:val="000000"/>
                <w:kern w:val="0"/>
                <w:sz w:val="24"/>
                <w:szCs w:val="24"/>
              </w:rPr>
              <w:t>4.61</w:t>
            </w:r>
          </w:p>
        </w:tc>
      </w:tr>
      <w:tr w:rsidR="0080291C">
        <w:tc>
          <w:tcPr>
            <w:tcW w:w="0" w:type="auto"/>
            <w:vAlign w:val="center"/>
          </w:tcPr>
          <w:p w:rsidR="0080291C" w:rsidRDefault="006B64EE">
            <w:pPr>
              <w:jc w:val="center"/>
            </w:pPr>
            <w:r>
              <w:rPr>
                <w:color w:val="000000"/>
                <w:kern w:val="0"/>
                <w:sz w:val="24"/>
                <w:szCs w:val="24"/>
              </w:rPr>
              <w:t>3</w:t>
            </w:r>
          </w:p>
        </w:tc>
        <w:tc>
          <w:tcPr>
            <w:tcW w:w="0" w:type="auto"/>
            <w:vAlign w:val="center"/>
          </w:tcPr>
          <w:p w:rsidR="0080291C" w:rsidRDefault="006B64EE">
            <w:pPr>
              <w:jc w:val="center"/>
            </w:pPr>
            <w:r>
              <w:rPr>
                <w:color w:val="000000"/>
                <w:kern w:val="0"/>
                <w:sz w:val="24"/>
                <w:szCs w:val="24"/>
              </w:rPr>
              <w:t>000858</w:t>
            </w:r>
          </w:p>
        </w:tc>
        <w:tc>
          <w:tcPr>
            <w:tcW w:w="0" w:type="auto"/>
            <w:vAlign w:val="center"/>
          </w:tcPr>
          <w:p w:rsidR="0080291C" w:rsidRDefault="006B64EE">
            <w:pPr>
              <w:jc w:val="center"/>
            </w:pPr>
            <w:r>
              <w:rPr>
                <w:color w:val="000000"/>
                <w:kern w:val="0"/>
                <w:sz w:val="24"/>
                <w:szCs w:val="24"/>
              </w:rPr>
              <w:t>五粮液</w:t>
            </w:r>
          </w:p>
        </w:tc>
        <w:tc>
          <w:tcPr>
            <w:tcW w:w="0" w:type="auto"/>
            <w:vAlign w:val="center"/>
          </w:tcPr>
          <w:p w:rsidR="0080291C" w:rsidRDefault="006B64EE">
            <w:pPr>
              <w:jc w:val="right"/>
            </w:pPr>
            <w:r>
              <w:rPr>
                <w:color w:val="000000"/>
                <w:kern w:val="0"/>
                <w:sz w:val="24"/>
                <w:szCs w:val="24"/>
              </w:rPr>
              <w:t>1,309,090</w:t>
            </w:r>
          </w:p>
        </w:tc>
        <w:tc>
          <w:tcPr>
            <w:tcW w:w="0" w:type="auto"/>
            <w:vAlign w:val="center"/>
          </w:tcPr>
          <w:p w:rsidR="0080291C" w:rsidRDefault="006B64EE">
            <w:pPr>
              <w:jc w:val="right"/>
            </w:pPr>
            <w:r>
              <w:rPr>
                <w:color w:val="000000"/>
                <w:kern w:val="0"/>
                <w:sz w:val="24"/>
                <w:szCs w:val="24"/>
              </w:rPr>
              <w:t>150,807,168.00</w:t>
            </w:r>
          </w:p>
        </w:tc>
        <w:tc>
          <w:tcPr>
            <w:tcW w:w="0" w:type="auto"/>
            <w:vAlign w:val="center"/>
          </w:tcPr>
          <w:p w:rsidR="0080291C" w:rsidRDefault="006B64EE">
            <w:pPr>
              <w:jc w:val="right"/>
            </w:pPr>
            <w:r>
              <w:rPr>
                <w:color w:val="000000"/>
                <w:kern w:val="0"/>
                <w:sz w:val="24"/>
                <w:szCs w:val="24"/>
              </w:rPr>
              <w:t>3.57</w:t>
            </w:r>
          </w:p>
        </w:tc>
      </w:tr>
      <w:tr w:rsidR="0080291C">
        <w:tc>
          <w:tcPr>
            <w:tcW w:w="0" w:type="auto"/>
            <w:vAlign w:val="center"/>
          </w:tcPr>
          <w:p w:rsidR="0080291C" w:rsidRDefault="006B64EE">
            <w:pPr>
              <w:jc w:val="center"/>
            </w:pPr>
            <w:r>
              <w:rPr>
                <w:color w:val="000000"/>
                <w:kern w:val="0"/>
                <w:sz w:val="24"/>
                <w:szCs w:val="24"/>
              </w:rPr>
              <w:t>4</w:t>
            </w:r>
          </w:p>
        </w:tc>
        <w:tc>
          <w:tcPr>
            <w:tcW w:w="0" w:type="auto"/>
            <w:vAlign w:val="center"/>
          </w:tcPr>
          <w:p w:rsidR="0080291C" w:rsidRDefault="006B64EE">
            <w:pPr>
              <w:jc w:val="center"/>
            </w:pPr>
            <w:r>
              <w:rPr>
                <w:color w:val="000000"/>
                <w:kern w:val="0"/>
                <w:sz w:val="24"/>
                <w:szCs w:val="24"/>
              </w:rPr>
              <w:t>600519</w:t>
            </w:r>
          </w:p>
        </w:tc>
        <w:tc>
          <w:tcPr>
            <w:tcW w:w="0" w:type="auto"/>
            <w:vAlign w:val="center"/>
          </w:tcPr>
          <w:p w:rsidR="0080291C" w:rsidRDefault="006B64EE">
            <w:pPr>
              <w:jc w:val="center"/>
            </w:pPr>
            <w:r>
              <w:rPr>
                <w:color w:val="000000"/>
                <w:kern w:val="0"/>
                <w:sz w:val="24"/>
                <w:szCs w:val="24"/>
              </w:rPr>
              <w:t>贵州茅台</w:t>
            </w:r>
          </w:p>
        </w:tc>
        <w:tc>
          <w:tcPr>
            <w:tcW w:w="0" w:type="auto"/>
            <w:vAlign w:val="center"/>
          </w:tcPr>
          <w:p w:rsidR="0080291C" w:rsidRDefault="006B64EE">
            <w:pPr>
              <w:jc w:val="right"/>
            </w:pPr>
            <w:r>
              <w:rPr>
                <w:color w:val="000000"/>
                <w:kern w:val="0"/>
                <w:sz w:val="24"/>
                <w:szCs w:val="24"/>
              </w:rPr>
              <w:t>116,992</w:t>
            </w:r>
          </w:p>
        </w:tc>
        <w:tc>
          <w:tcPr>
            <w:tcW w:w="0" w:type="auto"/>
            <w:vAlign w:val="center"/>
          </w:tcPr>
          <w:p w:rsidR="0080291C" w:rsidRDefault="006B64EE">
            <w:pPr>
              <w:jc w:val="right"/>
            </w:pPr>
            <w:r>
              <w:rPr>
                <w:color w:val="000000"/>
                <w:kern w:val="0"/>
                <w:sz w:val="24"/>
                <w:szCs w:val="24"/>
              </w:rPr>
              <w:t>129,978,112.00</w:t>
            </w:r>
          </w:p>
        </w:tc>
        <w:tc>
          <w:tcPr>
            <w:tcW w:w="0" w:type="auto"/>
            <w:vAlign w:val="center"/>
          </w:tcPr>
          <w:p w:rsidR="0080291C" w:rsidRDefault="006B64EE">
            <w:pPr>
              <w:jc w:val="right"/>
            </w:pPr>
            <w:r>
              <w:rPr>
                <w:color w:val="000000"/>
                <w:kern w:val="0"/>
                <w:sz w:val="24"/>
                <w:szCs w:val="24"/>
              </w:rPr>
              <w:t>3.08</w:t>
            </w:r>
          </w:p>
        </w:tc>
      </w:tr>
      <w:tr w:rsidR="0080291C">
        <w:tc>
          <w:tcPr>
            <w:tcW w:w="0" w:type="auto"/>
            <w:vAlign w:val="center"/>
          </w:tcPr>
          <w:p w:rsidR="0080291C" w:rsidRDefault="006B64EE">
            <w:pPr>
              <w:jc w:val="center"/>
            </w:pPr>
            <w:r>
              <w:rPr>
                <w:color w:val="000000"/>
                <w:kern w:val="0"/>
                <w:sz w:val="24"/>
                <w:szCs w:val="24"/>
              </w:rPr>
              <w:t>5</w:t>
            </w:r>
          </w:p>
        </w:tc>
        <w:tc>
          <w:tcPr>
            <w:tcW w:w="0" w:type="auto"/>
            <w:vAlign w:val="center"/>
          </w:tcPr>
          <w:p w:rsidR="0080291C" w:rsidRDefault="006B64EE">
            <w:pPr>
              <w:jc w:val="center"/>
            </w:pPr>
            <w:r>
              <w:rPr>
                <w:color w:val="000000"/>
                <w:kern w:val="0"/>
                <w:sz w:val="24"/>
                <w:szCs w:val="24"/>
              </w:rPr>
              <w:t>600048</w:t>
            </w:r>
          </w:p>
        </w:tc>
        <w:tc>
          <w:tcPr>
            <w:tcW w:w="0" w:type="auto"/>
            <w:vAlign w:val="center"/>
          </w:tcPr>
          <w:p w:rsidR="0080291C" w:rsidRDefault="006B64EE">
            <w:pPr>
              <w:jc w:val="center"/>
            </w:pPr>
            <w:r>
              <w:rPr>
                <w:color w:val="000000"/>
                <w:kern w:val="0"/>
                <w:sz w:val="24"/>
                <w:szCs w:val="24"/>
              </w:rPr>
              <w:t>保利地产</w:t>
            </w:r>
          </w:p>
        </w:tc>
        <w:tc>
          <w:tcPr>
            <w:tcW w:w="0" w:type="auto"/>
            <w:vAlign w:val="center"/>
          </w:tcPr>
          <w:p w:rsidR="0080291C" w:rsidRDefault="006B64EE">
            <w:pPr>
              <w:jc w:val="right"/>
            </w:pPr>
            <w:r>
              <w:rPr>
                <w:color w:val="000000"/>
                <w:kern w:val="0"/>
                <w:sz w:val="24"/>
                <w:szCs w:val="24"/>
              </w:rPr>
              <w:t>8,529,810</w:t>
            </w:r>
          </w:p>
        </w:tc>
        <w:tc>
          <w:tcPr>
            <w:tcW w:w="0" w:type="auto"/>
            <w:vAlign w:val="center"/>
          </w:tcPr>
          <w:p w:rsidR="0080291C" w:rsidRDefault="006B64EE">
            <w:pPr>
              <w:jc w:val="right"/>
            </w:pPr>
            <w:r>
              <w:rPr>
                <w:color w:val="000000"/>
                <w:kern w:val="0"/>
                <w:sz w:val="24"/>
                <w:szCs w:val="24"/>
              </w:rPr>
              <w:t>126,838,274.70</w:t>
            </w:r>
          </w:p>
        </w:tc>
        <w:tc>
          <w:tcPr>
            <w:tcW w:w="0" w:type="auto"/>
            <w:vAlign w:val="center"/>
          </w:tcPr>
          <w:p w:rsidR="0080291C" w:rsidRDefault="006B64EE">
            <w:pPr>
              <w:jc w:val="right"/>
            </w:pPr>
            <w:r>
              <w:rPr>
                <w:color w:val="000000"/>
                <w:kern w:val="0"/>
                <w:sz w:val="24"/>
                <w:szCs w:val="24"/>
              </w:rPr>
              <w:t>3.01</w:t>
            </w:r>
          </w:p>
        </w:tc>
      </w:tr>
      <w:tr w:rsidR="0080291C">
        <w:tc>
          <w:tcPr>
            <w:tcW w:w="0" w:type="auto"/>
            <w:vAlign w:val="center"/>
          </w:tcPr>
          <w:p w:rsidR="0080291C" w:rsidRDefault="006B64EE">
            <w:pPr>
              <w:jc w:val="center"/>
            </w:pPr>
            <w:r>
              <w:rPr>
                <w:color w:val="000000"/>
                <w:kern w:val="0"/>
                <w:sz w:val="24"/>
                <w:szCs w:val="24"/>
              </w:rPr>
              <w:t>6</w:t>
            </w:r>
          </w:p>
        </w:tc>
        <w:tc>
          <w:tcPr>
            <w:tcW w:w="0" w:type="auto"/>
            <w:vAlign w:val="center"/>
          </w:tcPr>
          <w:p w:rsidR="0080291C" w:rsidRDefault="006B64EE">
            <w:pPr>
              <w:jc w:val="center"/>
            </w:pPr>
            <w:r>
              <w:rPr>
                <w:color w:val="000000"/>
                <w:kern w:val="0"/>
                <w:sz w:val="24"/>
                <w:szCs w:val="24"/>
              </w:rPr>
              <w:t>002396</w:t>
            </w:r>
          </w:p>
        </w:tc>
        <w:tc>
          <w:tcPr>
            <w:tcW w:w="0" w:type="auto"/>
            <w:vAlign w:val="center"/>
          </w:tcPr>
          <w:p w:rsidR="0080291C" w:rsidRDefault="006B64EE">
            <w:pPr>
              <w:jc w:val="center"/>
            </w:pPr>
            <w:r>
              <w:rPr>
                <w:color w:val="000000"/>
                <w:kern w:val="0"/>
                <w:sz w:val="24"/>
                <w:szCs w:val="24"/>
              </w:rPr>
              <w:t>星网锐捷</w:t>
            </w:r>
          </w:p>
        </w:tc>
        <w:tc>
          <w:tcPr>
            <w:tcW w:w="0" w:type="auto"/>
            <w:vAlign w:val="center"/>
          </w:tcPr>
          <w:p w:rsidR="0080291C" w:rsidRDefault="006B64EE">
            <w:pPr>
              <w:jc w:val="right"/>
            </w:pPr>
            <w:r>
              <w:rPr>
                <w:color w:val="000000"/>
                <w:kern w:val="0"/>
                <w:sz w:val="24"/>
                <w:szCs w:val="24"/>
              </w:rPr>
              <w:t>3,370,325</w:t>
            </w:r>
          </w:p>
        </w:tc>
        <w:tc>
          <w:tcPr>
            <w:tcW w:w="0" w:type="auto"/>
            <w:vAlign w:val="center"/>
          </w:tcPr>
          <w:p w:rsidR="0080291C" w:rsidRDefault="006B64EE">
            <w:pPr>
              <w:jc w:val="right"/>
            </w:pPr>
            <w:r>
              <w:rPr>
                <w:color w:val="000000"/>
                <w:kern w:val="0"/>
                <w:sz w:val="24"/>
                <w:szCs w:val="24"/>
              </w:rPr>
              <w:t>123,690,927.50</w:t>
            </w:r>
          </w:p>
        </w:tc>
        <w:tc>
          <w:tcPr>
            <w:tcW w:w="0" w:type="auto"/>
            <w:vAlign w:val="center"/>
          </w:tcPr>
          <w:p w:rsidR="0080291C" w:rsidRDefault="006B64EE">
            <w:pPr>
              <w:jc w:val="right"/>
            </w:pPr>
            <w:r>
              <w:rPr>
                <w:color w:val="000000"/>
                <w:kern w:val="0"/>
                <w:sz w:val="24"/>
                <w:szCs w:val="24"/>
              </w:rPr>
              <w:t>2.93</w:t>
            </w:r>
          </w:p>
        </w:tc>
      </w:tr>
      <w:tr w:rsidR="0080291C">
        <w:tc>
          <w:tcPr>
            <w:tcW w:w="0" w:type="auto"/>
            <w:vAlign w:val="center"/>
          </w:tcPr>
          <w:p w:rsidR="0080291C" w:rsidRDefault="006B64EE">
            <w:pPr>
              <w:jc w:val="center"/>
            </w:pPr>
            <w:r>
              <w:rPr>
                <w:color w:val="000000"/>
                <w:kern w:val="0"/>
                <w:sz w:val="24"/>
                <w:szCs w:val="24"/>
              </w:rPr>
              <w:t>7</w:t>
            </w:r>
          </w:p>
        </w:tc>
        <w:tc>
          <w:tcPr>
            <w:tcW w:w="0" w:type="auto"/>
            <w:vAlign w:val="center"/>
          </w:tcPr>
          <w:p w:rsidR="0080291C" w:rsidRDefault="006B64EE">
            <w:pPr>
              <w:jc w:val="center"/>
            </w:pPr>
            <w:r>
              <w:rPr>
                <w:color w:val="000000"/>
                <w:kern w:val="0"/>
                <w:sz w:val="24"/>
                <w:szCs w:val="24"/>
              </w:rPr>
              <w:t>600570</w:t>
            </w:r>
          </w:p>
        </w:tc>
        <w:tc>
          <w:tcPr>
            <w:tcW w:w="0" w:type="auto"/>
            <w:vAlign w:val="center"/>
          </w:tcPr>
          <w:p w:rsidR="0080291C" w:rsidRDefault="006B64EE">
            <w:pPr>
              <w:jc w:val="center"/>
            </w:pPr>
            <w:r>
              <w:rPr>
                <w:color w:val="000000"/>
                <w:kern w:val="0"/>
                <w:sz w:val="24"/>
                <w:szCs w:val="24"/>
              </w:rPr>
              <w:t>恒生电子</w:t>
            </w:r>
          </w:p>
        </w:tc>
        <w:tc>
          <w:tcPr>
            <w:tcW w:w="0" w:type="auto"/>
            <w:vAlign w:val="center"/>
          </w:tcPr>
          <w:p w:rsidR="0080291C" w:rsidRDefault="006B64EE">
            <w:pPr>
              <w:jc w:val="right"/>
            </w:pPr>
            <w:r>
              <w:rPr>
                <w:color w:val="000000"/>
                <w:kern w:val="0"/>
                <w:sz w:val="24"/>
                <w:szCs w:val="24"/>
              </w:rPr>
              <w:t>1,389,240</w:t>
            </w:r>
          </w:p>
        </w:tc>
        <w:tc>
          <w:tcPr>
            <w:tcW w:w="0" w:type="auto"/>
            <w:vAlign w:val="center"/>
          </w:tcPr>
          <w:p w:rsidR="0080291C" w:rsidRDefault="006B64EE">
            <w:pPr>
              <w:jc w:val="right"/>
            </w:pPr>
            <w:r>
              <w:rPr>
                <w:color w:val="000000"/>
                <w:kern w:val="0"/>
                <w:sz w:val="24"/>
                <w:szCs w:val="24"/>
              </w:rPr>
              <w:t>122,114,196.00</w:t>
            </w:r>
          </w:p>
        </w:tc>
        <w:tc>
          <w:tcPr>
            <w:tcW w:w="0" w:type="auto"/>
            <w:vAlign w:val="center"/>
          </w:tcPr>
          <w:p w:rsidR="0080291C" w:rsidRDefault="006B64EE">
            <w:pPr>
              <w:jc w:val="right"/>
            </w:pPr>
            <w:r>
              <w:rPr>
                <w:color w:val="000000"/>
                <w:kern w:val="0"/>
                <w:sz w:val="24"/>
                <w:szCs w:val="24"/>
              </w:rPr>
              <w:t>2.89</w:t>
            </w:r>
          </w:p>
        </w:tc>
      </w:tr>
      <w:tr w:rsidR="0080291C">
        <w:tc>
          <w:tcPr>
            <w:tcW w:w="0" w:type="auto"/>
            <w:vAlign w:val="center"/>
          </w:tcPr>
          <w:p w:rsidR="0080291C" w:rsidRDefault="006B64EE">
            <w:pPr>
              <w:jc w:val="center"/>
            </w:pPr>
            <w:r>
              <w:rPr>
                <w:color w:val="000000"/>
                <w:kern w:val="0"/>
                <w:sz w:val="24"/>
                <w:szCs w:val="24"/>
              </w:rPr>
              <w:t>8</w:t>
            </w:r>
          </w:p>
        </w:tc>
        <w:tc>
          <w:tcPr>
            <w:tcW w:w="0" w:type="auto"/>
            <w:vAlign w:val="center"/>
          </w:tcPr>
          <w:p w:rsidR="0080291C" w:rsidRDefault="006B64EE">
            <w:pPr>
              <w:jc w:val="center"/>
            </w:pPr>
            <w:r>
              <w:rPr>
                <w:color w:val="000000"/>
                <w:kern w:val="0"/>
                <w:sz w:val="24"/>
                <w:szCs w:val="24"/>
              </w:rPr>
              <w:t>002332</w:t>
            </w:r>
          </w:p>
        </w:tc>
        <w:tc>
          <w:tcPr>
            <w:tcW w:w="0" w:type="auto"/>
            <w:vAlign w:val="center"/>
          </w:tcPr>
          <w:p w:rsidR="0080291C" w:rsidRDefault="006B64EE">
            <w:pPr>
              <w:jc w:val="center"/>
            </w:pPr>
            <w:r>
              <w:rPr>
                <w:color w:val="000000"/>
                <w:kern w:val="0"/>
                <w:sz w:val="24"/>
                <w:szCs w:val="24"/>
              </w:rPr>
              <w:t>仙琚制药</w:t>
            </w:r>
          </w:p>
        </w:tc>
        <w:tc>
          <w:tcPr>
            <w:tcW w:w="0" w:type="auto"/>
            <w:vAlign w:val="center"/>
          </w:tcPr>
          <w:p w:rsidR="0080291C" w:rsidRDefault="006B64EE">
            <w:pPr>
              <w:jc w:val="right"/>
            </w:pPr>
            <w:r>
              <w:rPr>
                <w:color w:val="000000"/>
                <w:kern w:val="0"/>
                <w:sz w:val="24"/>
                <w:szCs w:val="24"/>
              </w:rPr>
              <w:t>6,789,318</w:t>
            </w:r>
          </w:p>
        </w:tc>
        <w:tc>
          <w:tcPr>
            <w:tcW w:w="0" w:type="auto"/>
            <w:vAlign w:val="center"/>
          </w:tcPr>
          <w:p w:rsidR="0080291C" w:rsidRDefault="006B64EE">
            <w:pPr>
              <w:jc w:val="right"/>
            </w:pPr>
            <w:r>
              <w:rPr>
                <w:color w:val="000000"/>
                <w:kern w:val="0"/>
                <w:sz w:val="24"/>
                <w:szCs w:val="24"/>
              </w:rPr>
              <w:t>94,778,879.28</w:t>
            </w:r>
          </w:p>
        </w:tc>
        <w:tc>
          <w:tcPr>
            <w:tcW w:w="0" w:type="auto"/>
            <w:vAlign w:val="center"/>
          </w:tcPr>
          <w:p w:rsidR="0080291C" w:rsidRDefault="006B64EE">
            <w:pPr>
              <w:jc w:val="right"/>
            </w:pPr>
            <w:r>
              <w:rPr>
                <w:color w:val="000000"/>
                <w:kern w:val="0"/>
                <w:sz w:val="24"/>
                <w:szCs w:val="24"/>
              </w:rPr>
              <w:t>2.25</w:t>
            </w:r>
          </w:p>
        </w:tc>
      </w:tr>
      <w:tr w:rsidR="0080291C">
        <w:tc>
          <w:tcPr>
            <w:tcW w:w="0" w:type="auto"/>
            <w:vAlign w:val="center"/>
          </w:tcPr>
          <w:p w:rsidR="0080291C" w:rsidRDefault="006B64EE">
            <w:pPr>
              <w:jc w:val="center"/>
            </w:pPr>
            <w:r>
              <w:rPr>
                <w:color w:val="000000"/>
                <w:kern w:val="0"/>
                <w:sz w:val="24"/>
                <w:szCs w:val="24"/>
              </w:rPr>
              <w:t>9</w:t>
            </w:r>
          </w:p>
        </w:tc>
        <w:tc>
          <w:tcPr>
            <w:tcW w:w="0" w:type="auto"/>
            <w:vAlign w:val="center"/>
          </w:tcPr>
          <w:p w:rsidR="0080291C" w:rsidRDefault="006B64EE">
            <w:pPr>
              <w:jc w:val="center"/>
            </w:pPr>
            <w:r>
              <w:rPr>
                <w:color w:val="000000"/>
                <w:kern w:val="0"/>
                <w:sz w:val="24"/>
                <w:szCs w:val="24"/>
              </w:rPr>
              <w:t>600004</w:t>
            </w:r>
          </w:p>
        </w:tc>
        <w:tc>
          <w:tcPr>
            <w:tcW w:w="0" w:type="auto"/>
            <w:vAlign w:val="center"/>
          </w:tcPr>
          <w:p w:rsidR="0080291C" w:rsidRDefault="006B64EE">
            <w:pPr>
              <w:jc w:val="center"/>
            </w:pPr>
            <w:r>
              <w:rPr>
                <w:color w:val="000000"/>
                <w:kern w:val="0"/>
                <w:sz w:val="24"/>
                <w:szCs w:val="24"/>
              </w:rPr>
              <w:t>白云机场</w:t>
            </w:r>
          </w:p>
        </w:tc>
        <w:tc>
          <w:tcPr>
            <w:tcW w:w="0" w:type="auto"/>
            <w:vAlign w:val="center"/>
          </w:tcPr>
          <w:p w:rsidR="0080291C" w:rsidRDefault="006B64EE">
            <w:pPr>
              <w:jc w:val="right"/>
            </w:pPr>
            <w:r>
              <w:rPr>
                <w:color w:val="000000"/>
                <w:kern w:val="0"/>
                <w:sz w:val="24"/>
                <w:szCs w:val="24"/>
              </w:rPr>
              <w:t>7,488,596</w:t>
            </w:r>
          </w:p>
        </w:tc>
        <w:tc>
          <w:tcPr>
            <w:tcW w:w="0" w:type="auto"/>
            <w:vAlign w:val="center"/>
          </w:tcPr>
          <w:p w:rsidR="0080291C" w:rsidRDefault="006B64EE">
            <w:pPr>
              <w:jc w:val="right"/>
            </w:pPr>
            <w:r>
              <w:rPr>
                <w:color w:val="000000"/>
                <w:kern w:val="0"/>
                <w:sz w:val="24"/>
                <w:szCs w:val="24"/>
              </w:rPr>
              <w:t>93,981,879.80</w:t>
            </w:r>
          </w:p>
        </w:tc>
        <w:tc>
          <w:tcPr>
            <w:tcW w:w="0" w:type="auto"/>
            <w:vAlign w:val="center"/>
          </w:tcPr>
          <w:p w:rsidR="0080291C" w:rsidRDefault="006B64EE">
            <w:pPr>
              <w:jc w:val="right"/>
            </w:pPr>
            <w:r>
              <w:rPr>
                <w:color w:val="000000"/>
                <w:kern w:val="0"/>
                <w:sz w:val="24"/>
                <w:szCs w:val="24"/>
              </w:rPr>
              <w:t>2.23</w:t>
            </w:r>
          </w:p>
        </w:tc>
      </w:tr>
      <w:tr w:rsidR="0080291C">
        <w:tc>
          <w:tcPr>
            <w:tcW w:w="0" w:type="auto"/>
            <w:vAlign w:val="center"/>
          </w:tcPr>
          <w:p w:rsidR="0080291C" w:rsidRDefault="006B64EE">
            <w:pPr>
              <w:jc w:val="center"/>
            </w:pPr>
            <w:r>
              <w:rPr>
                <w:color w:val="000000"/>
                <w:kern w:val="0"/>
                <w:sz w:val="24"/>
                <w:szCs w:val="24"/>
              </w:rPr>
              <w:t>10</w:t>
            </w:r>
          </w:p>
        </w:tc>
        <w:tc>
          <w:tcPr>
            <w:tcW w:w="0" w:type="auto"/>
            <w:vAlign w:val="center"/>
          </w:tcPr>
          <w:p w:rsidR="0080291C" w:rsidRDefault="006B64EE">
            <w:pPr>
              <w:jc w:val="center"/>
            </w:pPr>
            <w:r>
              <w:rPr>
                <w:color w:val="000000"/>
                <w:kern w:val="0"/>
                <w:sz w:val="24"/>
                <w:szCs w:val="24"/>
              </w:rPr>
              <w:t>000403</w:t>
            </w:r>
          </w:p>
        </w:tc>
        <w:tc>
          <w:tcPr>
            <w:tcW w:w="0" w:type="auto"/>
            <w:vAlign w:val="center"/>
          </w:tcPr>
          <w:p w:rsidR="0080291C" w:rsidRDefault="006B64EE">
            <w:pPr>
              <w:jc w:val="center"/>
            </w:pPr>
            <w:r>
              <w:rPr>
                <w:color w:val="000000"/>
                <w:kern w:val="0"/>
                <w:sz w:val="24"/>
                <w:szCs w:val="24"/>
              </w:rPr>
              <w:t>双林生物</w:t>
            </w:r>
          </w:p>
        </w:tc>
        <w:tc>
          <w:tcPr>
            <w:tcW w:w="0" w:type="auto"/>
            <w:vAlign w:val="center"/>
          </w:tcPr>
          <w:p w:rsidR="0080291C" w:rsidRDefault="006B64EE">
            <w:pPr>
              <w:jc w:val="right"/>
            </w:pPr>
            <w:r>
              <w:rPr>
                <w:color w:val="000000"/>
                <w:kern w:val="0"/>
                <w:sz w:val="24"/>
                <w:szCs w:val="24"/>
              </w:rPr>
              <w:t>2,487,775</w:t>
            </w:r>
          </w:p>
        </w:tc>
        <w:tc>
          <w:tcPr>
            <w:tcW w:w="0" w:type="auto"/>
            <w:vAlign w:val="center"/>
          </w:tcPr>
          <w:p w:rsidR="0080291C" w:rsidRDefault="006B64EE">
            <w:pPr>
              <w:jc w:val="right"/>
            </w:pPr>
            <w:r>
              <w:rPr>
                <w:color w:val="000000"/>
                <w:kern w:val="0"/>
                <w:sz w:val="24"/>
                <w:szCs w:val="24"/>
              </w:rPr>
              <w:t>93,590,095.50</w:t>
            </w:r>
          </w:p>
        </w:tc>
        <w:tc>
          <w:tcPr>
            <w:tcW w:w="0" w:type="auto"/>
            <w:vAlign w:val="center"/>
          </w:tcPr>
          <w:p w:rsidR="0080291C" w:rsidRDefault="006B64EE">
            <w:pPr>
              <w:jc w:val="right"/>
            </w:pPr>
            <w:r>
              <w:rPr>
                <w:color w:val="000000"/>
                <w:kern w:val="0"/>
                <w:sz w:val="24"/>
                <w:szCs w:val="24"/>
              </w:rPr>
              <w:t>2.22</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2,531,685.68</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0.06</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2,531,685.68</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80291C">
        <w:tc>
          <w:tcPr>
            <w:tcW w:w="0" w:type="auto"/>
            <w:vAlign w:val="center"/>
          </w:tcPr>
          <w:p w:rsidR="0080291C" w:rsidRDefault="006B64EE">
            <w:pPr>
              <w:jc w:val="center"/>
            </w:pPr>
            <w:r>
              <w:rPr>
                <w:color w:val="000000"/>
                <w:kern w:val="0"/>
                <w:sz w:val="24"/>
                <w:szCs w:val="24"/>
              </w:rPr>
              <w:t>1</w:t>
            </w:r>
          </w:p>
        </w:tc>
        <w:tc>
          <w:tcPr>
            <w:tcW w:w="0" w:type="auto"/>
            <w:vAlign w:val="center"/>
          </w:tcPr>
          <w:p w:rsidR="0080291C" w:rsidRDefault="006B64EE">
            <w:pPr>
              <w:jc w:val="center"/>
            </w:pPr>
            <w:r>
              <w:rPr>
                <w:color w:val="000000"/>
                <w:kern w:val="0"/>
                <w:sz w:val="24"/>
                <w:szCs w:val="24"/>
              </w:rPr>
              <w:t>128028</w:t>
            </w:r>
          </w:p>
        </w:tc>
        <w:tc>
          <w:tcPr>
            <w:tcW w:w="0" w:type="auto"/>
            <w:vAlign w:val="center"/>
          </w:tcPr>
          <w:p w:rsidR="0080291C" w:rsidRDefault="006B64EE">
            <w:pPr>
              <w:jc w:val="center"/>
            </w:pPr>
            <w:r>
              <w:rPr>
                <w:color w:val="000000"/>
                <w:kern w:val="0"/>
                <w:sz w:val="24"/>
                <w:szCs w:val="24"/>
              </w:rPr>
              <w:t>赣锋转债</w:t>
            </w:r>
          </w:p>
        </w:tc>
        <w:tc>
          <w:tcPr>
            <w:tcW w:w="0" w:type="auto"/>
            <w:vAlign w:val="center"/>
          </w:tcPr>
          <w:p w:rsidR="0080291C" w:rsidRDefault="006B64EE">
            <w:pPr>
              <w:jc w:val="right"/>
            </w:pPr>
            <w:r>
              <w:rPr>
                <w:color w:val="000000"/>
                <w:kern w:val="0"/>
                <w:sz w:val="24"/>
                <w:szCs w:val="24"/>
              </w:rPr>
              <w:t>20,274</w:t>
            </w:r>
          </w:p>
        </w:tc>
        <w:tc>
          <w:tcPr>
            <w:tcW w:w="0" w:type="auto"/>
            <w:vAlign w:val="center"/>
          </w:tcPr>
          <w:p w:rsidR="0080291C" w:rsidRDefault="006B64EE">
            <w:pPr>
              <w:jc w:val="right"/>
            </w:pPr>
            <w:r>
              <w:rPr>
                <w:color w:val="000000"/>
                <w:kern w:val="0"/>
                <w:sz w:val="24"/>
                <w:szCs w:val="24"/>
              </w:rPr>
              <w:t>2,530,600.68</w:t>
            </w:r>
          </w:p>
        </w:tc>
        <w:tc>
          <w:tcPr>
            <w:tcW w:w="0" w:type="auto"/>
            <w:vAlign w:val="center"/>
          </w:tcPr>
          <w:p w:rsidR="0080291C" w:rsidRDefault="006B64EE">
            <w:pPr>
              <w:jc w:val="right"/>
            </w:pPr>
            <w:r>
              <w:rPr>
                <w:color w:val="000000"/>
                <w:kern w:val="0"/>
                <w:sz w:val="24"/>
                <w:szCs w:val="24"/>
              </w:rPr>
              <w:t>0.06</w:t>
            </w:r>
          </w:p>
        </w:tc>
      </w:tr>
      <w:tr w:rsidR="0080291C">
        <w:tc>
          <w:tcPr>
            <w:tcW w:w="0" w:type="auto"/>
            <w:vAlign w:val="center"/>
          </w:tcPr>
          <w:p w:rsidR="0080291C" w:rsidRDefault="006B64EE">
            <w:pPr>
              <w:jc w:val="center"/>
            </w:pPr>
            <w:r>
              <w:rPr>
                <w:color w:val="000000"/>
                <w:kern w:val="0"/>
                <w:sz w:val="24"/>
                <w:szCs w:val="24"/>
              </w:rPr>
              <w:t>2</w:t>
            </w:r>
          </w:p>
        </w:tc>
        <w:tc>
          <w:tcPr>
            <w:tcW w:w="0" w:type="auto"/>
            <w:vAlign w:val="center"/>
          </w:tcPr>
          <w:p w:rsidR="0080291C" w:rsidRDefault="006B64EE">
            <w:pPr>
              <w:jc w:val="center"/>
            </w:pPr>
            <w:r>
              <w:rPr>
                <w:color w:val="000000"/>
                <w:kern w:val="0"/>
                <w:sz w:val="24"/>
                <w:szCs w:val="24"/>
              </w:rPr>
              <w:t>113021</w:t>
            </w:r>
          </w:p>
        </w:tc>
        <w:tc>
          <w:tcPr>
            <w:tcW w:w="0" w:type="auto"/>
            <w:vAlign w:val="center"/>
          </w:tcPr>
          <w:p w:rsidR="0080291C" w:rsidRDefault="006B64EE">
            <w:pPr>
              <w:jc w:val="center"/>
            </w:pPr>
            <w:r>
              <w:rPr>
                <w:color w:val="000000"/>
                <w:kern w:val="0"/>
                <w:sz w:val="24"/>
                <w:szCs w:val="24"/>
              </w:rPr>
              <w:t>中信转债</w:t>
            </w:r>
          </w:p>
        </w:tc>
        <w:tc>
          <w:tcPr>
            <w:tcW w:w="0" w:type="auto"/>
            <w:vAlign w:val="center"/>
          </w:tcPr>
          <w:p w:rsidR="0080291C" w:rsidRDefault="006B64EE">
            <w:pPr>
              <w:jc w:val="right"/>
            </w:pPr>
            <w:r>
              <w:rPr>
                <w:color w:val="000000"/>
                <w:kern w:val="0"/>
                <w:sz w:val="24"/>
                <w:szCs w:val="24"/>
              </w:rPr>
              <w:t>10</w:t>
            </w:r>
          </w:p>
        </w:tc>
        <w:tc>
          <w:tcPr>
            <w:tcW w:w="0" w:type="auto"/>
            <w:vAlign w:val="center"/>
          </w:tcPr>
          <w:p w:rsidR="0080291C" w:rsidRDefault="006B64EE">
            <w:pPr>
              <w:jc w:val="right"/>
            </w:pPr>
            <w:r>
              <w:rPr>
                <w:color w:val="000000"/>
                <w:kern w:val="0"/>
                <w:sz w:val="24"/>
                <w:szCs w:val="24"/>
              </w:rPr>
              <w:t>1,085.00</w:t>
            </w:r>
          </w:p>
        </w:tc>
        <w:tc>
          <w:tcPr>
            <w:tcW w:w="0" w:type="auto"/>
            <w:vAlign w:val="center"/>
          </w:tcPr>
          <w:p w:rsidR="0080291C" w:rsidRDefault="006B64EE">
            <w:pPr>
              <w:jc w:val="right"/>
            </w:pPr>
            <w:r>
              <w:rPr>
                <w:color w:val="000000"/>
                <w:kern w:val="0"/>
                <w:sz w:val="24"/>
                <w:szCs w:val="24"/>
              </w:rPr>
              <w:t>0.00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保利地产（代码：600048）为易方达科讯混合型证券投资基金的前十大重仓证券之一。2019年8月26日，国家税务总局广州市税务局第三税务分局对保利发展控股集团股份有限公司违反税收管理规定的行为，作出“罚款2000元整”的行政处罚决定。</w:t>
      </w:r>
    </w:p>
    <w:p w:rsidR="0080291C" w:rsidRDefault="006B64EE">
      <w:pPr>
        <w:spacing w:line="360" w:lineRule="auto"/>
        <w:rPr>
          <w:rFonts w:ascii="宋体" w:hAnsi="宋体"/>
          <w:color w:val="000000"/>
          <w:sz w:val="24"/>
          <w:szCs w:val="24"/>
        </w:rPr>
      </w:pPr>
      <w:r>
        <w:rPr>
          <w:rFonts w:ascii="宋体" w:hAnsi="宋体"/>
          <w:color w:val="000000"/>
          <w:sz w:val="24"/>
          <w:szCs w:val="24"/>
        </w:rPr>
        <w:t>万科</w:t>
      </w:r>
      <w:r>
        <w:rPr>
          <w:rFonts w:ascii="宋体" w:hAnsi="宋体"/>
          <w:color w:val="000000"/>
          <w:sz w:val="24"/>
          <w:szCs w:val="24"/>
        </w:rPr>
        <w:t>A</w:t>
      </w:r>
      <w:r>
        <w:rPr>
          <w:rFonts w:ascii="宋体" w:hAnsi="宋体"/>
          <w:color w:val="000000"/>
          <w:sz w:val="24"/>
          <w:szCs w:val="24"/>
        </w:rPr>
        <w:t>（代码：</w:t>
      </w:r>
      <w:r>
        <w:rPr>
          <w:rFonts w:ascii="宋体" w:hAnsi="宋体"/>
          <w:color w:val="000000"/>
          <w:sz w:val="24"/>
          <w:szCs w:val="24"/>
        </w:rPr>
        <w:t>000002</w:t>
      </w:r>
      <w:r>
        <w:rPr>
          <w:rFonts w:ascii="宋体" w:hAnsi="宋体"/>
          <w:color w:val="000000"/>
          <w:sz w:val="24"/>
          <w:szCs w:val="24"/>
        </w:rPr>
        <w:t>）为易方达科讯混合型证券投资基金的前十大重仓证券之一。</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26</w:t>
      </w:r>
      <w:r>
        <w:rPr>
          <w:rFonts w:ascii="宋体" w:hAnsi="宋体"/>
          <w:color w:val="000000"/>
          <w:sz w:val="24"/>
          <w:szCs w:val="24"/>
        </w:rPr>
        <w:t>日，国家外汇管理局深圳市分局对万科企业股份有限公司违反外汇登记管理规定的行为，作出警告并罚款</w:t>
      </w:r>
      <w:r>
        <w:rPr>
          <w:rFonts w:ascii="宋体" w:hAnsi="宋体"/>
          <w:color w:val="000000"/>
          <w:sz w:val="24"/>
          <w:szCs w:val="24"/>
        </w:rPr>
        <w:t>5</w:t>
      </w:r>
      <w:r>
        <w:rPr>
          <w:rFonts w:ascii="宋体" w:hAnsi="宋体"/>
          <w:color w:val="000000"/>
          <w:sz w:val="24"/>
          <w:szCs w:val="24"/>
        </w:rPr>
        <w:t>万元的处罚决定。</w:t>
      </w:r>
    </w:p>
    <w:p w:rsidR="0080291C" w:rsidRDefault="006B64EE">
      <w:pPr>
        <w:spacing w:line="360" w:lineRule="auto"/>
        <w:rPr>
          <w:rFonts w:ascii="宋体" w:hAnsi="宋体"/>
          <w:color w:val="000000"/>
          <w:sz w:val="24"/>
          <w:szCs w:val="24"/>
        </w:rPr>
      </w:pPr>
      <w:r>
        <w:rPr>
          <w:rFonts w:ascii="宋体" w:hAnsi="宋体"/>
          <w:color w:val="000000"/>
          <w:sz w:val="24"/>
          <w:szCs w:val="24"/>
        </w:rPr>
        <w:t>本基金投资保利地产、万科</w:t>
      </w:r>
      <w:r>
        <w:rPr>
          <w:rFonts w:ascii="宋体" w:hAnsi="宋体"/>
          <w:color w:val="000000"/>
          <w:sz w:val="24"/>
          <w:szCs w:val="24"/>
        </w:rPr>
        <w:t>A</w:t>
      </w:r>
      <w:r>
        <w:rPr>
          <w:rFonts w:ascii="宋体" w:hAnsi="宋体"/>
          <w:color w:val="000000"/>
          <w:sz w:val="24"/>
          <w:szCs w:val="24"/>
        </w:rPr>
        <w:t>的投资决策程序符合公司投资制度的规定。</w:t>
      </w:r>
    </w:p>
    <w:p w:rsidR="0080291C" w:rsidRDefault="006B64EE">
      <w:pPr>
        <w:spacing w:line="360" w:lineRule="auto"/>
        <w:rPr>
          <w:rFonts w:ascii="宋体" w:hAnsi="宋体"/>
          <w:color w:val="000000"/>
          <w:sz w:val="24"/>
          <w:szCs w:val="24"/>
        </w:rPr>
      </w:pPr>
      <w:r>
        <w:rPr>
          <w:rFonts w:ascii="宋体" w:hAnsi="宋体"/>
          <w:color w:val="000000"/>
          <w:sz w:val="24"/>
          <w:szCs w:val="24"/>
        </w:rPr>
        <w:t>除保利地产、万科</w:t>
      </w:r>
      <w:r>
        <w:rPr>
          <w:rFonts w:ascii="宋体" w:hAnsi="宋体"/>
          <w:color w:val="000000"/>
          <w:sz w:val="24"/>
          <w:szCs w:val="24"/>
        </w:rPr>
        <w:t>A</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1,103,659.11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139,024.55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3,820,709.02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5,063,392.68</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80291C">
        <w:tc>
          <w:tcPr>
            <w:tcW w:w="0" w:type="auto"/>
            <w:vAlign w:val="center"/>
          </w:tcPr>
          <w:p w:rsidR="0080291C" w:rsidRDefault="006B64EE">
            <w:pPr>
              <w:jc w:val="center"/>
            </w:pPr>
            <w:r>
              <w:rPr>
                <w:color w:val="000000"/>
                <w:kern w:val="0"/>
                <w:sz w:val="24"/>
                <w:szCs w:val="24"/>
              </w:rPr>
              <w:t>1</w:t>
            </w:r>
          </w:p>
        </w:tc>
        <w:tc>
          <w:tcPr>
            <w:tcW w:w="0" w:type="auto"/>
            <w:vAlign w:val="center"/>
          </w:tcPr>
          <w:p w:rsidR="0080291C" w:rsidRDefault="006B64EE">
            <w:pPr>
              <w:jc w:val="center"/>
            </w:pPr>
            <w:r>
              <w:rPr>
                <w:color w:val="000000"/>
                <w:kern w:val="0"/>
                <w:sz w:val="24"/>
                <w:szCs w:val="24"/>
              </w:rPr>
              <w:t>128028</w:t>
            </w:r>
          </w:p>
        </w:tc>
        <w:tc>
          <w:tcPr>
            <w:tcW w:w="0" w:type="auto"/>
            <w:vAlign w:val="center"/>
          </w:tcPr>
          <w:p w:rsidR="0080291C" w:rsidRDefault="006B64EE">
            <w:pPr>
              <w:jc w:val="center"/>
            </w:pPr>
            <w:r>
              <w:rPr>
                <w:color w:val="000000"/>
                <w:kern w:val="0"/>
                <w:sz w:val="24"/>
                <w:szCs w:val="24"/>
              </w:rPr>
              <w:t>赣锋转债</w:t>
            </w:r>
          </w:p>
        </w:tc>
        <w:tc>
          <w:tcPr>
            <w:tcW w:w="0" w:type="auto"/>
            <w:vAlign w:val="center"/>
          </w:tcPr>
          <w:p w:rsidR="0080291C" w:rsidRDefault="006B64EE">
            <w:pPr>
              <w:jc w:val="right"/>
            </w:pPr>
            <w:r>
              <w:rPr>
                <w:color w:val="000000"/>
                <w:kern w:val="0"/>
                <w:sz w:val="24"/>
                <w:szCs w:val="24"/>
              </w:rPr>
              <w:t>2,530,600.68</w:t>
            </w:r>
          </w:p>
        </w:tc>
        <w:tc>
          <w:tcPr>
            <w:tcW w:w="0" w:type="auto"/>
            <w:vAlign w:val="center"/>
          </w:tcPr>
          <w:p w:rsidR="0080291C" w:rsidRDefault="006B64EE">
            <w:pPr>
              <w:jc w:val="right"/>
            </w:pPr>
            <w:r>
              <w:rPr>
                <w:color w:val="000000"/>
                <w:kern w:val="0"/>
                <w:sz w:val="24"/>
                <w:szCs w:val="24"/>
              </w:rPr>
              <w:t>0.06</w:t>
            </w:r>
          </w:p>
        </w:tc>
      </w:tr>
      <w:tr w:rsidR="0080291C">
        <w:tc>
          <w:tcPr>
            <w:tcW w:w="0" w:type="auto"/>
            <w:vAlign w:val="center"/>
          </w:tcPr>
          <w:p w:rsidR="0080291C" w:rsidRDefault="006B64EE">
            <w:pPr>
              <w:jc w:val="center"/>
            </w:pPr>
            <w:r>
              <w:rPr>
                <w:color w:val="000000"/>
                <w:kern w:val="0"/>
                <w:sz w:val="24"/>
                <w:szCs w:val="24"/>
              </w:rPr>
              <w:t>2</w:t>
            </w:r>
          </w:p>
        </w:tc>
        <w:tc>
          <w:tcPr>
            <w:tcW w:w="0" w:type="auto"/>
            <w:vAlign w:val="center"/>
          </w:tcPr>
          <w:p w:rsidR="0080291C" w:rsidRDefault="006B64EE">
            <w:pPr>
              <w:jc w:val="center"/>
            </w:pPr>
            <w:r>
              <w:rPr>
                <w:color w:val="000000"/>
                <w:kern w:val="0"/>
                <w:sz w:val="24"/>
                <w:szCs w:val="24"/>
              </w:rPr>
              <w:t>113021</w:t>
            </w:r>
          </w:p>
        </w:tc>
        <w:tc>
          <w:tcPr>
            <w:tcW w:w="0" w:type="auto"/>
            <w:vAlign w:val="center"/>
          </w:tcPr>
          <w:p w:rsidR="0080291C" w:rsidRDefault="006B64EE">
            <w:pPr>
              <w:jc w:val="center"/>
            </w:pPr>
            <w:r>
              <w:rPr>
                <w:color w:val="000000"/>
                <w:kern w:val="0"/>
                <w:sz w:val="24"/>
                <w:szCs w:val="24"/>
              </w:rPr>
              <w:t>中信转债</w:t>
            </w:r>
          </w:p>
        </w:tc>
        <w:tc>
          <w:tcPr>
            <w:tcW w:w="0" w:type="auto"/>
            <w:vAlign w:val="center"/>
          </w:tcPr>
          <w:p w:rsidR="0080291C" w:rsidRDefault="006B64EE">
            <w:pPr>
              <w:jc w:val="right"/>
            </w:pPr>
            <w:r>
              <w:rPr>
                <w:color w:val="000000"/>
                <w:kern w:val="0"/>
                <w:sz w:val="24"/>
                <w:szCs w:val="24"/>
              </w:rPr>
              <w:t>1,085.00</w:t>
            </w:r>
          </w:p>
        </w:tc>
        <w:tc>
          <w:tcPr>
            <w:tcW w:w="0" w:type="auto"/>
            <w:vAlign w:val="center"/>
          </w:tcPr>
          <w:p w:rsidR="0080291C" w:rsidRDefault="006B64EE">
            <w:pPr>
              <w:jc w:val="right"/>
            </w:pPr>
            <w:r>
              <w:rPr>
                <w:color w:val="000000"/>
                <w:kern w:val="0"/>
                <w:sz w:val="24"/>
                <w:szCs w:val="24"/>
              </w:rPr>
              <w:t>0.00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80291C">
        <w:tc>
          <w:tcPr>
            <w:tcW w:w="0" w:type="auto"/>
            <w:vAlign w:val="center"/>
          </w:tcPr>
          <w:p w:rsidR="0080291C" w:rsidRDefault="006B64EE">
            <w:pPr>
              <w:jc w:val="center"/>
            </w:pPr>
            <w:r>
              <w:rPr>
                <w:color w:val="000000"/>
                <w:kern w:val="0"/>
                <w:sz w:val="24"/>
                <w:szCs w:val="24"/>
              </w:rPr>
              <w:t>1</w:t>
            </w:r>
          </w:p>
        </w:tc>
        <w:tc>
          <w:tcPr>
            <w:tcW w:w="0" w:type="auto"/>
            <w:vAlign w:val="center"/>
          </w:tcPr>
          <w:p w:rsidR="0080291C" w:rsidRDefault="006B64EE">
            <w:pPr>
              <w:jc w:val="center"/>
            </w:pPr>
            <w:r>
              <w:rPr>
                <w:color w:val="000000"/>
                <w:kern w:val="0"/>
                <w:sz w:val="24"/>
                <w:szCs w:val="24"/>
              </w:rPr>
              <w:t>300476</w:t>
            </w:r>
          </w:p>
        </w:tc>
        <w:tc>
          <w:tcPr>
            <w:tcW w:w="0" w:type="auto"/>
            <w:vAlign w:val="center"/>
          </w:tcPr>
          <w:p w:rsidR="0080291C" w:rsidRDefault="006B64EE">
            <w:pPr>
              <w:jc w:val="center"/>
            </w:pPr>
            <w:r>
              <w:rPr>
                <w:color w:val="000000"/>
                <w:kern w:val="0"/>
                <w:sz w:val="24"/>
                <w:szCs w:val="24"/>
              </w:rPr>
              <w:t>胜宏科技</w:t>
            </w:r>
          </w:p>
        </w:tc>
        <w:tc>
          <w:tcPr>
            <w:tcW w:w="0" w:type="auto"/>
            <w:vAlign w:val="center"/>
          </w:tcPr>
          <w:p w:rsidR="0080291C" w:rsidRDefault="006B64EE">
            <w:pPr>
              <w:jc w:val="right"/>
            </w:pPr>
            <w:r>
              <w:rPr>
                <w:color w:val="000000"/>
                <w:kern w:val="0"/>
                <w:sz w:val="24"/>
                <w:szCs w:val="24"/>
              </w:rPr>
              <w:t>19,692,000.00</w:t>
            </w:r>
          </w:p>
        </w:tc>
        <w:tc>
          <w:tcPr>
            <w:tcW w:w="0" w:type="auto"/>
            <w:vAlign w:val="center"/>
          </w:tcPr>
          <w:p w:rsidR="0080291C" w:rsidRDefault="006B64EE">
            <w:pPr>
              <w:jc w:val="right"/>
            </w:pPr>
            <w:r>
              <w:rPr>
                <w:color w:val="000000"/>
                <w:kern w:val="0"/>
                <w:sz w:val="24"/>
                <w:szCs w:val="24"/>
              </w:rPr>
              <w:t>0.47</w:t>
            </w:r>
          </w:p>
        </w:tc>
        <w:tc>
          <w:tcPr>
            <w:tcW w:w="0" w:type="auto"/>
            <w:vAlign w:val="center"/>
          </w:tcPr>
          <w:p w:rsidR="0080291C" w:rsidRDefault="006B64EE">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3,899,778,602.26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362,130,084.97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782,124,051.59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3,479,784,635.64</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80291C" w:rsidRDefault="006B64EE">
      <w:pPr>
        <w:spacing w:line="360" w:lineRule="auto"/>
        <w:ind w:firstLineChars="200" w:firstLine="480"/>
        <w:rPr>
          <w:color w:val="000000"/>
          <w:sz w:val="24"/>
          <w:szCs w:val="24"/>
        </w:rPr>
      </w:pPr>
      <w:r>
        <w:rPr>
          <w:color w:val="000000"/>
          <w:sz w:val="24"/>
          <w:szCs w:val="24"/>
        </w:rPr>
        <w:t>1.</w:t>
      </w:r>
      <w:r>
        <w:rPr>
          <w:color w:val="000000"/>
          <w:sz w:val="24"/>
          <w:szCs w:val="24"/>
        </w:rPr>
        <w:t>中国证监会《关于核准科讯证券投资基金基金份额持有人大会决议的批复》（证监基金字</w:t>
      </w:r>
      <w:r>
        <w:rPr>
          <w:color w:val="000000"/>
          <w:sz w:val="24"/>
          <w:szCs w:val="24"/>
        </w:rPr>
        <w:t>[2007]330</w:t>
      </w:r>
      <w:r>
        <w:rPr>
          <w:color w:val="000000"/>
          <w:sz w:val="24"/>
          <w:szCs w:val="24"/>
        </w:rPr>
        <w:t>号）；</w:t>
      </w:r>
    </w:p>
    <w:p w:rsidR="0080291C" w:rsidRDefault="006B64EE">
      <w:pPr>
        <w:spacing w:line="360" w:lineRule="auto"/>
        <w:ind w:firstLineChars="200" w:firstLine="480"/>
        <w:rPr>
          <w:color w:val="000000"/>
          <w:sz w:val="24"/>
          <w:szCs w:val="24"/>
        </w:rPr>
      </w:pPr>
      <w:r>
        <w:rPr>
          <w:color w:val="000000"/>
          <w:sz w:val="24"/>
          <w:szCs w:val="24"/>
        </w:rPr>
        <w:t>2.</w:t>
      </w:r>
      <w:r>
        <w:rPr>
          <w:color w:val="000000"/>
          <w:sz w:val="24"/>
          <w:szCs w:val="24"/>
        </w:rPr>
        <w:t>《易方达科讯混合型证券投资基金基金合同》；</w:t>
      </w:r>
    </w:p>
    <w:p w:rsidR="0080291C" w:rsidRDefault="006B64EE">
      <w:pPr>
        <w:spacing w:line="360" w:lineRule="auto"/>
        <w:ind w:firstLineChars="200" w:firstLine="480"/>
        <w:rPr>
          <w:color w:val="000000"/>
          <w:sz w:val="24"/>
          <w:szCs w:val="24"/>
        </w:rPr>
      </w:pPr>
      <w:r>
        <w:rPr>
          <w:color w:val="000000"/>
          <w:sz w:val="24"/>
          <w:szCs w:val="24"/>
        </w:rPr>
        <w:t>3.</w:t>
      </w:r>
      <w:r>
        <w:rPr>
          <w:color w:val="000000"/>
          <w:sz w:val="24"/>
          <w:szCs w:val="24"/>
        </w:rPr>
        <w:t>《易方达科讯混合型证券投资基金托管协议》；</w:t>
      </w:r>
    </w:p>
    <w:p w:rsidR="0080291C" w:rsidRDefault="006B64EE">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6B64EE">
      <w:rPr>
        <w:rStyle w:val="a7"/>
        <w:noProof/>
      </w:rPr>
      <w:t>1</w:t>
    </w:r>
    <w:r>
      <w:rPr>
        <w:rStyle w:val="a7"/>
      </w:rPr>
      <w:fldChar w:fldCharType="end"/>
    </w:r>
    <w:r>
      <w:rPr>
        <w:rStyle w:val="a7"/>
        <w:rFonts w:hint="eastAsia"/>
      </w:rPr>
      <w:t>页共</w:t>
    </w:r>
    <w:fldSimple w:instr=" NUMPAGES  \* Arabic  \* MERGEFORMAT ">
      <w:r w:rsidR="006B64EE" w:rsidRPr="006B64EE">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6B64EE">
      <w:rPr>
        <w:rStyle w:val="a7"/>
        <w:noProof/>
      </w:rPr>
      <w:t>2</w:t>
    </w:r>
    <w:r>
      <w:rPr>
        <w:rStyle w:val="a7"/>
      </w:rPr>
      <w:fldChar w:fldCharType="end"/>
    </w:r>
    <w:r>
      <w:rPr>
        <w:rStyle w:val="a7"/>
        <w:rFonts w:hint="eastAsia"/>
      </w:rPr>
      <w:t>页共</w:t>
    </w:r>
    <w:r w:rsidR="006B64EE">
      <w:fldChar w:fldCharType="begin"/>
    </w:r>
    <w:r w:rsidR="006B64EE">
      <w:instrText xml:space="preserve"> NUMPAGES  \* Arabic  \* MERGEFORMAT </w:instrText>
    </w:r>
    <w:r w:rsidR="006B64EE">
      <w:fldChar w:fldCharType="separate"/>
    </w:r>
    <w:r w:rsidR="006B64EE" w:rsidRPr="006B64EE">
      <w:rPr>
        <w:rStyle w:val="a7"/>
        <w:noProof/>
      </w:rPr>
      <w:t>2</w:t>
    </w:r>
    <w:r w:rsidR="006B64EE">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易方达科讯混合型证券投资基金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B64EE"/>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291C"/>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05910D2C-C805-4837-B39D-97FFA6FC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AAE6-F95E-42B2-9C2B-16BF762A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5725</Characters>
  <Application>Microsoft Office Word</Application>
  <DocSecurity>4</DocSecurity>
  <Lines>47</Lines>
  <Paragraphs>13</Paragraphs>
  <ScaleCrop>false</ScaleCrop>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2020-04-14T01:36:00Z</dcterms:created>
  <dcterms:modified xsi:type="dcterms:W3CDTF">2020-04-14T01:36:00Z</dcterms:modified>
</cp:coreProperties>
</file>