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48" w:rsidRPr="00264E55" w:rsidRDefault="00750D48" w:rsidP="004061AC">
      <w:pPr>
        <w:autoSpaceDE w:val="0"/>
        <w:autoSpaceDN w:val="0"/>
        <w:adjustRightInd w:val="0"/>
        <w:spacing w:line="360" w:lineRule="auto"/>
        <w:jc w:val="left"/>
        <w:rPr>
          <w:rFonts w:ascii="宋体"/>
          <w:color w:val="000000"/>
          <w:kern w:val="0"/>
          <w:sz w:val="24"/>
          <w:szCs w:val="24"/>
        </w:rPr>
      </w:pPr>
      <w:bookmarkStart w:id="0" w:name="_GoBack"/>
      <w:bookmarkEnd w:id="0"/>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4061AC">
      <w:pPr>
        <w:autoSpaceDE w:val="0"/>
        <w:autoSpaceDN w:val="0"/>
        <w:adjustRightInd w:val="0"/>
        <w:spacing w:line="360" w:lineRule="auto"/>
        <w:jc w:val="left"/>
        <w:rPr>
          <w:rFonts w:ascii="宋体"/>
          <w:color w:val="000000"/>
          <w:kern w:val="0"/>
          <w:sz w:val="24"/>
          <w:szCs w:val="24"/>
        </w:rPr>
      </w:pP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易方达资源行业混合型证券投资基金</w:t>
      </w:r>
    </w:p>
    <w:p w:rsidR="00750D48" w:rsidRPr="00264E55" w:rsidRDefault="00750D48" w:rsidP="00542546">
      <w:pPr>
        <w:spacing w:line="360" w:lineRule="auto"/>
        <w:jc w:val="center"/>
        <w:rPr>
          <w:rFonts w:ascii="宋体" w:hAnsi="宋体"/>
          <w:b/>
          <w:sz w:val="36"/>
          <w:szCs w:val="36"/>
        </w:rPr>
      </w:pPr>
      <w:r w:rsidRPr="00264E55">
        <w:rPr>
          <w:rFonts w:ascii="宋体" w:hAnsi="宋体"/>
          <w:b/>
          <w:sz w:val="36"/>
          <w:szCs w:val="36"/>
        </w:rPr>
        <w:t>2020年第1季度报告</w:t>
      </w:r>
    </w:p>
    <w:p w:rsidR="00750D48" w:rsidRPr="00093704" w:rsidRDefault="00750D48" w:rsidP="00542546">
      <w:pPr>
        <w:spacing w:line="360" w:lineRule="auto"/>
        <w:jc w:val="center"/>
        <w:rPr>
          <w:rFonts w:ascii="宋体" w:hAnsi="宋体"/>
          <w:b/>
          <w:sz w:val="24"/>
          <w:szCs w:val="24"/>
        </w:rPr>
      </w:pPr>
      <w:r w:rsidRPr="00093704">
        <w:rPr>
          <w:rFonts w:ascii="宋体" w:hAnsi="宋体"/>
          <w:b/>
          <w:sz w:val="24"/>
          <w:szCs w:val="24"/>
        </w:rPr>
        <w:t>2020年3月31日</w:t>
      </w: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jc w:val="center"/>
        <w:rPr>
          <w:rFonts w:ascii="宋体"/>
          <w:b/>
          <w:bCs/>
          <w:color w:val="000000"/>
          <w:sz w:val="24"/>
          <w:szCs w:val="24"/>
        </w:rPr>
      </w:pPr>
    </w:p>
    <w:p w:rsidR="00750D48" w:rsidRPr="00264E55" w:rsidRDefault="00750D48" w:rsidP="004061AC">
      <w:pPr>
        <w:spacing w:line="360" w:lineRule="auto"/>
        <w:rPr>
          <w:rFonts w:ascii="宋体"/>
          <w:b/>
          <w:bCs/>
          <w:color w:val="000000"/>
          <w:sz w:val="24"/>
          <w:szCs w:val="24"/>
        </w:rPr>
      </w:pP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hAnsi="宋体"/>
          <w:b/>
          <w:color w:val="000000"/>
          <w:sz w:val="24"/>
          <w:szCs w:val="24"/>
        </w:rPr>
        <w:t>易方达基金管理有限公司</w:t>
      </w:r>
    </w:p>
    <w:p w:rsidR="00750D48" w:rsidRPr="00264E55" w:rsidRDefault="00750D48" w:rsidP="00EB572F">
      <w:pPr>
        <w:spacing w:line="360" w:lineRule="auto"/>
        <w:ind w:firstLineChars="900" w:firstLine="2168"/>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hAnsi="宋体"/>
          <w:b/>
          <w:color w:val="000000"/>
          <w:sz w:val="24"/>
          <w:szCs w:val="24"/>
        </w:rPr>
        <w:t>中国银行股份有限公司</w:t>
      </w:r>
    </w:p>
    <w:p w:rsidR="00750D48" w:rsidRPr="00264E55" w:rsidRDefault="00750D48" w:rsidP="00EB572F">
      <w:pPr>
        <w:spacing w:line="360" w:lineRule="auto"/>
        <w:ind w:firstLineChars="900" w:firstLine="2168"/>
        <w:rPr>
          <w:rFonts w:ascii="宋体" w:hAnsi="宋体"/>
          <w:b/>
          <w:color w:val="000000"/>
          <w:sz w:val="24"/>
          <w:szCs w:val="24"/>
        </w:rPr>
        <w:sectPr w:rsidR="00750D48" w:rsidRPr="00264E55" w:rsidSect="00304A12">
          <w:headerReference w:type="default" r:id="rId8"/>
          <w:footerReference w:type="default" r:id="rId9"/>
          <w:pgSz w:w="11926" w:h="15840"/>
          <w:pgMar w:top="1418" w:right="1418" w:bottom="851" w:left="1418" w:header="851" w:footer="992" w:gutter="0"/>
          <w:cols w:space="720"/>
          <w:noEndnote/>
        </w:sectPr>
      </w:pPr>
      <w:r w:rsidRPr="00264E55">
        <w:rPr>
          <w:rFonts w:ascii="宋体" w:hAnsi="宋体" w:hint="eastAsia"/>
          <w:b/>
          <w:color w:val="000000"/>
          <w:sz w:val="24"/>
          <w:szCs w:val="24"/>
        </w:rPr>
        <w:t>报告送出日期：</w:t>
      </w:r>
      <w:r w:rsidRPr="00264E55">
        <w:rPr>
          <w:rFonts w:ascii="宋体" w:hAnsi="宋体"/>
          <w:b/>
          <w:color w:val="000000"/>
          <w:sz w:val="24"/>
          <w:szCs w:val="24"/>
        </w:rPr>
        <w:t>二〇二〇年四月二十一日</w:t>
      </w:r>
    </w:p>
    <w:p w:rsidR="00750D48" w:rsidRPr="00264E55" w:rsidRDefault="00750D48" w:rsidP="004D28A3">
      <w:pPr>
        <w:pStyle w:val="1"/>
        <w:spacing w:beforeLines="100" w:before="312" w:afterLines="100" w:after="312"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rsidR="00FA0FD2" w:rsidRDefault="00BB6F4A">
      <w:pPr>
        <w:spacing w:line="360"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A0FD2" w:rsidRDefault="00BB6F4A">
      <w:pPr>
        <w:spacing w:line="360" w:lineRule="auto"/>
        <w:ind w:firstLineChars="200" w:firstLine="480"/>
        <w:rPr>
          <w:color w:val="000000"/>
          <w:sz w:val="24"/>
          <w:szCs w:val="24"/>
        </w:rPr>
      </w:pPr>
      <w:r>
        <w:rPr>
          <w:color w:val="000000"/>
          <w:sz w:val="24"/>
          <w:szCs w:val="24"/>
        </w:rPr>
        <w:t>基金托管人中国银行股份有限公司根据本基金合同规定，于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A0FD2" w:rsidRDefault="00BB6F4A">
      <w:pPr>
        <w:spacing w:line="360"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A0FD2" w:rsidRDefault="00BB6F4A">
      <w:pPr>
        <w:spacing w:line="360"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A0FD2" w:rsidRDefault="00BB6F4A">
      <w:pPr>
        <w:spacing w:line="360" w:lineRule="auto"/>
        <w:ind w:firstLineChars="200" w:firstLine="480"/>
        <w:rPr>
          <w:color w:val="000000"/>
          <w:sz w:val="24"/>
          <w:szCs w:val="24"/>
        </w:rPr>
      </w:pPr>
      <w:r>
        <w:rPr>
          <w:color w:val="000000"/>
          <w:sz w:val="24"/>
          <w:szCs w:val="24"/>
        </w:rPr>
        <w:t>本报告中财务资料未经审计。</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本报告期自</w:t>
      </w:r>
      <w:r w:rsidRPr="006C56AA">
        <w:rPr>
          <w:color w:val="000000"/>
          <w:sz w:val="24"/>
          <w:szCs w:val="24"/>
        </w:rPr>
        <w:t>2020</w:t>
      </w:r>
      <w:r w:rsidRPr="006C56AA">
        <w:rPr>
          <w:color w:val="000000"/>
          <w:sz w:val="24"/>
          <w:szCs w:val="24"/>
        </w:rPr>
        <w:t>年</w:t>
      </w:r>
      <w:r w:rsidRPr="006C56AA">
        <w:rPr>
          <w:color w:val="000000"/>
          <w:sz w:val="24"/>
          <w:szCs w:val="24"/>
        </w:rPr>
        <w:t>1</w:t>
      </w:r>
      <w:r w:rsidRPr="006C56AA">
        <w:rPr>
          <w:color w:val="000000"/>
          <w:sz w:val="24"/>
          <w:szCs w:val="24"/>
        </w:rPr>
        <w:t>月</w:t>
      </w:r>
      <w:r w:rsidRPr="006C56AA">
        <w:rPr>
          <w:color w:val="000000"/>
          <w:sz w:val="24"/>
          <w:szCs w:val="24"/>
        </w:rPr>
        <w:t>1</w:t>
      </w:r>
      <w:r w:rsidRPr="006C56AA">
        <w:rPr>
          <w:color w:val="000000"/>
          <w:sz w:val="24"/>
          <w:szCs w:val="24"/>
        </w:rPr>
        <w:t>日起至</w:t>
      </w:r>
      <w:r w:rsidRPr="006C56AA">
        <w:rPr>
          <w:color w:val="000000"/>
          <w:sz w:val="24"/>
          <w:szCs w:val="24"/>
        </w:rPr>
        <w:t>3</w:t>
      </w:r>
      <w:r w:rsidRPr="006C56AA">
        <w:rPr>
          <w:color w:val="000000"/>
          <w:sz w:val="24"/>
          <w:szCs w:val="24"/>
        </w:rPr>
        <w:t>月</w:t>
      </w:r>
      <w:r w:rsidRPr="006C56AA">
        <w:rPr>
          <w:color w:val="000000"/>
          <w:sz w:val="24"/>
          <w:szCs w:val="24"/>
        </w:rPr>
        <w:t>31</w:t>
      </w:r>
      <w:r w:rsidRPr="006C56AA">
        <w:rPr>
          <w:color w:val="000000"/>
          <w:sz w:val="24"/>
          <w:szCs w:val="24"/>
        </w:rPr>
        <w:t>日止。</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750D48" w:rsidRPr="00264E55" w:rsidTr="00500A03">
        <w:tc>
          <w:tcPr>
            <w:tcW w:w="2835" w:type="dxa"/>
          </w:tcPr>
          <w:p w:rsidR="00750D48" w:rsidRPr="00232B03" w:rsidRDefault="00750D48" w:rsidP="007B5AFB">
            <w:pPr>
              <w:adjustRightInd w:val="0"/>
              <w:spacing w:before="29" w:line="360" w:lineRule="auto"/>
              <w:ind w:left="17"/>
              <w:jc w:val="left"/>
              <w:rPr>
                <w:kern w:val="0"/>
                <w:sz w:val="24"/>
                <w:szCs w:val="24"/>
              </w:rPr>
            </w:pPr>
            <w:r w:rsidRPr="00232B03">
              <w:rPr>
                <w:kern w:val="0"/>
                <w:sz w:val="24"/>
                <w:szCs w:val="24"/>
              </w:rPr>
              <w:t>基金简称</w:t>
            </w:r>
          </w:p>
        </w:tc>
        <w:tc>
          <w:tcPr>
            <w:tcW w:w="5479" w:type="dxa"/>
          </w:tcPr>
          <w:p w:rsidR="00750D48" w:rsidRPr="00232B03" w:rsidRDefault="00750D48" w:rsidP="007B5AFB">
            <w:pPr>
              <w:adjustRightInd w:val="0"/>
              <w:spacing w:before="29" w:line="360" w:lineRule="auto"/>
              <w:ind w:left="17"/>
              <w:jc w:val="left"/>
              <w:rPr>
                <w:color w:val="000000"/>
                <w:kern w:val="0"/>
                <w:sz w:val="24"/>
                <w:szCs w:val="24"/>
              </w:rPr>
            </w:pPr>
            <w:r w:rsidRPr="00232B03">
              <w:rPr>
                <w:color w:val="000000"/>
                <w:kern w:val="0"/>
                <w:sz w:val="24"/>
                <w:szCs w:val="24"/>
              </w:rPr>
              <w:t>易方达资源行业混合</w:t>
            </w:r>
          </w:p>
        </w:tc>
      </w:tr>
      <w:tr w:rsidR="00750D48" w:rsidRPr="00264E55" w:rsidTr="00D94B8D">
        <w:tc>
          <w:tcPr>
            <w:tcW w:w="2835" w:type="dxa"/>
          </w:tcPr>
          <w:p w:rsidR="00750D48" w:rsidRPr="00232B03" w:rsidRDefault="00750D48">
            <w:pPr>
              <w:adjustRightInd w:val="0"/>
              <w:spacing w:before="29" w:line="360" w:lineRule="auto"/>
              <w:ind w:left="17"/>
              <w:jc w:val="left"/>
              <w:rPr>
                <w:kern w:val="0"/>
                <w:sz w:val="24"/>
                <w:szCs w:val="24"/>
              </w:rPr>
            </w:pPr>
            <w:r w:rsidRPr="00232B03">
              <w:rPr>
                <w:kern w:val="0"/>
                <w:sz w:val="24"/>
                <w:szCs w:val="24"/>
              </w:rPr>
              <w:t>基金主代码</w:t>
            </w:r>
          </w:p>
        </w:tc>
        <w:tc>
          <w:tcPr>
            <w:tcW w:w="5479" w:type="dxa"/>
          </w:tcPr>
          <w:p w:rsidR="00750D48" w:rsidRPr="00232B03" w:rsidRDefault="00750D48">
            <w:pPr>
              <w:adjustRightInd w:val="0"/>
              <w:spacing w:before="29" w:line="360" w:lineRule="auto"/>
              <w:ind w:left="17"/>
              <w:jc w:val="left"/>
              <w:rPr>
                <w:color w:val="000000"/>
                <w:kern w:val="0"/>
                <w:sz w:val="24"/>
                <w:szCs w:val="24"/>
              </w:rPr>
            </w:pPr>
            <w:r w:rsidRPr="00232B03">
              <w:rPr>
                <w:color w:val="000000"/>
                <w:kern w:val="0"/>
                <w:sz w:val="24"/>
                <w:szCs w:val="24"/>
              </w:rPr>
              <w:t>110025</w:t>
            </w:r>
          </w:p>
        </w:tc>
      </w:tr>
      <w:tr w:rsidR="00750D48" w:rsidRPr="00264E55" w:rsidTr="00D94B8D">
        <w:tc>
          <w:tcPr>
            <w:tcW w:w="2835" w:type="dxa"/>
          </w:tcPr>
          <w:p w:rsidR="00750D48" w:rsidRPr="00232B03" w:rsidRDefault="00750D48" w:rsidP="00895A8A">
            <w:pPr>
              <w:adjustRightInd w:val="0"/>
              <w:spacing w:before="29" w:line="360" w:lineRule="auto"/>
              <w:ind w:left="17"/>
              <w:jc w:val="left"/>
              <w:rPr>
                <w:kern w:val="0"/>
                <w:sz w:val="24"/>
                <w:szCs w:val="24"/>
              </w:rPr>
            </w:pPr>
            <w:r w:rsidRPr="00232B03">
              <w:rPr>
                <w:kern w:val="0"/>
                <w:sz w:val="24"/>
                <w:szCs w:val="24"/>
              </w:rPr>
              <w:t>交易代码</w:t>
            </w:r>
          </w:p>
        </w:tc>
        <w:tc>
          <w:tcPr>
            <w:tcW w:w="5479" w:type="dxa"/>
          </w:tcPr>
          <w:p w:rsidR="00750D48" w:rsidRPr="00232B03" w:rsidRDefault="00750D48" w:rsidP="00895A8A">
            <w:pPr>
              <w:adjustRightInd w:val="0"/>
              <w:spacing w:before="29" w:line="360" w:lineRule="auto"/>
              <w:ind w:left="17"/>
              <w:jc w:val="left"/>
              <w:rPr>
                <w:color w:val="000000"/>
                <w:kern w:val="0"/>
                <w:sz w:val="24"/>
                <w:szCs w:val="24"/>
              </w:rPr>
            </w:pPr>
            <w:r w:rsidRPr="00232B03">
              <w:rPr>
                <w:kern w:val="0"/>
                <w:sz w:val="24"/>
              </w:rPr>
              <w:t>110025</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基金运作方式</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契约型开放式</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基金合同生效日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2011</w:t>
            </w:r>
            <w:r w:rsidRPr="00232B03">
              <w:rPr>
                <w:color w:val="000000"/>
                <w:kern w:val="0"/>
                <w:sz w:val="24"/>
                <w:szCs w:val="24"/>
              </w:rPr>
              <w:t>年</w:t>
            </w:r>
            <w:r w:rsidRPr="00232B03">
              <w:rPr>
                <w:color w:val="000000"/>
                <w:kern w:val="0"/>
                <w:sz w:val="24"/>
                <w:szCs w:val="24"/>
              </w:rPr>
              <w:t>8</w:t>
            </w:r>
            <w:r w:rsidRPr="00232B03">
              <w:rPr>
                <w:color w:val="000000"/>
                <w:kern w:val="0"/>
                <w:sz w:val="24"/>
                <w:szCs w:val="24"/>
              </w:rPr>
              <w:t>月</w:t>
            </w:r>
            <w:r w:rsidRPr="00232B03">
              <w:rPr>
                <w:color w:val="000000"/>
                <w:kern w:val="0"/>
                <w:sz w:val="24"/>
                <w:szCs w:val="24"/>
              </w:rPr>
              <w:t>16</w:t>
            </w:r>
            <w:r w:rsidRPr="00232B03">
              <w:rPr>
                <w:color w:val="000000"/>
                <w:kern w:val="0"/>
                <w:sz w:val="24"/>
                <w:szCs w:val="24"/>
              </w:rPr>
              <w:t>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报告期末基金份额总额</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495,518,967.69</w:t>
            </w:r>
            <w:r w:rsidRPr="00232B03">
              <w:rPr>
                <w:color w:val="000000"/>
                <w:kern w:val="0"/>
                <w:sz w:val="24"/>
                <w:szCs w:val="24"/>
              </w:rPr>
              <w:t>份</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投资目标</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本基金主要投资资源行业股票，在严格控制风险的前提下，追求超越业绩比较基准的投资回报。</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投资策略</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将根据对资源行业各细分子行业的综合分析，确定各细分子行业的资产配置比例。在各细分子行业中，本基金将选择具有较强竞争优势且估值具有吸引力的上市公司进行投资。当各细分子行业与上市公司的基本面、股票的估值水平出现较大变</w:t>
            </w:r>
            <w:r w:rsidRPr="00232B03">
              <w:rPr>
                <w:color w:val="000000"/>
                <w:kern w:val="0"/>
                <w:sz w:val="24"/>
                <w:szCs w:val="24"/>
              </w:rPr>
              <w:lastRenderedPageBreak/>
              <w:t>化时，本基金将对股票组合适时进行调整。</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lastRenderedPageBreak/>
              <w:t>业绩比较基准</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中证内地资源主题指数收益率</w:t>
            </w:r>
            <w:r w:rsidRPr="00232B03">
              <w:rPr>
                <w:color w:val="000000"/>
                <w:kern w:val="0"/>
                <w:sz w:val="24"/>
                <w:szCs w:val="24"/>
              </w:rPr>
              <w:t>×80%+</w:t>
            </w:r>
            <w:r w:rsidRPr="00232B03">
              <w:rPr>
                <w:color w:val="000000"/>
                <w:kern w:val="0"/>
                <w:sz w:val="24"/>
                <w:szCs w:val="24"/>
              </w:rPr>
              <w:t>中债总指数收益率</w:t>
            </w:r>
            <w:r w:rsidRPr="00232B03">
              <w:rPr>
                <w:color w:val="000000"/>
                <w:kern w:val="0"/>
                <w:sz w:val="24"/>
                <w:szCs w:val="24"/>
              </w:rPr>
              <w:t>×20%</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风险收益特征</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本基金为混合基金，理论上其风险收益水平高于债券基金和货币市场基金，低于股票基金。同时，本基金为行业基金，在享受资源行业收益的同时，也必须承担影响资源行业的因素带来的风险。</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基金管理人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易方达基金管理有限公司</w:t>
            </w:r>
          </w:p>
        </w:tc>
      </w:tr>
      <w:tr w:rsidR="00750D48" w:rsidRPr="00264E55" w:rsidTr="00500A03">
        <w:tc>
          <w:tcPr>
            <w:tcW w:w="2835" w:type="dxa"/>
          </w:tcPr>
          <w:p w:rsidR="00750D48" w:rsidRPr="00232B03" w:rsidRDefault="00750D48" w:rsidP="007B5AFB">
            <w:pPr>
              <w:adjustRightInd w:val="0"/>
              <w:spacing w:before="29" w:line="360" w:lineRule="auto"/>
              <w:ind w:left="17"/>
              <w:jc w:val="left"/>
              <w:rPr>
                <w:sz w:val="24"/>
                <w:szCs w:val="24"/>
              </w:rPr>
            </w:pPr>
            <w:r w:rsidRPr="00232B03">
              <w:rPr>
                <w:kern w:val="0"/>
                <w:sz w:val="24"/>
                <w:szCs w:val="24"/>
              </w:rPr>
              <w:t>基金托管人</w:t>
            </w:r>
          </w:p>
        </w:tc>
        <w:tc>
          <w:tcPr>
            <w:tcW w:w="5479" w:type="dxa"/>
          </w:tcPr>
          <w:p w:rsidR="00750D48" w:rsidRPr="00232B03" w:rsidRDefault="00750D48" w:rsidP="007B5AFB">
            <w:pPr>
              <w:adjustRightInd w:val="0"/>
              <w:spacing w:before="29" w:line="360" w:lineRule="auto"/>
              <w:ind w:left="17"/>
              <w:jc w:val="left"/>
              <w:rPr>
                <w:color w:val="000000"/>
                <w:sz w:val="24"/>
                <w:szCs w:val="24"/>
              </w:rPr>
            </w:pPr>
            <w:r w:rsidRPr="00232B03">
              <w:rPr>
                <w:color w:val="000000"/>
                <w:kern w:val="0"/>
                <w:sz w:val="24"/>
                <w:szCs w:val="24"/>
              </w:rPr>
              <w:t>中国银行股份有限公司</w:t>
            </w:r>
          </w:p>
        </w:tc>
      </w:tr>
    </w:tbl>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R="00392044" w:rsidRPr="006506EF" w:rsidRDefault="00392044" w:rsidP="00392044">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392044" w:rsidRPr="006506EF" w:rsidTr="00C3442A">
        <w:tc>
          <w:tcPr>
            <w:tcW w:w="3402" w:type="dxa"/>
            <w:vAlign w:val="center"/>
          </w:tcPr>
          <w:p w:rsidR="00392044" w:rsidRPr="006506EF" w:rsidRDefault="00392044" w:rsidP="00C3442A">
            <w:pPr>
              <w:adjustRightInd w:val="0"/>
              <w:spacing w:before="29" w:line="360" w:lineRule="auto"/>
              <w:ind w:left="17"/>
              <w:jc w:val="center"/>
              <w:rPr>
                <w:kern w:val="0"/>
                <w:sz w:val="24"/>
              </w:rPr>
            </w:pPr>
            <w:r w:rsidRPr="006506EF">
              <w:rPr>
                <w:kern w:val="0"/>
                <w:sz w:val="24"/>
              </w:rPr>
              <w:t>主要财务指标</w:t>
            </w:r>
          </w:p>
        </w:tc>
        <w:tc>
          <w:tcPr>
            <w:tcW w:w="4962" w:type="dxa"/>
            <w:hMerge w:val="restart"/>
            <w:vAlign w:val="center"/>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报告期</w:t>
            </w:r>
          </w:p>
          <w:p w:rsidR="00392044" w:rsidRPr="006506EF" w:rsidRDefault="00392044" w:rsidP="00C3442A">
            <w:pPr>
              <w:adjustRightInd w:val="0"/>
              <w:spacing w:before="29" w:line="360" w:lineRule="auto"/>
              <w:ind w:left="17"/>
              <w:jc w:val="center"/>
              <w:rPr>
                <w:color w:val="000000"/>
                <w:sz w:val="24"/>
              </w:rPr>
            </w:pPr>
            <w:r w:rsidRPr="006506EF">
              <w:rPr>
                <w:color w:val="000000"/>
                <w:sz w:val="24"/>
              </w:rPr>
              <w:t>(2020</w:t>
            </w:r>
            <w:r w:rsidRPr="006506EF">
              <w:rPr>
                <w:color w:val="000000"/>
                <w:sz w:val="24"/>
              </w:rPr>
              <w:t>年</w:t>
            </w:r>
            <w:r w:rsidRPr="006506EF">
              <w:rPr>
                <w:color w:val="000000"/>
                <w:sz w:val="24"/>
              </w:rPr>
              <w:t>1</w:t>
            </w:r>
            <w:r w:rsidRPr="006506EF">
              <w:rPr>
                <w:color w:val="000000"/>
                <w:sz w:val="24"/>
              </w:rPr>
              <w:t>月</w:t>
            </w:r>
            <w:r w:rsidRPr="006506EF">
              <w:rPr>
                <w:color w:val="000000"/>
                <w:sz w:val="24"/>
              </w:rPr>
              <w:t>1</w:t>
            </w:r>
            <w:r w:rsidRPr="006506EF">
              <w:rPr>
                <w:color w:val="000000"/>
                <w:sz w:val="24"/>
              </w:rPr>
              <w:t>日</w:t>
            </w:r>
            <w:r w:rsidRPr="006506EF">
              <w:rPr>
                <w:color w:val="000000"/>
                <w:sz w:val="24"/>
              </w:rPr>
              <w:t>-2020</w:t>
            </w:r>
            <w:r w:rsidRPr="006506EF">
              <w:rPr>
                <w:color w:val="000000"/>
                <w:sz w:val="24"/>
              </w:rPr>
              <w:t>年</w:t>
            </w:r>
            <w:r w:rsidRPr="006506EF">
              <w:rPr>
                <w:color w:val="000000"/>
                <w:sz w:val="24"/>
              </w:rPr>
              <w:t>3</w:t>
            </w:r>
            <w:r w:rsidRPr="006506EF">
              <w:rPr>
                <w:color w:val="000000"/>
                <w:sz w:val="24"/>
              </w:rPr>
              <w:t>月</w:t>
            </w:r>
            <w:r w:rsidRPr="006506EF">
              <w:rPr>
                <w:color w:val="000000"/>
                <w:sz w:val="24"/>
              </w:rPr>
              <w:t>31</w:t>
            </w:r>
            <w:r w:rsidRPr="006506EF">
              <w:rPr>
                <w:color w:val="000000"/>
                <w:sz w:val="24"/>
              </w:rPr>
              <w:t>日</w:t>
            </w:r>
            <w:r w:rsidRPr="006506EF">
              <w:rPr>
                <w:color w:val="000000"/>
                <w:sz w:val="24"/>
              </w:rPr>
              <w:t>)</w:t>
            </w:r>
          </w:p>
        </w:tc>
        <w:tc>
          <w:tcPr>
            <w:tcW w:w="2410" w:type="dxa"/>
            <w:hMerge/>
          </w:tcPr>
          <w:p w:rsidR="00392044" w:rsidRPr="006506EF" w:rsidRDefault="00392044" w:rsidP="00C3442A">
            <w:pPr>
              <w:adjustRightInd w:val="0"/>
              <w:spacing w:before="29" w:line="360" w:lineRule="auto"/>
              <w:ind w:left="17"/>
              <w:jc w:val="center"/>
              <w:rPr>
                <w:color w:val="000000"/>
                <w:sz w:val="24"/>
              </w:rPr>
            </w:pPr>
            <w:r w:rsidRPr="006506EF">
              <w:rPr>
                <w:color w:val="000000"/>
                <w:sz w:val="24"/>
              </w:rPr>
              <w:t>上期金额</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-2,371,739.67</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2.</w:t>
            </w:r>
            <w:r w:rsidRPr="006506EF">
              <w:rPr>
                <w:kern w:val="0"/>
                <w:sz w:val="24"/>
              </w:rPr>
              <w:t>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-57,344,072.00</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w="4962" w:type="dxa"/>
            <w:hMerge w:val="restart"/>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-0.1152</w:t>
            </w:r>
          </w:p>
        </w:tc>
        <w:tc>
          <w:tcPr>
            <w:tcW w:w="2410" w:type="dxa"/>
            <w:hMerge/>
            <w:vAlign w:val="bottom"/>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364,713,773.17</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w="3402" w:type="dxa"/>
          </w:tcPr>
          <w:p w:rsidR="00392044" w:rsidRPr="006506EF" w:rsidRDefault="00392044" w:rsidP="00C3442A">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w="4962" w:type="dxa"/>
            <w:hMerge w:val="restart"/>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0.736</w:t>
            </w:r>
          </w:p>
        </w:tc>
        <w:tc>
          <w:tcPr>
            <w:tcW w:w="2410" w:type="dxa"/>
            <w:hMerge/>
          </w:tcPr>
          <w:p w:rsidR="00392044" w:rsidRPr="006506EF" w:rsidRDefault="00392044" w:rsidP="00C3442A">
            <w:pPr>
              <w:adjustRightInd w:val="0"/>
              <w:spacing w:before="29" w:line="360" w:lineRule="auto"/>
              <w:ind w:left="17"/>
              <w:jc w:val="right"/>
              <w:rPr>
                <w:color w:val="000000"/>
                <w:sz w:val="24"/>
              </w:rPr>
            </w:pPr>
            <w:r w:rsidRPr="006506EF">
              <w:rPr>
                <w:color w:val="000000"/>
                <w:sz w:val="24"/>
              </w:rPr>
              <w:t>-</w:t>
            </w:r>
          </w:p>
        </w:tc>
      </w:tr>
    </w:tbl>
    <w:p w:rsidR="00FA0FD2" w:rsidRDefault="00BB6F4A">
      <w:pPr>
        <w:spacing w:line="360" w:lineRule="auto"/>
        <w:ind w:firstLineChars="200" w:firstLine="480"/>
        <w:rPr>
          <w:color w:val="000000"/>
          <w:sz w:val="24"/>
          <w:szCs w:val="24"/>
        </w:rPr>
      </w:pPr>
      <w:r>
        <w:rPr>
          <w:color w:val="000000"/>
          <w:sz w:val="24"/>
        </w:rPr>
        <w:t>注：</w:t>
      </w:r>
      <w:r>
        <w:rPr>
          <w:color w:val="000000"/>
          <w:sz w:val="24"/>
        </w:rPr>
        <w:t>1.</w:t>
      </w:r>
      <w:r>
        <w:rPr>
          <w:color w:val="000000"/>
          <w:sz w:val="24"/>
        </w:rPr>
        <w:t>所述基金业绩指标不包括持有人认购或交易基金的各项费用，计入费用后实际收益水平要低于所列数字。</w:t>
      </w:r>
    </w:p>
    <w:p w:rsidR="00750D48" w:rsidRPr="00232B03" w:rsidRDefault="00392044" w:rsidP="00232B03">
      <w:pPr>
        <w:spacing w:line="360" w:lineRule="auto"/>
        <w:ind w:firstLineChars="200" w:firstLine="480"/>
        <w:rPr>
          <w:color w:val="000000"/>
          <w:sz w:val="24"/>
          <w:szCs w:val="24"/>
        </w:rPr>
      </w:pPr>
      <w:r w:rsidRPr="006506EF">
        <w:rPr>
          <w:color w:val="000000"/>
          <w:sz w:val="24"/>
        </w:rPr>
        <w:t>2.</w:t>
      </w:r>
      <w:r w:rsidRPr="006506EF">
        <w:rPr>
          <w:color w:val="000000"/>
          <w:sz w:val="24"/>
        </w:rPr>
        <w:t>本期已实现收益指基金本期利息收入、投资收益、其他收入（不含公允价值变动收益）扣除相关费用后的余额，本期利润为本期已实现收益加上本期公允价值变动收益。</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R="00750D48" w:rsidRPr="00264E55" w:rsidRDefault="00750D48" w:rsidP="009E7C6A">
      <w:pPr>
        <w:autoSpaceDE w:val="0"/>
        <w:autoSpaceDN w:val="0"/>
        <w:adjustRightInd w:val="0"/>
        <w:spacing w:line="360" w:lineRule="auto"/>
        <w:jc w:val="left"/>
        <w:rPr>
          <w:rFonts w:ascii="宋体" w:cs="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hAnsi="宋体" w:cs="宋体" w:hint="eastAsia"/>
          <w:b/>
          <w:bCs/>
          <w:color w:val="000000"/>
          <w:kern w:val="0"/>
          <w:sz w:val="24"/>
          <w:szCs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5"/>
        <w:gridCol w:w="1092"/>
        <w:gridCol w:w="1161"/>
        <w:gridCol w:w="1181"/>
        <w:gridCol w:w="1188"/>
        <w:gridCol w:w="1199"/>
        <w:gridCol w:w="1204"/>
      </w:tblGrid>
      <w:tr w:rsidR="00750D48" w:rsidRPr="00264E55" w:rsidTr="00B05049">
        <w:tc>
          <w:tcPr>
            <w:tcW w:w="1395"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p>
        </w:tc>
        <w:tc>
          <w:tcPr>
            <w:tcW w:w="1092"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hAnsi="宋体" w:cs="宋体" w:hint="eastAsia"/>
                <w:color w:val="000000"/>
                <w:kern w:val="0"/>
                <w:sz w:val="24"/>
                <w:szCs w:val="24"/>
              </w:rPr>
              <w:t>①</w:t>
            </w:r>
          </w:p>
        </w:tc>
        <w:tc>
          <w:tcPr>
            <w:tcW w:w="116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hAnsi="宋体" w:cs="宋体" w:hint="eastAsia"/>
                <w:color w:val="000000"/>
                <w:kern w:val="0"/>
                <w:sz w:val="24"/>
                <w:szCs w:val="24"/>
              </w:rPr>
              <w:t>②</w:t>
            </w:r>
          </w:p>
        </w:tc>
        <w:tc>
          <w:tcPr>
            <w:tcW w:w="1181"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hAnsi="宋体" w:cs="宋体" w:hint="eastAsia"/>
                <w:color w:val="000000"/>
                <w:kern w:val="0"/>
                <w:sz w:val="24"/>
                <w:szCs w:val="24"/>
              </w:rPr>
              <w:t>③</w:t>
            </w:r>
          </w:p>
        </w:tc>
        <w:tc>
          <w:tcPr>
            <w:tcW w:w="1188"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业绩比较基准收益率标准差</w:t>
            </w:r>
            <w:r w:rsidRPr="00232B03">
              <w:rPr>
                <w:rFonts w:ascii="宋体" w:hAnsi="宋体" w:cs="宋体" w:hint="eastAsia"/>
                <w:color w:val="000000"/>
                <w:kern w:val="0"/>
                <w:sz w:val="24"/>
                <w:szCs w:val="24"/>
              </w:rPr>
              <w:t>④</w:t>
            </w:r>
          </w:p>
        </w:tc>
        <w:tc>
          <w:tcPr>
            <w:tcW w:w="1199"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①</w:t>
            </w:r>
            <w:r w:rsidRPr="00232B03">
              <w:rPr>
                <w:color w:val="000000"/>
                <w:kern w:val="0"/>
                <w:sz w:val="24"/>
                <w:szCs w:val="24"/>
              </w:rPr>
              <w:t>-</w:t>
            </w:r>
            <w:r w:rsidRPr="00232B03">
              <w:rPr>
                <w:rFonts w:ascii="宋体" w:hAnsi="宋体" w:cs="宋体" w:hint="eastAsia"/>
                <w:color w:val="000000"/>
                <w:kern w:val="0"/>
                <w:sz w:val="24"/>
                <w:szCs w:val="24"/>
              </w:rPr>
              <w:t>③</w:t>
            </w:r>
          </w:p>
        </w:tc>
        <w:tc>
          <w:tcPr>
            <w:tcW w:w="1204" w:type="dxa"/>
            <w:vAlign w:val="center"/>
          </w:tcPr>
          <w:p w:rsidR="00750D48" w:rsidRPr="00232B03" w:rsidRDefault="00750D48" w:rsidP="00B05049">
            <w:pPr>
              <w:autoSpaceDE w:val="0"/>
              <w:autoSpaceDN w:val="0"/>
              <w:adjustRightInd w:val="0"/>
              <w:spacing w:before="29" w:line="360" w:lineRule="auto"/>
              <w:ind w:left="17"/>
              <w:jc w:val="center"/>
              <w:rPr>
                <w:color w:val="000000"/>
                <w:kern w:val="0"/>
                <w:sz w:val="24"/>
                <w:szCs w:val="24"/>
              </w:rPr>
            </w:pPr>
            <w:r w:rsidRPr="00232B03">
              <w:rPr>
                <w:rFonts w:ascii="宋体" w:hAnsi="宋体" w:cs="宋体" w:hint="eastAsia"/>
                <w:color w:val="000000"/>
                <w:kern w:val="0"/>
                <w:sz w:val="24"/>
                <w:szCs w:val="24"/>
              </w:rPr>
              <w:t>②</w:t>
            </w:r>
            <w:r w:rsidRPr="00232B03">
              <w:rPr>
                <w:color w:val="000000"/>
                <w:kern w:val="0"/>
                <w:sz w:val="24"/>
                <w:szCs w:val="24"/>
              </w:rPr>
              <w:t>-</w:t>
            </w:r>
            <w:r w:rsidRPr="00232B03">
              <w:rPr>
                <w:rFonts w:ascii="宋体" w:hAnsi="宋体" w:cs="宋体" w:hint="eastAsia"/>
                <w:color w:val="000000"/>
                <w:kern w:val="0"/>
                <w:sz w:val="24"/>
                <w:szCs w:val="24"/>
              </w:rPr>
              <w:t>④</w:t>
            </w:r>
          </w:p>
        </w:tc>
      </w:tr>
      <w:tr w:rsidR="00FA0FD2">
        <w:tc>
          <w:tcPr>
            <w:tcW w:w="0" w:type="auto"/>
            <w:vAlign w:val="center"/>
          </w:tcPr>
          <w:p w:rsidR="00FA0FD2" w:rsidRDefault="00BB6F4A">
            <w:pPr>
              <w:jc w:val="left"/>
            </w:pPr>
            <w:r>
              <w:rPr>
                <w:color w:val="000000"/>
                <w:kern w:val="0"/>
                <w:sz w:val="24"/>
                <w:szCs w:val="24"/>
              </w:rPr>
              <w:t>过去三个月</w:t>
            </w:r>
          </w:p>
        </w:tc>
        <w:tc>
          <w:tcPr>
            <w:tcW w:w="0" w:type="auto"/>
            <w:vAlign w:val="center"/>
          </w:tcPr>
          <w:p w:rsidR="00FA0FD2" w:rsidRDefault="00BB6F4A">
            <w:pPr>
              <w:jc w:val="center"/>
            </w:pPr>
            <w:r>
              <w:rPr>
                <w:color w:val="000000"/>
                <w:kern w:val="0"/>
                <w:sz w:val="24"/>
                <w:szCs w:val="24"/>
              </w:rPr>
              <w:t>-14.12%</w:t>
            </w:r>
          </w:p>
        </w:tc>
        <w:tc>
          <w:tcPr>
            <w:tcW w:w="0" w:type="auto"/>
            <w:vAlign w:val="center"/>
          </w:tcPr>
          <w:p w:rsidR="00FA0FD2" w:rsidRDefault="00BB6F4A">
            <w:pPr>
              <w:jc w:val="center"/>
            </w:pPr>
            <w:r>
              <w:rPr>
                <w:color w:val="000000"/>
                <w:kern w:val="0"/>
                <w:sz w:val="24"/>
                <w:szCs w:val="24"/>
              </w:rPr>
              <w:t>2.30%</w:t>
            </w:r>
          </w:p>
        </w:tc>
        <w:tc>
          <w:tcPr>
            <w:tcW w:w="0" w:type="auto"/>
            <w:vAlign w:val="center"/>
          </w:tcPr>
          <w:p w:rsidR="00FA0FD2" w:rsidRDefault="00BB6F4A">
            <w:pPr>
              <w:jc w:val="center"/>
            </w:pPr>
            <w:r>
              <w:rPr>
                <w:color w:val="000000"/>
                <w:kern w:val="0"/>
                <w:sz w:val="24"/>
                <w:szCs w:val="24"/>
              </w:rPr>
              <w:t>-12.34%</w:t>
            </w:r>
          </w:p>
        </w:tc>
        <w:tc>
          <w:tcPr>
            <w:tcW w:w="0" w:type="auto"/>
            <w:vAlign w:val="center"/>
          </w:tcPr>
          <w:p w:rsidR="00FA0FD2" w:rsidRDefault="00BB6F4A">
            <w:pPr>
              <w:jc w:val="center"/>
            </w:pPr>
            <w:r>
              <w:rPr>
                <w:color w:val="000000"/>
                <w:kern w:val="0"/>
                <w:sz w:val="24"/>
                <w:szCs w:val="24"/>
              </w:rPr>
              <w:t>1.65%</w:t>
            </w:r>
          </w:p>
        </w:tc>
        <w:tc>
          <w:tcPr>
            <w:tcW w:w="0" w:type="auto"/>
            <w:vAlign w:val="center"/>
          </w:tcPr>
          <w:p w:rsidR="00FA0FD2" w:rsidRDefault="00BB6F4A">
            <w:pPr>
              <w:jc w:val="center"/>
            </w:pPr>
            <w:r>
              <w:rPr>
                <w:color w:val="000000"/>
                <w:kern w:val="0"/>
                <w:sz w:val="24"/>
                <w:szCs w:val="24"/>
              </w:rPr>
              <w:t>-1.78%</w:t>
            </w:r>
          </w:p>
        </w:tc>
        <w:tc>
          <w:tcPr>
            <w:tcW w:w="0" w:type="auto"/>
            <w:vAlign w:val="center"/>
          </w:tcPr>
          <w:p w:rsidR="00FA0FD2" w:rsidRDefault="00BB6F4A">
            <w:pPr>
              <w:jc w:val="center"/>
            </w:pPr>
            <w:r>
              <w:rPr>
                <w:color w:val="000000"/>
                <w:kern w:val="0"/>
                <w:sz w:val="24"/>
                <w:szCs w:val="24"/>
              </w:rPr>
              <w:t>0.65%</w:t>
            </w:r>
          </w:p>
        </w:tc>
      </w:tr>
    </w:tbl>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val="clear" w:color="auto" w:fill="FFFFFF"/>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R="00750D48" w:rsidRPr="0074694E" w:rsidRDefault="00750D48" w:rsidP="009E7C6A">
      <w:pPr>
        <w:spacing w:line="360" w:lineRule="auto"/>
        <w:jc w:val="center"/>
        <w:rPr>
          <w:color w:val="000000"/>
          <w:sz w:val="24"/>
          <w:szCs w:val="24"/>
        </w:rPr>
      </w:pPr>
      <w:r w:rsidRPr="0074694E">
        <w:rPr>
          <w:color w:val="000000"/>
          <w:sz w:val="24"/>
          <w:szCs w:val="24"/>
        </w:rPr>
        <w:t>易方达资源行业混合型证券投资基金</w:t>
      </w:r>
    </w:p>
    <w:p w:rsidR="00750D48" w:rsidRPr="0074694E" w:rsidRDefault="00750D48" w:rsidP="009E7C6A">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R="00750D48" w:rsidRPr="0074694E" w:rsidRDefault="005F7917" w:rsidP="009E7C6A">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2011</w:t>
      </w:r>
      <w:r w:rsidRPr="0074694E">
        <w:rPr>
          <w:rFonts w:ascii="Times New Roman" w:hAnsi="Times New Roman"/>
          <w:sz w:val="24"/>
          <w:szCs w:val="24"/>
        </w:rPr>
        <w:t>年</w:t>
      </w:r>
      <w:r w:rsidRPr="0074694E">
        <w:rPr>
          <w:rFonts w:ascii="Times New Roman" w:hAnsi="Times New Roman"/>
          <w:sz w:val="24"/>
          <w:szCs w:val="24"/>
        </w:rPr>
        <w:t>8</w:t>
      </w:r>
      <w:r w:rsidRPr="0074694E">
        <w:rPr>
          <w:rFonts w:ascii="Times New Roman" w:hAnsi="Times New Roman"/>
          <w:sz w:val="24"/>
          <w:szCs w:val="24"/>
        </w:rPr>
        <w:t>月</w:t>
      </w:r>
      <w:r w:rsidRPr="0074694E">
        <w:rPr>
          <w:rFonts w:ascii="Times New Roman" w:hAnsi="Times New Roman"/>
          <w:sz w:val="24"/>
          <w:szCs w:val="24"/>
        </w:rPr>
        <w:t>16</w:t>
      </w:r>
      <w:r w:rsidRPr="0074694E">
        <w:rPr>
          <w:rFonts w:ascii="Times New Roman" w:hAnsi="Times New Roman"/>
          <w:sz w:val="24"/>
          <w:szCs w:val="24"/>
        </w:rPr>
        <w:t>日至</w:t>
      </w:r>
      <w:r w:rsidRPr="0074694E">
        <w:rPr>
          <w:rFonts w:ascii="Times New Roman" w:hAnsi="Times New Roman"/>
          <w:sz w:val="24"/>
          <w:szCs w:val="24"/>
        </w:rPr>
        <w:t>2020</w:t>
      </w:r>
      <w:r w:rsidRPr="0074694E">
        <w:rPr>
          <w:rFonts w:ascii="Times New Roman" w:hAnsi="Times New Roman"/>
          <w:sz w:val="24"/>
          <w:szCs w:val="24"/>
        </w:rPr>
        <w:t>年</w:t>
      </w:r>
      <w:r w:rsidRPr="0074694E">
        <w:rPr>
          <w:rFonts w:ascii="Times New Roman" w:hAnsi="Times New Roman"/>
          <w:sz w:val="24"/>
          <w:szCs w:val="24"/>
        </w:rPr>
        <w:t>3</w:t>
      </w:r>
      <w:r w:rsidRPr="0074694E">
        <w:rPr>
          <w:rFonts w:ascii="Times New Roman" w:hAnsi="Times New Roman"/>
          <w:sz w:val="24"/>
          <w:szCs w:val="24"/>
        </w:rPr>
        <w:t>月</w:t>
      </w:r>
      <w:r w:rsidRPr="0074694E">
        <w:rPr>
          <w:rFonts w:ascii="Times New Roman" w:hAnsi="Times New Roman"/>
          <w:sz w:val="24"/>
          <w:szCs w:val="24"/>
        </w:rPr>
        <w:t>31</w:t>
      </w:r>
      <w:r w:rsidRPr="0074694E">
        <w:rPr>
          <w:rFonts w:ascii="Times New Roman" w:hAnsi="Times New Roman"/>
          <w:sz w:val="24"/>
          <w:szCs w:val="24"/>
        </w:rPr>
        <w:t>日）</w:t>
      </w:r>
    </w:p>
    <w:p w:rsidR="00750D48" w:rsidRPr="00264E55" w:rsidRDefault="00BB6F4A" w:rsidP="004061AC">
      <w:pPr>
        <w:pStyle w:val="a5"/>
        <w:snapToGrid w:val="0"/>
        <w:spacing w:before="120" w:line="360" w:lineRule="auto"/>
        <w:jc w:val="center"/>
        <w:rPr>
          <w:rFonts w:hAnsi="宋体"/>
          <w:color w:val="000000"/>
          <w:sz w:val="24"/>
          <w:szCs w:val="24"/>
        </w:rPr>
      </w:pPr>
      <w:r>
        <w:rPr>
          <w:rFonts w:hAnsi="宋体"/>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2.5pt;height:241.5pt;visibility:visible">
            <v:imagedata r:id="rId10" o:title=""/>
          </v:shape>
        </w:pic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注：自基金合同生效至报告期末，基金份额净值增长率为</w:t>
      </w:r>
      <w:r w:rsidRPr="006C56AA">
        <w:rPr>
          <w:color w:val="000000"/>
          <w:sz w:val="24"/>
          <w:szCs w:val="24"/>
        </w:rPr>
        <w:t>-26.40%</w:t>
      </w:r>
      <w:r w:rsidRPr="006C56AA">
        <w:rPr>
          <w:color w:val="000000"/>
          <w:sz w:val="24"/>
          <w:szCs w:val="24"/>
        </w:rPr>
        <w:t>，同期业绩比较基准收益率为</w:t>
      </w:r>
      <w:r w:rsidRPr="006C56AA">
        <w:rPr>
          <w:color w:val="000000"/>
          <w:sz w:val="24"/>
          <w:szCs w:val="24"/>
        </w:rPr>
        <w:t>-46.98%</w:t>
      </w:r>
      <w:r w:rsidRPr="006C56AA">
        <w:rPr>
          <w:color w:val="000000"/>
          <w:sz w:val="24"/>
          <w:szCs w:val="24"/>
        </w:rPr>
        <w:t>。</w:t>
      </w:r>
    </w:p>
    <w:p w:rsidR="00750D48" w:rsidRPr="00232B03" w:rsidRDefault="00750D48" w:rsidP="00693843">
      <w:pPr>
        <w:tabs>
          <w:tab w:val="left" w:pos="1800"/>
        </w:tabs>
        <w:spacing w:line="288" w:lineRule="auto"/>
        <w:rPr>
          <w:color w:val="000000"/>
          <w:sz w:val="24"/>
          <w:szCs w:val="24"/>
        </w:rPr>
      </w:pP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R="004D28A3" w:rsidRPr="0078105B" w:rsidRDefault="00750D48" w:rsidP="004D28A3">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4D28A3" w:rsidRPr="0078105B" w:rsidTr="003328D9">
        <w:trPr>
          <w:cantSplit/>
        </w:trPr>
        <w:tc>
          <w:tcPr>
            <w:tcW w:w="56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w="56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835" w:type="dxa"/>
            <w:vMerge/>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851"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c>
          <w:tcPr>
            <w:tcW w:w="2977" w:type="dxa"/>
            <w:vMerge/>
            <w:vAlign w:val="center"/>
          </w:tcPr>
          <w:p w:rsidR="004D28A3" w:rsidRPr="00FA472B" w:rsidRDefault="004D28A3" w:rsidP="003328D9">
            <w:pPr>
              <w:autoSpaceDE w:val="0"/>
              <w:autoSpaceDN w:val="0"/>
              <w:adjustRightInd w:val="0"/>
              <w:spacing w:before="29" w:line="288" w:lineRule="auto"/>
              <w:ind w:left="15"/>
              <w:jc w:val="center"/>
              <w:rPr>
                <w:color w:val="000000"/>
                <w:kern w:val="0"/>
                <w:sz w:val="24"/>
              </w:rPr>
            </w:pPr>
          </w:p>
        </w:tc>
      </w:tr>
      <w:tr w:rsidR="00FA0FD2">
        <w:tc>
          <w:tcPr>
            <w:tcW w:w="0" w:type="auto"/>
            <w:vAlign w:val="center"/>
          </w:tcPr>
          <w:p w:rsidR="00FA0FD2" w:rsidRDefault="00BB6F4A">
            <w:pPr>
              <w:jc w:val="center"/>
            </w:pPr>
            <w:r>
              <w:rPr>
                <w:color w:val="000000"/>
                <w:sz w:val="24"/>
              </w:rPr>
              <w:t>兰传杰</w:t>
            </w:r>
          </w:p>
        </w:tc>
        <w:tc>
          <w:tcPr>
            <w:tcW w:w="0" w:type="auto"/>
            <w:vAlign w:val="center"/>
          </w:tcPr>
          <w:p w:rsidR="00FA0FD2" w:rsidRDefault="00BB6F4A">
            <w:pPr>
              <w:jc w:val="left"/>
            </w:pPr>
            <w:r>
              <w:rPr>
                <w:color w:val="000000"/>
                <w:sz w:val="24"/>
              </w:rPr>
              <w:t>本基金的基金经理、易方达供给改革灵活配置混合型证券投资基金的基金经理、宏观策略研究员</w:t>
            </w:r>
          </w:p>
        </w:tc>
        <w:tc>
          <w:tcPr>
            <w:tcW w:w="0" w:type="auto"/>
            <w:vAlign w:val="center"/>
          </w:tcPr>
          <w:p w:rsidR="00FA0FD2" w:rsidRDefault="00BB6F4A">
            <w:pPr>
              <w:jc w:val="center"/>
            </w:pPr>
            <w:r>
              <w:rPr>
                <w:color w:val="000000"/>
                <w:sz w:val="24"/>
              </w:rPr>
              <w:t>2018-12-26</w:t>
            </w:r>
          </w:p>
        </w:tc>
        <w:tc>
          <w:tcPr>
            <w:tcW w:w="0" w:type="auto"/>
            <w:vAlign w:val="center"/>
          </w:tcPr>
          <w:p w:rsidR="00FA0FD2" w:rsidRDefault="00BB6F4A">
            <w:pPr>
              <w:jc w:val="center"/>
            </w:pPr>
            <w:r>
              <w:rPr>
                <w:color w:val="000000"/>
                <w:sz w:val="24"/>
              </w:rPr>
              <w:t>-</w:t>
            </w:r>
          </w:p>
        </w:tc>
        <w:tc>
          <w:tcPr>
            <w:tcW w:w="0" w:type="auto"/>
            <w:vAlign w:val="center"/>
          </w:tcPr>
          <w:p w:rsidR="00FA0FD2" w:rsidRDefault="00BB6F4A">
            <w:pPr>
              <w:jc w:val="center"/>
            </w:pPr>
            <w:r>
              <w:rPr>
                <w:color w:val="000000"/>
                <w:sz w:val="24"/>
              </w:rPr>
              <w:t>7</w:t>
            </w:r>
            <w:r>
              <w:rPr>
                <w:color w:val="000000"/>
                <w:sz w:val="24"/>
              </w:rPr>
              <w:t>年</w:t>
            </w:r>
          </w:p>
        </w:tc>
        <w:tc>
          <w:tcPr>
            <w:tcW w:w="0" w:type="auto"/>
            <w:vAlign w:val="center"/>
          </w:tcPr>
          <w:p w:rsidR="00FA0FD2" w:rsidRDefault="00BB6F4A">
            <w:r>
              <w:rPr>
                <w:color w:val="000000"/>
                <w:sz w:val="24"/>
              </w:rPr>
              <w:t>硕士研究生，具有基金从业资格。曾任北京市星石投资管理有限公司周期投资部研究员。</w:t>
            </w:r>
          </w:p>
        </w:tc>
      </w:tr>
    </w:tbl>
    <w:p w:rsidR="00FA0FD2" w:rsidRDefault="00BB6F4A">
      <w:pPr>
        <w:spacing w:line="360" w:lineRule="auto"/>
        <w:ind w:firstLineChars="200" w:firstLine="480"/>
        <w:rPr>
          <w:color w:val="000000"/>
          <w:sz w:val="24"/>
          <w:szCs w:val="24"/>
        </w:rPr>
      </w:pPr>
      <w:r>
        <w:rPr>
          <w:color w:val="000000"/>
          <w:sz w:val="24"/>
          <w:szCs w:val="24"/>
        </w:rPr>
        <w:t>注：</w:t>
      </w:r>
      <w:r>
        <w:rPr>
          <w:color w:val="000000"/>
          <w:sz w:val="24"/>
          <w:szCs w:val="24"/>
        </w:rPr>
        <w:t>1.</w:t>
      </w:r>
      <w:r>
        <w:rPr>
          <w:color w:val="000000"/>
          <w:sz w:val="24"/>
          <w:szCs w:val="24"/>
        </w:rPr>
        <w:t>对基金的首任基金经理，其</w:t>
      </w:r>
      <w:r>
        <w:rPr>
          <w:color w:val="000000"/>
          <w:sz w:val="24"/>
          <w:szCs w:val="24"/>
        </w:rPr>
        <w:t>“</w:t>
      </w:r>
      <w:r>
        <w:rPr>
          <w:color w:val="000000"/>
          <w:sz w:val="24"/>
          <w:szCs w:val="24"/>
        </w:rPr>
        <w:t>任职日期</w:t>
      </w:r>
      <w:r>
        <w:rPr>
          <w:color w:val="000000"/>
          <w:sz w:val="24"/>
          <w:szCs w:val="24"/>
        </w:rPr>
        <w:t>”</w:t>
      </w:r>
      <w:r>
        <w:rPr>
          <w:color w:val="000000"/>
          <w:sz w:val="24"/>
          <w:szCs w:val="24"/>
        </w:rPr>
        <w:t>为基金合同生效日，</w:t>
      </w:r>
      <w:r>
        <w:rPr>
          <w:color w:val="000000"/>
          <w:sz w:val="24"/>
          <w:szCs w:val="24"/>
        </w:rPr>
        <w:t>“</w:t>
      </w:r>
      <w:r>
        <w:rPr>
          <w:color w:val="000000"/>
          <w:sz w:val="24"/>
          <w:szCs w:val="24"/>
        </w:rPr>
        <w:t>离任日期</w:t>
      </w:r>
      <w:r>
        <w:rPr>
          <w:color w:val="000000"/>
          <w:sz w:val="24"/>
          <w:szCs w:val="24"/>
        </w:rPr>
        <w:t>”</w:t>
      </w:r>
      <w:r>
        <w:rPr>
          <w:color w:val="000000"/>
          <w:sz w:val="24"/>
          <w:szCs w:val="24"/>
        </w:rPr>
        <w:t>为根据公司决定确定的解聘日期；对此后的非首任基金经理，</w:t>
      </w:r>
      <w:r>
        <w:rPr>
          <w:color w:val="000000"/>
          <w:sz w:val="24"/>
          <w:szCs w:val="24"/>
        </w:rPr>
        <w:t>“</w:t>
      </w:r>
      <w:r>
        <w:rPr>
          <w:color w:val="000000"/>
          <w:sz w:val="24"/>
          <w:szCs w:val="24"/>
        </w:rPr>
        <w:t>任职日期</w:t>
      </w:r>
      <w:r>
        <w:rPr>
          <w:color w:val="000000"/>
          <w:sz w:val="24"/>
          <w:szCs w:val="24"/>
        </w:rPr>
        <w:t>”</w:t>
      </w:r>
      <w:r>
        <w:rPr>
          <w:color w:val="000000"/>
          <w:sz w:val="24"/>
          <w:szCs w:val="24"/>
        </w:rPr>
        <w:t>和</w:t>
      </w:r>
      <w:r>
        <w:rPr>
          <w:color w:val="000000"/>
          <w:sz w:val="24"/>
          <w:szCs w:val="24"/>
        </w:rPr>
        <w:t>“</w:t>
      </w:r>
      <w:r>
        <w:rPr>
          <w:color w:val="000000"/>
          <w:sz w:val="24"/>
          <w:szCs w:val="24"/>
        </w:rPr>
        <w:t>离任日期</w:t>
      </w:r>
      <w:r>
        <w:rPr>
          <w:color w:val="000000"/>
          <w:sz w:val="24"/>
          <w:szCs w:val="24"/>
        </w:rPr>
        <w:t>”</w:t>
      </w:r>
      <w:r>
        <w:rPr>
          <w:color w:val="000000"/>
          <w:sz w:val="24"/>
          <w:szCs w:val="24"/>
        </w:rPr>
        <w:t>分别指根据公司决定确定的聘任日期和解聘日期。</w:t>
      </w:r>
    </w:p>
    <w:p w:rsidR="00750D48" w:rsidRPr="00232B03" w:rsidRDefault="004D28A3" w:rsidP="004D28A3">
      <w:pPr>
        <w:spacing w:line="360" w:lineRule="auto"/>
        <w:ind w:firstLineChars="200" w:firstLine="480"/>
        <w:rPr>
          <w:color w:val="000000"/>
          <w:sz w:val="24"/>
          <w:szCs w:val="24"/>
        </w:rPr>
      </w:pPr>
      <w:r w:rsidRPr="004D28A3">
        <w:rPr>
          <w:color w:val="000000"/>
          <w:sz w:val="24"/>
          <w:szCs w:val="24"/>
        </w:rPr>
        <w:t>2.</w:t>
      </w:r>
      <w:r w:rsidRPr="004D28A3">
        <w:rPr>
          <w:color w:val="000000"/>
          <w:sz w:val="24"/>
          <w:szCs w:val="24"/>
        </w:rPr>
        <w:t>证券从业的含义遵从《证券业从业人员资格管理办法》的相关规定。</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4.3.1</w:t>
        </w:r>
      </w:smartTag>
      <w:r w:rsidRPr="00264E55">
        <w:rPr>
          <w:rFonts w:ascii="宋体" w:hAnsi="宋体" w:hint="eastAsia"/>
          <w:color w:val="000000"/>
          <w:sz w:val="24"/>
          <w:szCs w:val="24"/>
        </w:rPr>
        <w:t>公平交易制度的执行情况</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w:t>
      </w:r>
      <w:r w:rsidRPr="006C56AA">
        <w:rPr>
          <w:color w:val="000000"/>
          <w:sz w:val="24"/>
          <w:szCs w:val="24"/>
        </w:rPr>
        <w:t>“</w:t>
      </w:r>
      <w:r w:rsidRPr="006C56AA">
        <w:rPr>
          <w:color w:val="000000"/>
          <w:sz w:val="24"/>
          <w:szCs w:val="24"/>
        </w:rPr>
        <w:t>时间优先、价格优先</w:t>
      </w:r>
      <w:r w:rsidRPr="006C56AA">
        <w:rPr>
          <w:color w:val="000000"/>
          <w:sz w:val="24"/>
          <w:szCs w:val="24"/>
        </w:rPr>
        <w:t>”</w:t>
      </w:r>
      <w:r w:rsidRPr="006C56AA">
        <w:rPr>
          <w:color w:val="000000"/>
          <w:sz w:val="24"/>
          <w:szCs w:val="24"/>
        </w:rPr>
        <w:t>作为执行指令的基本原则，通过投资交易系统中的公平交易模块，以尽可能确保公平对待各投资组合。本报告期内，公平交易制度总体执行情况良好。</w:t>
      </w:r>
    </w:p>
    <w:p w:rsidR="00750D48" w:rsidRPr="00264E55" w:rsidRDefault="00750D48" w:rsidP="009E7C6A">
      <w:pPr>
        <w:spacing w:line="360" w:lineRule="auto"/>
        <w:rPr>
          <w:rFonts w:ascii="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olor w:val="000000"/>
            <w:sz w:val="24"/>
            <w:szCs w:val="24"/>
          </w:rPr>
          <w:t>4.3.2</w:t>
        </w:r>
      </w:smartTag>
      <w:r w:rsidRPr="00264E55">
        <w:rPr>
          <w:rFonts w:ascii="宋体" w:hAnsi="宋体" w:hint="eastAsia"/>
          <w:color w:val="000000"/>
          <w:sz w:val="24"/>
          <w:szCs w:val="24"/>
        </w:rPr>
        <w:t>异常交易行为的专项说明</w:t>
      </w:r>
    </w:p>
    <w:p w:rsidR="00FA0FD2" w:rsidRDefault="00BB6F4A">
      <w:pPr>
        <w:spacing w:line="360" w:lineRule="auto"/>
        <w:ind w:firstLineChars="200" w:firstLine="480"/>
        <w:rPr>
          <w:color w:val="000000"/>
          <w:sz w:val="24"/>
          <w:szCs w:val="24"/>
        </w:rPr>
      </w:pPr>
      <w:r>
        <w:rPr>
          <w:color w:val="000000"/>
          <w:sz w:val="24"/>
          <w:szCs w:val="24"/>
        </w:rPr>
        <w:t>本报告期内，公司旗下所有投资组合参与的交易所公开竞价交易中，同日反向交易</w:t>
      </w:r>
      <w:r>
        <w:rPr>
          <w:color w:val="000000"/>
          <w:sz w:val="24"/>
          <w:szCs w:val="24"/>
        </w:rPr>
        <w:t>成交较少的单边交易量超过该证券当日成交量的</w:t>
      </w:r>
      <w:r>
        <w:rPr>
          <w:color w:val="000000"/>
          <w:sz w:val="24"/>
          <w:szCs w:val="24"/>
        </w:rPr>
        <w:t>5%</w:t>
      </w:r>
      <w:r>
        <w:rPr>
          <w:color w:val="000000"/>
          <w:sz w:val="24"/>
          <w:szCs w:val="24"/>
        </w:rPr>
        <w:t>的交易共</w:t>
      </w:r>
      <w:r>
        <w:rPr>
          <w:color w:val="000000"/>
          <w:sz w:val="24"/>
          <w:szCs w:val="24"/>
        </w:rPr>
        <w:t>17</w:t>
      </w:r>
      <w:r>
        <w:rPr>
          <w:color w:val="000000"/>
          <w:sz w:val="24"/>
          <w:szCs w:val="24"/>
        </w:rPr>
        <w:t>次，全部为指数量化投资组合因投资策略需要和其他组合发生的反向交易。</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本报告期内，未发现本基金有可能导致不公平交易和利益输送的异常交易。</w:t>
      </w:r>
    </w:p>
    <w:p w:rsidR="00750D48" w:rsidRPr="00264E55" w:rsidRDefault="00750D48" w:rsidP="009E7C6A">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4.4 </w:t>
      </w:r>
      <w:r w:rsidRPr="00264E55">
        <w:rPr>
          <w:rFonts w:ascii="宋体" w:hAnsi="宋体" w:hint="eastAsia"/>
          <w:b/>
          <w:bCs/>
          <w:color w:val="000000"/>
          <w:kern w:val="0"/>
          <w:sz w:val="24"/>
          <w:szCs w:val="24"/>
        </w:rPr>
        <w:t>报告期内基金的投资策略和业绩表现说明</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4.4.1</w:t>
        </w:r>
      </w:smartTag>
      <w:r w:rsidRPr="00264E55">
        <w:rPr>
          <w:rFonts w:ascii="宋体" w:hAnsi="宋体" w:cs="宋体" w:hint="eastAsia"/>
          <w:sz w:val="24"/>
          <w:szCs w:val="24"/>
        </w:rPr>
        <w:t>报告期内基金投资策略和运作分析</w:t>
      </w:r>
    </w:p>
    <w:p w:rsidR="00FA0FD2" w:rsidRDefault="00BB6F4A">
      <w:pPr>
        <w:spacing w:line="360" w:lineRule="auto"/>
        <w:ind w:firstLineChars="200" w:firstLine="480"/>
        <w:rPr>
          <w:color w:val="000000"/>
          <w:sz w:val="24"/>
          <w:szCs w:val="24"/>
        </w:rPr>
      </w:pPr>
      <w:r>
        <w:rPr>
          <w:color w:val="000000"/>
          <w:sz w:val="24"/>
          <w:szCs w:val="24"/>
        </w:rPr>
        <w:t>2020</w:t>
      </w:r>
      <w:r>
        <w:rPr>
          <w:color w:val="000000"/>
          <w:sz w:val="24"/>
          <w:szCs w:val="24"/>
        </w:rPr>
        <w:t>年一季度，受疫情影响国内外市场发生较大幅度波动。上证指数下跌</w:t>
      </w:r>
      <w:r>
        <w:rPr>
          <w:color w:val="000000"/>
          <w:sz w:val="24"/>
          <w:szCs w:val="24"/>
        </w:rPr>
        <w:t>9.83%</w:t>
      </w:r>
      <w:r>
        <w:rPr>
          <w:color w:val="000000"/>
          <w:sz w:val="24"/>
          <w:szCs w:val="24"/>
        </w:rPr>
        <w:t>，沪深</w:t>
      </w:r>
      <w:r>
        <w:rPr>
          <w:color w:val="000000"/>
          <w:sz w:val="24"/>
          <w:szCs w:val="24"/>
        </w:rPr>
        <w:t>300</w:t>
      </w:r>
      <w:r>
        <w:rPr>
          <w:color w:val="000000"/>
          <w:sz w:val="24"/>
          <w:szCs w:val="24"/>
        </w:rPr>
        <w:t>下跌</w:t>
      </w:r>
      <w:r>
        <w:rPr>
          <w:color w:val="000000"/>
          <w:sz w:val="24"/>
          <w:szCs w:val="24"/>
        </w:rPr>
        <w:t>10.02%</w:t>
      </w:r>
      <w:r>
        <w:rPr>
          <w:color w:val="000000"/>
          <w:sz w:val="24"/>
          <w:szCs w:val="24"/>
        </w:rPr>
        <w:t>，创业板指上涨</w:t>
      </w:r>
      <w:r>
        <w:rPr>
          <w:color w:val="000000"/>
          <w:sz w:val="24"/>
          <w:szCs w:val="24"/>
        </w:rPr>
        <w:t>4.10%</w:t>
      </w:r>
      <w:r>
        <w:rPr>
          <w:color w:val="000000"/>
          <w:sz w:val="24"/>
          <w:szCs w:val="24"/>
        </w:rPr>
        <w:t>。由于中国对疫情控制有力，政策储备工具丰富，国内市场表现好于海外市场。结构方面，成长股表现好于与经济相关性更强的周期股和价值股。资源行业较整体市场表现相对落后，在</w:t>
      </w:r>
      <w:r>
        <w:rPr>
          <w:color w:val="000000"/>
          <w:sz w:val="24"/>
          <w:szCs w:val="24"/>
        </w:rPr>
        <w:t>28</w:t>
      </w:r>
      <w:r>
        <w:rPr>
          <w:color w:val="000000"/>
          <w:sz w:val="24"/>
          <w:szCs w:val="24"/>
        </w:rPr>
        <w:t>个申万一级行业中，采掘和有色金属行业跌幅居前。</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一季度，本基金对估值合理且质地良好的新材料公司进行了重点配置，同时基本金属和贵金属股票之间的配置逐步转向均衡。</w:t>
      </w:r>
    </w:p>
    <w:p w:rsidR="00750D48" w:rsidRPr="00264E55" w:rsidRDefault="00750D48" w:rsidP="009E7C6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264E55">
          <w:rPr>
            <w:rFonts w:ascii="宋体" w:hAnsi="宋体" w:cs="宋体"/>
            <w:sz w:val="24"/>
            <w:szCs w:val="24"/>
          </w:rPr>
          <w:t>4.4.2</w:t>
        </w:r>
      </w:smartTag>
      <w:r w:rsidRPr="00264E55">
        <w:rPr>
          <w:rFonts w:ascii="宋体" w:hAnsi="宋体" w:cs="宋体" w:hint="eastAsia"/>
          <w:sz w:val="24"/>
          <w:szCs w:val="24"/>
        </w:rPr>
        <w:t>报告期内基金的业绩表现</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截至报告期末，本基金份额净值为</w:t>
      </w:r>
      <w:r w:rsidRPr="006C56AA">
        <w:rPr>
          <w:color w:val="000000"/>
          <w:sz w:val="24"/>
          <w:szCs w:val="24"/>
        </w:rPr>
        <w:t>0.736</w:t>
      </w:r>
      <w:r w:rsidRPr="006C56AA">
        <w:rPr>
          <w:color w:val="000000"/>
          <w:sz w:val="24"/>
          <w:szCs w:val="24"/>
        </w:rPr>
        <w:t>元，本报告期份额净值增长率为</w:t>
      </w:r>
      <w:r w:rsidRPr="006C56AA">
        <w:rPr>
          <w:color w:val="000000"/>
          <w:sz w:val="24"/>
          <w:szCs w:val="24"/>
        </w:rPr>
        <w:t>-14.12%</w:t>
      </w:r>
      <w:r w:rsidRPr="006C56AA">
        <w:rPr>
          <w:color w:val="000000"/>
          <w:sz w:val="24"/>
          <w:szCs w:val="24"/>
        </w:rPr>
        <w:t>，同期业绩比较基准收益率为</w:t>
      </w:r>
      <w:r w:rsidRPr="006C56AA">
        <w:rPr>
          <w:color w:val="000000"/>
          <w:sz w:val="24"/>
          <w:szCs w:val="24"/>
        </w:rPr>
        <w:t>-12.34%</w:t>
      </w:r>
      <w:r w:rsidRPr="006C56AA">
        <w:rPr>
          <w:color w:val="000000"/>
          <w:sz w:val="24"/>
          <w:szCs w:val="24"/>
        </w:rPr>
        <w:t>。</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3357"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项目</w:t>
            </w:r>
          </w:p>
        </w:tc>
        <w:tc>
          <w:tcPr>
            <w:tcW w:w="2977"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w="1843"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1</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权益投资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329,610,000.80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89.85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其中：股票</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329,610,000.80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89.85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2</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固定收益投资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4,351,339.20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1.19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其中：债券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4,351,339.20</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1.19</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3</w:t>
            </w:r>
          </w:p>
        </w:tc>
        <w:tc>
          <w:tcPr>
            <w:tcW w:w="3357" w:type="dxa"/>
          </w:tcPr>
          <w:p w:rsidR="00750D48" w:rsidRPr="00232B03" w:rsidRDefault="00750D48" w:rsidP="00EB572F">
            <w:pPr>
              <w:spacing w:before="29" w:line="360" w:lineRule="auto"/>
              <w:ind w:leftChars="50" w:left="105"/>
              <w:rPr>
                <w:color w:val="000000"/>
                <w:kern w:val="0"/>
                <w:sz w:val="24"/>
                <w:szCs w:val="24"/>
              </w:rPr>
            </w:pPr>
            <w:r w:rsidRPr="00232B03">
              <w:rPr>
                <w:color w:val="000000"/>
                <w:kern w:val="0"/>
                <w:sz w:val="24"/>
                <w:szCs w:val="24"/>
              </w:rPr>
              <w:t>贵金属投资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4</w:t>
            </w:r>
          </w:p>
        </w:tc>
        <w:tc>
          <w:tcPr>
            <w:tcW w:w="3357" w:type="dxa"/>
            <w:vAlign w:val="center"/>
          </w:tcPr>
          <w:p w:rsidR="00750D48" w:rsidRPr="00232B03" w:rsidRDefault="00750D48" w:rsidP="00B05049">
            <w:pPr>
              <w:spacing w:before="29" w:line="360" w:lineRule="auto"/>
              <w:ind w:left="17"/>
              <w:jc w:val="left"/>
              <w:rPr>
                <w:color w:val="000000"/>
                <w:kern w:val="0"/>
                <w:sz w:val="24"/>
                <w:szCs w:val="24"/>
              </w:rPr>
            </w:pPr>
            <w:r w:rsidRPr="00232B03">
              <w:rPr>
                <w:color w:val="000000"/>
                <w:kern w:val="0"/>
                <w:sz w:val="24"/>
                <w:szCs w:val="24"/>
              </w:rPr>
              <w:t>金融衍生品投资</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5</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6</w:t>
            </w:r>
          </w:p>
        </w:tc>
        <w:tc>
          <w:tcPr>
            <w:tcW w:w="3357" w:type="dxa"/>
            <w:vAlign w:val="center"/>
          </w:tcPr>
          <w:p w:rsidR="00750D48" w:rsidRPr="00232B03" w:rsidRDefault="00750D48" w:rsidP="00B05049">
            <w:pPr>
              <w:spacing w:before="29" w:line="360" w:lineRule="auto"/>
              <w:ind w:left="17"/>
              <w:jc w:val="left"/>
              <w:rPr>
                <w:kern w:val="0"/>
                <w:sz w:val="24"/>
                <w:szCs w:val="24"/>
              </w:rPr>
            </w:pPr>
            <w:r w:rsidRPr="00232B03">
              <w:rPr>
                <w:color w:val="000000"/>
                <w:kern w:val="0"/>
                <w:sz w:val="24"/>
                <w:szCs w:val="24"/>
              </w:rPr>
              <w:t>银行存款和结算备付金合计</w:t>
            </w:r>
          </w:p>
        </w:tc>
        <w:tc>
          <w:tcPr>
            <w:tcW w:w="2977"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29,034,671.79</w:t>
            </w:r>
          </w:p>
        </w:tc>
        <w:tc>
          <w:tcPr>
            <w:tcW w:w="1843" w:type="dxa"/>
            <w:vAlign w:val="center"/>
          </w:tcPr>
          <w:p w:rsidR="00750D48" w:rsidRPr="00232B03" w:rsidRDefault="00750D48" w:rsidP="00B05049">
            <w:pPr>
              <w:spacing w:before="29" w:line="360" w:lineRule="auto"/>
              <w:ind w:left="17"/>
              <w:jc w:val="right"/>
              <w:rPr>
                <w:color w:val="000000"/>
                <w:kern w:val="0"/>
                <w:sz w:val="24"/>
                <w:szCs w:val="24"/>
              </w:rPr>
            </w:pPr>
            <w:r w:rsidRPr="00232B03">
              <w:rPr>
                <w:color w:val="000000"/>
                <w:kern w:val="0"/>
                <w:sz w:val="24"/>
                <w:szCs w:val="24"/>
              </w:rPr>
              <w:t>7.91</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7</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其他资产</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3,864,119.80</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1.05</w:t>
            </w:r>
          </w:p>
        </w:tc>
      </w:tr>
      <w:tr w:rsidR="00750D48" w:rsidRPr="00264E55" w:rsidTr="00B05049">
        <w:trPr>
          <w:jc w:val="center"/>
        </w:trPr>
        <w:tc>
          <w:tcPr>
            <w:tcW w:w="720"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8</w:t>
            </w:r>
          </w:p>
        </w:tc>
        <w:tc>
          <w:tcPr>
            <w:tcW w:w="3357" w:type="dxa"/>
            <w:vAlign w:val="center"/>
          </w:tcPr>
          <w:p w:rsidR="00750D48" w:rsidRPr="00232B03" w:rsidRDefault="00750D48" w:rsidP="00B05049">
            <w:pPr>
              <w:jc w:val="left"/>
              <w:rPr>
                <w:kern w:val="0"/>
                <w:sz w:val="24"/>
                <w:szCs w:val="24"/>
              </w:rPr>
            </w:pPr>
            <w:r w:rsidRPr="00232B03">
              <w:rPr>
                <w:color w:val="000000"/>
                <w:kern w:val="0"/>
                <w:sz w:val="24"/>
                <w:szCs w:val="24"/>
              </w:rPr>
              <w:t>合计</w:t>
            </w:r>
          </w:p>
        </w:tc>
        <w:tc>
          <w:tcPr>
            <w:tcW w:w="2977"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366,860,131.59</w:t>
            </w:r>
          </w:p>
        </w:tc>
        <w:tc>
          <w:tcPr>
            <w:tcW w:w="1843" w:type="dxa"/>
            <w:vAlign w:val="center"/>
          </w:tcPr>
          <w:p w:rsidR="00750D48" w:rsidRPr="00232B03" w:rsidRDefault="00750D48" w:rsidP="00B05049">
            <w:pPr>
              <w:jc w:val="right"/>
              <w:rPr>
                <w:color w:val="000000"/>
                <w:kern w:val="0"/>
                <w:sz w:val="24"/>
                <w:szCs w:val="24"/>
              </w:rPr>
            </w:pPr>
            <w:r w:rsidRPr="00232B03">
              <w:rPr>
                <w:color w:val="000000"/>
                <w:kern w:val="0"/>
                <w:sz w:val="24"/>
                <w:szCs w:val="24"/>
              </w:rPr>
              <w:t>100.00</w:t>
            </w:r>
          </w:p>
        </w:tc>
      </w:tr>
    </w:tbl>
    <w:p w:rsidR="008C2A4F" w:rsidRPr="00220C32" w:rsidRDefault="008C2A4F" w:rsidP="008C2A4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sidRPr="00220C32">
        <w:rPr>
          <w:rFonts w:asciiTheme="minorEastAsia" w:eastAsiaTheme="minorEastAsia" w:hAnsiTheme="minorEastAsia"/>
          <w:b/>
          <w:bCs/>
          <w:color w:val="000000" w:themeColor="text1"/>
          <w:kern w:val="0"/>
          <w:sz w:val="24"/>
          <w:szCs w:val="24"/>
        </w:rPr>
        <w:t xml:space="preserve">5.2 </w:t>
      </w:r>
      <w:r w:rsidRPr="00220C32">
        <w:rPr>
          <w:rFonts w:asciiTheme="minorEastAsia" w:eastAsiaTheme="minorEastAsia" w:hAnsiTheme="minorEastAsia" w:hint="eastAsia"/>
          <w:b/>
          <w:bCs/>
          <w:color w:val="000000" w:themeColor="text1"/>
          <w:kern w:val="0"/>
          <w:sz w:val="24"/>
          <w:szCs w:val="24"/>
        </w:rPr>
        <w:t>报告期末按行业分类的股票投资组合</w:t>
      </w:r>
    </w:p>
    <w:p w:rsidR="008C2A4F" w:rsidRPr="000D7474" w:rsidRDefault="008C2A4F" w:rsidP="008C2A4F">
      <w:pPr>
        <w:rPr>
          <w:rFonts w:asciiTheme="minorEastAsia" w:eastAsiaTheme="minorEastAsia" w:hAnsiTheme="minorEastAsia"/>
          <w:b/>
          <w:bCs/>
          <w:color w:val="000000" w:themeColor="text1"/>
          <w:kern w:val="0"/>
          <w:sz w:val="24"/>
          <w:szCs w:val="24"/>
        </w:rPr>
      </w:pPr>
      <w:r w:rsidRPr="000D7474">
        <w:rPr>
          <w:rFonts w:asciiTheme="minorEastAsia" w:eastAsiaTheme="minorEastAsia" w:hAnsiTheme="minorEastAsia" w:hint="eastAsia"/>
          <w:b/>
          <w:bCs/>
          <w:color w:val="000000" w:themeColor="text1"/>
          <w:kern w:val="0"/>
          <w:sz w:val="24"/>
          <w:szCs w:val="24"/>
        </w:rPr>
        <w:t>5.2.1报告期末按行业分类的境内股票投资组合</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544"/>
        <w:gridCol w:w="2977"/>
        <w:gridCol w:w="1559"/>
      </w:tblGrid>
      <w:tr w:rsidR="008C2A4F" w:rsidRPr="008C2A4F" w:rsidTr="00501495">
        <w:trPr>
          <w:trHeight w:val="390"/>
        </w:trPr>
        <w:tc>
          <w:tcPr>
            <w:tcW w:w="709" w:type="dxa"/>
            <w:tcBorders>
              <w:top w:val="single" w:sz="4" w:space="0" w:color="000000"/>
              <w:left w:val="single" w:sz="4" w:space="0" w:color="000000"/>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行业类别</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占基金资产净值比例（％）</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utoSpaceDE w:val="0"/>
              <w:autoSpaceDN w:val="0"/>
              <w:adjustRightInd w:val="0"/>
              <w:spacing w:before="29" w:line="360" w:lineRule="auto"/>
              <w:ind w:left="15"/>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105,102,804.99</w:t>
            </w:r>
          </w:p>
          <w:p w:rsidR="008C2A4F" w:rsidRPr="008C2A4F" w:rsidRDefault="008C2A4F" w:rsidP="003328D9">
            <w:pPr>
              <w:jc w:val="right"/>
              <w:rPr>
                <w:rFonts w:eastAsiaTheme="minorEastAsia"/>
                <w:color w:val="000000" w:themeColor="text1"/>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28.82</w:t>
            </w:r>
          </w:p>
          <w:p w:rsidR="008C2A4F" w:rsidRPr="008C2A4F" w:rsidRDefault="008C2A4F" w:rsidP="003328D9">
            <w:pPr>
              <w:jc w:val="right"/>
              <w:rPr>
                <w:rFonts w:eastAsiaTheme="minorEastAsia"/>
                <w:color w:val="000000" w:themeColor="text1"/>
                <w:kern w:val="0"/>
                <w:sz w:val="24"/>
                <w:szCs w:val="24"/>
              </w:rPr>
            </w:pP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制造业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194,215,662.96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53.25</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建筑业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19,147.31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0.01</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5,094,732.32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1.40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18,294,805.26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5.02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金融业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110,670.00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房地产业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17,552.98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0.00</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102,241.98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0.03</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教育</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r w:rsidRPr="008C2A4F">
              <w:rPr>
                <w:rFonts w:eastAsiaTheme="minorEastAsia"/>
                <w:color w:val="000000" w:themeColor="text1"/>
                <w:kern w:val="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综合</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6,652,383.00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1.82</w:t>
            </w:r>
          </w:p>
        </w:tc>
      </w:tr>
      <w:tr w:rsidR="008C2A4F" w:rsidRPr="008C2A4F" w:rsidTr="00501495">
        <w:trPr>
          <w:trHeight w:val="285"/>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jc w:val="center"/>
              <w:rPr>
                <w:rFonts w:eastAsiaTheme="minorEastAsia"/>
                <w:color w:val="000000" w:themeColor="text1"/>
                <w:kern w:val="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C2A4F" w:rsidRPr="008C2A4F" w:rsidRDefault="008C2A4F" w:rsidP="003328D9">
            <w:pPr>
              <w:adjustRightInd w:val="0"/>
              <w:snapToGrid w:val="0"/>
              <w:spacing w:line="400" w:lineRule="exact"/>
              <w:rPr>
                <w:rFonts w:eastAsiaTheme="minorEastAsia"/>
                <w:color w:val="000000" w:themeColor="text1"/>
                <w:kern w:val="0"/>
                <w:sz w:val="24"/>
                <w:szCs w:val="24"/>
              </w:rPr>
            </w:pPr>
            <w:r w:rsidRPr="008C2A4F">
              <w:rPr>
                <w:rFonts w:eastAsiaTheme="minorEastAsia"/>
                <w:color w:val="000000" w:themeColor="text1"/>
                <w:kern w:val="0"/>
                <w:sz w:val="24"/>
                <w:szCs w:val="24"/>
              </w:rPr>
              <w:t>合计</w:t>
            </w:r>
          </w:p>
        </w:tc>
        <w:tc>
          <w:tcPr>
            <w:tcW w:w="2977" w:type="dxa"/>
            <w:tcBorders>
              <w:top w:val="single" w:sz="4" w:space="0" w:color="000000"/>
              <w:left w:val="single" w:sz="4" w:space="0" w:color="auto"/>
              <w:bottom w:val="single" w:sz="4" w:space="0" w:color="000000"/>
              <w:right w:val="single" w:sz="4" w:space="0" w:color="000000"/>
            </w:tcBorders>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329,610,000.80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C2A4F" w:rsidRPr="008C2A4F" w:rsidRDefault="008C2A4F" w:rsidP="003328D9">
            <w:pPr>
              <w:jc w:val="right"/>
              <w:rPr>
                <w:rFonts w:eastAsiaTheme="minorEastAsia"/>
                <w:color w:val="000000" w:themeColor="text1"/>
                <w:kern w:val="0"/>
                <w:sz w:val="24"/>
                <w:szCs w:val="24"/>
              </w:rPr>
            </w:pPr>
            <w:r w:rsidRPr="008C2A4F">
              <w:rPr>
                <w:rFonts w:eastAsiaTheme="minorEastAsia"/>
                <w:color w:val="000000" w:themeColor="text1"/>
                <w:kern w:val="0"/>
                <w:sz w:val="24"/>
                <w:szCs w:val="24"/>
              </w:rPr>
              <w:t>90.37</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76"/>
        <w:gridCol w:w="1418"/>
        <w:gridCol w:w="1701"/>
        <w:gridCol w:w="1984"/>
        <w:gridCol w:w="1559"/>
      </w:tblGrid>
      <w:tr w:rsidR="00750D48" w:rsidRPr="00264E55" w:rsidTr="00191BDE">
        <w:tc>
          <w:tcPr>
            <w:tcW w:w="851"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股票代码</w:t>
            </w:r>
          </w:p>
        </w:tc>
        <w:tc>
          <w:tcPr>
            <w:tcW w:w="1418"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股票名称</w:t>
            </w:r>
          </w:p>
        </w:tc>
        <w:tc>
          <w:tcPr>
            <w:tcW w:w="1701"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w="1984" w:type="dxa"/>
            <w:vAlign w:val="center"/>
          </w:tcPr>
          <w:p w:rsidR="00750D48" w:rsidRPr="00232B03" w:rsidRDefault="00750D48" w:rsidP="005F7917">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559"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FA0FD2">
        <w:tc>
          <w:tcPr>
            <w:tcW w:w="0" w:type="auto"/>
            <w:vAlign w:val="center"/>
          </w:tcPr>
          <w:p w:rsidR="00FA0FD2" w:rsidRDefault="00BB6F4A">
            <w:pPr>
              <w:jc w:val="center"/>
            </w:pPr>
            <w:r>
              <w:rPr>
                <w:color w:val="000000"/>
                <w:kern w:val="0"/>
                <w:sz w:val="24"/>
                <w:szCs w:val="24"/>
              </w:rPr>
              <w:t>1</w:t>
            </w:r>
          </w:p>
        </w:tc>
        <w:tc>
          <w:tcPr>
            <w:tcW w:w="0" w:type="auto"/>
            <w:vAlign w:val="center"/>
          </w:tcPr>
          <w:p w:rsidR="00FA0FD2" w:rsidRDefault="00BB6F4A">
            <w:pPr>
              <w:jc w:val="center"/>
            </w:pPr>
            <w:r>
              <w:rPr>
                <w:color w:val="000000"/>
                <w:kern w:val="0"/>
                <w:sz w:val="24"/>
                <w:szCs w:val="24"/>
              </w:rPr>
              <w:t>000878</w:t>
            </w:r>
          </w:p>
        </w:tc>
        <w:tc>
          <w:tcPr>
            <w:tcW w:w="0" w:type="auto"/>
            <w:vAlign w:val="center"/>
          </w:tcPr>
          <w:p w:rsidR="00FA0FD2" w:rsidRDefault="00BB6F4A">
            <w:pPr>
              <w:jc w:val="center"/>
            </w:pPr>
            <w:r>
              <w:rPr>
                <w:color w:val="000000"/>
                <w:kern w:val="0"/>
                <w:sz w:val="24"/>
                <w:szCs w:val="24"/>
              </w:rPr>
              <w:t>云南铜业</w:t>
            </w:r>
          </w:p>
        </w:tc>
        <w:tc>
          <w:tcPr>
            <w:tcW w:w="0" w:type="auto"/>
            <w:vAlign w:val="center"/>
          </w:tcPr>
          <w:p w:rsidR="00FA0FD2" w:rsidRDefault="00BB6F4A">
            <w:pPr>
              <w:jc w:val="right"/>
            </w:pPr>
            <w:r>
              <w:rPr>
                <w:color w:val="000000"/>
                <w:kern w:val="0"/>
                <w:sz w:val="24"/>
                <w:szCs w:val="24"/>
              </w:rPr>
              <w:t>3,183,200</w:t>
            </w:r>
          </w:p>
        </w:tc>
        <w:tc>
          <w:tcPr>
            <w:tcW w:w="0" w:type="auto"/>
            <w:vAlign w:val="center"/>
          </w:tcPr>
          <w:p w:rsidR="00FA0FD2" w:rsidRDefault="00BB6F4A">
            <w:pPr>
              <w:jc w:val="right"/>
            </w:pPr>
            <w:r>
              <w:rPr>
                <w:color w:val="000000"/>
                <w:kern w:val="0"/>
                <w:sz w:val="24"/>
                <w:szCs w:val="24"/>
              </w:rPr>
              <w:t>31,004,368.00</w:t>
            </w:r>
          </w:p>
        </w:tc>
        <w:tc>
          <w:tcPr>
            <w:tcW w:w="0" w:type="auto"/>
            <w:vAlign w:val="center"/>
          </w:tcPr>
          <w:p w:rsidR="00FA0FD2" w:rsidRDefault="00BB6F4A">
            <w:pPr>
              <w:jc w:val="right"/>
            </w:pPr>
            <w:r>
              <w:rPr>
                <w:color w:val="000000"/>
                <w:kern w:val="0"/>
                <w:sz w:val="24"/>
                <w:szCs w:val="24"/>
              </w:rPr>
              <w:t>8.50</w:t>
            </w:r>
          </w:p>
        </w:tc>
      </w:tr>
      <w:tr w:rsidR="00FA0FD2">
        <w:tc>
          <w:tcPr>
            <w:tcW w:w="0" w:type="auto"/>
            <w:vAlign w:val="center"/>
          </w:tcPr>
          <w:p w:rsidR="00FA0FD2" w:rsidRDefault="00BB6F4A">
            <w:pPr>
              <w:jc w:val="center"/>
            </w:pPr>
            <w:r>
              <w:rPr>
                <w:color w:val="000000"/>
                <w:kern w:val="0"/>
                <w:sz w:val="24"/>
                <w:szCs w:val="24"/>
              </w:rPr>
              <w:t>2</w:t>
            </w:r>
          </w:p>
        </w:tc>
        <w:tc>
          <w:tcPr>
            <w:tcW w:w="0" w:type="auto"/>
            <w:vAlign w:val="center"/>
          </w:tcPr>
          <w:p w:rsidR="00FA0FD2" w:rsidRDefault="00BB6F4A">
            <w:pPr>
              <w:jc w:val="center"/>
            </w:pPr>
            <w:r>
              <w:rPr>
                <w:color w:val="000000"/>
                <w:kern w:val="0"/>
                <w:sz w:val="24"/>
                <w:szCs w:val="24"/>
              </w:rPr>
              <w:t>601899</w:t>
            </w:r>
          </w:p>
        </w:tc>
        <w:tc>
          <w:tcPr>
            <w:tcW w:w="0" w:type="auto"/>
            <w:vAlign w:val="center"/>
          </w:tcPr>
          <w:p w:rsidR="00FA0FD2" w:rsidRDefault="00BB6F4A">
            <w:pPr>
              <w:jc w:val="center"/>
            </w:pPr>
            <w:r>
              <w:rPr>
                <w:color w:val="000000"/>
                <w:kern w:val="0"/>
                <w:sz w:val="24"/>
                <w:szCs w:val="24"/>
              </w:rPr>
              <w:t>紫金矿业</w:t>
            </w:r>
          </w:p>
        </w:tc>
        <w:tc>
          <w:tcPr>
            <w:tcW w:w="0" w:type="auto"/>
            <w:vAlign w:val="center"/>
          </w:tcPr>
          <w:p w:rsidR="00FA0FD2" w:rsidRDefault="00BB6F4A">
            <w:pPr>
              <w:jc w:val="right"/>
            </w:pPr>
            <w:r>
              <w:rPr>
                <w:color w:val="000000"/>
                <w:kern w:val="0"/>
                <w:sz w:val="24"/>
                <w:szCs w:val="24"/>
              </w:rPr>
              <w:t>7,342,000</w:t>
            </w:r>
          </w:p>
        </w:tc>
        <w:tc>
          <w:tcPr>
            <w:tcW w:w="0" w:type="auto"/>
            <w:vAlign w:val="center"/>
          </w:tcPr>
          <w:p w:rsidR="00FA0FD2" w:rsidRDefault="00BB6F4A">
            <w:pPr>
              <w:jc w:val="right"/>
            </w:pPr>
            <w:r>
              <w:rPr>
                <w:color w:val="000000"/>
                <w:kern w:val="0"/>
                <w:sz w:val="24"/>
                <w:szCs w:val="24"/>
              </w:rPr>
              <w:t>27,091,980.00</w:t>
            </w:r>
          </w:p>
        </w:tc>
        <w:tc>
          <w:tcPr>
            <w:tcW w:w="0" w:type="auto"/>
            <w:vAlign w:val="center"/>
          </w:tcPr>
          <w:p w:rsidR="00FA0FD2" w:rsidRDefault="00BB6F4A">
            <w:pPr>
              <w:jc w:val="right"/>
            </w:pPr>
            <w:r>
              <w:rPr>
                <w:color w:val="000000"/>
                <w:kern w:val="0"/>
                <w:sz w:val="24"/>
                <w:szCs w:val="24"/>
              </w:rPr>
              <w:t>7.43</w:t>
            </w:r>
          </w:p>
        </w:tc>
      </w:tr>
      <w:tr w:rsidR="00FA0FD2">
        <w:tc>
          <w:tcPr>
            <w:tcW w:w="0" w:type="auto"/>
            <w:vAlign w:val="center"/>
          </w:tcPr>
          <w:p w:rsidR="00FA0FD2" w:rsidRDefault="00BB6F4A">
            <w:pPr>
              <w:jc w:val="center"/>
            </w:pPr>
            <w:r>
              <w:rPr>
                <w:color w:val="000000"/>
                <w:kern w:val="0"/>
                <w:sz w:val="24"/>
                <w:szCs w:val="24"/>
              </w:rPr>
              <w:t>3</w:t>
            </w:r>
          </w:p>
        </w:tc>
        <w:tc>
          <w:tcPr>
            <w:tcW w:w="0" w:type="auto"/>
            <w:vAlign w:val="center"/>
          </w:tcPr>
          <w:p w:rsidR="00FA0FD2" w:rsidRDefault="00BB6F4A">
            <w:pPr>
              <w:jc w:val="center"/>
            </w:pPr>
            <w:r>
              <w:rPr>
                <w:color w:val="000000"/>
                <w:kern w:val="0"/>
                <w:sz w:val="24"/>
                <w:szCs w:val="24"/>
              </w:rPr>
              <w:t>603688</w:t>
            </w:r>
          </w:p>
        </w:tc>
        <w:tc>
          <w:tcPr>
            <w:tcW w:w="0" w:type="auto"/>
            <w:vAlign w:val="center"/>
          </w:tcPr>
          <w:p w:rsidR="00FA0FD2" w:rsidRDefault="00BB6F4A">
            <w:pPr>
              <w:jc w:val="center"/>
            </w:pPr>
            <w:r>
              <w:rPr>
                <w:color w:val="000000"/>
                <w:kern w:val="0"/>
                <w:sz w:val="24"/>
                <w:szCs w:val="24"/>
              </w:rPr>
              <w:t>石英股份</w:t>
            </w:r>
          </w:p>
        </w:tc>
        <w:tc>
          <w:tcPr>
            <w:tcW w:w="0" w:type="auto"/>
            <w:vAlign w:val="center"/>
          </w:tcPr>
          <w:p w:rsidR="00FA0FD2" w:rsidRDefault="00BB6F4A">
            <w:pPr>
              <w:jc w:val="right"/>
            </w:pPr>
            <w:r>
              <w:rPr>
                <w:color w:val="000000"/>
                <w:kern w:val="0"/>
                <w:sz w:val="24"/>
                <w:szCs w:val="24"/>
              </w:rPr>
              <w:t>1,247,300</w:t>
            </w:r>
          </w:p>
        </w:tc>
        <w:tc>
          <w:tcPr>
            <w:tcW w:w="0" w:type="auto"/>
            <w:vAlign w:val="center"/>
          </w:tcPr>
          <w:p w:rsidR="00FA0FD2" w:rsidRDefault="00BB6F4A">
            <w:pPr>
              <w:jc w:val="right"/>
            </w:pPr>
            <w:r>
              <w:rPr>
                <w:color w:val="000000"/>
                <w:kern w:val="0"/>
                <w:sz w:val="24"/>
                <w:szCs w:val="24"/>
              </w:rPr>
              <w:t>25,968,786.00</w:t>
            </w:r>
          </w:p>
        </w:tc>
        <w:tc>
          <w:tcPr>
            <w:tcW w:w="0" w:type="auto"/>
            <w:vAlign w:val="center"/>
          </w:tcPr>
          <w:p w:rsidR="00FA0FD2" w:rsidRDefault="00BB6F4A">
            <w:pPr>
              <w:jc w:val="right"/>
            </w:pPr>
            <w:r>
              <w:rPr>
                <w:color w:val="000000"/>
                <w:kern w:val="0"/>
                <w:sz w:val="24"/>
                <w:szCs w:val="24"/>
              </w:rPr>
              <w:t>7.12</w:t>
            </w:r>
          </w:p>
        </w:tc>
      </w:tr>
      <w:tr w:rsidR="00FA0FD2">
        <w:tc>
          <w:tcPr>
            <w:tcW w:w="0" w:type="auto"/>
            <w:vAlign w:val="center"/>
          </w:tcPr>
          <w:p w:rsidR="00FA0FD2" w:rsidRDefault="00BB6F4A">
            <w:pPr>
              <w:jc w:val="center"/>
            </w:pPr>
            <w:r>
              <w:rPr>
                <w:color w:val="000000"/>
                <w:kern w:val="0"/>
                <w:sz w:val="24"/>
                <w:szCs w:val="24"/>
              </w:rPr>
              <w:t>4</w:t>
            </w:r>
          </w:p>
        </w:tc>
        <w:tc>
          <w:tcPr>
            <w:tcW w:w="0" w:type="auto"/>
            <w:vAlign w:val="center"/>
          </w:tcPr>
          <w:p w:rsidR="00FA0FD2" w:rsidRDefault="00BB6F4A">
            <w:pPr>
              <w:jc w:val="center"/>
            </w:pPr>
            <w:r>
              <w:rPr>
                <w:color w:val="000000"/>
                <w:kern w:val="0"/>
                <w:sz w:val="24"/>
                <w:szCs w:val="24"/>
              </w:rPr>
              <w:t>601137</w:t>
            </w:r>
          </w:p>
        </w:tc>
        <w:tc>
          <w:tcPr>
            <w:tcW w:w="0" w:type="auto"/>
            <w:vAlign w:val="center"/>
          </w:tcPr>
          <w:p w:rsidR="00FA0FD2" w:rsidRDefault="00BB6F4A">
            <w:pPr>
              <w:jc w:val="center"/>
            </w:pPr>
            <w:r>
              <w:rPr>
                <w:color w:val="000000"/>
                <w:kern w:val="0"/>
                <w:sz w:val="24"/>
                <w:szCs w:val="24"/>
              </w:rPr>
              <w:t>博威合金</w:t>
            </w:r>
          </w:p>
        </w:tc>
        <w:tc>
          <w:tcPr>
            <w:tcW w:w="0" w:type="auto"/>
            <w:vAlign w:val="center"/>
          </w:tcPr>
          <w:p w:rsidR="00FA0FD2" w:rsidRDefault="00BB6F4A">
            <w:pPr>
              <w:jc w:val="right"/>
            </w:pPr>
            <w:r>
              <w:rPr>
                <w:color w:val="000000"/>
                <w:kern w:val="0"/>
                <w:sz w:val="24"/>
                <w:szCs w:val="24"/>
              </w:rPr>
              <w:t>1,993,300</w:t>
            </w:r>
          </w:p>
        </w:tc>
        <w:tc>
          <w:tcPr>
            <w:tcW w:w="0" w:type="auto"/>
            <w:vAlign w:val="center"/>
          </w:tcPr>
          <w:p w:rsidR="00FA0FD2" w:rsidRDefault="00BB6F4A">
            <w:pPr>
              <w:jc w:val="right"/>
            </w:pPr>
            <w:r>
              <w:rPr>
                <w:color w:val="000000"/>
                <w:kern w:val="0"/>
                <w:sz w:val="24"/>
                <w:szCs w:val="24"/>
              </w:rPr>
              <w:t>24,178,729.00</w:t>
            </w:r>
          </w:p>
        </w:tc>
        <w:tc>
          <w:tcPr>
            <w:tcW w:w="0" w:type="auto"/>
            <w:vAlign w:val="center"/>
          </w:tcPr>
          <w:p w:rsidR="00FA0FD2" w:rsidRDefault="00BB6F4A">
            <w:pPr>
              <w:jc w:val="right"/>
            </w:pPr>
            <w:r>
              <w:rPr>
                <w:color w:val="000000"/>
                <w:kern w:val="0"/>
                <w:sz w:val="24"/>
                <w:szCs w:val="24"/>
              </w:rPr>
              <w:t>6.63</w:t>
            </w:r>
          </w:p>
        </w:tc>
      </w:tr>
      <w:tr w:rsidR="00FA0FD2">
        <w:tc>
          <w:tcPr>
            <w:tcW w:w="0" w:type="auto"/>
            <w:vAlign w:val="center"/>
          </w:tcPr>
          <w:p w:rsidR="00FA0FD2" w:rsidRDefault="00BB6F4A">
            <w:pPr>
              <w:jc w:val="center"/>
            </w:pPr>
            <w:r>
              <w:rPr>
                <w:color w:val="000000"/>
                <w:kern w:val="0"/>
                <w:sz w:val="24"/>
                <w:szCs w:val="24"/>
              </w:rPr>
              <w:t>5</w:t>
            </w:r>
          </w:p>
        </w:tc>
        <w:tc>
          <w:tcPr>
            <w:tcW w:w="0" w:type="auto"/>
            <w:vAlign w:val="center"/>
          </w:tcPr>
          <w:p w:rsidR="00FA0FD2" w:rsidRDefault="00BB6F4A">
            <w:pPr>
              <w:jc w:val="center"/>
            </w:pPr>
            <w:r>
              <w:rPr>
                <w:color w:val="000000"/>
                <w:kern w:val="0"/>
                <w:sz w:val="24"/>
                <w:szCs w:val="24"/>
              </w:rPr>
              <w:t>002182</w:t>
            </w:r>
          </w:p>
        </w:tc>
        <w:tc>
          <w:tcPr>
            <w:tcW w:w="0" w:type="auto"/>
            <w:vAlign w:val="center"/>
          </w:tcPr>
          <w:p w:rsidR="00FA0FD2" w:rsidRDefault="00BB6F4A">
            <w:pPr>
              <w:jc w:val="center"/>
            </w:pPr>
            <w:r>
              <w:rPr>
                <w:color w:val="000000"/>
                <w:kern w:val="0"/>
                <w:sz w:val="24"/>
                <w:szCs w:val="24"/>
              </w:rPr>
              <w:t>云海金属</w:t>
            </w:r>
          </w:p>
        </w:tc>
        <w:tc>
          <w:tcPr>
            <w:tcW w:w="0" w:type="auto"/>
            <w:vAlign w:val="center"/>
          </w:tcPr>
          <w:p w:rsidR="00FA0FD2" w:rsidRDefault="00BB6F4A">
            <w:pPr>
              <w:jc w:val="right"/>
            </w:pPr>
            <w:r>
              <w:rPr>
                <w:color w:val="000000"/>
                <w:kern w:val="0"/>
                <w:sz w:val="24"/>
                <w:szCs w:val="24"/>
              </w:rPr>
              <w:t>2,159,109</w:t>
            </w:r>
          </w:p>
        </w:tc>
        <w:tc>
          <w:tcPr>
            <w:tcW w:w="0" w:type="auto"/>
            <w:vAlign w:val="center"/>
          </w:tcPr>
          <w:p w:rsidR="00FA0FD2" w:rsidRDefault="00BB6F4A">
            <w:pPr>
              <w:jc w:val="right"/>
            </w:pPr>
            <w:r>
              <w:rPr>
                <w:color w:val="000000"/>
                <w:kern w:val="0"/>
                <w:sz w:val="24"/>
                <w:szCs w:val="24"/>
              </w:rPr>
              <w:t>20,122,895.88</w:t>
            </w:r>
          </w:p>
        </w:tc>
        <w:tc>
          <w:tcPr>
            <w:tcW w:w="0" w:type="auto"/>
            <w:vAlign w:val="center"/>
          </w:tcPr>
          <w:p w:rsidR="00FA0FD2" w:rsidRDefault="00BB6F4A">
            <w:pPr>
              <w:jc w:val="right"/>
            </w:pPr>
            <w:r>
              <w:rPr>
                <w:color w:val="000000"/>
                <w:kern w:val="0"/>
                <w:sz w:val="24"/>
                <w:szCs w:val="24"/>
              </w:rPr>
              <w:t>5.52</w:t>
            </w:r>
          </w:p>
        </w:tc>
      </w:tr>
      <w:tr w:rsidR="00FA0FD2">
        <w:tc>
          <w:tcPr>
            <w:tcW w:w="0" w:type="auto"/>
            <w:vAlign w:val="center"/>
          </w:tcPr>
          <w:p w:rsidR="00FA0FD2" w:rsidRDefault="00BB6F4A">
            <w:pPr>
              <w:jc w:val="center"/>
            </w:pPr>
            <w:r>
              <w:rPr>
                <w:color w:val="000000"/>
                <w:kern w:val="0"/>
                <w:sz w:val="24"/>
                <w:szCs w:val="24"/>
              </w:rPr>
              <w:t>6</w:t>
            </w:r>
          </w:p>
        </w:tc>
        <w:tc>
          <w:tcPr>
            <w:tcW w:w="0" w:type="auto"/>
            <w:vAlign w:val="center"/>
          </w:tcPr>
          <w:p w:rsidR="00FA0FD2" w:rsidRDefault="00BB6F4A">
            <w:pPr>
              <w:jc w:val="center"/>
            </w:pPr>
            <w:r>
              <w:rPr>
                <w:color w:val="000000"/>
                <w:kern w:val="0"/>
                <w:sz w:val="24"/>
                <w:szCs w:val="24"/>
              </w:rPr>
              <w:t>603993</w:t>
            </w:r>
          </w:p>
        </w:tc>
        <w:tc>
          <w:tcPr>
            <w:tcW w:w="0" w:type="auto"/>
            <w:vAlign w:val="center"/>
          </w:tcPr>
          <w:p w:rsidR="00FA0FD2" w:rsidRDefault="00BB6F4A">
            <w:pPr>
              <w:jc w:val="center"/>
            </w:pPr>
            <w:r>
              <w:rPr>
                <w:color w:val="000000"/>
                <w:kern w:val="0"/>
                <w:sz w:val="24"/>
                <w:szCs w:val="24"/>
              </w:rPr>
              <w:t>洛阳钼业</w:t>
            </w:r>
          </w:p>
        </w:tc>
        <w:tc>
          <w:tcPr>
            <w:tcW w:w="0" w:type="auto"/>
            <w:vAlign w:val="center"/>
          </w:tcPr>
          <w:p w:rsidR="00FA0FD2" w:rsidRDefault="00BB6F4A">
            <w:pPr>
              <w:jc w:val="right"/>
            </w:pPr>
            <w:r>
              <w:rPr>
                <w:color w:val="000000"/>
                <w:kern w:val="0"/>
                <w:sz w:val="24"/>
                <w:szCs w:val="24"/>
              </w:rPr>
              <w:t>5,041,000</w:t>
            </w:r>
          </w:p>
        </w:tc>
        <w:tc>
          <w:tcPr>
            <w:tcW w:w="0" w:type="auto"/>
            <w:vAlign w:val="center"/>
          </w:tcPr>
          <w:p w:rsidR="00FA0FD2" w:rsidRDefault="00BB6F4A">
            <w:pPr>
              <w:jc w:val="right"/>
            </w:pPr>
            <w:r>
              <w:rPr>
                <w:color w:val="000000"/>
                <w:kern w:val="0"/>
                <w:sz w:val="24"/>
                <w:szCs w:val="24"/>
              </w:rPr>
              <w:t>17,492,270.00</w:t>
            </w:r>
          </w:p>
        </w:tc>
        <w:tc>
          <w:tcPr>
            <w:tcW w:w="0" w:type="auto"/>
            <w:vAlign w:val="center"/>
          </w:tcPr>
          <w:p w:rsidR="00FA0FD2" w:rsidRDefault="00BB6F4A">
            <w:pPr>
              <w:jc w:val="right"/>
            </w:pPr>
            <w:r>
              <w:rPr>
                <w:color w:val="000000"/>
                <w:kern w:val="0"/>
                <w:sz w:val="24"/>
                <w:szCs w:val="24"/>
              </w:rPr>
              <w:t>4.80</w:t>
            </w:r>
          </w:p>
        </w:tc>
      </w:tr>
      <w:tr w:rsidR="00FA0FD2">
        <w:tc>
          <w:tcPr>
            <w:tcW w:w="0" w:type="auto"/>
            <w:vAlign w:val="center"/>
          </w:tcPr>
          <w:p w:rsidR="00FA0FD2" w:rsidRDefault="00BB6F4A">
            <w:pPr>
              <w:jc w:val="center"/>
            </w:pPr>
            <w:r>
              <w:rPr>
                <w:color w:val="000000"/>
                <w:kern w:val="0"/>
                <w:sz w:val="24"/>
                <w:szCs w:val="24"/>
              </w:rPr>
              <w:t>7</w:t>
            </w:r>
          </w:p>
        </w:tc>
        <w:tc>
          <w:tcPr>
            <w:tcW w:w="0" w:type="auto"/>
            <w:vAlign w:val="center"/>
          </w:tcPr>
          <w:p w:rsidR="00FA0FD2" w:rsidRDefault="00BB6F4A">
            <w:pPr>
              <w:jc w:val="center"/>
            </w:pPr>
            <w:r>
              <w:rPr>
                <w:color w:val="000000"/>
                <w:kern w:val="0"/>
                <w:sz w:val="24"/>
                <w:szCs w:val="24"/>
              </w:rPr>
              <w:t>000807</w:t>
            </w:r>
          </w:p>
        </w:tc>
        <w:tc>
          <w:tcPr>
            <w:tcW w:w="0" w:type="auto"/>
            <w:vAlign w:val="center"/>
          </w:tcPr>
          <w:p w:rsidR="00FA0FD2" w:rsidRDefault="00BB6F4A">
            <w:pPr>
              <w:jc w:val="center"/>
            </w:pPr>
            <w:r>
              <w:rPr>
                <w:color w:val="000000"/>
                <w:kern w:val="0"/>
                <w:sz w:val="24"/>
                <w:szCs w:val="24"/>
              </w:rPr>
              <w:t>云铝股份</w:t>
            </w:r>
          </w:p>
        </w:tc>
        <w:tc>
          <w:tcPr>
            <w:tcW w:w="0" w:type="auto"/>
            <w:vAlign w:val="center"/>
          </w:tcPr>
          <w:p w:rsidR="00FA0FD2" w:rsidRDefault="00BB6F4A">
            <w:pPr>
              <w:jc w:val="right"/>
            </w:pPr>
            <w:r>
              <w:rPr>
                <w:color w:val="000000"/>
                <w:kern w:val="0"/>
                <w:sz w:val="24"/>
                <w:szCs w:val="24"/>
              </w:rPr>
              <w:t>4,285,347</w:t>
            </w:r>
          </w:p>
        </w:tc>
        <w:tc>
          <w:tcPr>
            <w:tcW w:w="0" w:type="auto"/>
            <w:vAlign w:val="center"/>
          </w:tcPr>
          <w:p w:rsidR="00FA0FD2" w:rsidRDefault="00BB6F4A">
            <w:pPr>
              <w:jc w:val="right"/>
            </w:pPr>
            <w:r>
              <w:rPr>
                <w:color w:val="000000"/>
                <w:kern w:val="0"/>
                <w:sz w:val="24"/>
                <w:szCs w:val="24"/>
              </w:rPr>
              <w:t>16,584,292.89</w:t>
            </w:r>
          </w:p>
        </w:tc>
        <w:tc>
          <w:tcPr>
            <w:tcW w:w="0" w:type="auto"/>
            <w:vAlign w:val="center"/>
          </w:tcPr>
          <w:p w:rsidR="00FA0FD2" w:rsidRDefault="00BB6F4A">
            <w:pPr>
              <w:jc w:val="right"/>
            </w:pPr>
            <w:r>
              <w:rPr>
                <w:color w:val="000000"/>
                <w:kern w:val="0"/>
                <w:sz w:val="24"/>
                <w:szCs w:val="24"/>
              </w:rPr>
              <w:t>4.55</w:t>
            </w:r>
          </w:p>
        </w:tc>
      </w:tr>
      <w:tr w:rsidR="00FA0FD2">
        <w:tc>
          <w:tcPr>
            <w:tcW w:w="0" w:type="auto"/>
            <w:vAlign w:val="center"/>
          </w:tcPr>
          <w:p w:rsidR="00FA0FD2" w:rsidRDefault="00BB6F4A">
            <w:pPr>
              <w:jc w:val="center"/>
            </w:pPr>
            <w:r>
              <w:rPr>
                <w:color w:val="000000"/>
                <w:kern w:val="0"/>
                <w:sz w:val="24"/>
                <w:szCs w:val="24"/>
              </w:rPr>
              <w:t>8</w:t>
            </w:r>
          </w:p>
        </w:tc>
        <w:tc>
          <w:tcPr>
            <w:tcW w:w="0" w:type="auto"/>
            <w:vAlign w:val="center"/>
          </w:tcPr>
          <w:p w:rsidR="00FA0FD2" w:rsidRDefault="00BB6F4A">
            <w:pPr>
              <w:jc w:val="center"/>
            </w:pPr>
            <w:r>
              <w:rPr>
                <w:color w:val="000000"/>
                <w:kern w:val="0"/>
                <w:sz w:val="24"/>
                <w:szCs w:val="24"/>
              </w:rPr>
              <w:t>603260</w:t>
            </w:r>
          </w:p>
        </w:tc>
        <w:tc>
          <w:tcPr>
            <w:tcW w:w="0" w:type="auto"/>
            <w:vAlign w:val="center"/>
          </w:tcPr>
          <w:p w:rsidR="00FA0FD2" w:rsidRDefault="00BB6F4A">
            <w:pPr>
              <w:jc w:val="center"/>
            </w:pPr>
            <w:r>
              <w:rPr>
                <w:color w:val="000000"/>
                <w:kern w:val="0"/>
                <w:sz w:val="24"/>
                <w:szCs w:val="24"/>
              </w:rPr>
              <w:t>合盛硅业</w:t>
            </w:r>
          </w:p>
        </w:tc>
        <w:tc>
          <w:tcPr>
            <w:tcW w:w="0" w:type="auto"/>
            <w:vAlign w:val="center"/>
          </w:tcPr>
          <w:p w:rsidR="00FA0FD2" w:rsidRDefault="00BB6F4A">
            <w:pPr>
              <w:jc w:val="right"/>
            </w:pPr>
            <w:r>
              <w:rPr>
                <w:color w:val="000000"/>
                <w:kern w:val="0"/>
                <w:sz w:val="24"/>
                <w:szCs w:val="24"/>
              </w:rPr>
              <w:t>604,500</w:t>
            </w:r>
          </w:p>
        </w:tc>
        <w:tc>
          <w:tcPr>
            <w:tcW w:w="0" w:type="auto"/>
            <w:vAlign w:val="center"/>
          </w:tcPr>
          <w:p w:rsidR="00FA0FD2" w:rsidRDefault="00BB6F4A">
            <w:pPr>
              <w:jc w:val="right"/>
            </w:pPr>
            <w:r>
              <w:rPr>
                <w:color w:val="000000"/>
                <w:kern w:val="0"/>
                <w:sz w:val="24"/>
                <w:szCs w:val="24"/>
              </w:rPr>
              <w:t>14,882,790.00</w:t>
            </w:r>
          </w:p>
        </w:tc>
        <w:tc>
          <w:tcPr>
            <w:tcW w:w="0" w:type="auto"/>
            <w:vAlign w:val="center"/>
          </w:tcPr>
          <w:p w:rsidR="00FA0FD2" w:rsidRDefault="00BB6F4A">
            <w:pPr>
              <w:jc w:val="right"/>
            </w:pPr>
            <w:r>
              <w:rPr>
                <w:color w:val="000000"/>
                <w:kern w:val="0"/>
                <w:sz w:val="24"/>
                <w:szCs w:val="24"/>
              </w:rPr>
              <w:t>4.08</w:t>
            </w:r>
          </w:p>
        </w:tc>
      </w:tr>
      <w:tr w:rsidR="00FA0FD2">
        <w:tc>
          <w:tcPr>
            <w:tcW w:w="0" w:type="auto"/>
            <w:vAlign w:val="center"/>
          </w:tcPr>
          <w:p w:rsidR="00FA0FD2" w:rsidRDefault="00BB6F4A">
            <w:pPr>
              <w:jc w:val="center"/>
            </w:pPr>
            <w:r>
              <w:rPr>
                <w:color w:val="000000"/>
                <w:kern w:val="0"/>
                <w:sz w:val="24"/>
                <w:szCs w:val="24"/>
              </w:rPr>
              <w:t>9</w:t>
            </w:r>
          </w:p>
        </w:tc>
        <w:tc>
          <w:tcPr>
            <w:tcW w:w="0" w:type="auto"/>
            <w:vAlign w:val="center"/>
          </w:tcPr>
          <w:p w:rsidR="00FA0FD2" w:rsidRDefault="00BB6F4A">
            <w:pPr>
              <w:jc w:val="center"/>
            </w:pPr>
            <w:r>
              <w:rPr>
                <w:color w:val="000000"/>
                <w:kern w:val="0"/>
                <w:sz w:val="24"/>
                <w:szCs w:val="24"/>
              </w:rPr>
              <w:t>000603</w:t>
            </w:r>
          </w:p>
        </w:tc>
        <w:tc>
          <w:tcPr>
            <w:tcW w:w="0" w:type="auto"/>
            <w:vAlign w:val="center"/>
          </w:tcPr>
          <w:p w:rsidR="00FA0FD2" w:rsidRDefault="00BB6F4A">
            <w:pPr>
              <w:jc w:val="center"/>
            </w:pPr>
            <w:r>
              <w:rPr>
                <w:color w:val="000000"/>
                <w:kern w:val="0"/>
                <w:sz w:val="24"/>
                <w:szCs w:val="24"/>
              </w:rPr>
              <w:t>盛达资源</w:t>
            </w:r>
          </w:p>
        </w:tc>
        <w:tc>
          <w:tcPr>
            <w:tcW w:w="0" w:type="auto"/>
            <w:vAlign w:val="center"/>
          </w:tcPr>
          <w:p w:rsidR="00FA0FD2" w:rsidRDefault="00BB6F4A">
            <w:pPr>
              <w:jc w:val="right"/>
            </w:pPr>
            <w:r>
              <w:rPr>
                <w:color w:val="000000"/>
                <w:kern w:val="0"/>
                <w:sz w:val="24"/>
                <w:szCs w:val="24"/>
              </w:rPr>
              <w:t>1,109,353</w:t>
            </w:r>
          </w:p>
        </w:tc>
        <w:tc>
          <w:tcPr>
            <w:tcW w:w="0" w:type="auto"/>
            <w:vAlign w:val="center"/>
          </w:tcPr>
          <w:p w:rsidR="00FA0FD2" w:rsidRDefault="00BB6F4A">
            <w:pPr>
              <w:jc w:val="right"/>
            </w:pPr>
            <w:r>
              <w:rPr>
                <w:color w:val="000000"/>
                <w:kern w:val="0"/>
                <w:sz w:val="24"/>
                <w:szCs w:val="24"/>
              </w:rPr>
              <w:t>12,458,034.19</w:t>
            </w:r>
          </w:p>
        </w:tc>
        <w:tc>
          <w:tcPr>
            <w:tcW w:w="0" w:type="auto"/>
            <w:vAlign w:val="center"/>
          </w:tcPr>
          <w:p w:rsidR="00FA0FD2" w:rsidRDefault="00BB6F4A">
            <w:pPr>
              <w:jc w:val="right"/>
            </w:pPr>
            <w:r>
              <w:rPr>
                <w:color w:val="000000"/>
                <w:kern w:val="0"/>
                <w:sz w:val="24"/>
                <w:szCs w:val="24"/>
              </w:rPr>
              <w:t>3.42</w:t>
            </w:r>
          </w:p>
        </w:tc>
      </w:tr>
      <w:tr w:rsidR="00FA0FD2">
        <w:tc>
          <w:tcPr>
            <w:tcW w:w="0" w:type="auto"/>
            <w:vAlign w:val="center"/>
          </w:tcPr>
          <w:p w:rsidR="00FA0FD2" w:rsidRDefault="00BB6F4A">
            <w:pPr>
              <w:jc w:val="center"/>
            </w:pPr>
            <w:r>
              <w:rPr>
                <w:color w:val="000000"/>
                <w:kern w:val="0"/>
                <w:sz w:val="24"/>
                <w:szCs w:val="24"/>
              </w:rPr>
              <w:t>10</w:t>
            </w:r>
          </w:p>
        </w:tc>
        <w:tc>
          <w:tcPr>
            <w:tcW w:w="0" w:type="auto"/>
            <w:vAlign w:val="center"/>
          </w:tcPr>
          <w:p w:rsidR="00FA0FD2" w:rsidRDefault="00BB6F4A">
            <w:pPr>
              <w:jc w:val="center"/>
            </w:pPr>
            <w:r>
              <w:rPr>
                <w:color w:val="000000"/>
                <w:kern w:val="0"/>
                <w:sz w:val="24"/>
                <w:szCs w:val="24"/>
              </w:rPr>
              <w:t>002056</w:t>
            </w:r>
          </w:p>
        </w:tc>
        <w:tc>
          <w:tcPr>
            <w:tcW w:w="0" w:type="auto"/>
            <w:vAlign w:val="center"/>
          </w:tcPr>
          <w:p w:rsidR="00FA0FD2" w:rsidRDefault="00BB6F4A">
            <w:pPr>
              <w:jc w:val="center"/>
            </w:pPr>
            <w:r>
              <w:rPr>
                <w:color w:val="000000"/>
                <w:kern w:val="0"/>
                <w:sz w:val="24"/>
                <w:szCs w:val="24"/>
              </w:rPr>
              <w:t>横店东磁</w:t>
            </w:r>
          </w:p>
        </w:tc>
        <w:tc>
          <w:tcPr>
            <w:tcW w:w="0" w:type="auto"/>
            <w:vAlign w:val="center"/>
          </w:tcPr>
          <w:p w:rsidR="00FA0FD2" w:rsidRDefault="00BB6F4A">
            <w:pPr>
              <w:jc w:val="right"/>
            </w:pPr>
            <w:r>
              <w:rPr>
                <w:color w:val="000000"/>
                <w:kern w:val="0"/>
                <w:sz w:val="24"/>
                <w:szCs w:val="24"/>
              </w:rPr>
              <w:t>1,147,218</w:t>
            </w:r>
          </w:p>
        </w:tc>
        <w:tc>
          <w:tcPr>
            <w:tcW w:w="0" w:type="auto"/>
            <w:vAlign w:val="center"/>
          </w:tcPr>
          <w:p w:rsidR="00FA0FD2" w:rsidRDefault="00BB6F4A">
            <w:pPr>
              <w:jc w:val="right"/>
            </w:pPr>
            <w:r>
              <w:rPr>
                <w:color w:val="000000"/>
                <w:kern w:val="0"/>
                <w:sz w:val="24"/>
                <w:szCs w:val="24"/>
              </w:rPr>
              <w:t>11,460,707.82</w:t>
            </w:r>
          </w:p>
        </w:tc>
        <w:tc>
          <w:tcPr>
            <w:tcW w:w="0" w:type="auto"/>
            <w:vAlign w:val="center"/>
          </w:tcPr>
          <w:p w:rsidR="00FA0FD2" w:rsidRDefault="00BB6F4A">
            <w:pPr>
              <w:jc w:val="right"/>
            </w:pPr>
            <w:r>
              <w:rPr>
                <w:color w:val="000000"/>
                <w:kern w:val="0"/>
                <w:sz w:val="24"/>
                <w:szCs w:val="24"/>
              </w:rPr>
              <w:t>3.14</w:t>
            </w:r>
          </w:p>
        </w:tc>
      </w:tr>
    </w:tbl>
    <w:p w:rsidR="00CA4677" w:rsidRPr="00283CAD" w:rsidRDefault="00750D48" w:rsidP="00CA4677">
      <w:pPr>
        <w:autoSpaceDE w:val="0"/>
        <w:autoSpaceDN w:val="0"/>
        <w:adjustRightInd w:val="0"/>
        <w:spacing w:line="360" w:lineRule="auto"/>
        <w:jc w:val="left"/>
        <w:rPr>
          <w:rFonts w:eastAsiaTheme="minorEastAsia"/>
          <w:b/>
          <w:bCs/>
          <w:color w:val="000000" w:themeColor="text1"/>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w="8755" w:type="dxa"/>
        <w:jc w:val="center"/>
        <w:tblLayout w:type="fixed"/>
        <w:tblLook w:val="04A0" w:firstRow="1" w:lastRow="0" w:firstColumn="1" w:lastColumn="0" w:noHBand="0" w:noVBand="1"/>
      </w:tblPr>
      <w:tblGrid>
        <w:gridCol w:w="817"/>
        <w:gridCol w:w="3260"/>
        <w:gridCol w:w="2949"/>
        <w:gridCol w:w="1729"/>
      </w:tblGrid>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序号</w:t>
            </w:r>
          </w:p>
        </w:tc>
        <w:tc>
          <w:tcPr>
            <w:tcW w:w="3260"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债券品种</w:t>
            </w:r>
          </w:p>
        </w:tc>
        <w:tc>
          <w:tcPr>
            <w:tcW w:w="294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公允价值</w:t>
            </w:r>
            <w:r w:rsidRPr="00283CAD">
              <w:rPr>
                <w:rFonts w:eastAsiaTheme="minorEastAsia"/>
                <w:color w:val="000000" w:themeColor="text1"/>
                <w:sz w:val="24"/>
                <w:szCs w:val="24"/>
              </w:rPr>
              <w:t>(</w:t>
            </w:r>
            <w:r w:rsidRPr="00283CAD">
              <w:rPr>
                <w:rFonts w:eastAsiaTheme="minorEastAsia"/>
                <w:color w:val="000000" w:themeColor="text1"/>
                <w:sz w:val="24"/>
                <w:szCs w:val="24"/>
              </w:rPr>
              <w:t>元</w:t>
            </w: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占基金资产净值比例</w:t>
            </w:r>
            <w:r w:rsidRPr="00283CAD">
              <w:rPr>
                <w:rFonts w:eastAsiaTheme="minorEastAsia"/>
                <w:color w:val="000000" w:themeColor="text1"/>
                <w:sz w:val="24"/>
                <w:szCs w:val="24"/>
              </w:rPr>
              <w:t>(</w:t>
            </w:r>
            <w:r w:rsidRPr="00283CAD">
              <w:rPr>
                <w:rFonts w:eastAsiaTheme="minorEastAsia"/>
                <w:color w:val="000000" w:themeColor="text1"/>
                <w:sz w:val="24"/>
                <w:szCs w:val="24"/>
              </w:rPr>
              <w:t>％</w:t>
            </w: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国家债券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2</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央行票据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3</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金融债券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其中：政策性金融债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4</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企业债券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5</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企业短期融资券</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6</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中期票据</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7</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可转债</w:t>
            </w:r>
            <w:r w:rsidR="004B5343" w:rsidRPr="004B5343">
              <w:rPr>
                <w:rFonts w:eastAsiaTheme="minorEastAsia" w:hint="eastAsia"/>
                <w:color w:val="000000" w:themeColor="text1"/>
                <w:sz w:val="24"/>
                <w:szCs w:val="24"/>
              </w:rPr>
              <w:t>（可交换债）</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4,351,339.20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1.19</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8</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同业存单</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9</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其他</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w:t>
            </w:r>
          </w:p>
        </w:tc>
      </w:tr>
      <w:tr w:rsidR="00CA4677" w:rsidRPr="00283CAD" w:rsidTr="003328D9">
        <w:trPr>
          <w:jc w:val="center"/>
        </w:trPr>
        <w:tc>
          <w:tcPr>
            <w:tcW w:w="817" w:type="dxa"/>
            <w:vAlign w:val="center"/>
          </w:tcPr>
          <w:p w:rsidR="00CA4677" w:rsidRPr="00283CAD" w:rsidRDefault="00CA4677" w:rsidP="003328D9">
            <w:pPr>
              <w:spacing w:before="29" w:line="360" w:lineRule="auto"/>
              <w:ind w:left="17"/>
              <w:jc w:val="center"/>
              <w:rPr>
                <w:rFonts w:eastAsiaTheme="minorEastAsia"/>
                <w:color w:val="000000" w:themeColor="text1"/>
                <w:sz w:val="24"/>
                <w:szCs w:val="24"/>
              </w:rPr>
            </w:pPr>
            <w:r w:rsidRPr="00283CAD">
              <w:rPr>
                <w:rFonts w:eastAsiaTheme="minorEastAsia"/>
                <w:color w:val="000000" w:themeColor="text1"/>
                <w:sz w:val="24"/>
                <w:szCs w:val="24"/>
              </w:rPr>
              <w:t>10</w:t>
            </w:r>
          </w:p>
        </w:tc>
        <w:tc>
          <w:tcPr>
            <w:tcW w:w="3260" w:type="dxa"/>
            <w:vAlign w:val="center"/>
          </w:tcPr>
          <w:p w:rsidR="00CA4677" w:rsidRPr="00283CAD" w:rsidRDefault="00CA4677" w:rsidP="003328D9">
            <w:pPr>
              <w:spacing w:before="29" w:line="360" w:lineRule="auto"/>
              <w:ind w:left="17"/>
              <w:jc w:val="left"/>
              <w:rPr>
                <w:rFonts w:eastAsiaTheme="minorEastAsia"/>
                <w:color w:val="000000" w:themeColor="text1"/>
                <w:sz w:val="24"/>
                <w:szCs w:val="24"/>
              </w:rPr>
            </w:pPr>
            <w:r w:rsidRPr="00283CAD">
              <w:rPr>
                <w:rFonts w:eastAsiaTheme="minorEastAsia"/>
                <w:color w:val="000000" w:themeColor="text1"/>
                <w:sz w:val="24"/>
                <w:szCs w:val="24"/>
              </w:rPr>
              <w:t>合计</w:t>
            </w:r>
          </w:p>
        </w:tc>
        <w:tc>
          <w:tcPr>
            <w:tcW w:w="294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4,351,339.20</w:t>
            </w:r>
          </w:p>
        </w:tc>
        <w:tc>
          <w:tcPr>
            <w:tcW w:w="1729" w:type="dxa"/>
            <w:vAlign w:val="center"/>
          </w:tcPr>
          <w:p w:rsidR="00CA4677" w:rsidRPr="00283CAD" w:rsidRDefault="00CA4677" w:rsidP="003328D9">
            <w:pPr>
              <w:spacing w:before="29" w:line="360" w:lineRule="auto"/>
              <w:ind w:left="17"/>
              <w:jc w:val="right"/>
              <w:rPr>
                <w:rFonts w:eastAsiaTheme="minorEastAsia"/>
                <w:color w:val="000000" w:themeColor="text1"/>
                <w:sz w:val="24"/>
                <w:szCs w:val="24"/>
              </w:rPr>
            </w:pPr>
            <w:r w:rsidRPr="00283CAD">
              <w:rPr>
                <w:rFonts w:eastAsiaTheme="minorEastAsia"/>
                <w:color w:val="000000" w:themeColor="text1"/>
                <w:sz w:val="24"/>
                <w:szCs w:val="24"/>
              </w:rPr>
              <w:t>1.19</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276"/>
        <w:gridCol w:w="1275"/>
        <w:gridCol w:w="1560"/>
        <w:gridCol w:w="1984"/>
        <w:gridCol w:w="1474"/>
      </w:tblGrid>
      <w:tr w:rsidR="00750D48" w:rsidRPr="00264E55" w:rsidTr="005602F3">
        <w:tc>
          <w:tcPr>
            <w:tcW w:w="959"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序号</w:t>
            </w:r>
          </w:p>
        </w:tc>
        <w:tc>
          <w:tcPr>
            <w:tcW w:w="1276"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债券代码</w:t>
            </w:r>
          </w:p>
        </w:tc>
        <w:tc>
          <w:tcPr>
            <w:tcW w:w="1275" w:type="dxa"/>
            <w:vAlign w:val="center"/>
          </w:tcPr>
          <w:p w:rsidR="00750D48" w:rsidRPr="00232B03" w:rsidRDefault="00750D48" w:rsidP="00B05049">
            <w:pPr>
              <w:spacing w:before="29" w:line="360" w:lineRule="auto"/>
              <w:ind w:left="17"/>
              <w:jc w:val="center"/>
              <w:rPr>
                <w:color w:val="000000"/>
                <w:kern w:val="0"/>
                <w:sz w:val="24"/>
                <w:szCs w:val="24"/>
              </w:rPr>
            </w:pPr>
            <w:r w:rsidRPr="00232B03">
              <w:rPr>
                <w:color w:val="000000"/>
                <w:kern w:val="0"/>
                <w:sz w:val="24"/>
                <w:szCs w:val="24"/>
              </w:rPr>
              <w:t>债券名称</w:t>
            </w:r>
          </w:p>
        </w:tc>
        <w:tc>
          <w:tcPr>
            <w:tcW w:w="1560"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w="198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w="1474" w:type="dxa"/>
            <w:vAlign w:val="center"/>
          </w:tcPr>
          <w:p w:rsidR="00750D48" w:rsidRPr="00232B03" w:rsidRDefault="00750D48" w:rsidP="005F7917">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rsidR="00FA0FD2">
        <w:tc>
          <w:tcPr>
            <w:tcW w:w="0" w:type="auto"/>
            <w:vAlign w:val="center"/>
          </w:tcPr>
          <w:p w:rsidR="00FA0FD2" w:rsidRDefault="00BB6F4A">
            <w:pPr>
              <w:jc w:val="center"/>
            </w:pPr>
            <w:r>
              <w:rPr>
                <w:color w:val="000000"/>
                <w:kern w:val="0"/>
                <w:sz w:val="24"/>
                <w:szCs w:val="24"/>
              </w:rPr>
              <w:t>1</w:t>
            </w:r>
          </w:p>
        </w:tc>
        <w:tc>
          <w:tcPr>
            <w:tcW w:w="0" w:type="auto"/>
            <w:vAlign w:val="center"/>
          </w:tcPr>
          <w:p w:rsidR="00FA0FD2" w:rsidRDefault="00BB6F4A">
            <w:pPr>
              <w:jc w:val="center"/>
            </w:pPr>
            <w:r>
              <w:rPr>
                <w:color w:val="000000"/>
                <w:kern w:val="0"/>
                <w:sz w:val="24"/>
                <w:szCs w:val="24"/>
              </w:rPr>
              <w:t>113031</w:t>
            </w:r>
          </w:p>
        </w:tc>
        <w:tc>
          <w:tcPr>
            <w:tcW w:w="0" w:type="auto"/>
            <w:vAlign w:val="center"/>
          </w:tcPr>
          <w:p w:rsidR="00FA0FD2" w:rsidRDefault="00BB6F4A">
            <w:pPr>
              <w:jc w:val="center"/>
            </w:pPr>
            <w:r>
              <w:rPr>
                <w:color w:val="000000"/>
                <w:kern w:val="0"/>
                <w:sz w:val="24"/>
                <w:szCs w:val="24"/>
              </w:rPr>
              <w:t>博威转债</w:t>
            </w:r>
          </w:p>
        </w:tc>
        <w:tc>
          <w:tcPr>
            <w:tcW w:w="0" w:type="auto"/>
            <w:vAlign w:val="center"/>
          </w:tcPr>
          <w:p w:rsidR="00FA0FD2" w:rsidRDefault="00BB6F4A">
            <w:pPr>
              <w:jc w:val="right"/>
            </w:pPr>
            <w:r>
              <w:rPr>
                <w:color w:val="000000"/>
                <w:kern w:val="0"/>
                <w:sz w:val="24"/>
                <w:szCs w:val="24"/>
              </w:rPr>
              <w:t>35,620</w:t>
            </w:r>
          </w:p>
        </w:tc>
        <w:tc>
          <w:tcPr>
            <w:tcW w:w="0" w:type="auto"/>
            <w:vAlign w:val="center"/>
          </w:tcPr>
          <w:p w:rsidR="00FA0FD2" w:rsidRDefault="00BB6F4A">
            <w:pPr>
              <w:jc w:val="right"/>
            </w:pPr>
            <w:r>
              <w:rPr>
                <w:color w:val="000000"/>
                <w:kern w:val="0"/>
                <w:sz w:val="24"/>
                <w:szCs w:val="24"/>
              </w:rPr>
              <w:t>4,351,339.20</w:t>
            </w:r>
          </w:p>
        </w:tc>
        <w:tc>
          <w:tcPr>
            <w:tcW w:w="0" w:type="auto"/>
            <w:vAlign w:val="center"/>
          </w:tcPr>
          <w:p w:rsidR="00FA0FD2" w:rsidRDefault="00BB6F4A">
            <w:pPr>
              <w:jc w:val="right"/>
            </w:pPr>
            <w:r>
              <w:rPr>
                <w:color w:val="000000"/>
                <w:kern w:val="0"/>
                <w:sz w:val="24"/>
                <w:szCs w:val="24"/>
              </w:rPr>
              <w:t>1.19</w:t>
            </w:r>
          </w:p>
        </w:tc>
      </w:tr>
    </w:tbl>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本基金本报告期末未持有资产支持证券。</w:t>
      </w:r>
    </w:p>
    <w:p w:rsidR="00750D48" w:rsidRPr="001D63BB" w:rsidRDefault="00750D48" w:rsidP="001D63BB">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sidRPr="001B0A62">
        <w:rPr>
          <w:rFonts w:ascii="宋体"/>
          <w:b/>
          <w:bCs/>
          <w:color w:val="000000"/>
          <w:kern w:val="0"/>
          <w:sz w:val="24"/>
          <w:szCs w:val="24"/>
        </w:rPr>
        <w:t>7</w:t>
      </w:r>
      <w:r w:rsidRPr="001D63BB">
        <w:rPr>
          <w:rFonts w:ascii="宋体" w:hAnsi="宋体" w:hint="eastAsia"/>
          <w:b/>
          <w:bCs/>
          <w:color w:val="000000"/>
          <w:kern w:val="0"/>
          <w:sz w:val="24"/>
          <w:szCs w:val="24"/>
        </w:rPr>
        <w:t>报告期末按公允价值占基金资产净值比例大小排序的前五名贵金属投资明细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本基金本报告期末未持有贵金属。</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5.8</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的前五名权证投资明细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本基金本报告期末未持有权证。</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w:t>
      </w:r>
      <w:r>
        <w:rPr>
          <w:rFonts w:ascii="宋体"/>
          <w:b/>
          <w:bCs/>
          <w:color w:val="000000"/>
          <w:kern w:val="0"/>
          <w:sz w:val="24"/>
          <w:szCs w:val="24"/>
        </w:rPr>
        <w:t>.</w:t>
      </w:r>
      <w:r w:rsidRPr="001B0A62">
        <w:rPr>
          <w:rFonts w:ascii="宋体"/>
          <w:b/>
          <w:bCs/>
          <w:color w:val="000000"/>
          <w:kern w:val="0"/>
          <w:sz w:val="24"/>
          <w:szCs w:val="24"/>
        </w:rPr>
        <w:t>9</w:t>
      </w:r>
      <w:r w:rsidRPr="001B0A62">
        <w:rPr>
          <w:rFonts w:ascii="宋体" w:hAnsi="宋体" w:hint="eastAsia"/>
          <w:b/>
          <w:bCs/>
          <w:color w:val="000000"/>
          <w:kern w:val="0"/>
          <w:sz w:val="24"/>
          <w:szCs w:val="24"/>
        </w:rPr>
        <w:t>报告期末本基金投资的股指期货交易情况说明</w:t>
      </w:r>
    </w:p>
    <w:p w:rsidR="00277FAE" w:rsidRDefault="00277FAE" w:rsidP="00277FAE">
      <w:pPr>
        <w:spacing w:line="360" w:lineRule="auto"/>
        <w:ind w:firstLineChars="200" w:firstLine="480"/>
        <w:rPr>
          <w:rFonts w:eastAsiaTheme="minorEastAsia"/>
          <w:color w:val="000000" w:themeColor="text1"/>
          <w:sz w:val="24"/>
        </w:rPr>
      </w:pPr>
      <w:r>
        <w:rPr>
          <w:rFonts w:eastAsiaTheme="minorEastAsia"/>
          <w:color w:val="000000" w:themeColor="text1"/>
          <w:sz w:val="24"/>
        </w:rPr>
        <w:t>本基金本报告期末未投资股指期货。</w:t>
      </w:r>
    </w:p>
    <w:p w:rsidR="00750D48" w:rsidRPr="001B0A62" w:rsidRDefault="00750D48" w:rsidP="001B0A62">
      <w:pPr>
        <w:autoSpaceDE w:val="0"/>
        <w:autoSpaceDN w:val="0"/>
        <w:adjustRightInd w:val="0"/>
        <w:spacing w:line="360" w:lineRule="auto"/>
        <w:jc w:val="left"/>
        <w:rPr>
          <w:rFonts w:ascii="宋体"/>
          <w:b/>
          <w:bCs/>
          <w:color w:val="000000"/>
          <w:kern w:val="0"/>
          <w:sz w:val="24"/>
          <w:szCs w:val="24"/>
        </w:rPr>
      </w:pPr>
      <w:r w:rsidRPr="001B0A62">
        <w:rPr>
          <w:rFonts w:ascii="宋体" w:hAnsi="宋体"/>
          <w:b/>
          <w:bCs/>
          <w:color w:val="000000"/>
          <w:kern w:val="0"/>
          <w:sz w:val="24"/>
          <w:szCs w:val="24"/>
        </w:rPr>
        <w:t>5.10</w:t>
      </w:r>
      <w:r w:rsidRPr="001B0A62">
        <w:rPr>
          <w:rFonts w:ascii="宋体" w:hAnsi="宋体" w:hint="eastAsia"/>
          <w:b/>
          <w:bCs/>
          <w:color w:val="000000"/>
          <w:kern w:val="0"/>
          <w:sz w:val="24"/>
          <w:szCs w:val="24"/>
        </w:rPr>
        <w:t>报告期末本基金投资的国债期货交易情况说明</w:t>
      </w:r>
    </w:p>
    <w:p w:rsidR="00277FAE" w:rsidRDefault="00277FAE" w:rsidP="00277FAE">
      <w:pPr>
        <w:spacing w:line="360" w:lineRule="auto"/>
        <w:ind w:firstLineChars="200" w:firstLine="480"/>
      </w:pPr>
      <w:r>
        <w:rPr>
          <w:color w:val="000000"/>
          <w:sz w:val="24"/>
        </w:rPr>
        <w:t>本基金本报告期末未投资国债期货。</w:t>
      </w:r>
    </w:p>
    <w:p w:rsidR="00750D48" w:rsidRPr="00264E55" w:rsidRDefault="00750D48" w:rsidP="001B0A62">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5.11.1</w:t>
      </w:r>
      <w:r w:rsidR="00065E3C">
        <w:rPr>
          <w:rFonts w:ascii="宋体" w:hAnsi="宋体" w:hint="eastAsia"/>
          <w:color w:val="000000"/>
          <w:sz w:val="24"/>
          <w:szCs w:val="24"/>
        </w:rPr>
        <w:t xml:space="preserve"> </w:t>
      </w:r>
      <w:r w:rsidRPr="00264E55">
        <w:rPr>
          <w:rFonts w:ascii="宋体" w:hAnsi="宋体"/>
          <w:color w:val="000000"/>
          <w:sz w:val="24"/>
          <w:szCs w:val="24"/>
        </w:rPr>
        <w:t>云南铜业（代码：000878）为易方达资源行业混合型证券投资基金的前十大重仓证券之一。云南铜业股份有限公司于2019年6月17日公告，其所属企业富民薪冶工贸有限公司五华分公司收到当地生态环境局出具的行政处罚决定书，针对富民薪冶五华分公司排放的污水有一项监测因子超过《污水综合排放标准》的0.28倍的事实，对富民薪冶五华分公司做出以下处罚：1、责令立即改正环境违法行为；2、罚款人民币十万元。</w:t>
      </w:r>
    </w:p>
    <w:p w:rsidR="00FA0FD2" w:rsidRDefault="00BB6F4A">
      <w:pPr>
        <w:spacing w:line="360" w:lineRule="auto"/>
        <w:rPr>
          <w:rFonts w:ascii="宋体" w:hAnsi="宋体"/>
          <w:color w:val="000000"/>
          <w:sz w:val="24"/>
          <w:szCs w:val="24"/>
        </w:rPr>
      </w:pPr>
      <w:r>
        <w:rPr>
          <w:rFonts w:ascii="宋体" w:hAnsi="宋体"/>
          <w:color w:val="000000"/>
          <w:sz w:val="24"/>
          <w:szCs w:val="24"/>
        </w:rPr>
        <w:t>本基金投资云南铜业的投资决策程序符合公司投资制度的规定。</w:t>
      </w:r>
    </w:p>
    <w:p w:rsidR="00FA0FD2" w:rsidRDefault="00BB6F4A">
      <w:pPr>
        <w:spacing w:line="360" w:lineRule="auto"/>
        <w:rPr>
          <w:rFonts w:ascii="宋体" w:hAnsi="宋体"/>
          <w:color w:val="000000"/>
          <w:sz w:val="24"/>
          <w:szCs w:val="24"/>
        </w:rPr>
      </w:pPr>
      <w:r>
        <w:rPr>
          <w:rFonts w:ascii="宋体" w:hAnsi="宋体"/>
          <w:color w:val="000000"/>
          <w:sz w:val="24"/>
          <w:szCs w:val="24"/>
        </w:rPr>
        <w:t>除云南铜业外，本基金投资的前十名证券的发行主体本期没有出现被监管部门立案调查，或在报告编制日前一年内受到公开谴责、处罚的情形。</w:t>
      </w:r>
      <w:r>
        <w:rPr>
          <w:rFonts w:ascii="宋体" w:hAnsi="宋体"/>
          <w:color w:val="000000"/>
          <w:sz w:val="24"/>
          <w:szCs w:val="24"/>
        </w:rPr>
        <w:t xml:space="preserve"> </w:t>
      </w:r>
    </w:p>
    <w:p w:rsidR="00750D48" w:rsidRPr="00264E55" w:rsidRDefault="00750D48" w:rsidP="001B0A62">
      <w:pPr>
        <w:spacing w:line="360" w:lineRule="auto"/>
        <w:rPr>
          <w:rFonts w:ascii="宋体" w:hAnsi="宋体"/>
          <w:color w:val="000000"/>
          <w:sz w:val="24"/>
          <w:szCs w:val="24"/>
        </w:rPr>
      </w:pPr>
      <w:r w:rsidRPr="00264E55">
        <w:rPr>
          <w:rFonts w:ascii="宋体" w:hAnsi="宋体"/>
          <w:color w:val="000000"/>
          <w:sz w:val="24"/>
          <w:szCs w:val="24"/>
        </w:rPr>
        <w:t>5.11.2</w:t>
      </w:r>
      <w:r w:rsidR="00065E3C">
        <w:rPr>
          <w:rFonts w:ascii="宋体" w:hAnsi="宋体" w:hint="eastAsia"/>
          <w:color w:val="000000"/>
          <w:sz w:val="24"/>
          <w:szCs w:val="24"/>
        </w:rPr>
        <w:t xml:space="preserve"> </w:t>
      </w:r>
      <w:r w:rsidRPr="00264E55">
        <w:rPr>
          <w:rFonts w:ascii="宋体" w:hAnsi="宋体"/>
          <w:color w:val="000000"/>
          <w:sz w:val="24"/>
          <w:szCs w:val="24"/>
        </w:rPr>
        <w:t>本基金投资的前十名股票没有超出基金合同规定的备选股票库。</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 xml:space="preserve">5.11.3 </w:t>
      </w:r>
      <w:r w:rsidRPr="001C7E00">
        <w:rPr>
          <w:rFonts w:ascii="宋体" w:hAnsi="宋体" w:hint="eastAsia"/>
          <w:bCs/>
          <w:color w:val="000000"/>
          <w:kern w:val="0"/>
          <w:sz w:val="24"/>
          <w:szCs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2470"/>
        <w:gridCol w:w="4808"/>
      </w:tblGrid>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w="2470" w:type="dxa"/>
            <w:vAlign w:val="center"/>
          </w:tcPr>
          <w:p w:rsidR="00750D48" w:rsidRPr="00B227EA" w:rsidRDefault="00750D48" w:rsidP="00B05049">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w="4808" w:type="dxa"/>
            <w:vAlign w:val="center"/>
          </w:tcPr>
          <w:p w:rsidR="00750D48" w:rsidRPr="00B227EA" w:rsidRDefault="00750D48" w:rsidP="005F7917">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201,293.82</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8,357.83</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3,654,468.15</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w:t>
            </w:r>
          </w:p>
        </w:tc>
      </w:tr>
      <w:tr w:rsidR="00750D48" w:rsidRPr="00264E55" w:rsidTr="00B05049">
        <w:tc>
          <w:tcPr>
            <w:tcW w:w="1235" w:type="dxa"/>
            <w:vAlign w:val="center"/>
          </w:tcPr>
          <w:p w:rsidR="00750D48" w:rsidRPr="00B227EA" w:rsidRDefault="00750D48" w:rsidP="00B05049">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w="2470" w:type="dxa"/>
            <w:vAlign w:val="center"/>
          </w:tcPr>
          <w:p w:rsidR="00750D48" w:rsidRPr="00B227EA" w:rsidRDefault="00750D48" w:rsidP="00B05049">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w="4808" w:type="dxa"/>
            <w:vAlign w:val="center"/>
          </w:tcPr>
          <w:p w:rsidR="00750D48" w:rsidRPr="00B227EA" w:rsidRDefault="00750D48" w:rsidP="00B05049">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3,864,119.80</w:t>
            </w:r>
          </w:p>
        </w:tc>
      </w:tr>
    </w:tbl>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本基金本报告期末未持有处于转股期的可转换债券。</w:t>
      </w:r>
    </w:p>
    <w:p w:rsidR="00750D48" w:rsidRPr="001C7E00" w:rsidRDefault="00750D48" w:rsidP="001B0A62">
      <w:pPr>
        <w:autoSpaceDE w:val="0"/>
        <w:autoSpaceDN w:val="0"/>
        <w:adjustRightInd w:val="0"/>
        <w:spacing w:line="360" w:lineRule="auto"/>
        <w:jc w:val="left"/>
        <w:rPr>
          <w:rFonts w:ascii="宋体"/>
          <w:bCs/>
          <w:color w:val="000000"/>
          <w:kern w:val="0"/>
          <w:sz w:val="24"/>
          <w:szCs w:val="24"/>
        </w:rPr>
      </w:pP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本基金本报告期末前十名股票中不存在流通受限情况。</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R="00750D48" w:rsidRPr="00264E55" w:rsidRDefault="00750D48" w:rsidP="004061AC">
      <w:pPr>
        <w:autoSpaceDE w:val="0"/>
        <w:autoSpaceDN w:val="0"/>
        <w:adjustRightInd w:val="0"/>
        <w:spacing w:before="29" w:line="360" w:lineRule="auto"/>
        <w:ind w:left="15"/>
        <w:jc w:val="right"/>
        <w:rPr>
          <w:rFonts w:ascii="宋体"/>
          <w:color w:val="000000"/>
          <w:kern w:val="0"/>
          <w:sz w:val="24"/>
          <w:szCs w:val="24"/>
        </w:rPr>
      </w:pPr>
      <w:r w:rsidRPr="00264E55">
        <w:rPr>
          <w:rFonts w:ascii="宋体" w:hAnsi="宋体" w:cs="宋体" w:hint="eastAsia"/>
          <w:color w:val="000000"/>
          <w:kern w:val="0"/>
          <w:sz w:val="24"/>
          <w:szCs w:val="24"/>
        </w:rPr>
        <w:t>单位：份</w:t>
      </w:r>
    </w:p>
    <w:tbl>
      <w:tblPr>
        <w:tblW w:w="0" w:type="auto"/>
        <w:tblInd w:w="-106" w:type="dxa"/>
        <w:tblLayout w:type="fixed"/>
        <w:tblLook w:val="0000" w:firstRow="0" w:lastRow="0" w:firstColumn="0" w:lastColumn="0" w:noHBand="0" w:noVBand="0"/>
      </w:tblPr>
      <w:tblGrid>
        <w:gridCol w:w="4609"/>
        <w:gridCol w:w="4025"/>
      </w:tblGrid>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562,339,785.71</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202,123,551.14</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268,944,369.16</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right"/>
              <w:rPr>
                <w:color w:val="000000"/>
                <w:sz w:val="24"/>
                <w:szCs w:val="24"/>
              </w:rPr>
            </w:pPr>
            <w:r w:rsidRPr="00B227EA">
              <w:rPr>
                <w:color w:val="000000"/>
                <w:sz w:val="24"/>
                <w:szCs w:val="24"/>
              </w:rPr>
              <w:t>-</w:t>
            </w:r>
          </w:p>
        </w:tc>
      </w:tr>
      <w:tr w:rsidR="00750D48" w:rsidRPr="00264E55" w:rsidTr="00924582">
        <w:tc>
          <w:tcPr>
            <w:tcW w:w="4609"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924582">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50D48" w:rsidRPr="00B227EA" w:rsidRDefault="00750D48" w:rsidP="000A2B53">
            <w:pPr>
              <w:autoSpaceDE w:val="0"/>
              <w:autoSpaceDN w:val="0"/>
              <w:adjustRightInd w:val="0"/>
              <w:spacing w:before="29" w:line="360" w:lineRule="auto"/>
              <w:ind w:left="17"/>
              <w:jc w:val="right"/>
              <w:rPr>
                <w:color w:val="000000"/>
                <w:sz w:val="24"/>
                <w:szCs w:val="24"/>
              </w:rPr>
            </w:pPr>
            <w:r w:rsidRPr="00B227EA">
              <w:rPr>
                <w:color w:val="000000"/>
                <w:sz w:val="24"/>
                <w:szCs w:val="24"/>
              </w:rPr>
              <w:t>495,518,967.69</w:t>
            </w:r>
          </w:p>
        </w:tc>
      </w:tr>
    </w:tbl>
    <w:p w:rsidR="00750D48" w:rsidRDefault="00750D48" w:rsidP="004D28A3">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750D48" w:rsidRDefault="00750D48" w:rsidP="00EB374A">
      <w:pPr>
        <w:spacing w:line="360" w:lineRule="auto"/>
        <w:jc w:val="left"/>
        <w:rPr>
          <w:sz w:val="24"/>
          <w:szCs w:val="24"/>
        </w:rPr>
      </w:pPr>
      <w:r>
        <w:rPr>
          <w:b/>
          <w:sz w:val="24"/>
        </w:rPr>
        <w:t xml:space="preserve">7.1 </w:t>
      </w:r>
      <w:r>
        <w:rPr>
          <w:rFonts w:hint="eastAsia"/>
          <w:b/>
          <w:sz w:val="24"/>
        </w:rPr>
        <w:t>基金管理人持有本基金份额变动情况</w:t>
      </w:r>
    </w:p>
    <w:p w:rsidR="00750D48" w:rsidRPr="00232B03" w:rsidRDefault="00AC11B0" w:rsidP="00232B03">
      <w:pPr>
        <w:spacing w:line="360" w:lineRule="auto"/>
        <w:ind w:firstLineChars="200" w:firstLine="480"/>
        <w:rPr>
          <w:color w:val="000000"/>
          <w:sz w:val="24"/>
          <w:szCs w:val="24"/>
        </w:rPr>
      </w:pPr>
      <w:r w:rsidRPr="00403A06">
        <w:rPr>
          <w:color w:val="000000"/>
          <w:sz w:val="24"/>
          <w:szCs w:val="24"/>
        </w:rPr>
        <w:t>本报告期内基金管理人未持有本基金份额。</w:t>
      </w:r>
    </w:p>
    <w:p w:rsidR="00750D48" w:rsidRDefault="00750D48" w:rsidP="00EB374A">
      <w:pPr>
        <w:spacing w:line="360" w:lineRule="auto"/>
        <w:jc w:val="left"/>
        <w:rPr>
          <w:sz w:val="24"/>
        </w:rPr>
      </w:pPr>
      <w:r>
        <w:rPr>
          <w:b/>
          <w:sz w:val="24"/>
        </w:rPr>
        <w:t xml:space="preserve">7.2 </w:t>
      </w:r>
      <w:r>
        <w:rPr>
          <w:rFonts w:hint="eastAsia"/>
          <w:b/>
          <w:sz w:val="24"/>
        </w:rPr>
        <w:t>基金管理人运用固有资金投资本基金交易明细</w:t>
      </w:r>
    </w:p>
    <w:p w:rsidR="00750D48" w:rsidRPr="006C56AA" w:rsidRDefault="00750D48" w:rsidP="006C56AA">
      <w:pPr>
        <w:spacing w:line="360" w:lineRule="auto"/>
        <w:ind w:firstLineChars="200" w:firstLine="480"/>
        <w:rPr>
          <w:color w:val="000000"/>
          <w:sz w:val="24"/>
          <w:szCs w:val="24"/>
        </w:rPr>
      </w:pPr>
      <w:r w:rsidRPr="006C56AA">
        <w:rPr>
          <w:color w:val="000000"/>
          <w:sz w:val="24"/>
          <w:szCs w:val="24"/>
        </w:rPr>
        <w:t>本报告期内基金管理人未运用固有资金申购、赎回、买卖本基金份额。</w:t>
      </w:r>
    </w:p>
    <w:p w:rsidR="00750D48" w:rsidRPr="00264E55" w:rsidRDefault="00750D48" w:rsidP="004D28A3">
      <w:pPr>
        <w:pStyle w:val="1"/>
        <w:spacing w:beforeLines="100" w:before="312" w:afterLines="100" w:after="312"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rsidR="00FA0FD2" w:rsidRDefault="00BB6F4A">
      <w:pPr>
        <w:spacing w:line="360" w:lineRule="auto"/>
        <w:ind w:firstLineChars="200" w:firstLine="480"/>
        <w:rPr>
          <w:color w:val="000000"/>
          <w:sz w:val="24"/>
          <w:szCs w:val="24"/>
        </w:rPr>
      </w:pPr>
      <w:r>
        <w:rPr>
          <w:color w:val="000000"/>
          <w:sz w:val="24"/>
          <w:szCs w:val="24"/>
        </w:rPr>
        <w:t>1.</w:t>
      </w:r>
      <w:r>
        <w:rPr>
          <w:color w:val="000000"/>
          <w:sz w:val="24"/>
          <w:szCs w:val="24"/>
        </w:rPr>
        <w:t>中国证监会核准易方达资源行业股票型证券投资基金募集的文件；</w:t>
      </w:r>
    </w:p>
    <w:p w:rsidR="00FA0FD2" w:rsidRDefault="00BB6F4A">
      <w:pPr>
        <w:spacing w:line="360" w:lineRule="auto"/>
        <w:ind w:firstLineChars="200" w:firstLine="480"/>
        <w:rPr>
          <w:color w:val="000000"/>
          <w:sz w:val="24"/>
          <w:szCs w:val="24"/>
        </w:rPr>
      </w:pPr>
      <w:r>
        <w:rPr>
          <w:color w:val="000000"/>
          <w:sz w:val="24"/>
          <w:szCs w:val="24"/>
        </w:rPr>
        <w:t>2.</w:t>
      </w:r>
      <w:r>
        <w:rPr>
          <w:color w:val="000000"/>
          <w:sz w:val="24"/>
          <w:szCs w:val="24"/>
        </w:rPr>
        <w:t>易方达基金管理有限公司关于旗下部分开放式基金更名及修改基金合同、托管协议的公告</w:t>
      </w:r>
    </w:p>
    <w:p w:rsidR="00FA0FD2" w:rsidRDefault="00BB6F4A">
      <w:pPr>
        <w:spacing w:line="360" w:lineRule="auto"/>
        <w:ind w:firstLineChars="200" w:firstLine="480"/>
        <w:rPr>
          <w:color w:val="000000"/>
          <w:sz w:val="24"/>
          <w:szCs w:val="24"/>
        </w:rPr>
      </w:pPr>
      <w:r>
        <w:rPr>
          <w:color w:val="000000"/>
          <w:sz w:val="24"/>
          <w:szCs w:val="24"/>
        </w:rPr>
        <w:t>3.</w:t>
      </w:r>
      <w:r>
        <w:rPr>
          <w:color w:val="000000"/>
          <w:sz w:val="24"/>
          <w:szCs w:val="24"/>
        </w:rPr>
        <w:t>《易方达资源行业混合型证券投资基金基金合同》；</w:t>
      </w:r>
    </w:p>
    <w:p w:rsidR="00FA0FD2" w:rsidRDefault="00BB6F4A">
      <w:pPr>
        <w:spacing w:line="360" w:lineRule="auto"/>
        <w:ind w:firstLineChars="200" w:firstLine="480"/>
        <w:rPr>
          <w:color w:val="000000"/>
          <w:sz w:val="24"/>
          <w:szCs w:val="24"/>
        </w:rPr>
      </w:pPr>
      <w:r>
        <w:rPr>
          <w:color w:val="000000"/>
          <w:sz w:val="24"/>
          <w:szCs w:val="24"/>
        </w:rPr>
        <w:t>4.</w:t>
      </w:r>
      <w:r>
        <w:rPr>
          <w:color w:val="000000"/>
          <w:sz w:val="24"/>
          <w:szCs w:val="24"/>
        </w:rPr>
        <w:t>《易方达资源行业混合型证券投资基金托管协议》；</w:t>
      </w:r>
    </w:p>
    <w:p w:rsidR="00FA0FD2" w:rsidRDefault="00BB6F4A">
      <w:pPr>
        <w:spacing w:line="360" w:lineRule="auto"/>
        <w:ind w:firstLineChars="200" w:firstLine="480"/>
        <w:rPr>
          <w:color w:val="000000"/>
          <w:sz w:val="24"/>
          <w:szCs w:val="24"/>
        </w:rPr>
      </w:pPr>
      <w:r>
        <w:rPr>
          <w:color w:val="000000"/>
          <w:sz w:val="24"/>
          <w:szCs w:val="24"/>
        </w:rPr>
        <w:t>5.</w:t>
      </w:r>
      <w:r>
        <w:rPr>
          <w:color w:val="000000"/>
          <w:sz w:val="24"/>
          <w:szCs w:val="24"/>
        </w:rPr>
        <w:t>《易方达基金管理有限公司开放式基金业务规则》；</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6.</w:t>
      </w:r>
      <w:r w:rsidRPr="006C56AA">
        <w:rPr>
          <w:color w:val="000000"/>
          <w:sz w:val="24"/>
          <w:szCs w:val="24"/>
        </w:rPr>
        <w:t>基金管理人业务资格批件和营业执照。</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R="00750D48" w:rsidRPr="00232B03" w:rsidRDefault="00750D48" w:rsidP="00232B03">
      <w:pPr>
        <w:spacing w:line="360" w:lineRule="auto"/>
        <w:ind w:firstLineChars="200" w:firstLine="480"/>
        <w:rPr>
          <w:color w:val="000000"/>
          <w:sz w:val="24"/>
          <w:szCs w:val="24"/>
        </w:rPr>
      </w:pPr>
      <w:r w:rsidRPr="006C56AA">
        <w:rPr>
          <w:color w:val="000000"/>
          <w:sz w:val="24"/>
          <w:szCs w:val="24"/>
        </w:rPr>
        <w:t>广州市天河区珠江新城珠江东路</w:t>
      </w:r>
      <w:r w:rsidRPr="006C56AA">
        <w:rPr>
          <w:color w:val="000000"/>
          <w:sz w:val="24"/>
          <w:szCs w:val="24"/>
        </w:rPr>
        <w:t>30</w:t>
      </w:r>
      <w:r w:rsidRPr="006C56AA">
        <w:rPr>
          <w:color w:val="000000"/>
          <w:sz w:val="24"/>
          <w:szCs w:val="24"/>
        </w:rPr>
        <w:t>号广州银行大厦</w:t>
      </w:r>
      <w:r w:rsidRPr="006C56AA">
        <w:rPr>
          <w:color w:val="000000"/>
          <w:sz w:val="24"/>
          <w:szCs w:val="24"/>
        </w:rPr>
        <w:t>40-43</w:t>
      </w:r>
      <w:r w:rsidRPr="006C56AA">
        <w:rPr>
          <w:color w:val="000000"/>
          <w:sz w:val="24"/>
          <w:szCs w:val="24"/>
        </w:rPr>
        <w:t>楼。</w:t>
      </w:r>
    </w:p>
    <w:p w:rsidR="00750D48" w:rsidRPr="00264E55" w:rsidRDefault="00750D48" w:rsidP="00C71497">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R="00750D48" w:rsidRPr="006C56AA" w:rsidRDefault="00750D48" w:rsidP="00EB572F">
      <w:pPr>
        <w:spacing w:line="360" w:lineRule="auto"/>
        <w:ind w:firstLineChars="200" w:firstLine="480"/>
        <w:rPr>
          <w:color w:val="000000"/>
          <w:sz w:val="24"/>
          <w:szCs w:val="24"/>
        </w:rPr>
      </w:pPr>
      <w:r w:rsidRPr="006C56AA">
        <w:rPr>
          <w:color w:val="000000"/>
          <w:sz w:val="24"/>
          <w:szCs w:val="24"/>
        </w:rPr>
        <w:t>投资者可在营业时间免费查阅，也可按工本费购买复印件。</w:t>
      </w: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4061AC">
      <w:pPr>
        <w:spacing w:line="360" w:lineRule="auto"/>
        <w:ind w:left="840"/>
        <w:jc w:val="right"/>
        <w:rPr>
          <w:rFonts w:ascii="宋体"/>
          <w:color w:val="000000"/>
          <w:sz w:val="24"/>
          <w:szCs w:val="24"/>
        </w:rPr>
      </w:pPr>
    </w:p>
    <w:p w:rsidR="00750D48" w:rsidRPr="00264E55" w:rsidRDefault="00750D48" w:rsidP="00C71497">
      <w:pPr>
        <w:spacing w:line="360" w:lineRule="auto"/>
        <w:jc w:val="right"/>
        <w:rPr>
          <w:rFonts w:ascii="宋体" w:hAnsi="宋体"/>
          <w:b/>
          <w:bCs/>
          <w:sz w:val="24"/>
          <w:szCs w:val="24"/>
        </w:rPr>
      </w:pPr>
      <w:r w:rsidRPr="00264E55">
        <w:rPr>
          <w:rFonts w:ascii="宋体" w:hAnsi="宋体"/>
          <w:b/>
          <w:bCs/>
          <w:sz w:val="24"/>
          <w:szCs w:val="24"/>
        </w:rPr>
        <w:t>易方达基金管理有限公司</w:t>
      </w:r>
    </w:p>
    <w:p w:rsidR="00750D48" w:rsidRPr="00191817" w:rsidRDefault="00750D48" w:rsidP="00191817">
      <w:pPr>
        <w:spacing w:line="360" w:lineRule="auto"/>
        <w:jc w:val="right"/>
        <w:rPr>
          <w:rFonts w:ascii="宋体" w:hAnsi="宋体"/>
          <w:b/>
          <w:bCs/>
          <w:sz w:val="24"/>
          <w:szCs w:val="24"/>
        </w:rPr>
      </w:pPr>
      <w:r w:rsidRPr="00264E55">
        <w:rPr>
          <w:rFonts w:ascii="宋体" w:hAnsi="宋体"/>
          <w:b/>
          <w:bCs/>
          <w:sz w:val="24"/>
          <w:szCs w:val="24"/>
        </w:rPr>
        <w:t>二〇二〇年四月二十一日</w:t>
      </w:r>
    </w:p>
    <w:sectPr w:rsidR="00750D48" w:rsidRPr="00191817" w:rsidSect="00304A12">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EB" w:rsidRDefault="00A746EB" w:rsidP="00876D65">
      <w:r>
        <w:separator/>
      </w:r>
    </w:p>
  </w:endnote>
  <w:endnote w:type="continuationSeparator" w:id="0">
    <w:p w:rsidR="00A746EB" w:rsidRDefault="00A746E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rsidP="00EF56B5">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BB6F4A">
      <w:rPr>
        <w:rStyle w:val="a7"/>
        <w:noProof/>
      </w:rPr>
      <w:t>1</w:t>
    </w:r>
    <w:r>
      <w:rPr>
        <w:rStyle w:val="a7"/>
      </w:rPr>
      <w:fldChar w:fldCharType="end"/>
    </w:r>
    <w:r>
      <w:rPr>
        <w:rStyle w:val="a7"/>
        <w:rFonts w:hint="eastAsia"/>
      </w:rPr>
      <w:t>页共</w:t>
    </w:r>
    <w:fldSimple w:instr=" NUMPAGES  \* Arabic  \* MERGEFORMAT ">
      <w:r w:rsidR="00BB6F4A" w:rsidRPr="00BB6F4A">
        <w:rPr>
          <w:rStyle w:val="a7"/>
          <w:noProof/>
        </w:rPr>
        <w:t>1</w:t>
      </w:r>
    </w:fldSimple>
    <w:r>
      <w:rPr>
        <w:rStyle w:val="a7"/>
        <w:rFonts w:hint="eastAsia"/>
      </w:rPr>
      <w:t>页</w:t>
    </w:r>
  </w:p>
  <w:p w:rsidR="003328D9" w:rsidRPr="00EF56B5" w:rsidRDefault="003328D9" w:rsidP="00EF56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Default="003328D9">
    <w:pPr>
      <w:pStyle w:val="a6"/>
      <w:framePr w:wrap="auto" w:vAnchor="text" w:hAnchor="margin"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BB6F4A">
      <w:rPr>
        <w:rStyle w:val="a7"/>
        <w:noProof/>
      </w:rPr>
      <w:t>2</w:t>
    </w:r>
    <w:r>
      <w:rPr>
        <w:rStyle w:val="a7"/>
      </w:rPr>
      <w:fldChar w:fldCharType="end"/>
    </w:r>
    <w:r>
      <w:rPr>
        <w:rStyle w:val="a7"/>
        <w:rFonts w:hint="eastAsia"/>
      </w:rPr>
      <w:t>页共</w:t>
    </w:r>
    <w:r w:rsidR="00BB6F4A">
      <w:fldChar w:fldCharType="begin"/>
    </w:r>
    <w:r w:rsidR="00BB6F4A">
      <w:instrText xml:space="preserve"> NUMPAGES  \* Arabic  \* MERGEFORMAT </w:instrText>
    </w:r>
    <w:r w:rsidR="00BB6F4A">
      <w:fldChar w:fldCharType="separate"/>
    </w:r>
    <w:r w:rsidR="00BB6F4A" w:rsidRPr="00BB6F4A">
      <w:rPr>
        <w:rStyle w:val="a7"/>
        <w:noProof/>
      </w:rPr>
      <w:t>2</w:t>
    </w:r>
    <w:r w:rsidR="00BB6F4A">
      <w:rPr>
        <w:rStyle w:val="a7"/>
        <w:noProof/>
      </w:rPr>
      <w:fldChar w:fldCharType="end"/>
    </w:r>
    <w:r>
      <w:rPr>
        <w:rStyle w:val="a7"/>
        <w:rFonts w:hint="eastAsia"/>
      </w:rPr>
      <w:t>页</w:t>
    </w:r>
  </w:p>
  <w:p w:rsidR="003328D9" w:rsidRDefault="00332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EB" w:rsidRDefault="00A746EB" w:rsidP="00876D65">
      <w:r>
        <w:separator/>
      </w:r>
    </w:p>
  </w:footnote>
  <w:footnote w:type="continuationSeparator" w:id="0">
    <w:p w:rsidR="00A746EB" w:rsidRDefault="00A746E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D9" w:rsidRPr="00093704" w:rsidRDefault="003328D9" w:rsidP="00090A26">
    <w:pPr>
      <w:pStyle w:val="a9"/>
      <w:pBdr>
        <w:bottom w:val="single" w:sz="6" w:space="0" w:color="auto"/>
      </w:pBdr>
      <w:jc w:val="right"/>
    </w:pPr>
    <w:r w:rsidRPr="00093704">
      <w:t>易方达资源行业混合型证券投资基金</w:t>
    </w:r>
    <w:r w:rsidRPr="00093704">
      <w:t>2020</w:t>
    </w:r>
    <w:r w:rsidRPr="00093704">
      <w:t>年第</w:t>
    </w:r>
    <w:r w:rsidRPr="00093704">
      <w:t>1</w:t>
    </w:r>
    <w:r w:rsidRPr="0009370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szCs w:val="24"/>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3821"/>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25DB"/>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80186"/>
    <w:rsid w:val="0078089C"/>
    <w:rsid w:val="00787D16"/>
    <w:rsid w:val="00796CA8"/>
    <w:rsid w:val="00797305"/>
    <w:rsid w:val="007B035B"/>
    <w:rsid w:val="007B4C04"/>
    <w:rsid w:val="007B5AFB"/>
    <w:rsid w:val="007C1B9B"/>
    <w:rsid w:val="007C54B1"/>
    <w:rsid w:val="007C5862"/>
    <w:rsid w:val="007F31E6"/>
    <w:rsid w:val="008014F9"/>
    <w:rsid w:val="0080358B"/>
    <w:rsid w:val="008059BD"/>
    <w:rsid w:val="00812D46"/>
    <w:rsid w:val="00815999"/>
    <w:rsid w:val="00815A38"/>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D65"/>
    <w:rsid w:val="00891261"/>
    <w:rsid w:val="00895A8A"/>
    <w:rsid w:val="008A09E5"/>
    <w:rsid w:val="008A21B2"/>
    <w:rsid w:val="008B2FDD"/>
    <w:rsid w:val="008C2A4F"/>
    <w:rsid w:val="008C75E7"/>
    <w:rsid w:val="008C7CA8"/>
    <w:rsid w:val="008D09EC"/>
    <w:rsid w:val="008D799F"/>
    <w:rsid w:val="008E07EB"/>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B6F4A"/>
    <w:rsid w:val="00BC4585"/>
    <w:rsid w:val="00BC50F1"/>
    <w:rsid w:val="00BC73E5"/>
    <w:rsid w:val="00BD7473"/>
    <w:rsid w:val="00BD7703"/>
    <w:rsid w:val="00BE12B4"/>
    <w:rsid w:val="00BE3D2D"/>
    <w:rsid w:val="00BE420D"/>
    <w:rsid w:val="00C11A5E"/>
    <w:rsid w:val="00C21520"/>
    <w:rsid w:val="00C222B2"/>
    <w:rsid w:val="00C225FB"/>
    <w:rsid w:val="00C41870"/>
    <w:rsid w:val="00C46B88"/>
    <w:rsid w:val="00C5218C"/>
    <w:rsid w:val="00C52191"/>
    <w:rsid w:val="00C5642F"/>
    <w:rsid w:val="00C57A3E"/>
    <w:rsid w:val="00C63554"/>
    <w:rsid w:val="00C71497"/>
    <w:rsid w:val="00C72F5B"/>
    <w:rsid w:val="00C73619"/>
    <w:rsid w:val="00C73BCD"/>
    <w:rsid w:val="00C77AEF"/>
    <w:rsid w:val="00C77E37"/>
    <w:rsid w:val="00C86EB7"/>
    <w:rsid w:val="00C87129"/>
    <w:rsid w:val="00C91E1B"/>
    <w:rsid w:val="00CA2BD3"/>
    <w:rsid w:val="00CA4677"/>
    <w:rsid w:val="00CA5FD5"/>
    <w:rsid w:val="00CA7703"/>
    <w:rsid w:val="00CB0F92"/>
    <w:rsid w:val="00CD4E6D"/>
    <w:rsid w:val="00CD5707"/>
    <w:rsid w:val="00CD7702"/>
    <w:rsid w:val="00CD7FC9"/>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E06069"/>
    <w:rsid w:val="00E115C0"/>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A0FD2"/>
    <w:rsid w:val="00FB0BC9"/>
    <w:rsid w:val="00FB0F9B"/>
    <w:rsid w:val="00FB41D3"/>
    <w:rsid w:val="00FB4F70"/>
    <w:rsid w:val="00FB5EFC"/>
    <w:rsid w:val="00FB77BB"/>
    <w:rsid w:val="00FC15AA"/>
    <w:rsid w:val="00FD1375"/>
    <w:rsid w:val="00FD359E"/>
    <w:rsid w:val="00FD5F37"/>
    <w:rsid w:val="00FE0A17"/>
    <w:rsid w:val="00FE179F"/>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46356657-97ED-4AA5-89BA-AFC9DD54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b/>
      <w:bCs/>
      <w:kern w:val="0"/>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061AC"/>
    <w:rPr>
      <w:rFonts w:ascii="Times New Roman" w:eastAsia="宋体" w:hAnsi="Times New Roman" w:cs="Times New Roman"/>
      <w:b/>
      <w:bCs/>
      <w:kern w:val="44"/>
      <w:sz w:val="44"/>
      <w:szCs w:val="44"/>
    </w:rPr>
  </w:style>
  <w:style w:type="character" w:customStyle="1" w:styleId="2Char">
    <w:name w:val="标题 2 Char"/>
    <w:link w:val="2"/>
    <w:uiPriority w:val="99"/>
    <w:locked/>
    <w:rsid w:val="004061AC"/>
    <w:rPr>
      <w:rFonts w:ascii="Arial" w:eastAsia="宋体" w:hAnsi="Arial" w:cs="Arial"/>
      <w:b/>
      <w:bCs/>
      <w:sz w:val="24"/>
      <w:szCs w:val="24"/>
    </w:rPr>
  </w:style>
  <w:style w:type="character" w:customStyle="1" w:styleId="3Char">
    <w:name w:val="标题 3 Char"/>
    <w:link w:val="3"/>
    <w:uiPriority w:val="99"/>
    <w:locked/>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
    <w:name w:val="正文文本缩进 Char"/>
    <w:link w:val="a4"/>
    <w:uiPriority w:val="99"/>
    <w:locked/>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kern w:val="0"/>
    </w:rPr>
  </w:style>
  <w:style w:type="character" w:customStyle="1" w:styleId="Char0">
    <w:name w:val="纯文本 Char"/>
    <w:link w:val="a5"/>
    <w:uiPriority w:val="99"/>
    <w:locked/>
    <w:rsid w:val="004061AC"/>
    <w:rPr>
      <w:rFonts w:ascii="宋体" w:eastAsia="宋体" w:hAnsi="Courier New" w:cs="宋体"/>
      <w:sz w:val="21"/>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olor w:val="FF0000"/>
      <w:kern w:val="0"/>
      <w:sz w:val="24"/>
      <w:szCs w:val="24"/>
    </w:rPr>
  </w:style>
  <w:style w:type="character" w:customStyle="1" w:styleId="2Char0">
    <w:name w:val="正文文本缩进 2 Char"/>
    <w:link w:val="20"/>
    <w:uiPriority w:val="99"/>
    <w:locked/>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kern w:val="0"/>
      <w:sz w:val="18"/>
      <w:szCs w:val="18"/>
    </w:rPr>
  </w:style>
  <w:style w:type="character" w:customStyle="1" w:styleId="Char1">
    <w:name w:val="页脚 Char"/>
    <w:link w:val="a6"/>
    <w:uiPriority w:val="99"/>
    <w:locked/>
    <w:rsid w:val="004061AC"/>
    <w:rPr>
      <w:rFonts w:ascii="Times New Roman" w:eastAsia="宋体" w:hAnsi="Times New Roman" w:cs="Times New Roman"/>
      <w:sz w:val="18"/>
      <w:szCs w:val="18"/>
    </w:rPr>
  </w:style>
  <w:style w:type="character" w:styleId="a7">
    <w:name w:val="page number"/>
    <w:uiPriority w:val="99"/>
    <w:rsid w:val="004061AC"/>
    <w:rPr>
      <w:rFonts w:cs="Times New Roman"/>
    </w:rPr>
  </w:style>
  <w:style w:type="character" w:styleId="a8">
    <w:name w:val="Hyperlink"/>
    <w:uiPriority w:val="99"/>
    <w:rsid w:val="004061AC"/>
    <w:rPr>
      <w:rFonts w:cs="Times New Roman"/>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olor w:val="FF0000"/>
      <w:kern w:val="0"/>
    </w:rPr>
  </w:style>
  <w:style w:type="character" w:customStyle="1" w:styleId="3Char0">
    <w:name w:val="正文文本缩进 3 Char"/>
    <w:link w:val="30"/>
    <w:uiPriority w:val="99"/>
    <w:locked/>
    <w:rsid w:val="004061AC"/>
    <w:rPr>
      <w:rFonts w:ascii="Arial" w:eastAsia="宋体" w:hAnsi="Arial" w:cs="Arial"/>
      <w:color w:val="FF0000"/>
      <w:sz w:val="21"/>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9"/>
    <w:uiPriority w:val="99"/>
    <w:locked/>
    <w:rsid w:val="004061AC"/>
    <w:rPr>
      <w:rFonts w:ascii="Times New Roman" w:eastAsia="宋体" w:hAnsi="Times New Roman" w:cs="Times New Roman"/>
      <w:sz w:val="18"/>
      <w:szCs w:val="18"/>
    </w:rPr>
  </w:style>
  <w:style w:type="character" w:styleId="aa">
    <w:name w:val="FollowedHyperlink"/>
    <w:uiPriority w:val="99"/>
    <w:rsid w:val="004061AC"/>
    <w:rPr>
      <w:rFonts w:cs="Times New Roman"/>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rPr>
      <w:kern w:val="0"/>
    </w:rPr>
  </w:style>
  <w:style w:type="character" w:customStyle="1" w:styleId="Char3">
    <w:name w:val="正文文本 Char"/>
    <w:link w:val="ac"/>
    <w:uiPriority w:val="99"/>
    <w:locked/>
    <w:rsid w:val="004061AC"/>
    <w:rPr>
      <w:rFonts w:ascii="Times New Roman" w:eastAsia="宋体" w:hAnsi="Times New Roman" w:cs="Times New Roman"/>
      <w:sz w:val="21"/>
      <w:szCs w:val="21"/>
    </w:rPr>
  </w:style>
  <w:style w:type="paragraph" w:styleId="ad">
    <w:name w:val="Date"/>
    <w:basedOn w:val="a"/>
    <w:next w:val="a"/>
    <w:link w:val="Char4"/>
    <w:uiPriority w:val="99"/>
    <w:rsid w:val="004061AC"/>
    <w:rPr>
      <w:kern w:val="0"/>
      <w:sz w:val="24"/>
      <w:szCs w:val="24"/>
    </w:rPr>
  </w:style>
  <w:style w:type="character" w:customStyle="1" w:styleId="Char4">
    <w:name w:val="日期 Char"/>
    <w:link w:val="ad"/>
    <w:uiPriority w:val="99"/>
    <w:locked/>
    <w:rsid w:val="004061AC"/>
    <w:rPr>
      <w:rFonts w:ascii="Times New Roman" w:eastAsia="宋体" w:hAnsi="Times New Roman" w:cs="Times New Roman"/>
      <w:sz w:val="24"/>
      <w:szCs w:val="24"/>
    </w:rPr>
  </w:style>
  <w:style w:type="character" w:customStyle="1" w:styleId="c1">
    <w:name w:val="c1"/>
    <w:uiPriority w:val="99"/>
    <w:rsid w:val="004061AC"/>
    <w:rPr>
      <w:rFonts w:cs="Times New Roman"/>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kern w:val="0"/>
      <w:sz w:val="18"/>
      <w:szCs w:val="18"/>
    </w:rPr>
  </w:style>
  <w:style w:type="character" w:customStyle="1" w:styleId="Char5">
    <w:name w:val="批注框文本 Char"/>
    <w:link w:val="ae"/>
    <w:uiPriority w:val="99"/>
    <w:semiHidden/>
    <w:locked/>
    <w:rsid w:val="004061AC"/>
    <w:rPr>
      <w:rFonts w:ascii="Times New Roman" w:eastAsia="宋体" w:hAnsi="Times New Roman" w:cs="Times New Roman"/>
      <w:sz w:val="18"/>
      <w:szCs w:val="18"/>
    </w:rPr>
  </w:style>
  <w:style w:type="character" w:styleId="af">
    <w:name w:val="annotation reference"/>
    <w:uiPriority w:val="99"/>
    <w:semiHidden/>
    <w:rsid w:val="004061AC"/>
    <w:rPr>
      <w:rFonts w:cs="Times New Roman"/>
      <w:sz w:val="21"/>
      <w:szCs w:val="21"/>
    </w:rPr>
  </w:style>
  <w:style w:type="paragraph" w:styleId="af0">
    <w:name w:val="annotation text"/>
    <w:basedOn w:val="a"/>
    <w:link w:val="Char6"/>
    <w:uiPriority w:val="99"/>
    <w:semiHidden/>
    <w:rsid w:val="004061AC"/>
    <w:pPr>
      <w:jc w:val="left"/>
    </w:pPr>
    <w:rPr>
      <w:kern w:val="0"/>
    </w:rPr>
  </w:style>
  <w:style w:type="character" w:customStyle="1" w:styleId="Char6">
    <w:name w:val="批注文字 Char"/>
    <w:link w:val="af0"/>
    <w:uiPriority w:val="99"/>
    <w:semiHidden/>
    <w:locked/>
    <w:rsid w:val="004061AC"/>
    <w:rPr>
      <w:rFonts w:ascii="Times New Roman" w:eastAsia="宋体" w:hAnsi="Times New Roman" w:cs="Times New Roman"/>
      <w:sz w:val="21"/>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link w:val="af1"/>
    <w:uiPriority w:val="99"/>
    <w:semiHidden/>
    <w:locked/>
    <w:rsid w:val="004061AC"/>
    <w:rPr>
      <w:rFonts w:ascii="Times New Roman" w:eastAsia="宋体" w:hAnsi="Times New Roman" w:cs="Times New Roman"/>
      <w:b/>
      <w:bCs/>
      <w:sz w:val="21"/>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rPr>
      <w:kern w:val="0"/>
    </w:rPr>
  </w:style>
  <w:style w:type="character" w:customStyle="1" w:styleId="Char9">
    <w:name w:val="文档结构图 Char"/>
    <w:link w:val="af2"/>
    <w:uiPriority w:val="99"/>
    <w:semiHidden/>
    <w:locked/>
    <w:rsid w:val="004061AC"/>
    <w:rPr>
      <w:rFonts w:ascii="Times New Roman" w:eastAsia="宋体" w:hAnsi="Times New Roman" w:cs="Times New Roman"/>
      <w:sz w:val="21"/>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uiPriority w:val="99"/>
    <w:rsid w:val="004061AC"/>
    <w:pPr>
      <w:snapToGrid w:val="0"/>
      <w:jc w:val="left"/>
    </w:pPr>
    <w:rPr>
      <w:kern w:val="0"/>
      <w:sz w:val="18"/>
      <w:szCs w:val="18"/>
    </w:rPr>
  </w:style>
  <w:style w:type="character" w:customStyle="1" w:styleId="Chara">
    <w:name w:val="脚注文本 Char"/>
    <w:link w:val="af4"/>
    <w:uiPriority w:val="99"/>
    <w:locked/>
    <w:rsid w:val="004061AC"/>
    <w:rPr>
      <w:rFonts w:ascii="Times New Roman" w:eastAsia="宋体" w:hAnsi="Times New Roman" w:cs="Times New Roman"/>
      <w:sz w:val="18"/>
      <w:szCs w:val="18"/>
    </w:rPr>
  </w:style>
  <w:style w:type="character" w:styleId="af5">
    <w:name w:val="footnote reference"/>
    <w:uiPriority w:val="99"/>
    <w:rsid w:val="004061AC"/>
    <w:rPr>
      <w:rFonts w:cs="Times New Roman"/>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b/>
      <w:bCs/>
      <w:kern w:val="0"/>
      <w:sz w:val="32"/>
      <w:szCs w:val="32"/>
    </w:rPr>
  </w:style>
  <w:style w:type="character" w:customStyle="1" w:styleId="Charb">
    <w:name w:val="标题 Char"/>
    <w:link w:val="af8"/>
    <w:uiPriority w:val="99"/>
    <w:locked/>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99"/>
    <w:qFormat/>
    <w:rsid w:val="004061AC"/>
    <w:rPr>
      <w:rFonts w:cs="Calibri"/>
      <w:sz w:val="22"/>
      <w:szCs w:val="22"/>
    </w:rPr>
  </w:style>
  <w:style w:type="character" w:customStyle="1" w:styleId="Charc">
    <w:name w:val="无间隔 Char"/>
    <w:link w:val="af9"/>
    <w:uiPriority w:val="99"/>
    <w:locked/>
    <w:rsid w:val="004061AC"/>
    <w:rPr>
      <w:rFonts w:cs="Calibri"/>
      <w:sz w:val="22"/>
      <w:szCs w:val="22"/>
      <w:lang w:val="en-US" w:eastAsia="zh-CN" w:bidi="ar-SA"/>
    </w:rPr>
  </w:style>
  <w:style w:type="character" w:customStyle="1" w:styleId="t1">
    <w:name w:val="t1"/>
    <w:uiPriority w:val="99"/>
    <w:rsid w:val="004061AC"/>
    <w:rPr>
      <w:rFonts w:cs="Times New Roman"/>
      <w:color w:val="auto"/>
    </w:rPr>
  </w:style>
  <w:style w:type="paragraph" w:styleId="afa">
    <w:name w:val="List Paragraph"/>
    <w:basedOn w:val="a"/>
    <w:uiPriority w:val="99"/>
    <w:qFormat/>
    <w:rsid w:val="00154BE1"/>
    <w:pPr>
      <w:ind w:firstLineChars="200" w:firstLine="420"/>
    </w:pPr>
  </w:style>
  <w:style w:type="paragraph" w:customStyle="1" w:styleId="Default">
    <w:name w:val="Default"/>
    <w:uiPriority w:val="99"/>
    <w:rsid w:val="00275745"/>
    <w:pPr>
      <w:widowControl w:val="0"/>
      <w:autoSpaceDE w:val="0"/>
      <w:autoSpaceDN w:val="0"/>
      <w:adjustRightInd w:val="0"/>
    </w:pPr>
    <w:rPr>
      <w:rFonts w:ascii="FangSong" w:hAnsi="FangSong" w:cs="FangSong"/>
      <w:color w:val="000000"/>
      <w:sz w:val="24"/>
      <w:szCs w:val="24"/>
    </w:rPr>
  </w:style>
  <w:style w:type="character" w:styleId="afb">
    <w:name w:val="Strong"/>
    <w:uiPriority w:val="22"/>
    <w:qFormat/>
    <w:locked/>
    <w:rsid w:val="00D87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C98D1-B3EF-4020-B7CB-827BA7CD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883</Words>
  <Characters>5037</Characters>
  <Application>Microsoft Office Word</Application>
  <DocSecurity>4</DocSecurity>
  <Lines>41</Lines>
  <Paragraphs>11</Paragraphs>
  <ScaleCrop>false</ScaleCrop>
  <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2020-04-14T01:37:00Z</dcterms:created>
  <dcterms:modified xsi:type="dcterms:W3CDTF">2020-04-14T01:37:00Z</dcterms:modified>
</cp:coreProperties>
</file>